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8E4FF" w14:textId="75D13518" w:rsidR="000A24D6" w:rsidRPr="00C0101B" w:rsidRDefault="000A24D6" w:rsidP="000A24D6">
      <w:pPr>
        <w:rPr>
          <w:rFonts w:ascii="Arial" w:hAnsi="Arial" w:cs="Arial"/>
          <w:b/>
          <w:bCs/>
          <w:sz w:val="36"/>
          <w:szCs w:val="36"/>
          <w:u w:val="single"/>
        </w:rPr>
      </w:pPr>
      <w:r w:rsidRPr="00C0101B">
        <w:rPr>
          <w:rFonts w:ascii="Arial" w:hAnsi="Arial" w:cs="Arial"/>
          <w:b/>
          <w:bCs/>
          <w:sz w:val="36"/>
          <w:szCs w:val="36"/>
          <w:u w:val="single"/>
        </w:rPr>
        <w:t>Original Research Article</w:t>
      </w:r>
    </w:p>
    <w:p w14:paraId="41DDAB5A" w14:textId="7C9BAB55" w:rsidR="00D80B54" w:rsidRPr="00536CA9" w:rsidRDefault="00D80B54" w:rsidP="00536CA9">
      <w:pPr>
        <w:jc w:val="right"/>
        <w:rPr>
          <w:rFonts w:ascii="Arial" w:hAnsi="Arial" w:cs="Arial"/>
          <w:b/>
          <w:bCs/>
          <w:sz w:val="36"/>
          <w:szCs w:val="36"/>
        </w:rPr>
      </w:pPr>
      <w:r w:rsidRPr="00536CA9">
        <w:rPr>
          <w:rFonts w:ascii="Arial" w:hAnsi="Arial" w:cs="Arial"/>
          <w:b/>
          <w:bCs/>
          <w:sz w:val="36"/>
          <w:szCs w:val="36"/>
        </w:rPr>
        <w:t xml:space="preserve">Effect </w:t>
      </w:r>
      <w:r w:rsidR="00AA6428" w:rsidRPr="00536CA9">
        <w:rPr>
          <w:rFonts w:ascii="Arial" w:hAnsi="Arial" w:cs="Arial"/>
          <w:b/>
          <w:bCs/>
          <w:sz w:val="36"/>
          <w:szCs w:val="36"/>
        </w:rPr>
        <w:t xml:space="preserve">of Paracetamol on Spermatozoa Characteristics </w:t>
      </w:r>
      <w:r w:rsidR="00AE2E2A" w:rsidRPr="00536CA9">
        <w:rPr>
          <w:rFonts w:ascii="Arial" w:hAnsi="Arial" w:cs="Arial"/>
          <w:b/>
          <w:bCs/>
          <w:sz w:val="36"/>
          <w:szCs w:val="36"/>
        </w:rPr>
        <w:t>a</w:t>
      </w:r>
      <w:r w:rsidR="00AA6428" w:rsidRPr="00536CA9">
        <w:rPr>
          <w:rFonts w:ascii="Arial" w:hAnsi="Arial" w:cs="Arial"/>
          <w:b/>
          <w:bCs/>
          <w:sz w:val="36"/>
          <w:szCs w:val="36"/>
        </w:rPr>
        <w:t xml:space="preserve">nd Testis Histology of </w:t>
      </w:r>
      <w:r w:rsidRPr="00536CA9">
        <w:rPr>
          <w:rFonts w:ascii="Arial" w:hAnsi="Arial" w:cs="Arial"/>
          <w:b/>
          <w:bCs/>
          <w:i/>
          <w:iCs/>
          <w:sz w:val="36"/>
          <w:szCs w:val="36"/>
        </w:rPr>
        <w:t xml:space="preserve">Mus </w:t>
      </w:r>
      <w:r w:rsidR="000706E0" w:rsidRPr="00536CA9">
        <w:rPr>
          <w:rFonts w:ascii="Arial" w:hAnsi="Arial" w:cs="Arial"/>
          <w:b/>
          <w:bCs/>
          <w:i/>
          <w:iCs/>
          <w:sz w:val="36"/>
          <w:szCs w:val="36"/>
        </w:rPr>
        <w:t>m</w:t>
      </w:r>
      <w:r w:rsidR="00AA6428" w:rsidRPr="00536CA9">
        <w:rPr>
          <w:rFonts w:ascii="Arial" w:hAnsi="Arial" w:cs="Arial"/>
          <w:b/>
          <w:bCs/>
          <w:i/>
          <w:iCs/>
          <w:sz w:val="36"/>
          <w:szCs w:val="36"/>
        </w:rPr>
        <w:t>usculus,</w:t>
      </w:r>
      <w:r w:rsidR="00AA6428" w:rsidRPr="00536CA9">
        <w:rPr>
          <w:rFonts w:ascii="Arial" w:hAnsi="Arial" w:cs="Arial"/>
          <w:b/>
          <w:bCs/>
          <w:sz w:val="36"/>
          <w:szCs w:val="36"/>
        </w:rPr>
        <w:t xml:space="preserve"> </w:t>
      </w:r>
      <w:r w:rsidR="00552DED" w:rsidRPr="00536CA9">
        <w:rPr>
          <w:rFonts w:ascii="Arial" w:hAnsi="Arial" w:cs="Arial"/>
          <w:b/>
          <w:bCs/>
          <w:sz w:val="36"/>
          <w:szCs w:val="36"/>
        </w:rPr>
        <w:t>a</w:t>
      </w:r>
      <w:r w:rsidR="00AA6428" w:rsidRPr="00536CA9">
        <w:rPr>
          <w:rFonts w:ascii="Arial" w:hAnsi="Arial" w:cs="Arial"/>
          <w:b/>
          <w:bCs/>
          <w:sz w:val="36"/>
          <w:szCs w:val="36"/>
        </w:rPr>
        <w:t xml:space="preserve">long with </w:t>
      </w:r>
      <w:r w:rsidR="00B57074" w:rsidRPr="00536CA9">
        <w:rPr>
          <w:rFonts w:ascii="Arial" w:hAnsi="Arial" w:cs="Arial"/>
          <w:b/>
          <w:bCs/>
          <w:sz w:val="36"/>
          <w:szCs w:val="36"/>
        </w:rPr>
        <w:t>the</w:t>
      </w:r>
      <w:r w:rsidR="00AA6428" w:rsidRPr="00536CA9">
        <w:rPr>
          <w:rFonts w:ascii="Arial" w:hAnsi="Arial" w:cs="Arial"/>
          <w:b/>
          <w:bCs/>
          <w:sz w:val="36"/>
          <w:szCs w:val="36"/>
        </w:rPr>
        <w:t xml:space="preserve"> Protective Role of</w:t>
      </w:r>
      <w:r w:rsidR="009A1109" w:rsidRPr="00536CA9">
        <w:rPr>
          <w:rFonts w:ascii="Arial" w:hAnsi="Arial" w:cs="Arial"/>
          <w:b/>
          <w:bCs/>
          <w:sz w:val="36"/>
          <w:szCs w:val="36"/>
        </w:rPr>
        <w:t xml:space="preserve"> </w:t>
      </w:r>
      <w:r w:rsidR="009A1109" w:rsidRPr="00536CA9">
        <w:rPr>
          <w:rFonts w:ascii="Arial" w:hAnsi="Arial" w:cs="Arial"/>
          <w:b/>
          <w:bCs/>
          <w:i/>
          <w:iCs/>
          <w:sz w:val="36"/>
          <w:szCs w:val="36"/>
        </w:rPr>
        <w:t xml:space="preserve">Trigonella </w:t>
      </w:r>
      <w:proofErr w:type="spellStart"/>
      <w:r w:rsidR="009A1109" w:rsidRPr="00536CA9">
        <w:rPr>
          <w:rFonts w:ascii="Arial" w:hAnsi="Arial" w:cs="Arial"/>
          <w:b/>
          <w:bCs/>
          <w:i/>
          <w:iCs/>
          <w:sz w:val="36"/>
          <w:szCs w:val="36"/>
        </w:rPr>
        <w:t>foenum</w:t>
      </w:r>
      <w:proofErr w:type="spellEnd"/>
      <w:r w:rsidR="009A1109" w:rsidRPr="00536CA9">
        <w:rPr>
          <w:rFonts w:ascii="Arial" w:hAnsi="Arial" w:cs="Arial"/>
          <w:b/>
          <w:bCs/>
          <w:i/>
          <w:iCs/>
          <w:sz w:val="36"/>
          <w:szCs w:val="36"/>
        </w:rPr>
        <w:t>-graecum</w:t>
      </w:r>
      <w:r w:rsidR="00AA6428" w:rsidRPr="00536CA9">
        <w:rPr>
          <w:rFonts w:ascii="Arial" w:hAnsi="Arial" w:cs="Arial"/>
          <w:b/>
          <w:bCs/>
          <w:sz w:val="36"/>
          <w:szCs w:val="36"/>
        </w:rPr>
        <w:t xml:space="preserve"> </w:t>
      </w:r>
      <w:r w:rsidR="009A1109" w:rsidRPr="00536CA9">
        <w:rPr>
          <w:rFonts w:ascii="Arial" w:hAnsi="Arial" w:cs="Arial"/>
          <w:b/>
          <w:bCs/>
          <w:sz w:val="36"/>
          <w:szCs w:val="36"/>
        </w:rPr>
        <w:t>(</w:t>
      </w:r>
      <w:r w:rsidR="00AA6428" w:rsidRPr="00536CA9">
        <w:rPr>
          <w:rFonts w:ascii="Arial" w:hAnsi="Arial" w:cs="Arial"/>
          <w:b/>
          <w:bCs/>
          <w:sz w:val="36"/>
          <w:szCs w:val="36"/>
        </w:rPr>
        <w:t>Fenugreek</w:t>
      </w:r>
      <w:r w:rsidR="009A1109" w:rsidRPr="00536CA9">
        <w:rPr>
          <w:rFonts w:ascii="Arial" w:hAnsi="Arial" w:cs="Arial"/>
          <w:b/>
          <w:bCs/>
          <w:sz w:val="36"/>
          <w:szCs w:val="36"/>
        </w:rPr>
        <w:t>)</w:t>
      </w:r>
    </w:p>
    <w:p w14:paraId="16079879" w14:textId="7623FE8E" w:rsidR="00C0101B" w:rsidRDefault="00C0101B" w:rsidP="00536CA9">
      <w:pPr>
        <w:jc w:val="right"/>
      </w:pPr>
    </w:p>
    <w:p w14:paraId="2A7B9448" w14:textId="77777777" w:rsidR="00285BC8" w:rsidRPr="00536CA9" w:rsidRDefault="00285BC8" w:rsidP="00536CA9">
      <w:pPr>
        <w:jc w:val="right"/>
        <w:rPr>
          <w:rFonts w:ascii="Arial" w:hAnsi="Arial" w:cs="Arial"/>
          <w:bCs/>
          <w:i/>
          <w:iCs/>
          <w:lang w:val="en-IN"/>
        </w:rPr>
      </w:pPr>
    </w:p>
    <w:p w14:paraId="035076FC" w14:textId="77777777" w:rsidR="00D80B54" w:rsidRPr="00EB5684" w:rsidRDefault="00D80B54" w:rsidP="00D80B54">
      <w:pPr>
        <w:jc w:val="center"/>
        <w:rPr>
          <w:rFonts w:ascii="Arial" w:hAnsi="Arial" w:cs="Arial"/>
          <w:b/>
          <w:bCs/>
          <w:sz w:val="20"/>
          <w:szCs w:val="20"/>
        </w:rPr>
      </w:pPr>
    </w:p>
    <w:p w14:paraId="40F15A91" w14:textId="77777777" w:rsidR="00D80B54" w:rsidRPr="00EB5684" w:rsidRDefault="00D80B54" w:rsidP="00D80B54">
      <w:pPr>
        <w:jc w:val="both"/>
        <w:rPr>
          <w:rFonts w:ascii="Arial" w:hAnsi="Arial" w:cs="Arial"/>
          <w:b/>
          <w:bCs/>
          <w:caps/>
          <w:sz w:val="22"/>
          <w:szCs w:val="22"/>
        </w:rPr>
      </w:pPr>
      <w:r w:rsidRPr="00EB5684">
        <w:rPr>
          <w:rFonts w:ascii="Arial" w:hAnsi="Arial" w:cs="Arial"/>
          <w:b/>
          <w:bCs/>
          <w:caps/>
          <w:sz w:val="22"/>
          <w:szCs w:val="22"/>
        </w:rPr>
        <w:t>Abstract</w:t>
      </w:r>
    </w:p>
    <w:p w14:paraId="062C4F4A" w14:textId="66B63016" w:rsidR="00D80B54" w:rsidRPr="00EB5684" w:rsidRDefault="00D80B54" w:rsidP="00D80B54">
      <w:pPr>
        <w:jc w:val="both"/>
        <w:rPr>
          <w:rFonts w:ascii="Arial" w:hAnsi="Arial" w:cs="Arial"/>
          <w:sz w:val="20"/>
          <w:szCs w:val="20"/>
        </w:rPr>
      </w:pPr>
      <w:r w:rsidRPr="00EB5684">
        <w:rPr>
          <w:rFonts w:ascii="Arial" w:hAnsi="Arial" w:cs="Arial"/>
          <w:sz w:val="20"/>
          <w:szCs w:val="20"/>
        </w:rPr>
        <w:t xml:space="preserve">The prolonged use of Paracetamol (PC) causes adverse effects on the male reproductive system. In the present study, the effects of PC on spermatozoa characteristics </w:t>
      </w:r>
      <w:r w:rsidR="00963E26" w:rsidRPr="00EB5684">
        <w:rPr>
          <w:rFonts w:ascii="Arial" w:hAnsi="Arial" w:cs="Arial"/>
          <w:sz w:val="20"/>
          <w:szCs w:val="20"/>
        </w:rPr>
        <w:t xml:space="preserve">and </w:t>
      </w:r>
      <w:r w:rsidRPr="00EB5684">
        <w:rPr>
          <w:rFonts w:ascii="Arial" w:hAnsi="Arial" w:cs="Arial"/>
          <w:sz w:val="20"/>
          <w:szCs w:val="20"/>
        </w:rPr>
        <w:t xml:space="preserve">testicular histology in </w:t>
      </w:r>
      <w:r w:rsidRPr="00EB5684">
        <w:rPr>
          <w:rFonts w:ascii="Arial" w:hAnsi="Arial" w:cs="Arial"/>
          <w:i/>
          <w:iCs/>
          <w:sz w:val="20"/>
          <w:szCs w:val="20"/>
        </w:rPr>
        <w:t xml:space="preserve">Mus musculus </w:t>
      </w:r>
      <w:r w:rsidR="00963E26" w:rsidRPr="00EB5684">
        <w:rPr>
          <w:rFonts w:ascii="Arial" w:hAnsi="Arial" w:cs="Arial"/>
          <w:sz w:val="20"/>
          <w:szCs w:val="20"/>
        </w:rPr>
        <w:t>are</w:t>
      </w:r>
      <w:r w:rsidRPr="00EB5684">
        <w:rPr>
          <w:rFonts w:ascii="Arial" w:hAnsi="Arial" w:cs="Arial"/>
          <w:sz w:val="20"/>
          <w:szCs w:val="20"/>
        </w:rPr>
        <w:t xml:space="preserve"> investigated with </w:t>
      </w:r>
      <w:r w:rsidR="005D4A97" w:rsidRPr="00EB5684">
        <w:rPr>
          <w:rFonts w:ascii="Arial" w:hAnsi="Arial" w:cs="Arial"/>
          <w:sz w:val="20"/>
          <w:szCs w:val="20"/>
        </w:rPr>
        <w:t>the recovery</w:t>
      </w:r>
      <w:r w:rsidR="004F7156" w:rsidRPr="00EB5684">
        <w:rPr>
          <w:rFonts w:ascii="Arial" w:hAnsi="Arial" w:cs="Arial"/>
          <w:sz w:val="20"/>
          <w:szCs w:val="20"/>
        </w:rPr>
        <w:t xml:space="preserve"> </w:t>
      </w:r>
      <w:r w:rsidRPr="00EB5684">
        <w:rPr>
          <w:rFonts w:ascii="Arial" w:hAnsi="Arial" w:cs="Arial"/>
          <w:sz w:val="20"/>
          <w:szCs w:val="20"/>
        </w:rPr>
        <w:t>effect</w:t>
      </w:r>
      <w:r w:rsidR="004160CD">
        <w:rPr>
          <w:rFonts w:ascii="Arial" w:hAnsi="Arial" w:cs="Arial"/>
          <w:sz w:val="20"/>
          <w:szCs w:val="20"/>
        </w:rPr>
        <w:t>s</w:t>
      </w:r>
      <w:r w:rsidRPr="00EB5684">
        <w:rPr>
          <w:rFonts w:ascii="Arial" w:hAnsi="Arial" w:cs="Arial"/>
          <w:sz w:val="20"/>
          <w:szCs w:val="20"/>
        </w:rPr>
        <w:t xml:space="preserve"> of fenugreek (</w:t>
      </w:r>
      <w:r w:rsidRPr="00EB5684">
        <w:rPr>
          <w:rFonts w:ascii="Arial" w:hAnsi="Arial" w:cs="Arial"/>
          <w:i/>
          <w:iCs/>
          <w:sz w:val="20"/>
          <w:szCs w:val="20"/>
        </w:rPr>
        <w:t xml:space="preserve">Trigonella </w:t>
      </w:r>
      <w:proofErr w:type="spellStart"/>
      <w:r w:rsidRPr="00EB5684">
        <w:rPr>
          <w:rFonts w:ascii="Arial" w:hAnsi="Arial" w:cs="Arial"/>
          <w:i/>
          <w:iCs/>
          <w:sz w:val="20"/>
          <w:szCs w:val="20"/>
        </w:rPr>
        <w:t>foenum</w:t>
      </w:r>
      <w:proofErr w:type="spellEnd"/>
      <w:r w:rsidRPr="00EB5684">
        <w:rPr>
          <w:rFonts w:ascii="Arial" w:hAnsi="Arial" w:cs="Arial"/>
          <w:i/>
          <w:iCs/>
          <w:sz w:val="20"/>
          <w:szCs w:val="20"/>
        </w:rPr>
        <w:t>-graecum</w:t>
      </w:r>
      <w:r w:rsidRPr="00EB5684">
        <w:rPr>
          <w:rFonts w:ascii="Arial" w:hAnsi="Arial" w:cs="Arial"/>
          <w:sz w:val="20"/>
          <w:szCs w:val="20"/>
        </w:rPr>
        <w:t xml:space="preserve">). </w:t>
      </w:r>
      <w:r w:rsidR="00963E26" w:rsidRPr="00EB5684">
        <w:rPr>
          <w:rFonts w:ascii="Arial" w:hAnsi="Arial" w:cs="Arial"/>
          <w:sz w:val="20"/>
          <w:szCs w:val="20"/>
        </w:rPr>
        <w:t>A</w:t>
      </w:r>
      <w:r w:rsidRPr="00EB5684">
        <w:rPr>
          <w:rFonts w:ascii="Arial" w:hAnsi="Arial" w:cs="Arial"/>
          <w:sz w:val="20"/>
          <w:szCs w:val="20"/>
        </w:rPr>
        <w:t xml:space="preserve"> slight variation in testis weight </w:t>
      </w:r>
      <w:r w:rsidR="00963E26" w:rsidRPr="00EB5684">
        <w:rPr>
          <w:rFonts w:ascii="Arial" w:hAnsi="Arial" w:cs="Arial"/>
          <w:sz w:val="20"/>
          <w:szCs w:val="20"/>
        </w:rPr>
        <w:t xml:space="preserve">and </w:t>
      </w:r>
      <w:proofErr w:type="spellStart"/>
      <w:r w:rsidRPr="00EB5684">
        <w:rPr>
          <w:rFonts w:ascii="Arial" w:hAnsi="Arial" w:cs="Arial"/>
          <w:sz w:val="20"/>
          <w:szCs w:val="20"/>
        </w:rPr>
        <w:t>testiculosomatic</w:t>
      </w:r>
      <w:proofErr w:type="spellEnd"/>
      <w:r w:rsidRPr="00EB5684">
        <w:rPr>
          <w:rFonts w:ascii="Arial" w:hAnsi="Arial" w:cs="Arial"/>
          <w:sz w:val="20"/>
          <w:szCs w:val="20"/>
        </w:rPr>
        <w:t xml:space="preserve"> (TSI) index was observed in treated mice</w:t>
      </w:r>
      <w:r w:rsidR="004F7156" w:rsidRPr="00EB5684">
        <w:rPr>
          <w:rFonts w:ascii="Arial" w:hAnsi="Arial" w:cs="Arial"/>
          <w:sz w:val="20"/>
          <w:szCs w:val="20"/>
        </w:rPr>
        <w:t xml:space="preserve"> </w:t>
      </w:r>
      <w:r w:rsidR="00963E26" w:rsidRPr="00EB5684">
        <w:rPr>
          <w:rFonts w:ascii="Arial" w:hAnsi="Arial" w:cs="Arial"/>
          <w:sz w:val="20"/>
          <w:szCs w:val="20"/>
        </w:rPr>
        <w:t xml:space="preserve">and </w:t>
      </w:r>
      <w:r w:rsidR="004F7156" w:rsidRPr="00EB5684">
        <w:rPr>
          <w:rFonts w:ascii="Arial" w:hAnsi="Arial" w:cs="Arial"/>
          <w:sz w:val="20"/>
          <w:szCs w:val="20"/>
        </w:rPr>
        <w:t>a</w:t>
      </w:r>
      <w:r w:rsidRPr="00EB5684">
        <w:rPr>
          <w:rFonts w:ascii="Arial" w:hAnsi="Arial" w:cs="Arial"/>
          <w:sz w:val="20"/>
          <w:szCs w:val="20"/>
        </w:rPr>
        <w:t xml:space="preserve"> significant reduction in sperm count (29.7%) was observed in the PC induced mice </w:t>
      </w:r>
      <w:r w:rsidR="00963E26" w:rsidRPr="00EB5684">
        <w:rPr>
          <w:rFonts w:ascii="Arial" w:hAnsi="Arial" w:cs="Arial"/>
          <w:sz w:val="20"/>
          <w:szCs w:val="20"/>
        </w:rPr>
        <w:t>compare</w:t>
      </w:r>
      <w:r w:rsidRPr="00EB5684">
        <w:rPr>
          <w:rFonts w:ascii="Arial" w:hAnsi="Arial" w:cs="Arial"/>
          <w:sz w:val="20"/>
          <w:szCs w:val="20"/>
        </w:rPr>
        <w:t xml:space="preserve"> to control</w:t>
      </w:r>
      <w:r w:rsidR="00143235" w:rsidRPr="00EB5684">
        <w:rPr>
          <w:rFonts w:ascii="Arial" w:hAnsi="Arial" w:cs="Arial"/>
          <w:sz w:val="20"/>
          <w:szCs w:val="20"/>
        </w:rPr>
        <w:t xml:space="preserve"> (118.4 ± 6.1</w:t>
      </w:r>
      <w:r w:rsidR="00616B19" w:rsidRPr="00EB5684">
        <w:rPr>
          <w:rFonts w:ascii="Arial" w:hAnsi="Arial" w:cs="Arial"/>
          <w:sz w:val="20"/>
          <w:szCs w:val="20"/>
        </w:rPr>
        <w:t xml:space="preserve"> </w:t>
      </w:r>
      <w:r w:rsidR="00616B19" w:rsidRPr="00EB5684">
        <w:rPr>
          <w:rFonts w:ascii="Arial" w:eastAsiaTheme="minorEastAsia" w:hAnsi="Arial" w:cs="Arial"/>
          <w:sz w:val="20"/>
          <w:szCs w:val="20"/>
        </w:rPr>
        <w:t>x 10</w:t>
      </w:r>
      <w:r w:rsidR="00616B19" w:rsidRPr="00EB5684">
        <w:rPr>
          <w:rFonts w:ascii="Arial" w:eastAsiaTheme="minorEastAsia" w:hAnsi="Arial" w:cs="Arial"/>
          <w:sz w:val="20"/>
          <w:szCs w:val="20"/>
          <w:vertAlign w:val="superscript"/>
        </w:rPr>
        <w:t>4</w:t>
      </w:r>
      <w:r w:rsidR="00E96CB4" w:rsidRPr="00EB5684">
        <w:rPr>
          <w:rFonts w:ascii="Arial" w:eastAsiaTheme="minorEastAsia" w:hAnsi="Arial" w:cs="Arial"/>
          <w:sz w:val="20"/>
          <w:szCs w:val="20"/>
        </w:rPr>
        <w:t>/ml</w:t>
      </w:r>
      <w:r w:rsidR="00143235" w:rsidRPr="00EB5684">
        <w:rPr>
          <w:rFonts w:ascii="Arial" w:hAnsi="Arial" w:cs="Arial"/>
          <w:sz w:val="20"/>
          <w:szCs w:val="20"/>
        </w:rPr>
        <w:t>)</w:t>
      </w:r>
      <w:r w:rsidRPr="00EB5684">
        <w:rPr>
          <w:rFonts w:ascii="Arial" w:hAnsi="Arial" w:cs="Arial"/>
          <w:sz w:val="20"/>
          <w:szCs w:val="20"/>
        </w:rPr>
        <w:t xml:space="preserve">. Additionally, the frequency of abnormal spermatozoa increased significantly in the PC group (43.2 ± 1.7%) compared with the control group (10.66 ± 0.93%). </w:t>
      </w:r>
      <w:r w:rsidR="008E5CDA" w:rsidRPr="008E5CDA">
        <w:rPr>
          <w:rFonts w:ascii="Arial" w:hAnsi="Arial" w:cs="Arial"/>
          <w:sz w:val="20"/>
          <w:szCs w:val="20"/>
        </w:rPr>
        <w:t xml:space="preserve">Histological examination showed irregular and shrunken seminiferous tubules with </w:t>
      </w:r>
      <w:r w:rsidR="008E5CDA">
        <w:rPr>
          <w:rFonts w:ascii="Arial" w:hAnsi="Arial" w:cs="Arial"/>
          <w:sz w:val="20"/>
          <w:szCs w:val="20"/>
        </w:rPr>
        <w:t xml:space="preserve">damaged germinal epithelium </w:t>
      </w:r>
      <w:r w:rsidR="008E5CDA" w:rsidRPr="008E5CDA">
        <w:rPr>
          <w:rFonts w:ascii="Arial" w:hAnsi="Arial" w:cs="Arial"/>
          <w:sz w:val="20"/>
          <w:szCs w:val="20"/>
        </w:rPr>
        <w:t>in the PC-treated testes</w:t>
      </w:r>
      <w:r w:rsidR="008E5CDA">
        <w:rPr>
          <w:rFonts w:ascii="Arial" w:hAnsi="Arial" w:cs="Arial"/>
          <w:sz w:val="20"/>
          <w:szCs w:val="20"/>
        </w:rPr>
        <w:t xml:space="preserve">. </w:t>
      </w:r>
      <w:r w:rsidRPr="00EB5684">
        <w:rPr>
          <w:rFonts w:ascii="Arial" w:hAnsi="Arial" w:cs="Arial"/>
          <w:sz w:val="20"/>
          <w:szCs w:val="20"/>
        </w:rPr>
        <w:t xml:space="preserve">Administration of </w:t>
      </w:r>
      <w:r w:rsidR="0017404B" w:rsidRPr="00EB5684">
        <w:rPr>
          <w:rFonts w:ascii="Arial" w:hAnsi="Arial" w:cs="Arial"/>
          <w:sz w:val="20"/>
          <w:szCs w:val="20"/>
        </w:rPr>
        <w:t>PC</w:t>
      </w:r>
      <w:r w:rsidR="003443DA" w:rsidRPr="00EB5684">
        <w:rPr>
          <w:rFonts w:ascii="Arial" w:hAnsi="Arial" w:cs="Arial"/>
          <w:sz w:val="20"/>
          <w:szCs w:val="20"/>
        </w:rPr>
        <w:t xml:space="preserve"> </w:t>
      </w:r>
      <w:r w:rsidR="0017404B" w:rsidRPr="00EB5684">
        <w:rPr>
          <w:rFonts w:ascii="Arial" w:hAnsi="Arial" w:cs="Arial"/>
          <w:sz w:val="20"/>
          <w:szCs w:val="20"/>
        </w:rPr>
        <w:t>with</w:t>
      </w:r>
      <w:r w:rsidR="00963E26" w:rsidRPr="00EB5684">
        <w:rPr>
          <w:rFonts w:ascii="Arial" w:hAnsi="Arial" w:cs="Arial"/>
          <w:sz w:val="20"/>
          <w:szCs w:val="20"/>
        </w:rPr>
        <w:t xml:space="preserve"> fenugreek indicates significant protection in reproductive parameters, which leads to</w:t>
      </w:r>
      <w:r w:rsidR="00326AC7" w:rsidRPr="00EB5684">
        <w:rPr>
          <w:rFonts w:ascii="Arial" w:hAnsi="Arial" w:cs="Arial"/>
          <w:sz w:val="20"/>
          <w:szCs w:val="20"/>
        </w:rPr>
        <w:t xml:space="preserve"> </w:t>
      </w:r>
      <w:r w:rsidR="00D51AD5">
        <w:rPr>
          <w:rFonts w:ascii="Arial" w:hAnsi="Arial" w:cs="Arial"/>
          <w:sz w:val="20"/>
          <w:szCs w:val="20"/>
        </w:rPr>
        <w:t xml:space="preserve">improvement in sperm count (11%) and </w:t>
      </w:r>
      <w:r w:rsidRPr="00EB5684">
        <w:rPr>
          <w:rFonts w:ascii="Arial" w:hAnsi="Arial" w:cs="Arial"/>
          <w:sz w:val="20"/>
          <w:szCs w:val="20"/>
        </w:rPr>
        <w:t xml:space="preserve">reduction in sperm abnormalities (21.8 ± 1.52%). Histological observations further indicate the partial restoration of normal seminiferous tubule architecture </w:t>
      </w:r>
      <w:r w:rsidR="00963E26" w:rsidRPr="00EB5684">
        <w:rPr>
          <w:rFonts w:ascii="Arial" w:hAnsi="Arial" w:cs="Arial"/>
          <w:sz w:val="20"/>
          <w:szCs w:val="20"/>
        </w:rPr>
        <w:t xml:space="preserve">and </w:t>
      </w:r>
      <w:r w:rsidRPr="00EB5684">
        <w:rPr>
          <w:rFonts w:ascii="Arial" w:hAnsi="Arial" w:cs="Arial"/>
          <w:sz w:val="20"/>
          <w:szCs w:val="20"/>
        </w:rPr>
        <w:t xml:space="preserve">spermatogenic activity. These findings suggest that PC induces significant reproductive toxicity in male mice, while fenugreek supplementation exhibits restorative effects on sperm quality </w:t>
      </w:r>
      <w:r w:rsidR="00963E26" w:rsidRPr="00EB5684">
        <w:rPr>
          <w:rFonts w:ascii="Arial" w:hAnsi="Arial" w:cs="Arial"/>
          <w:sz w:val="20"/>
          <w:szCs w:val="20"/>
        </w:rPr>
        <w:t xml:space="preserve">and </w:t>
      </w:r>
      <w:r w:rsidRPr="00EB5684">
        <w:rPr>
          <w:rFonts w:ascii="Arial" w:hAnsi="Arial" w:cs="Arial"/>
          <w:sz w:val="20"/>
          <w:szCs w:val="20"/>
        </w:rPr>
        <w:t>testicular structure.</w:t>
      </w:r>
    </w:p>
    <w:p w14:paraId="6CEA6F7F" w14:textId="77777777" w:rsidR="00D80B54" w:rsidRPr="00EB5684" w:rsidRDefault="00D80B54" w:rsidP="00D80B54">
      <w:pPr>
        <w:jc w:val="both"/>
        <w:rPr>
          <w:rFonts w:ascii="Arial" w:hAnsi="Arial" w:cs="Arial"/>
          <w:sz w:val="20"/>
          <w:szCs w:val="20"/>
        </w:rPr>
      </w:pPr>
      <w:r w:rsidRPr="00EB5684">
        <w:rPr>
          <w:rFonts w:ascii="Arial" w:hAnsi="Arial" w:cs="Arial"/>
          <w:b/>
          <w:bCs/>
          <w:sz w:val="20"/>
          <w:szCs w:val="20"/>
        </w:rPr>
        <w:t>Keywords:</w:t>
      </w:r>
      <w:r w:rsidRPr="00EB5684">
        <w:rPr>
          <w:rFonts w:ascii="Arial" w:hAnsi="Arial" w:cs="Arial"/>
          <w:sz w:val="20"/>
          <w:szCs w:val="20"/>
        </w:rPr>
        <w:t xml:space="preserve"> </w:t>
      </w:r>
      <w:r w:rsidRPr="00EB5684">
        <w:rPr>
          <w:rFonts w:ascii="Arial" w:hAnsi="Arial" w:cs="Arial"/>
          <w:i/>
          <w:iCs/>
          <w:sz w:val="20"/>
          <w:szCs w:val="20"/>
        </w:rPr>
        <w:t>Paracetamol, Fenugreek, Mus musculus, Sperm abnormalities, Testicular histology, Reproductive toxicity.</w:t>
      </w:r>
    </w:p>
    <w:p w14:paraId="6FFA0845" w14:textId="77777777" w:rsidR="00220A10" w:rsidRPr="00EB5684" w:rsidRDefault="00220A10" w:rsidP="00220A10">
      <w:pPr>
        <w:rPr>
          <w:rFonts w:ascii="Arial" w:hAnsi="Arial" w:cs="Arial"/>
          <w:b/>
          <w:bCs/>
          <w:sz w:val="22"/>
          <w:szCs w:val="22"/>
        </w:rPr>
      </w:pPr>
      <w:r w:rsidRPr="00EB5684">
        <w:rPr>
          <w:rFonts w:ascii="Arial" w:hAnsi="Arial" w:cs="Arial"/>
          <w:b/>
          <w:bCs/>
          <w:sz w:val="22"/>
          <w:szCs w:val="22"/>
        </w:rPr>
        <w:t>INTRODUCTION</w:t>
      </w:r>
    </w:p>
    <w:p w14:paraId="661C44E3" w14:textId="24EB2AE7" w:rsidR="00220A10" w:rsidRPr="00EB5684" w:rsidRDefault="008F3084" w:rsidP="00220A10">
      <w:pPr>
        <w:spacing w:line="276" w:lineRule="auto"/>
        <w:jc w:val="both"/>
        <w:rPr>
          <w:rFonts w:ascii="Arial" w:hAnsi="Arial" w:cs="Arial"/>
          <w:b/>
          <w:bCs/>
          <w:sz w:val="20"/>
          <w:szCs w:val="20"/>
        </w:rPr>
      </w:pPr>
      <w:r w:rsidRPr="00EB5684">
        <w:rPr>
          <w:rFonts w:ascii="Arial" w:hAnsi="Arial" w:cs="Arial"/>
          <w:sz w:val="20"/>
          <w:szCs w:val="20"/>
        </w:rPr>
        <w:tab/>
      </w:r>
      <w:r w:rsidR="00220A10" w:rsidRPr="00EB5684">
        <w:rPr>
          <w:rFonts w:ascii="Arial" w:hAnsi="Arial" w:cs="Arial"/>
          <w:sz w:val="20"/>
          <w:szCs w:val="20"/>
        </w:rPr>
        <w:t>Paracetamol (N-acetyl-p-aminophenol) is an acylated aromatic amide. It was discovered in 1946, as the major constituent of phenacetin, a white crystalline substance used to reduce body temperature and relieve pain (</w:t>
      </w:r>
      <w:proofErr w:type="spellStart"/>
      <w:r w:rsidR="00220A10" w:rsidRPr="00EB5684">
        <w:rPr>
          <w:rFonts w:ascii="Arial" w:hAnsi="Arial" w:cs="Arial"/>
          <w:sz w:val="20"/>
          <w:szCs w:val="20"/>
        </w:rPr>
        <w:t>Ucheya</w:t>
      </w:r>
      <w:proofErr w:type="spellEnd"/>
      <w:r w:rsidR="00220A10" w:rsidRPr="00EB5684">
        <w:rPr>
          <w:rFonts w:ascii="Arial" w:hAnsi="Arial" w:cs="Arial"/>
          <w:sz w:val="20"/>
          <w:szCs w:val="20"/>
        </w:rPr>
        <w:t xml:space="preserve"> and </w:t>
      </w:r>
      <w:proofErr w:type="spellStart"/>
      <w:r w:rsidR="00220A10" w:rsidRPr="00EB5684">
        <w:rPr>
          <w:rFonts w:ascii="Arial" w:hAnsi="Arial" w:cs="Arial"/>
          <w:sz w:val="20"/>
          <w:szCs w:val="20"/>
        </w:rPr>
        <w:t>Igweh</w:t>
      </w:r>
      <w:proofErr w:type="spellEnd"/>
      <w:r w:rsidR="00220A10" w:rsidRPr="00EB5684">
        <w:rPr>
          <w:rFonts w:ascii="Arial" w:hAnsi="Arial" w:cs="Arial"/>
          <w:sz w:val="20"/>
          <w:szCs w:val="20"/>
        </w:rPr>
        <w:t>, 2006).</w:t>
      </w:r>
      <w:r w:rsidR="00220A10" w:rsidRPr="00EB5684">
        <w:rPr>
          <w:rFonts w:ascii="Arial" w:hAnsi="Arial" w:cs="Arial"/>
          <w:b/>
          <w:bCs/>
          <w:sz w:val="20"/>
          <w:szCs w:val="20"/>
        </w:rPr>
        <w:t xml:space="preserve"> </w:t>
      </w:r>
      <w:r w:rsidR="00220A10" w:rsidRPr="00EB5684">
        <w:rPr>
          <w:rFonts w:ascii="Arial" w:hAnsi="Arial" w:cs="Arial"/>
          <w:sz w:val="20"/>
          <w:szCs w:val="20"/>
        </w:rPr>
        <w:t>Excessive intake of Paracetamol (PC) causes hepatotoxicity (AL-Khan, 2010; Marzouk et al., 2011; McGill et al., 2012) and renal toxicity in humans and experimental models</w:t>
      </w:r>
      <w:r w:rsidR="00220A10" w:rsidRPr="00EB5684">
        <w:rPr>
          <w:rFonts w:ascii="Arial" w:hAnsi="Arial" w:cs="Arial"/>
          <w:sz w:val="20"/>
          <w:szCs w:val="20"/>
          <w:vertAlign w:val="superscript"/>
        </w:rPr>
        <w:t xml:space="preserve"> </w:t>
      </w:r>
      <w:r w:rsidR="00220A10" w:rsidRPr="00EB5684">
        <w:rPr>
          <w:rFonts w:ascii="Arial" w:hAnsi="Arial" w:cs="Arial"/>
          <w:sz w:val="20"/>
          <w:szCs w:val="20"/>
        </w:rPr>
        <w:t xml:space="preserve">(Guo and Nzerue, 2002). </w:t>
      </w:r>
      <w:r w:rsidR="00AF3EA0" w:rsidRPr="00EB5684">
        <w:rPr>
          <w:rFonts w:ascii="Arial" w:hAnsi="Arial" w:cs="Arial"/>
          <w:sz w:val="20"/>
          <w:szCs w:val="20"/>
        </w:rPr>
        <w:t>I</w:t>
      </w:r>
      <w:r w:rsidR="00220A10" w:rsidRPr="00EB5684">
        <w:rPr>
          <w:rFonts w:ascii="Arial" w:hAnsi="Arial" w:cs="Arial"/>
          <w:sz w:val="20"/>
          <w:szCs w:val="20"/>
        </w:rPr>
        <w:t xml:space="preserve">t has </w:t>
      </w:r>
      <w:r w:rsidR="00AF3EA0" w:rsidRPr="00EB5684">
        <w:rPr>
          <w:rFonts w:ascii="Arial" w:hAnsi="Arial" w:cs="Arial"/>
          <w:sz w:val="20"/>
          <w:szCs w:val="20"/>
        </w:rPr>
        <w:t xml:space="preserve">also </w:t>
      </w:r>
      <w:r w:rsidR="00220A10" w:rsidRPr="00EB5684">
        <w:rPr>
          <w:rFonts w:ascii="Arial" w:hAnsi="Arial" w:cs="Arial"/>
          <w:sz w:val="20"/>
          <w:szCs w:val="20"/>
        </w:rPr>
        <w:t>been reported to exhibit genotoxicity</w:t>
      </w:r>
      <w:r w:rsidR="00220A10" w:rsidRPr="00EB5684">
        <w:rPr>
          <w:rFonts w:ascii="Arial" w:hAnsi="Arial" w:cs="Arial"/>
          <w:sz w:val="20"/>
          <w:szCs w:val="20"/>
          <w:vertAlign w:val="superscript"/>
        </w:rPr>
        <w:t xml:space="preserve"> </w:t>
      </w:r>
      <w:r w:rsidR="00220A10" w:rsidRPr="00EB5684">
        <w:rPr>
          <w:rFonts w:ascii="Arial" w:hAnsi="Arial" w:cs="Arial"/>
          <w:sz w:val="20"/>
          <w:szCs w:val="20"/>
        </w:rPr>
        <w:t>(Telez et al., 2000), interfere with DNA synthesis, and have carcinogenic effects</w:t>
      </w:r>
      <w:r w:rsidR="00220A10" w:rsidRPr="00EB5684">
        <w:rPr>
          <w:rFonts w:ascii="Arial" w:hAnsi="Arial" w:cs="Arial"/>
          <w:sz w:val="20"/>
          <w:szCs w:val="20"/>
          <w:vertAlign w:val="superscript"/>
        </w:rPr>
        <w:t xml:space="preserve"> </w:t>
      </w:r>
      <w:r w:rsidR="00220A10" w:rsidRPr="00EB5684">
        <w:rPr>
          <w:rFonts w:ascii="Arial" w:hAnsi="Arial" w:cs="Arial"/>
          <w:sz w:val="20"/>
          <w:szCs w:val="20"/>
        </w:rPr>
        <w:t xml:space="preserve">(Abreu et al., 2011). </w:t>
      </w:r>
    </w:p>
    <w:p w14:paraId="658BA230" w14:textId="4437C983" w:rsidR="00220A10" w:rsidRPr="00EB5684" w:rsidRDefault="00220A10" w:rsidP="00220A10">
      <w:pPr>
        <w:spacing w:line="276" w:lineRule="auto"/>
        <w:jc w:val="both"/>
        <w:rPr>
          <w:rFonts w:ascii="Arial" w:hAnsi="Arial" w:cs="Arial"/>
          <w:i/>
          <w:iCs/>
          <w:sz w:val="20"/>
          <w:szCs w:val="20"/>
        </w:rPr>
      </w:pPr>
      <w:r w:rsidRPr="00EB5684">
        <w:rPr>
          <w:rFonts w:ascii="Arial" w:hAnsi="Arial" w:cs="Arial"/>
          <w:sz w:val="20"/>
          <w:szCs w:val="20"/>
        </w:rPr>
        <w:t>Early PC exposure has also been known to cause a decrease in testosterone levels with subsequent alterations in its gene expression</w:t>
      </w:r>
      <w:r w:rsidRPr="00EB5684">
        <w:rPr>
          <w:rFonts w:ascii="Arial" w:hAnsi="Arial" w:cs="Arial"/>
          <w:sz w:val="20"/>
          <w:szCs w:val="20"/>
          <w:vertAlign w:val="superscript"/>
        </w:rPr>
        <w:t xml:space="preserve"> </w:t>
      </w:r>
      <w:r w:rsidRPr="00EB5684">
        <w:rPr>
          <w:rFonts w:ascii="Arial" w:hAnsi="Arial" w:cs="Arial"/>
          <w:sz w:val="20"/>
          <w:szCs w:val="20"/>
        </w:rPr>
        <w:t>(</w:t>
      </w:r>
      <w:proofErr w:type="spellStart"/>
      <w:r w:rsidRPr="00EB5684">
        <w:rPr>
          <w:rFonts w:ascii="Arial" w:hAnsi="Arial" w:cs="Arial"/>
          <w:sz w:val="20"/>
          <w:szCs w:val="20"/>
        </w:rPr>
        <w:t>Blecharz</w:t>
      </w:r>
      <w:proofErr w:type="spellEnd"/>
      <w:r w:rsidRPr="00EB5684">
        <w:rPr>
          <w:rFonts w:ascii="Arial" w:hAnsi="Arial" w:cs="Arial"/>
          <w:sz w:val="20"/>
          <w:szCs w:val="20"/>
        </w:rPr>
        <w:t>-Klin et al., 2022). Repetitive use of PC causes distortion</w:t>
      </w:r>
      <w:r w:rsidR="008556C5" w:rsidRPr="00EB5684">
        <w:rPr>
          <w:rFonts w:ascii="Arial" w:hAnsi="Arial" w:cs="Arial"/>
          <w:sz w:val="20"/>
          <w:szCs w:val="20"/>
        </w:rPr>
        <w:t xml:space="preserve"> </w:t>
      </w:r>
      <w:r w:rsidRPr="00EB5684">
        <w:rPr>
          <w:rFonts w:ascii="Arial" w:hAnsi="Arial" w:cs="Arial"/>
          <w:sz w:val="20"/>
          <w:szCs w:val="20"/>
        </w:rPr>
        <w:t xml:space="preserve">of the histological architecture of </w:t>
      </w:r>
      <w:r w:rsidR="0045106E" w:rsidRPr="00EB5684">
        <w:rPr>
          <w:rFonts w:ascii="Arial" w:hAnsi="Arial" w:cs="Arial"/>
          <w:sz w:val="20"/>
          <w:szCs w:val="20"/>
        </w:rPr>
        <w:t xml:space="preserve">the seminiferous tubules, a substantial drop in blood testosterone, and deterioration in seminal quality </w:t>
      </w:r>
      <w:r w:rsidRPr="00EB5684">
        <w:rPr>
          <w:rFonts w:ascii="Arial" w:hAnsi="Arial" w:cs="Arial"/>
          <w:sz w:val="20"/>
          <w:szCs w:val="20"/>
        </w:rPr>
        <w:t xml:space="preserve">(Yassen, 2012; </w:t>
      </w:r>
      <w:proofErr w:type="spellStart"/>
      <w:r w:rsidRPr="00EB5684">
        <w:rPr>
          <w:rFonts w:ascii="Arial" w:hAnsi="Arial" w:cs="Arial"/>
          <w:sz w:val="20"/>
          <w:szCs w:val="20"/>
        </w:rPr>
        <w:t>Banihani</w:t>
      </w:r>
      <w:proofErr w:type="spellEnd"/>
      <w:r w:rsidRPr="00EB5684">
        <w:rPr>
          <w:rFonts w:ascii="Arial" w:hAnsi="Arial" w:cs="Arial"/>
          <w:sz w:val="20"/>
          <w:szCs w:val="20"/>
        </w:rPr>
        <w:t xml:space="preserve">, 2012). PC has also been linked to the synthesis of </w:t>
      </w:r>
      <w:r w:rsidR="00AF3EA0" w:rsidRPr="00EB5684">
        <w:rPr>
          <w:rFonts w:ascii="Arial" w:hAnsi="Arial" w:cs="Arial"/>
          <w:sz w:val="20"/>
          <w:szCs w:val="20"/>
        </w:rPr>
        <w:t>R</w:t>
      </w:r>
      <w:r w:rsidRPr="00EB5684">
        <w:rPr>
          <w:rFonts w:ascii="Arial" w:hAnsi="Arial" w:cs="Arial"/>
          <w:sz w:val="20"/>
          <w:szCs w:val="20"/>
        </w:rPr>
        <w:t xml:space="preserve">eactive </w:t>
      </w:r>
      <w:r w:rsidR="00AF3EA0" w:rsidRPr="00EB5684">
        <w:rPr>
          <w:rFonts w:ascii="Arial" w:hAnsi="Arial" w:cs="Arial"/>
          <w:sz w:val="20"/>
          <w:szCs w:val="20"/>
        </w:rPr>
        <w:t>O</w:t>
      </w:r>
      <w:r w:rsidRPr="00EB5684">
        <w:rPr>
          <w:rFonts w:ascii="Arial" w:hAnsi="Arial" w:cs="Arial"/>
          <w:sz w:val="20"/>
          <w:szCs w:val="20"/>
        </w:rPr>
        <w:t xml:space="preserve">xygen </w:t>
      </w:r>
      <w:r w:rsidR="00AF3EA0" w:rsidRPr="00EB5684">
        <w:rPr>
          <w:rFonts w:ascii="Arial" w:hAnsi="Arial" w:cs="Arial"/>
          <w:sz w:val="20"/>
          <w:szCs w:val="20"/>
        </w:rPr>
        <w:t>S</w:t>
      </w:r>
      <w:r w:rsidRPr="00EB5684">
        <w:rPr>
          <w:rFonts w:ascii="Arial" w:hAnsi="Arial" w:cs="Arial"/>
          <w:sz w:val="20"/>
          <w:szCs w:val="20"/>
        </w:rPr>
        <w:t>pecies (ROS)</w:t>
      </w:r>
      <w:r w:rsidRPr="00EB5684">
        <w:rPr>
          <w:rFonts w:ascii="Arial" w:hAnsi="Arial" w:cs="Arial"/>
          <w:sz w:val="20"/>
          <w:szCs w:val="20"/>
          <w:vertAlign w:val="superscript"/>
        </w:rPr>
        <w:t xml:space="preserve"> </w:t>
      </w:r>
      <w:r w:rsidRPr="00EB5684">
        <w:rPr>
          <w:rFonts w:ascii="Arial" w:hAnsi="Arial" w:cs="Arial"/>
          <w:sz w:val="20"/>
          <w:szCs w:val="20"/>
        </w:rPr>
        <w:t>(Trettin et al., 2014) and elevation of oxidative stress</w:t>
      </w:r>
      <w:r w:rsidRPr="00EB5684">
        <w:rPr>
          <w:rFonts w:ascii="Arial" w:hAnsi="Arial" w:cs="Arial"/>
          <w:sz w:val="20"/>
          <w:szCs w:val="20"/>
          <w:vertAlign w:val="superscript"/>
        </w:rPr>
        <w:t xml:space="preserve"> </w:t>
      </w:r>
      <w:r w:rsidRPr="00EB5684">
        <w:rPr>
          <w:rFonts w:ascii="Arial" w:hAnsi="Arial" w:cs="Arial"/>
          <w:sz w:val="20"/>
          <w:szCs w:val="20"/>
        </w:rPr>
        <w:t>(</w:t>
      </w:r>
      <w:proofErr w:type="spellStart"/>
      <w:r w:rsidRPr="00EB5684">
        <w:rPr>
          <w:rFonts w:ascii="Arial" w:hAnsi="Arial" w:cs="Arial"/>
          <w:sz w:val="20"/>
          <w:szCs w:val="20"/>
        </w:rPr>
        <w:t>Bkhairia</w:t>
      </w:r>
      <w:proofErr w:type="spellEnd"/>
      <w:r w:rsidRPr="00EB5684">
        <w:rPr>
          <w:rFonts w:ascii="Arial" w:hAnsi="Arial" w:cs="Arial"/>
          <w:sz w:val="20"/>
          <w:szCs w:val="20"/>
        </w:rPr>
        <w:t xml:space="preserve"> et al., 2018), Oxidative stress resulting from unbalanced production of ROS</w:t>
      </w:r>
      <w:r w:rsidRPr="00EB5684">
        <w:rPr>
          <w:rFonts w:ascii="Arial" w:hAnsi="Arial" w:cs="Arial"/>
          <w:sz w:val="20"/>
          <w:szCs w:val="20"/>
          <w:vertAlign w:val="superscript"/>
        </w:rPr>
        <w:t xml:space="preserve"> </w:t>
      </w:r>
      <w:r w:rsidRPr="00EB5684">
        <w:rPr>
          <w:rFonts w:ascii="Arial" w:hAnsi="Arial" w:cs="Arial"/>
          <w:sz w:val="20"/>
          <w:szCs w:val="20"/>
        </w:rPr>
        <w:t>(Almansa-Ordonez et al., 2020), impairs male and female reproductive functions</w:t>
      </w:r>
      <w:r w:rsidRPr="00EB5684">
        <w:rPr>
          <w:rFonts w:ascii="Arial" w:hAnsi="Arial" w:cs="Arial"/>
          <w:sz w:val="20"/>
          <w:szCs w:val="20"/>
          <w:vertAlign w:val="superscript"/>
        </w:rPr>
        <w:t xml:space="preserve"> </w:t>
      </w:r>
      <w:r w:rsidRPr="00EB5684">
        <w:rPr>
          <w:rFonts w:ascii="Arial" w:hAnsi="Arial" w:cs="Arial"/>
          <w:sz w:val="20"/>
          <w:szCs w:val="20"/>
        </w:rPr>
        <w:t xml:space="preserve">(Agarwal et al., 2018). Oxidative stress is a primary </w:t>
      </w:r>
      <w:r w:rsidRPr="00EB5684">
        <w:rPr>
          <w:rFonts w:ascii="Arial" w:hAnsi="Arial" w:cs="Arial"/>
          <w:sz w:val="20"/>
          <w:szCs w:val="20"/>
        </w:rPr>
        <w:lastRenderedPageBreak/>
        <w:t>pathogenic process that causes DNA damage in the germ line and male infertility</w:t>
      </w:r>
      <w:r w:rsidRPr="00EB5684">
        <w:rPr>
          <w:rFonts w:ascii="Arial" w:hAnsi="Arial" w:cs="Arial"/>
          <w:sz w:val="20"/>
          <w:szCs w:val="20"/>
          <w:vertAlign w:val="superscript"/>
        </w:rPr>
        <w:t xml:space="preserve"> </w:t>
      </w:r>
      <w:r w:rsidRPr="00EB5684">
        <w:rPr>
          <w:rFonts w:ascii="Arial" w:hAnsi="Arial" w:cs="Arial"/>
          <w:sz w:val="20"/>
          <w:szCs w:val="20"/>
        </w:rPr>
        <w:t>(</w:t>
      </w:r>
      <w:proofErr w:type="spellStart"/>
      <w:r w:rsidRPr="00EB5684">
        <w:rPr>
          <w:rFonts w:ascii="Arial" w:hAnsi="Arial" w:cs="Arial"/>
          <w:sz w:val="20"/>
          <w:szCs w:val="20"/>
        </w:rPr>
        <w:t>Alahmar</w:t>
      </w:r>
      <w:proofErr w:type="spellEnd"/>
      <w:r w:rsidRPr="00EB5684">
        <w:rPr>
          <w:rFonts w:ascii="Arial" w:hAnsi="Arial" w:cs="Arial"/>
          <w:sz w:val="20"/>
          <w:szCs w:val="20"/>
        </w:rPr>
        <w:t xml:space="preserve"> et al., 2019) by decreasing sperm concentration, motility and sperm quality (Hussain et al., 2023).  The restitutive properties of several herbs and spices viz., </w:t>
      </w:r>
      <w:proofErr w:type="spellStart"/>
      <w:r w:rsidRPr="00EB5684">
        <w:rPr>
          <w:rFonts w:ascii="Arial" w:hAnsi="Arial" w:cs="Arial"/>
          <w:i/>
          <w:iCs/>
          <w:sz w:val="20"/>
          <w:szCs w:val="20"/>
        </w:rPr>
        <w:t>Withania</w:t>
      </w:r>
      <w:proofErr w:type="spellEnd"/>
      <w:r w:rsidRPr="00EB5684">
        <w:rPr>
          <w:rFonts w:ascii="Arial" w:hAnsi="Arial" w:cs="Arial"/>
          <w:i/>
          <w:iCs/>
          <w:sz w:val="20"/>
          <w:szCs w:val="20"/>
        </w:rPr>
        <w:t xml:space="preserve"> </w:t>
      </w:r>
      <w:proofErr w:type="spellStart"/>
      <w:r w:rsidRPr="00EB5684">
        <w:rPr>
          <w:rFonts w:ascii="Arial" w:hAnsi="Arial" w:cs="Arial"/>
          <w:i/>
          <w:iCs/>
          <w:sz w:val="20"/>
          <w:szCs w:val="20"/>
        </w:rPr>
        <w:t>somnifera</w:t>
      </w:r>
      <w:proofErr w:type="spellEnd"/>
      <w:r w:rsidRPr="00EB5684">
        <w:rPr>
          <w:rFonts w:ascii="Arial" w:hAnsi="Arial" w:cs="Arial"/>
          <w:i/>
          <w:iCs/>
          <w:sz w:val="20"/>
          <w:szCs w:val="20"/>
        </w:rPr>
        <w:t xml:space="preserve">, Curcuma longa </w:t>
      </w:r>
      <w:r w:rsidRPr="00EB5684">
        <w:rPr>
          <w:rFonts w:ascii="Arial" w:hAnsi="Arial" w:cs="Arial"/>
          <w:sz w:val="20"/>
          <w:szCs w:val="20"/>
        </w:rPr>
        <w:t>and</w:t>
      </w:r>
      <w:r w:rsidRPr="00EB5684">
        <w:rPr>
          <w:rFonts w:ascii="Arial" w:hAnsi="Arial" w:cs="Arial"/>
          <w:i/>
          <w:iCs/>
          <w:sz w:val="20"/>
          <w:szCs w:val="20"/>
        </w:rPr>
        <w:t xml:space="preserve"> Allium sativum</w:t>
      </w:r>
      <w:r w:rsidRPr="00EB5684">
        <w:rPr>
          <w:rFonts w:ascii="Arial" w:hAnsi="Arial" w:cs="Arial"/>
          <w:sz w:val="20"/>
          <w:szCs w:val="20"/>
        </w:rPr>
        <w:t xml:space="preserve"> have been reported by several workers against diclofenac, cypermethrin, chlorpyrifos and dimethoate on </w:t>
      </w:r>
      <w:r w:rsidRPr="00EB5684">
        <w:rPr>
          <w:rFonts w:ascii="Arial" w:hAnsi="Arial" w:cs="Arial"/>
          <w:i/>
          <w:iCs/>
          <w:sz w:val="20"/>
          <w:szCs w:val="20"/>
        </w:rPr>
        <w:t>Mus musculus</w:t>
      </w:r>
      <w:r w:rsidRPr="00EB5684">
        <w:rPr>
          <w:rFonts w:ascii="Arial" w:hAnsi="Arial" w:cs="Arial"/>
          <w:sz w:val="20"/>
          <w:szCs w:val="20"/>
          <w:vertAlign w:val="superscript"/>
        </w:rPr>
        <w:t xml:space="preserve"> </w:t>
      </w:r>
      <w:r w:rsidRPr="00EB5684">
        <w:rPr>
          <w:rFonts w:ascii="Arial" w:hAnsi="Arial" w:cs="Arial"/>
          <w:sz w:val="20"/>
          <w:szCs w:val="20"/>
          <w:lang w:val="en-IN"/>
        </w:rPr>
        <w:t>(</w:t>
      </w:r>
      <w:r w:rsidRPr="00EB5684">
        <w:rPr>
          <w:rFonts w:ascii="Arial" w:hAnsi="Arial" w:cs="Arial"/>
          <w:color w:val="000000" w:themeColor="text1"/>
          <w:sz w:val="20"/>
          <w:szCs w:val="20"/>
          <w:lang w:val="en-IN"/>
        </w:rPr>
        <w:t>Iqbal et al., 2024; Nawaz et al., 2024; Divyanshu et al., 2022; Divyanshu et al., 2025)</w:t>
      </w:r>
      <w:r w:rsidRPr="00EB5684">
        <w:rPr>
          <w:rFonts w:ascii="Arial" w:hAnsi="Arial" w:cs="Arial"/>
          <w:sz w:val="20"/>
          <w:szCs w:val="20"/>
        </w:rPr>
        <w:t xml:space="preserve">. </w:t>
      </w:r>
    </w:p>
    <w:p w14:paraId="38D9F097" w14:textId="27AC645A" w:rsidR="00220A10" w:rsidRPr="00EB5684" w:rsidRDefault="00220A10" w:rsidP="00220A10">
      <w:pPr>
        <w:spacing w:line="276" w:lineRule="auto"/>
        <w:jc w:val="both"/>
        <w:rPr>
          <w:rFonts w:ascii="Arial" w:hAnsi="Arial" w:cs="Arial"/>
          <w:sz w:val="20"/>
          <w:szCs w:val="20"/>
          <w:vertAlign w:val="superscript"/>
        </w:rPr>
      </w:pPr>
      <w:r w:rsidRPr="00EB5684">
        <w:rPr>
          <w:rFonts w:ascii="Arial" w:hAnsi="Arial" w:cs="Arial"/>
          <w:sz w:val="20"/>
          <w:szCs w:val="20"/>
        </w:rPr>
        <w:tab/>
        <w:t>Fenugreek (</w:t>
      </w:r>
      <w:r w:rsidRPr="00EB5684">
        <w:rPr>
          <w:rFonts w:ascii="Arial" w:hAnsi="Arial" w:cs="Arial"/>
          <w:i/>
          <w:iCs/>
          <w:sz w:val="20"/>
          <w:szCs w:val="20"/>
        </w:rPr>
        <w:t xml:space="preserve">Trigonella </w:t>
      </w:r>
      <w:proofErr w:type="spellStart"/>
      <w:r w:rsidRPr="00EB5684">
        <w:rPr>
          <w:rFonts w:ascii="Arial" w:hAnsi="Arial" w:cs="Arial"/>
          <w:i/>
          <w:iCs/>
          <w:sz w:val="20"/>
          <w:szCs w:val="20"/>
        </w:rPr>
        <w:t>foenum</w:t>
      </w:r>
      <w:proofErr w:type="spellEnd"/>
      <w:r w:rsidRPr="00EB5684">
        <w:rPr>
          <w:rFonts w:ascii="Arial" w:hAnsi="Arial" w:cs="Arial"/>
          <w:i/>
          <w:iCs/>
          <w:sz w:val="20"/>
          <w:szCs w:val="20"/>
        </w:rPr>
        <w:t>-graecum</w:t>
      </w:r>
      <w:r w:rsidRPr="00EB5684">
        <w:rPr>
          <w:rFonts w:ascii="Arial" w:hAnsi="Arial" w:cs="Arial"/>
          <w:sz w:val="20"/>
          <w:szCs w:val="20"/>
        </w:rPr>
        <w:t xml:space="preserve">) seeds are rich in diverse phytoconstituents, including carbohydrates (galactomannan), proteins (albumins), alkaloids (trigonelline and choline), flavonoid glycosides (vicenin-1), </w:t>
      </w:r>
      <w:proofErr w:type="spellStart"/>
      <w:r w:rsidRPr="00EB5684">
        <w:rPr>
          <w:rFonts w:ascii="Arial" w:hAnsi="Arial" w:cs="Arial"/>
          <w:sz w:val="20"/>
          <w:szCs w:val="20"/>
        </w:rPr>
        <w:t>furostanol</w:t>
      </w:r>
      <w:proofErr w:type="spellEnd"/>
      <w:r w:rsidRPr="00EB5684">
        <w:rPr>
          <w:rFonts w:ascii="Arial" w:hAnsi="Arial" w:cs="Arial"/>
          <w:sz w:val="20"/>
          <w:szCs w:val="20"/>
        </w:rPr>
        <w:t xml:space="preserve"> glycosides (trigoneoside </w:t>
      </w:r>
      <w:proofErr w:type="spellStart"/>
      <w:r w:rsidRPr="00EB5684">
        <w:rPr>
          <w:rFonts w:ascii="Arial" w:hAnsi="Arial" w:cs="Arial"/>
          <w:sz w:val="20"/>
          <w:szCs w:val="20"/>
        </w:rPr>
        <w:t>Ib</w:t>
      </w:r>
      <w:proofErr w:type="spellEnd"/>
      <w:r w:rsidRPr="00EB5684">
        <w:rPr>
          <w:rFonts w:ascii="Arial" w:hAnsi="Arial" w:cs="Arial"/>
          <w:sz w:val="20"/>
          <w:szCs w:val="20"/>
        </w:rPr>
        <w:t xml:space="preserve">), free amino acids (notably 4-hydroxyisoleucine, arginine, lysine, and histidine), saponins (diosgenin and </w:t>
      </w:r>
      <w:proofErr w:type="spellStart"/>
      <w:r w:rsidRPr="00EB5684">
        <w:rPr>
          <w:rFonts w:ascii="Arial" w:hAnsi="Arial" w:cs="Arial"/>
          <w:sz w:val="20"/>
          <w:szCs w:val="20"/>
        </w:rPr>
        <w:t>yuccagenin</w:t>
      </w:r>
      <w:proofErr w:type="spellEnd"/>
      <w:r w:rsidRPr="00EB5684">
        <w:rPr>
          <w:rFonts w:ascii="Arial" w:hAnsi="Arial" w:cs="Arial"/>
          <w:sz w:val="20"/>
          <w:szCs w:val="20"/>
        </w:rPr>
        <w:t>), vitamins and mucilage</w:t>
      </w:r>
      <w:r w:rsidRPr="00EB5684">
        <w:rPr>
          <w:rFonts w:ascii="Arial" w:hAnsi="Arial" w:cs="Arial"/>
          <w:sz w:val="20"/>
          <w:szCs w:val="20"/>
          <w:vertAlign w:val="superscript"/>
        </w:rPr>
        <w:t xml:space="preserve"> </w:t>
      </w:r>
      <w:r w:rsidRPr="00EB5684">
        <w:rPr>
          <w:rFonts w:ascii="Arial" w:hAnsi="Arial" w:cs="Arial"/>
          <w:sz w:val="20"/>
          <w:szCs w:val="20"/>
        </w:rPr>
        <w:t>(Taylor et al., 2002). Fenugreek has a long history of traditional use as a medicinal herb for diabetes and its antidiabetic potential has been experimentally evidenced</w:t>
      </w:r>
      <w:r w:rsidRPr="00EB5684">
        <w:rPr>
          <w:rFonts w:ascii="Arial" w:hAnsi="Arial" w:cs="Arial"/>
          <w:sz w:val="20"/>
          <w:szCs w:val="20"/>
          <w:vertAlign w:val="superscript"/>
        </w:rPr>
        <w:t xml:space="preserve"> </w:t>
      </w:r>
      <w:r w:rsidRPr="00EB5684">
        <w:rPr>
          <w:rFonts w:ascii="Arial" w:hAnsi="Arial" w:cs="Arial"/>
          <w:sz w:val="20"/>
          <w:szCs w:val="20"/>
        </w:rPr>
        <w:t xml:space="preserve">(Kaviarasan et al., 2007b). Hypoglycemic, hypolipidemic, antifertility, antinociceptive and wound-healing properties of fenugreek seeds </w:t>
      </w:r>
      <w:r w:rsidR="0045106E" w:rsidRPr="00EB5684">
        <w:rPr>
          <w:rFonts w:ascii="Arial" w:hAnsi="Arial" w:cs="Arial"/>
          <w:sz w:val="20"/>
          <w:szCs w:val="20"/>
        </w:rPr>
        <w:t>have also</w:t>
      </w:r>
      <w:r w:rsidRPr="00EB5684">
        <w:rPr>
          <w:rFonts w:ascii="Arial" w:hAnsi="Arial" w:cs="Arial"/>
          <w:sz w:val="20"/>
          <w:szCs w:val="20"/>
        </w:rPr>
        <w:t xml:space="preserve"> been reported in rats</w:t>
      </w:r>
      <w:r w:rsidRPr="00EB5684">
        <w:rPr>
          <w:rFonts w:ascii="Arial" w:hAnsi="Arial" w:cs="Arial"/>
          <w:sz w:val="20"/>
          <w:szCs w:val="20"/>
          <w:vertAlign w:val="superscript"/>
        </w:rPr>
        <w:t xml:space="preserve"> </w:t>
      </w:r>
      <w:r w:rsidRPr="00EB5684">
        <w:rPr>
          <w:rFonts w:ascii="Arial" w:hAnsi="Arial" w:cs="Arial"/>
          <w:sz w:val="20"/>
          <w:szCs w:val="20"/>
        </w:rPr>
        <w:t>(Baset et al., 2020).</w:t>
      </w:r>
      <w:r w:rsidRPr="00EB5684">
        <w:rPr>
          <w:rFonts w:ascii="Arial" w:hAnsi="Arial" w:cs="Arial"/>
          <w:sz w:val="20"/>
          <w:szCs w:val="20"/>
          <w:vertAlign w:val="superscript"/>
        </w:rPr>
        <w:t xml:space="preserve">  </w:t>
      </w:r>
      <w:r w:rsidRPr="00EB5684">
        <w:rPr>
          <w:rFonts w:ascii="Arial" w:hAnsi="Arial" w:cs="Arial"/>
          <w:sz w:val="20"/>
          <w:szCs w:val="20"/>
        </w:rPr>
        <w:t>The preventive role of fenugreek against cytogenetic alterations and testicular damage in Adriamycin and Cisplatin-induced rats has also been observed</w:t>
      </w:r>
      <w:r w:rsidRPr="00EB5684">
        <w:rPr>
          <w:rFonts w:ascii="Arial" w:hAnsi="Arial" w:cs="Arial"/>
          <w:sz w:val="20"/>
          <w:szCs w:val="20"/>
          <w:vertAlign w:val="superscript"/>
        </w:rPr>
        <w:t xml:space="preserve"> </w:t>
      </w:r>
      <w:r w:rsidRPr="00EB5684">
        <w:rPr>
          <w:rFonts w:ascii="Arial" w:hAnsi="Arial" w:cs="Arial"/>
          <w:sz w:val="20"/>
          <w:szCs w:val="20"/>
        </w:rPr>
        <w:t xml:space="preserve">(Kaur </w:t>
      </w:r>
      <w:r w:rsidR="0045106E" w:rsidRPr="00EB5684">
        <w:rPr>
          <w:rFonts w:ascii="Arial" w:hAnsi="Arial" w:cs="Arial"/>
          <w:sz w:val="20"/>
          <w:szCs w:val="20"/>
        </w:rPr>
        <w:t>and</w:t>
      </w:r>
      <w:r w:rsidRPr="00EB5684">
        <w:rPr>
          <w:rFonts w:ascii="Arial" w:hAnsi="Arial" w:cs="Arial"/>
          <w:sz w:val="20"/>
          <w:szCs w:val="20"/>
        </w:rPr>
        <w:t xml:space="preserve"> </w:t>
      </w:r>
      <w:proofErr w:type="spellStart"/>
      <w:r w:rsidRPr="00EB5684">
        <w:rPr>
          <w:rFonts w:ascii="Arial" w:hAnsi="Arial" w:cs="Arial"/>
          <w:sz w:val="20"/>
          <w:szCs w:val="20"/>
        </w:rPr>
        <w:t>Sadwa</w:t>
      </w:r>
      <w:proofErr w:type="spellEnd"/>
      <w:r w:rsidRPr="00EB5684">
        <w:rPr>
          <w:rFonts w:ascii="Arial" w:hAnsi="Arial" w:cs="Arial"/>
          <w:sz w:val="20"/>
          <w:szCs w:val="20"/>
        </w:rPr>
        <w:t xml:space="preserve">, 2020; Hamza et al., 2016). An improvement in sperm count and motility in male mice has also been reported </w:t>
      </w:r>
      <w:r w:rsidR="009D344D" w:rsidRPr="00EB5684">
        <w:rPr>
          <w:rFonts w:ascii="Arial" w:hAnsi="Arial" w:cs="Arial"/>
          <w:sz w:val="20"/>
          <w:szCs w:val="20"/>
        </w:rPr>
        <w:t xml:space="preserve">by </w:t>
      </w:r>
      <w:r w:rsidRPr="00EB5684">
        <w:rPr>
          <w:rFonts w:ascii="Arial" w:hAnsi="Arial" w:cs="Arial"/>
          <w:sz w:val="20"/>
          <w:szCs w:val="20"/>
        </w:rPr>
        <w:t>Al-Yaha</w:t>
      </w:r>
      <w:r w:rsidR="008556C5" w:rsidRPr="00EB5684">
        <w:rPr>
          <w:rFonts w:ascii="Arial" w:hAnsi="Arial" w:cs="Arial"/>
          <w:sz w:val="20"/>
          <w:szCs w:val="20"/>
        </w:rPr>
        <w:t xml:space="preserve"> </w:t>
      </w:r>
      <w:r w:rsidR="009D344D" w:rsidRPr="00EB5684">
        <w:rPr>
          <w:rFonts w:ascii="Arial" w:hAnsi="Arial" w:cs="Arial"/>
          <w:sz w:val="20"/>
          <w:szCs w:val="20"/>
        </w:rPr>
        <w:t>(</w:t>
      </w:r>
      <w:r w:rsidRPr="00EB5684">
        <w:rPr>
          <w:rFonts w:ascii="Arial" w:hAnsi="Arial" w:cs="Arial"/>
          <w:sz w:val="20"/>
          <w:szCs w:val="20"/>
        </w:rPr>
        <w:t>2019).</w:t>
      </w:r>
      <w:r w:rsidRPr="00EB5684">
        <w:rPr>
          <w:rFonts w:ascii="Arial" w:hAnsi="Arial" w:cs="Arial"/>
          <w:sz w:val="20"/>
          <w:szCs w:val="20"/>
          <w:vertAlign w:val="superscript"/>
        </w:rPr>
        <w:t xml:space="preserve"> </w:t>
      </w:r>
    </w:p>
    <w:p w14:paraId="340C9E45" w14:textId="518E21E6" w:rsidR="0045106E" w:rsidRPr="00EB5684" w:rsidRDefault="0045106E" w:rsidP="00220A10">
      <w:pPr>
        <w:spacing w:line="276" w:lineRule="auto"/>
        <w:jc w:val="both"/>
        <w:rPr>
          <w:rFonts w:ascii="Arial" w:hAnsi="Arial" w:cs="Arial"/>
          <w:sz w:val="20"/>
          <w:szCs w:val="20"/>
        </w:rPr>
      </w:pPr>
      <w:r w:rsidRPr="00EB5684">
        <w:rPr>
          <w:rFonts w:ascii="Arial" w:hAnsi="Arial" w:cs="Arial"/>
          <w:sz w:val="20"/>
          <w:szCs w:val="20"/>
        </w:rPr>
        <w:t>In the present investigation, the effects of PC on spermatozoa characteristics and testicular histology, as well as the protective role of fenugreek seed extract against PC-induced mice, were investigated.</w:t>
      </w:r>
    </w:p>
    <w:p w14:paraId="55B0721C" w14:textId="5DCF7BA7" w:rsidR="00220A10" w:rsidRPr="00EB5684" w:rsidRDefault="00220A10" w:rsidP="0045106E">
      <w:pPr>
        <w:spacing w:line="276" w:lineRule="auto"/>
        <w:jc w:val="both"/>
        <w:rPr>
          <w:rFonts w:ascii="Arial" w:hAnsi="Arial" w:cs="Arial"/>
          <w:b/>
          <w:sz w:val="22"/>
          <w:szCs w:val="22"/>
          <w:lang w:val="en-IN"/>
        </w:rPr>
      </w:pPr>
      <w:r w:rsidRPr="00EB5684">
        <w:rPr>
          <w:rFonts w:ascii="Arial" w:hAnsi="Arial" w:cs="Arial"/>
          <w:b/>
          <w:sz w:val="22"/>
          <w:szCs w:val="22"/>
          <w:lang w:val="en-IN"/>
        </w:rPr>
        <w:t xml:space="preserve">2. MATERIALS AND METHODS </w:t>
      </w:r>
    </w:p>
    <w:p w14:paraId="6D167C9A" w14:textId="55352829" w:rsidR="00220A10" w:rsidRPr="00EB5684" w:rsidRDefault="00220A10" w:rsidP="00220A10">
      <w:pPr>
        <w:tabs>
          <w:tab w:val="left" w:pos="3700"/>
        </w:tabs>
        <w:spacing w:line="276" w:lineRule="auto"/>
        <w:jc w:val="both"/>
        <w:rPr>
          <w:rFonts w:ascii="Arial" w:hAnsi="Arial" w:cs="Arial"/>
          <w:b/>
          <w:sz w:val="20"/>
          <w:szCs w:val="20"/>
          <w:lang w:val="en-IN"/>
        </w:rPr>
      </w:pPr>
      <w:r w:rsidRPr="00EB5684">
        <w:rPr>
          <w:rFonts w:ascii="Arial" w:hAnsi="Arial" w:cs="Arial"/>
          <w:b/>
          <w:sz w:val="22"/>
          <w:szCs w:val="22"/>
          <w:lang w:val="en-IN"/>
        </w:rPr>
        <w:t>2.1 Chemicals</w:t>
      </w:r>
      <w:r w:rsidRPr="00EB5684">
        <w:rPr>
          <w:rFonts w:ascii="Arial" w:hAnsi="Arial" w:cs="Arial"/>
          <w:b/>
          <w:sz w:val="20"/>
          <w:szCs w:val="20"/>
          <w:lang w:val="en-IN"/>
        </w:rPr>
        <w:t>:</w:t>
      </w:r>
      <w:r w:rsidRPr="00EB5684">
        <w:rPr>
          <w:rFonts w:ascii="Arial" w:hAnsi="Arial" w:cs="Arial"/>
          <w:sz w:val="20"/>
          <w:szCs w:val="20"/>
          <w:lang w:val="en-IN"/>
        </w:rPr>
        <w:t xml:space="preserve"> The paracetamol (DOLO-500) manufactured by Micro </w:t>
      </w:r>
      <w:r w:rsidR="0045106E" w:rsidRPr="00EB5684">
        <w:rPr>
          <w:rFonts w:ascii="Arial" w:hAnsi="Arial" w:cs="Arial"/>
          <w:sz w:val="20"/>
          <w:szCs w:val="20"/>
          <w:lang w:val="en-IN"/>
        </w:rPr>
        <w:t>Labs</w:t>
      </w:r>
      <w:r w:rsidRPr="00EB5684">
        <w:rPr>
          <w:rFonts w:ascii="Arial" w:hAnsi="Arial" w:cs="Arial"/>
          <w:sz w:val="20"/>
          <w:szCs w:val="20"/>
          <w:lang w:val="en-IN"/>
        </w:rPr>
        <w:t xml:space="preserve"> Ltd. was purchased from </w:t>
      </w:r>
      <w:r w:rsidR="0045106E" w:rsidRPr="00EB5684">
        <w:rPr>
          <w:rFonts w:ascii="Arial" w:hAnsi="Arial" w:cs="Arial"/>
          <w:sz w:val="20"/>
          <w:szCs w:val="20"/>
          <w:lang w:val="en-IN"/>
        </w:rPr>
        <w:t xml:space="preserve">a </w:t>
      </w:r>
      <w:r w:rsidRPr="00EB5684">
        <w:rPr>
          <w:rFonts w:ascii="Arial" w:hAnsi="Arial" w:cs="Arial"/>
          <w:sz w:val="20"/>
          <w:szCs w:val="20"/>
          <w:lang w:val="en-IN"/>
        </w:rPr>
        <w:t xml:space="preserve">local pharmacy in Bhagalpur, Bihar, India, while other chemicals were purchased from Merck, </w:t>
      </w:r>
      <w:proofErr w:type="spellStart"/>
      <w:r w:rsidRPr="00EB5684">
        <w:rPr>
          <w:rFonts w:ascii="Arial" w:hAnsi="Arial" w:cs="Arial"/>
          <w:sz w:val="20"/>
          <w:szCs w:val="20"/>
          <w:lang w:val="en-IN"/>
        </w:rPr>
        <w:t>Himedia</w:t>
      </w:r>
      <w:proofErr w:type="spellEnd"/>
      <w:r w:rsidRPr="00EB5684">
        <w:rPr>
          <w:rFonts w:ascii="Arial" w:hAnsi="Arial" w:cs="Arial"/>
          <w:sz w:val="20"/>
          <w:szCs w:val="20"/>
          <w:lang w:val="en-IN"/>
        </w:rPr>
        <w:t>, and Loba Private Limited.</w:t>
      </w:r>
    </w:p>
    <w:p w14:paraId="12B71762" w14:textId="390065EF" w:rsidR="00220A10" w:rsidRPr="00EB5684" w:rsidRDefault="00220A10" w:rsidP="00220A10">
      <w:pPr>
        <w:tabs>
          <w:tab w:val="left" w:pos="3700"/>
        </w:tabs>
        <w:spacing w:line="276" w:lineRule="auto"/>
        <w:jc w:val="both"/>
        <w:rPr>
          <w:rFonts w:ascii="Arial" w:hAnsi="Arial" w:cs="Arial"/>
          <w:b/>
          <w:bCs/>
          <w:sz w:val="20"/>
          <w:szCs w:val="20"/>
          <w:lang w:val="en-IN"/>
        </w:rPr>
      </w:pPr>
      <w:r w:rsidRPr="00EB5684">
        <w:rPr>
          <w:rFonts w:ascii="Arial" w:hAnsi="Arial" w:cs="Arial"/>
          <w:b/>
          <w:sz w:val="22"/>
          <w:szCs w:val="22"/>
          <w:lang w:val="en-IN"/>
        </w:rPr>
        <w:t>2.2 Fenugreek aqueous extract</w:t>
      </w:r>
      <w:r w:rsidRPr="00EB5684">
        <w:rPr>
          <w:rFonts w:ascii="Arial" w:hAnsi="Arial" w:cs="Arial"/>
          <w:b/>
          <w:bCs/>
          <w:sz w:val="22"/>
          <w:szCs w:val="22"/>
          <w:lang w:val="en-IN"/>
        </w:rPr>
        <w:t>:</w:t>
      </w:r>
      <w:r w:rsidRPr="00EB5684">
        <w:rPr>
          <w:rFonts w:ascii="Arial" w:hAnsi="Arial" w:cs="Arial"/>
          <w:b/>
          <w:bCs/>
          <w:sz w:val="20"/>
          <w:szCs w:val="20"/>
          <w:lang w:val="en-IN"/>
        </w:rPr>
        <w:t xml:space="preserve"> </w:t>
      </w:r>
      <w:r w:rsidRPr="00EB5684">
        <w:rPr>
          <w:rFonts w:ascii="Arial" w:hAnsi="Arial" w:cs="Arial"/>
          <w:sz w:val="20"/>
          <w:szCs w:val="20"/>
          <w:lang w:val="en-IN"/>
        </w:rPr>
        <w:t>50 grams</w:t>
      </w:r>
      <w:r w:rsidRPr="00EB5684">
        <w:rPr>
          <w:rFonts w:ascii="Arial" w:hAnsi="Arial" w:cs="Arial"/>
          <w:b/>
          <w:bCs/>
          <w:sz w:val="20"/>
          <w:szCs w:val="20"/>
          <w:lang w:val="en-IN"/>
        </w:rPr>
        <w:t xml:space="preserve"> </w:t>
      </w:r>
      <w:r w:rsidR="0045106E" w:rsidRPr="00EB5684">
        <w:rPr>
          <w:rFonts w:ascii="Arial" w:hAnsi="Arial" w:cs="Arial"/>
          <w:sz w:val="20"/>
          <w:szCs w:val="20"/>
          <w:lang w:val="en-IN"/>
        </w:rPr>
        <w:t>f</w:t>
      </w:r>
      <w:r w:rsidRPr="00EB5684">
        <w:rPr>
          <w:rFonts w:ascii="Arial" w:hAnsi="Arial" w:cs="Arial"/>
          <w:sz w:val="20"/>
          <w:szCs w:val="20"/>
          <w:lang w:val="en-IN"/>
        </w:rPr>
        <w:t>enugreek seeds were purchased from a local market and were soaked in 100 ml of distilled water and boiled for five minutes. The mixture was then filtered twice to obtain the aqueous extract, which was stored at 4°C until use (Badry et al., 2021).</w:t>
      </w:r>
    </w:p>
    <w:p w14:paraId="1508D2C3" w14:textId="60820A23" w:rsidR="00220A10" w:rsidRPr="00EB5684" w:rsidRDefault="00220A10" w:rsidP="00220A10">
      <w:pPr>
        <w:tabs>
          <w:tab w:val="left" w:pos="3700"/>
        </w:tabs>
        <w:spacing w:line="276" w:lineRule="auto"/>
        <w:jc w:val="both"/>
        <w:rPr>
          <w:rFonts w:ascii="Arial" w:hAnsi="Arial" w:cs="Arial"/>
          <w:b/>
          <w:bCs/>
          <w:sz w:val="20"/>
          <w:szCs w:val="20"/>
          <w:lang w:val="en-IN"/>
        </w:rPr>
      </w:pPr>
      <w:r w:rsidRPr="00EB5684">
        <w:rPr>
          <w:rFonts w:ascii="Arial" w:hAnsi="Arial" w:cs="Arial"/>
          <w:b/>
          <w:sz w:val="22"/>
          <w:szCs w:val="22"/>
          <w:lang w:val="en-IN"/>
        </w:rPr>
        <w:t>2.3 Model animal and treatment protocol</w:t>
      </w:r>
      <w:r w:rsidRPr="00EB5684">
        <w:rPr>
          <w:rFonts w:ascii="Arial" w:hAnsi="Arial" w:cs="Arial"/>
          <w:b/>
          <w:bCs/>
          <w:sz w:val="22"/>
          <w:szCs w:val="22"/>
          <w:lang w:val="en-IN"/>
        </w:rPr>
        <w:t>:</w:t>
      </w:r>
      <w:r w:rsidRPr="00EB5684">
        <w:rPr>
          <w:rFonts w:ascii="Arial" w:hAnsi="Arial" w:cs="Arial"/>
          <w:b/>
          <w:bCs/>
          <w:sz w:val="20"/>
          <w:szCs w:val="20"/>
          <w:lang w:val="en-IN"/>
        </w:rPr>
        <w:t xml:space="preserve"> </w:t>
      </w:r>
      <w:r w:rsidRPr="00EB5684">
        <w:rPr>
          <w:rFonts w:ascii="Arial" w:hAnsi="Arial" w:cs="Arial"/>
          <w:sz w:val="20"/>
          <w:szCs w:val="20"/>
          <w:lang w:val="en-IN"/>
        </w:rPr>
        <w:t>Adult Swiss albino mice (</w:t>
      </w:r>
      <w:r w:rsidRPr="00EB5684">
        <w:rPr>
          <w:rFonts w:ascii="Arial" w:hAnsi="Arial" w:cs="Arial"/>
          <w:i/>
          <w:iCs/>
          <w:sz w:val="20"/>
          <w:szCs w:val="20"/>
          <w:lang w:val="en-IN"/>
        </w:rPr>
        <w:t>Mus musculus</w:t>
      </w:r>
      <w:r w:rsidRPr="00EB5684">
        <w:rPr>
          <w:rFonts w:ascii="Arial" w:hAnsi="Arial" w:cs="Arial"/>
          <w:sz w:val="20"/>
          <w:szCs w:val="20"/>
          <w:lang w:val="en-IN"/>
        </w:rPr>
        <w:t xml:space="preserve">) weighing between 25 to 30 grams were selected for the experiment. The mice were kept in the animal house at the University Department of Zoology, T.M. Bhagalpur University, Bihar. They were housed in colony rooms maintained at a temperature (22 ± 2 °C) and experienced a 12-hour light/dark cycle throughout the experimental period. Food and water were provided ad libitum using a mixed feed that was prepared in the laboratory. An experimental protocol was conducted following the guidelines of the Institutional Animal Ethics Committee and CPCSEA India.  Mice were divided into different groups in which </w:t>
      </w:r>
      <w:r w:rsidRPr="00EB5684">
        <w:rPr>
          <w:rFonts w:ascii="Arial" w:hAnsi="Arial" w:cs="Arial"/>
          <w:bCs/>
          <w:sz w:val="20"/>
          <w:szCs w:val="20"/>
          <w:lang w:val="en-IN"/>
        </w:rPr>
        <w:t xml:space="preserve">Group I received only distilled water (control group), Group II were given PC (112.3 mg/kg) once daily for 28 days. </w:t>
      </w:r>
      <w:r w:rsidR="00AF619E" w:rsidRPr="00EB5684">
        <w:rPr>
          <w:rFonts w:ascii="Arial" w:hAnsi="Arial" w:cs="Arial"/>
          <w:bCs/>
          <w:sz w:val="20"/>
          <w:szCs w:val="20"/>
          <w:lang w:val="en-IN"/>
        </w:rPr>
        <w:t>Group</w:t>
      </w:r>
      <w:r w:rsidRPr="00EB5684">
        <w:rPr>
          <w:rFonts w:ascii="Arial" w:hAnsi="Arial" w:cs="Arial"/>
          <w:bCs/>
          <w:sz w:val="20"/>
          <w:szCs w:val="20"/>
          <w:lang w:val="en-IN"/>
        </w:rPr>
        <w:t xml:space="preserve"> III were given fenugreek extract (100 mg/kg) along with PC (112.3 mg/kg) for 28 days.</w:t>
      </w:r>
    </w:p>
    <w:p w14:paraId="0E8A333F" w14:textId="77777777" w:rsidR="00220A10" w:rsidRPr="00EB5684" w:rsidRDefault="00220A10" w:rsidP="00220A10">
      <w:pPr>
        <w:spacing w:line="276" w:lineRule="auto"/>
        <w:jc w:val="both"/>
        <w:rPr>
          <w:rFonts w:ascii="Arial" w:hAnsi="Arial" w:cs="Arial"/>
          <w:sz w:val="20"/>
          <w:szCs w:val="20"/>
        </w:rPr>
      </w:pPr>
      <w:r w:rsidRPr="00EB5684">
        <w:rPr>
          <w:rFonts w:ascii="Arial" w:hAnsi="Arial" w:cs="Arial"/>
          <w:b/>
          <w:bCs/>
          <w:sz w:val="22"/>
          <w:szCs w:val="22"/>
        </w:rPr>
        <w:t xml:space="preserve">2.4 Estimation of </w:t>
      </w:r>
      <w:proofErr w:type="spellStart"/>
      <w:r w:rsidRPr="00EB5684">
        <w:rPr>
          <w:rFonts w:ascii="Arial" w:hAnsi="Arial" w:cs="Arial"/>
          <w:b/>
          <w:bCs/>
          <w:sz w:val="22"/>
          <w:szCs w:val="22"/>
        </w:rPr>
        <w:t>testiculosomatic</w:t>
      </w:r>
      <w:proofErr w:type="spellEnd"/>
      <w:r w:rsidRPr="00EB5684">
        <w:rPr>
          <w:rFonts w:ascii="Arial" w:hAnsi="Arial" w:cs="Arial"/>
          <w:b/>
          <w:bCs/>
          <w:sz w:val="22"/>
          <w:szCs w:val="22"/>
        </w:rPr>
        <w:t xml:space="preserve"> index (TSI):</w:t>
      </w:r>
      <w:r w:rsidRPr="00EB5684">
        <w:rPr>
          <w:rFonts w:ascii="Arial" w:hAnsi="Arial" w:cs="Arial"/>
          <w:b/>
          <w:bCs/>
          <w:sz w:val="20"/>
          <w:szCs w:val="20"/>
        </w:rPr>
        <w:t xml:space="preserve"> </w:t>
      </w:r>
      <w:r w:rsidRPr="00EB5684">
        <w:rPr>
          <w:rFonts w:ascii="Arial" w:hAnsi="Arial" w:cs="Arial"/>
          <w:sz w:val="20"/>
          <w:szCs w:val="20"/>
        </w:rPr>
        <w:t>TSI was calculated from the weights of each testis recorded immediately after collection using the formula</w:t>
      </w:r>
      <w:r w:rsidRPr="00EB5684">
        <w:rPr>
          <w:rFonts w:ascii="Arial" w:hAnsi="Arial" w:cs="Arial"/>
          <w:sz w:val="20"/>
          <w:szCs w:val="20"/>
          <w:vertAlign w:val="superscript"/>
        </w:rPr>
        <w:t xml:space="preserve"> </w:t>
      </w:r>
      <w:r w:rsidRPr="00EB5684">
        <w:rPr>
          <w:rFonts w:ascii="Arial" w:hAnsi="Arial" w:cs="Arial"/>
          <w:sz w:val="20"/>
          <w:szCs w:val="20"/>
        </w:rPr>
        <w:t xml:space="preserve">(Ademola et al., 2020). </w:t>
      </w:r>
    </w:p>
    <w:p w14:paraId="66DCB866" w14:textId="5B920AEF" w:rsidR="00220A10" w:rsidRPr="00EB5684" w:rsidRDefault="00220A10" w:rsidP="00220A10">
      <w:pPr>
        <w:spacing w:line="276" w:lineRule="auto"/>
        <w:jc w:val="both"/>
        <w:rPr>
          <w:rFonts w:ascii="Arial" w:hAnsi="Arial" w:cs="Arial"/>
          <w:sz w:val="20"/>
          <w:szCs w:val="20"/>
        </w:rPr>
      </w:pPr>
      <w:r w:rsidRPr="00EB5684">
        <w:rPr>
          <w:rFonts w:ascii="Arial" w:hAnsi="Arial" w:cs="Arial"/>
          <w:sz w:val="20"/>
          <w:szCs w:val="20"/>
        </w:rPr>
        <w:t xml:space="preserve">                                      </w:t>
      </w:r>
      <w:r w:rsidR="007D60F4" w:rsidRPr="00EB5684">
        <w:rPr>
          <w:rFonts w:ascii="Arial" w:hAnsi="Arial" w:cs="Arial"/>
          <w:sz w:val="20"/>
          <w:szCs w:val="20"/>
        </w:rPr>
        <w:tab/>
      </w:r>
      <w:r w:rsidR="007D60F4" w:rsidRPr="00EB5684">
        <w:rPr>
          <w:rFonts w:ascii="Arial" w:hAnsi="Arial" w:cs="Arial"/>
          <w:sz w:val="20"/>
          <w:szCs w:val="20"/>
        </w:rPr>
        <w:tab/>
      </w:r>
      <w:r w:rsidRPr="00EB5684">
        <w:rPr>
          <w:rFonts w:ascii="Arial" w:hAnsi="Arial" w:cs="Arial"/>
          <w:sz w:val="20"/>
          <w:szCs w:val="20"/>
        </w:rPr>
        <w:t xml:space="preserve"> TSI = </w:t>
      </w:r>
      <m:oMath>
        <m:f>
          <m:fPr>
            <m:ctrlPr>
              <w:rPr>
                <w:rFonts w:ascii="Cambria Math" w:hAnsi="Cambria Math" w:cs="Arial"/>
                <w:i/>
                <w:sz w:val="20"/>
                <w:szCs w:val="20"/>
              </w:rPr>
            </m:ctrlPr>
          </m:fPr>
          <m:num>
            <m:r>
              <w:rPr>
                <w:rFonts w:ascii="Cambria Math" w:hAnsi="Cambria Math" w:cs="Arial"/>
                <w:sz w:val="20"/>
                <w:szCs w:val="20"/>
              </w:rPr>
              <m:t>Weight of the testes​</m:t>
            </m:r>
          </m:num>
          <m:den>
            <m:r>
              <m:rPr>
                <m:sty m:val="p"/>
              </m:rPr>
              <w:rPr>
                <w:rFonts w:ascii="Cambria Math" w:hAnsi="Cambria Math" w:cs="Arial"/>
                <w:sz w:val="20"/>
                <w:szCs w:val="20"/>
              </w:rPr>
              <m:t>final body weight of the mice</m:t>
            </m:r>
          </m:den>
        </m:f>
        <m:r>
          <m:rPr>
            <m:sty m:val="p"/>
          </m:rPr>
          <w:rPr>
            <w:rFonts w:ascii="Cambria Math" w:hAnsi="Cambria Math" w:cs="Arial"/>
            <w:sz w:val="20"/>
            <w:szCs w:val="20"/>
          </w:rPr>
          <m:t xml:space="preserve"> x 100 </m:t>
        </m:r>
      </m:oMath>
    </w:p>
    <w:p w14:paraId="3C9B09F4" w14:textId="55CD5892" w:rsidR="00220A10" w:rsidRPr="00EB5684" w:rsidRDefault="00220A10" w:rsidP="00220A10">
      <w:pPr>
        <w:jc w:val="both"/>
        <w:rPr>
          <w:rFonts w:ascii="Arial" w:hAnsi="Arial" w:cs="Arial"/>
          <w:sz w:val="20"/>
          <w:szCs w:val="20"/>
        </w:rPr>
      </w:pPr>
      <w:r w:rsidRPr="00EB5684">
        <w:rPr>
          <w:rFonts w:ascii="Arial" w:hAnsi="Arial" w:cs="Arial"/>
          <w:b/>
          <w:bCs/>
          <w:sz w:val="22"/>
          <w:szCs w:val="22"/>
        </w:rPr>
        <w:t>2.5 Sperm Count</w:t>
      </w:r>
      <w:r w:rsidRPr="00EB5684">
        <w:rPr>
          <w:rFonts w:ascii="Arial" w:hAnsi="Arial" w:cs="Arial"/>
          <w:sz w:val="22"/>
          <w:szCs w:val="22"/>
        </w:rPr>
        <w:t>:</w:t>
      </w:r>
      <w:r w:rsidRPr="00EB5684">
        <w:rPr>
          <w:rFonts w:ascii="Arial" w:hAnsi="Arial" w:cs="Arial"/>
          <w:sz w:val="20"/>
          <w:szCs w:val="20"/>
        </w:rPr>
        <w:t xml:space="preserve"> The epididymal fluid was diluted with normal saline by adding 0.9 ml to 0.1 ml of the crushed epididymis. The improved Neubauer’s counting chamber was next c</w:t>
      </w:r>
      <w:r w:rsidR="008F5964" w:rsidRPr="00EB5684">
        <w:rPr>
          <w:rFonts w:ascii="Arial" w:hAnsi="Arial" w:cs="Arial"/>
          <w:sz w:val="20"/>
          <w:szCs w:val="20"/>
        </w:rPr>
        <w:t>overed</w:t>
      </w:r>
      <w:r w:rsidRPr="00EB5684">
        <w:rPr>
          <w:rFonts w:ascii="Arial" w:hAnsi="Arial" w:cs="Arial"/>
          <w:sz w:val="20"/>
          <w:szCs w:val="20"/>
        </w:rPr>
        <w:t xml:space="preserve"> with a cover slip until a rainbow picture was seen at the edges. This chamber was then filled with sperm fluid and placed under a binocular light microscope using an adjustable light source. The ruled part was then focused and the number of spermatozoa counted in five, 16-celled squares. The sperm concentration was then calculated </w:t>
      </w:r>
      <w:r w:rsidRPr="00EB5684">
        <w:rPr>
          <w:rFonts w:ascii="Arial" w:hAnsi="Arial" w:cs="Arial"/>
          <w:sz w:val="20"/>
          <w:szCs w:val="20"/>
        </w:rPr>
        <w:lastRenderedPageBreak/>
        <w:t>and multiplied by 10</w:t>
      </w:r>
      <w:r w:rsidRPr="00EB5684">
        <w:rPr>
          <w:rFonts w:ascii="Arial" w:hAnsi="Arial" w:cs="Arial"/>
          <w:sz w:val="20"/>
          <w:szCs w:val="20"/>
          <w:vertAlign w:val="superscript"/>
        </w:rPr>
        <w:t>4</w:t>
      </w:r>
      <w:r w:rsidRPr="00EB5684">
        <w:rPr>
          <w:rFonts w:ascii="Arial" w:hAnsi="Arial" w:cs="Arial"/>
          <w:sz w:val="20"/>
          <w:szCs w:val="20"/>
        </w:rPr>
        <w:t xml:space="preserve"> and expressed as (X) × 10</w:t>
      </w:r>
      <w:r w:rsidRPr="00EB5684">
        <w:rPr>
          <w:rFonts w:ascii="Arial" w:hAnsi="Arial" w:cs="Arial"/>
          <w:sz w:val="20"/>
          <w:szCs w:val="20"/>
          <w:vertAlign w:val="superscript"/>
        </w:rPr>
        <w:t>4</w:t>
      </w:r>
      <w:r w:rsidRPr="00EB5684">
        <w:rPr>
          <w:rFonts w:ascii="Arial" w:hAnsi="Arial" w:cs="Arial"/>
          <w:sz w:val="20"/>
          <w:szCs w:val="20"/>
        </w:rPr>
        <w:t xml:space="preserve"> /ml, where X is the number of sperm in a 16-celled square</w:t>
      </w:r>
      <w:r w:rsidRPr="00EB5684">
        <w:rPr>
          <w:rFonts w:ascii="Arial" w:hAnsi="Arial" w:cs="Arial"/>
          <w:sz w:val="20"/>
          <w:szCs w:val="20"/>
          <w:vertAlign w:val="superscript"/>
        </w:rPr>
        <w:t xml:space="preserve"> </w:t>
      </w:r>
      <w:r w:rsidRPr="00EB5684">
        <w:rPr>
          <w:rFonts w:ascii="Arial" w:hAnsi="Arial" w:cs="Arial"/>
          <w:sz w:val="20"/>
          <w:szCs w:val="20"/>
        </w:rPr>
        <w:t>(</w:t>
      </w:r>
      <w:proofErr w:type="spellStart"/>
      <w:r w:rsidRPr="00EB5684">
        <w:rPr>
          <w:rFonts w:ascii="Arial" w:hAnsi="Arial" w:cs="Arial"/>
          <w:sz w:val="20"/>
          <w:szCs w:val="20"/>
        </w:rPr>
        <w:t>Akang</w:t>
      </w:r>
      <w:proofErr w:type="spellEnd"/>
      <w:r w:rsidRPr="00EB5684">
        <w:rPr>
          <w:rFonts w:ascii="Arial" w:hAnsi="Arial" w:cs="Arial"/>
          <w:sz w:val="20"/>
          <w:szCs w:val="20"/>
        </w:rPr>
        <w:t xml:space="preserve"> et al., 2010) </w:t>
      </w:r>
    </w:p>
    <w:p w14:paraId="22D9BADF" w14:textId="77777777" w:rsidR="00220A10" w:rsidRPr="00EB5684" w:rsidRDefault="00220A10" w:rsidP="00220A10">
      <w:pPr>
        <w:spacing w:line="276" w:lineRule="auto"/>
        <w:jc w:val="both"/>
        <w:rPr>
          <w:rFonts w:ascii="Arial" w:hAnsi="Arial" w:cs="Arial"/>
          <w:sz w:val="20"/>
          <w:szCs w:val="20"/>
        </w:rPr>
      </w:pPr>
      <w:r w:rsidRPr="00EB5684">
        <w:rPr>
          <w:rFonts w:ascii="Arial" w:eastAsiaTheme="minorEastAsia" w:hAnsi="Arial" w:cs="Arial"/>
          <w:b/>
          <w:bCs/>
          <w:sz w:val="20"/>
          <w:szCs w:val="20"/>
        </w:rPr>
        <w:t xml:space="preserve">                                      </w:t>
      </w:r>
      <w:r w:rsidRPr="00EB5684">
        <w:rPr>
          <w:rFonts w:ascii="Arial" w:eastAsiaTheme="minorEastAsia" w:hAnsi="Arial" w:cs="Arial"/>
          <w:sz w:val="20"/>
          <w:szCs w:val="20"/>
        </w:rPr>
        <w:t>Sperm Count = Total no of sperm counted x 10</w:t>
      </w:r>
      <w:r w:rsidRPr="00EB5684">
        <w:rPr>
          <w:rFonts w:ascii="Arial" w:eastAsiaTheme="minorEastAsia" w:hAnsi="Arial" w:cs="Arial"/>
          <w:sz w:val="20"/>
          <w:szCs w:val="20"/>
          <w:vertAlign w:val="superscript"/>
        </w:rPr>
        <w:t>4</w:t>
      </w:r>
    </w:p>
    <w:p w14:paraId="15E2BFB3" w14:textId="0ED4644C" w:rsidR="00220A10" w:rsidRPr="00EB5684" w:rsidRDefault="00220A10" w:rsidP="00220A10">
      <w:pPr>
        <w:spacing w:line="276" w:lineRule="auto"/>
        <w:jc w:val="both"/>
        <w:rPr>
          <w:rFonts w:ascii="Arial" w:hAnsi="Arial" w:cs="Arial"/>
          <w:sz w:val="20"/>
          <w:szCs w:val="20"/>
        </w:rPr>
      </w:pPr>
      <w:r w:rsidRPr="00EB5684">
        <w:rPr>
          <w:rFonts w:ascii="Arial" w:hAnsi="Arial" w:cs="Arial"/>
          <w:b/>
          <w:bCs/>
          <w:sz w:val="22"/>
          <w:szCs w:val="22"/>
        </w:rPr>
        <w:t>2.6 Sperm abnormalities:</w:t>
      </w:r>
      <w:r w:rsidRPr="00EB5684">
        <w:rPr>
          <w:rFonts w:ascii="Arial" w:hAnsi="Arial" w:cs="Arial"/>
          <w:b/>
          <w:bCs/>
          <w:sz w:val="20"/>
          <w:szCs w:val="20"/>
        </w:rPr>
        <w:t xml:space="preserve"> </w:t>
      </w:r>
      <w:r w:rsidRPr="00EB5684">
        <w:rPr>
          <w:rFonts w:ascii="Arial" w:hAnsi="Arial" w:cs="Arial"/>
          <w:sz w:val="20"/>
          <w:szCs w:val="20"/>
        </w:rPr>
        <w:t xml:space="preserve">Following the method of Wyrobek et al. (1983) the sperm film from epididymis was prepared with slight modification. The epididymis was put in a small petri-dish containing 90% of normal saline. Then the sperm were extracted, smeared and stained using 1% Eosin for 10 min. </w:t>
      </w:r>
      <w:r w:rsidR="008F5964" w:rsidRPr="00EB5684">
        <w:rPr>
          <w:rFonts w:ascii="Arial" w:hAnsi="Arial" w:cs="Arial"/>
          <w:sz w:val="20"/>
          <w:szCs w:val="20"/>
        </w:rPr>
        <w:t>Sperm were</w:t>
      </w:r>
      <w:r w:rsidRPr="00EB5684">
        <w:rPr>
          <w:rFonts w:ascii="Arial" w:hAnsi="Arial" w:cs="Arial"/>
          <w:sz w:val="20"/>
          <w:szCs w:val="20"/>
        </w:rPr>
        <w:t xml:space="preserve"> counted and the data were analyzed by completely randomized design (CRD). Then, sperm were examined with microscope to determine the abnormalities. </w:t>
      </w:r>
    </w:p>
    <w:p w14:paraId="36E102D4" w14:textId="77777777" w:rsidR="00220A10" w:rsidRPr="00EB5684" w:rsidRDefault="00220A10" w:rsidP="00220A10">
      <w:pPr>
        <w:spacing w:line="276" w:lineRule="auto"/>
        <w:jc w:val="both"/>
        <w:rPr>
          <w:rFonts w:ascii="Arial" w:eastAsiaTheme="minorEastAsia" w:hAnsi="Arial" w:cs="Arial"/>
          <w:sz w:val="20"/>
          <w:szCs w:val="20"/>
        </w:rPr>
      </w:pPr>
      <w:r w:rsidRPr="00EB5684">
        <w:rPr>
          <w:rFonts w:ascii="Arial" w:hAnsi="Arial" w:cs="Arial"/>
          <w:sz w:val="20"/>
          <w:szCs w:val="20"/>
        </w:rPr>
        <w:t xml:space="preserve">                 Total Sperm Abnormality (%) = </w:t>
      </w:r>
      <m:oMath>
        <m:r>
          <w:rPr>
            <w:rFonts w:ascii="Cambria Math" w:hAnsi="Cambria Math" w:cs="Arial"/>
            <w:sz w:val="20"/>
            <w:szCs w:val="20"/>
          </w:rPr>
          <m:t xml:space="preserve"> </m:t>
        </m:r>
        <m:f>
          <m:fPr>
            <m:ctrlPr>
              <w:rPr>
                <w:rFonts w:ascii="Cambria Math" w:eastAsiaTheme="minorEastAsia" w:hAnsi="Cambria Math" w:cs="Arial"/>
                <w:sz w:val="20"/>
                <w:szCs w:val="20"/>
              </w:rPr>
            </m:ctrlPr>
          </m:fPr>
          <m:num>
            <m:r>
              <m:rPr>
                <m:sty m:val="p"/>
              </m:rPr>
              <w:rPr>
                <w:rFonts w:ascii="Cambria Math" w:eastAsiaTheme="minorEastAsia" w:hAnsi="Cambria Math" w:cs="Arial"/>
                <w:sz w:val="20"/>
                <w:szCs w:val="20"/>
              </w:rPr>
              <m:t xml:space="preserve">   Abnormal Sperm counted      </m:t>
            </m:r>
          </m:num>
          <m:den>
            <m:r>
              <m:rPr>
                <m:sty m:val="p"/>
              </m:rPr>
              <w:rPr>
                <w:rFonts w:ascii="Cambria Math" w:eastAsiaTheme="minorEastAsia" w:hAnsi="Cambria Math" w:cs="Arial"/>
                <w:sz w:val="20"/>
                <w:szCs w:val="20"/>
              </w:rPr>
              <m:t>Total no of Sperm counted</m:t>
            </m:r>
          </m:den>
        </m:f>
      </m:oMath>
      <w:r w:rsidRPr="00EB5684">
        <w:rPr>
          <w:rFonts w:ascii="Arial" w:eastAsiaTheme="minorEastAsia" w:hAnsi="Arial" w:cs="Arial"/>
          <w:iCs/>
          <w:sz w:val="20"/>
          <w:szCs w:val="20"/>
        </w:rPr>
        <w:t xml:space="preserve"> x</w:t>
      </w:r>
      <w:r w:rsidRPr="00EB5684">
        <w:rPr>
          <w:rFonts w:ascii="Arial" w:eastAsiaTheme="minorEastAsia" w:hAnsi="Arial" w:cs="Arial"/>
          <w:sz w:val="20"/>
          <w:szCs w:val="20"/>
        </w:rPr>
        <w:t xml:space="preserve"> 100</w:t>
      </w:r>
    </w:p>
    <w:p w14:paraId="71365FD2" w14:textId="77777777" w:rsidR="00220A10" w:rsidRPr="00EB5684" w:rsidRDefault="00220A10" w:rsidP="00220A10">
      <w:pPr>
        <w:spacing w:line="276" w:lineRule="auto"/>
        <w:jc w:val="both"/>
        <w:rPr>
          <w:rFonts w:ascii="Arial" w:hAnsi="Arial" w:cs="Arial"/>
          <w:sz w:val="20"/>
          <w:szCs w:val="20"/>
        </w:rPr>
      </w:pPr>
      <w:r w:rsidRPr="00EB5684">
        <w:rPr>
          <w:rFonts w:ascii="Arial" w:hAnsi="Arial" w:cs="Arial"/>
          <w:b/>
          <w:bCs/>
          <w:sz w:val="22"/>
          <w:szCs w:val="22"/>
        </w:rPr>
        <w:t>2.7 Histological Examination:</w:t>
      </w:r>
      <w:r w:rsidRPr="00EB5684">
        <w:rPr>
          <w:rFonts w:ascii="Arial" w:hAnsi="Arial" w:cs="Arial"/>
          <w:sz w:val="20"/>
          <w:szCs w:val="20"/>
        </w:rPr>
        <w:t xml:space="preserve"> For histological examination the testes were fixed in 10% of buffered formalin solution. The tissues were processed (dehydration, cleaning and infiltration). Then, they were embedded in paraffin wax and sectioned with a microtome to produce 5-μm paraffin wax tissue sections. After that, the sections were stained with </w:t>
      </w:r>
      <w:proofErr w:type="spellStart"/>
      <w:r w:rsidRPr="00EB5684">
        <w:rPr>
          <w:rFonts w:ascii="Arial" w:hAnsi="Arial" w:cs="Arial"/>
          <w:sz w:val="20"/>
          <w:szCs w:val="20"/>
        </w:rPr>
        <w:t>Haematoxylin</w:t>
      </w:r>
      <w:proofErr w:type="spellEnd"/>
      <w:r w:rsidRPr="00EB5684">
        <w:rPr>
          <w:rFonts w:ascii="Arial" w:hAnsi="Arial" w:cs="Arial"/>
          <w:sz w:val="20"/>
          <w:szCs w:val="20"/>
        </w:rPr>
        <w:t xml:space="preserve"> and Eosin and by mounting with DPX for further study.</w:t>
      </w:r>
    </w:p>
    <w:p w14:paraId="4E06EF34" w14:textId="77777777" w:rsidR="00220A10" w:rsidRPr="00EB5684" w:rsidRDefault="00220A10" w:rsidP="00220A10">
      <w:pPr>
        <w:spacing w:line="276" w:lineRule="auto"/>
        <w:jc w:val="both"/>
        <w:rPr>
          <w:rFonts w:ascii="Arial" w:hAnsi="Arial" w:cs="Arial"/>
          <w:b/>
          <w:bCs/>
          <w:sz w:val="22"/>
          <w:szCs w:val="22"/>
        </w:rPr>
      </w:pPr>
      <w:r w:rsidRPr="00EB5684">
        <w:rPr>
          <w:rFonts w:ascii="Arial" w:hAnsi="Arial" w:cs="Arial"/>
          <w:b/>
          <w:bCs/>
          <w:sz w:val="22"/>
          <w:szCs w:val="22"/>
        </w:rPr>
        <w:t xml:space="preserve">3. RESULTS AND DISCUSSION </w:t>
      </w:r>
    </w:p>
    <w:p w14:paraId="53079DD9" w14:textId="62E5A6B5" w:rsidR="00220A10" w:rsidRPr="00EB5684" w:rsidRDefault="00220A10" w:rsidP="00220A10">
      <w:pPr>
        <w:spacing w:line="276" w:lineRule="auto"/>
        <w:jc w:val="both"/>
        <w:rPr>
          <w:rFonts w:ascii="Arial" w:hAnsi="Arial" w:cs="Arial"/>
          <w:b/>
          <w:bCs/>
          <w:sz w:val="22"/>
          <w:szCs w:val="22"/>
          <w:lang w:val="en-IN"/>
        </w:rPr>
      </w:pPr>
      <w:r w:rsidRPr="00EB5684">
        <w:rPr>
          <w:rFonts w:ascii="Arial" w:hAnsi="Arial" w:cs="Arial"/>
          <w:b/>
          <w:bCs/>
          <w:sz w:val="22"/>
          <w:szCs w:val="22"/>
          <w:lang w:val="en-IN"/>
        </w:rPr>
        <w:t>3.</w:t>
      </w:r>
      <w:r w:rsidR="00BA5336" w:rsidRPr="00EB5684">
        <w:rPr>
          <w:rFonts w:ascii="Arial" w:hAnsi="Arial" w:cs="Arial"/>
          <w:b/>
          <w:bCs/>
          <w:sz w:val="22"/>
          <w:szCs w:val="22"/>
          <w:lang w:val="en-IN"/>
        </w:rPr>
        <w:t xml:space="preserve">1 </w:t>
      </w:r>
      <w:r w:rsidRPr="00EB5684">
        <w:rPr>
          <w:rFonts w:ascii="Arial" w:hAnsi="Arial" w:cs="Arial"/>
          <w:b/>
          <w:bCs/>
          <w:sz w:val="22"/>
          <w:szCs w:val="22"/>
          <w:lang w:val="en-IN"/>
        </w:rPr>
        <w:t xml:space="preserve">Testis weight: </w:t>
      </w:r>
    </w:p>
    <w:p w14:paraId="60B4F178" w14:textId="706A2CDF" w:rsidR="00BD6B7A" w:rsidRPr="00EB5684" w:rsidRDefault="00220A10" w:rsidP="00220A10">
      <w:pPr>
        <w:spacing w:line="276" w:lineRule="auto"/>
        <w:jc w:val="both"/>
        <w:rPr>
          <w:rFonts w:ascii="Arial" w:hAnsi="Arial" w:cs="Arial"/>
          <w:sz w:val="20"/>
          <w:szCs w:val="20"/>
        </w:rPr>
      </w:pPr>
      <w:r w:rsidRPr="00EB5684">
        <w:rPr>
          <w:rFonts w:ascii="Arial" w:hAnsi="Arial" w:cs="Arial"/>
          <w:sz w:val="20"/>
          <w:szCs w:val="20"/>
        </w:rPr>
        <w:tab/>
        <w:t>Testis weight is an important morphological parameter reflecting the status of spermatogenic activity and structural integrity of testicular tissue. The testis weight (0.102 ± 0.004 g) of PC-induced male mice was reduced</w:t>
      </w:r>
      <w:r w:rsidR="00BA5336" w:rsidRPr="00EB5684">
        <w:rPr>
          <w:rFonts w:ascii="Arial" w:hAnsi="Arial" w:cs="Arial"/>
          <w:sz w:val="20"/>
          <w:szCs w:val="20"/>
        </w:rPr>
        <w:t xml:space="preserve"> (3.77%)</w:t>
      </w:r>
      <w:r w:rsidRPr="00EB5684">
        <w:rPr>
          <w:rFonts w:ascii="Arial" w:hAnsi="Arial" w:cs="Arial"/>
          <w:sz w:val="20"/>
          <w:szCs w:val="20"/>
        </w:rPr>
        <w:t xml:space="preserve"> as compare to the control group (Table 1), which is statistically insignificant (</w:t>
      </w:r>
      <w:r w:rsidRPr="00EB5684">
        <w:rPr>
          <w:rFonts w:ascii="Arial" w:hAnsi="Arial" w:cs="Arial"/>
          <w:i/>
          <w:iCs/>
          <w:sz w:val="20"/>
          <w:szCs w:val="20"/>
        </w:rPr>
        <w:t xml:space="preserve">F = 0.428, </w:t>
      </w:r>
      <w:r w:rsidR="003C2B27" w:rsidRPr="00EB5684">
        <w:rPr>
          <w:rFonts w:ascii="Arial" w:hAnsi="Arial" w:cs="Arial"/>
          <w:i/>
          <w:iCs/>
          <w:sz w:val="20"/>
          <w:szCs w:val="20"/>
        </w:rPr>
        <w:t xml:space="preserve">P </w:t>
      </w:r>
      <w:r w:rsidR="0020416B" w:rsidRPr="00EB5684">
        <w:rPr>
          <w:rFonts w:ascii="Arial" w:hAnsi="Arial" w:cs="Arial"/>
          <w:i/>
          <w:iCs/>
          <w:sz w:val="20"/>
          <w:szCs w:val="20"/>
        </w:rPr>
        <w:t xml:space="preserve">= </w:t>
      </w:r>
      <w:r w:rsidRPr="00EB5684">
        <w:rPr>
          <w:rFonts w:ascii="Arial" w:hAnsi="Arial" w:cs="Arial"/>
          <w:i/>
          <w:iCs/>
          <w:sz w:val="20"/>
          <w:szCs w:val="20"/>
        </w:rPr>
        <w:t>.05</w:t>
      </w:r>
      <w:r w:rsidRPr="00EB5684">
        <w:rPr>
          <w:rFonts w:ascii="Arial" w:hAnsi="Arial" w:cs="Arial"/>
          <w:sz w:val="20"/>
          <w:szCs w:val="20"/>
        </w:rPr>
        <w:t>). Similarly, insignificant differences between the control group and PC-treated groups were observed up to a dose of 1000 mg/kg in Wistar rats</w:t>
      </w:r>
      <w:r w:rsidRPr="00EB5684">
        <w:rPr>
          <w:rFonts w:ascii="Arial" w:hAnsi="Arial" w:cs="Arial"/>
          <w:sz w:val="20"/>
          <w:szCs w:val="20"/>
          <w:vertAlign w:val="superscript"/>
        </w:rPr>
        <w:t xml:space="preserve"> </w:t>
      </w:r>
      <w:r w:rsidRPr="00EB5684">
        <w:rPr>
          <w:rFonts w:ascii="Arial" w:hAnsi="Arial" w:cs="Arial"/>
          <w:sz w:val="20"/>
          <w:szCs w:val="20"/>
        </w:rPr>
        <w:t>(</w:t>
      </w:r>
      <w:proofErr w:type="spellStart"/>
      <w:r w:rsidRPr="00EB5684">
        <w:rPr>
          <w:rFonts w:ascii="Arial" w:hAnsi="Arial" w:cs="Arial"/>
          <w:sz w:val="20"/>
          <w:szCs w:val="20"/>
        </w:rPr>
        <w:t>Axelstad</w:t>
      </w:r>
      <w:proofErr w:type="spellEnd"/>
      <w:r w:rsidRPr="00EB5684">
        <w:rPr>
          <w:rFonts w:ascii="Arial" w:hAnsi="Arial" w:cs="Arial"/>
          <w:sz w:val="20"/>
          <w:szCs w:val="20"/>
        </w:rPr>
        <w:t xml:space="preserve"> et al., 2011)</w:t>
      </w:r>
      <w:r w:rsidR="00B9751F" w:rsidRPr="00EB5684">
        <w:rPr>
          <w:rFonts w:ascii="Arial" w:hAnsi="Arial" w:cs="Arial"/>
          <w:sz w:val="20"/>
          <w:szCs w:val="20"/>
        </w:rPr>
        <w:t>. I</w:t>
      </w:r>
      <w:r w:rsidR="00BA5336" w:rsidRPr="00EB5684">
        <w:rPr>
          <w:rFonts w:ascii="Arial" w:hAnsi="Arial" w:cs="Arial"/>
          <w:sz w:val="20"/>
          <w:szCs w:val="20"/>
        </w:rPr>
        <w:t>n the fenugreek-treated recovery group, the testis weight was 0.105 ± 0.002 g, representing only a 0.94% decrease compared with the control group (0.106 ± 0.004 g</w:t>
      </w:r>
      <w:r w:rsidR="00BA5336" w:rsidRPr="00694D1A">
        <w:rPr>
          <w:rFonts w:ascii="Arial" w:hAnsi="Arial" w:cs="Arial"/>
          <w:sz w:val="20"/>
          <w:szCs w:val="20"/>
        </w:rPr>
        <w:t>)</w:t>
      </w:r>
      <w:r w:rsidR="00513D68" w:rsidRPr="00694D1A">
        <w:rPr>
          <w:rFonts w:ascii="Arial" w:hAnsi="Arial" w:cs="Arial"/>
          <w:sz w:val="20"/>
          <w:szCs w:val="20"/>
        </w:rPr>
        <w:t>; however, it was a</w:t>
      </w:r>
      <w:r w:rsidR="00BA5336" w:rsidRPr="00694D1A">
        <w:rPr>
          <w:rFonts w:ascii="Arial" w:hAnsi="Arial" w:cs="Arial"/>
          <w:sz w:val="20"/>
          <w:szCs w:val="20"/>
        </w:rPr>
        <w:t xml:space="preserve"> 2.94% increase compared with the PC-treated group (Figure 1)</w:t>
      </w:r>
      <w:r w:rsidR="00727FEF" w:rsidRPr="00694D1A">
        <w:rPr>
          <w:rFonts w:ascii="Arial" w:hAnsi="Arial" w:cs="Arial"/>
          <w:sz w:val="20"/>
          <w:szCs w:val="20"/>
        </w:rPr>
        <w:t xml:space="preserve">, which is also insignificant </w:t>
      </w:r>
      <w:r w:rsidR="00727FEF" w:rsidRPr="00694D1A">
        <w:rPr>
          <w:rFonts w:ascii="Arial" w:hAnsi="Arial" w:cs="Arial"/>
          <w:i/>
          <w:iCs/>
          <w:sz w:val="20"/>
          <w:szCs w:val="20"/>
        </w:rPr>
        <w:t>(F = 0.428, P = 0.05).</w:t>
      </w:r>
      <w:r w:rsidR="00727FEF" w:rsidRPr="00EB5684">
        <w:rPr>
          <w:rFonts w:ascii="Arial" w:hAnsi="Arial" w:cs="Arial"/>
          <w:sz w:val="20"/>
          <w:szCs w:val="20"/>
        </w:rPr>
        <w:t xml:space="preserve"> </w:t>
      </w:r>
      <w:r w:rsidRPr="00EB5684">
        <w:rPr>
          <w:rFonts w:ascii="Arial" w:hAnsi="Arial" w:cs="Arial"/>
          <w:sz w:val="20"/>
          <w:szCs w:val="20"/>
        </w:rPr>
        <w:t xml:space="preserve">This percentage recovery suggests that fenugreek helps in preserving testicular mass and counteracts PC-induced damage. Fenugreek is rich in antioxidant compounds that </w:t>
      </w:r>
      <w:r w:rsidR="00CE4A69" w:rsidRPr="00EB5684">
        <w:rPr>
          <w:rFonts w:ascii="Arial" w:hAnsi="Arial" w:cs="Arial"/>
          <w:sz w:val="20"/>
          <w:szCs w:val="20"/>
        </w:rPr>
        <w:t>reduce</w:t>
      </w:r>
      <w:r w:rsidRPr="00EB5684">
        <w:rPr>
          <w:rFonts w:ascii="Arial" w:hAnsi="Arial" w:cs="Arial"/>
          <w:sz w:val="20"/>
          <w:szCs w:val="20"/>
        </w:rPr>
        <w:t xml:space="preserve"> oxidative stress and support tissue repair in reproductive organs.  Similarly, </w:t>
      </w:r>
      <w:proofErr w:type="spellStart"/>
      <w:r w:rsidR="00BD6B7A" w:rsidRPr="00EB5684">
        <w:rPr>
          <w:rFonts w:ascii="Arial" w:hAnsi="Arial" w:cs="Arial"/>
          <w:sz w:val="20"/>
          <w:szCs w:val="20"/>
        </w:rPr>
        <w:t>Alsuliam</w:t>
      </w:r>
      <w:proofErr w:type="spellEnd"/>
      <w:r w:rsidR="00BD6B7A" w:rsidRPr="00EB5684">
        <w:rPr>
          <w:rFonts w:ascii="Arial" w:hAnsi="Arial" w:cs="Arial"/>
          <w:sz w:val="20"/>
          <w:szCs w:val="20"/>
        </w:rPr>
        <w:t xml:space="preserve"> et al</w:t>
      </w:r>
      <w:r w:rsidR="00AE69D8" w:rsidRPr="00EB5684">
        <w:rPr>
          <w:rFonts w:ascii="Arial" w:hAnsi="Arial" w:cs="Arial"/>
          <w:sz w:val="20"/>
          <w:szCs w:val="20"/>
        </w:rPr>
        <w:t>.</w:t>
      </w:r>
      <w:r w:rsidR="00BD6B7A" w:rsidRPr="00EB5684">
        <w:rPr>
          <w:rFonts w:ascii="Arial" w:hAnsi="Arial" w:cs="Arial"/>
          <w:sz w:val="20"/>
          <w:szCs w:val="20"/>
        </w:rPr>
        <w:t xml:space="preserve"> (2022) reported </w:t>
      </w:r>
      <w:r w:rsidRPr="00EB5684">
        <w:rPr>
          <w:rFonts w:ascii="Arial" w:hAnsi="Arial" w:cs="Arial"/>
          <w:sz w:val="20"/>
          <w:szCs w:val="20"/>
        </w:rPr>
        <w:t>the ameliorative effect of fenugreek seeds in preventing pancreatic and testicular lesions induced by gentamicin</w:t>
      </w:r>
      <w:r w:rsidR="00BD6B7A" w:rsidRPr="00EB5684">
        <w:rPr>
          <w:rFonts w:ascii="Arial" w:hAnsi="Arial" w:cs="Arial"/>
          <w:sz w:val="20"/>
          <w:szCs w:val="20"/>
        </w:rPr>
        <w:t>.</w:t>
      </w:r>
      <w:r w:rsidRPr="00EB5684">
        <w:rPr>
          <w:rFonts w:ascii="Arial" w:hAnsi="Arial" w:cs="Arial"/>
          <w:sz w:val="20"/>
          <w:szCs w:val="20"/>
        </w:rPr>
        <w:t xml:space="preserve"> </w:t>
      </w:r>
    </w:p>
    <w:p w14:paraId="29D21F26" w14:textId="3BDE782C" w:rsidR="00220A10" w:rsidRPr="00EB5684" w:rsidRDefault="00220A10" w:rsidP="00220A10">
      <w:pPr>
        <w:spacing w:line="276" w:lineRule="auto"/>
        <w:jc w:val="both"/>
        <w:rPr>
          <w:rFonts w:ascii="Arial" w:hAnsi="Arial" w:cs="Arial"/>
          <w:sz w:val="22"/>
          <w:szCs w:val="22"/>
        </w:rPr>
      </w:pPr>
      <w:r w:rsidRPr="00EB5684">
        <w:rPr>
          <w:rFonts w:ascii="Arial" w:hAnsi="Arial" w:cs="Arial"/>
          <w:b/>
          <w:bCs/>
          <w:sz w:val="22"/>
          <w:szCs w:val="22"/>
        </w:rPr>
        <w:t>3.</w:t>
      </w:r>
      <w:r w:rsidR="0035366D" w:rsidRPr="00EB5684">
        <w:rPr>
          <w:rFonts w:ascii="Arial" w:hAnsi="Arial" w:cs="Arial"/>
          <w:b/>
          <w:bCs/>
          <w:sz w:val="22"/>
          <w:szCs w:val="22"/>
        </w:rPr>
        <w:t xml:space="preserve">2 </w:t>
      </w:r>
      <w:proofErr w:type="spellStart"/>
      <w:r w:rsidRPr="00EB5684">
        <w:rPr>
          <w:rFonts w:ascii="Arial" w:hAnsi="Arial" w:cs="Arial"/>
          <w:b/>
          <w:bCs/>
          <w:sz w:val="22"/>
          <w:szCs w:val="22"/>
        </w:rPr>
        <w:t>Testiculosomatic</w:t>
      </w:r>
      <w:proofErr w:type="spellEnd"/>
      <w:r w:rsidRPr="00EB5684">
        <w:rPr>
          <w:rFonts w:ascii="Arial" w:hAnsi="Arial" w:cs="Arial"/>
          <w:b/>
          <w:bCs/>
          <w:sz w:val="22"/>
          <w:szCs w:val="22"/>
        </w:rPr>
        <w:t xml:space="preserve"> Index (TSI):</w:t>
      </w:r>
      <w:r w:rsidRPr="00EB5684">
        <w:rPr>
          <w:rFonts w:ascii="Arial" w:hAnsi="Arial" w:cs="Arial"/>
          <w:sz w:val="22"/>
          <w:szCs w:val="22"/>
        </w:rPr>
        <w:t xml:space="preserve"> </w:t>
      </w:r>
    </w:p>
    <w:p w14:paraId="7D01C187" w14:textId="03191CD0" w:rsidR="00220A10" w:rsidRDefault="00220A10" w:rsidP="00220A10">
      <w:pPr>
        <w:spacing w:line="276" w:lineRule="auto"/>
        <w:jc w:val="both"/>
        <w:rPr>
          <w:rFonts w:ascii="Arial" w:hAnsi="Arial" w:cs="Arial"/>
          <w:sz w:val="20"/>
          <w:szCs w:val="20"/>
        </w:rPr>
      </w:pPr>
      <w:r w:rsidRPr="00EB5684">
        <w:rPr>
          <w:rFonts w:ascii="Arial" w:hAnsi="Arial" w:cs="Arial"/>
          <w:sz w:val="20"/>
          <w:szCs w:val="20"/>
        </w:rPr>
        <w:tab/>
        <w:t>TSI is a widely used parameter for evaluating the relative weight of the testes in relation to body weight and serves as an indicator of reproductive organ development and functional status. The TSI values showed minor variations among the experimental groups (Table 1), representing an approximate 9.6% increase (Figure 1), compare to control group. In the present study, PC treatment produced a mild increase in TSI, however, this change is statistically insignificant (</w:t>
      </w:r>
      <w:r w:rsidRPr="00EB5684">
        <w:rPr>
          <w:rFonts w:ascii="Arial" w:hAnsi="Arial" w:cs="Arial"/>
          <w:i/>
          <w:iCs/>
          <w:sz w:val="20"/>
          <w:szCs w:val="20"/>
        </w:rPr>
        <w:t>F=1.79, P</w:t>
      </w:r>
      <w:r w:rsidR="004B7984" w:rsidRPr="00EB5684">
        <w:rPr>
          <w:rFonts w:ascii="Arial" w:hAnsi="Arial" w:cs="Arial"/>
          <w:i/>
          <w:iCs/>
          <w:sz w:val="20"/>
          <w:szCs w:val="20"/>
        </w:rPr>
        <w:t xml:space="preserve"> </w:t>
      </w:r>
      <w:r w:rsidR="0020416B" w:rsidRPr="00EB5684">
        <w:rPr>
          <w:rFonts w:ascii="Arial" w:hAnsi="Arial" w:cs="Arial"/>
          <w:i/>
          <w:iCs/>
          <w:sz w:val="20"/>
          <w:szCs w:val="20"/>
        </w:rPr>
        <w:t xml:space="preserve">= </w:t>
      </w:r>
      <w:r w:rsidRPr="00EB5684">
        <w:rPr>
          <w:rFonts w:ascii="Arial" w:hAnsi="Arial" w:cs="Arial"/>
          <w:i/>
          <w:iCs/>
          <w:sz w:val="20"/>
          <w:szCs w:val="20"/>
        </w:rPr>
        <w:t>.05</w:t>
      </w:r>
      <w:r w:rsidRPr="00EB5684">
        <w:rPr>
          <w:rFonts w:ascii="Arial" w:hAnsi="Arial" w:cs="Arial"/>
          <w:sz w:val="20"/>
          <w:szCs w:val="20"/>
        </w:rPr>
        <w:t>). This indicates that the treatment did not markedly alter testicular weight relative to body weight. Similar findings have been reported in earlier studies where exposure to moderate doses of drugs or phytochemicals failed to induce measurable changes in testicular mass despite subtle histological or biochemical alterations</w:t>
      </w:r>
      <w:r w:rsidRPr="00EB5684">
        <w:rPr>
          <w:rFonts w:ascii="Arial" w:hAnsi="Arial" w:cs="Arial"/>
          <w:sz w:val="20"/>
          <w:szCs w:val="20"/>
          <w:vertAlign w:val="superscript"/>
        </w:rPr>
        <w:t xml:space="preserve"> </w:t>
      </w:r>
      <w:r w:rsidRPr="00EB5684">
        <w:rPr>
          <w:rFonts w:ascii="Arial" w:hAnsi="Arial" w:cs="Arial"/>
          <w:sz w:val="20"/>
          <w:szCs w:val="20"/>
        </w:rPr>
        <w:t xml:space="preserve">(Creasy, 2001; Amann, 1981). In PC </w:t>
      </w:r>
      <w:r w:rsidR="0035366D" w:rsidRPr="00EB5684">
        <w:rPr>
          <w:rFonts w:ascii="Arial" w:hAnsi="Arial" w:cs="Arial"/>
          <w:sz w:val="20"/>
          <w:szCs w:val="20"/>
        </w:rPr>
        <w:t xml:space="preserve">with </w:t>
      </w:r>
      <w:r w:rsidRPr="00EB5684">
        <w:rPr>
          <w:rFonts w:ascii="Arial" w:hAnsi="Arial" w:cs="Arial"/>
          <w:sz w:val="20"/>
          <w:szCs w:val="20"/>
        </w:rPr>
        <w:t xml:space="preserve">fenugreek-treated group, the TSI value further increased to 0.370 ± 0.009, showing a 10.78% increase compared to the control group, which is </w:t>
      </w:r>
      <w:r w:rsidR="0035366D" w:rsidRPr="00EB5684">
        <w:rPr>
          <w:rFonts w:ascii="Arial" w:hAnsi="Arial" w:cs="Arial"/>
          <w:sz w:val="20"/>
          <w:szCs w:val="20"/>
        </w:rPr>
        <w:t xml:space="preserve">also </w:t>
      </w:r>
      <w:r w:rsidRPr="00EB5684">
        <w:rPr>
          <w:rFonts w:ascii="Arial" w:hAnsi="Arial" w:cs="Arial"/>
          <w:sz w:val="20"/>
          <w:szCs w:val="20"/>
        </w:rPr>
        <w:t>statistically insignificant (</w:t>
      </w:r>
      <w:r w:rsidRPr="00EB5684">
        <w:rPr>
          <w:rFonts w:ascii="Arial" w:hAnsi="Arial" w:cs="Arial"/>
          <w:i/>
          <w:iCs/>
          <w:sz w:val="20"/>
          <w:szCs w:val="20"/>
        </w:rPr>
        <w:t xml:space="preserve">F=1.79, </w:t>
      </w:r>
      <w:r w:rsidR="0035366D" w:rsidRPr="00EB5684">
        <w:rPr>
          <w:rFonts w:ascii="Arial" w:hAnsi="Arial" w:cs="Arial"/>
          <w:i/>
          <w:iCs/>
          <w:sz w:val="20"/>
          <w:szCs w:val="20"/>
        </w:rPr>
        <w:t>P</w:t>
      </w:r>
      <w:r w:rsidR="004B7984" w:rsidRPr="00EB5684">
        <w:rPr>
          <w:rFonts w:ascii="Arial" w:hAnsi="Arial" w:cs="Arial"/>
          <w:i/>
          <w:iCs/>
          <w:sz w:val="20"/>
          <w:szCs w:val="20"/>
        </w:rPr>
        <w:t xml:space="preserve"> = .</w:t>
      </w:r>
      <w:r w:rsidRPr="00EB5684">
        <w:rPr>
          <w:rFonts w:ascii="Arial" w:hAnsi="Arial" w:cs="Arial"/>
          <w:i/>
          <w:iCs/>
          <w:sz w:val="20"/>
          <w:szCs w:val="20"/>
        </w:rPr>
        <w:t>05</w:t>
      </w:r>
      <w:r w:rsidRPr="00EB5684">
        <w:rPr>
          <w:rFonts w:ascii="Arial" w:hAnsi="Arial" w:cs="Arial"/>
          <w:sz w:val="20"/>
          <w:szCs w:val="20"/>
        </w:rPr>
        <w:t xml:space="preserve">), indicating that neither PC administration nor fenugreek supplementation produced a marked alteration in testicular weight relative to body weight. Similar antioxidant-based recovery </w:t>
      </w:r>
      <w:r w:rsidR="00513D68" w:rsidRPr="00EB5684">
        <w:rPr>
          <w:rFonts w:ascii="Arial" w:hAnsi="Arial" w:cs="Arial"/>
          <w:sz w:val="20"/>
          <w:szCs w:val="20"/>
        </w:rPr>
        <w:t>has</w:t>
      </w:r>
      <w:r w:rsidRPr="00EB5684">
        <w:rPr>
          <w:rFonts w:ascii="Arial" w:hAnsi="Arial" w:cs="Arial"/>
          <w:sz w:val="20"/>
          <w:szCs w:val="20"/>
        </w:rPr>
        <w:t xml:space="preserve"> </w:t>
      </w:r>
      <w:r w:rsidR="008F5964" w:rsidRPr="00EB5684">
        <w:rPr>
          <w:rFonts w:ascii="Arial" w:hAnsi="Arial" w:cs="Arial"/>
          <w:sz w:val="20"/>
          <w:szCs w:val="20"/>
        </w:rPr>
        <w:t xml:space="preserve">been </w:t>
      </w:r>
      <w:r w:rsidRPr="00EB5684">
        <w:rPr>
          <w:rFonts w:ascii="Arial" w:hAnsi="Arial" w:cs="Arial"/>
          <w:sz w:val="20"/>
          <w:szCs w:val="20"/>
        </w:rPr>
        <w:t>reported</w:t>
      </w:r>
      <w:r w:rsidR="00513D68" w:rsidRPr="00EB5684">
        <w:rPr>
          <w:rFonts w:ascii="Arial" w:hAnsi="Arial" w:cs="Arial"/>
          <w:sz w:val="20"/>
          <w:szCs w:val="20"/>
        </w:rPr>
        <w:t xml:space="preserve"> </w:t>
      </w:r>
      <w:r w:rsidRPr="00EB5684">
        <w:rPr>
          <w:rFonts w:ascii="Arial" w:hAnsi="Arial" w:cs="Arial"/>
          <w:sz w:val="20"/>
          <w:szCs w:val="20"/>
        </w:rPr>
        <w:t xml:space="preserve">in </w:t>
      </w:r>
      <w:r w:rsidRPr="00EB5684">
        <w:rPr>
          <w:rFonts w:ascii="Arial" w:hAnsi="Arial" w:cs="Arial"/>
          <w:sz w:val="20"/>
          <w:szCs w:val="20"/>
        </w:rPr>
        <w:lastRenderedPageBreak/>
        <w:t>reproductive function without significant alterations in testicular indices, particularly in short-term or moderate toxicity models</w:t>
      </w:r>
      <w:r w:rsidRPr="00EB5684">
        <w:rPr>
          <w:rFonts w:ascii="Arial" w:hAnsi="Arial" w:cs="Arial"/>
          <w:sz w:val="20"/>
          <w:szCs w:val="20"/>
          <w:vertAlign w:val="superscript"/>
        </w:rPr>
        <w:t xml:space="preserve"> </w:t>
      </w:r>
      <w:r w:rsidRPr="00EB5684">
        <w:rPr>
          <w:rFonts w:ascii="Arial" w:hAnsi="Arial" w:cs="Arial"/>
          <w:sz w:val="20"/>
          <w:szCs w:val="20"/>
        </w:rPr>
        <w:t>(Agarwal et al., 2014).</w:t>
      </w:r>
    </w:p>
    <w:p w14:paraId="55720FDF" w14:textId="77777777" w:rsidR="00000E83" w:rsidRDefault="00000E83" w:rsidP="00220A10">
      <w:pPr>
        <w:spacing w:line="276" w:lineRule="auto"/>
        <w:jc w:val="both"/>
        <w:rPr>
          <w:rFonts w:ascii="Arial" w:hAnsi="Arial" w:cs="Arial"/>
          <w:sz w:val="20"/>
          <w:szCs w:val="20"/>
        </w:rPr>
      </w:pPr>
    </w:p>
    <w:p w14:paraId="557E5A53" w14:textId="77777777" w:rsidR="00000E83" w:rsidRPr="00EB5684" w:rsidRDefault="00000E83" w:rsidP="00220A10">
      <w:pPr>
        <w:spacing w:line="276" w:lineRule="auto"/>
        <w:jc w:val="both"/>
        <w:rPr>
          <w:rFonts w:ascii="Arial" w:hAnsi="Arial" w:cs="Arial"/>
          <w:sz w:val="20"/>
          <w:szCs w:val="20"/>
        </w:rPr>
      </w:pPr>
    </w:p>
    <w:p w14:paraId="476A583F" w14:textId="7AEAA9A9" w:rsidR="00220A10" w:rsidRPr="00EB5684" w:rsidRDefault="00220A10" w:rsidP="00220A10">
      <w:pPr>
        <w:spacing w:line="276" w:lineRule="auto"/>
        <w:jc w:val="both"/>
        <w:rPr>
          <w:rFonts w:ascii="Arial" w:hAnsi="Arial" w:cs="Arial"/>
          <w:b/>
          <w:bCs/>
          <w:sz w:val="22"/>
          <w:szCs w:val="22"/>
        </w:rPr>
      </w:pPr>
      <w:r w:rsidRPr="00EB5684">
        <w:rPr>
          <w:rFonts w:ascii="Arial" w:hAnsi="Arial" w:cs="Arial"/>
          <w:b/>
          <w:bCs/>
          <w:sz w:val="22"/>
          <w:szCs w:val="22"/>
        </w:rPr>
        <w:t>3.</w:t>
      </w:r>
      <w:r w:rsidR="002904ED" w:rsidRPr="00EB5684">
        <w:rPr>
          <w:rFonts w:ascii="Arial" w:hAnsi="Arial" w:cs="Arial"/>
          <w:b/>
          <w:bCs/>
          <w:sz w:val="22"/>
          <w:szCs w:val="22"/>
        </w:rPr>
        <w:t xml:space="preserve">3 </w:t>
      </w:r>
      <w:r w:rsidRPr="00EB5684">
        <w:rPr>
          <w:rFonts w:ascii="Arial" w:hAnsi="Arial" w:cs="Arial"/>
          <w:b/>
          <w:bCs/>
          <w:sz w:val="22"/>
          <w:szCs w:val="22"/>
        </w:rPr>
        <w:t>Sperm count:</w:t>
      </w:r>
    </w:p>
    <w:p w14:paraId="6CA4400D" w14:textId="77777777" w:rsidR="00FD4597" w:rsidRPr="00EB5684" w:rsidRDefault="002904ED" w:rsidP="00220A10">
      <w:pPr>
        <w:spacing w:line="276" w:lineRule="auto"/>
        <w:jc w:val="both"/>
        <w:rPr>
          <w:rFonts w:ascii="Arial" w:hAnsi="Arial" w:cs="Arial"/>
          <w:sz w:val="20"/>
          <w:szCs w:val="20"/>
        </w:rPr>
      </w:pPr>
      <w:r w:rsidRPr="00EB5684">
        <w:rPr>
          <w:rFonts w:ascii="Arial" w:hAnsi="Arial" w:cs="Arial"/>
          <w:sz w:val="20"/>
          <w:szCs w:val="20"/>
        </w:rPr>
        <w:tab/>
      </w:r>
      <w:r w:rsidR="0025799C" w:rsidRPr="00EB5684">
        <w:rPr>
          <w:rFonts w:ascii="Arial" w:hAnsi="Arial" w:cs="Arial"/>
          <w:sz w:val="20"/>
          <w:szCs w:val="20"/>
        </w:rPr>
        <w:t xml:space="preserve">Sperm count is a sensitive indicator of male reproductive function and spermatogenic efficiency. A pronounced reduction in sperm count was observed in PC administrated mice (83 ± 1.9 ×10⁴/ml) as </w:t>
      </w:r>
      <w:r w:rsidR="00F70F1A" w:rsidRPr="00EB5684">
        <w:rPr>
          <w:rFonts w:ascii="Arial" w:hAnsi="Arial" w:cs="Arial"/>
          <w:sz w:val="20"/>
          <w:szCs w:val="20"/>
        </w:rPr>
        <w:t>compare</w:t>
      </w:r>
      <w:r w:rsidR="0025799C" w:rsidRPr="00EB5684">
        <w:rPr>
          <w:rFonts w:ascii="Arial" w:hAnsi="Arial" w:cs="Arial"/>
          <w:sz w:val="20"/>
          <w:szCs w:val="20"/>
        </w:rPr>
        <w:t xml:space="preserve"> to control </w:t>
      </w:r>
      <w:r w:rsidR="00AB238A" w:rsidRPr="00EB5684">
        <w:rPr>
          <w:rFonts w:ascii="Arial" w:hAnsi="Arial" w:cs="Arial"/>
          <w:sz w:val="20"/>
          <w:szCs w:val="20"/>
        </w:rPr>
        <w:t>(</w:t>
      </w:r>
      <w:r w:rsidR="0025799C" w:rsidRPr="00EB5684">
        <w:rPr>
          <w:rFonts w:ascii="Arial" w:hAnsi="Arial" w:cs="Arial"/>
          <w:sz w:val="20"/>
          <w:szCs w:val="20"/>
        </w:rPr>
        <w:t>118.4 ± 6.1 ×10⁴/ml</w:t>
      </w:r>
      <w:r w:rsidR="00AB238A" w:rsidRPr="00EB5684">
        <w:rPr>
          <w:rFonts w:ascii="Arial" w:hAnsi="Arial" w:cs="Arial"/>
          <w:sz w:val="20"/>
          <w:szCs w:val="20"/>
        </w:rPr>
        <w:t xml:space="preserve">) </w:t>
      </w:r>
      <w:r w:rsidR="0025799C" w:rsidRPr="00EB5684">
        <w:rPr>
          <w:rFonts w:ascii="Arial" w:hAnsi="Arial" w:cs="Arial"/>
          <w:sz w:val="20"/>
          <w:szCs w:val="20"/>
        </w:rPr>
        <w:t xml:space="preserve">(Table 1), </w:t>
      </w:r>
      <w:r w:rsidR="00924C24" w:rsidRPr="00EB5684">
        <w:rPr>
          <w:rFonts w:ascii="Arial" w:hAnsi="Arial" w:cs="Arial"/>
          <w:sz w:val="20"/>
          <w:szCs w:val="20"/>
        </w:rPr>
        <w:t xml:space="preserve">which is about </w:t>
      </w:r>
      <w:r w:rsidR="0025799C" w:rsidRPr="00EB5684">
        <w:rPr>
          <w:rFonts w:ascii="Arial" w:hAnsi="Arial" w:cs="Arial"/>
          <w:sz w:val="20"/>
          <w:szCs w:val="20"/>
        </w:rPr>
        <w:t xml:space="preserve">30% </w:t>
      </w:r>
      <w:r w:rsidR="00924C24" w:rsidRPr="00EB5684">
        <w:rPr>
          <w:rFonts w:ascii="Arial" w:hAnsi="Arial" w:cs="Arial"/>
          <w:sz w:val="20"/>
          <w:szCs w:val="20"/>
        </w:rPr>
        <w:t>reduction</w:t>
      </w:r>
      <w:r w:rsidR="0025799C" w:rsidRPr="00EB5684">
        <w:rPr>
          <w:rFonts w:ascii="Arial" w:hAnsi="Arial" w:cs="Arial"/>
          <w:sz w:val="20"/>
          <w:szCs w:val="20"/>
        </w:rPr>
        <w:t xml:space="preserve"> (Figure 1). </w:t>
      </w:r>
      <w:r w:rsidR="0025799C" w:rsidRPr="00EB5684">
        <w:rPr>
          <w:rFonts w:ascii="Arial" w:hAnsi="Arial" w:cs="Arial"/>
          <w:sz w:val="20"/>
          <w:szCs w:val="20"/>
          <w:lang w:val="en-IN"/>
        </w:rPr>
        <w:t xml:space="preserve">This </w:t>
      </w:r>
      <w:r w:rsidR="001C7618" w:rsidRPr="00EB5684">
        <w:rPr>
          <w:rFonts w:ascii="Arial" w:hAnsi="Arial" w:cs="Arial"/>
          <w:sz w:val="20"/>
          <w:szCs w:val="20"/>
          <w:lang w:val="en-IN"/>
        </w:rPr>
        <w:t>reduction</w:t>
      </w:r>
      <w:r w:rsidR="0025799C" w:rsidRPr="00EB5684">
        <w:rPr>
          <w:rFonts w:ascii="Arial" w:hAnsi="Arial" w:cs="Arial"/>
          <w:sz w:val="20"/>
          <w:szCs w:val="20"/>
          <w:lang w:val="en-IN"/>
        </w:rPr>
        <w:t xml:space="preserve"> is statistically significant (</w:t>
      </w:r>
      <w:r w:rsidR="0025799C" w:rsidRPr="00EB5684">
        <w:rPr>
          <w:rFonts w:ascii="Arial" w:hAnsi="Arial" w:cs="Arial"/>
          <w:i/>
          <w:iCs/>
          <w:sz w:val="20"/>
          <w:szCs w:val="20"/>
          <w:lang w:val="en-IN"/>
        </w:rPr>
        <w:t>F=</w:t>
      </w:r>
      <w:r w:rsidR="0025799C" w:rsidRPr="00EB5684">
        <w:rPr>
          <w:rFonts w:ascii="Arial" w:hAnsi="Arial" w:cs="Arial"/>
          <w:i/>
          <w:iCs/>
          <w:sz w:val="20"/>
          <w:szCs w:val="20"/>
        </w:rPr>
        <w:t>12.215; P</w:t>
      </w:r>
      <w:r w:rsidR="004B7984" w:rsidRPr="00EB5684">
        <w:rPr>
          <w:rFonts w:ascii="Arial" w:hAnsi="Arial" w:cs="Arial"/>
          <w:i/>
          <w:iCs/>
          <w:sz w:val="20"/>
          <w:szCs w:val="20"/>
        </w:rPr>
        <w:t xml:space="preserve"> = .</w:t>
      </w:r>
      <w:r w:rsidR="0025799C" w:rsidRPr="00EB5684">
        <w:rPr>
          <w:rFonts w:ascii="Arial" w:hAnsi="Arial" w:cs="Arial"/>
          <w:i/>
          <w:iCs/>
          <w:sz w:val="20"/>
          <w:szCs w:val="20"/>
        </w:rPr>
        <w:t>05</w:t>
      </w:r>
      <w:r w:rsidR="0025799C" w:rsidRPr="00EB5684">
        <w:rPr>
          <w:rFonts w:ascii="Arial" w:hAnsi="Arial" w:cs="Arial"/>
          <w:sz w:val="20"/>
          <w:szCs w:val="20"/>
        </w:rPr>
        <w:t>). These findings are consistent with earlier reports showing that PC-induces male reproductive toxicity through oxidative stress, germ cell apoptosis, and disruption of steroidogenesis</w:t>
      </w:r>
      <w:r w:rsidR="0025799C" w:rsidRPr="00EB5684">
        <w:rPr>
          <w:rFonts w:ascii="Arial" w:hAnsi="Arial" w:cs="Arial"/>
          <w:sz w:val="20"/>
          <w:szCs w:val="20"/>
          <w:vertAlign w:val="superscript"/>
        </w:rPr>
        <w:t xml:space="preserve"> </w:t>
      </w:r>
      <w:r w:rsidR="0025799C" w:rsidRPr="00EB5684">
        <w:rPr>
          <w:rFonts w:ascii="Arial" w:hAnsi="Arial" w:cs="Arial"/>
          <w:sz w:val="20"/>
          <w:szCs w:val="20"/>
        </w:rPr>
        <w:t xml:space="preserve">(Oyedeji et al., 2013; Trans-Guzan </w:t>
      </w:r>
      <w:r w:rsidR="001C7618" w:rsidRPr="00EB5684">
        <w:rPr>
          <w:rFonts w:ascii="Arial" w:hAnsi="Arial" w:cs="Arial"/>
          <w:sz w:val="20"/>
          <w:szCs w:val="20"/>
        </w:rPr>
        <w:t>and</w:t>
      </w:r>
      <w:r w:rsidR="0025799C" w:rsidRPr="00EB5684">
        <w:rPr>
          <w:rFonts w:ascii="Arial" w:hAnsi="Arial" w:cs="Arial"/>
          <w:sz w:val="20"/>
          <w:szCs w:val="20"/>
        </w:rPr>
        <w:t xml:space="preserve"> Culty, 2022). </w:t>
      </w:r>
    </w:p>
    <w:p w14:paraId="3690431B" w14:textId="6B5BFD1D" w:rsidR="0025799C" w:rsidRPr="00EB5684" w:rsidRDefault="00000E83" w:rsidP="00220A10">
      <w:pPr>
        <w:spacing w:line="276" w:lineRule="auto"/>
        <w:jc w:val="both"/>
        <w:rPr>
          <w:rFonts w:ascii="Arial" w:hAnsi="Arial" w:cs="Arial"/>
          <w:sz w:val="20"/>
          <w:szCs w:val="20"/>
        </w:rPr>
      </w:pPr>
      <w:r>
        <w:rPr>
          <w:rFonts w:ascii="Arial" w:hAnsi="Arial" w:cs="Arial"/>
          <w:sz w:val="20"/>
          <w:szCs w:val="20"/>
        </w:rPr>
        <w:tab/>
      </w:r>
      <w:r w:rsidR="002D01B1" w:rsidRPr="00EB5684">
        <w:rPr>
          <w:rFonts w:ascii="Arial" w:hAnsi="Arial" w:cs="Arial"/>
          <w:sz w:val="20"/>
          <w:szCs w:val="20"/>
        </w:rPr>
        <w:t>However</w:t>
      </w:r>
      <w:r w:rsidR="00AB238A" w:rsidRPr="00EB5684">
        <w:rPr>
          <w:rFonts w:ascii="Arial" w:hAnsi="Arial" w:cs="Arial"/>
          <w:sz w:val="20"/>
          <w:szCs w:val="20"/>
        </w:rPr>
        <w:t>,</w:t>
      </w:r>
      <w:r w:rsidR="002D01B1" w:rsidRPr="00EB5684">
        <w:rPr>
          <w:rFonts w:ascii="Arial" w:hAnsi="Arial" w:cs="Arial"/>
          <w:sz w:val="20"/>
          <w:szCs w:val="20"/>
        </w:rPr>
        <w:t xml:space="preserve"> in PC and </w:t>
      </w:r>
      <w:r w:rsidR="0025799C" w:rsidRPr="00EB5684">
        <w:rPr>
          <w:rFonts w:ascii="Arial" w:hAnsi="Arial" w:cs="Arial"/>
          <w:sz w:val="20"/>
          <w:szCs w:val="20"/>
        </w:rPr>
        <w:t xml:space="preserve">fenugreek-treated </w:t>
      </w:r>
      <w:r w:rsidR="00222C26" w:rsidRPr="00EB5684">
        <w:rPr>
          <w:rFonts w:ascii="Arial" w:hAnsi="Arial" w:cs="Arial"/>
          <w:sz w:val="20"/>
          <w:szCs w:val="20"/>
        </w:rPr>
        <w:t>mice</w:t>
      </w:r>
      <w:r w:rsidR="0025799C" w:rsidRPr="00EB5684">
        <w:rPr>
          <w:rFonts w:ascii="Arial" w:hAnsi="Arial" w:cs="Arial"/>
          <w:sz w:val="20"/>
          <w:szCs w:val="20"/>
        </w:rPr>
        <w:t xml:space="preserve">, </w:t>
      </w:r>
      <w:r w:rsidR="006A2DA4" w:rsidRPr="00EB5684">
        <w:rPr>
          <w:rFonts w:ascii="Arial" w:hAnsi="Arial" w:cs="Arial"/>
          <w:sz w:val="20"/>
          <w:szCs w:val="20"/>
        </w:rPr>
        <w:t xml:space="preserve">the reduction in </w:t>
      </w:r>
      <w:r w:rsidR="0025799C" w:rsidRPr="00EB5684">
        <w:rPr>
          <w:rFonts w:ascii="Arial" w:hAnsi="Arial" w:cs="Arial"/>
          <w:sz w:val="20"/>
          <w:szCs w:val="20"/>
        </w:rPr>
        <w:t xml:space="preserve">sperm count </w:t>
      </w:r>
      <w:r w:rsidR="006A2DA4" w:rsidRPr="00EB5684">
        <w:rPr>
          <w:rFonts w:ascii="Arial" w:hAnsi="Arial" w:cs="Arial"/>
          <w:sz w:val="20"/>
          <w:szCs w:val="20"/>
        </w:rPr>
        <w:t xml:space="preserve">is less </w:t>
      </w:r>
      <w:r w:rsidR="0025799C" w:rsidRPr="00EB5684">
        <w:rPr>
          <w:rFonts w:ascii="Arial" w:hAnsi="Arial" w:cs="Arial"/>
          <w:sz w:val="20"/>
          <w:szCs w:val="20"/>
        </w:rPr>
        <w:t xml:space="preserve">as compared to PC-treated </w:t>
      </w:r>
      <w:r w:rsidR="00222C26" w:rsidRPr="00EB5684">
        <w:rPr>
          <w:rFonts w:ascii="Arial" w:hAnsi="Arial" w:cs="Arial"/>
          <w:sz w:val="20"/>
          <w:szCs w:val="20"/>
        </w:rPr>
        <w:t>mice</w:t>
      </w:r>
      <w:r w:rsidR="0025799C" w:rsidRPr="00EB5684">
        <w:rPr>
          <w:rFonts w:ascii="Arial" w:hAnsi="Arial" w:cs="Arial"/>
          <w:sz w:val="20"/>
          <w:szCs w:val="20"/>
        </w:rPr>
        <w:t xml:space="preserve"> (83 ± 1.9 × 10⁴/ml), </w:t>
      </w:r>
      <w:r w:rsidR="00504629" w:rsidRPr="00EB5684">
        <w:rPr>
          <w:rFonts w:ascii="Arial" w:hAnsi="Arial" w:cs="Arial"/>
          <w:sz w:val="20"/>
          <w:szCs w:val="20"/>
        </w:rPr>
        <w:t xml:space="preserve">showing </w:t>
      </w:r>
      <w:r w:rsidR="0025799C" w:rsidRPr="00EB5684">
        <w:rPr>
          <w:rFonts w:ascii="Arial" w:hAnsi="Arial" w:cs="Arial"/>
          <w:sz w:val="20"/>
          <w:szCs w:val="20"/>
        </w:rPr>
        <w:t>26.5% increase (Figure 1). This is statistically significant (</w:t>
      </w:r>
      <w:r w:rsidR="0025799C" w:rsidRPr="00EB5684">
        <w:rPr>
          <w:rFonts w:ascii="Arial" w:hAnsi="Arial" w:cs="Arial"/>
          <w:i/>
          <w:iCs/>
          <w:sz w:val="20"/>
          <w:szCs w:val="20"/>
        </w:rPr>
        <w:t xml:space="preserve">F = 12.215, </w:t>
      </w:r>
      <w:r w:rsidR="0020416B" w:rsidRPr="00EB5684">
        <w:rPr>
          <w:rFonts w:ascii="Arial" w:hAnsi="Arial" w:cs="Arial"/>
          <w:i/>
          <w:iCs/>
          <w:sz w:val="20"/>
          <w:szCs w:val="20"/>
        </w:rPr>
        <w:t>P =</w:t>
      </w:r>
      <w:r w:rsidR="0025799C" w:rsidRPr="00EB5684">
        <w:rPr>
          <w:rFonts w:ascii="Arial" w:hAnsi="Arial" w:cs="Arial"/>
          <w:i/>
          <w:iCs/>
          <w:sz w:val="20"/>
          <w:szCs w:val="20"/>
        </w:rPr>
        <w:t xml:space="preserve"> .05</w:t>
      </w:r>
      <w:r w:rsidR="0025799C" w:rsidRPr="00EB5684">
        <w:rPr>
          <w:rFonts w:ascii="Arial" w:hAnsi="Arial" w:cs="Arial"/>
          <w:sz w:val="20"/>
          <w:szCs w:val="20"/>
        </w:rPr>
        <w:t>).</w:t>
      </w:r>
      <w:r w:rsidR="00AB238A" w:rsidRPr="00EB5684">
        <w:rPr>
          <w:rFonts w:ascii="Arial" w:hAnsi="Arial" w:cs="Arial"/>
          <w:sz w:val="20"/>
          <w:szCs w:val="20"/>
        </w:rPr>
        <w:t xml:space="preserve"> </w:t>
      </w:r>
      <w:r w:rsidR="0025799C" w:rsidRPr="00EB5684">
        <w:rPr>
          <w:rFonts w:ascii="Arial" w:hAnsi="Arial" w:cs="Arial"/>
          <w:sz w:val="20"/>
          <w:szCs w:val="20"/>
        </w:rPr>
        <w:t xml:space="preserve">The improvement in sperm count observed in the PC and fenugreek-treated </w:t>
      </w:r>
      <w:r w:rsidR="00222C26" w:rsidRPr="00EB5684">
        <w:rPr>
          <w:rFonts w:ascii="Arial" w:hAnsi="Arial" w:cs="Arial"/>
          <w:sz w:val="20"/>
          <w:szCs w:val="20"/>
        </w:rPr>
        <w:t>mice</w:t>
      </w:r>
      <w:r w:rsidR="0025799C" w:rsidRPr="00EB5684">
        <w:rPr>
          <w:rFonts w:ascii="Arial" w:hAnsi="Arial" w:cs="Arial"/>
          <w:sz w:val="20"/>
          <w:szCs w:val="20"/>
        </w:rPr>
        <w:t xml:space="preserve"> suggests that fenugreek may exert a protective effect against </w:t>
      </w:r>
      <w:r w:rsidR="006A29C8" w:rsidRPr="00EB5684">
        <w:rPr>
          <w:rFonts w:ascii="Arial" w:hAnsi="Arial" w:cs="Arial"/>
          <w:sz w:val="20"/>
          <w:szCs w:val="20"/>
        </w:rPr>
        <w:t>PC-induced</w:t>
      </w:r>
      <w:r w:rsidR="0025799C" w:rsidRPr="00EB5684">
        <w:rPr>
          <w:rFonts w:ascii="Arial" w:hAnsi="Arial" w:cs="Arial"/>
          <w:sz w:val="20"/>
          <w:szCs w:val="20"/>
        </w:rPr>
        <w:t xml:space="preserve"> impairment of spermatogenesis. This effect may be attributed to the presence of biologically active constituents, including steroidal saponins, flavonoids, polyphenolic compounds, and other antioxidant constituents. A similar protective effect was reported by Tanushree et al. (2024), who demonstrated the mitigating role of fenugreek aqueous extract against permethrin-induced </w:t>
      </w:r>
      <w:proofErr w:type="spellStart"/>
      <w:r w:rsidR="0025799C" w:rsidRPr="00EB5684">
        <w:rPr>
          <w:rFonts w:ascii="Arial" w:hAnsi="Arial" w:cs="Arial"/>
          <w:sz w:val="20"/>
          <w:szCs w:val="20"/>
        </w:rPr>
        <w:t>gonadotoxicity</w:t>
      </w:r>
      <w:proofErr w:type="spellEnd"/>
      <w:r w:rsidR="0025799C" w:rsidRPr="00EB5684">
        <w:rPr>
          <w:rFonts w:ascii="Arial" w:hAnsi="Arial" w:cs="Arial"/>
          <w:sz w:val="20"/>
          <w:szCs w:val="20"/>
        </w:rPr>
        <w:t>.</w:t>
      </w:r>
      <w:r w:rsidR="00FD4597" w:rsidRPr="00EB5684">
        <w:rPr>
          <w:rFonts w:ascii="Arial" w:hAnsi="Arial" w:cs="Arial"/>
          <w:sz w:val="20"/>
          <w:szCs w:val="20"/>
        </w:rPr>
        <w:t xml:space="preserve"> These findings are </w:t>
      </w:r>
      <w:r w:rsidR="006F62DD" w:rsidRPr="00EB5684">
        <w:rPr>
          <w:rFonts w:ascii="Arial" w:hAnsi="Arial" w:cs="Arial"/>
          <w:sz w:val="20"/>
          <w:szCs w:val="20"/>
        </w:rPr>
        <w:t xml:space="preserve">also </w:t>
      </w:r>
      <w:r w:rsidR="00FD4597" w:rsidRPr="00EB5684">
        <w:rPr>
          <w:rFonts w:ascii="Arial" w:hAnsi="Arial" w:cs="Arial"/>
          <w:sz w:val="20"/>
          <w:szCs w:val="20"/>
        </w:rPr>
        <w:t xml:space="preserve">consistent with those of Maheshwari et al. (2017), </w:t>
      </w:r>
      <w:r w:rsidR="00DC5256" w:rsidRPr="00EB5684">
        <w:rPr>
          <w:rFonts w:ascii="Arial" w:hAnsi="Arial" w:cs="Arial"/>
          <w:sz w:val="20"/>
          <w:szCs w:val="20"/>
        </w:rPr>
        <w:t xml:space="preserve">who </w:t>
      </w:r>
      <w:r w:rsidR="006B1B93" w:rsidRPr="00EB5684">
        <w:rPr>
          <w:rFonts w:ascii="Arial" w:hAnsi="Arial" w:cs="Arial"/>
          <w:sz w:val="20"/>
          <w:szCs w:val="20"/>
        </w:rPr>
        <w:t xml:space="preserve">reported an improvement in sperm count in 85.4% of male volunteers </w:t>
      </w:r>
      <w:r w:rsidR="00E94842" w:rsidRPr="00EB5684">
        <w:rPr>
          <w:rFonts w:ascii="Arial" w:hAnsi="Arial" w:cs="Arial"/>
          <w:sz w:val="20"/>
          <w:szCs w:val="20"/>
        </w:rPr>
        <w:t>after</w:t>
      </w:r>
      <w:r w:rsidR="006B1B93" w:rsidRPr="00EB5684">
        <w:rPr>
          <w:rFonts w:ascii="Arial" w:hAnsi="Arial" w:cs="Arial"/>
          <w:sz w:val="20"/>
          <w:szCs w:val="20"/>
        </w:rPr>
        <w:t xml:space="preserve"> supplementation with a </w:t>
      </w:r>
      <w:proofErr w:type="spellStart"/>
      <w:r w:rsidR="00FD4597" w:rsidRPr="00EB5684">
        <w:rPr>
          <w:rFonts w:ascii="Arial" w:hAnsi="Arial" w:cs="Arial"/>
          <w:sz w:val="20"/>
          <w:szCs w:val="20"/>
        </w:rPr>
        <w:t>Protodioscin</w:t>
      </w:r>
      <w:proofErr w:type="spellEnd"/>
      <w:r w:rsidR="00FD4597" w:rsidRPr="00EB5684">
        <w:rPr>
          <w:rFonts w:ascii="Arial" w:hAnsi="Arial" w:cs="Arial"/>
          <w:sz w:val="20"/>
          <w:szCs w:val="20"/>
        </w:rPr>
        <w:t xml:space="preserve">-enriched </w:t>
      </w:r>
      <w:r w:rsidR="006B1B93" w:rsidRPr="00EB5684">
        <w:rPr>
          <w:rFonts w:ascii="Arial" w:hAnsi="Arial" w:cs="Arial"/>
          <w:sz w:val="20"/>
          <w:szCs w:val="20"/>
        </w:rPr>
        <w:t xml:space="preserve">fenugreek seed extract, </w:t>
      </w:r>
      <w:r w:rsidR="00335B3F" w:rsidRPr="00EB5684">
        <w:rPr>
          <w:rFonts w:ascii="Arial" w:hAnsi="Arial" w:cs="Arial"/>
          <w:sz w:val="20"/>
          <w:szCs w:val="20"/>
        </w:rPr>
        <w:t>along with</w:t>
      </w:r>
      <w:r w:rsidR="006B1B93" w:rsidRPr="00EB5684">
        <w:rPr>
          <w:rFonts w:ascii="Arial" w:hAnsi="Arial" w:cs="Arial"/>
          <w:sz w:val="20"/>
          <w:szCs w:val="20"/>
        </w:rPr>
        <w:t xml:space="preserve"> increase in free testosterone levels.</w:t>
      </w:r>
    </w:p>
    <w:p w14:paraId="7D7E3935" w14:textId="6ADADD40" w:rsidR="00220A10" w:rsidRPr="00EB5684" w:rsidRDefault="00220A10" w:rsidP="0025799C">
      <w:pPr>
        <w:spacing w:line="276" w:lineRule="auto"/>
        <w:jc w:val="both"/>
        <w:rPr>
          <w:rFonts w:ascii="Arial" w:hAnsi="Arial" w:cs="Arial"/>
          <w:b/>
          <w:bCs/>
          <w:sz w:val="22"/>
          <w:szCs w:val="22"/>
        </w:rPr>
      </w:pPr>
      <w:r w:rsidRPr="00EB5684">
        <w:rPr>
          <w:rFonts w:ascii="Arial" w:hAnsi="Arial" w:cs="Arial"/>
          <w:b/>
          <w:bCs/>
          <w:sz w:val="22"/>
          <w:szCs w:val="22"/>
        </w:rPr>
        <w:t>3.</w:t>
      </w:r>
      <w:r w:rsidR="002904ED" w:rsidRPr="00EB5684">
        <w:rPr>
          <w:rFonts w:ascii="Arial" w:hAnsi="Arial" w:cs="Arial"/>
          <w:b/>
          <w:bCs/>
          <w:sz w:val="22"/>
          <w:szCs w:val="22"/>
        </w:rPr>
        <w:t>4</w:t>
      </w:r>
      <w:r w:rsidRPr="00EB5684">
        <w:rPr>
          <w:rFonts w:ascii="Arial" w:hAnsi="Arial" w:cs="Arial"/>
          <w:b/>
          <w:bCs/>
          <w:sz w:val="22"/>
          <w:szCs w:val="22"/>
        </w:rPr>
        <w:t xml:space="preserve"> Sperm abnormalities:</w:t>
      </w:r>
      <w:r w:rsidR="005270F1" w:rsidRPr="00EB5684">
        <w:rPr>
          <w:rFonts w:ascii="Arial" w:hAnsi="Arial" w:cs="Arial"/>
          <w:b/>
          <w:bCs/>
          <w:sz w:val="22"/>
          <w:szCs w:val="22"/>
        </w:rPr>
        <w:t xml:space="preserve"> </w:t>
      </w:r>
    </w:p>
    <w:p w14:paraId="50033F58" w14:textId="47FCCB70" w:rsidR="0025799C" w:rsidRPr="00EB5684" w:rsidRDefault="002904ED" w:rsidP="0025799C">
      <w:pPr>
        <w:spacing w:line="276" w:lineRule="auto"/>
        <w:jc w:val="both"/>
        <w:rPr>
          <w:rFonts w:ascii="Arial" w:hAnsi="Arial" w:cs="Arial"/>
          <w:b/>
          <w:bCs/>
          <w:sz w:val="20"/>
          <w:szCs w:val="20"/>
        </w:rPr>
      </w:pPr>
      <w:r w:rsidRPr="00EB5684">
        <w:rPr>
          <w:rFonts w:ascii="Arial" w:hAnsi="Arial" w:cs="Arial"/>
          <w:color w:val="0D0D0D" w:themeColor="text1" w:themeTint="F2"/>
          <w:sz w:val="20"/>
          <w:szCs w:val="20"/>
        </w:rPr>
        <w:tab/>
      </w:r>
      <w:r w:rsidR="0025799C" w:rsidRPr="00EB5684">
        <w:rPr>
          <w:rFonts w:ascii="Arial" w:hAnsi="Arial" w:cs="Arial"/>
          <w:color w:val="0D0D0D" w:themeColor="text1" w:themeTint="F2"/>
          <w:sz w:val="20"/>
          <w:szCs w:val="20"/>
        </w:rPr>
        <w:t>High proportion of morphologically normal spermatozoa, characterized by intact head, midpiece, and tail structures</w:t>
      </w:r>
      <w:r w:rsidR="0025799C" w:rsidRPr="00EB5684">
        <w:rPr>
          <w:rFonts w:ascii="Arial" w:hAnsi="Arial" w:cs="Arial"/>
          <w:b/>
          <w:bCs/>
          <w:color w:val="0D0D0D" w:themeColor="text1" w:themeTint="F2"/>
          <w:sz w:val="20"/>
          <w:szCs w:val="20"/>
        </w:rPr>
        <w:t xml:space="preserve"> </w:t>
      </w:r>
      <w:r w:rsidR="0025799C" w:rsidRPr="00EB5684">
        <w:rPr>
          <w:rFonts w:ascii="Arial" w:hAnsi="Arial" w:cs="Arial"/>
          <w:color w:val="0D0D0D" w:themeColor="text1" w:themeTint="F2"/>
          <w:sz w:val="20"/>
          <w:szCs w:val="20"/>
        </w:rPr>
        <w:t>was observed in control group (Table 1, Plate 1. A).</w:t>
      </w:r>
      <w:r w:rsidR="0025799C" w:rsidRPr="00EB5684">
        <w:rPr>
          <w:rFonts w:ascii="Arial" w:hAnsi="Arial" w:cs="Arial"/>
          <w:b/>
          <w:bCs/>
          <w:sz w:val="20"/>
          <w:szCs w:val="20"/>
        </w:rPr>
        <w:t xml:space="preserve"> </w:t>
      </w:r>
      <w:r w:rsidR="0025799C" w:rsidRPr="00EB5684">
        <w:rPr>
          <w:rFonts w:ascii="Arial" w:hAnsi="Arial" w:cs="Arial"/>
          <w:sz w:val="20"/>
          <w:szCs w:val="20"/>
        </w:rPr>
        <w:t xml:space="preserve">In contrast, the toxicant-treated group (Group II) exhibited a marked increase in abnormal sperm forms (43.2±1.7%) which include head defects (detached </w:t>
      </w:r>
      <w:r w:rsidR="00A95B83" w:rsidRPr="00EB5684">
        <w:rPr>
          <w:rFonts w:ascii="Arial" w:hAnsi="Arial" w:cs="Arial"/>
          <w:sz w:val="20"/>
          <w:szCs w:val="20"/>
        </w:rPr>
        <w:t>heads - Plate</w:t>
      </w:r>
      <w:r w:rsidR="0025799C" w:rsidRPr="00EB5684">
        <w:rPr>
          <w:rFonts w:ascii="Arial" w:hAnsi="Arial" w:cs="Arial"/>
          <w:sz w:val="20"/>
          <w:szCs w:val="20"/>
        </w:rPr>
        <w:t xml:space="preserve"> 1. B), midpiece abnormalities (</w:t>
      </w:r>
      <w:r w:rsidR="009512A6" w:rsidRPr="00EB5684">
        <w:rPr>
          <w:rFonts w:ascii="Arial" w:hAnsi="Arial" w:cs="Arial"/>
          <w:sz w:val="20"/>
          <w:szCs w:val="20"/>
        </w:rPr>
        <w:t>Plate</w:t>
      </w:r>
      <w:r w:rsidR="0025799C" w:rsidRPr="00EB5684">
        <w:rPr>
          <w:rFonts w:ascii="Arial" w:hAnsi="Arial" w:cs="Arial"/>
          <w:sz w:val="20"/>
          <w:szCs w:val="20"/>
        </w:rPr>
        <w:t xml:space="preserve"> 1. C, D), and tail defects (coiled, folded- Plate 1. E, F, G). </w:t>
      </w:r>
      <w:r w:rsidR="0025799C" w:rsidRPr="00EB5684">
        <w:rPr>
          <w:rFonts w:ascii="Arial" w:hAnsi="Arial" w:cs="Arial"/>
          <w:color w:val="0D0D0D" w:themeColor="text1" w:themeTint="F2"/>
          <w:sz w:val="20"/>
          <w:szCs w:val="20"/>
        </w:rPr>
        <w:t xml:space="preserve">This </w:t>
      </w:r>
      <w:r w:rsidR="00E52832" w:rsidRPr="00EB5684">
        <w:rPr>
          <w:rFonts w:ascii="Arial" w:hAnsi="Arial" w:cs="Arial"/>
          <w:color w:val="0D0D0D" w:themeColor="text1" w:themeTint="F2"/>
          <w:sz w:val="20"/>
          <w:szCs w:val="20"/>
        </w:rPr>
        <w:t>study</w:t>
      </w:r>
      <w:r w:rsidR="0025799C" w:rsidRPr="00EB5684">
        <w:rPr>
          <w:rFonts w:ascii="Arial" w:hAnsi="Arial" w:cs="Arial"/>
          <w:color w:val="0D0D0D" w:themeColor="text1" w:themeTint="F2"/>
          <w:sz w:val="20"/>
          <w:szCs w:val="20"/>
        </w:rPr>
        <w:t xml:space="preserve"> suggests that the drug may permeate the blood-testis barrier, altering the microenvironment of the seminiferous tubules, as it has been reported that chemical agents reduce sperm motility</w:t>
      </w:r>
      <w:r w:rsidR="0025799C" w:rsidRPr="00EB5684">
        <w:rPr>
          <w:rFonts w:ascii="Arial" w:hAnsi="Arial" w:cs="Arial"/>
          <w:color w:val="0D0D0D" w:themeColor="text1" w:themeTint="F2"/>
          <w:sz w:val="20"/>
          <w:szCs w:val="20"/>
          <w:vertAlign w:val="superscript"/>
        </w:rPr>
        <w:t xml:space="preserve"> </w:t>
      </w:r>
      <w:r w:rsidR="0025799C" w:rsidRPr="00EB5684">
        <w:rPr>
          <w:rFonts w:ascii="Arial" w:hAnsi="Arial" w:cs="Arial"/>
          <w:color w:val="0D0D0D" w:themeColor="text1" w:themeTint="F2"/>
          <w:sz w:val="20"/>
          <w:szCs w:val="20"/>
        </w:rPr>
        <w:t>(</w:t>
      </w:r>
      <w:proofErr w:type="spellStart"/>
      <w:r w:rsidR="0025799C" w:rsidRPr="00EB5684">
        <w:rPr>
          <w:rFonts w:ascii="Arial" w:hAnsi="Arial" w:cs="Arial"/>
          <w:color w:val="0D0D0D" w:themeColor="text1" w:themeTint="F2"/>
          <w:sz w:val="20"/>
          <w:szCs w:val="20"/>
        </w:rPr>
        <w:t>Oyedji</w:t>
      </w:r>
      <w:proofErr w:type="spellEnd"/>
      <w:r w:rsidR="0025799C" w:rsidRPr="00EB5684">
        <w:rPr>
          <w:rFonts w:ascii="Arial" w:hAnsi="Arial" w:cs="Arial"/>
          <w:color w:val="0D0D0D" w:themeColor="text1" w:themeTint="F2"/>
          <w:sz w:val="20"/>
          <w:szCs w:val="20"/>
        </w:rPr>
        <w:t xml:space="preserve"> et al., 2013)</w:t>
      </w:r>
      <w:r w:rsidR="000E4661" w:rsidRPr="00EB5684">
        <w:rPr>
          <w:rFonts w:ascii="Arial" w:hAnsi="Arial" w:cs="Arial"/>
          <w:color w:val="0D0D0D" w:themeColor="text1" w:themeTint="F2"/>
          <w:sz w:val="20"/>
          <w:szCs w:val="20"/>
        </w:rPr>
        <w:t>.</w:t>
      </w:r>
      <w:r w:rsidR="0025799C" w:rsidRPr="00EB5684">
        <w:rPr>
          <w:rFonts w:ascii="Arial" w:hAnsi="Arial" w:cs="Arial"/>
          <w:color w:val="0D0D0D" w:themeColor="text1" w:themeTint="F2"/>
          <w:sz w:val="20"/>
          <w:szCs w:val="20"/>
        </w:rPr>
        <w:t xml:space="preserve"> </w:t>
      </w:r>
      <w:r w:rsidR="00C15200" w:rsidRPr="00EB5684">
        <w:rPr>
          <w:rFonts w:ascii="Arial" w:hAnsi="Arial" w:cs="Arial"/>
          <w:sz w:val="20"/>
          <w:szCs w:val="20"/>
        </w:rPr>
        <w:t xml:space="preserve">A </w:t>
      </w:r>
      <w:r w:rsidR="0025799C" w:rsidRPr="00EB5684">
        <w:rPr>
          <w:rFonts w:ascii="Arial" w:hAnsi="Arial" w:cs="Arial"/>
          <w:sz w:val="20"/>
          <w:szCs w:val="20"/>
        </w:rPr>
        <w:t>notable improvement in sperm morphology, with a significant reduction in abnormal sperm forms (</w:t>
      </w:r>
      <w:r w:rsidR="0025799C" w:rsidRPr="00EB5684">
        <w:rPr>
          <w:rFonts w:ascii="Arial" w:eastAsia="Times New Roman" w:hAnsi="Arial" w:cs="Arial"/>
          <w:color w:val="000000"/>
          <w:kern w:val="0"/>
          <w:sz w:val="20"/>
          <w:szCs w:val="20"/>
          <w14:ligatures w14:val="none"/>
        </w:rPr>
        <w:t>21.8±1.52%)</w:t>
      </w:r>
      <w:r w:rsidR="0025799C" w:rsidRPr="00EB5684">
        <w:rPr>
          <w:rFonts w:ascii="Arial" w:hAnsi="Arial" w:cs="Arial"/>
          <w:sz w:val="20"/>
          <w:szCs w:val="20"/>
        </w:rPr>
        <w:t xml:space="preserve"> and a corresponding increase in normal spermatozoa </w:t>
      </w:r>
      <w:r w:rsidR="000E4661" w:rsidRPr="00EB5684">
        <w:rPr>
          <w:rFonts w:ascii="Arial" w:hAnsi="Arial" w:cs="Arial"/>
          <w:sz w:val="20"/>
          <w:szCs w:val="20"/>
        </w:rPr>
        <w:t xml:space="preserve">was observed in Group III </w:t>
      </w:r>
      <w:r w:rsidR="0025799C" w:rsidRPr="00EB5684">
        <w:rPr>
          <w:rFonts w:ascii="Arial" w:hAnsi="Arial" w:cs="Arial"/>
          <w:sz w:val="20"/>
          <w:szCs w:val="20"/>
        </w:rPr>
        <w:t>compared to Group II. These values indicate a partial restoration of spermatogenic function. It was demonstrated that administration of fenugreek seed extract to diabetic rats significantly decreased sperm shape abnormalities</w:t>
      </w:r>
      <w:r w:rsidR="0025799C" w:rsidRPr="00EB5684">
        <w:rPr>
          <w:rFonts w:ascii="Arial" w:hAnsi="Arial" w:cs="Arial"/>
          <w:sz w:val="20"/>
          <w:szCs w:val="20"/>
          <w:vertAlign w:val="superscript"/>
        </w:rPr>
        <w:t xml:space="preserve"> </w:t>
      </w:r>
      <w:r w:rsidR="0025799C" w:rsidRPr="00EB5684">
        <w:rPr>
          <w:rFonts w:ascii="Arial" w:hAnsi="Arial" w:cs="Arial"/>
          <w:sz w:val="20"/>
          <w:szCs w:val="20"/>
        </w:rPr>
        <w:t xml:space="preserve">(Hamden et al., 2010). </w:t>
      </w:r>
      <w:proofErr w:type="spellStart"/>
      <w:r w:rsidR="0025799C" w:rsidRPr="00EB5684">
        <w:rPr>
          <w:rFonts w:ascii="Arial" w:hAnsi="Arial" w:cs="Arial"/>
          <w:sz w:val="20"/>
          <w:szCs w:val="20"/>
        </w:rPr>
        <w:t>Singhmura</w:t>
      </w:r>
      <w:proofErr w:type="spellEnd"/>
      <w:r w:rsidR="0025799C" w:rsidRPr="00EB5684">
        <w:rPr>
          <w:rFonts w:ascii="Arial" w:hAnsi="Arial" w:cs="Arial"/>
          <w:sz w:val="20"/>
          <w:szCs w:val="20"/>
        </w:rPr>
        <w:t xml:space="preserve"> et al. (2024) </w:t>
      </w:r>
      <w:r w:rsidR="00C15200" w:rsidRPr="00EB5684">
        <w:rPr>
          <w:rFonts w:ascii="Arial" w:hAnsi="Arial" w:cs="Arial"/>
          <w:sz w:val="20"/>
          <w:szCs w:val="20"/>
        </w:rPr>
        <w:t xml:space="preserve">also </w:t>
      </w:r>
      <w:r w:rsidR="0025799C" w:rsidRPr="00EB5684">
        <w:rPr>
          <w:rFonts w:ascii="Arial" w:hAnsi="Arial" w:cs="Arial"/>
          <w:sz w:val="20"/>
          <w:szCs w:val="20"/>
        </w:rPr>
        <w:t>reported that fenugreek supplementation reduced sperm abnormalities and improved sperm morphology in Monosodium glutamate-induced mice.</w:t>
      </w:r>
    </w:p>
    <w:p w14:paraId="4A540369" w14:textId="04818A9C" w:rsidR="00220A10" w:rsidRPr="00EB5684" w:rsidRDefault="00220A10" w:rsidP="00220A10">
      <w:pPr>
        <w:spacing w:line="276" w:lineRule="auto"/>
        <w:jc w:val="both"/>
        <w:rPr>
          <w:rFonts w:ascii="Arial" w:hAnsi="Arial" w:cs="Arial"/>
          <w:b/>
          <w:bCs/>
          <w:sz w:val="22"/>
          <w:szCs w:val="22"/>
        </w:rPr>
      </w:pPr>
      <w:r w:rsidRPr="00EB5684">
        <w:rPr>
          <w:rFonts w:ascii="Arial" w:hAnsi="Arial" w:cs="Arial"/>
          <w:b/>
          <w:bCs/>
          <w:sz w:val="22"/>
          <w:szCs w:val="22"/>
        </w:rPr>
        <w:t>3.</w:t>
      </w:r>
      <w:r w:rsidR="002904ED" w:rsidRPr="00EB5684">
        <w:rPr>
          <w:rFonts w:ascii="Arial" w:hAnsi="Arial" w:cs="Arial"/>
          <w:b/>
          <w:bCs/>
          <w:sz w:val="22"/>
          <w:szCs w:val="22"/>
        </w:rPr>
        <w:t xml:space="preserve">5 </w:t>
      </w:r>
      <w:r w:rsidRPr="00EB5684">
        <w:rPr>
          <w:rFonts w:ascii="Arial" w:hAnsi="Arial" w:cs="Arial"/>
          <w:b/>
          <w:bCs/>
          <w:sz w:val="22"/>
          <w:szCs w:val="22"/>
        </w:rPr>
        <w:t xml:space="preserve">Testis Histology: </w:t>
      </w:r>
    </w:p>
    <w:p w14:paraId="6BE10CE1" w14:textId="19D66031" w:rsidR="00852423" w:rsidRPr="00EB5684" w:rsidRDefault="00023236" w:rsidP="00220A10">
      <w:pPr>
        <w:spacing w:line="276" w:lineRule="auto"/>
        <w:jc w:val="both"/>
        <w:rPr>
          <w:rFonts w:ascii="Arial" w:hAnsi="Arial" w:cs="Arial"/>
          <w:sz w:val="20"/>
          <w:szCs w:val="20"/>
        </w:rPr>
      </w:pPr>
      <w:r w:rsidRPr="00EB5684">
        <w:rPr>
          <w:rFonts w:ascii="Arial" w:hAnsi="Arial" w:cs="Arial"/>
          <w:sz w:val="20"/>
          <w:szCs w:val="20"/>
        </w:rPr>
        <w:tab/>
      </w:r>
      <w:r w:rsidR="00360299" w:rsidRPr="00EB5684">
        <w:rPr>
          <w:rFonts w:ascii="Arial" w:hAnsi="Arial" w:cs="Arial"/>
          <w:sz w:val="20"/>
          <w:szCs w:val="20"/>
        </w:rPr>
        <w:t>During t</w:t>
      </w:r>
      <w:r w:rsidRPr="00EB5684">
        <w:rPr>
          <w:rFonts w:ascii="Arial" w:hAnsi="Arial" w:cs="Arial"/>
          <w:sz w:val="20"/>
          <w:szCs w:val="20"/>
        </w:rPr>
        <w:t>he histological study of testis of control mice</w:t>
      </w:r>
      <w:r w:rsidR="00360299" w:rsidRPr="00EB5684">
        <w:rPr>
          <w:rFonts w:ascii="Arial" w:hAnsi="Arial" w:cs="Arial"/>
          <w:sz w:val="20"/>
          <w:szCs w:val="20"/>
        </w:rPr>
        <w:t xml:space="preserve">, </w:t>
      </w:r>
      <w:r w:rsidR="00220A10" w:rsidRPr="00EB5684">
        <w:rPr>
          <w:rFonts w:ascii="Arial" w:hAnsi="Arial" w:cs="Arial"/>
          <w:sz w:val="20"/>
          <w:szCs w:val="20"/>
        </w:rPr>
        <w:t>round to oval seminiferous tubules with well-defined basement membranes and an intact germinal epithelium</w:t>
      </w:r>
      <w:r w:rsidR="00360299" w:rsidRPr="00EB5684">
        <w:rPr>
          <w:rFonts w:ascii="Arial" w:hAnsi="Arial" w:cs="Arial"/>
          <w:sz w:val="20"/>
          <w:szCs w:val="20"/>
        </w:rPr>
        <w:t xml:space="preserve"> were observed</w:t>
      </w:r>
      <w:r w:rsidR="00220A10" w:rsidRPr="00EB5684">
        <w:rPr>
          <w:rFonts w:ascii="Arial" w:hAnsi="Arial" w:cs="Arial"/>
          <w:sz w:val="20"/>
          <w:szCs w:val="20"/>
        </w:rPr>
        <w:t>. All stages of spermatogenesis, spermatogonia, primary and secondary spermatocytes, spermatids, and mature spermatozoa were clearly visible and orderly arranged. The tubular lumen was densely packed with spermatozoa, indicating active spermiogenesis. Interstitial spaces showed normal Leydig cells with no signs of degeneration, edema, or inflammatory infiltration (Plate 2</w:t>
      </w:r>
      <w:r w:rsidR="00852423" w:rsidRPr="00EB5684">
        <w:rPr>
          <w:rFonts w:ascii="Arial" w:hAnsi="Arial" w:cs="Arial"/>
          <w:sz w:val="20"/>
          <w:szCs w:val="20"/>
        </w:rPr>
        <w:t xml:space="preserve"> </w:t>
      </w:r>
      <w:r w:rsidR="00220A10" w:rsidRPr="00EB5684">
        <w:rPr>
          <w:rFonts w:ascii="Arial" w:hAnsi="Arial" w:cs="Arial"/>
          <w:sz w:val="20"/>
          <w:szCs w:val="20"/>
        </w:rPr>
        <w:t>A).</w:t>
      </w:r>
    </w:p>
    <w:p w14:paraId="50536311" w14:textId="7C01F2A0" w:rsidR="00220A10" w:rsidRPr="00EB5684" w:rsidRDefault="00360299" w:rsidP="00220A10">
      <w:pPr>
        <w:spacing w:line="276" w:lineRule="auto"/>
        <w:jc w:val="both"/>
        <w:rPr>
          <w:rFonts w:ascii="Arial" w:hAnsi="Arial" w:cs="Arial"/>
          <w:sz w:val="20"/>
          <w:szCs w:val="20"/>
        </w:rPr>
      </w:pPr>
      <w:r w:rsidRPr="00EB5684">
        <w:rPr>
          <w:rFonts w:ascii="Arial" w:hAnsi="Arial" w:cs="Arial"/>
          <w:noProof/>
          <w:sz w:val="20"/>
          <w:szCs w:val="20"/>
        </w:rPr>
        <w:lastRenderedPageBreak/>
        <w:t xml:space="preserve">However, </w:t>
      </w:r>
      <w:r w:rsidR="00750A33" w:rsidRPr="00EB5684">
        <w:rPr>
          <w:rFonts w:ascii="Arial" w:hAnsi="Arial" w:cs="Arial"/>
          <w:noProof/>
          <w:sz w:val="20"/>
          <w:szCs w:val="20"/>
        </w:rPr>
        <w:t>H</w:t>
      </w:r>
      <w:r w:rsidR="00220A10" w:rsidRPr="00EB5684">
        <w:rPr>
          <w:rFonts w:ascii="Arial" w:hAnsi="Arial" w:cs="Arial"/>
          <w:noProof/>
          <w:sz w:val="20"/>
          <w:szCs w:val="20"/>
        </w:rPr>
        <w:t>istological alterations were observed</w:t>
      </w:r>
      <w:r w:rsidR="00750A33" w:rsidRPr="00EB5684">
        <w:rPr>
          <w:rFonts w:ascii="Arial" w:hAnsi="Arial" w:cs="Arial"/>
          <w:noProof/>
          <w:sz w:val="20"/>
          <w:szCs w:val="20"/>
        </w:rPr>
        <w:t xml:space="preserve"> in PC-treated group</w:t>
      </w:r>
      <w:r w:rsidR="00955B5A" w:rsidRPr="00EB5684">
        <w:rPr>
          <w:rFonts w:ascii="Arial" w:hAnsi="Arial" w:cs="Arial"/>
          <w:noProof/>
          <w:sz w:val="20"/>
          <w:szCs w:val="20"/>
        </w:rPr>
        <w:t>,</w:t>
      </w:r>
      <w:r w:rsidR="00750A33" w:rsidRPr="00EB5684">
        <w:rPr>
          <w:rFonts w:ascii="Arial" w:hAnsi="Arial" w:cs="Arial"/>
          <w:noProof/>
          <w:sz w:val="20"/>
          <w:szCs w:val="20"/>
        </w:rPr>
        <w:t xml:space="preserve"> </w:t>
      </w:r>
      <w:r w:rsidR="00852423" w:rsidRPr="00EB5684">
        <w:rPr>
          <w:rFonts w:ascii="Arial" w:hAnsi="Arial" w:cs="Arial"/>
          <w:noProof/>
          <w:sz w:val="20"/>
          <w:szCs w:val="20"/>
        </w:rPr>
        <w:t>i.e., seminiferous</w:t>
      </w:r>
      <w:r w:rsidR="00220A10" w:rsidRPr="00EB5684">
        <w:rPr>
          <w:rFonts w:ascii="Arial" w:hAnsi="Arial" w:cs="Arial"/>
          <w:noProof/>
          <w:sz w:val="20"/>
          <w:szCs w:val="20"/>
        </w:rPr>
        <w:t xml:space="preserve"> tubules appeared irregular, shrunken, and distorted, with thinning and disorganization of the germinal epithelium. Degeneration and exfoliation of germ cells into the lumen were prominent, resulting in reduced or empty luminal sperm content. Vacuolization within the seminiferous epithelium, pyknotic nuclei, and disrupted basement membranes were frequently observed. The interstitial tissue showed reduced Leydig cell number, suggesting impaired steroidogenic activity (Plate 2 B). </w:t>
      </w:r>
      <w:r w:rsidR="00220A10" w:rsidRPr="00EB5684">
        <w:rPr>
          <w:rFonts w:ascii="Arial" w:hAnsi="Arial" w:cs="Arial"/>
          <w:sz w:val="20"/>
          <w:szCs w:val="20"/>
        </w:rPr>
        <w:t xml:space="preserve">Many studies have established that PC </w:t>
      </w:r>
      <w:r w:rsidR="00C33D78" w:rsidRPr="00EB5684">
        <w:rPr>
          <w:rFonts w:ascii="Arial" w:hAnsi="Arial" w:cs="Arial"/>
          <w:sz w:val="20"/>
          <w:szCs w:val="20"/>
        </w:rPr>
        <w:t>acts</w:t>
      </w:r>
      <w:r w:rsidR="00C57722" w:rsidRPr="00EB5684">
        <w:rPr>
          <w:rFonts w:ascii="Arial" w:hAnsi="Arial" w:cs="Arial"/>
          <w:sz w:val="20"/>
          <w:szCs w:val="20"/>
        </w:rPr>
        <w:t xml:space="preserve"> </w:t>
      </w:r>
      <w:r w:rsidR="00220A10" w:rsidRPr="00EB5684">
        <w:rPr>
          <w:rFonts w:ascii="Arial" w:hAnsi="Arial" w:cs="Arial"/>
          <w:sz w:val="20"/>
          <w:szCs w:val="20"/>
        </w:rPr>
        <w:t>as an endocrine disruptor that produces significant changes in testicular morphology.  Similar research indicated that administering PC to experimental animals for 50 days resulted in various alterations in testicular structure, including altered seminiferous tubules and a few degraded tubules (Khayyat, 2021). Another study showed that a single dose of PC (5 g/kg) administered to male mice resulted in abnormal morphological and degenerative changes in some s</w:t>
      </w:r>
      <w:r w:rsidR="00C57722" w:rsidRPr="00EB5684">
        <w:rPr>
          <w:rFonts w:ascii="Arial" w:hAnsi="Arial" w:cs="Arial"/>
          <w:sz w:val="20"/>
          <w:szCs w:val="20"/>
        </w:rPr>
        <w:t>eminiferous</w:t>
      </w:r>
      <w:r w:rsidR="00220A10" w:rsidRPr="00EB5684">
        <w:rPr>
          <w:rFonts w:ascii="Arial" w:hAnsi="Arial" w:cs="Arial"/>
          <w:sz w:val="20"/>
          <w:szCs w:val="20"/>
        </w:rPr>
        <w:t xml:space="preserve"> </w:t>
      </w:r>
      <w:r w:rsidR="00C57722" w:rsidRPr="00EB5684">
        <w:rPr>
          <w:rFonts w:ascii="Arial" w:hAnsi="Arial" w:cs="Arial"/>
          <w:sz w:val="20"/>
          <w:szCs w:val="20"/>
        </w:rPr>
        <w:t>tubules</w:t>
      </w:r>
      <w:r w:rsidR="00220A10" w:rsidRPr="00EB5684">
        <w:rPr>
          <w:rFonts w:ascii="Arial" w:hAnsi="Arial" w:cs="Arial"/>
          <w:sz w:val="20"/>
          <w:szCs w:val="20"/>
        </w:rPr>
        <w:t xml:space="preserve">, fragmentation of Sertoli cells, abnormal chromosomes in the nucleus and changes in sperm structure (Qader </w:t>
      </w:r>
      <w:r w:rsidR="00327BDF" w:rsidRPr="00EB5684">
        <w:rPr>
          <w:rFonts w:ascii="Arial" w:hAnsi="Arial" w:cs="Arial"/>
          <w:sz w:val="20"/>
          <w:szCs w:val="20"/>
        </w:rPr>
        <w:t>and</w:t>
      </w:r>
      <w:r w:rsidR="00220A10" w:rsidRPr="00EB5684">
        <w:rPr>
          <w:rFonts w:ascii="Arial" w:hAnsi="Arial" w:cs="Arial"/>
          <w:sz w:val="20"/>
          <w:szCs w:val="20"/>
        </w:rPr>
        <w:t xml:space="preserve"> Othman, 2014).</w:t>
      </w:r>
    </w:p>
    <w:p w14:paraId="3F909743" w14:textId="1E1C428E" w:rsidR="004C5D0F" w:rsidRPr="00EB5684" w:rsidRDefault="00220A10" w:rsidP="00220A10">
      <w:pPr>
        <w:spacing w:line="276" w:lineRule="auto"/>
        <w:jc w:val="both"/>
        <w:rPr>
          <w:rFonts w:ascii="Arial" w:hAnsi="Arial" w:cs="Arial"/>
          <w:noProof/>
          <w:sz w:val="20"/>
          <w:szCs w:val="20"/>
        </w:rPr>
      </w:pPr>
      <w:r w:rsidRPr="00EB5684">
        <w:rPr>
          <w:rFonts w:ascii="Arial" w:hAnsi="Arial" w:cs="Arial"/>
          <w:noProof/>
          <w:sz w:val="20"/>
          <w:szCs w:val="20"/>
        </w:rPr>
        <w:t>Group III mice showed a marked improvement in histological architecture of testis compared with the PC-treated group</w:t>
      </w:r>
      <w:r w:rsidR="00E75016" w:rsidRPr="00EB5684">
        <w:rPr>
          <w:rFonts w:ascii="Arial" w:hAnsi="Arial" w:cs="Arial"/>
          <w:noProof/>
          <w:sz w:val="20"/>
          <w:szCs w:val="20"/>
        </w:rPr>
        <w:t xml:space="preserve"> (Plate 2 C)</w:t>
      </w:r>
      <w:r w:rsidRPr="00EB5684">
        <w:rPr>
          <w:rFonts w:ascii="Arial" w:hAnsi="Arial" w:cs="Arial"/>
          <w:noProof/>
          <w:sz w:val="20"/>
          <w:szCs w:val="20"/>
        </w:rPr>
        <w:t xml:space="preserve">. Seminiferous tubules </w:t>
      </w:r>
      <w:r w:rsidR="00F15B22" w:rsidRPr="00EB5684">
        <w:rPr>
          <w:rFonts w:ascii="Arial" w:hAnsi="Arial" w:cs="Arial"/>
          <w:noProof/>
          <w:sz w:val="20"/>
          <w:szCs w:val="20"/>
        </w:rPr>
        <w:t>appeared</w:t>
      </w:r>
      <w:r w:rsidRPr="00EB5684">
        <w:rPr>
          <w:rFonts w:ascii="Arial" w:hAnsi="Arial" w:cs="Arial"/>
          <w:noProof/>
          <w:sz w:val="20"/>
          <w:szCs w:val="20"/>
        </w:rPr>
        <w:t xml:space="preserve"> </w:t>
      </w:r>
      <w:r w:rsidR="00F15B22" w:rsidRPr="00EB5684">
        <w:rPr>
          <w:rFonts w:ascii="Arial" w:hAnsi="Arial" w:cs="Arial"/>
          <w:noProof/>
          <w:sz w:val="20"/>
          <w:szCs w:val="20"/>
        </w:rPr>
        <w:t xml:space="preserve">to have </w:t>
      </w:r>
      <w:r w:rsidRPr="00EB5684">
        <w:rPr>
          <w:rFonts w:ascii="Arial" w:hAnsi="Arial" w:cs="Arial"/>
          <w:noProof/>
          <w:sz w:val="20"/>
          <w:szCs w:val="20"/>
        </w:rPr>
        <w:t xml:space="preserve">a more regular shape with partial restoration of germinal epithelium thickness. Spermatogenic cells at different stages were clearly </w:t>
      </w:r>
      <w:r w:rsidR="003E7C7B" w:rsidRPr="00EB5684">
        <w:rPr>
          <w:rFonts w:ascii="Arial" w:hAnsi="Arial" w:cs="Arial"/>
          <w:noProof/>
          <w:sz w:val="20"/>
          <w:szCs w:val="20"/>
        </w:rPr>
        <w:t>visible</w:t>
      </w:r>
      <w:r w:rsidRPr="00EB5684">
        <w:rPr>
          <w:rFonts w:ascii="Arial" w:hAnsi="Arial" w:cs="Arial"/>
          <w:noProof/>
          <w:sz w:val="20"/>
          <w:szCs w:val="20"/>
        </w:rPr>
        <w:t>, and luminal sperm content was increased. Degenerative features such as vacuolization and germ cell loss were</w:t>
      </w:r>
      <w:r w:rsidR="00F15B22" w:rsidRPr="00EB5684">
        <w:rPr>
          <w:rFonts w:ascii="Arial" w:hAnsi="Arial" w:cs="Arial"/>
          <w:noProof/>
          <w:sz w:val="20"/>
          <w:szCs w:val="20"/>
        </w:rPr>
        <w:t xml:space="preserve"> also</w:t>
      </w:r>
      <w:r w:rsidRPr="00EB5684">
        <w:rPr>
          <w:rFonts w:ascii="Arial" w:hAnsi="Arial" w:cs="Arial"/>
          <w:noProof/>
          <w:sz w:val="20"/>
          <w:szCs w:val="20"/>
        </w:rPr>
        <w:t xml:space="preserve"> markedly reduced. Interstitial Leydig cells appeared near normal, indicating recovery of endocrine function, although complete normalization to control levels was not fully achieved. These results are in accordance with Sakr et al. (2012)</w:t>
      </w:r>
      <w:r w:rsidR="003E7C7B" w:rsidRPr="00EB5684">
        <w:rPr>
          <w:rFonts w:ascii="Arial" w:hAnsi="Arial" w:cs="Arial"/>
          <w:noProof/>
          <w:sz w:val="20"/>
          <w:szCs w:val="20"/>
        </w:rPr>
        <w:t>,</w:t>
      </w:r>
      <w:r w:rsidRPr="00EB5684">
        <w:rPr>
          <w:rFonts w:ascii="Arial" w:hAnsi="Arial" w:cs="Arial"/>
          <w:noProof/>
          <w:sz w:val="20"/>
          <w:szCs w:val="20"/>
        </w:rPr>
        <w:t xml:space="preserve"> who reported that the fenugreek seed extract improved the histoarchitecture of the testes.</w:t>
      </w:r>
    </w:p>
    <w:p w14:paraId="19C9D383" w14:textId="1C94D0E1" w:rsidR="00220A10" w:rsidRPr="00EB5684" w:rsidRDefault="00220A10" w:rsidP="00220A10">
      <w:pPr>
        <w:spacing w:line="276" w:lineRule="auto"/>
        <w:jc w:val="both"/>
        <w:rPr>
          <w:rFonts w:ascii="Arial" w:hAnsi="Arial" w:cs="Arial"/>
          <w:b/>
          <w:bCs/>
          <w:sz w:val="20"/>
          <w:szCs w:val="20"/>
        </w:rPr>
      </w:pPr>
      <w:r w:rsidRPr="00EB5684">
        <w:rPr>
          <w:rFonts w:ascii="Arial" w:hAnsi="Arial" w:cs="Arial"/>
          <w:b/>
          <w:bCs/>
          <w:sz w:val="20"/>
          <w:szCs w:val="20"/>
        </w:rPr>
        <w:t xml:space="preserve">Table-1: </w:t>
      </w:r>
      <w:r w:rsidR="00C33D78" w:rsidRPr="00EB5684">
        <w:rPr>
          <w:rFonts w:ascii="Arial" w:hAnsi="Arial" w:cs="Arial"/>
          <w:b/>
          <w:bCs/>
          <w:sz w:val="20"/>
          <w:szCs w:val="20"/>
        </w:rPr>
        <w:t xml:space="preserve"> Effect of </w:t>
      </w:r>
      <w:r w:rsidRPr="00EB5684">
        <w:rPr>
          <w:rFonts w:ascii="Arial" w:hAnsi="Arial" w:cs="Arial"/>
          <w:b/>
          <w:bCs/>
          <w:sz w:val="20"/>
          <w:szCs w:val="20"/>
        </w:rPr>
        <w:t>PC</w:t>
      </w:r>
      <w:r w:rsidR="00C33D78" w:rsidRPr="00EB5684">
        <w:rPr>
          <w:rFonts w:ascii="Arial" w:hAnsi="Arial" w:cs="Arial"/>
          <w:b/>
          <w:bCs/>
          <w:sz w:val="20"/>
          <w:szCs w:val="20"/>
        </w:rPr>
        <w:t xml:space="preserve"> and PC + Fenugreek on</w:t>
      </w:r>
      <w:r w:rsidRPr="00EB5684">
        <w:rPr>
          <w:rFonts w:ascii="Arial" w:hAnsi="Arial" w:cs="Arial"/>
          <w:b/>
          <w:bCs/>
          <w:sz w:val="20"/>
          <w:szCs w:val="20"/>
        </w:rPr>
        <w:t xml:space="preserve"> </w:t>
      </w:r>
      <w:r w:rsidR="00C33D78" w:rsidRPr="00EB5684">
        <w:rPr>
          <w:rFonts w:ascii="Arial" w:hAnsi="Arial" w:cs="Arial"/>
          <w:b/>
          <w:bCs/>
          <w:sz w:val="20"/>
          <w:szCs w:val="20"/>
        </w:rPr>
        <w:t>r</w:t>
      </w:r>
      <w:r w:rsidRPr="00EB5684">
        <w:rPr>
          <w:rFonts w:ascii="Arial" w:hAnsi="Arial" w:cs="Arial"/>
          <w:b/>
          <w:bCs/>
          <w:sz w:val="20"/>
          <w:szCs w:val="20"/>
        </w:rPr>
        <w:t>eproductive</w:t>
      </w:r>
      <w:r w:rsidR="00C33D78" w:rsidRPr="00EB5684">
        <w:rPr>
          <w:rFonts w:ascii="Arial" w:hAnsi="Arial" w:cs="Arial"/>
          <w:b/>
          <w:bCs/>
          <w:sz w:val="20"/>
          <w:szCs w:val="20"/>
        </w:rPr>
        <w:t xml:space="preserve"> parameters </w:t>
      </w:r>
      <w:r w:rsidRPr="00EB5684">
        <w:rPr>
          <w:rFonts w:ascii="Arial" w:hAnsi="Arial" w:cs="Arial"/>
          <w:b/>
          <w:bCs/>
          <w:sz w:val="20"/>
          <w:szCs w:val="20"/>
        </w:rPr>
        <w:t xml:space="preserve">of </w:t>
      </w:r>
      <w:r w:rsidR="00C33D78" w:rsidRPr="00EB5684">
        <w:rPr>
          <w:rFonts w:ascii="Arial" w:hAnsi="Arial" w:cs="Arial"/>
          <w:b/>
          <w:bCs/>
          <w:sz w:val="20"/>
          <w:szCs w:val="20"/>
        </w:rPr>
        <w:t>mice</w:t>
      </w:r>
    </w:p>
    <w:tbl>
      <w:tblPr>
        <w:tblStyle w:val="TableGrid"/>
        <w:tblW w:w="0" w:type="auto"/>
        <w:tblLook w:val="04A0" w:firstRow="1" w:lastRow="0" w:firstColumn="1" w:lastColumn="0" w:noHBand="0" w:noVBand="1"/>
      </w:tblPr>
      <w:tblGrid>
        <w:gridCol w:w="2245"/>
        <w:gridCol w:w="1748"/>
        <w:gridCol w:w="1836"/>
        <w:gridCol w:w="1828"/>
        <w:gridCol w:w="1693"/>
      </w:tblGrid>
      <w:tr w:rsidR="00220A10" w:rsidRPr="00EB5684" w14:paraId="6F70114F" w14:textId="77777777" w:rsidTr="000E2687">
        <w:tc>
          <w:tcPr>
            <w:tcW w:w="2245" w:type="dxa"/>
          </w:tcPr>
          <w:p w14:paraId="6EC41936" w14:textId="77777777" w:rsidR="00220A10" w:rsidRPr="00EB5684" w:rsidRDefault="00220A10" w:rsidP="0088597F">
            <w:pPr>
              <w:spacing w:line="276" w:lineRule="auto"/>
              <w:jc w:val="both"/>
              <w:rPr>
                <w:rFonts w:ascii="Arial" w:hAnsi="Arial" w:cs="Arial"/>
                <w:b/>
                <w:bCs/>
                <w:sz w:val="20"/>
                <w:szCs w:val="20"/>
              </w:rPr>
            </w:pPr>
          </w:p>
        </w:tc>
        <w:tc>
          <w:tcPr>
            <w:tcW w:w="1748" w:type="dxa"/>
          </w:tcPr>
          <w:p w14:paraId="74081789" w14:textId="77777777" w:rsidR="00220A10" w:rsidRPr="00EB5684" w:rsidRDefault="00220A10" w:rsidP="0088597F">
            <w:pPr>
              <w:spacing w:line="276" w:lineRule="auto"/>
              <w:jc w:val="both"/>
              <w:rPr>
                <w:rFonts w:ascii="Arial" w:hAnsi="Arial" w:cs="Arial"/>
                <w:b/>
                <w:bCs/>
                <w:sz w:val="20"/>
                <w:szCs w:val="20"/>
              </w:rPr>
            </w:pPr>
            <w:r w:rsidRPr="00EB5684">
              <w:rPr>
                <w:rFonts w:ascii="Arial" w:hAnsi="Arial" w:cs="Arial"/>
                <w:b/>
                <w:bCs/>
                <w:sz w:val="20"/>
                <w:szCs w:val="20"/>
              </w:rPr>
              <w:t>Group I</w:t>
            </w:r>
          </w:p>
        </w:tc>
        <w:tc>
          <w:tcPr>
            <w:tcW w:w="1836" w:type="dxa"/>
          </w:tcPr>
          <w:p w14:paraId="757BEAC3" w14:textId="77777777" w:rsidR="00220A10" w:rsidRPr="00EB5684" w:rsidRDefault="00220A10" w:rsidP="0088597F">
            <w:pPr>
              <w:spacing w:line="276" w:lineRule="auto"/>
              <w:jc w:val="both"/>
              <w:rPr>
                <w:rFonts w:ascii="Arial" w:hAnsi="Arial" w:cs="Arial"/>
                <w:b/>
                <w:bCs/>
                <w:sz w:val="20"/>
                <w:szCs w:val="20"/>
              </w:rPr>
            </w:pPr>
            <w:r w:rsidRPr="00EB5684">
              <w:rPr>
                <w:rFonts w:ascii="Arial" w:hAnsi="Arial" w:cs="Arial"/>
                <w:b/>
                <w:bCs/>
                <w:sz w:val="20"/>
                <w:szCs w:val="20"/>
              </w:rPr>
              <w:t>Group II</w:t>
            </w:r>
          </w:p>
        </w:tc>
        <w:tc>
          <w:tcPr>
            <w:tcW w:w="1828" w:type="dxa"/>
          </w:tcPr>
          <w:p w14:paraId="2DEA2EC1" w14:textId="77777777" w:rsidR="00220A10" w:rsidRPr="00EB5684" w:rsidRDefault="00220A10" w:rsidP="0088597F">
            <w:pPr>
              <w:spacing w:line="276" w:lineRule="auto"/>
              <w:jc w:val="both"/>
              <w:rPr>
                <w:rFonts w:ascii="Arial" w:hAnsi="Arial" w:cs="Arial"/>
                <w:b/>
                <w:bCs/>
                <w:sz w:val="20"/>
                <w:szCs w:val="20"/>
              </w:rPr>
            </w:pPr>
            <w:r w:rsidRPr="00EB5684">
              <w:rPr>
                <w:rFonts w:ascii="Arial" w:hAnsi="Arial" w:cs="Arial"/>
                <w:b/>
                <w:bCs/>
                <w:sz w:val="20"/>
                <w:szCs w:val="20"/>
              </w:rPr>
              <w:t>Group III</w:t>
            </w:r>
          </w:p>
        </w:tc>
        <w:tc>
          <w:tcPr>
            <w:tcW w:w="1693" w:type="dxa"/>
          </w:tcPr>
          <w:p w14:paraId="0C107BF5" w14:textId="77777777" w:rsidR="00220A10" w:rsidRPr="00EB5684" w:rsidRDefault="00220A10" w:rsidP="0088597F">
            <w:pPr>
              <w:spacing w:line="276" w:lineRule="auto"/>
              <w:jc w:val="both"/>
              <w:rPr>
                <w:rFonts w:ascii="Arial" w:hAnsi="Arial" w:cs="Arial"/>
                <w:b/>
                <w:bCs/>
                <w:sz w:val="20"/>
                <w:szCs w:val="20"/>
              </w:rPr>
            </w:pPr>
            <w:r w:rsidRPr="00EB5684">
              <w:rPr>
                <w:rFonts w:ascii="Arial" w:hAnsi="Arial" w:cs="Arial"/>
                <w:b/>
                <w:bCs/>
                <w:sz w:val="20"/>
                <w:szCs w:val="20"/>
              </w:rPr>
              <w:t xml:space="preserve">     F value</w:t>
            </w:r>
          </w:p>
        </w:tc>
      </w:tr>
      <w:tr w:rsidR="00220A10" w:rsidRPr="00EB5684" w14:paraId="74A2F9C8" w14:textId="77777777" w:rsidTr="000E2687">
        <w:tc>
          <w:tcPr>
            <w:tcW w:w="2245" w:type="dxa"/>
          </w:tcPr>
          <w:p w14:paraId="78A0CB2C" w14:textId="77777777" w:rsidR="00220A10" w:rsidRPr="00EB5684" w:rsidRDefault="00220A10" w:rsidP="0088597F">
            <w:pPr>
              <w:spacing w:line="276" w:lineRule="auto"/>
              <w:jc w:val="both"/>
              <w:rPr>
                <w:rFonts w:ascii="Arial" w:hAnsi="Arial" w:cs="Arial"/>
                <w:b/>
                <w:bCs/>
                <w:sz w:val="20"/>
                <w:szCs w:val="20"/>
              </w:rPr>
            </w:pPr>
            <w:r w:rsidRPr="00EB5684">
              <w:rPr>
                <w:rFonts w:ascii="Arial" w:hAnsi="Arial" w:cs="Arial"/>
                <w:b/>
                <w:bCs/>
                <w:sz w:val="20"/>
                <w:szCs w:val="20"/>
              </w:rPr>
              <w:t xml:space="preserve">Testis </w:t>
            </w:r>
            <w:proofErr w:type="spellStart"/>
            <w:r w:rsidRPr="00EB5684">
              <w:rPr>
                <w:rFonts w:ascii="Arial" w:hAnsi="Arial" w:cs="Arial"/>
                <w:b/>
                <w:bCs/>
                <w:sz w:val="20"/>
                <w:szCs w:val="20"/>
              </w:rPr>
              <w:t>wt</w:t>
            </w:r>
            <w:proofErr w:type="spellEnd"/>
            <w:r w:rsidRPr="00EB5684">
              <w:rPr>
                <w:rFonts w:ascii="Arial" w:hAnsi="Arial" w:cs="Arial"/>
                <w:b/>
                <w:bCs/>
                <w:sz w:val="20"/>
                <w:szCs w:val="20"/>
              </w:rPr>
              <w:t xml:space="preserve"> (g)</w:t>
            </w:r>
          </w:p>
        </w:tc>
        <w:tc>
          <w:tcPr>
            <w:tcW w:w="1748" w:type="dxa"/>
          </w:tcPr>
          <w:tbl>
            <w:tblPr>
              <w:tblW w:w="960" w:type="dxa"/>
              <w:tblLook w:val="04A0" w:firstRow="1" w:lastRow="0" w:firstColumn="1" w:lastColumn="0" w:noHBand="0" w:noVBand="1"/>
            </w:tblPr>
            <w:tblGrid>
              <w:gridCol w:w="1327"/>
            </w:tblGrid>
            <w:tr w:rsidR="00220A10" w:rsidRPr="00EB5684" w14:paraId="3B2E3AC5" w14:textId="77777777" w:rsidTr="0088597F">
              <w:trPr>
                <w:trHeight w:val="290"/>
              </w:trPr>
              <w:tc>
                <w:tcPr>
                  <w:tcW w:w="960" w:type="dxa"/>
                  <w:tcBorders>
                    <w:top w:val="nil"/>
                    <w:left w:val="nil"/>
                    <w:bottom w:val="nil"/>
                    <w:right w:val="nil"/>
                  </w:tcBorders>
                  <w:noWrap/>
                  <w:vAlign w:val="bottom"/>
                  <w:hideMark/>
                </w:tcPr>
                <w:p w14:paraId="4B9F5936" w14:textId="77777777" w:rsidR="00220A10" w:rsidRPr="00EB5684" w:rsidRDefault="00220A10" w:rsidP="0088597F">
                  <w:pPr>
                    <w:spacing w:after="0" w:line="276" w:lineRule="auto"/>
                    <w:jc w:val="both"/>
                    <w:rPr>
                      <w:rFonts w:ascii="Arial" w:eastAsia="Times New Roman" w:hAnsi="Arial" w:cs="Arial"/>
                      <w:color w:val="000000"/>
                      <w:kern w:val="0"/>
                      <w:sz w:val="20"/>
                      <w:szCs w:val="20"/>
                      <w14:ligatures w14:val="none"/>
                    </w:rPr>
                  </w:pPr>
                  <w:r w:rsidRPr="00EB5684">
                    <w:rPr>
                      <w:rFonts w:ascii="Arial" w:eastAsia="Times New Roman" w:hAnsi="Arial" w:cs="Arial"/>
                      <w:color w:val="000000"/>
                      <w:kern w:val="0"/>
                      <w:sz w:val="20"/>
                      <w:szCs w:val="20"/>
                      <w14:ligatures w14:val="none"/>
                    </w:rPr>
                    <w:t>0.106</w:t>
                  </w:r>
                  <w:r w:rsidRPr="00EB5684">
                    <w:rPr>
                      <w:rFonts w:ascii="Arial" w:hAnsi="Arial" w:cs="Arial"/>
                      <w:sz w:val="20"/>
                      <w:szCs w:val="20"/>
                      <w:lang w:val="en-IN"/>
                    </w:rPr>
                    <w:t xml:space="preserve">±0.004 </w:t>
                  </w:r>
                </w:p>
              </w:tc>
            </w:tr>
            <w:tr w:rsidR="00220A10" w:rsidRPr="00EB5684" w14:paraId="1E90B8CC" w14:textId="77777777" w:rsidTr="0088597F">
              <w:trPr>
                <w:trHeight w:val="290"/>
              </w:trPr>
              <w:tc>
                <w:tcPr>
                  <w:tcW w:w="960" w:type="dxa"/>
                  <w:tcBorders>
                    <w:top w:val="nil"/>
                    <w:left w:val="nil"/>
                    <w:bottom w:val="nil"/>
                    <w:right w:val="nil"/>
                  </w:tcBorders>
                  <w:noWrap/>
                  <w:vAlign w:val="bottom"/>
                  <w:hideMark/>
                </w:tcPr>
                <w:p w14:paraId="77915C59" w14:textId="77777777" w:rsidR="00220A10" w:rsidRPr="00EB5684" w:rsidRDefault="00220A10" w:rsidP="0088597F">
                  <w:pPr>
                    <w:spacing w:after="0" w:line="276" w:lineRule="auto"/>
                    <w:jc w:val="both"/>
                    <w:rPr>
                      <w:rFonts w:ascii="Arial" w:eastAsia="Times New Roman" w:hAnsi="Arial" w:cs="Arial"/>
                      <w:color w:val="000000"/>
                      <w:kern w:val="0"/>
                      <w:sz w:val="20"/>
                      <w:szCs w:val="20"/>
                      <w14:ligatures w14:val="none"/>
                    </w:rPr>
                  </w:pPr>
                </w:p>
              </w:tc>
            </w:tr>
          </w:tbl>
          <w:p w14:paraId="310E2454" w14:textId="77777777" w:rsidR="00220A10" w:rsidRPr="00EB5684" w:rsidRDefault="00220A10" w:rsidP="0088597F">
            <w:pPr>
              <w:spacing w:line="276" w:lineRule="auto"/>
              <w:jc w:val="both"/>
              <w:rPr>
                <w:rFonts w:ascii="Arial" w:hAnsi="Arial" w:cs="Arial"/>
                <w:b/>
                <w:bCs/>
                <w:sz w:val="20"/>
                <w:szCs w:val="20"/>
              </w:rPr>
            </w:pPr>
          </w:p>
        </w:tc>
        <w:tc>
          <w:tcPr>
            <w:tcW w:w="1836" w:type="dxa"/>
          </w:tcPr>
          <w:tbl>
            <w:tblPr>
              <w:tblW w:w="960" w:type="dxa"/>
              <w:tblLook w:val="04A0" w:firstRow="1" w:lastRow="0" w:firstColumn="1" w:lastColumn="0" w:noHBand="0" w:noVBand="1"/>
            </w:tblPr>
            <w:tblGrid>
              <w:gridCol w:w="1327"/>
            </w:tblGrid>
            <w:tr w:rsidR="00220A10" w:rsidRPr="00EB5684" w14:paraId="0B6CBFCF" w14:textId="77777777" w:rsidTr="0088597F">
              <w:trPr>
                <w:trHeight w:val="290"/>
              </w:trPr>
              <w:tc>
                <w:tcPr>
                  <w:tcW w:w="960" w:type="dxa"/>
                  <w:tcBorders>
                    <w:top w:val="nil"/>
                    <w:left w:val="nil"/>
                    <w:bottom w:val="nil"/>
                    <w:right w:val="nil"/>
                  </w:tcBorders>
                  <w:noWrap/>
                  <w:vAlign w:val="bottom"/>
                  <w:hideMark/>
                </w:tcPr>
                <w:p w14:paraId="06948987" w14:textId="77777777" w:rsidR="00220A10" w:rsidRPr="00EB5684" w:rsidRDefault="00220A10" w:rsidP="0088597F">
                  <w:pPr>
                    <w:spacing w:after="0" w:line="276" w:lineRule="auto"/>
                    <w:jc w:val="both"/>
                    <w:rPr>
                      <w:rFonts w:ascii="Arial" w:eastAsia="Times New Roman" w:hAnsi="Arial" w:cs="Arial"/>
                      <w:color w:val="000000"/>
                      <w:kern w:val="0"/>
                      <w:sz w:val="20"/>
                      <w:szCs w:val="20"/>
                      <w14:ligatures w14:val="none"/>
                    </w:rPr>
                  </w:pPr>
                  <w:r w:rsidRPr="00EB5684">
                    <w:rPr>
                      <w:rFonts w:ascii="Arial" w:eastAsia="Times New Roman" w:hAnsi="Arial" w:cs="Arial"/>
                      <w:color w:val="000000"/>
                      <w:kern w:val="0"/>
                      <w:sz w:val="20"/>
                      <w:szCs w:val="20"/>
                      <w14:ligatures w14:val="none"/>
                    </w:rPr>
                    <w:t>0.102</w:t>
                  </w:r>
                  <w:r w:rsidRPr="00EB5684">
                    <w:rPr>
                      <w:rFonts w:ascii="Arial" w:hAnsi="Arial" w:cs="Arial"/>
                      <w:sz w:val="20"/>
                      <w:szCs w:val="20"/>
                      <w:lang w:val="en-IN"/>
                    </w:rPr>
                    <w:t xml:space="preserve">±0.004 </w:t>
                  </w:r>
                </w:p>
              </w:tc>
            </w:tr>
            <w:tr w:rsidR="00220A10" w:rsidRPr="00EB5684" w14:paraId="3D0D875E" w14:textId="77777777" w:rsidTr="0088597F">
              <w:trPr>
                <w:trHeight w:val="290"/>
              </w:trPr>
              <w:tc>
                <w:tcPr>
                  <w:tcW w:w="960" w:type="dxa"/>
                  <w:tcBorders>
                    <w:top w:val="nil"/>
                    <w:left w:val="nil"/>
                    <w:bottom w:val="nil"/>
                    <w:right w:val="nil"/>
                  </w:tcBorders>
                  <w:noWrap/>
                  <w:vAlign w:val="bottom"/>
                  <w:hideMark/>
                </w:tcPr>
                <w:p w14:paraId="660731C7" w14:textId="77777777" w:rsidR="00220A10" w:rsidRPr="00EB5684" w:rsidRDefault="00220A10" w:rsidP="0088597F">
                  <w:pPr>
                    <w:spacing w:after="0" w:line="276" w:lineRule="auto"/>
                    <w:jc w:val="both"/>
                    <w:rPr>
                      <w:rFonts w:ascii="Arial" w:eastAsia="Times New Roman" w:hAnsi="Arial" w:cs="Arial"/>
                      <w:color w:val="000000"/>
                      <w:kern w:val="0"/>
                      <w:sz w:val="20"/>
                      <w:szCs w:val="20"/>
                      <w14:ligatures w14:val="none"/>
                    </w:rPr>
                  </w:pPr>
                </w:p>
              </w:tc>
            </w:tr>
          </w:tbl>
          <w:p w14:paraId="4B0F0673" w14:textId="77777777" w:rsidR="00220A10" w:rsidRPr="00EB5684" w:rsidRDefault="00220A10" w:rsidP="0088597F">
            <w:pPr>
              <w:spacing w:line="276" w:lineRule="auto"/>
              <w:jc w:val="both"/>
              <w:rPr>
                <w:rFonts w:ascii="Arial" w:hAnsi="Arial" w:cs="Arial"/>
                <w:b/>
                <w:bCs/>
                <w:sz w:val="20"/>
                <w:szCs w:val="20"/>
              </w:rPr>
            </w:pPr>
          </w:p>
        </w:tc>
        <w:tc>
          <w:tcPr>
            <w:tcW w:w="1828" w:type="dxa"/>
          </w:tcPr>
          <w:tbl>
            <w:tblPr>
              <w:tblW w:w="1053" w:type="dxa"/>
              <w:tblLook w:val="04A0" w:firstRow="1" w:lastRow="0" w:firstColumn="1" w:lastColumn="0" w:noHBand="0" w:noVBand="1"/>
            </w:tblPr>
            <w:tblGrid>
              <w:gridCol w:w="1327"/>
            </w:tblGrid>
            <w:tr w:rsidR="00220A10" w:rsidRPr="00EB5684" w14:paraId="6FBCAFCA" w14:textId="77777777" w:rsidTr="0088597F">
              <w:trPr>
                <w:trHeight w:val="290"/>
              </w:trPr>
              <w:tc>
                <w:tcPr>
                  <w:tcW w:w="1053" w:type="dxa"/>
                  <w:tcBorders>
                    <w:top w:val="nil"/>
                    <w:left w:val="nil"/>
                    <w:bottom w:val="nil"/>
                    <w:right w:val="nil"/>
                  </w:tcBorders>
                  <w:noWrap/>
                  <w:vAlign w:val="bottom"/>
                  <w:hideMark/>
                </w:tcPr>
                <w:p w14:paraId="1A7759CC" w14:textId="77777777" w:rsidR="00220A10" w:rsidRPr="00EB5684" w:rsidRDefault="00220A10" w:rsidP="0088597F">
                  <w:pPr>
                    <w:spacing w:after="0" w:line="276" w:lineRule="auto"/>
                    <w:jc w:val="both"/>
                    <w:rPr>
                      <w:rFonts w:ascii="Arial" w:eastAsia="Times New Roman" w:hAnsi="Arial" w:cs="Arial"/>
                      <w:color w:val="000000"/>
                      <w:kern w:val="0"/>
                      <w:sz w:val="20"/>
                      <w:szCs w:val="20"/>
                      <w14:ligatures w14:val="none"/>
                    </w:rPr>
                  </w:pPr>
                  <w:r w:rsidRPr="00EB5684">
                    <w:rPr>
                      <w:rFonts w:ascii="Arial" w:eastAsia="Times New Roman" w:hAnsi="Arial" w:cs="Arial"/>
                      <w:color w:val="000000"/>
                      <w:kern w:val="0"/>
                      <w:sz w:val="20"/>
                      <w:szCs w:val="20"/>
                      <w14:ligatures w14:val="none"/>
                    </w:rPr>
                    <w:t>0.105</w:t>
                  </w:r>
                  <w:r w:rsidRPr="00EB5684">
                    <w:rPr>
                      <w:rFonts w:ascii="Arial" w:hAnsi="Arial" w:cs="Arial"/>
                      <w:sz w:val="20"/>
                      <w:szCs w:val="20"/>
                      <w:lang w:val="en-IN"/>
                    </w:rPr>
                    <w:t>±0.002</w:t>
                  </w:r>
                </w:p>
              </w:tc>
            </w:tr>
          </w:tbl>
          <w:p w14:paraId="34B0B991" w14:textId="77777777" w:rsidR="00220A10" w:rsidRPr="00EB5684" w:rsidRDefault="00220A10" w:rsidP="0088597F">
            <w:pPr>
              <w:spacing w:line="276" w:lineRule="auto"/>
              <w:jc w:val="both"/>
              <w:rPr>
                <w:rFonts w:ascii="Arial" w:hAnsi="Arial" w:cs="Arial"/>
                <w:b/>
                <w:bCs/>
                <w:sz w:val="20"/>
                <w:szCs w:val="20"/>
              </w:rPr>
            </w:pPr>
          </w:p>
        </w:tc>
        <w:tc>
          <w:tcPr>
            <w:tcW w:w="1693" w:type="dxa"/>
          </w:tcPr>
          <w:p w14:paraId="7ACBB9C7" w14:textId="77777777" w:rsidR="00220A10" w:rsidRPr="00EB5684" w:rsidRDefault="00220A10" w:rsidP="0088597F">
            <w:pPr>
              <w:spacing w:line="276" w:lineRule="auto"/>
              <w:jc w:val="both"/>
              <w:rPr>
                <w:rFonts w:ascii="Arial" w:hAnsi="Arial" w:cs="Arial"/>
                <w:b/>
                <w:bCs/>
                <w:sz w:val="20"/>
                <w:szCs w:val="20"/>
              </w:rPr>
            </w:pPr>
            <w:r w:rsidRPr="00EB5684">
              <w:rPr>
                <w:rFonts w:ascii="Arial" w:hAnsi="Arial" w:cs="Arial"/>
                <w:b/>
                <w:bCs/>
                <w:sz w:val="20"/>
                <w:szCs w:val="20"/>
              </w:rPr>
              <w:t xml:space="preserve">      0.428</w:t>
            </w:r>
          </w:p>
        </w:tc>
      </w:tr>
      <w:tr w:rsidR="00220A10" w:rsidRPr="00EB5684" w14:paraId="5185E5D2" w14:textId="77777777" w:rsidTr="000E2687">
        <w:tc>
          <w:tcPr>
            <w:tcW w:w="2245" w:type="dxa"/>
          </w:tcPr>
          <w:p w14:paraId="2B555C7A" w14:textId="77777777" w:rsidR="00220A10" w:rsidRPr="00EB5684" w:rsidRDefault="00220A10" w:rsidP="0088597F">
            <w:pPr>
              <w:spacing w:line="276" w:lineRule="auto"/>
              <w:jc w:val="both"/>
              <w:rPr>
                <w:rFonts w:ascii="Arial" w:hAnsi="Arial" w:cs="Arial"/>
                <w:b/>
                <w:bCs/>
                <w:sz w:val="20"/>
                <w:szCs w:val="20"/>
              </w:rPr>
            </w:pPr>
            <w:proofErr w:type="spellStart"/>
            <w:r w:rsidRPr="00EB5684">
              <w:rPr>
                <w:rFonts w:ascii="Arial" w:hAnsi="Arial" w:cs="Arial"/>
                <w:b/>
                <w:bCs/>
                <w:sz w:val="20"/>
                <w:szCs w:val="20"/>
              </w:rPr>
              <w:t>Testiculosomatic</w:t>
            </w:r>
            <w:proofErr w:type="spellEnd"/>
            <w:r w:rsidRPr="00EB5684">
              <w:rPr>
                <w:rFonts w:ascii="Arial" w:hAnsi="Arial" w:cs="Arial"/>
                <w:b/>
                <w:bCs/>
                <w:sz w:val="20"/>
                <w:szCs w:val="20"/>
              </w:rPr>
              <w:t xml:space="preserve"> Index </w:t>
            </w:r>
          </w:p>
        </w:tc>
        <w:tc>
          <w:tcPr>
            <w:tcW w:w="1748" w:type="dxa"/>
          </w:tcPr>
          <w:tbl>
            <w:tblPr>
              <w:tblW w:w="960" w:type="dxa"/>
              <w:tblLook w:val="04A0" w:firstRow="1" w:lastRow="0" w:firstColumn="1" w:lastColumn="0" w:noHBand="0" w:noVBand="1"/>
            </w:tblPr>
            <w:tblGrid>
              <w:gridCol w:w="1327"/>
            </w:tblGrid>
            <w:tr w:rsidR="00220A10" w:rsidRPr="00EB5684" w14:paraId="415A23D8" w14:textId="77777777" w:rsidTr="0088597F">
              <w:trPr>
                <w:trHeight w:val="290"/>
              </w:trPr>
              <w:tc>
                <w:tcPr>
                  <w:tcW w:w="960" w:type="dxa"/>
                  <w:tcBorders>
                    <w:top w:val="nil"/>
                    <w:left w:val="nil"/>
                    <w:bottom w:val="nil"/>
                    <w:right w:val="nil"/>
                  </w:tcBorders>
                  <w:noWrap/>
                  <w:vAlign w:val="bottom"/>
                  <w:hideMark/>
                </w:tcPr>
                <w:p w14:paraId="04C980AD" w14:textId="77777777" w:rsidR="00220A10" w:rsidRPr="00EB5684" w:rsidRDefault="00220A10" w:rsidP="0088597F">
                  <w:pPr>
                    <w:spacing w:after="0" w:line="276" w:lineRule="auto"/>
                    <w:jc w:val="both"/>
                    <w:rPr>
                      <w:rFonts w:ascii="Arial" w:eastAsia="Times New Roman" w:hAnsi="Arial" w:cs="Arial"/>
                      <w:color w:val="000000"/>
                      <w:kern w:val="0"/>
                      <w:sz w:val="20"/>
                      <w:szCs w:val="20"/>
                      <w14:ligatures w14:val="none"/>
                    </w:rPr>
                  </w:pPr>
                  <w:r w:rsidRPr="00EB5684">
                    <w:rPr>
                      <w:rFonts w:ascii="Arial" w:eastAsia="Times New Roman" w:hAnsi="Arial" w:cs="Arial"/>
                      <w:color w:val="000000"/>
                      <w:kern w:val="0"/>
                      <w:sz w:val="20"/>
                      <w:szCs w:val="20"/>
                      <w14:ligatures w14:val="none"/>
                    </w:rPr>
                    <w:t>0.334</w:t>
                  </w:r>
                  <w:r w:rsidRPr="00EB5684">
                    <w:rPr>
                      <w:rFonts w:ascii="Arial" w:hAnsi="Arial" w:cs="Arial"/>
                      <w:sz w:val="20"/>
                      <w:szCs w:val="20"/>
                      <w:lang w:val="en-IN"/>
                    </w:rPr>
                    <w:t xml:space="preserve">±0.017 </w:t>
                  </w:r>
                </w:p>
              </w:tc>
            </w:tr>
            <w:tr w:rsidR="00220A10" w:rsidRPr="00EB5684" w14:paraId="2B4FA5E8" w14:textId="77777777" w:rsidTr="0088597F">
              <w:trPr>
                <w:trHeight w:val="290"/>
              </w:trPr>
              <w:tc>
                <w:tcPr>
                  <w:tcW w:w="960" w:type="dxa"/>
                  <w:tcBorders>
                    <w:top w:val="nil"/>
                    <w:left w:val="nil"/>
                    <w:bottom w:val="nil"/>
                    <w:right w:val="nil"/>
                  </w:tcBorders>
                  <w:noWrap/>
                  <w:vAlign w:val="bottom"/>
                  <w:hideMark/>
                </w:tcPr>
                <w:p w14:paraId="3A1DFBBF" w14:textId="77777777" w:rsidR="00220A10" w:rsidRPr="00EB5684" w:rsidRDefault="00220A10" w:rsidP="0088597F">
                  <w:pPr>
                    <w:spacing w:after="0" w:line="276" w:lineRule="auto"/>
                    <w:jc w:val="both"/>
                    <w:rPr>
                      <w:rFonts w:ascii="Arial" w:eastAsia="Times New Roman" w:hAnsi="Arial" w:cs="Arial"/>
                      <w:color w:val="000000"/>
                      <w:kern w:val="0"/>
                      <w:sz w:val="20"/>
                      <w:szCs w:val="20"/>
                      <w14:ligatures w14:val="none"/>
                    </w:rPr>
                  </w:pPr>
                </w:p>
              </w:tc>
            </w:tr>
          </w:tbl>
          <w:p w14:paraId="299C6EC1" w14:textId="77777777" w:rsidR="00220A10" w:rsidRPr="00EB5684" w:rsidRDefault="00220A10" w:rsidP="0088597F">
            <w:pPr>
              <w:spacing w:line="276" w:lineRule="auto"/>
              <w:jc w:val="both"/>
              <w:rPr>
                <w:rFonts w:ascii="Arial" w:hAnsi="Arial" w:cs="Arial"/>
                <w:b/>
                <w:bCs/>
                <w:sz w:val="20"/>
                <w:szCs w:val="20"/>
              </w:rPr>
            </w:pPr>
          </w:p>
        </w:tc>
        <w:tc>
          <w:tcPr>
            <w:tcW w:w="1836" w:type="dxa"/>
          </w:tcPr>
          <w:tbl>
            <w:tblPr>
              <w:tblW w:w="960" w:type="dxa"/>
              <w:tblLook w:val="04A0" w:firstRow="1" w:lastRow="0" w:firstColumn="1" w:lastColumn="0" w:noHBand="0" w:noVBand="1"/>
            </w:tblPr>
            <w:tblGrid>
              <w:gridCol w:w="1312"/>
            </w:tblGrid>
            <w:tr w:rsidR="00220A10" w:rsidRPr="00EB5684" w14:paraId="63B91E72" w14:textId="77777777" w:rsidTr="0088597F">
              <w:trPr>
                <w:trHeight w:val="290"/>
              </w:trPr>
              <w:tc>
                <w:tcPr>
                  <w:tcW w:w="960" w:type="dxa"/>
                  <w:tcBorders>
                    <w:top w:val="nil"/>
                    <w:left w:val="nil"/>
                    <w:bottom w:val="nil"/>
                    <w:right w:val="nil"/>
                  </w:tcBorders>
                  <w:noWrap/>
                  <w:vAlign w:val="bottom"/>
                  <w:hideMark/>
                </w:tcPr>
                <w:p w14:paraId="7151A1CD" w14:textId="77777777" w:rsidR="00220A10" w:rsidRPr="00EB5684" w:rsidRDefault="00220A10" w:rsidP="0088597F">
                  <w:pPr>
                    <w:spacing w:after="0" w:line="276" w:lineRule="auto"/>
                    <w:jc w:val="both"/>
                    <w:rPr>
                      <w:rFonts w:ascii="Arial" w:eastAsia="Times New Roman" w:hAnsi="Arial" w:cs="Arial"/>
                      <w:color w:val="000000"/>
                      <w:kern w:val="0"/>
                      <w:sz w:val="20"/>
                      <w:szCs w:val="20"/>
                      <w14:ligatures w14:val="none"/>
                    </w:rPr>
                  </w:pPr>
                  <w:r w:rsidRPr="00EB5684">
                    <w:rPr>
                      <w:rFonts w:ascii="Arial" w:eastAsia="Times New Roman" w:hAnsi="Arial" w:cs="Arial"/>
                      <w:color w:val="000000"/>
                      <w:kern w:val="0"/>
                      <w:sz w:val="20"/>
                      <w:szCs w:val="20"/>
                      <w14:ligatures w14:val="none"/>
                    </w:rPr>
                    <w:t>0.366</w:t>
                  </w:r>
                  <w:r w:rsidRPr="00EB5684">
                    <w:rPr>
                      <w:rFonts w:ascii="Arial" w:hAnsi="Arial" w:cs="Arial"/>
                      <w:sz w:val="20"/>
                      <w:szCs w:val="20"/>
                      <w:lang w:val="en-IN"/>
                    </w:rPr>
                    <w:t xml:space="preserve">±0.011 </w:t>
                  </w:r>
                </w:p>
              </w:tc>
            </w:tr>
            <w:tr w:rsidR="00220A10" w:rsidRPr="00EB5684" w14:paraId="42B21079" w14:textId="77777777" w:rsidTr="0088597F">
              <w:trPr>
                <w:trHeight w:val="290"/>
              </w:trPr>
              <w:tc>
                <w:tcPr>
                  <w:tcW w:w="960" w:type="dxa"/>
                  <w:tcBorders>
                    <w:top w:val="nil"/>
                    <w:left w:val="nil"/>
                    <w:bottom w:val="nil"/>
                    <w:right w:val="nil"/>
                  </w:tcBorders>
                  <w:noWrap/>
                  <w:vAlign w:val="bottom"/>
                  <w:hideMark/>
                </w:tcPr>
                <w:p w14:paraId="4FD1E7AF" w14:textId="77777777" w:rsidR="00220A10" w:rsidRPr="00EB5684" w:rsidRDefault="00220A10" w:rsidP="0088597F">
                  <w:pPr>
                    <w:spacing w:after="0" w:line="276" w:lineRule="auto"/>
                    <w:jc w:val="both"/>
                    <w:rPr>
                      <w:rFonts w:ascii="Arial" w:eastAsia="Times New Roman" w:hAnsi="Arial" w:cs="Arial"/>
                      <w:color w:val="000000"/>
                      <w:kern w:val="0"/>
                      <w:sz w:val="20"/>
                      <w:szCs w:val="20"/>
                      <w14:ligatures w14:val="none"/>
                    </w:rPr>
                  </w:pPr>
                </w:p>
              </w:tc>
            </w:tr>
          </w:tbl>
          <w:p w14:paraId="442EBB03" w14:textId="77777777" w:rsidR="00220A10" w:rsidRPr="00EB5684" w:rsidRDefault="00220A10" w:rsidP="0088597F">
            <w:pPr>
              <w:spacing w:line="276" w:lineRule="auto"/>
              <w:jc w:val="both"/>
              <w:rPr>
                <w:rFonts w:ascii="Arial" w:hAnsi="Arial" w:cs="Arial"/>
                <w:b/>
                <w:bCs/>
                <w:sz w:val="20"/>
                <w:szCs w:val="20"/>
              </w:rPr>
            </w:pPr>
          </w:p>
        </w:tc>
        <w:tc>
          <w:tcPr>
            <w:tcW w:w="1828" w:type="dxa"/>
          </w:tcPr>
          <w:tbl>
            <w:tblPr>
              <w:tblW w:w="1273" w:type="dxa"/>
              <w:tblLook w:val="04A0" w:firstRow="1" w:lastRow="0" w:firstColumn="1" w:lastColumn="0" w:noHBand="0" w:noVBand="1"/>
            </w:tblPr>
            <w:tblGrid>
              <w:gridCol w:w="1273"/>
            </w:tblGrid>
            <w:tr w:rsidR="00220A10" w:rsidRPr="00EB5684" w14:paraId="769F8489" w14:textId="77777777" w:rsidTr="0088597F">
              <w:trPr>
                <w:trHeight w:val="290"/>
              </w:trPr>
              <w:tc>
                <w:tcPr>
                  <w:tcW w:w="1273" w:type="dxa"/>
                  <w:tcBorders>
                    <w:top w:val="nil"/>
                    <w:left w:val="nil"/>
                    <w:bottom w:val="nil"/>
                    <w:right w:val="nil"/>
                  </w:tcBorders>
                  <w:noWrap/>
                  <w:vAlign w:val="bottom"/>
                  <w:hideMark/>
                </w:tcPr>
                <w:p w14:paraId="4FC93FC0" w14:textId="77777777" w:rsidR="00220A10" w:rsidRPr="00EB5684" w:rsidRDefault="00220A10" w:rsidP="0088597F">
                  <w:pPr>
                    <w:spacing w:after="0" w:line="276" w:lineRule="auto"/>
                    <w:jc w:val="both"/>
                    <w:rPr>
                      <w:rFonts w:ascii="Arial" w:eastAsia="Times New Roman" w:hAnsi="Arial" w:cs="Arial"/>
                      <w:color w:val="000000"/>
                      <w:kern w:val="0"/>
                      <w:sz w:val="20"/>
                      <w:szCs w:val="20"/>
                      <w14:ligatures w14:val="none"/>
                    </w:rPr>
                  </w:pPr>
                  <w:r w:rsidRPr="00EB5684">
                    <w:rPr>
                      <w:rFonts w:ascii="Arial" w:eastAsia="Times New Roman" w:hAnsi="Arial" w:cs="Arial"/>
                      <w:color w:val="000000"/>
                      <w:kern w:val="0"/>
                      <w:sz w:val="20"/>
                      <w:szCs w:val="20"/>
                      <w14:ligatures w14:val="none"/>
                    </w:rPr>
                    <w:t>0.37</w:t>
                  </w:r>
                  <w:r w:rsidRPr="00EB5684">
                    <w:rPr>
                      <w:rFonts w:ascii="Arial" w:hAnsi="Arial" w:cs="Arial"/>
                      <w:sz w:val="20"/>
                      <w:szCs w:val="20"/>
                      <w:lang w:val="en-IN"/>
                    </w:rPr>
                    <w:t xml:space="preserve">±0.009 </w:t>
                  </w:r>
                </w:p>
              </w:tc>
            </w:tr>
          </w:tbl>
          <w:p w14:paraId="60AC692A" w14:textId="77777777" w:rsidR="00220A10" w:rsidRPr="00EB5684" w:rsidRDefault="00220A10" w:rsidP="0088597F">
            <w:pPr>
              <w:spacing w:line="276" w:lineRule="auto"/>
              <w:jc w:val="both"/>
              <w:rPr>
                <w:rFonts w:ascii="Arial" w:hAnsi="Arial" w:cs="Arial"/>
                <w:b/>
                <w:bCs/>
                <w:sz w:val="20"/>
                <w:szCs w:val="20"/>
              </w:rPr>
            </w:pPr>
          </w:p>
        </w:tc>
        <w:tc>
          <w:tcPr>
            <w:tcW w:w="1693" w:type="dxa"/>
          </w:tcPr>
          <w:p w14:paraId="514B5197" w14:textId="77777777" w:rsidR="00220A10" w:rsidRPr="00EB5684" w:rsidRDefault="00220A10" w:rsidP="0088597F">
            <w:pPr>
              <w:spacing w:line="276" w:lineRule="auto"/>
              <w:jc w:val="both"/>
              <w:rPr>
                <w:rFonts w:ascii="Arial" w:hAnsi="Arial" w:cs="Arial"/>
                <w:b/>
                <w:bCs/>
                <w:sz w:val="20"/>
                <w:szCs w:val="20"/>
              </w:rPr>
            </w:pPr>
            <w:r w:rsidRPr="00EB5684">
              <w:rPr>
                <w:rFonts w:ascii="Arial" w:hAnsi="Arial" w:cs="Arial"/>
                <w:b/>
                <w:bCs/>
                <w:sz w:val="20"/>
                <w:szCs w:val="20"/>
              </w:rPr>
              <w:t xml:space="preserve">      1.79</w:t>
            </w:r>
          </w:p>
        </w:tc>
      </w:tr>
      <w:tr w:rsidR="00220A10" w:rsidRPr="00EB5684" w14:paraId="34AD3CD2" w14:textId="77777777" w:rsidTr="000E2687">
        <w:tc>
          <w:tcPr>
            <w:tcW w:w="2245" w:type="dxa"/>
          </w:tcPr>
          <w:p w14:paraId="18CE8C92" w14:textId="4D45BD8E" w:rsidR="00220A10" w:rsidRPr="00EB5684" w:rsidRDefault="00220A10" w:rsidP="000E2687">
            <w:pPr>
              <w:spacing w:line="276" w:lineRule="auto"/>
              <w:rPr>
                <w:rFonts w:ascii="Arial" w:hAnsi="Arial" w:cs="Arial"/>
                <w:b/>
                <w:bCs/>
                <w:sz w:val="20"/>
                <w:szCs w:val="20"/>
              </w:rPr>
            </w:pPr>
            <w:r w:rsidRPr="00EB5684">
              <w:rPr>
                <w:rFonts w:ascii="Arial" w:hAnsi="Arial" w:cs="Arial"/>
                <w:b/>
                <w:bCs/>
                <w:sz w:val="20"/>
                <w:szCs w:val="20"/>
              </w:rPr>
              <w:t>Sperm count</w:t>
            </w:r>
            <w:r w:rsidR="000E2687" w:rsidRPr="00EB5684">
              <w:rPr>
                <w:rFonts w:ascii="Arial" w:hAnsi="Arial" w:cs="Arial"/>
                <w:b/>
                <w:bCs/>
                <w:sz w:val="20"/>
                <w:szCs w:val="20"/>
              </w:rPr>
              <w:t xml:space="preserve"> </w:t>
            </w:r>
            <w:r w:rsidRPr="00EB5684">
              <w:rPr>
                <w:rFonts w:ascii="Arial" w:hAnsi="Arial" w:cs="Arial"/>
                <w:b/>
                <w:bCs/>
                <w:sz w:val="20"/>
                <w:szCs w:val="20"/>
              </w:rPr>
              <w:t>(10</w:t>
            </w:r>
            <w:r w:rsidRPr="00EB5684">
              <w:rPr>
                <w:rFonts w:ascii="Arial" w:hAnsi="Arial" w:cs="Arial"/>
                <w:b/>
                <w:bCs/>
                <w:sz w:val="20"/>
                <w:szCs w:val="20"/>
                <w:vertAlign w:val="superscript"/>
              </w:rPr>
              <w:t>4</w:t>
            </w:r>
            <w:r w:rsidRPr="00EB5684">
              <w:rPr>
                <w:rFonts w:ascii="Arial" w:hAnsi="Arial" w:cs="Arial"/>
                <w:b/>
                <w:bCs/>
                <w:sz w:val="20"/>
                <w:szCs w:val="20"/>
              </w:rPr>
              <w:t>/ml)</w:t>
            </w:r>
          </w:p>
        </w:tc>
        <w:tc>
          <w:tcPr>
            <w:tcW w:w="1748" w:type="dxa"/>
          </w:tcPr>
          <w:tbl>
            <w:tblPr>
              <w:tblW w:w="960" w:type="dxa"/>
              <w:tblLook w:val="04A0" w:firstRow="1" w:lastRow="0" w:firstColumn="1" w:lastColumn="0" w:noHBand="0" w:noVBand="1"/>
            </w:tblPr>
            <w:tblGrid>
              <w:gridCol w:w="1105"/>
            </w:tblGrid>
            <w:tr w:rsidR="00220A10" w:rsidRPr="00EB5684" w14:paraId="080FFD03" w14:textId="77777777" w:rsidTr="0088597F">
              <w:trPr>
                <w:trHeight w:val="290"/>
              </w:trPr>
              <w:tc>
                <w:tcPr>
                  <w:tcW w:w="960" w:type="dxa"/>
                  <w:tcBorders>
                    <w:top w:val="nil"/>
                    <w:left w:val="nil"/>
                    <w:bottom w:val="nil"/>
                    <w:right w:val="nil"/>
                  </w:tcBorders>
                  <w:noWrap/>
                  <w:vAlign w:val="bottom"/>
                  <w:hideMark/>
                </w:tcPr>
                <w:p w14:paraId="46F38A5D" w14:textId="77777777" w:rsidR="00220A10" w:rsidRPr="00EB5684" w:rsidRDefault="00220A10" w:rsidP="0088597F">
                  <w:pPr>
                    <w:spacing w:after="0" w:line="276" w:lineRule="auto"/>
                    <w:jc w:val="both"/>
                    <w:rPr>
                      <w:rFonts w:ascii="Arial" w:eastAsia="Times New Roman" w:hAnsi="Arial" w:cs="Arial"/>
                      <w:color w:val="000000"/>
                      <w:kern w:val="0"/>
                      <w:sz w:val="20"/>
                      <w:szCs w:val="20"/>
                      <w14:ligatures w14:val="none"/>
                    </w:rPr>
                  </w:pPr>
                  <w:r w:rsidRPr="00EB5684">
                    <w:rPr>
                      <w:rFonts w:ascii="Arial" w:eastAsia="Times New Roman" w:hAnsi="Arial" w:cs="Arial"/>
                      <w:color w:val="000000"/>
                      <w:kern w:val="0"/>
                      <w:sz w:val="20"/>
                      <w:szCs w:val="20"/>
                      <w14:ligatures w14:val="none"/>
                    </w:rPr>
                    <w:t>118.4</w:t>
                  </w:r>
                  <w:r w:rsidRPr="00EB5684">
                    <w:rPr>
                      <w:rFonts w:ascii="Arial" w:hAnsi="Arial" w:cs="Arial"/>
                      <w:sz w:val="20"/>
                      <w:szCs w:val="20"/>
                      <w:lang w:val="en-IN"/>
                    </w:rPr>
                    <w:t>±6.1</w:t>
                  </w:r>
                </w:p>
              </w:tc>
            </w:tr>
            <w:tr w:rsidR="00220A10" w:rsidRPr="00EB5684" w14:paraId="4779A422" w14:textId="77777777" w:rsidTr="0088597F">
              <w:trPr>
                <w:trHeight w:val="290"/>
              </w:trPr>
              <w:tc>
                <w:tcPr>
                  <w:tcW w:w="960" w:type="dxa"/>
                  <w:tcBorders>
                    <w:top w:val="nil"/>
                    <w:left w:val="nil"/>
                    <w:bottom w:val="nil"/>
                    <w:right w:val="nil"/>
                  </w:tcBorders>
                  <w:noWrap/>
                  <w:vAlign w:val="bottom"/>
                  <w:hideMark/>
                </w:tcPr>
                <w:p w14:paraId="686A0CCB" w14:textId="77777777" w:rsidR="00220A10" w:rsidRPr="00EB5684" w:rsidRDefault="00220A10" w:rsidP="0088597F">
                  <w:pPr>
                    <w:spacing w:after="0" w:line="276" w:lineRule="auto"/>
                    <w:jc w:val="both"/>
                    <w:rPr>
                      <w:rFonts w:ascii="Arial" w:eastAsia="Times New Roman" w:hAnsi="Arial" w:cs="Arial"/>
                      <w:color w:val="000000"/>
                      <w:kern w:val="0"/>
                      <w:sz w:val="20"/>
                      <w:szCs w:val="20"/>
                      <w14:ligatures w14:val="none"/>
                    </w:rPr>
                  </w:pPr>
                </w:p>
              </w:tc>
            </w:tr>
          </w:tbl>
          <w:p w14:paraId="209A84C5" w14:textId="77777777" w:rsidR="00220A10" w:rsidRPr="00EB5684" w:rsidRDefault="00220A10" w:rsidP="0088597F">
            <w:pPr>
              <w:spacing w:line="276" w:lineRule="auto"/>
              <w:jc w:val="both"/>
              <w:rPr>
                <w:rFonts w:ascii="Arial" w:hAnsi="Arial" w:cs="Arial"/>
                <w:b/>
                <w:bCs/>
                <w:sz w:val="20"/>
                <w:szCs w:val="20"/>
              </w:rPr>
            </w:pPr>
          </w:p>
        </w:tc>
        <w:tc>
          <w:tcPr>
            <w:tcW w:w="1836" w:type="dxa"/>
          </w:tcPr>
          <w:tbl>
            <w:tblPr>
              <w:tblW w:w="960" w:type="dxa"/>
              <w:tblLook w:val="04A0" w:firstRow="1" w:lastRow="0" w:firstColumn="1" w:lastColumn="0" w:noHBand="0" w:noVBand="1"/>
            </w:tblPr>
            <w:tblGrid>
              <w:gridCol w:w="960"/>
            </w:tblGrid>
            <w:tr w:rsidR="00220A10" w:rsidRPr="00EB5684" w14:paraId="688F3A6C" w14:textId="77777777" w:rsidTr="0088597F">
              <w:trPr>
                <w:trHeight w:val="290"/>
              </w:trPr>
              <w:tc>
                <w:tcPr>
                  <w:tcW w:w="960" w:type="dxa"/>
                  <w:tcBorders>
                    <w:top w:val="nil"/>
                    <w:left w:val="nil"/>
                    <w:bottom w:val="nil"/>
                    <w:right w:val="nil"/>
                  </w:tcBorders>
                  <w:noWrap/>
                  <w:vAlign w:val="bottom"/>
                  <w:hideMark/>
                </w:tcPr>
                <w:p w14:paraId="62E439EE" w14:textId="77777777" w:rsidR="00220A10" w:rsidRPr="00EB5684" w:rsidRDefault="00220A10" w:rsidP="0088597F">
                  <w:pPr>
                    <w:spacing w:after="0" w:line="276" w:lineRule="auto"/>
                    <w:jc w:val="both"/>
                    <w:rPr>
                      <w:rFonts w:ascii="Arial" w:eastAsia="Times New Roman" w:hAnsi="Arial" w:cs="Arial"/>
                      <w:color w:val="000000"/>
                      <w:kern w:val="0"/>
                      <w:sz w:val="20"/>
                      <w:szCs w:val="20"/>
                      <w14:ligatures w14:val="none"/>
                    </w:rPr>
                  </w:pPr>
                  <w:r w:rsidRPr="00EB5684">
                    <w:rPr>
                      <w:rFonts w:ascii="Arial" w:eastAsia="Times New Roman" w:hAnsi="Arial" w:cs="Arial"/>
                      <w:color w:val="000000"/>
                      <w:kern w:val="0"/>
                      <w:sz w:val="20"/>
                      <w:szCs w:val="20"/>
                      <w14:ligatures w14:val="none"/>
                    </w:rPr>
                    <w:t>83</w:t>
                  </w:r>
                  <w:r w:rsidRPr="00EB5684">
                    <w:rPr>
                      <w:rFonts w:ascii="Arial" w:hAnsi="Arial" w:cs="Arial"/>
                      <w:sz w:val="20"/>
                      <w:szCs w:val="20"/>
                      <w:lang w:val="en-IN"/>
                    </w:rPr>
                    <w:t xml:space="preserve">±1.9* </w:t>
                  </w:r>
                </w:p>
              </w:tc>
            </w:tr>
            <w:tr w:rsidR="00220A10" w:rsidRPr="00EB5684" w14:paraId="632997B0" w14:textId="77777777" w:rsidTr="0088597F">
              <w:trPr>
                <w:trHeight w:val="290"/>
              </w:trPr>
              <w:tc>
                <w:tcPr>
                  <w:tcW w:w="960" w:type="dxa"/>
                  <w:tcBorders>
                    <w:top w:val="nil"/>
                    <w:left w:val="nil"/>
                    <w:bottom w:val="nil"/>
                    <w:right w:val="nil"/>
                  </w:tcBorders>
                  <w:noWrap/>
                  <w:vAlign w:val="bottom"/>
                  <w:hideMark/>
                </w:tcPr>
                <w:p w14:paraId="59C12EB4" w14:textId="77777777" w:rsidR="00220A10" w:rsidRPr="00EB5684" w:rsidRDefault="00220A10" w:rsidP="0088597F">
                  <w:pPr>
                    <w:spacing w:after="0" w:line="276" w:lineRule="auto"/>
                    <w:jc w:val="both"/>
                    <w:rPr>
                      <w:rFonts w:ascii="Arial" w:eastAsia="Times New Roman" w:hAnsi="Arial" w:cs="Arial"/>
                      <w:color w:val="000000"/>
                      <w:kern w:val="0"/>
                      <w:sz w:val="20"/>
                      <w:szCs w:val="20"/>
                      <w14:ligatures w14:val="none"/>
                    </w:rPr>
                  </w:pPr>
                </w:p>
              </w:tc>
            </w:tr>
          </w:tbl>
          <w:p w14:paraId="4DAD3525" w14:textId="77777777" w:rsidR="00220A10" w:rsidRPr="00EB5684" w:rsidRDefault="00220A10" w:rsidP="0088597F">
            <w:pPr>
              <w:spacing w:line="276" w:lineRule="auto"/>
              <w:jc w:val="both"/>
              <w:rPr>
                <w:rFonts w:ascii="Arial" w:hAnsi="Arial" w:cs="Arial"/>
                <w:b/>
                <w:bCs/>
                <w:sz w:val="20"/>
                <w:szCs w:val="20"/>
              </w:rPr>
            </w:pPr>
          </w:p>
        </w:tc>
        <w:tc>
          <w:tcPr>
            <w:tcW w:w="1828" w:type="dxa"/>
          </w:tcPr>
          <w:tbl>
            <w:tblPr>
              <w:tblW w:w="1053" w:type="dxa"/>
              <w:tblLook w:val="04A0" w:firstRow="1" w:lastRow="0" w:firstColumn="1" w:lastColumn="0" w:noHBand="0" w:noVBand="1"/>
            </w:tblPr>
            <w:tblGrid>
              <w:gridCol w:w="1053"/>
            </w:tblGrid>
            <w:tr w:rsidR="00220A10" w:rsidRPr="00EB5684" w14:paraId="155C78E4" w14:textId="77777777" w:rsidTr="0088597F">
              <w:trPr>
                <w:trHeight w:val="290"/>
              </w:trPr>
              <w:tc>
                <w:tcPr>
                  <w:tcW w:w="1053" w:type="dxa"/>
                  <w:tcBorders>
                    <w:top w:val="nil"/>
                    <w:left w:val="nil"/>
                    <w:bottom w:val="nil"/>
                    <w:right w:val="nil"/>
                  </w:tcBorders>
                  <w:noWrap/>
                  <w:vAlign w:val="bottom"/>
                  <w:hideMark/>
                </w:tcPr>
                <w:p w14:paraId="08DCB01A" w14:textId="77777777" w:rsidR="00220A10" w:rsidRPr="00EB5684" w:rsidRDefault="00220A10" w:rsidP="0088597F">
                  <w:pPr>
                    <w:spacing w:after="0" w:line="276" w:lineRule="auto"/>
                    <w:jc w:val="both"/>
                    <w:rPr>
                      <w:rFonts w:ascii="Arial" w:eastAsia="Times New Roman" w:hAnsi="Arial" w:cs="Arial"/>
                      <w:color w:val="000000"/>
                      <w:kern w:val="0"/>
                      <w:sz w:val="20"/>
                      <w:szCs w:val="20"/>
                      <w14:ligatures w14:val="none"/>
                    </w:rPr>
                  </w:pPr>
                  <w:r w:rsidRPr="00EB5684">
                    <w:rPr>
                      <w:rFonts w:ascii="Arial" w:eastAsia="Times New Roman" w:hAnsi="Arial" w:cs="Arial"/>
                      <w:color w:val="000000"/>
                      <w:kern w:val="0"/>
                      <w:sz w:val="20"/>
                      <w:szCs w:val="20"/>
                      <w14:ligatures w14:val="none"/>
                    </w:rPr>
                    <w:t>105</w:t>
                  </w:r>
                  <w:r w:rsidRPr="00EB5684">
                    <w:rPr>
                      <w:rFonts w:ascii="Arial" w:hAnsi="Arial" w:cs="Arial"/>
                      <w:sz w:val="20"/>
                      <w:szCs w:val="20"/>
                      <w:lang w:val="en-IN"/>
                    </w:rPr>
                    <w:t xml:space="preserve">±4.6* </w:t>
                  </w:r>
                </w:p>
              </w:tc>
            </w:tr>
          </w:tbl>
          <w:p w14:paraId="17967316" w14:textId="77777777" w:rsidR="00220A10" w:rsidRPr="00EB5684" w:rsidRDefault="00220A10" w:rsidP="0088597F">
            <w:pPr>
              <w:spacing w:line="276" w:lineRule="auto"/>
              <w:jc w:val="both"/>
              <w:rPr>
                <w:rFonts w:ascii="Arial" w:hAnsi="Arial" w:cs="Arial"/>
                <w:b/>
                <w:bCs/>
                <w:sz w:val="20"/>
                <w:szCs w:val="20"/>
              </w:rPr>
            </w:pPr>
          </w:p>
        </w:tc>
        <w:tc>
          <w:tcPr>
            <w:tcW w:w="1693" w:type="dxa"/>
          </w:tcPr>
          <w:p w14:paraId="01C9C593" w14:textId="77777777" w:rsidR="00220A10" w:rsidRPr="00EB5684" w:rsidRDefault="00220A10" w:rsidP="0088597F">
            <w:pPr>
              <w:spacing w:line="276" w:lineRule="auto"/>
              <w:jc w:val="both"/>
              <w:rPr>
                <w:rFonts w:ascii="Arial" w:hAnsi="Arial" w:cs="Arial"/>
                <w:b/>
                <w:bCs/>
                <w:sz w:val="20"/>
                <w:szCs w:val="20"/>
              </w:rPr>
            </w:pPr>
            <w:r w:rsidRPr="00EB5684">
              <w:rPr>
                <w:rFonts w:ascii="Arial" w:hAnsi="Arial" w:cs="Arial"/>
                <w:b/>
                <w:bCs/>
                <w:sz w:val="20"/>
                <w:szCs w:val="20"/>
              </w:rPr>
              <w:t xml:space="preserve">      12.215</w:t>
            </w:r>
          </w:p>
        </w:tc>
      </w:tr>
      <w:tr w:rsidR="00220A10" w:rsidRPr="00EB5684" w14:paraId="0A0623F8" w14:textId="77777777" w:rsidTr="000E2687">
        <w:trPr>
          <w:trHeight w:val="521"/>
        </w:trPr>
        <w:tc>
          <w:tcPr>
            <w:tcW w:w="2245" w:type="dxa"/>
          </w:tcPr>
          <w:p w14:paraId="75030267" w14:textId="0CAE24E8" w:rsidR="00220A10" w:rsidRPr="00EB5684" w:rsidRDefault="00220A10" w:rsidP="0088597F">
            <w:pPr>
              <w:spacing w:line="276" w:lineRule="auto"/>
              <w:jc w:val="both"/>
              <w:rPr>
                <w:rFonts w:ascii="Arial" w:hAnsi="Arial" w:cs="Arial"/>
                <w:b/>
                <w:bCs/>
                <w:sz w:val="20"/>
                <w:szCs w:val="20"/>
              </w:rPr>
            </w:pPr>
            <w:r w:rsidRPr="00EB5684">
              <w:rPr>
                <w:rFonts w:ascii="Arial" w:hAnsi="Arial" w:cs="Arial"/>
                <w:b/>
                <w:bCs/>
                <w:sz w:val="20"/>
                <w:szCs w:val="20"/>
              </w:rPr>
              <w:t>Frequency of sperm abnormality</w:t>
            </w:r>
            <w:r w:rsidR="000E2687" w:rsidRPr="00EB5684">
              <w:rPr>
                <w:rFonts w:ascii="Arial" w:hAnsi="Arial" w:cs="Arial"/>
                <w:b/>
                <w:bCs/>
                <w:sz w:val="20"/>
                <w:szCs w:val="20"/>
              </w:rPr>
              <w:t xml:space="preserve"> </w:t>
            </w:r>
            <w:r w:rsidRPr="00EB5684">
              <w:rPr>
                <w:rFonts w:ascii="Arial" w:hAnsi="Arial" w:cs="Arial"/>
                <w:b/>
                <w:bCs/>
                <w:sz w:val="20"/>
                <w:szCs w:val="20"/>
              </w:rPr>
              <w:t>(%)</w:t>
            </w:r>
          </w:p>
          <w:p w14:paraId="0F803084" w14:textId="77777777" w:rsidR="00220A10" w:rsidRPr="00EB5684" w:rsidRDefault="00220A10" w:rsidP="0088597F">
            <w:pPr>
              <w:spacing w:line="276" w:lineRule="auto"/>
              <w:jc w:val="both"/>
              <w:rPr>
                <w:rFonts w:ascii="Arial" w:hAnsi="Arial" w:cs="Arial"/>
                <w:b/>
                <w:bCs/>
                <w:sz w:val="20"/>
                <w:szCs w:val="20"/>
              </w:rPr>
            </w:pPr>
          </w:p>
        </w:tc>
        <w:tc>
          <w:tcPr>
            <w:tcW w:w="1748" w:type="dxa"/>
          </w:tcPr>
          <w:p w14:paraId="43D1FE9C" w14:textId="77777777" w:rsidR="00220A10" w:rsidRPr="00EB5684" w:rsidRDefault="00220A10" w:rsidP="0088597F">
            <w:pPr>
              <w:spacing w:line="276" w:lineRule="auto"/>
              <w:jc w:val="both"/>
              <w:rPr>
                <w:rFonts w:ascii="Arial" w:eastAsia="Times New Roman" w:hAnsi="Arial" w:cs="Arial"/>
                <w:color w:val="000000"/>
                <w:kern w:val="0"/>
                <w:sz w:val="20"/>
                <w:szCs w:val="20"/>
                <w14:ligatures w14:val="none"/>
              </w:rPr>
            </w:pPr>
            <w:r w:rsidRPr="00EB5684">
              <w:rPr>
                <w:rFonts w:ascii="Arial" w:eastAsia="Times New Roman" w:hAnsi="Arial" w:cs="Arial"/>
                <w:color w:val="000000"/>
                <w:kern w:val="0"/>
                <w:sz w:val="20"/>
                <w:szCs w:val="20"/>
                <w14:ligatures w14:val="none"/>
              </w:rPr>
              <w:t xml:space="preserve">  10.66±0.93</w:t>
            </w:r>
          </w:p>
        </w:tc>
        <w:tc>
          <w:tcPr>
            <w:tcW w:w="1836" w:type="dxa"/>
          </w:tcPr>
          <w:p w14:paraId="6A218B86" w14:textId="77777777" w:rsidR="00220A10" w:rsidRPr="00EB5684" w:rsidRDefault="00220A10" w:rsidP="0088597F">
            <w:pPr>
              <w:spacing w:line="276" w:lineRule="auto"/>
              <w:jc w:val="both"/>
              <w:rPr>
                <w:rFonts w:ascii="Arial" w:eastAsia="Times New Roman" w:hAnsi="Arial" w:cs="Arial"/>
                <w:color w:val="000000"/>
                <w:kern w:val="0"/>
                <w:sz w:val="20"/>
                <w:szCs w:val="20"/>
                <w14:ligatures w14:val="none"/>
              </w:rPr>
            </w:pPr>
            <w:r w:rsidRPr="00EB5684">
              <w:rPr>
                <w:rFonts w:ascii="Arial" w:eastAsia="Times New Roman" w:hAnsi="Arial" w:cs="Arial"/>
                <w:color w:val="000000"/>
                <w:kern w:val="0"/>
                <w:sz w:val="20"/>
                <w:szCs w:val="20"/>
                <w14:ligatures w14:val="none"/>
              </w:rPr>
              <w:t xml:space="preserve">  43.2±1.7*</w:t>
            </w:r>
          </w:p>
        </w:tc>
        <w:tc>
          <w:tcPr>
            <w:tcW w:w="1828" w:type="dxa"/>
          </w:tcPr>
          <w:p w14:paraId="23F28041" w14:textId="77777777" w:rsidR="00220A10" w:rsidRPr="00EB5684" w:rsidRDefault="00220A10" w:rsidP="0088597F">
            <w:pPr>
              <w:spacing w:line="276" w:lineRule="auto"/>
              <w:jc w:val="both"/>
              <w:rPr>
                <w:rFonts w:ascii="Arial" w:eastAsia="Times New Roman" w:hAnsi="Arial" w:cs="Arial"/>
                <w:color w:val="000000"/>
                <w:kern w:val="0"/>
                <w:sz w:val="20"/>
                <w:szCs w:val="20"/>
                <w14:ligatures w14:val="none"/>
              </w:rPr>
            </w:pPr>
            <w:r w:rsidRPr="00EB5684">
              <w:rPr>
                <w:rFonts w:ascii="Arial" w:eastAsia="Times New Roman" w:hAnsi="Arial" w:cs="Arial"/>
                <w:color w:val="000000"/>
                <w:kern w:val="0"/>
                <w:sz w:val="20"/>
                <w:szCs w:val="20"/>
                <w14:ligatures w14:val="none"/>
              </w:rPr>
              <w:t xml:space="preserve">  21.8±1.52*</w:t>
            </w:r>
          </w:p>
        </w:tc>
        <w:tc>
          <w:tcPr>
            <w:tcW w:w="1693" w:type="dxa"/>
          </w:tcPr>
          <w:p w14:paraId="292EF8A9" w14:textId="77777777" w:rsidR="00220A10" w:rsidRPr="00EB5684" w:rsidRDefault="00220A10" w:rsidP="0088597F">
            <w:pPr>
              <w:spacing w:line="276" w:lineRule="auto"/>
              <w:jc w:val="both"/>
              <w:rPr>
                <w:rFonts w:ascii="Arial" w:hAnsi="Arial" w:cs="Arial"/>
                <w:b/>
                <w:bCs/>
                <w:sz w:val="20"/>
                <w:szCs w:val="20"/>
              </w:rPr>
            </w:pPr>
            <w:r w:rsidRPr="00EB5684">
              <w:rPr>
                <w:rFonts w:ascii="Arial" w:hAnsi="Arial" w:cs="Arial"/>
                <w:b/>
                <w:bCs/>
                <w:sz w:val="20"/>
                <w:szCs w:val="20"/>
              </w:rPr>
              <w:t xml:space="preserve">      131.3</w:t>
            </w:r>
          </w:p>
        </w:tc>
      </w:tr>
    </w:tbl>
    <w:p w14:paraId="58D0B99D" w14:textId="682956E8" w:rsidR="0071208A" w:rsidRPr="00EB5684" w:rsidRDefault="0071208A" w:rsidP="0071208A">
      <w:pPr>
        <w:pStyle w:val="ListParagraph"/>
        <w:spacing w:line="276" w:lineRule="auto"/>
        <w:ind w:left="840" w:hanging="840"/>
        <w:jc w:val="both"/>
        <w:rPr>
          <w:rFonts w:ascii="Arial" w:hAnsi="Arial" w:cs="Arial"/>
          <w:noProof/>
          <w:sz w:val="16"/>
          <w:szCs w:val="16"/>
        </w:rPr>
      </w:pPr>
      <w:r w:rsidRPr="00EB5684">
        <w:rPr>
          <w:rFonts w:ascii="Arial" w:hAnsi="Arial" w:cs="Arial"/>
          <w:noProof/>
          <w:sz w:val="16"/>
          <w:szCs w:val="16"/>
        </w:rPr>
        <w:t xml:space="preserve">*Significant at </w:t>
      </w:r>
      <w:r w:rsidRPr="00EB5684">
        <w:rPr>
          <w:rFonts w:ascii="Arial" w:hAnsi="Arial" w:cs="Arial"/>
          <w:i/>
          <w:iCs/>
          <w:noProof/>
          <w:sz w:val="16"/>
          <w:szCs w:val="16"/>
        </w:rPr>
        <w:t>P</w:t>
      </w:r>
      <w:r w:rsidR="0020416B" w:rsidRPr="00EB5684">
        <w:rPr>
          <w:rFonts w:ascii="Arial" w:hAnsi="Arial" w:cs="Arial"/>
          <w:i/>
          <w:iCs/>
          <w:noProof/>
          <w:sz w:val="16"/>
          <w:szCs w:val="16"/>
        </w:rPr>
        <w:t>= .</w:t>
      </w:r>
      <w:r w:rsidRPr="00EB5684">
        <w:rPr>
          <w:rFonts w:ascii="Arial" w:hAnsi="Arial" w:cs="Arial"/>
          <w:i/>
          <w:iCs/>
          <w:noProof/>
          <w:sz w:val="16"/>
          <w:szCs w:val="16"/>
        </w:rPr>
        <w:t>05</w:t>
      </w:r>
      <w:r w:rsidRPr="00EB5684">
        <w:rPr>
          <w:rFonts w:ascii="Arial" w:hAnsi="Arial" w:cs="Arial"/>
          <w:noProof/>
          <w:sz w:val="16"/>
          <w:szCs w:val="16"/>
        </w:rPr>
        <w:t xml:space="preserve"> by ANOVA</w:t>
      </w:r>
    </w:p>
    <w:p w14:paraId="3A7260AB" w14:textId="77777777" w:rsidR="004C5D0F" w:rsidRPr="00EB5684" w:rsidRDefault="004C5D0F" w:rsidP="0071208A">
      <w:pPr>
        <w:pStyle w:val="ListParagraph"/>
        <w:spacing w:line="276" w:lineRule="auto"/>
        <w:ind w:left="840" w:hanging="840"/>
        <w:jc w:val="both"/>
        <w:rPr>
          <w:rFonts w:ascii="Arial" w:hAnsi="Arial" w:cs="Arial"/>
          <w:noProof/>
          <w:sz w:val="16"/>
          <w:szCs w:val="16"/>
        </w:rPr>
      </w:pPr>
    </w:p>
    <w:p w14:paraId="1FA188A4" w14:textId="77777777" w:rsidR="004C5D0F" w:rsidRPr="00EB5684" w:rsidRDefault="004C5D0F" w:rsidP="0071208A">
      <w:pPr>
        <w:pStyle w:val="ListParagraph"/>
        <w:spacing w:line="276" w:lineRule="auto"/>
        <w:ind w:left="840" w:hanging="840"/>
        <w:jc w:val="both"/>
        <w:rPr>
          <w:rFonts w:ascii="Arial" w:hAnsi="Arial" w:cs="Arial"/>
          <w:noProof/>
          <w:sz w:val="16"/>
          <w:szCs w:val="16"/>
        </w:rPr>
      </w:pPr>
    </w:p>
    <w:p w14:paraId="796E1317" w14:textId="63FB921B" w:rsidR="00220A10" w:rsidRPr="00EB5684" w:rsidRDefault="00560922" w:rsidP="00220A10">
      <w:pPr>
        <w:spacing w:line="276" w:lineRule="auto"/>
        <w:jc w:val="both"/>
        <w:rPr>
          <w:rFonts w:ascii="Arial" w:hAnsi="Arial" w:cs="Arial"/>
          <w:b/>
          <w:bCs/>
          <w:noProof/>
          <w:sz w:val="20"/>
          <w:szCs w:val="20"/>
        </w:rPr>
      </w:pPr>
      <w:r w:rsidRPr="00EB5684">
        <w:rPr>
          <w:rFonts w:ascii="Arial" w:hAnsi="Arial" w:cs="Arial"/>
          <w:noProof/>
          <w:sz w:val="20"/>
          <w:szCs w:val="20"/>
        </w:rPr>
        <w:lastRenderedPageBreak/>
        <w:tab/>
      </w:r>
      <w:r w:rsidRPr="00EB5684">
        <w:rPr>
          <w:rFonts w:ascii="Arial" w:hAnsi="Arial" w:cs="Arial"/>
          <w:noProof/>
          <w:sz w:val="20"/>
          <w:szCs w:val="20"/>
        </w:rPr>
        <w:tab/>
      </w:r>
      <w:r w:rsidR="00220A10" w:rsidRPr="00EB5684">
        <w:rPr>
          <w:rFonts w:ascii="Arial" w:hAnsi="Arial" w:cs="Arial"/>
          <w:noProof/>
          <w:sz w:val="20"/>
          <w:szCs w:val="20"/>
        </w:rPr>
        <w:t xml:space="preserve">   </w:t>
      </w:r>
      <w:r w:rsidR="00220A10" w:rsidRPr="00EB5684">
        <w:rPr>
          <w:rFonts w:ascii="Arial" w:hAnsi="Arial" w:cs="Arial"/>
          <w:noProof/>
          <w:sz w:val="20"/>
          <w:szCs w:val="20"/>
        </w:rPr>
        <w:drawing>
          <wp:inline distT="0" distB="0" distL="0" distR="0" wp14:anchorId="49B4F184" wp14:editId="6C964B24">
            <wp:extent cx="3724275" cy="2203450"/>
            <wp:effectExtent l="0" t="0" r="9525" b="6350"/>
            <wp:docPr id="1602427204" name="Chart 1">
              <a:extLst xmlns:a="http://schemas.openxmlformats.org/drawingml/2006/main">
                <a:ext uri="{FF2B5EF4-FFF2-40B4-BE49-F238E27FC236}">
                  <a16:creationId xmlns:a16="http://schemas.microsoft.com/office/drawing/2014/main" id="{6D1B9D60-9171-C73D-8625-371157AC570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r w:rsidR="00220A10" w:rsidRPr="00EB5684">
        <w:rPr>
          <w:rFonts w:ascii="Arial" w:hAnsi="Arial" w:cs="Arial"/>
          <w:noProof/>
          <w:sz w:val="20"/>
          <w:szCs w:val="20"/>
        </w:rPr>
        <w:t xml:space="preserve">  </w:t>
      </w:r>
      <w:r w:rsidR="00220A10" w:rsidRPr="00EB5684">
        <w:rPr>
          <w:rFonts w:ascii="Arial" w:hAnsi="Arial" w:cs="Arial"/>
          <w:b/>
          <w:bCs/>
          <w:noProof/>
          <w:sz w:val="20"/>
          <w:szCs w:val="20"/>
        </w:rPr>
        <w:t xml:space="preserve">  </w:t>
      </w:r>
    </w:p>
    <w:p w14:paraId="18D3D8AF" w14:textId="77777777" w:rsidR="00D47431" w:rsidRPr="00EB5684" w:rsidRDefault="00D47431" w:rsidP="004C5D0F">
      <w:pPr>
        <w:spacing w:line="276" w:lineRule="auto"/>
        <w:jc w:val="center"/>
        <w:rPr>
          <w:rFonts w:ascii="Arial" w:hAnsi="Arial" w:cs="Arial"/>
          <w:b/>
          <w:bCs/>
          <w:noProof/>
          <w:sz w:val="20"/>
          <w:szCs w:val="20"/>
        </w:rPr>
      </w:pPr>
    </w:p>
    <w:p w14:paraId="26A1758C" w14:textId="3D3441FA" w:rsidR="00220A10" w:rsidRPr="00EB5684" w:rsidRDefault="00220A10" w:rsidP="004C5D0F">
      <w:pPr>
        <w:spacing w:line="276" w:lineRule="auto"/>
        <w:jc w:val="center"/>
        <w:rPr>
          <w:rFonts w:ascii="Arial" w:hAnsi="Arial" w:cs="Arial"/>
          <w:b/>
          <w:bCs/>
          <w:i/>
          <w:iCs/>
          <w:noProof/>
          <w:sz w:val="20"/>
          <w:szCs w:val="20"/>
        </w:rPr>
      </w:pPr>
      <w:r w:rsidRPr="00EB5684">
        <w:rPr>
          <w:rFonts w:ascii="Arial" w:hAnsi="Arial" w:cs="Arial"/>
          <w:b/>
          <w:bCs/>
          <w:noProof/>
          <w:sz w:val="20"/>
          <w:szCs w:val="20"/>
        </w:rPr>
        <w:t>Figure 1. Effect of P</w:t>
      </w:r>
      <w:r w:rsidR="00602C36" w:rsidRPr="00EB5684">
        <w:rPr>
          <w:rFonts w:ascii="Arial" w:hAnsi="Arial" w:cs="Arial"/>
          <w:b/>
          <w:bCs/>
          <w:noProof/>
          <w:sz w:val="20"/>
          <w:szCs w:val="20"/>
        </w:rPr>
        <w:t xml:space="preserve">C </w:t>
      </w:r>
      <w:r w:rsidRPr="00EB5684">
        <w:rPr>
          <w:rFonts w:ascii="Arial" w:hAnsi="Arial" w:cs="Arial"/>
          <w:b/>
          <w:bCs/>
          <w:noProof/>
          <w:sz w:val="20"/>
          <w:szCs w:val="20"/>
        </w:rPr>
        <w:t>and</w:t>
      </w:r>
      <w:r w:rsidR="00602C36" w:rsidRPr="00EB5684">
        <w:rPr>
          <w:rFonts w:ascii="Arial" w:hAnsi="Arial" w:cs="Arial"/>
          <w:b/>
          <w:bCs/>
          <w:noProof/>
          <w:sz w:val="20"/>
          <w:szCs w:val="20"/>
        </w:rPr>
        <w:t xml:space="preserve"> PC + </w:t>
      </w:r>
      <w:r w:rsidR="00B77DA7" w:rsidRPr="00EB5684">
        <w:rPr>
          <w:rFonts w:ascii="Arial" w:hAnsi="Arial" w:cs="Arial"/>
          <w:b/>
          <w:bCs/>
          <w:noProof/>
          <w:sz w:val="20"/>
          <w:szCs w:val="20"/>
        </w:rPr>
        <w:t xml:space="preserve">fenugreek </w:t>
      </w:r>
      <w:r w:rsidRPr="00EB5684">
        <w:rPr>
          <w:rFonts w:ascii="Arial" w:hAnsi="Arial" w:cs="Arial"/>
          <w:b/>
          <w:bCs/>
          <w:noProof/>
          <w:sz w:val="20"/>
          <w:szCs w:val="20"/>
        </w:rPr>
        <w:t xml:space="preserve">on reproductive health in </w:t>
      </w:r>
      <w:r w:rsidR="00836FDF" w:rsidRPr="00EB5684">
        <w:rPr>
          <w:rFonts w:ascii="Arial" w:hAnsi="Arial" w:cs="Arial"/>
          <w:b/>
          <w:bCs/>
          <w:i/>
          <w:iCs/>
          <w:noProof/>
          <w:sz w:val="20"/>
          <w:szCs w:val="20"/>
        </w:rPr>
        <w:t>M.</w:t>
      </w:r>
      <w:r w:rsidRPr="00EB5684">
        <w:rPr>
          <w:rFonts w:ascii="Arial" w:hAnsi="Arial" w:cs="Arial"/>
          <w:b/>
          <w:bCs/>
          <w:i/>
          <w:iCs/>
          <w:noProof/>
          <w:sz w:val="20"/>
          <w:szCs w:val="20"/>
        </w:rPr>
        <w:t xml:space="preserve"> musculus</w:t>
      </w:r>
    </w:p>
    <w:p w14:paraId="1B2740CC" w14:textId="6BB35340" w:rsidR="00220A10" w:rsidRPr="00EB5684" w:rsidRDefault="00EB5684" w:rsidP="00220A10">
      <w:pPr>
        <w:spacing w:line="276" w:lineRule="auto"/>
        <w:jc w:val="both"/>
        <w:rPr>
          <w:rFonts w:ascii="Arial" w:hAnsi="Arial" w:cs="Arial"/>
          <w:vanish/>
          <w:sz w:val="16"/>
          <w:szCs w:val="16"/>
        </w:rPr>
      </w:pPr>
      <w:r>
        <w:rPr>
          <w:rFonts w:ascii="Arial" w:hAnsi="Arial" w:cs="Arial"/>
          <w:sz w:val="20"/>
          <w:szCs w:val="20"/>
        </w:rPr>
        <w:tab/>
      </w:r>
      <w:r>
        <w:rPr>
          <w:rFonts w:ascii="Arial" w:hAnsi="Arial" w:cs="Arial"/>
          <w:sz w:val="20"/>
          <w:szCs w:val="20"/>
        </w:rPr>
        <w:tab/>
      </w:r>
      <w:r w:rsidR="00AC12CA">
        <w:rPr>
          <w:rFonts w:ascii="Arial" w:hAnsi="Arial" w:cs="Arial"/>
          <w:sz w:val="20"/>
          <w:szCs w:val="20"/>
        </w:rPr>
        <w:t>(</w:t>
      </w:r>
      <w:r w:rsidRPr="00EB5684">
        <w:rPr>
          <w:rFonts w:ascii="Arial" w:hAnsi="Arial" w:cs="Arial"/>
          <w:sz w:val="16"/>
          <w:szCs w:val="16"/>
        </w:rPr>
        <w:t xml:space="preserve">BW = Body </w:t>
      </w:r>
      <w:proofErr w:type="gramStart"/>
      <w:r w:rsidRPr="00EB5684">
        <w:rPr>
          <w:rFonts w:ascii="Arial" w:hAnsi="Arial" w:cs="Arial"/>
          <w:sz w:val="16"/>
          <w:szCs w:val="16"/>
        </w:rPr>
        <w:t xml:space="preserve">weight;   </w:t>
      </w:r>
      <w:proofErr w:type="gramEnd"/>
      <w:r w:rsidRPr="00EB5684">
        <w:rPr>
          <w:rFonts w:ascii="Arial" w:hAnsi="Arial" w:cs="Arial"/>
          <w:sz w:val="16"/>
          <w:szCs w:val="16"/>
        </w:rPr>
        <w:t xml:space="preserve">TW = Testis </w:t>
      </w:r>
      <w:proofErr w:type="gramStart"/>
      <w:r w:rsidRPr="00EB5684">
        <w:rPr>
          <w:rFonts w:ascii="Arial" w:hAnsi="Arial" w:cs="Arial"/>
          <w:sz w:val="16"/>
          <w:szCs w:val="16"/>
        </w:rPr>
        <w:t xml:space="preserve">weight;  </w:t>
      </w:r>
      <w:r>
        <w:rPr>
          <w:rFonts w:ascii="Arial" w:hAnsi="Arial" w:cs="Arial"/>
          <w:sz w:val="16"/>
          <w:szCs w:val="16"/>
        </w:rPr>
        <w:t xml:space="preserve"> </w:t>
      </w:r>
      <w:proofErr w:type="gramEnd"/>
      <w:r w:rsidRPr="00EB5684">
        <w:rPr>
          <w:rFonts w:ascii="Arial" w:hAnsi="Arial" w:cs="Arial"/>
          <w:sz w:val="16"/>
          <w:szCs w:val="16"/>
        </w:rPr>
        <w:t xml:space="preserve">SC = Sperm </w:t>
      </w:r>
      <w:proofErr w:type="gramStart"/>
      <w:r w:rsidRPr="00EB5684">
        <w:rPr>
          <w:rFonts w:ascii="Arial" w:hAnsi="Arial" w:cs="Arial"/>
          <w:sz w:val="16"/>
          <w:szCs w:val="16"/>
        </w:rPr>
        <w:t xml:space="preserve">count;   </w:t>
      </w:r>
      <w:proofErr w:type="gramEnd"/>
      <w:r w:rsidRPr="00EB5684">
        <w:rPr>
          <w:rFonts w:ascii="Arial" w:hAnsi="Arial" w:cs="Arial"/>
          <w:sz w:val="16"/>
          <w:szCs w:val="16"/>
        </w:rPr>
        <w:t xml:space="preserve">  TSI = </w:t>
      </w:r>
      <w:proofErr w:type="spellStart"/>
      <w:r w:rsidRPr="00EB5684">
        <w:rPr>
          <w:rFonts w:ascii="Arial" w:hAnsi="Arial" w:cs="Arial"/>
          <w:sz w:val="16"/>
          <w:szCs w:val="16"/>
        </w:rPr>
        <w:t>Testiculosomatic</w:t>
      </w:r>
      <w:proofErr w:type="spellEnd"/>
      <w:r w:rsidRPr="00EB5684">
        <w:rPr>
          <w:rFonts w:ascii="Arial" w:hAnsi="Arial" w:cs="Arial"/>
          <w:sz w:val="16"/>
          <w:szCs w:val="16"/>
        </w:rPr>
        <w:t xml:space="preserve"> index</w:t>
      </w:r>
      <w:r w:rsidR="00AC12CA">
        <w:rPr>
          <w:rFonts w:ascii="Arial" w:hAnsi="Arial" w:cs="Arial"/>
          <w:sz w:val="16"/>
          <w:szCs w:val="16"/>
        </w:rPr>
        <w:t>)</w:t>
      </w:r>
    </w:p>
    <w:p w14:paraId="4BED89C8" w14:textId="77777777" w:rsidR="00220A10" w:rsidRPr="00EB5684" w:rsidRDefault="00220A10" w:rsidP="00220A10">
      <w:pPr>
        <w:spacing w:line="276" w:lineRule="auto"/>
        <w:jc w:val="both"/>
        <w:rPr>
          <w:rFonts w:ascii="Arial" w:hAnsi="Arial" w:cs="Arial"/>
          <w:sz w:val="16"/>
          <w:szCs w:val="16"/>
        </w:rPr>
      </w:pPr>
    </w:p>
    <w:p w14:paraId="72CB95EB" w14:textId="5B6E6939" w:rsidR="00220A10" w:rsidRPr="00EB5684" w:rsidRDefault="00220A10" w:rsidP="00220A10">
      <w:pPr>
        <w:spacing w:line="276" w:lineRule="auto"/>
        <w:jc w:val="both"/>
        <w:rPr>
          <w:rFonts w:ascii="Arial" w:hAnsi="Arial" w:cs="Arial"/>
          <w:b/>
          <w:bCs/>
          <w:noProof/>
          <w:sz w:val="20"/>
          <w:szCs w:val="20"/>
        </w:rPr>
      </w:pPr>
      <w:r w:rsidRPr="00EB5684">
        <w:rPr>
          <w:rFonts w:ascii="Arial" w:hAnsi="Arial" w:cs="Arial"/>
          <w:b/>
          <w:bCs/>
          <w:noProof/>
          <w:sz w:val="20"/>
          <w:szCs w:val="20"/>
        </w:rPr>
        <w:t xml:space="preserve">                </w:t>
      </w:r>
      <w:r w:rsidRPr="00EB5684">
        <w:rPr>
          <w:rFonts w:ascii="Arial" w:hAnsi="Arial" w:cs="Arial"/>
          <w:b/>
          <w:bCs/>
          <w:noProof/>
          <w:sz w:val="20"/>
          <w:szCs w:val="20"/>
        </w:rPr>
        <w:drawing>
          <wp:inline distT="0" distB="0" distL="0" distR="0" wp14:anchorId="1434590A" wp14:editId="0DAB82AD">
            <wp:extent cx="1216152" cy="2048256"/>
            <wp:effectExtent l="0" t="0" r="3175" b="9525"/>
            <wp:docPr id="977131832"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86192112" name="Picture 986192112"/>
                    <pic:cNvPicPr preferRelativeResize="0"/>
                  </pic:nvPicPr>
                  <pic:blipFill>
                    <a:blip r:embed="rId8">
                      <a:extLst>
                        <a:ext uri="{28A0092B-C50C-407E-A947-70E740481C1C}">
                          <a14:useLocalDpi xmlns:a14="http://schemas.microsoft.com/office/drawing/2010/main" val="0"/>
                        </a:ext>
                      </a:extLst>
                    </a:blip>
                    <a:stretch>
                      <a:fillRect/>
                    </a:stretch>
                  </pic:blipFill>
                  <pic:spPr>
                    <a:xfrm rot="10800000">
                      <a:off x="0" y="0"/>
                      <a:ext cx="1216152" cy="2048256"/>
                    </a:xfrm>
                    <a:prstGeom prst="rect">
                      <a:avLst/>
                    </a:prstGeom>
                  </pic:spPr>
                </pic:pic>
              </a:graphicData>
            </a:graphic>
          </wp:inline>
        </w:drawing>
      </w:r>
      <w:r w:rsidR="00F92565" w:rsidRPr="00EB5684">
        <w:rPr>
          <w:rFonts w:ascii="Arial" w:hAnsi="Arial" w:cs="Arial"/>
          <w:noProof/>
          <w:sz w:val="20"/>
          <w:szCs w:val="20"/>
        </w:rPr>
        <w:t xml:space="preserve"> </w:t>
      </w:r>
      <w:r w:rsidRPr="00EB5684">
        <w:rPr>
          <w:rFonts w:ascii="Arial" w:hAnsi="Arial" w:cs="Arial"/>
          <w:noProof/>
          <w:sz w:val="20"/>
          <w:szCs w:val="20"/>
        </w:rPr>
        <w:drawing>
          <wp:inline distT="0" distB="0" distL="0" distR="0" wp14:anchorId="7507A6ED" wp14:editId="419BCEB4">
            <wp:extent cx="1116733" cy="2040794"/>
            <wp:effectExtent l="0" t="0" r="7620" b="0"/>
            <wp:docPr id="37747149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69036" cy="2136376"/>
                    </a:xfrm>
                    <a:prstGeom prst="rect">
                      <a:avLst/>
                    </a:prstGeom>
                    <a:noFill/>
                    <a:ln>
                      <a:noFill/>
                    </a:ln>
                  </pic:spPr>
                </pic:pic>
              </a:graphicData>
            </a:graphic>
          </wp:inline>
        </w:drawing>
      </w:r>
      <w:r w:rsidR="00F92565" w:rsidRPr="00EB5684">
        <w:rPr>
          <w:rFonts w:ascii="Arial" w:hAnsi="Arial" w:cs="Arial"/>
          <w:b/>
          <w:bCs/>
          <w:noProof/>
          <w:sz w:val="20"/>
          <w:szCs w:val="20"/>
        </w:rPr>
        <w:t xml:space="preserve"> </w:t>
      </w:r>
      <w:r w:rsidRPr="00EB5684">
        <w:rPr>
          <w:rFonts w:ascii="Arial" w:hAnsi="Arial" w:cs="Arial"/>
          <w:b/>
          <w:bCs/>
          <w:noProof/>
          <w:sz w:val="20"/>
          <w:szCs w:val="20"/>
        </w:rPr>
        <w:drawing>
          <wp:inline distT="0" distB="0" distL="0" distR="0" wp14:anchorId="1155ABEE" wp14:editId="7B9EFA43">
            <wp:extent cx="1287201" cy="2045854"/>
            <wp:effectExtent l="0" t="0" r="8255" b="0"/>
            <wp:docPr id="21308615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278265" name="Picture 369278265"/>
                    <pic:cNvPicPr/>
                  </pic:nvPicPr>
                  <pic:blipFill rotWithShape="1">
                    <a:blip r:embed="rId10">
                      <a:extLst>
                        <a:ext uri="{28A0092B-C50C-407E-A947-70E740481C1C}">
                          <a14:useLocalDpi xmlns:a14="http://schemas.microsoft.com/office/drawing/2010/main" val="0"/>
                        </a:ext>
                      </a:extLst>
                    </a:blip>
                    <a:srcRect l="9177" b="565"/>
                    <a:stretch>
                      <a:fillRect/>
                    </a:stretch>
                  </pic:blipFill>
                  <pic:spPr bwMode="auto">
                    <a:xfrm>
                      <a:off x="0" y="0"/>
                      <a:ext cx="1322231" cy="2101530"/>
                    </a:xfrm>
                    <a:prstGeom prst="rect">
                      <a:avLst/>
                    </a:prstGeom>
                    <a:ln>
                      <a:noFill/>
                    </a:ln>
                    <a:extLst>
                      <a:ext uri="{53640926-AAD7-44D8-BBD7-CCE9431645EC}">
                        <a14:shadowObscured xmlns:a14="http://schemas.microsoft.com/office/drawing/2010/main"/>
                      </a:ext>
                    </a:extLst>
                  </pic:spPr>
                </pic:pic>
              </a:graphicData>
            </a:graphic>
          </wp:inline>
        </w:drawing>
      </w:r>
      <w:r w:rsidR="00F92565" w:rsidRPr="00EB5684">
        <w:rPr>
          <w:rFonts w:ascii="Arial" w:hAnsi="Arial" w:cs="Arial"/>
          <w:b/>
          <w:bCs/>
          <w:noProof/>
          <w:sz w:val="20"/>
          <w:szCs w:val="20"/>
        </w:rPr>
        <w:t xml:space="preserve"> </w:t>
      </w:r>
      <w:r w:rsidRPr="00EB5684">
        <w:rPr>
          <w:rFonts w:ascii="Arial" w:hAnsi="Arial" w:cs="Arial"/>
          <w:b/>
          <w:bCs/>
          <w:noProof/>
          <w:sz w:val="20"/>
          <w:szCs w:val="20"/>
        </w:rPr>
        <w:drawing>
          <wp:inline distT="0" distB="0" distL="0" distR="0" wp14:anchorId="1BF2DF44" wp14:editId="2260E315">
            <wp:extent cx="1132954" cy="2054424"/>
            <wp:effectExtent l="0" t="0" r="0" b="3175"/>
            <wp:docPr id="112450250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528733" name="Picture 581528733"/>
                    <pic:cNvPicPr/>
                  </pic:nvPicPr>
                  <pic:blipFill>
                    <a:blip r:embed="rId11">
                      <a:extLst>
                        <a:ext uri="{28A0092B-C50C-407E-A947-70E740481C1C}">
                          <a14:useLocalDpi xmlns:a14="http://schemas.microsoft.com/office/drawing/2010/main" val="0"/>
                        </a:ext>
                      </a:extLst>
                    </a:blip>
                    <a:stretch>
                      <a:fillRect/>
                    </a:stretch>
                  </pic:blipFill>
                  <pic:spPr>
                    <a:xfrm>
                      <a:off x="0" y="0"/>
                      <a:ext cx="1140289" cy="2067724"/>
                    </a:xfrm>
                    <a:prstGeom prst="rect">
                      <a:avLst/>
                    </a:prstGeom>
                  </pic:spPr>
                </pic:pic>
              </a:graphicData>
            </a:graphic>
          </wp:inline>
        </w:drawing>
      </w:r>
    </w:p>
    <w:p w14:paraId="07435787" w14:textId="5D99310C" w:rsidR="00220A10" w:rsidRPr="00EB5684" w:rsidRDefault="00220A10" w:rsidP="00220A10">
      <w:pPr>
        <w:spacing w:line="276" w:lineRule="auto"/>
        <w:jc w:val="both"/>
        <w:rPr>
          <w:rFonts w:ascii="Arial" w:hAnsi="Arial" w:cs="Arial"/>
          <w:b/>
          <w:bCs/>
          <w:noProof/>
          <w:sz w:val="20"/>
          <w:szCs w:val="20"/>
        </w:rPr>
      </w:pPr>
      <w:r w:rsidRPr="00EB5684">
        <w:rPr>
          <w:rFonts w:ascii="Arial" w:hAnsi="Arial" w:cs="Arial"/>
          <w:b/>
          <w:bCs/>
          <w:noProof/>
          <w:sz w:val="20"/>
          <w:szCs w:val="20"/>
        </w:rPr>
        <w:t xml:space="preserve">                                A                         </w:t>
      </w:r>
      <w:r w:rsidR="00AE7C1D">
        <w:rPr>
          <w:rFonts w:ascii="Arial" w:hAnsi="Arial" w:cs="Arial"/>
          <w:b/>
          <w:bCs/>
          <w:noProof/>
          <w:sz w:val="20"/>
          <w:szCs w:val="20"/>
        </w:rPr>
        <w:t xml:space="preserve">   </w:t>
      </w:r>
      <w:r w:rsidRPr="00EB5684">
        <w:rPr>
          <w:rFonts w:ascii="Arial" w:hAnsi="Arial" w:cs="Arial"/>
          <w:b/>
          <w:bCs/>
          <w:noProof/>
          <w:sz w:val="20"/>
          <w:szCs w:val="20"/>
        </w:rPr>
        <w:t xml:space="preserve">   B                            </w:t>
      </w:r>
      <w:r w:rsidR="00AE7C1D">
        <w:rPr>
          <w:rFonts w:ascii="Arial" w:hAnsi="Arial" w:cs="Arial"/>
          <w:b/>
          <w:bCs/>
          <w:noProof/>
          <w:sz w:val="20"/>
          <w:szCs w:val="20"/>
        </w:rPr>
        <w:t xml:space="preserve">      </w:t>
      </w:r>
      <w:r w:rsidRPr="00EB5684">
        <w:rPr>
          <w:rFonts w:ascii="Arial" w:hAnsi="Arial" w:cs="Arial"/>
          <w:b/>
          <w:bCs/>
          <w:noProof/>
          <w:sz w:val="20"/>
          <w:szCs w:val="20"/>
        </w:rPr>
        <w:t xml:space="preserve"> C                                D</w:t>
      </w:r>
    </w:p>
    <w:p w14:paraId="3D8192F6" w14:textId="7B91B9CD" w:rsidR="00220A10" w:rsidRPr="00EB5684" w:rsidRDefault="00220A10" w:rsidP="00DA379E">
      <w:pPr>
        <w:tabs>
          <w:tab w:val="right" w:pos="9360"/>
        </w:tabs>
        <w:spacing w:line="276" w:lineRule="auto"/>
        <w:jc w:val="both"/>
        <w:rPr>
          <w:rFonts w:ascii="Arial" w:hAnsi="Arial" w:cs="Arial"/>
          <w:b/>
          <w:bCs/>
          <w:noProof/>
          <w:sz w:val="20"/>
          <w:szCs w:val="20"/>
        </w:rPr>
      </w:pPr>
      <w:r w:rsidRPr="00EB5684">
        <w:rPr>
          <w:rFonts w:ascii="Arial" w:hAnsi="Arial" w:cs="Arial"/>
          <w:b/>
          <w:bCs/>
          <w:noProof/>
          <w:sz w:val="20"/>
          <w:szCs w:val="20"/>
        </w:rPr>
        <w:t xml:space="preserve">                                </w:t>
      </w:r>
      <w:r w:rsidRPr="00EB5684">
        <w:rPr>
          <w:rFonts w:ascii="Arial" w:hAnsi="Arial" w:cs="Arial"/>
          <w:b/>
          <w:bCs/>
          <w:noProof/>
          <w:sz w:val="20"/>
          <w:szCs w:val="20"/>
        </w:rPr>
        <w:drawing>
          <wp:inline distT="0" distB="0" distL="0" distR="0" wp14:anchorId="79D87E25" wp14:editId="6D9D0073">
            <wp:extent cx="1202690" cy="1966503"/>
            <wp:effectExtent l="0" t="0" r="0" b="0"/>
            <wp:docPr id="6557569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079173" name="Picture 262079173"/>
                    <pic:cNvPicPr/>
                  </pic:nvPicPr>
                  <pic:blipFill rotWithShape="1">
                    <a:blip r:embed="rId12">
                      <a:extLst>
                        <a:ext uri="{28A0092B-C50C-407E-A947-70E740481C1C}">
                          <a14:useLocalDpi xmlns:a14="http://schemas.microsoft.com/office/drawing/2010/main" val="0"/>
                        </a:ext>
                      </a:extLst>
                    </a:blip>
                    <a:srcRect l="20985" t="12066" r="2555" b="3471"/>
                    <a:stretch>
                      <a:fillRect/>
                    </a:stretch>
                  </pic:blipFill>
                  <pic:spPr bwMode="auto">
                    <a:xfrm>
                      <a:off x="0" y="0"/>
                      <a:ext cx="1252757" cy="2048368"/>
                    </a:xfrm>
                    <a:prstGeom prst="rect">
                      <a:avLst/>
                    </a:prstGeom>
                    <a:ln>
                      <a:noFill/>
                    </a:ln>
                    <a:extLst>
                      <a:ext uri="{53640926-AAD7-44D8-BBD7-CCE9431645EC}">
                        <a14:shadowObscured xmlns:a14="http://schemas.microsoft.com/office/drawing/2010/main"/>
                      </a:ext>
                    </a:extLst>
                  </pic:spPr>
                </pic:pic>
              </a:graphicData>
            </a:graphic>
          </wp:inline>
        </w:drawing>
      </w:r>
      <w:r w:rsidRPr="00EB5684">
        <w:rPr>
          <w:rFonts w:ascii="Arial" w:hAnsi="Arial" w:cs="Arial"/>
          <w:b/>
          <w:bCs/>
          <w:noProof/>
          <w:sz w:val="20"/>
          <w:szCs w:val="20"/>
        </w:rPr>
        <w:t xml:space="preserve"> </w:t>
      </w:r>
      <w:r w:rsidRPr="00EB5684">
        <w:rPr>
          <w:rFonts w:ascii="Arial" w:hAnsi="Arial" w:cs="Arial"/>
          <w:b/>
          <w:bCs/>
          <w:noProof/>
          <w:sz w:val="20"/>
          <w:szCs w:val="20"/>
        </w:rPr>
        <w:drawing>
          <wp:inline distT="0" distB="0" distL="0" distR="0" wp14:anchorId="354284B8" wp14:editId="280855D2">
            <wp:extent cx="1286438" cy="1971964"/>
            <wp:effectExtent l="0" t="0" r="9525" b="0"/>
            <wp:docPr id="5039459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790556" name="Picture 1974790556"/>
                    <pic:cNvPicPr/>
                  </pic:nvPicPr>
                  <pic:blipFill rotWithShape="1">
                    <a:blip r:embed="rId13">
                      <a:extLst>
                        <a:ext uri="{28A0092B-C50C-407E-A947-70E740481C1C}">
                          <a14:useLocalDpi xmlns:a14="http://schemas.microsoft.com/office/drawing/2010/main" val="0"/>
                        </a:ext>
                      </a:extLst>
                    </a:blip>
                    <a:srcRect l="1" t="1881" r="-858" b="-1826"/>
                    <a:stretch>
                      <a:fillRect/>
                    </a:stretch>
                  </pic:blipFill>
                  <pic:spPr bwMode="auto">
                    <a:xfrm>
                      <a:off x="0" y="0"/>
                      <a:ext cx="1360294" cy="2085177"/>
                    </a:xfrm>
                    <a:prstGeom prst="rect">
                      <a:avLst/>
                    </a:prstGeom>
                    <a:ln>
                      <a:noFill/>
                    </a:ln>
                    <a:extLst>
                      <a:ext uri="{53640926-AAD7-44D8-BBD7-CCE9431645EC}">
                        <a14:shadowObscured xmlns:a14="http://schemas.microsoft.com/office/drawing/2010/main"/>
                      </a:ext>
                    </a:extLst>
                  </pic:spPr>
                </pic:pic>
              </a:graphicData>
            </a:graphic>
          </wp:inline>
        </w:drawing>
      </w:r>
      <w:r w:rsidRPr="00EB5684">
        <w:rPr>
          <w:rFonts w:ascii="Arial" w:hAnsi="Arial" w:cs="Arial"/>
          <w:b/>
          <w:bCs/>
          <w:noProof/>
          <w:sz w:val="20"/>
          <w:szCs w:val="20"/>
        </w:rPr>
        <w:t xml:space="preserve"> </w:t>
      </w:r>
      <w:r w:rsidRPr="00EB5684">
        <w:rPr>
          <w:rFonts w:ascii="Arial" w:hAnsi="Arial" w:cs="Arial"/>
          <w:b/>
          <w:bCs/>
          <w:noProof/>
          <w:sz w:val="20"/>
          <w:szCs w:val="20"/>
        </w:rPr>
        <w:drawing>
          <wp:inline distT="0" distB="0" distL="0" distR="0" wp14:anchorId="5FD42A88" wp14:editId="19D8D1D3">
            <wp:extent cx="1243330" cy="1967465"/>
            <wp:effectExtent l="0" t="0" r="0" b="0"/>
            <wp:docPr id="8652561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61011" name=""/>
                    <pic:cNvPicPr/>
                  </pic:nvPicPr>
                  <pic:blipFill rotWithShape="1">
                    <a:blip r:embed="rId14"/>
                    <a:srcRect l="2176" t="19666" r="473" b="-2287"/>
                    <a:stretch>
                      <a:fillRect/>
                    </a:stretch>
                  </pic:blipFill>
                  <pic:spPr bwMode="auto">
                    <a:xfrm>
                      <a:off x="0" y="0"/>
                      <a:ext cx="1307305" cy="2068699"/>
                    </a:xfrm>
                    <a:prstGeom prst="rect">
                      <a:avLst/>
                    </a:prstGeom>
                    <a:ln>
                      <a:noFill/>
                    </a:ln>
                    <a:extLst>
                      <a:ext uri="{53640926-AAD7-44D8-BBD7-CCE9431645EC}">
                        <a14:shadowObscured xmlns:a14="http://schemas.microsoft.com/office/drawing/2010/main"/>
                      </a:ext>
                    </a:extLst>
                  </pic:spPr>
                </pic:pic>
              </a:graphicData>
            </a:graphic>
          </wp:inline>
        </w:drawing>
      </w:r>
      <w:r w:rsidR="00DA379E" w:rsidRPr="00EB5684">
        <w:rPr>
          <w:rFonts w:ascii="Arial" w:hAnsi="Arial" w:cs="Arial"/>
          <w:b/>
          <w:bCs/>
          <w:noProof/>
          <w:sz w:val="20"/>
          <w:szCs w:val="20"/>
        </w:rPr>
        <w:tab/>
      </w:r>
    </w:p>
    <w:p w14:paraId="2EEFB4B2" w14:textId="6926A94D" w:rsidR="00220A10" w:rsidRPr="00EB5684" w:rsidRDefault="00220A10" w:rsidP="00220A10">
      <w:pPr>
        <w:spacing w:line="276" w:lineRule="auto"/>
        <w:jc w:val="both"/>
        <w:rPr>
          <w:rFonts w:ascii="Arial" w:hAnsi="Arial" w:cs="Arial"/>
          <w:sz w:val="20"/>
          <w:szCs w:val="20"/>
        </w:rPr>
      </w:pPr>
      <w:r w:rsidRPr="00EB5684">
        <w:rPr>
          <w:rFonts w:ascii="Arial" w:hAnsi="Arial" w:cs="Arial"/>
          <w:b/>
          <w:bCs/>
          <w:noProof/>
          <w:sz w:val="20"/>
          <w:szCs w:val="20"/>
        </w:rPr>
        <w:t xml:space="preserve">                                          E                                </w:t>
      </w:r>
      <w:r w:rsidR="00AE7C1D">
        <w:rPr>
          <w:rFonts w:ascii="Arial" w:hAnsi="Arial" w:cs="Arial"/>
          <w:b/>
          <w:bCs/>
          <w:noProof/>
          <w:sz w:val="20"/>
          <w:szCs w:val="20"/>
        </w:rPr>
        <w:t xml:space="preserve">   </w:t>
      </w:r>
      <w:r w:rsidRPr="00EB5684">
        <w:rPr>
          <w:rFonts w:ascii="Arial" w:hAnsi="Arial" w:cs="Arial"/>
          <w:b/>
          <w:bCs/>
          <w:noProof/>
          <w:sz w:val="20"/>
          <w:szCs w:val="20"/>
        </w:rPr>
        <w:t xml:space="preserve"> F                                        G</w:t>
      </w:r>
      <w:r w:rsidRPr="00EB5684">
        <w:rPr>
          <w:rFonts w:ascii="Arial" w:hAnsi="Arial" w:cs="Arial"/>
          <w:sz w:val="20"/>
          <w:szCs w:val="20"/>
        </w:rPr>
        <w:t xml:space="preserve">                  </w:t>
      </w:r>
    </w:p>
    <w:p w14:paraId="3CF3D586" w14:textId="05F1CE58" w:rsidR="00220A10" w:rsidRPr="00EB5684" w:rsidRDefault="00220A10" w:rsidP="00220A10">
      <w:pPr>
        <w:spacing w:line="276" w:lineRule="auto"/>
        <w:jc w:val="both"/>
        <w:rPr>
          <w:rFonts w:ascii="Arial" w:hAnsi="Arial" w:cs="Arial"/>
          <w:b/>
          <w:bCs/>
          <w:sz w:val="20"/>
          <w:szCs w:val="20"/>
        </w:rPr>
      </w:pPr>
      <w:r w:rsidRPr="00EB5684">
        <w:rPr>
          <w:rFonts w:ascii="Arial" w:hAnsi="Arial" w:cs="Arial"/>
          <w:b/>
          <w:bCs/>
          <w:noProof/>
          <w:sz w:val="20"/>
          <w:szCs w:val="20"/>
        </w:rPr>
        <w:lastRenderedPageBreak/>
        <w:t>Plate 1</w:t>
      </w:r>
      <w:r w:rsidRPr="00EB5684">
        <w:rPr>
          <w:rFonts w:ascii="Arial" w:hAnsi="Arial" w:cs="Arial"/>
          <w:b/>
          <w:bCs/>
          <w:sz w:val="20"/>
          <w:szCs w:val="20"/>
        </w:rPr>
        <w:t xml:space="preserve">. </w:t>
      </w:r>
      <w:r w:rsidR="00AC12CA">
        <w:rPr>
          <w:rFonts w:ascii="Arial" w:hAnsi="Arial" w:cs="Arial"/>
          <w:b/>
          <w:bCs/>
          <w:sz w:val="20"/>
          <w:szCs w:val="20"/>
        </w:rPr>
        <w:t xml:space="preserve">Different types of </w:t>
      </w:r>
      <w:r w:rsidRPr="00EB5684">
        <w:rPr>
          <w:rFonts w:ascii="Arial" w:hAnsi="Arial" w:cs="Arial"/>
          <w:b/>
          <w:bCs/>
          <w:sz w:val="20"/>
          <w:szCs w:val="20"/>
        </w:rPr>
        <w:t>Morphological Abnormalities in sperm: normal sperm (A), Broken head (B), Bent tail (C), Bent middle piece (D), Proximal bent tail (E), Coiled tail (F), Distal bent tail (G)</w:t>
      </w:r>
    </w:p>
    <w:p w14:paraId="71534CBE" w14:textId="77777777" w:rsidR="00220A10" w:rsidRPr="00EB5684" w:rsidRDefault="00220A10" w:rsidP="00220A10">
      <w:pPr>
        <w:jc w:val="both"/>
        <w:rPr>
          <w:rFonts w:ascii="Arial" w:hAnsi="Arial" w:cs="Arial"/>
          <w:sz w:val="20"/>
          <w:szCs w:val="20"/>
        </w:rPr>
      </w:pPr>
    </w:p>
    <w:p w14:paraId="23B417C6" w14:textId="77777777" w:rsidR="00220A10" w:rsidRPr="00EB5684" w:rsidRDefault="00220A10" w:rsidP="00220A10">
      <w:pPr>
        <w:spacing w:line="276" w:lineRule="auto"/>
        <w:jc w:val="both"/>
        <w:rPr>
          <w:rFonts w:ascii="Arial" w:hAnsi="Arial" w:cs="Arial"/>
          <w:noProof/>
          <w:sz w:val="20"/>
          <w:szCs w:val="20"/>
        </w:rPr>
      </w:pPr>
      <w:r w:rsidRPr="00EB5684">
        <w:rPr>
          <w:rFonts w:ascii="Arial" w:hAnsi="Arial" w:cs="Arial"/>
          <w:noProof/>
          <w:sz w:val="20"/>
          <w:szCs w:val="20"/>
        </w:rPr>
        <w:t xml:space="preserve">           </w:t>
      </w:r>
      <w:r w:rsidRPr="00EB5684">
        <w:rPr>
          <w:rFonts w:ascii="Arial" w:hAnsi="Arial" w:cs="Arial"/>
          <w:noProof/>
          <w:sz w:val="20"/>
          <w:szCs w:val="20"/>
        </w:rPr>
        <w:drawing>
          <wp:inline distT="0" distB="0" distL="0" distR="0" wp14:anchorId="2024D626" wp14:editId="40383B2F">
            <wp:extent cx="1491606" cy="1530185"/>
            <wp:effectExtent l="0" t="0" r="0" b="0"/>
            <wp:docPr id="787259220" name="Picture 1" descr="jjj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344951" name="Picture 1" descr="jjjj"/>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29348" cy="1568903"/>
                    </a:xfrm>
                    <a:prstGeom prst="rect">
                      <a:avLst/>
                    </a:prstGeom>
                  </pic:spPr>
                </pic:pic>
              </a:graphicData>
            </a:graphic>
          </wp:inline>
        </w:drawing>
      </w:r>
      <w:r w:rsidRPr="00EB5684">
        <w:rPr>
          <w:rFonts w:ascii="Arial" w:hAnsi="Arial" w:cs="Arial"/>
          <w:noProof/>
          <w:sz w:val="20"/>
          <w:szCs w:val="20"/>
        </w:rPr>
        <w:t xml:space="preserve">         </w:t>
      </w:r>
      <w:r w:rsidRPr="00EB5684">
        <w:rPr>
          <w:rFonts w:ascii="Arial" w:hAnsi="Arial" w:cs="Arial"/>
          <w:noProof/>
          <w:sz w:val="20"/>
          <w:szCs w:val="20"/>
        </w:rPr>
        <w:drawing>
          <wp:inline distT="0" distB="0" distL="0" distR="0" wp14:anchorId="48434993" wp14:editId="73C26605">
            <wp:extent cx="1457969" cy="1524000"/>
            <wp:effectExtent l="0" t="0" r="8890" b="0"/>
            <wp:docPr id="5465249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242458" name="Picture 388242458"/>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93639" cy="1561286"/>
                    </a:xfrm>
                    <a:prstGeom prst="rect">
                      <a:avLst/>
                    </a:prstGeom>
                  </pic:spPr>
                </pic:pic>
              </a:graphicData>
            </a:graphic>
          </wp:inline>
        </w:drawing>
      </w:r>
      <w:r w:rsidRPr="00EB5684">
        <w:rPr>
          <w:rFonts w:ascii="Arial" w:hAnsi="Arial" w:cs="Arial"/>
          <w:noProof/>
          <w:sz w:val="20"/>
          <w:szCs w:val="20"/>
        </w:rPr>
        <w:t xml:space="preserve">        </w:t>
      </w:r>
      <w:r w:rsidRPr="00EB5684">
        <w:rPr>
          <w:rFonts w:ascii="Arial" w:hAnsi="Arial" w:cs="Arial"/>
          <w:noProof/>
          <w:sz w:val="20"/>
          <w:szCs w:val="20"/>
        </w:rPr>
        <w:drawing>
          <wp:inline distT="0" distB="0" distL="0" distR="0" wp14:anchorId="03461CB1" wp14:editId="4522E951">
            <wp:extent cx="1536700" cy="1390983"/>
            <wp:effectExtent l="0" t="3175" r="3175" b="3175"/>
            <wp:docPr id="8186365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567795" name="Picture 1025567795"/>
                    <pic:cNvPicPr/>
                  </pic:nvPicPr>
                  <pic:blipFill>
                    <a:blip r:embed="rId17">
                      <a:extLst>
                        <a:ext uri="{28A0092B-C50C-407E-A947-70E740481C1C}">
                          <a14:useLocalDpi xmlns:a14="http://schemas.microsoft.com/office/drawing/2010/main" val="0"/>
                        </a:ext>
                      </a:extLst>
                    </a:blip>
                    <a:stretch>
                      <a:fillRect/>
                    </a:stretch>
                  </pic:blipFill>
                  <pic:spPr>
                    <a:xfrm rot="5400000">
                      <a:off x="0" y="0"/>
                      <a:ext cx="1605994" cy="1453706"/>
                    </a:xfrm>
                    <a:prstGeom prst="rect">
                      <a:avLst/>
                    </a:prstGeom>
                  </pic:spPr>
                </pic:pic>
              </a:graphicData>
            </a:graphic>
          </wp:inline>
        </w:drawing>
      </w:r>
      <w:r w:rsidRPr="00EB5684">
        <w:rPr>
          <w:rFonts w:ascii="Arial" w:hAnsi="Arial" w:cs="Arial"/>
          <w:noProof/>
          <w:sz w:val="20"/>
          <w:szCs w:val="20"/>
        </w:rPr>
        <w:t xml:space="preserve">   </w:t>
      </w:r>
    </w:p>
    <w:p w14:paraId="5A6E0B0B" w14:textId="77777777" w:rsidR="000E2687" w:rsidRPr="00EB5684" w:rsidRDefault="00220A10" w:rsidP="00220A10">
      <w:pPr>
        <w:spacing w:line="276" w:lineRule="auto"/>
        <w:jc w:val="both"/>
        <w:rPr>
          <w:rFonts w:ascii="Arial" w:hAnsi="Arial" w:cs="Arial"/>
          <w:b/>
          <w:bCs/>
          <w:noProof/>
          <w:sz w:val="20"/>
          <w:szCs w:val="20"/>
        </w:rPr>
      </w:pPr>
      <w:r w:rsidRPr="00EB5684">
        <w:rPr>
          <w:rFonts w:ascii="Arial" w:hAnsi="Arial" w:cs="Arial"/>
          <w:b/>
          <w:bCs/>
          <w:noProof/>
          <w:sz w:val="20"/>
          <w:szCs w:val="20"/>
        </w:rPr>
        <w:t xml:space="preserve">                            A                                                  B                                  C</w:t>
      </w:r>
    </w:p>
    <w:p w14:paraId="6F87F990" w14:textId="4EF01CD1" w:rsidR="00220A10" w:rsidRPr="00EB5684" w:rsidRDefault="00220A10" w:rsidP="00220A10">
      <w:pPr>
        <w:spacing w:line="276" w:lineRule="auto"/>
        <w:jc w:val="both"/>
        <w:rPr>
          <w:rFonts w:ascii="Arial" w:hAnsi="Arial" w:cs="Arial"/>
          <w:b/>
          <w:bCs/>
          <w:noProof/>
          <w:sz w:val="20"/>
          <w:szCs w:val="20"/>
        </w:rPr>
      </w:pPr>
      <w:r w:rsidRPr="00EB5684">
        <w:rPr>
          <w:rFonts w:ascii="Arial" w:hAnsi="Arial" w:cs="Arial"/>
          <w:b/>
          <w:bCs/>
          <w:noProof/>
          <w:sz w:val="20"/>
          <w:szCs w:val="20"/>
        </w:rPr>
        <w:t xml:space="preserve">Plate 2. Histological changes in testis. (A) Normal structure of seminiferous tubule in control mice (B) </w:t>
      </w:r>
      <w:r w:rsidR="00CF471C" w:rsidRPr="00EB5684">
        <w:rPr>
          <w:rFonts w:ascii="Arial" w:hAnsi="Arial" w:cs="Arial"/>
          <w:b/>
          <w:bCs/>
          <w:noProof/>
          <w:sz w:val="20"/>
          <w:szCs w:val="20"/>
        </w:rPr>
        <w:t>Paracetamol-treated</w:t>
      </w:r>
      <w:r w:rsidRPr="00EB5684">
        <w:rPr>
          <w:rFonts w:ascii="Arial" w:hAnsi="Arial" w:cs="Arial"/>
          <w:b/>
          <w:bCs/>
          <w:noProof/>
          <w:sz w:val="20"/>
          <w:szCs w:val="20"/>
        </w:rPr>
        <w:t xml:space="preserve"> mice (Arrow showing damage</w:t>
      </w:r>
      <w:r w:rsidR="00F7195A">
        <w:rPr>
          <w:rFonts w:ascii="Arial" w:hAnsi="Arial" w:cs="Arial"/>
          <w:b/>
          <w:bCs/>
          <w:noProof/>
          <w:sz w:val="20"/>
          <w:szCs w:val="20"/>
        </w:rPr>
        <w:t xml:space="preserve"> of</w:t>
      </w:r>
      <w:r w:rsidRPr="00EB5684">
        <w:rPr>
          <w:rFonts w:ascii="Arial" w:hAnsi="Arial" w:cs="Arial"/>
          <w:b/>
          <w:bCs/>
          <w:noProof/>
          <w:sz w:val="20"/>
          <w:szCs w:val="20"/>
        </w:rPr>
        <w:t xml:space="preserve"> germinal epithelium and seminiferous tubules) (C)</w:t>
      </w:r>
      <w:r w:rsidR="00F7195A">
        <w:rPr>
          <w:rFonts w:ascii="Arial" w:hAnsi="Arial" w:cs="Arial"/>
          <w:b/>
          <w:bCs/>
          <w:noProof/>
          <w:sz w:val="20"/>
          <w:szCs w:val="20"/>
        </w:rPr>
        <w:t xml:space="preserve"> Partial recovery in germinal epithelium in </w:t>
      </w:r>
      <w:r w:rsidR="00CF471C" w:rsidRPr="00EB5684">
        <w:rPr>
          <w:rFonts w:ascii="Arial" w:hAnsi="Arial" w:cs="Arial"/>
          <w:b/>
          <w:bCs/>
          <w:noProof/>
          <w:sz w:val="20"/>
          <w:szCs w:val="20"/>
        </w:rPr>
        <w:t>P</w:t>
      </w:r>
      <w:r w:rsidR="00F7195A">
        <w:rPr>
          <w:rFonts w:ascii="Arial" w:hAnsi="Arial" w:cs="Arial"/>
          <w:b/>
          <w:bCs/>
          <w:noProof/>
          <w:sz w:val="20"/>
          <w:szCs w:val="20"/>
        </w:rPr>
        <w:t>C + Fenugreek</w:t>
      </w:r>
      <w:r w:rsidR="00CF471C" w:rsidRPr="00EB5684">
        <w:rPr>
          <w:rFonts w:ascii="Arial" w:hAnsi="Arial" w:cs="Arial"/>
          <w:b/>
          <w:bCs/>
          <w:noProof/>
          <w:sz w:val="20"/>
          <w:szCs w:val="20"/>
        </w:rPr>
        <w:t>-treated</w:t>
      </w:r>
      <w:r w:rsidRPr="00EB5684">
        <w:rPr>
          <w:rFonts w:ascii="Arial" w:hAnsi="Arial" w:cs="Arial"/>
          <w:b/>
          <w:bCs/>
          <w:noProof/>
          <w:sz w:val="20"/>
          <w:szCs w:val="20"/>
        </w:rPr>
        <w:t xml:space="preserve"> mice</w:t>
      </w:r>
    </w:p>
    <w:p w14:paraId="4262FB6C" w14:textId="77777777" w:rsidR="00D943D6" w:rsidRPr="00EB5684" w:rsidRDefault="00D943D6" w:rsidP="00220A10">
      <w:pPr>
        <w:spacing w:line="276" w:lineRule="auto"/>
        <w:jc w:val="both"/>
        <w:rPr>
          <w:rFonts w:ascii="Arial" w:hAnsi="Arial" w:cs="Arial"/>
          <w:b/>
          <w:bCs/>
          <w:sz w:val="20"/>
          <w:szCs w:val="20"/>
        </w:rPr>
      </w:pPr>
    </w:p>
    <w:p w14:paraId="53CCE3DF" w14:textId="25016A97" w:rsidR="00220A10" w:rsidRPr="00EB5684" w:rsidRDefault="00220A10" w:rsidP="00220A10">
      <w:pPr>
        <w:spacing w:line="276" w:lineRule="auto"/>
        <w:jc w:val="both"/>
        <w:rPr>
          <w:rFonts w:ascii="Arial" w:hAnsi="Arial" w:cs="Arial"/>
          <w:b/>
          <w:bCs/>
          <w:sz w:val="20"/>
          <w:szCs w:val="20"/>
        </w:rPr>
      </w:pPr>
      <w:r w:rsidRPr="00EB5684">
        <w:rPr>
          <w:rFonts w:ascii="Arial" w:hAnsi="Arial" w:cs="Arial"/>
          <w:b/>
          <w:bCs/>
          <w:sz w:val="20"/>
          <w:szCs w:val="20"/>
        </w:rPr>
        <w:t>4. CONCLUSION</w:t>
      </w:r>
    </w:p>
    <w:p w14:paraId="764ECDC1" w14:textId="4215E0C1" w:rsidR="00220A10" w:rsidRPr="00EB5684" w:rsidRDefault="00220A10" w:rsidP="00220A10">
      <w:pPr>
        <w:spacing w:line="276" w:lineRule="auto"/>
        <w:jc w:val="both"/>
        <w:rPr>
          <w:rFonts w:ascii="Arial" w:hAnsi="Arial" w:cs="Arial"/>
          <w:sz w:val="20"/>
          <w:szCs w:val="20"/>
        </w:rPr>
      </w:pPr>
      <w:r w:rsidRPr="00EB5684">
        <w:rPr>
          <w:rFonts w:ascii="Arial" w:hAnsi="Arial" w:cs="Arial"/>
          <w:sz w:val="20"/>
          <w:szCs w:val="20"/>
        </w:rPr>
        <w:tab/>
        <w:t xml:space="preserve">The present study demonstrates that PC induces significant reproductive toxicity in </w:t>
      </w:r>
      <w:r w:rsidRPr="00EB5684">
        <w:rPr>
          <w:rFonts w:ascii="Arial" w:hAnsi="Arial" w:cs="Arial"/>
          <w:i/>
          <w:iCs/>
          <w:sz w:val="20"/>
          <w:szCs w:val="20"/>
        </w:rPr>
        <w:t>Mus musculus</w:t>
      </w:r>
      <w:r w:rsidRPr="00EB5684">
        <w:rPr>
          <w:rFonts w:ascii="Arial" w:hAnsi="Arial" w:cs="Arial"/>
          <w:sz w:val="20"/>
          <w:szCs w:val="20"/>
        </w:rPr>
        <w:t>, as evidenced by impaired spermatozoa characteristics and altered testicular histology. PC-treated mice showed red</w:t>
      </w:r>
      <w:r w:rsidR="000D4183">
        <w:rPr>
          <w:rFonts w:ascii="Arial" w:hAnsi="Arial" w:cs="Arial"/>
          <w:sz w:val="20"/>
          <w:szCs w:val="20"/>
        </w:rPr>
        <w:t>uction in</w:t>
      </w:r>
      <w:r w:rsidRPr="00EB5684">
        <w:rPr>
          <w:rFonts w:ascii="Arial" w:hAnsi="Arial" w:cs="Arial"/>
          <w:sz w:val="20"/>
          <w:szCs w:val="20"/>
        </w:rPr>
        <w:t xml:space="preserve"> sperm count and motility</w:t>
      </w:r>
      <w:r w:rsidR="0099679B">
        <w:rPr>
          <w:rFonts w:ascii="Arial" w:hAnsi="Arial" w:cs="Arial"/>
          <w:sz w:val="20"/>
          <w:szCs w:val="20"/>
        </w:rPr>
        <w:t>,</w:t>
      </w:r>
      <w:r w:rsidRPr="00EB5684">
        <w:rPr>
          <w:rFonts w:ascii="Arial" w:hAnsi="Arial" w:cs="Arial"/>
          <w:sz w:val="20"/>
          <w:szCs w:val="20"/>
        </w:rPr>
        <w:t xml:space="preserve"> along with increased morphological abnormalities, indicating disrupted spermatogenesis. These effects are consistent with the known ability of PC to interfere with testicular function, possibly through oxidative stress and hormonal imbalance.</w:t>
      </w:r>
    </w:p>
    <w:p w14:paraId="48386CF5" w14:textId="7DB273EA" w:rsidR="00220A10" w:rsidRPr="00EB5684" w:rsidRDefault="001233EF" w:rsidP="00220A10">
      <w:pPr>
        <w:spacing w:line="276" w:lineRule="auto"/>
        <w:jc w:val="both"/>
        <w:rPr>
          <w:rFonts w:ascii="Arial" w:hAnsi="Arial" w:cs="Arial"/>
          <w:sz w:val="20"/>
          <w:szCs w:val="20"/>
        </w:rPr>
      </w:pPr>
      <w:r>
        <w:rPr>
          <w:rFonts w:ascii="Arial" w:hAnsi="Arial" w:cs="Arial"/>
          <w:sz w:val="20"/>
          <w:szCs w:val="20"/>
        </w:rPr>
        <w:t>During h</w:t>
      </w:r>
      <w:r w:rsidR="00220A10" w:rsidRPr="00EB5684">
        <w:rPr>
          <w:rFonts w:ascii="Arial" w:hAnsi="Arial" w:cs="Arial"/>
          <w:sz w:val="20"/>
          <w:szCs w:val="20"/>
        </w:rPr>
        <w:t xml:space="preserve">istological </w:t>
      </w:r>
      <w:r w:rsidR="00F85BB0" w:rsidRPr="00EB5684">
        <w:rPr>
          <w:rFonts w:ascii="Arial" w:hAnsi="Arial" w:cs="Arial"/>
          <w:sz w:val="20"/>
          <w:szCs w:val="20"/>
        </w:rPr>
        <w:t>study</w:t>
      </w:r>
      <w:r w:rsidR="005B5882" w:rsidRPr="00EB5684">
        <w:rPr>
          <w:rFonts w:ascii="Arial" w:hAnsi="Arial" w:cs="Arial"/>
          <w:sz w:val="20"/>
          <w:szCs w:val="20"/>
        </w:rPr>
        <w:t xml:space="preserve"> of the testis</w:t>
      </w:r>
      <w:r w:rsidR="0099679B">
        <w:rPr>
          <w:rFonts w:ascii="Arial" w:hAnsi="Arial" w:cs="Arial"/>
          <w:sz w:val="20"/>
          <w:szCs w:val="20"/>
        </w:rPr>
        <w:t>,</w:t>
      </w:r>
      <w:r>
        <w:rPr>
          <w:rFonts w:ascii="Arial" w:hAnsi="Arial" w:cs="Arial"/>
          <w:sz w:val="20"/>
          <w:szCs w:val="20"/>
        </w:rPr>
        <w:t xml:space="preserve"> several</w:t>
      </w:r>
      <w:r w:rsidR="00175057" w:rsidRPr="00EB5684">
        <w:rPr>
          <w:rFonts w:ascii="Arial" w:hAnsi="Arial" w:cs="Arial"/>
          <w:sz w:val="20"/>
          <w:szCs w:val="20"/>
        </w:rPr>
        <w:t xml:space="preserve"> </w:t>
      </w:r>
      <w:r w:rsidR="00220A10" w:rsidRPr="00EB5684">
        <w:rPr>
          <w:rFonts w:ascii="Arial" w:hAnsi="Arial" w:cs="Arial"/>
          <w:sz w:val="20"/>
          <w:szCs w:val="20"/>
        </w:rPr>
        <w:t>degenerative changes in</w:t>
      </w:r>
      <w:r>
        <w:rPr>
          <w:rFonts w:ascii="Arial" w:hAnsi="Arial" w:cs="Arial"/>
          <w:sz w:val="20"/>
          <w:szCs w:val="20"/>
        </w:rPr>
        <w:t xml:space="preserve"> </w:t>
      </w:r>
      <w:r w:rsidR="00220A10" w:rsidRPr="00EB5684">
        <w:rPr>
          <w:rFonts w:ascii="Arial" w:hAnsi="Arial" w:cs="Arial"/>
          <w:sz w:val="20"/>
          <w:szCs w:val="20"/>
        </w:rPr>
        <w:t>seminiferous tubules, including disorganization of the germinal epithelium, reduced spermatogenic cell layers, and alterations in interstitial tissue</w:t>
      </w:r>
      <w:r>
        <w:rPr>
          <w:rFonts w:ascii="Arial" w:hAnsi="Arial" w:cs="Arial"/>
          <w:sz w:val="20"/>
          <w:szCs w:val="20"/>
        </w:rPr>
        <w:t xml:space="preserve"> were observed</w:t>
      </w:r>
      <w:r w:rsidR="00220A10" w:rsidRPr="00EB5684">
        <w:rPr>
          <w:rFonts w:ascii="Arial" w:hAnsi="Arial" w:cs="Arial"/>
          <w:sz w:val="20"/>
          <w:szCs w:val="20"/>
        </w:rPr>
        <w:t>. Such structural damage reflects the vulnerability of germ cells to toxic agents and may be associated with impaired Leydig cell function and reduced testosterone support for spermatogenesis.</w:t>
      </w:r>
    </w:p>
    <w:p w14:paraId="37B8D8FB" w14:textId="7BE2AAAF" w:rsidR="00220A10" w:rsidRPr="00EB5684" w:rsidRDefault="00220A10" w:rsidP="00220A10">
      <w:pPr>
        <w:spacing w:line="276" w:lineRule="auto"/>
        <w:jc w:val="both"/>
        <w:rPr>
          <w:rFonts w:ascii="Arial" w:hAnsi="Arial" w:cs="Arial"/>
          <w:sz w:val="20"/>
          <w:szCs w:val="20"/>
        </w:rPr>
      </w:pPr>
      <w:r w:rsidRPr="00EB5684">
        <w:rPr>
          <w:rFonts w:ascii="Arial" w:hAnsi="Arial" w:cs="Arial"/>
          <w:sz w:val="20"/>
          <w:szCs w:val="20"/>
        </w:rPr>
        <w:t xml:space="preserve">Fenugreek </w:t>
      </w:r>
      <w:r w:rsidR="001233EF">
        <w:rPr>
          <w:rFonts w:ascii="Arial" w:hAnsi="Arial" w:cs="Arial"/>
          <w:sz w:val="20"/>
          <w:szCs w:val="20"/>
        </w:rPr>
        <w:t xml:space="preserve">administered </w:t>
      </w:r>
      <w:r w:rsidR="00EC1558" w:rsidRPr="00EB5684">
        <w:rPr>
          <w:rFonts w:ascii="Arial" w:hAnsi="Arial" w:cs="Arial"/>
          <w:sz w:val="20"/>
          <w:szCs w:val="20"/>
        </w:rPr>
        <w:t>with</w:t>
      </w:r>
      <w:r w:rsidRPr="00EB5684">
        <w:rPr>
          <w:rFonts w:ascii="Arial" w:hAnsi="Arial" w:cs="Arial"/>
          <w:sz w:val="20"/>
          <w:szCs w:val="20"/>
        </w:rPr>
        <w:t xml:space="preserve"> PC exposure resulted in noticeable improvement in sperm parameters and testicular </w:t>
      </w:r>
      <w:proofErr w:type="spellStart"/>
      <w:proofErr w:type="gramStart"/>
      <w:r w:rsidRPr="00EB5684">
        <w:rPr>
          <w:rFonts w:ascii="Arial" w:hAnsi="Arial" w:cs="Arial"/>
          <w:sz w:val="20"/>
          <w:szCs w:val="20"/>
        </w:rPr>
        <w:t>architecture.These</w:t>
      </w:r>
      <w:proofErr w:type="spellEnd"/>
      <w:proofErr w:type="gramEnd"/>
      <w:r w:rsidRPr="00EB5684">
        <w:rPr>
          <w:rFonts w:ascii="Arial" w:hAnsi="Arial" w:cs="Arial"/>
          <w:sz w:val="20"/>
          <w:szCs w:val="20"/>
        </w:rPr>
        <w:t xml:space="preserve"> findings suggest that fenugreek exerts a protective and restorative effect on testicular tissue.</w:t>
      </w:r>
    </w:p>
    <w:p w14:paraId="3C619753" w14:textId="77777777" w:rsidR="00C0101B" w:rsidRDefault="00C0101B" w:rsidP="00624B6C">
      <w:pPr>
        <w:spacing w:line="276" w:lineRule="auto"/>
        <w:jc w:val="both"/>
        <w:rPr>
          <w:rFonts w:ascii="Arial" w:hAnsi="Arial" w:cs="Arial"/>
          <w:sz w:val="20"/>
          <w:szCs w:val="20"/>
          <w:lang w:val="en-IN"/>
        </w:rPr>
      </w:pPr>
    </w:p>
    <w:p w14:paraId="1AB50DE7" w14:textId="77777777" w:rsidR="00C0101B" w:rsidRPr="00C0101B" w:rsidRDefault="00C0101B" w:rsidP="00C0101B">
      <w:pPr>
        <w:spacing w:after="0" w:line="240" w:lineRule="auto"/>
        <w:rPr>
          <w:rFonts w:ascii="Arial" w:eastAsia="Calibri" w:hAnsi="Arial" w:cs="Arial"/>
          <w:b/>
          <w:kern w:val="0"/>
          <w:sz w:val="20"/>
          <w:szCs w:val="20"/>
          <w14:ligatures w14:val="none"/>
        </w:rPr>
      </w:pPr>
      <w:r w:rsidRPr="00C0101B">
        <w:rPr>
          <w:rFonts w:ascii="Arial" w:eastAsia="Calibri" w:hAnsi="Arial" w:cs="Arial"/>
          <w:b/>
          <w:kern w:val="0"/>
          <w:sz w:val="20"/>
          <w:szCs w:val="20"/>
          <w14:ligatures w14:val="none"/>
        </w:rPr>
        <w:t>Declaration of AI Use</w:t>
      </w:r>
    </w:p>
    <w:p w14:paraId="2EE31B1B" w14:textId="77777777" w:rsidR="00C0101B" w:rsidRPr="00C0101B" w:rsidRDefault="00C0101B" w:rsidP="00C0101B">
      <w:pPr>
        <w:spacing w:after="0" w:line="240" w:lineRule="auto"/>
        <w:rPr>
          <w:rFonts w:ascii="Arial" w:eastAsia="Calibri" w:hAnsi="Arial" w:cs="Arial"/>
          <w:kern w:val="0"/>
          <w:sz w:val="20"/>
          <w:szCs w:val="20"/>
          <w14:ligatures w14:val="none"/>
        </w:rPr>
      </w:pPr>
    </w:p>
    <w:p w14:paraId="59939986" w14:textId="77777777" w:rsidR="00C0101B" w:rsidRPr="00C0101B" w:rsidRDefault="00C0101B" w:rsidP="00C0101B">
      <w:pPr>
        <w:spacing w:after="0" w:line="240" w:lineRule="auto"/>
        <w:rPr>
          <w:rFonts w:ascii="Arial" w:eastAsia="Calibri" w:hAnsi="Arial" w:cs="Arial"/>
          <w:kern w:val="0"/>
          <w:sz w:val="20"/>
          <w:szCs w:val="20"/>
          <w14:ligatures w14:val="none"/>
        </w:rPr>
      </w:pPr>
      <w:r w:rsidRPr="00C0101B">
        <w:rPr>
          <w:rFonts w:ascii="Arial" w:eastAsia="Calibri" w:hAnsi="Arial" w:cs="Arial"/>
          <w:kern w:val="0"/>
          <w:sz w:val="20"/>
          <w:szCs w:val="20"/>
          <w14:ligatures w14:val="none"/>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E7584CC" w14:textId="77777777" w:rsidR="00C0101B" w:rsidRPr="00C0101B" w:rsidRDefault="00C0101B" w:rsidP="00C0101B">
      <w:pPr>
        <w:spacing w:after="0" w:line="240" w:lineRule="auto"/>
        <w:jc w:val="both"/>
        <w:rPr>
          <w:rFonts w:ascii="Times New Roman" w:eastAsia="Calibri" w:hAnsi="Times New Roman" w:cs="Times New Roman"/>
          <w:kern w:val="0"/>
          <w:sz w:val="22"/>
          <w:szCs w:val="22"/>
          <w14:ligatures w14:val="none"/>
        </w:rPr>
      </w:pPr>
    </w:p>
    <w:p w14:paraId="4D7434CA" w14:textId="77777777" w:rsidR="00C0101B" w:rsidRPr="00C0101B" w:rsidRDefault="00C0101B" w:rsidP="00C0101B">
      <w:pPr>
        <w:spacing w:after="0" w:line="240" w:lineRule="auto"/>
        <w:jc w:val="both"/>
        <w:rPr>
          <w:rFonts w:ascii="Times New Roman" w:eastAsia="Calibri" w:hAnsi="Times New Roman" w:cs="Times New Roman"/>
          <w:kern w:val="0"/>
          <w:sz w:val="22"/>
          <w:szCs w:val="22"/>
          <w14:ligatures w14:val="none"/>
        </w:rPr>
      </w:pPr>
    </w:p>
    <w:p w14:paraId="7E1A0970" w14:textId="77777777" w:rsidR="00C0101B" w:rsidRPr="00C0101B" w:rsidRDefault="00C0101B" w:rsidP="00C0101B">
      <w:pPr>
        <w:spacing w:after="200" w:line="276" w:lineRule="auto"/>
        <w:rPr>
          <w:rFonts w:ascii="Cambria" w:eastAsia="Times New Roman" w:hAnsi="Cambria" w:cs="Arial"/>
          <w:b/>
          <w:bCs/>
          <w:kern w:val="0"/>
          <w:sz w:val="22"/>
          <w:szCs w:val="22"/>
          <w:lang w:val="en-GB" w:eastAsia="en-GB"/>
          <w14:ligatures w14:val="none"/>
        </w:rPr>
      </w:pPr>
      <w:r w:rsidRPr="00C0101B">
        <w:rPr>
          <w:rFonts w:ascii="Cambria" w:eastAsia="Times New Roman" w:hAnsi="Cambria" w:cs="Arial"/>
          <w:b/>
          <w:bCs/>
          <w:kern w:val="0"/>
          <w:sz w:val="22"/>
          <w:szCs w:val="22"/>
          <w:lang w:val="en-GB" w:eastAsia="en-GB"/>
          <w14:ligatures w14:val="none"/>
        </w:rPr>
        <w:t>COMPETING INTERESTS DISCLAIMER:</w:t>
      </w:r>
    </w:p>
    <w:p w14:paraId="47E908A5" w14:textId="77777777" w:rsidR="00C0101B" w:rsidRPr="00C0101B" w:rsidRDefault="00C0101B" w:rsidP="00C0101B">
      <w:pPr>
        <w:spacing w:after="200" w:line="276" w:lineRule="auto"/>
        <w:rPr>
          <w:rFonts w:ascii="Cambria" w:eastAsia="Times New Roman" w:hAnsi="Cambria" w:cs="Times New Roman"/>
          <w:kern w:val="0"/>
          <w:sz w:val="22"/>
          <w:szCs w:val="22"/>
          <w:lang w:val="en-GB" w:eastAsia="en-GB"/>
          <w14:ligatures w14:val="none"/>
        </w:rPr>
      </w:pPr>
      <w:r w:rsidRPr="00C0101B">
        <w:rPr>
          <w:rFonts w:ascii="Cambria" w:eastAsia="Times New Roman" w:hAnsi="Cambria" w:cs="Arial"/>
          <w:kern w:val="0"/>
          <w:sz w:val="22"/>
          <w:szCs w:val="22"/>
          <w:lang w:val="en-GB" w:eastAsia="en-GB"/>
          <w14:ligatures w14:val="none"/>
        </w:rPr>
        <w:lastRenderedPageBreak/>
        <w:t>Authors have declared that they have no known competing financial interests OR non-financial interests OR personal relationships that could have appeared to influence the work reported in this paper.</w:t>
      </w:r>
    </w:p>
    <w:p w14:paraId="52CBB083" w14:textId="77777777" w:rsidR="00C0101B" w:rsidRDefault="00C0101B" w:rsidP="00624B6C">
      <w:pPr>
        <w:spacing w:line="276" w:lineRule="auto"/>
        <w:jc w:val="both"/>
        <w:rPr>
          <w:rFonts w:ascii="Arial" w:hAnsi="Arial" w:cs="Arial"/>
          <w:sz w:val="20"/>
          <w:szCs w:val="20"/>
          <w:lang w:val="en-IN"/>
        </w:rPr>
      </w:pPr>
    </w:p>
    <w:p w14:paraId="5A1B03BE" w14:textId="77777777" w:rsidR="00624B6C" w:rsidRDefault="00624B6C" w:rsidP="00624B6C">
      <w:pPr>
        <w:spacing w:line="276" w:lineRule="auto"/>
        <w:jc w:val="both"/>
        <w:rPr>
          <w:rFonts w:ascii="Arial" w:hAnsi="Arial" w:cs="Arial"/>
          <w:sz w:val="20"/>
          <w:szCs w:val="20"/>
          <w:lang w:val="en-IN"/>
        </w:rPr>
      </w:pPr>
    </w:p>
    <w:p w14:paraId="7166BCD1" w14:textId="1A4EBFA6" w:rsidR="00220A10" w:rsidRPr="00624B6C" w:rsidRDefault="00220A10" w:rsidP="00624B6C">
      <w:pPr>
        <w:spacing w:line="276" w:lineRule="auto"/>
        <w:jc w:val="both"/>
        <w:rPr>
          <w:rFonts w:ascii="Arial" w:hAnsi="Arial" w:cs="Arial"/>
          <w:sz w:val="20"/>
          <w:szCs w:val="20"/>
          <w:lang w:val="en-IN"/>
        </w:rPr>
      </w:pPr>
      <w:r w:rsidRPr="00EB5684">
        <w:rPr>
          <w:rFonts w:ascii="Arial" w:hAnsi="Arial" w:cs="Arial"/>
          <w:b/>
          <w:bCs/>
          <w:sz w:val="20"/>
          <w:szCs w:val="20"/>
        </w:rPr>
        <w:t>REFERENCES</w:t>
      </w:r>
    </w:p>
    <w:p w14:paraId="29A5C475" w14:textId="60F17FB1" w:rsidR="00067846" w:rsidRPr="00067846" w:rsidRDefault="00067846" w:rsidP="00067846">
      <w:pPr>
        <w:jc w:val="both"/>
        <w:rPr>
          <w:rFonts w:ascii="Arial" w:hAnsi="Arial" w:cs="Arial"/>
          <w:sz w:val="20"/>
          <w:szCs w:val="20"/>
        </w:rPr>
      </w:pPr>
      <w:r w:rsidRPr="00067846">
        <w:rPr>
          <w:rFonts w:ascii="Arial" w:hAnsi="Arial" w:cs="Arial"/>
          <w:sz w:val="20"/>
          <w:szCs w:val="20"/>
        </w:rPr>
        <w:t>Ademola, O. J., Alimba, C. G., &amp; Bakare, A. A. (2020). Reproductive toxicity assessment</w:t>
      </w:r>
      <w:r w:rsidR="0082798A">
        <w:rPr>
          <w:rFonts w:ascii="Arial" w:hAnsi="Arial" w:cs="Arial"/>
          <w:sz w:val="20"/>
          <w:szCs w:val="20"/>
        </w:rPr>
        <w:t xml:space="preserve"> </w:t>
      </w:r>
      <w:r w:rsidRPr="00067846">
        <w:rPr>
          <w:rFonts w:ascii="Arial" w:hAnsi="Arial" w:cs="Arial"/>
          <w:sz w:val="20"/>
          <w:szCs w:val="20"/>
        </w:rPr>
        <w:t xml:space="preserve">of </w:t>
      </w:r>
      <w:proofErr w:type="spellStart"/>
      <w:r w:rsidRPr="00067846">
        <w:rPr>
          <w:rFonts w:ascii="Arial" w:hAnsi="Arial" w:cs="Arial"/>
          <w:sz w:val="20"/>
          <w:szCs w:val="20"/>
        </w:rPr>
        <w:t>Olusosun</w:t>
      </w:r>
      <w:proofErr w:type="spellEnd"/>
      <w:r w:rsidRPr="00067846">
        <w:rPr>
          <w:rFonts w:ascii="Arial" w:hAnsi="Arial" w:cs="Arial"/>
          <w:sz w:val="20"/>
          <w:szCs w:val="20"/>
        </w:rPr>
        <w:t xml:space="preserve"> </w:t>
      </w:r>
      <w:r>
        <w:rPr>
          <w:rFonts w:ascii="Arial" w:hAnsi="Arial" w:cs="Arial"/>
          <w:sz w:val="20"/>
          <w:szCs w:val="20"/>
        </w:rPr>
        <w:tab/>
      </w:r>
      <w:r w:rsidRPr="00067846">
        <w:rPr>
          <w:rFonts w:ascii="Arial" w:hAnsi="Arial" w:cs="Arial"/>
          <w:sz w:val="20"/>
          <w:szCs w:val="20"/>
        </w:rPr>
        <w:t xml:space="preserve">municipal landfill leachate in </w:t>
      </w:r>
      <w:r w:rsidRPr="00067846">
        <w:rPr>
          <w:rFonts w:ascii="Arial" w:hAnsi="Arial" w:cs="Arial"/>
          <w:i/>
          <w:iCs/>
          <w:sz w:val="20"/>
          <w:szCs w:val="20"/>
        </w:rPr>
        <w:t>Mus musculus</w:t>
      </w:r>
      <w:r w:rsidRPr="00067846">
        <w:rPr>
          <w:rFonts w:ascii="Arial" w:hAnsi="Arial" w:cs="Arial"/>
          <w:sz w:val="20"/>
          <w:szCs w:val="20"/>
        </w:rPr>
        <w:t xml:space="preserve"> using abnormal sperm</w:t>
      </w:r>
      <w:r w:rsidR="0082798A">
        <w:rPr>
          <w:rFonts w:ascii="Arial" w:hAnsi="Arial" w:cs="Arial"/>
          <w:sz w:val="20"/>
          <w:szCs w:val="20"/>
        </w:rPr>
        <w:t xml:space="preserve"> </w:t>
      </w:r>
      <w:r w:rsidRPr="00067846">
        <w:rPr>
          <w:rFonts w:ascii="Arial" w:hAnsi="Arial" w:cs="Arial"/>
          <w:sz w:val="20"/>
          <w:szCs w:val="20"/>
        </w:rPr>
        <w:t xml:space="preserve">morphology and </w:t>
      </w:r>
      <w:r>
        <w:rPr>
          <w:rFonts w:ascii="Arial" w:hAnsi="Arial" w:cs="Arial"/>
          <w:sz w:val="20"/>
          <w:szCs w:val="20"/>
        </w:rPr>
        <w:tab/>
      </w:r>
      <w:r w:rsidRPr="00067846">
        <w:rPr>
          <w:rFonts w:ascii="Arial" w:hAnsi="Arial" w:cs="Arial"/>
          <w:sz w:val="20"/>
          <w:szCs w:val="20"/>
        </w:rPr>
        <w:t xml:space="preserve">dominant lethal mutation assays. </w:t>
      </w:r>
      <w:r w:rsidRPr="00067846">
        <w:rPr>
          <w:rFonts w:ascii="Arial" w:hAnsi="Arial" w:cs="Arial"/>
          <w:i/>
          <w:iCs/>
          <w:sz w:val="20"/>
          <w:szCs w:val="20"/>
        </w:rPr>
        <w:t>Environmental Analysis, Health</w:t>
      </w:r>
      <w:r w:rsidR="0082798A">
        <w:rPr>
          <w:rFonts w:ascii="Arial" w:hAnsi="Arial" w:cs="Arial"/>
          <w:i/>
          <w:iCs/>
          <w:sz w:val="20"/>
          <w:szCs w:val="20"/>
        </w:rPr>
        <w:t xml:space="preserve"> </w:t>
      </w:r>
      <w:r w:rsidRPr="00067846">
        <w:rPr>
          <w:rFonts w:ascii="Arial" w:hAnsi="Arial" w:cs="Arial"/>
          <w:i/>
          <w:iCs/>
          <w:sz w:val="20"/>
          <w:szCs w:val="20"/>
        </w:rPr>
        <w:t xml:space="preserve">and Toxicology, </w:t>
      </w:r>
      <w:r w:rsidRPr="003329E5">
        <w:rPr>
          <w:rFonts w:ascii="Arial" w:hAnsi="Arial" w:cs="Arial"/>
          <w:sz w:val="20"/>
          <w:szCs w:val="20"/>
        </w:rPr>
        <w:t>35(2),</w:t>
      </w:r>
      <w:r w:rsidRPr="00067846">
        <w:rPr>
          <w:rFonts w:ascii="Arial" w:hAnsi="Arial" w:cs="Arial"/>
          <w:sz w:val="20"/>
          <w:szCs w:val="20"/>
        </w:rPr>
        <w:t xml:space="preserve"> </w:t>
      </w:r>
      <w:r>
        <w:rPr>
          <w:rFonts w:ascii="Arial" w:hAnsi="Arial" w:cs="Arial"/>
          <w:sz w:val="20"/>
          <w:szCs w:val="20"/>
        </w:rPr>
        <w:tab/>
      </w:r>
      <w:r w:rsidRPr="00067846">
        <w:rPr>
          <w:rFonts w:ascii="Arial" w:hAnsi="Arial" w:cs="Arial"/>
          <w:sz w:val="20"/>
          <w:szCs w:val="20"/>
        </w:rPr>
        <w:t xml:space="preserve">e2020010. https://doi.org/10.5620/eaht.e2020010 </w:t>
      </w:r>
    </w:p>
    <w:p w14:paraId="576E87E1" w14:textId="43EBE518" w:rsidR="00067846" w:rsidRPr="00067846" w:rsidRDefault="00067846" w:rsidP="00067846">
      <w:pPr>
        <w:jc w:val="both"/>
        <w:rPr>
          <w:rFonts w:ascii="Arial" w:hAnsi="Arial" w:cs="Arial"/>
          <w:sz w:val="20"/>
          <w:szCs w:val="20"/>
        </w:rPr>
      </w:pPr>
      <w:r w:rsidRPr="00067846">
        <w:rPr>
          <w:rFonts w:ascii="Arial" w:hAnsi="Arial" w:cs="Arial"/>
          <w:sz w:val="20"/>
          <w:szCs w:val="20"/>
        </w:rPr>
        <w:t>Agarwal, A., Aponte-Mellado, A., Premkumar, B. J., Shaman, A., &amp; Gupta, S. (2012). The</w:t>
      </w:r>
      <w:r w:rsidR="00A76C50">
        <w:rPr>
          <w:rFonts w:ascii="Arial" w:hAnsi="Arial" w:cs="Arial"/>
          <w:sz w:val="20"/>
          <w:szCs w:val="20"/>
        </w:rPr>
        <w:t xml:space="preserve"> </w:t>
      </w:r>
      <w:r w:rsidRPr="00067846">
        <w:rPr>
          <w:rFonts w:ascii="Arial" w:hAnsi="Arial" w:cs="Arial"/>
          <w:sz w:val="20"/>
          <w:szCs w:val="20"/>
        </w:rPr>
        <w:t>effects of</w:t>
      </w:r>
      <w:r w:rsidR="00A76C50">
        <w:rPr>
          <w:rFonts w:ascii="Arial" w:hAnsi="Arial" w:cs="Arial"/>
          <w:sz w:val="20"/>
          <w:szCs w:val="20"/>
        </w:rPr>
        <w:t xml:space="preserve"> </w:t>
      </w:r>
      <w:r w:rsidRPr="00067846">
        <w:rPr>
          <w:rFonts w:ascii="Arial" w:hAnsi="Arial" w:cs="Arial"/>
          <w:sz w:val="20"/>
          <w:szCs w:val="20"/>
        </w:rPr>
        <w:t xml:space="preserve">oxidative </w:t>
      </w:r>
      <w:r w:rsidR="00A76C50">
        <w:rPr>
          <w:rFonts w:ascii="Arial" w:hAnsi="Arial" w:cs="Arial"/>
          <w:sz w:val="20"/>
          <w:szCs w:val="20"/>
        </w:rPr>
        <w:tab/>
      </w:r>
      <w:r w:rsidRPr="00067846">
        <w:rPr>
          <w:rFonts w:ascii="Arial" w:hAnsi="Arial" w:cs="Arial"/>
          <w:sz w:val="20"/>
          <w:szCs w:val="20"/>
        </w:rPr>
        <w:t xml:space="preserve">stress on female reproduction: A review. </w:t>
      </w:r>
      <w:r w:rsidRPr="00067846">
        <w:rPr>
          <w:rFonts w:ascii="Arial" w:hAnsi="Arial" w:cs="Arial"/>
          <w:i/>
          <w:iCs/>
          <w:sz w:val="20"/>
          <w:szCs w:val="20"/>
        </w:rPr>
        <w:t>Reproductive Biology</w:t>
      </w:r>
      <w:r w:rsidR="00A76C50">
        <w:rPr>
          <w:rFonts w:ascii="Arial" w:hAnsi="Arial" w:cs="Arial"/>
          <w:i/>
          <w:iCs/>
          <w:sz w:val="20"/>
          <w:szCs w:val="20"/>
        </w:rPr>
        <w:t xml:space="preserve"> </w:t>
      </w:r>
      <w:r w:rsidRPr="00067846">
        <w:rPr>
          <w:rFonts w:ascii="Arial" w:hAnsi="Arial" w:cs="Arial"/>
          <w:i/>
          <w:iCs/>
          <w:sz w:val="20"/>
          <w:szCs w:val="20"/>
        </w:rPr>
        <w:t>and Endocrinology</w:t>
      </w:r>
      <w:r w:rsidRPr="009452B3">
        <w:rPr>
          <w:rFonts w:ascii="Arial" w:hAnsi="Arial" w:cs="Arial"/>
          <w:sz w:val="20"/>
          <w:szCs w:val="20"/>
        </w:rPr>
        <w:t>, 10</w:t>
      </w:r>
      <w:r w:rsidRPr="00067846">
        <w:rPr>
          <w:rFonts w:ascii="Arial" w:hAnsi="Arial" w:cs="Arial"/>
          <w:sz w:val="20"/>
          <w:szCs w:val="20"/>
        </w:rPr>
        <w:t xml:space="preserve"> </w:t>
      </w:r>
      <w:r>
        <w:rPr>
          <w:rFonts w:ascii="Arial" w:hAnsi="Arial" w:cs="Arial"/>
          <w:sz w:val="20"/>
          <w:szCs w:val="20"/>
        </w:rPr>
        <w:tab/>
      </w:r>
      <w:r w:rsidR="00410806">
        <w:rPr>
          <w:rFonts w:ascii="Arial" w:hAnsi="Arial" w:cs="Arial"/>
          <w:sz w:val="20"/>
          <w:szCs w:val="20"/>
        </w:rPr>
        <w:t>(</w:t>
      </w:r>
      <w:r w:rsidRPr="00067846">
        <w:rPr>
          <w:rFonts w:ascii="Arial" w:hAnsi="Arial" w:cs="Arial"/>
          <w:sz w:val="20"/>
          <w:szCs w:val="20"/>
        </w:rPr>
        <w:t>49</w:t>
      </w:r>
      <w:r w:rsidR="00410806">
        <w:rPr>
          <w:rFonts w:ascii="Arial" w:hAnsi="Arial" w:cs="Arial"/>
          <w:sz w:val="20"/>
          <w:szCs w:val="20"/>
        </w:rPr>
        <w:t>), 1-</w:t>
      </w:r>
      <w:r w:rsidR="00A76C50">
        <w:rPr>
          <w:rFonts w:ascii="Arial" w:hAnsi="Arial" w:cs="Arial"/>
          <w:sz w:val="20"/>
          <w:szCs w:val="20"/>
        </w:rPr>
        <w:tab/>
      </w:r>
      <w:r w:rsidR="00410806">
        <w:rPr>
          <w:rFonts w:ascii="Arial" w:hAnsi="Arial" w:cs="Arial"/>
          <w:sz w:val="20"/>
          <w:szCs w:val="20"/>
        </w:rPr>
        <w:t>31</w:t>
      </w:r>
      <w:r w:rsidRPr="00067846">
        <w:rPr>
          <w:rFonts w:ascii="Arial" w:hAnsi="Arial" w:cs="Arial"/>
          <w:sz w:val="20"/>
          <w:szCs w:val="20"/>
        </w:rPr>
        <w:t xml:space="preserve">. </w:t>
      </w:r>
      <w:hyperlink r:id="rId18" w:tgtFrame="_new" w:history="1">
        <w:r w:rsidRPr="00067846">
          <w:rPr>
            <w:rStyle w:val="Hyperlink"/>
            <w:rFonts w:ascii="Arial" w:hAnsi="Arial" w:cs="Arial"/>
            <w:sz w:val="20"/>
            <w:szCs w:val="20"/>
          </w:rPr>
          <w:t>https://doi.org/10.1186/1477-7827-10-49</w:t>
        </w:r>
      </w:hyperlink>
      <w:r w:rsidRPr="00067846">
        <w:rPr>
          <w:rFonts w:ascii="Arial" w:hAnsi="Arial" w:cs="Arial"/>
          <w:sz w:val="20"/>
          <w:szCs w:val="20"/>
        </w:rPr>
        <w:t xml:space="preserve"> </w:t>
      </w:r>
    </w:p>
    <w:p w14:paraId="465FB89A" w14:textId="51849466" w:rsidR="00067846" w:rsidRPr="00067846" w:rsidRDefault="00067846" w:rsidP="00067846">
      <w:pPr>
        <w:jc w:val="both"/>
        <w:rPr>
          <w:rFonts w:ascii="Arial" w:hAnsi="Arial" w:cs="Arial"/>
          <w:sz w:val="20"/>
          <w:szCs w:val="20"/>
        </w:rPr>
      </w:pPr>
      <w:r w:rsidRPr="00067846">
        <w:rPr>
          <w:rFonts w:ascii="Arial" w:hAnsi="Arial" w:cs="Arial"/>
          <w:sz w:val="20"/>
          <w:szCs w:val="20"/>
        </w:rPr>
        <w:t>Agarwal, A., Virk, G., Ong, C., &amp; du Plessis, S. S. (2014). Effect of oxidative stress on</w:t>
      </w:r>
      <w:r w:rsidR="00FE16D0">
        <w:rPr>
          <w:rFonts w:ascii="Arial" w:hAnsi="Arial" w:cs="Arial"/>
          <w:sz w:val="20"/>
          <w:szCs w:val="20"/>
        </w:rPr>
        <w:t xml:space="preserve"> </w:t>
      </w:r>
      <w:r w:rsidRPr="00067846">
        <w:rPr>
          <w:rFonts w:ascii="Arial" w:hAnsi="Arial" w:cs="Arial"/>
          <w:sz w:val="20"/>
          <w:szCs w:val="20"/>
        </w:rPr>
        <w:t>male</w:t>
      </w:r>
      <w:r w:rsidR="00FE16D0">
        <w:rPr>
          <w:rFonts w:ascii="Arial" w:hAnsi="Arial" w:cs="Arial"/>
          <w:sz w:val="20"/>
          <w:szCs w:val="20"/>
        </w:rPr>
        <w:t xml:space="preserve"> </w:t>
      </w:r>
      <w:r w:rsidRPr="00067846">
        <w:rPr>
          <w:rFonts w:ascii="Arial" w:hAnsi="Arial" w:cs="Arial"/>
          <w:sz w:val="20"/>
          <w:szCs w:val="20"/>
        </w:rPr>
        <w:t xml:space="preserve">reproduction. </w:t>
      </w:r>
      <w:r w:rsidR="00FE16D0">
        <w:rPr>
          <w:rFonts w:ascii="Arial" w:hAnsi="Arial" w:cs="Arial"/>
          <w:sz w:val="20"/>
          <w:szCs w:val="20"/>
        </w:rPr>
        <w:tab/>
      </w:r>
      <w:r w:rsidRPr="00067846">
        <w:rPr>
          <w:rFonts w:ascii="Arial" w:hAnsi="Arial" w:cs="Arial"/>
          <w:i/>
          <w:iCs/>
          <w:sz w:val="20"/>
          <w:szCs w:val="20"/>
        </w:rPr>
        <w:t>World Journal of Men's Health, 32</w:t>
      </w:r>
      <w:r w:rsidRPr="00067846">
        <w:rPr>
          <w:rFonts w:ascii="Arial" w:hAnsi="Arial" w:cs="Arial"/>
          <w:sz w:val="20"/>
          <w:szCs w:val="20"/>
        </w:rPr>
        <w:t>(1),</w:t>
      </w:r>
      <w:r w:rsidR="0082798A">
        <w:rPr>
          <w:rFonts w:ascii="Arial" w:hAnsi="Arial" w:cs="Arial"/>
          <w:sz w:val="20"/>
          <w:szCs w:val="20"/>
        </w:rPr>
        <w:t xml:space="preserve"> </w:t>
      </w:r>
      <w:r w:rsidRPr="00067846">
        <w:rPr>
          <w:rFonts w:ascii="Arial" w:hAnsi="Arial" w:cs="Arial"/>
          <w:sz w:val="20"/>
          <w:szCs w:val="20"/>
        </w:rPr>
        <w:t xml:space="preserve">1–17. </w:t>
      </w:r>
      <w:r w:rsidRPr="00067846">
        <w:rPr>
          <w:rFonts w:ascii="Arial" w:hAnsi="Arial" w:cs="Arial"/>
          <w:sz w:val="20"/>
          <w:szCs w:val="20"/>
        </w:rPr>
        <w:tab/>
      </w:r>
      <w:hyperlink r:id="rId19" w:history="1">
        <w:r w:rsidRPr="00067846">
          <w:rPr>
            <w:rStyle w:val="Hyperlink"/>
            <w:rFonts w:ascii="Arial" w:hAnsi="Arial" w:cs="Arial"/>
            <w:sz w:val="20"/>
            <w:szCs w:val="20"/>
          </w:rPr>
          <w:t>https://doi.org/10.5534/wjmh.2014.32.1.1</w:t>
        </w:r>
      </w:hyperlink>
      <w:r w:rsidRPr="00067846">
        <w:rPr>
          <w:rFonts w:ascii="Arial" w:hAnsi="Arial" w:cs="Arial"/>
          <w:sz w:val="20"/>
          <w:szCs w:val="20"/>
        </w:rPr>
        <w:t xml:space="preserve"> </w:t>
      </w:r>
    </w:p>
    <w:p w14:paraId="6139BB11" w14:textId="42DA3F2D" w:rsidR="00067846" w:rsidRPr="00067846" w:rsidRDefault="00067846" w:rsidP="00067846">
      <w:pPr>
        <w:jc w:val="both"/>
        <w:rPr>
          <w:rFonts w:ascii="Arial" w:hAnsi="Arial" w:cs="Arial"/>
          <w:sz w:val="20"/>
          <w:szCs w:val="20"/>
        </w:rPr>
      </w:pPr>
      <w:r w:rsidRPr="00067846">
        <w:rPr>
          <w:rFonts w:ascii="Arial" w:hAnsi="Arial" w:cs="Arial"/>
          <w:sz w:val="20"/>
          <w:szCs w:val="20"/>
        </w:rPr>
        <w:t xml:space="preserve"> </w:t>
      </w:r>
      <w:proofErr w:type="spellStart"/>
      <w:r w:rsidRPr="00067846">
        <w:rPr>
          <w:rFonts w:ascii="Arial" w:hAnsi="Arial" w:cs="Arial"/>
          <w:sz w:val="20"/>
          <w:szCs w:val="20"/>
        </w:rPr>
        <w:t>Akang</w:t>
      </w:r>
      <w:proofErr w:type="spellEnd"/>
      <w:r w:rsidRPr="00067846">
        <w:rPr>
          <w:rFonts w:ascii="Arial" w:hAnsi="Arial" w:cs="Arial"/>
          <w:sz w:val="20"/>
          <w:szCs w:val="20"/>
        </w:rPr>
        <w:t xml:space="preserve">, E. N., </w:t>
      </w:r>
      <w:proofErr w:type="spellStart"/>
      <w:r w:rsidRPr="00067846">
        <w:rPr>
          <w:rFonts w:ascii="Arial" w:hAnsi="Arial" w:cs="Arial"/>
          <w:sz w:val="20"/>
          <w:szCs w:val="20"/>
        </w:rPr>
        <w:t>Oremosu</w:t>
      </w:r>
      <w:proofErr w:type="spellEnd"/>
      <w:r w:rsidRPr="00067846">
        <w:rPr>
          <w:rFonts w:ascii="Arial" w:hAnsi="Arial" w:cs="Arial"/>
          <w:sz w:val="20"/>
          <w:szCs w:val="20"/>
        </w:rPr>
        <w:t xml:space="preserve">, A. A., </w:t>
      </w:r>
      <w:proofErr w:type="spellStart"/>
      <w:r w:rsidRPr="00067846">
        <w:rPr>
          <w:rFonts w:ascii="Arial" w:hAnsi="Arial" w:cs="Arial"/>
          <w:sz w:val="20"/>
          <w:szCs w:val="20"/>
        </w:rPr>
        <w:t>Dosumu</w:t>
      </w:r>
      <w:proofErr w:type="spellEnd"/>
      <w:r w:rsidRPr="00067846">
        <w:rPr>
          <w:rFonts w:ascii="Arial" w:hAnsi="Arial" w:cs="Arial"/>
          <w:sz w:val="20"/>
          <w:szCs w:val="20"/>
        </w:rPr>
        <w:t>, O. O., Noronha, C. C., &amp; Okanlawon, A. O. (2010).</w:t>
      </w:r>
      <w:r w:rsidR="00FE16D0">
        <w:rPr>
          <w:rFonts w:ascii="Arial" w:hAnsi="Arial" w:cs="Arial"/>
          <w:sz w:val="20"/>
          <w:szCs w:val="20"/>
        </w:rPr>
        <w:t xml:space="preserve"> </w:t>
      </w:r>
      <w:r w:rsidRPr="00067846">
        <w:rPr>
          <w:rFonts w:ascii="Arial" w:hAnsi="Arial" w:cs="Arial"/>
          <w:sz w:val="20"/>
          <w:szCs w:val="20"/>
        </w:rPr>
        <w:t>The</w:t>
      </w:r>
      <w:r w:rsidR="00FE16D0">
        <w:rPr>
          <w:rFonts w:ascii="Arial" w:hAnsi="Arial" w:cs="Arial"/>
          <w:sz w:val="20"/>
          <w:szCs w:val="20"/>
        </w:rPr>
        <w:t xml:space="preserve"> </w:t>
      </w:r>
      <w:r w:rsidR="00FE16D0">
        <w:rPr>
          <w:rFonts w:ascii="Arial" w:hAnsi="Arial" w:cs="Arial"/>
          <w:sz w:val="20"/>
          <w:szCs w:val="20"/>
        </w:rPr>
        <w:tab/>
      </w:r>
      <w:r w:rsidRPr="00067846">
        <w:rPr>
          <w:rFonts w:ascii="Arial" w:hAnsi="Arial" w:cs="Arial"/>
          <w:sz w:val="20"/>
          <w:szCs w:val="20"/>
        </w:rPr>
        <w:t xml:space="preserve">effect of </w:t>
      </w:r>
      <w:r w:rsidR="00E645A0">
        <w:rPr>
          <w:rFonts w:ascii="Arial" w:hAnsi="Arial" w:cs="Arial"/>
          <w:sz w:val="20"/>
          <w:szCs w:val="20"/>
        </w:rPr>
        <w:tab/>
      </w:r>
      <w:r w:rsidRPr="00067846">
        <w:rPr>
          <w:rFonts w:ascii="Arial" w:hAnsi="Arial" w:cs="Arial"/>
          <w:sz w:val="20"/>
          <w:szCs w:val="20"/>
        </w:rPr>
        <w:t>fluted pumpkin (</w:t>
      </w:r>
      <w:proofErr w:type="spellStart"/>
      <w:r w:rsidRPr="00067846">
        <w:rPr>
          <w:rFonts w:ascii="Arial" w:hAnsi="Arial" w:cs="Arial"/>
          <w:i/>
          <w:iCs/>
          <w:sz w:val="20"/>
          <w:szCs w:val="20"/>
        </w:rPr>
        <w:t>Telfairia</w:t>
      </w:r>
      <w:proofErr w:type="spellEnd"/>
      <w:r w:rsidRPr="00067846">
        <w:rPr>
          <w:rFonts w:ascii="Arial" w:hAnsi="Arial" w:cs="Arial"/>
          <w:i/>
          <w:iCs/>
          <w:sz w:val="20"/>
          <w:szCs w:val="20"/>
        </w:rPr>
        <w:t xml:space="preserve"> occidentalis</w:t>
      </w:r>
      <w:r w:rsidRPr="00067846">
        <w:rPr>
          <w:rFonts w:ascii="Arial" w:hAnsi="Arial" w:cs="Arial"/>
          <w:sz w:val="20"/>
          <w:szCs w:val="20"/>
        </w:rPr>
        <w:t>) seed oil on testis and</w:t>
      </w:r>
      <w:r w:rsidR="00FE16D0">
        <w:rPr>
          <w:rFonts w:ascii="Arial" w:hAnsi="Arial" w:cs="Arial"/>
          <w:sz w:val="20"/>
          <w:szCs w:val="20"/>
        </w:rPr>
        <w:t xml:space="preserve"> </w:t>
      </w:r>
      <w:r w:rsidRPr="00067846">
        <w:rPr>
          <w:rFonts w:ascii="Arial" w:hAnsi="Arial" w:cs="Arial"/>
          <w:sz w:val="20"/>
          <w:szCs w:val="20"/>
        </w:rPr>
        <w:t xml:space="preserve">semen parameters. </w:t>
      </w:r>
      <w:r>
        <w:rPr>
          <w:rFonts w:ascii="Arial" w:hAnsi="Arial" w:cs="Arial"/>
          <w:sz w:val="20"/>
          <w:szCs w:val="20"/>
        </w:rPr>
        <w:tab/>
      </w:r>
      <w:r w:rsidRPr="00067846">
        <w:rPr>
          <w:rFonts w:ascii="Arial" w:hAnsi="Arial" w:cs="Arial"/>
          <w:i/>
          <w:iCs/>
          <w:sz w:val="20"/>
          <w:szCs w:val="20"/>
        </w:rPr>
        <w:t xml:space="preserve">African </w:t>
      </w:r>
      <w:r w:rsidR="00FE16D0">
        <w:rPr>
          <w:rFonts w:ascii="Arial" w:hAnsi="Arial" w:cs="Arial"/>
          <w:i/>
          <w:iCs/>
          <w:sz w:val="20"/>
          <w:szCs w:val="20"/>
        </w:rPr>
        <w:tab/>
      </w:r>
      <w:r w:rsidRPr="00067846">
        <w:rPr>
          <w:rFonts w:ascii="Arial" w:hAnsi="Arial" w:cs="Arial"/>
          <w:i/>
          <w:iCs/>
          <w:sz w:val="20"/>
          <w:szCs w:val="20"/>
        </w:rPr>
        <w:t>Journal</w:t>
      </w:r>
      <w:r w:rsidR="00E645A0">
        <w:rPr>
          <w:rFonts w:ascii="Arial" w:hAnsi="Arial" w:cs="Arial"/>
          <w:i/>
          <w:iCs/>
          <w:sz w:val="20"/>
          <w:szCs w:val="20"/>
        </w:rPr>
        <w:t xml:space="preserve"> </w:t>
      </w:r>
      <w:r w:rsidR="00E645A0">
        <w:rPr>
          <w:rFonts w:ascii="Arial" w:hAnsi="Arial" w:cs="Arial"/>
          <w:i/>
          <w:iCs/>
          <w:sz w:val="20"/>
          <w:szCs w:val="20"/>
        </w:rPr>
        <w:tab/>
      </w:r>
      <w:r w:rsidRPr="00067846">
        <w:rPr>
          <w:rFonts w:ascii="Arial" w:hAnsi="Arial" w:cs="Arial"/>
          <w:i/>
          <w:iCs/>
          <w:sz w:val="20"/>
          <w:szCs w:val="20"/>
        </w:rPr>
        <w:t>of Biomedical Research</w:t>
      </w:r>
      <w:r w:rsidRPr="00067846">
        <w:rPr>
          <w:rFonts w:ascii="Arial" w:hAnsi="Arial" w:cs="Arial"/>
          <w:sz w:val="20"/>
          <w:szCs w:val="20"/>
        </w:rPr>
        <w:t>,</w:t>
      </w:r>
      <w:r w:rsidR="00AA357C">
        <w:rPr>
          <w:rFonts w:ascii="Arial" w:hAnsi="Arial" w:cs="Arial"/>
          <w:sz w:val="20"/>
          <w:szCs w:val="20"/>
        </w:rPr>
        <w:t xml:space="preserve"> 13(</w:t>
      </w:r>
      <w:r w:rsidRPr="00067846">
        <w:rPr>
          <w:rFonts w:ascii="Arial" w:hAnsi="Arial" w:cs="Arial"/>
          <w:sz w:val="20"/>
          <w:szCs w:val="20"/>
        </w:rPr>
        <w:t>1</w:t>
      </w:r>
      <w:r w:rsidR="00AA357C">
        <w:rPr>
          <w:rFonts w:ascii="Arial" w:hAnsi="Arial" w:cs="Arial"/>
          <w:sz w:val="20"/>
          <w:szCs w:val="20"/>
        </w:rPr>
        <w:t>)</w:t>
      </w:r>
      <w:r w:rsidRPr="00067846">
        <w:rPr>
          <w:rFonts w:ascii="Arial" w:hAnsi="Arial" w:cs="Arial"/>
          <w:sz w:val="20"/>
          <w:szCs w:val="20"/>
        </w:rPr>
        <w:t xml:space="preserve">, 697–703. </w:t>
      </w:r>
    </w:p>
    <w:p w14:paraId="7ECA742E" w14:textId="757B3D55" w:rsidR="00067846" w:rsidRPr="00067846" w:rsidRDefault="00067846" w:rsidP="00067846">
      <w:pPr>
        <w:jc w:val="both"/>
        <w:rPr>
          <w:rFonts w:ascii="Arial" w:hAnsi="Arial" w:cs="Arial"/>
          <w:sz w:val="20"/>
          <w:szCs w:val="20"/>
        </w:rPr>
      </w:pPr>
      <w:proofErr w:type="spellStart"/>
      <w:r w:rsidRPr="00067846">
        <w:rPr>
          <w:rFonts w:ascii="Arial" w:hAnsi="Arial" w:cs="Arial"/>
          <w:sz w:val="20"/>
          <w:szCs w:val="20"/>
        </w:rPr>
        <w:t>Alahmar</w:t>
      </w:r>
      <w:proofErr w:type="spellEnd"/>
      <w:r w:rsidRPr="00067846">
        <w:rPr>
          <w:rFonts w:ascii="Arial" w:hAnsi="Arial" w:cs="Arial"/>
          <w:sz w:val="20"/>
          <w:szCs w:val="20"/>
        </w:rPr>
        <w:t xml:space="preserve">, A. T. (2019). Role of oxidative stress in male infertility: An updated review. </w:t>
      </w:r>
      <w:r w:rsidRPr="00067846">
        <w:rPr>
          <w:rFonts w:ascii="Arial" w:hAnsi="Arial" w:cs="Arial"/>
          <w:sz w:val="20"/>
          <w:szCs w:val="20"/>
        </w:rPr>
        <w:tab/>
      </w:r>
      <w:r w:rsidRPr="00067846">
        <w:rPr>
          <w:rFonts w:ascii="Arial" w:hAnsi="Arial" w:cs="Arial"/>
          <w:i/>
          <w:iCs/>
          <w:sz w:val="20"/>
          <w:szCs w:val="20"/>
        </w:rPr>
        <w:t xml:space="preserve">Journal of </w:t>
      </w:r>
      <w:r>
        <w:rPr>
          <w:rFonts w:ascii="Arial" w:hAnsi="Arial" w:cs="Arial"/>
          <w:i/>
          <w:iCs/>
          <w:sz w:val="20"/>
          <w:szCs w:val="20"/>
        </w:rPr>
        <w:tab/>
      </w:r>
      <w:r w:rsidRPr="00067846">
        <w:rPr>
          <w:rFonts w:ascii="Arial" w:hAnsi="Arial" w:cs="Arial"/>
          <w:i/>
          <w:iCs/>
          <w:sz w:val="20"/>
          <w:szCs w:val="20"/>
        </w:rPr>
        <w:t>Human Reproductive Sciences, 12</w:t>
      </w:r>
      <w:r w:rsidRPr="00067846">
        <w:rPr>
          <w:rFonts w:ascii="Arial" w:hAnsi="Arial" w:cs="Arial"/>
          <w:sz w:val="20"/>
          <w:szCs w:val="20"/>
        </w:rPr>
        <w:t xml:space="preserve">(1), 4–18. </w:t>
      </w:r>
      <w:r w:rsidRPr="00067846">
        <w:rPr>
          <w:rFonts w:ascii="Arial" w:hAnsi="Arial" w:cs="Arial"/>
          <w:sz w:val="20"/>
          <w:szCs w:val="20"/>
        </w:rPr>
        <w:tab/>
        <w:t xml:space="preserve">https://doi.org/10.4103/jhrs.JHRS-150_18 </w:t>
      </w:r>
    </w:p>
    <w:p w14:paraId="37D81654" w14:textId="65F96D12" w:rsidR="00067846" w:rsidRPr="00067846" w:rsidRDefault="00067846" w:rsidP="00067846">
      <w:pPr>
        <w:jc w:val="both"/>
        <w:rPr>
          <w:rFonts w:ascii="Arial" w:hAnsi="Arial" w:cs="Arial"/>
          <w:sz w:val="20"/>
          <w:szCs w:val="20"/>
        </w:rPr>
      </w:pPr>
      <w:r w:rsidRPr="00067846">
        <w:rPr>
          <w:rFonts w:ascii="Arial" w:hAnsi="Arial" w:cs="Arial"/>
          <w:sz w:val="20"/>
          <w:szCs w:val="20"/>
        </w:rPr>
        <w:t xml:space="preserve">Al-Khan, H. I. (2010). Effect of aqueous extract of </w:t>
      </w:r>
      <w:r w:rsidRPr="00067846">
        <w:rPr>
          <w:rFonts w:ascii="Arial" w:hAnsi="Arial" w:cs="Arial"/>
          <w:i/>
          <w:iCs/>
          <w:sz w:val="20"/>
          <w:szCs w:val="20"/>
        </w:rPr>
        <w:t>Capparis spinosa</w:t>
      </w:r>
      <w:r w:rsidRPr="00067846">
        <w:rPr>
          <w:rFonts w:ascii="Arial" w:hAnsi="Arial" w:cs="Arial"/>
          <w:sz w:val="20"/>
          <w:szCs w:val="20"/>
        </w:rPr>
        <w:t xml:space="preserve"> on serum antioxidant</w:t>
      </w:r>
      <w:r w:rsidR="00D5202A">
        <w:rPr>
          <w:rFonts w:ascii="Arial" w:hAnsi="Arial" w:cs="Arial"/>
          <w:sz w:val="20"/>
          <w:szCs w:val="20"/>
        </w:rPr>
        <w:t xml:space="preserve"> </w:t>
      </w:r>
      <w:r w:rsidRPr="00067846">
        <w:rPr>
          <w:rFonts w:ascii="Arial" w:hAnsi="Arial" w:cs="Arial"/>
          <w:sz w:val="20"/>
          <w:szCs w:val="20"/>
        </w:rPr>
        <w:t>status</w:t>
      </w:r>
      <w:r w:rsidR="00D5202A">
        <w:rPr>
          <w:rFonts w:ascii="Arial" w:hAnsi="Arial" w:cs="Arial"/>
          <w:sz w:val="20"/>
          <w:szCs w:val="20"/>
        </w:rPr>
        <w:t xml:space="preserve"> </w:t>
      </w:r>
      <w:r w:rsidRPr="00067846">
        <w:rPr>
          <w:rFonts w:ascii="Arial" w:hAnsi="Arial" w:cs="Arial"/>
          <w:sz w:val="20"/>
          <w:szCs w:val="20"/>
        </w:rPr>
        <w:t xml:space="preserve">in </w:t>
      </w:r>
      <w:r w:rsidR="00D5202A">
        <w:rPr>
          <w:rFonts w:ascii="Arial" w:hAnsi="Arial" w:cs="Arial"/>
          <w:sz w:val="20"/>
          <w:szCs w:val="20"/>
        </w:rPr>
        <w:tab/>
      </w:r>
      <w:r w:rsidRPr="00067846">
        <w:rPr>
          <w:rFonts w:ascii="Arial" w:hAnsi="Arial" w:cs="Arial"/>
          <w:sz w:val="20"/>
          <w:szCs w:val="20"/>
        </w:rPr>
        <w:t xml:space="preserve">paracetamol-treated rats. </w:t>
      </w:r>
      <w:r w:rsidRPr="00067846">
        <w:rPr>
          <w:rFonts w:ascii="Arial" w:hAnsi="Arial" w:cs="Arial"/>
          <w:i/>
          <w:iCs/>
          <w:sz w:val="20"/>
          <w:szCs w:val="20"/>
        </w:rPr>
        <w:t xml:space="preserve">Journal of </w:t>
      </w:r>
      <w:proofErr w:type="spellStart"/>
      <w:r w:rsidRPr="00067846">
        <w:rPr>
          <w:rFonts w:ascii="Arial" w:hAnsi="Arial" w:cs="Arial"/>
          <w:i/>
          <w:iCs/>
          <w:sz w:val="20"/>
          <w:szCs w:val="20"/>
        </w:rPr>
        <w:t>Rafidain</w:t>
      </w:r>
      <w:proofErr w:type="spellEnd"/>
      <w:r w:rsidRPr="00067846">
        <w:rPr>
          <w:rFonts w:ascii="Arial" w:hAnsi="Arial" w:cs="Arial"/>
          <w:i/>
          <w:iCs/>
          <w:sz w:val="20"/>
          <w:szCs w:val="20"/>
        </w:rPr>
        <w:t xml:space="preserve"> Science, 21</w:t>
      </w:r>
      <w:r w:rsidRPr="00067846">
        <w:rPr>
          <w:rFonts w:ascii="Arial" w:hAnsi="Arial" w:cs="Arial"/>
          <w:sz w:val="20"/>
          <w:szCs w:val="20"/>
        </w:rPr>
        <w:t xml:space="preserve">(2), 29–36. </w:t>
      </w:r>
    </w:p>
    <w:p w14:paraId="77DD53AD" w14:textId="500EEA93" w:rsidR="00067846" w:rsidRPr="00067846" w:rsidRDefault="00067846" w:rsidP="00067846">
      <w:pPr>
        <w:jc w:val="both"/>
        <w:rPr>
          <w:rFonts w:ascii="Arial" w:hAnsi="Arial" w:cs="Arial"/>
          <w:sz w:val="20"/>
          <w:szCs w:val="20"/>
        </w:rPr>
      </w:pPr>
      <w:r w:rsidRPr="00067846">
        <w:rPr>
          <w:rFonts w:ascii="Arial" w:hAnsi="Arial" w:cs="Arial"/>
          <w:sz w:val="20"/>
          <w:szCs w:val="20"/>
        </w:rPr>
        <w:t xml:space="preserve">Almansa-Ordóñez, A., Bellido, R., </w:t>
      </w:r>
      <w:proofErr w:type="spellStart"/>
      <w:r w:rsidRPr="00067846">
        <w:rPr>
          <w:rFonts w:ascii="Arial" w:hAnsi="Arial" w:cs="Arial"/>
          <w:sz w:val="20"/>
          <w:szCs w:val="20"/>
        </w:rPr>
        <w:t>Vassena</w:t>
      </w:r>
      <w:proofErr w:type="spellEnd"/>
      <w:r w:rsidRPr="00067846">
        <w:rPr>
          <w:rFonts w:ascii="Arial" w:hAnsi="Arial" w:cs="Arial"/>
          <w:sz w:val="20"/>
          <w:szCs w:val="20"/>
        </w:rPr>
        <w:t>, R., Barragán, M., &amp; Zambelli, F. (2020). Oxidative stress</w:t>
      </w:r>
      <w:r w:rsidR="00D5202A">
        <w:rPr>
          <w:rFonts w:ascii="Arial" w:hAnsi="Arial" w:cs="Arial"/>
          <w:sz w:val="20"/>
          <w:szCs w:val="20"/>
        </w:rPr>
        <w:t xml:space="preserve"> </w:t>
      </w:r>
      <w:r w:rsidR="00D5202A">
        <w:rPr>
          <w:rFonts w:ascii="Arial" w:hAnsi="Arial" w:cs="Arial"/>
          <w:sz w:val="20"/>
          <w:szCs w:val="20"/>
        </w:rPr>
        <w:tab/>
      </w:r>
      <w:r w:rsidRPr="00067846">
        <w:rPr>
          <w:rFonts w:ascii="Arial" w:hAnsi="Arial" w:cs="Arial"/>
          <w:sz w:val="20"/>
          <w:szCs w:val="20"/>
        </w:rPr>
        <w:t>in</w:t>
      </w:r>
      <w:r w:rsidR="00D5202A">
        <w:rPr>
          <w:rFonts w:ascii="Arial" w:hAnsi="Arial" w:cs="Arial"/>
          <w:sz w:val="20"/>
          <w:szCs w:val="20"/>
        </w:rPr>
        <w:t xml:space="preserve"> </w:t>
      </w:r>
      <w:r w:rsidRPr="00067846">
        <w:rPr>
          <w:rFonts w:ascii="Arial" w:hAnsi="Arial" w:cs="Arial"/>
          <w:sz w:val="20"/>
          <w:szCs w:val="20"/>
        </w:rPr>
        <w:t xml:space="preserve">reproduction: A mitochondrial perspective. </w:t>
      </w:r>
      <w:r w:rsidR="0022672D" w:rsidRPr="0022672D">
        <w:rPr>
          <w:rFonts w:ascii="Arial" w:hAnsi="Arial" w:cs="Arial"/>
          <w:sz w:val="20"/>
          <w:szCs w:val="20"/>
        </w:rPr>
        <w:t>Biology (Basel)</w:t>
      </w:r>
      <w:r w:rsidR="0022672D">
        <w:rPr>
          <w:rFonts w:ascii="Arial" w:hAnsi="Arial" w:cs="Arial"/>
          <w:sz w:val="20"/>
          <w:szCs w:val="20"/>
        </w:rPr>
        <w:t xml:space="preserve"> </w:t>
      </w:r>
      <w:r w:rsidRPr="00067846">
        <w:rPr>
          <w:rFonts w:ascii="Arial" w:hAnsi="Arial" w:cs="Arial"/>
          <w:i/>
          <w:iCs/>
          <w:sz w:val="20"/>
          <w:szCs w:val="20"/>
        </w:rPr>
        <w:t>9</w:t>
      </w:r>
      <w:r w:rsidRPr="00067846">
        <w:rPr>
          <w:rFonts w:ascii="Arial" w:hAnsi="Arial" w:cs="Arial"/>
          <w:sz w:val="20"/>
          <w:szCs w:val="20"/>
        </w:rPr>
        <w:t xml:space="preserve">(9), 269. </w:t>
      </w:r>
      <w:r w:rsidRPr="00067846">
        <w:rPr>
          <w:rFonts w:ascii="Arial" w:hAnsi="Arial" w:cs="Arial"/>
          <w:sz w:val="20"/>
          <w:szCs w:val="20"/>
        </w:rPr>
        <w:tab/>
        <w:t xml:space="preserve">https://doi.org/10.3390/biology9090269 </w:t>
      </w:r>
    </w:p>
    <w:p w14:paraId="00E018C6" w14:textId="52F6EF39" w:rsidR="00067846" w:rsidRPr="00067846" w:rsidRDefault="00067846" w:rsidP="00067846">
      <w:pPr>
        <w:jc w:val="both"/>
        <w:rPr>
          <w:rFonts w:ascii="Arial" w:hAnsi="Arial" w:cs="Arial"/>
          <w:sz w:val="20"/>
          <w:szCs w:val="20"/>
        </w:rPr>
      </w:pPr>
      <w:r w:rsidRPr="00067846">
        <w:rPr>
          <w:rFonts w:ascii="Arial" w:hAnsi="Arial" w:cs="Arial"/>
          <w:sz w:val="20"/>
          <w:szCs w:val="20"/>
        </w:rPr>
        <w:t>Al-Yahya, A. (2019). Reproductive, cytological, and biochemical toxicity of fenugreek in</w:t>
      </w:r>
      <w:r w:rsidR="00802C22">
        <w:rPr>
          <w:rFonts w:ascii="Arial" w:hAnsi="Arial" w:cs="Arial"/>
          <w:sz w:val="20"/>
          <w:szCs w:val="20"/>
        </w:rPr>
        <w:t xml:space="preserve"> </w:t>
      </w:r>
      <w:r w:rsidRPr="00067846">
        <w:rPr>
          <w:rFonts w:ascii="Arial" w:hAnsi="Arial" w:cs="Arial"/>
          <w:sz w:val="20"/>
          <w:szCs w:val="20"/>
        </w:rPr>
        <w:t>male Swiss</w:t>
      </w:r>
      <w:r w:rsidR="00802C22">
        <w:rPr>
          <w:rFonts w:ascii="Arial" w:hAnsi="Arial" w:cs="Arial"/>
          <w:sz w:val="20"/>
          <w:szCs w:val="20"/>
        </w:rPr>
        <w:t xml:space="preserve"> </w:t>
      </w:r>
      <w:r w:rsidRPr="00067846">
        <w:rPr>
          <w:rFonts w:ascii="Arial" w:hAnsi="Arial" w:cs="Arial"/>
          <w:sz w:val="20"/>
          <w:szCs w:val="20"/>
        </w:rPr>
        <w:t xml:space="preserve">albino </w:t>
      </w:r>
      <w:r w:rsidR="00802C22">
        <w:rPr>
          <w:rFonts w:ascii="Arial" w:hAnsi="Arial" w:cs="Arial"/>
          <w:sz w:val="20"/>
          <w:szCs w:val="20"/>
        </w:rPr>
        <w:tab/>
      </w:r>
      <w:r w:rsidRPr="00067846">
        <w:rPr>
          <w:rFonts w:ascii="Arial" w:hAnsi="Arial" w:cs="Arial"/>
          <w:sz w:val="20"/>
          <w:szCs w:val="20"/>
        </w:rPr>
        <w:t xml:space="preserve">mice. </w:t>
      </w:r>
      <w:r w:rsidRPr="00067846">
        <w:rPr>
          <w:rFonts w:ascii="Arial" w:hAnsi="Arial" w:cs="Arial"/>
          <w:i/>
          <w:iCs/>
          <w:sz w:val="20"/>
          <w:szCs w:val="20"/>
        </w:rPr>
        <w:t>African Journal of Pharmacy and Pharmacology, 7</w:t>
      </w:r>
      <w:r w:rsidRPr="00067846">
        <w:rPr>
          <w:rFonts w:ascii="Arial" w:hAnsi="Arial" w:cs="Arial"/>
          <w:sz w:val="20"/>
          <w:szCs w:val="20"/>
        </w:rPr>
        <w:t xml:space="preserve">(29), </w:t>
      </w:r>
      <w:r w:rsidRPr="00067846">
        <w:rPr>
          <w:rFonts w:ascii="Arial" w:hAnsi="Arial" w:cs="Arial"/>
          <w:sz w:val="20"/>
          <w:szCs w:val="20"/>
        </w:rPr>
        <w:tab/>
        <w:t xml:space="preserve">2072–2080. </w:t>
      </w:r>
    </w:p>
    <w:p w14:paraId="30232066" w14:textId="51A85E21" w:rsidR="00067846" w:rsidRPr="00067846" w:rsidRDefault="00067846" w:rsidP="00067846">
      <w:pPr>
        <w:jc w:val="both"/>
        <w:rPr>
          <w:rFonts w:ascii="Arial" w:hAnsi="Arial" w:cs="Arial"/>
          <w:sz w:val="20"/>
          <w:szCs w:val="20"/>
        </w:rPr>
      </w:pPr>
      <w:r w:rsidRPr="00067846">
        <w:rPr>
          <w:rFonts w:ascii="Arial" w:hAnsi="Arial" w:cs="Arial"/>
          <w:sz w:val="20"/>
          <w:szCs w:val="20"/>
        </w:rPr>
        <w:t xml:space="preserve">Alsuliam, S. M., Albadr, N. A., </w:t>
      </w:r>
      <w:proofErr w:type="spellStart"/>
      <w:r w:rsidRPr="00067846">
        <w:rPr>
          <w:rFonts w:ascii="Arial" w:hAnsi="Arial" w:cs="Arial"/>
          <w:sz w:val="20"/>
          <w:szCs w:val="20"/>
        </w:rPr>
        <w:t>Almaiman</w:t>
      </w:r>
      <w:proofErr w:type="spellEnd"/>
      <w:r w:rsidRPr="00067846">
        <w:rPr>
          <w:rFonts w:ascii="Arial" w:hAnsi="Arial" w:cs="Arial"/>
          <w:sz w:val="20"/>
          <w:szCs w:val="20"/>
        </w:rPr>
        <w:t xml:space="preserve">, S. A., Al-Khalifah, A. S., Alkhaldy, N. S., &amp; </w:t>
      </w:r>
      <w:r w:rsidRPr="00067846">
        <w:rPr>
          <w:rFonts w:ascii="Arial" w:hAnsi="Arial" w:cs="Arial"/>
          <w:sz w:val="20"/>
          <w:szCs w:val="20"/>
        </w:rPr>
        <w:tab/>
        <w:t xml:space="preserve">Alshammari, G. </w:t>
      </w:r>
      <w:r>
        <w:rPr>
          <w:rFonts w:ascii="Arial" w:hAnsi="Arial" w:cs="Arial"/>
          <w:sz w:val="20"/>
          <w:szCs w:val="20"/>
        </w:rPr>
        <w:tab/>
      </w:r>
      <w:r w:rsidRPr="00067846">
        <w:rPr>
          <w:rFonts w:ascii="Arial" w:hAnsi="Arial" w:cs="Arial"/>
          <w:sz w:val="20"/>
          <w:szCs w:val="20"/>
        </w:rPr>
        <w:t>M. (2022). Fenugreek seed galactomannan aqueous and extract</w:t>
      </w:r>
      <w:r w:rsidR="00802C22">
        <w:rPr>
          <w:rFonts w:ascii="Arial" w:hAnsi="Arial" w:cs="Arial"/>
          <w:sz w:val="20"/>
          <w:szCs w:val="20"/>
        </w:rPr>
        <w:t xml:space="preserve"> </w:t>
      </w:r>
      <w:r w:rsidRPr="00067846">
        <w:rPr>
          <w:rFonts w:ascii="Arial" w:hAnsi="Arial" w:cs="Arial"/>
          <w:sz w:val="20"/>
          <w:szCs w:val="20"/>
        </w:rPr>
        <w:t>protects against diabetic</w:t>
      </w:r>
      <w:r w:rsidR="00802C22">
        <w:rPr>
          <w:rFonts w:ascii="Arial" w:hAnsi="Arial" w:cs="Arial"/>
          <w:sz w:val="20"/>
          <w:szCs w:val="20"/>
        </w:rPr>
        <w:t xml:space="preserve"> </w:t>
      </w:r>
      <w:r w:rsidR="00802C22">
        <w:rPr>
          <w:rFonts w:ascii="Arial" w:hAnsi="Arial" w:cs="Arial"/>
          <w:sz w:val="20"/>
          <w:szCs w:val="20"/>
        </w:rPr>
        <w:tab/>
      </w:r>
      <w:r w:rsidRPr="00067846">
        <w:rPr>
          <w:rFonts w:ascii="Arial" w:hAnsi="Arial" w:cs="Arial"/>
          <w:sz w:val="20"/>
          <w:szCs w:val="20"/>
        </w:rPr>
        <w:t>nephropathy and liver damage by targeting NF-</w:t>
      </w:r>
      <w:proofErr w:type="spellStart"/>
      <w:r w:rsidRPr="00067846">
        <w:rPr>
          <w:rFonts w:ascii="Arial" w:hAnsi="Arial" w:cs="Arial"/>
          <w:sz w:val="20"/>
          <w:szCs w:val="20"/>
        </w:rPr>
        <w:t>κB</w:t>
      </w:r>
      <w:proofErr w:type="spellEnd"/>
      <w:r w:rsidRPr="00067846">
        <w:rPr>
          <w:rFonts w:ascii="Arial" w:hAnsi="Arial" w:cs="Arial"/>
          <w:sz w:val="20"/>
          <w:szCs w:val="20"/>
        </w:rPr>
        <w:t xml:space="preserve"> and </w:t>
      </w:r>
      <w:r w:rsidRPr="00067846">
        <w:rPr>
          <w:rFonts w:ascii="Arial" w:hAnsi="Arial" w:cs="Arial"/>
          <w:sz w:val="20"/>
          <w:szCs w:val="20"/>
        </w:rPr>
        <w:tab/>
        <w:t xml:space="preserve">Keap1/Nrf2 axis. </w:t>
      </w:r>
      <w:r w:rsidRPr="00067846">
        <w:rPr>
          <w:rFonts w:ascii="Arial" w:hAnsi="Arial" w:cs="Arial"/>
          <w:i/>
          <w:iCs/>
          <w:sz w:val="20"/>
          <w:szCs w:val="20"/>
        </w:rPr>
        <w:t>Toxics, 10</w:t>
      </w:r>
      <w:r w:rsidRPr="00067846">
        <w:rPr>
          <w:rFonts w:ascii="Arial" w:hAnsi="Arial" w:cs="Arial"/>
          <w:sz w:val="20"/>
          <w:szCs w:val="20"/>
        </w:rPr>
        <w:t xml:space="preserve">(7), 362. </w:t>
      </w:r>
      <w:r>
        <w:rPr>
          <w:rFonts w:ascii="Arial" w:hAnsi="Arial" w:cs="Arial"/>
          <w:sz w:val="20"/>
          <w:szCs w:val="20"/>
        </w:rPr>
        <w:tab/>
      </w:r>
      <w:r w:rsidRPr="00067846">
        <w:rPr>
          <w:rFonts w:ascii="Arial" w:hAnsi="Arial" w:cs="Arial"/>
          <w:sz w:val="20"/>
          <w:szCs w:val="20"/>
        </w:rPr>
        <w:t xml:space="preserve">https://doi.org/10.3390/toxics10070362 </w:t>
      </w:r>
    </w:p>
    <w:p w14:paraId="4E9EB2EF" w14:textId="64304495" w:rsidR="00067846" w:rsidRPr="00067846" w:rsidRDefault="00067846" w:rsidP="00067846">
      <w:pPr>
        <w:jc w:val="both"/>
        <w:rPr>
          <w:rFonts w:ascii="Arial" w:hAnsi="Arial" w:cs="Arial"/>
          <w:sz w:val="20"/>
          <w:szCs w:val="20"/>
        </w:rPr>
      </w:pPr>
      <w:r w:rsidRPr="00067846">
        <w:rPr>
          <w:rFonts w:ascii="Arial" w:hAnsi="Arial" w:cs="Arial"/>
          <w:sz w:val="20"/>
          <w:szCs w:val="20"/>
        </w:rPr>
        <w:t xml:space="preserve">Amann, R. P. (1981). A critical review of methods for evaluation of spermatogenesis from </w:t>
      </w:r>
      <w:r w:rsidRPr="00067846">
        <w:rPr>
          <w:rFonts w:ascii="Arial" w:hAnsi="Arial" w:cs="Arial"/>
          <w:sz w:val="20"/>
          <w:szCs w:val="20"/>
        </w:rPr>
        <w:tab/>
        <w:t>seminal</w:t>
      </w:r>
      <w:r w:rsidR="00802C22">
        <w:rPr>
          <w:rFonts w:ascii="Arial" w:hAnsi="Arial" w:cs="Arial"/>
          <w:sz w:val="20"/>
          <w:szCs w:val="20"/>
        </w:rPr>
        <w:t xml:space="preserve"> </w:t>
      </w:r>
      <w:r w:rsidR="00802C22">
        <w:rPr>
          <w:rFonts w:ascii="Arial" w:hAnsi="Arial" w:cs="Arial"/>
          <w:sz w:val="20"/>
          <w:szCs w:val="20"/>
        </w:rPr>
        <w:tab/>
      </w:r>
      <w:r w:rsidRPr="00067846">
        <w:rPr>
          <w:rFonts w:ascii="Arial" w:hAnsi="Arial" w:cs="Arial"/>
          <w:sz w:val="20"/>
          <w:szCs w:val="20"/>
        </w:rPr>
        <w:t xml:space="preserve">characteristics. </w:t>
      </w:r>
      <w:r w:rsidRPr="00067846">
        <w:rPr>
          <w:rFonts w:ascii="Arial" w:hAnsi="Arial" w:cs="Arial"/>
          <w:i/>
          <w:iCs/>
          <w:sz w:val="20"/>
          <w:szCs w:val="20"/>
        </w:rPr>
        <w:t>Journal of Andrology, 2</w:t>
      </w:r>
      <w:r w:rsidRPr="00067846">
        <w:rPr>
          <w:rFonts w:ascii="Arial" w:hAnsi="Arial" w:cs="Arial"/>
          <w:sz w:val="20"/>
          <w:szCs w:val="20"/>
        </w:rPr>
        <w:t xml:space="preserve">(1), 37–58. </w:t>
      </w:r>
      <w:hyperlink r:id="rId20" w:history="1">
        <w:r w:rsidR="005848F8" w:rsidRPr="008B79E4">
          <w:rPr>
            <w:rStyle w:val="Hyperlink"/>
            <w:rFonts w:ascii="Arial" w:hAnsi="Arial" w:cs="Arial"/>
            <w:sz w:val="20"/>
            <w:szCs w:val="20"/>
          </w:rPr>
          <w:t>https://doi.org/10.1002/j.1939-</w:t>
        </w:r>
      </w:hyperlink>
      <w:r>
        <w:rPr>
          <w:rFonts w:ascii="Arial" w:hAnsi="Arial" w:cs="Arial"/>
          <w:sz w:val="20"/>
          <w:szCs w:val="20"/>
        </w:rPr>
        <w:tab/>
      </w:r>
      <w:proofErr w:type="gramStart"/>
      <w:r w:rsidRPr="00067846">
        <w:rPr>
          <w:rFonts w:ascii="Arial" w:hAnsi="Arial" w:cs="Arial"/>
          <w:sz w:val="20"/>
          <w:szCs w:val="20"/>
        </w:rPr>
        <w:t>4640.1981.tb</w:t>
      </w:r>
      <w:proofErr w:type="gramEnd"/>
      <w:r w:rsidRPr="00067846">
        <w:rPr>
          <w:rFonts w:ascii="Arial" w:hAnsi="Arial" w:cs="Arial"/>
          <w:sz w:val="20"/>
          <w:szCs w:val="20"/>
        </w:rPr>
        <w:t xml:space="preserve">00548.x </w:t>
      </w:r>
    </w:p>
    <w:p w14:paraId="394363E9" w14:textId="19D73C08" w:rsidR="00067846" w:rsidRPr="00067846" w:rsidRDefault="00067846" w:rsidP="00067846">
      <w:pPr>
        <w:jc w:val="both"/>
        <w:rPr>
          <w:rFonts w:ascii="Arial" w:hAnsi="Arial" w:cs="Arial"/>
          <w:sz w:val="20"/>
          <w:szCs w:val="20"/>
        </w:rPr>
      </w:pPr>
      <w:proofErr w:type="spellStart"/>
      <w:r w:rsidRPr="00067846">
        <w:rPr>
          <w:rFonts w:ascii="Arial" w:hAnsi="Arial" w:cs="Arial"/>
          <w:sz w:val="20"/>
          <w:szCs w:val="20"/>
        </w:rPr>
        <w:t>Axelstad</w:t>
      </w:r>
      <w:proofErr w:type="spellEnd"/>
      <w:r w:rsidRPr="00067846">
        <w:rPr>
          <w:rFonts w:ascii="Arial" w:hAnsi="Arial" w:cs="Arial"/>
          <w:sz w:val="20"/>
          <w:szCs w:val="20"/>
        </w:rPr>
        <w:t xml:space="preserve">, M., Boberg, J., Nellemann, C., Kiersgaard, M. K., Jacobsen, P. R., Christiansen, </w:t>
      </w:r>
      <w:r w:rsidRPr="00067846">
        <w:rPr>
          <w:rFonts w:ascii="Arial" w:hAnsi="Arial" w:cs="Arial"/>
          <w:sz w:val="20"/>
          <w:szCs w:val="20"/>
        </w:rPr>
        <w:tab/>
        <w:t xml:space="preserve">S., et al. </w:t>
      </w:r>
      <w:r>
        <w:rPr>
          <w:rFonts w:ascii="Arial" w:hAnsi="Arial" w:cs="Arial"/>
          <w:sz w:val="20"/>
          <w:szCs w:val="20"/>
        </w:rPr>
        <w:tab/>
      </w:r>
      <w:r w:rsidRPr="00067846">
        <w:rPr>
          <w:rFonts w:ascii="Arial" w:hAnsi="Arial" w:cs="Arial"/>
          <w:sz w:val="20"/>
          <w:szCs w:val="20"/>
        </w:rPr>
        <w:t xml:space="preserve">(2011). Exposure to paracetamol during fetal life affects </w:t>
      </w:r>
      <w:proofErr w:type="spellStart"/>
      <w:r w:rsidRPr="00067846">
        <w:rPr>
          <w:rFonts w:ascii="Arial" w:hAnsi="Arial" w:cs="Arial"/>
          <w:sz w:val="20"/>
          <w:szCs w:val="20"/>
        </w:rPr>
        <w:t>masculinisation</w:t>
      </w:r>
      <w:proofErr w:type="spellEnd"/>
      <w:r w:rsidR="005848F8">
        <w:rPr>
          <w:rFonts w:ascii="Arial" w:hAnsi="Arial" w:cs="Arial"/>
          <w:sz w:val="20"/>
          <w:szCs w:val="20"/>
        </w:rPr>
        <w:t xml:space="preserve"> </w:t>
      </w:r>
      <w:r w:rsidRPr="00067846">
        <w:rPr>
          <w:rFonts w:ascii="Arial" w:hAnsi="Arial" w:cs="Arial"/>
          <w:sz w:val="20"/>
          <w:szCs w:val="20"/>
        </w:rPr>
        <w:t xml:space="preserve">of male offspring in rats. </w:t>
      </w:r>
      <w:r>
        <w:rPr>
          <w:rFonts w:ascii="Arial" w:hAnsi="Arial" w:cs="Arial"/>
          <w:sz w:val="20"/>
          <w:szCs w:val="20"/>
        </w:rPr>
        <w:tab/>
      </w:r>
      <w:r w:rsidRPr="00067846">
        <w:rPr>
          <w:rFonts w:ascii="Arial" w:hAnsi="Arial" w:cs="Arial"/>
          <w:i/>
          <w:iCs/>
          <w:sz w:val="20"/>
          <w:szCs w:val="20"/>
        </w:rPr>
        <w:t>Toxicological Sciences, 123</w:t>
      </w:r>
      <w:r w:rsidRPr="00067846">
        <w:rPr>
          <w:rFonts w:ascii="Arial" w:hAnsi="Arial" w:cs="Arial"/>
          <w:sz w:val="20"/>
          <w:szCs w:val="20"/>
        </w:rPr>
        <w:t xml:space="preserve">(2), 437–448. </w:t>
      </w:r>
      <w:r w:rsidRPr="00067846">
        <w:rPr>
          <w:rFonts w:ascii="Arial" w:hAnsi="Arial" w:cs="Arial"/>
          <w:sz w:val="20"/>
          <w:szCs w:val="20"/>
        </w:rPr>
        <w:tab/>
        <w:t xml:space="preserve">https://doi.org/10.1093/toxsci/kfr151 </w:t>
      </w:r>
    </w:p>
    <w:p w14:paraId="695CC526" w14:textId="35ADBEE5" w:rsidR="00067846" w:rsidRPr="00067846" w:rsidRDefault="00067846" w:rsidP="00067846">
      <w:pPr>
        <w:jc w:val="both"/>
        <w:rPr>
          <w:rFonts w:ascii="Arial" w:hAnsi="Arial" w:cs="Arial"/>
          <w:sz w:val="20"/>
          <w:szCs w:val="20"/>
        </w:rPr>
      </w:pPr>
      <w:r w:rsidRPr="00067846">
        <w:rPr>
          <w:rFonts w:ascii="Arial" w:hAnsi="Arial" w:cs="Arial"/>
          <w:sz w:val="20"/>
          <w:szCs w:val="20"/>
        </w:rPr>
        <w:t xml:space="preserve">Badry, A., </w:t>
      </w:r>
      <w:proofErr w:type="spellStart"/>
      <w:r w:rsidRPr="00067846">
        <w:rPr>
          <w:rFonts w:ascii="Arial" w:hAnsi="Arial" w:cs="Arial"/>
          <w:sz w:val="20"/>
          <w:szCs w:val="20"/>
        </w:rPr>
        <w:t>Elghait</w:t>
      </w:r>
      <w:proofErr w:type="spellEnd"/>
      <w:r w:rsidRPr="00067846">
        <w:rPr>
          <w:rFonts w:ascii="Arial" w:hAnsi="Arial" w:cs="Arial"/>
          <w:sz w:val="20"/>
          <w:szCs w:val="20"/>
        </w:rPr>
        <w:t xml:space="preserve">, A. A., Abo-Youssef, A., Abdelwahab, N. S., &amp; Helaly, H. (2021). A </w:t>
      </w:r>
      <w:r w:rsidRPr="00067846">
        <w:rPr>
          <w:rFonts w:ascii="Arial" w:hAnsi="Arial" w:cs="Arial"/>
          <w:sz w:val="20"/>
          <w:szCs w:val="20"/>
        </w:rPr>
        <w:tab/>
        <w:t>comparative</w:t>
      </w:r>
      <w:r w:rsidR="005848F8">
        <w:rPr>
          <w:rFonts w:ascii="Arial" w:hAnsi="Arial" w:cs="Arial"/>
          <w:sz w:val="20"/>
          <w:szCs w:val="20"/>
        </w:rPr>
        <w:t xml:space="preserve"> </w:t>
      </w:r>
      <w:r w:rsidR="005848F8">
        <w:rPr>
          <w:rFonts w:ascii="Arial" w:hAnsi="Arial" w:cs="Arial"/>
          <w:sz w:val="20"/>
          <w:szCs w:val="20"/>
        </w:rPr>
        <w:tab/>
      </w:r>
      <w:r w:rsidRPr="00067846">
        <w:rPr>
          <w:rFonts w:ascii="Arial" w:hAnsi="Arial" w:cs="Arial"/>
          <w:sz w:val="20"/>
          <w:szCs w:val="20"/>
        </w:rPr>
        <w:t>study on the effects of the fenugreek seeds' powder and its aqueous</w:t>
      </w:r>
      <w:r w:rsidR="005848F8">
        <w:rPr>
          <w:rFonts w:ascii="Arial" w:hAnsi="Arial" w:cs="Arial"/>
          <w:sz w:val="20"/>
          <w:szCs w:val="20"/>
        </w:rPr>
        <w:t xml:space="preserve"> </w:t>
      </w:r>
      <w:r w:rsidRPr="00067846">
        <w:rPr>
          <w:rFonts w:ascii="Arial" w:hAnsi="Arial" w:cs="Arial"/>
          <w:sz w:val="20"/>
          <w:szCs w:val="20"/>
        </w:rPr>
        <w:t>and oil extracts on the</w:t>
      </w:r>
      <w:r w:rsidR="005848F8">
        <w:rPr>
          <w:rFonts w:ascii="Arial" w:hAnsi="Arial" w:cs="Arial"/>
          <w:sz w:val="20"/>
          <w:szCs w:val="20"/>
        </w:rPr>
        <w:t xml:space="preserve"> </w:t>
      </w:r>
      <w:r w:rsidRPr="00067846">
        <w:rPr>
          <w:rFonts w:ascii="Arial" w:hAnsi="Arial" w:cs="Arial"/>
          <w:sz w:val="20"/>
          <w:szCs w:val="20"/>
        </w:rPr>
        <w:t xml:space="preserve">male </w:t>
      </w:r>
      <w:r w:rsidR="005848F8">
        <w:rPr>
          <w:rFonts w:ascii="Arial" w:hAnsi="Arial" w:cs="Arial"/>
          <w:sz w:val="20"/>
          <w:szCs w:val="20"/>
        </w:rPr>
        <w:lastRenderedPageBreak/>
        <w:tab/>
      </w:r>
      <w:r w:rsidRPr="00067846">
        <w:rPr>
          <w:rFonts w:ascii="Arial" w:hAnsi="Arial" w:cs="Arial"/>
          <w:sz w:val="20"/>
          <w:szCs w:val="20"/>
        </w:rPr>
        <w:t xml:space="preserve">reproductive system in albino rats. </w:t>
      </w:r>
      <w:r w:rsidRPr="00067846">
        <w:rPr>
          <w:rFonts w:ascii="Arial" w:hAnsi="Arial" w:cs="Arial"/>
          <w:i/>
          <w:iCs/>
          <w:sz w:val="20"/>
          <w:szCs w:val="20"/>
        </w:rPr>
        <w:t xml:space="preserve">Bulletin of </w:t>
      </w:r>
      <w:r w:rsidRPr="00067846">
        <w:rPr>
          <w:rFonts w:ascii="Arial" w:hAnsi="Arial" w:cs="Arial"/>
          <w:i/>
          <w:iCs/>
          <w:sz w:val="20"/>
          <w:szCs w:val="20"/>
        </w:rPr>
        <w:tab/>
        <w:t>Pharmaceutical Sciences</w:t>
      </w:r>
      <w:r w:rsidR="005848F8">
        <w:rPr>
          <w:rFonts w:ascii="Arial" w:hAnsi="Arial" w:cs="Arial"/>
          <w:i/>
          <w:iCs/>
          <w:sz w:val="20"/>
          <w:szCs w:val="20"/>
        </w:rPr>
        <w:t>,</w:t>
      </w:r>
      <w:r w:rsidRPr="00067846">
        <w:rPr>
          <w:rFonts w:ascii="Arial" w:hAnsi="Arial" w:cs="Arial"/>
          <w:i/>
          <w:iCs/>
          <w:sz w:val="20"/>
          <w:szCs w:val="20"/>
        </w:rPr>
        <w:t xml:space="preserve"> Assiut University, </w:t>
      </w:r>
      <w:r w:rsidR="005848F8">
        <w:rPr>
          <w:rFonts w:ascii="Arial" w:hAnsi="Arial" w:cs="Arial"/>
          <w:i/>
          <w:iCs/>
          <w:sz w:val="20"/>
          <w:szCs w:val="20"/>
        </w:rPr>
        <w:tab/>
      </w:r>
      <w:r w:rsidRPr="00067846">
        <w:rPr>
          <w:rFonts w:ascii="Arial" w:hAnsi="Arial" w:cs="Arial"/>
          <w:i/>
          <w:iCs/>
          <w:sz w:val="20"/>
          <w:szCs w:val="20"/>
        </w:rPr>
        <w:t>44</w:t>
      </w:r>
      <w:r w:rsidRPr="00067846">
        <w:rPr>
          <w:rFonts w:ascii="Arial" w:hAnsi="Arial" w:cs="Arial"/>
          <w:sz w:val="20"/>
          <w:szCs w:val="20"/>
        </w:rPr>
        <w:t xml:space="preserve">(2), 623–635. https://doi.org/10.21608/BFSA.2021.207194 </w:t>
      </w:r>
    </w:p>
    <w:p w14:paraId="2704250A" w14:textId="08F9A1A5" w:rsidR="00067846" w:rsidRDefault="00067846" w:rsidP="00067846">
      <w:pPr>
        <w:jc w:val="both"/>
        <w:rPr>
          <w:rFonts w:ascii="Arial" w:hAnsi="Arial" w:cs="Arial"/>
          <w:sz w:val="20"/>
          <w:szCs w:val="20"/>
        </w:rPr>
      </w:pPr>
      <w:proofErr w:type="spellStart"/>
      <w:r w:rsidRPr="00067846">
        <w:rPr>
          <w:rFonts w:ascii="Arial" w:hAnsi="Arial" w:cs="Arial"/>
          <w:sz w:val="20"/>
          <w:szCs w:val="20"/>
        </w:rPr>
        <w:t>Banihani</w:t>
      </w:r>
      <w:proofErr w:type="spellEnd"/>
      <w:r w:rsidRPr="00067846">
        <w:rPr>
          <w:rFonts w:ascii="Arial" w:hAnsi="Arial" w:cs="Arial"/>
          <w:sz w:val="20"/>
          <w:szCs w:val="20"/>
        </w:rPr>
        <w:t xml:space="preserve">, S. A. (2018). Effect of paracetamol on semen quality. </w:t>
      </w:r>
      <w:proofErr w:type="spellStart"/>
      <w:r w:rsidRPr="00067846">
        <w:rPr>
          <w:rFonts w:ascii="Arial" w:hAnsi="Arial" w:cs="Arial"/>
          <w:i/>
          <w:iCs/>
          <w:sz w:val="20"/>
          <w:szCs w:val="20"/>
        </w:rPr>
        <w:t>Andrologia</w:t>
      </w:r>
      <w:proofErr w:type="spellEnd"/>
      <w:r w:rsidRPr="00067846">
        <w:rPr>
          <w:rFonts w:ascii="Arial" w:hAnsi="Arial" w:cs="Arial"/>
          <w:i/>
          <w:iCs/>
          <w:sz w:val="20"/>
          <w:szCs w:val="20"/>
        </w:rPr>
        <w:t>, 50</w:t>
      </w:r>
      <w:r w:rsidRPr="00067846">
        <w:rPr>
          <w:rFonts w:ascii="Arial" w:hAnsi="Arial" w:cs="Arial"/>
          <w:sz w:val="20"/>
          <w:szCs w:val="20"/>
        </w:rPr>
        <w:t xml:space="preserve">(1), </w:t>
      </w:r>
      <w:r w:rsidRPr="00067846">
        <w:rPr>
          <w:rFonts w:ascii="Arial" w:hAnsi="Arial" w:cs="Arial"/>
          <w:sz w:val="20"/>
          <w:szCs w:val="20"/>
        </w:rPr>
        <w:tab/>
        <w:t xml:space="preserve">e12874. </w:t>
      </w:r>
      <w:r>
        <w:rPr>
          <w:rFonts w:ascii="Arial" w:hAnsi="Arial" w:cs="Arial"/>
          <w:sz w:val="20"/>
          <w:szCs w:val="20"/>
        </w:rPr>
        <w:tab/>
      </w:r>
      <w:r w:rsidRPr="00067846">
        <w:rPr>
          <w:rFonts w:ascii="Arial" w:hAnsi="Arial" w:cs="Arial"/>
          <w:sz w:val="20"/>
          <w:szCs w:val="20"/>
        </w:rPr>
        <w:t xml:space="preserve">https://doi.org/10.1111/and.12874 </w:t>
      </w:r>
    </w:p>
    <w:p w14:paraId="3B15031B" w14:textId="17A82768" w:rsidR="009A14C1" w:rsidRPr="00067846" w:rsidRDefault="009A14C1" w:rsidP="00067846">
      <w:pPr>
        <w:jc w:val="both"/>
        <w:rPr>
          <w:rFonts w:ascii="Arial" w:hAnsi="Arial" w:cs="Arial"/>
          <w:sz w:val="20"/>
          <w:szCs w:val="20"/>
        </w:rPr>
      </w:pPr>
      <w:r w:rsidRPr="009A14C1">
        <w:rPr>
          <w:rFonts w:ascii="Arial" w:hAnsi="Arial" w:cs="Arial"/>
          <w:sz w:val="20"/>
          <w:szCs w:val="20"/>
        </w:rPr>
        <w:t>Baset, M.E., Ali, T.I., Elshamy, H., El Sadek, A.M., Sami, D.G., Badawy, M.T. ... Abdellatif, A. (2020). Anti-</w:t>
      </w:r>
      <w:r>
        <w:rPr>
          <w:rFonts w:ascii="Arial" w:hAnsi="Arial" w:cs="Arial"/>
          <w:sz w:val="20"/>
          <w:szCs w:val="20"/>
        </w:rPr>
        <w:tab/>
      </w:r>
      <w:r w:rsidRPr="009A14C1">
        <w:rPr>
          <w:rFonts w:ascii="Arial" w:hAnsi="Arial" w:cs="Arial"/>
          <w:sz w:val="20"/>
          <w:szCs w:val="20"/>
        </w:rPr>
        <w:t xml:space="preserve">diabetic effects of fenugreek (Trigonella </w:t>
      </w:r>
      <w:proofErr w:type="spellStart"/>
      <w:r w:rsidRPr="009A14C1">
        <w:rPr>
          <w:rFonts w:ascii="Arial" w:hAnsi="Arial" w:cs="Arial"/>
          <w:sz w:val="20"/>
          <w:szCs w:val="20"/>
        </w:rPr>
        <w:t>foenum</w:t>
      </w:r>
      <w:proofErr w:type="spellEnd"/>
      <w:r w:rsidRPr="009A14C1">
        <w:rPr>
          <w:rFonts w:ascii="Arial" w:hAnsi="Arial" w:cs="Arial"/>
          <w:sz w:val="20"/>
          <w:szCs w:val="20"/>
        </w:rPr>
        <w:t xml:space="preserve">-graecum): A comparison between oral and </w:t>
      </w:r>
      <w:r>
        <w:rPr>
          <w:rFonts w:ascii="Arial" w:hAnsi="Arial" w:cs="Arial"/>
          <w:sz w:val="20"/>
          <w:szCs w:val="20"/>
        </w:rPr>
        <w:tab/>
      </w:r>
      <w:r w:rsidRPr="009A14C1">
        <w:rPr>
          <w:rFonts w:ascii="Arial" w:hAnsi="Arial" w:cs="Arial"/>
          <w:sz w:val="20"/>
          <w:szCs w:val="20"/>
        </w:rPr>
        <w:t xml:space="preserve">intraperitoneal administration - an animal study. </w:t>
      </w:r>
      <w:r w:rsidRPr="009A14C1">
        <w:rPr>
          <w:rFonts w:ascii="Arial" w:hAnsi="Arial" w:cs="Arial"/>
          <w:i/>
          <w:iCs/>
          <w:sz w:val="20"/>
          <w:szCs w:val="20"/>
        </w:rPr>
        <w:t>International Journal of Functional Nutrition</w:t>
      </w:r>
      <w:r w:rsidRPr="009A14C1">
        <w:rPr>
          <w:rFonts w:ascii="Arial" w:hAnsi="Arial" w:cs="Arial"/>
          <w:sz w:val="20"/>
          <w:szCs w:val="20"/>
        </w:rPr>
        <w:t xml:space="preserve">, 1, 2. </w:t>
      </w:r>
      <w:r>
        <w:rPr>
          <w:rFonts w:ascii="Arial" w:hAnsi="Arial" w:cs="Arial"/>
          <w:sz w:val="20"/>
          <w:szCs w:val="20"/>
        </w:rPr>
        <w:tab/>
      </w:r>
      <w:r w:rsidRPr="009A14C1">
        <w:rPr>
          <w:rFonts w:ascii="Arial" w:hAnsi="Arial" w:cs="Arial"/>
          <w:sz w:val="20"/>
          <w:szCs w:val="20"/>
        </w:rPr>
        <w:t>https://doi.org/10.3892/ijfn.2020.2</w:t>
      </w:r>
    </w:p>
    <w:p w14:paraId="581E2F2E" w14:textId="57411A15" w:rsidR="00067846" w:rsidRPr="00067846" w:rsidRDefault="00067846" w:rsidP="00067846">
      <w:pPr>
        <w:jc w:val="both"/>
        <w:rPr>
          <w:rFonts w:ascii="Arial" w:hAnsi="Arial" w:cs="Arial"/>
          <w:sz w:val="20"/>
          <w:szCs w:val="20"/>
        </w:rPr>
      </w:pPr>
      <w:proofErr w:type="spellStart"/>
      <w:r w:rsidRPr="00067846">
        <w:rPr>
          <w:rFonts w:ascii="Arial" w:hAnsi="Arial" w:cs="Arial"/>
          <w:sz w:val="20"/>
          <w:szCs w:val="20"/>
        </w:rPr>
        <w:t>Bkhairia</w:t>
      </w:r>
      <w:proofErr w:type="spellEnd"/>
      <w:r w:rsidRPr="00067846">
        <w:rPr>
          <w:rFonts w:ascii="Arial" w:hAnsi="Arial" w:cs="Arial"/>
          <w:sz w:val="20"/>
          <w:szCs w:val="20"/>
        </w:rPr>
        <w:t xml:space="preserve">, I., </w:t>
      </w:r>
      <w:proofErr w:type="spellStart"/>
      <w:r w:rsidRPr="00067846">
        <w:rPr>
          <w:rFonts w:ascii="Arial" w:hAnsi="Arial" w:cs="Arial"/>
          <w:sz w:val="20"/>
          <w:szCs w:val="20"/>
        </w:rPr>
        <w:t>Dhibi</w:t>
      </w:r>
      <w:proofErr w:type="spellEnd"/>
      <w:r w:rsidRPr="00067846">
        <w:rPr>
          <w:rFonts w:ascii="Arial" w:hAnsi="Arial" w:cs="Arial"/>
          <w:sz w:val="20"/>
          <w:szCs w:val="20"/>
        </w:rPr>
        <w:t xml:space="preserve">, S., Nasri, R., Ghorbel, S., Messaoudi, I., &amp; Nasri, M. et al. (2018). </w:t>
      </w:r>
      <w:r w:rsidRPr="00067846">
        <w:rPr>
          <w:rFonts w:ascii="Arial" w:hAnsi="Arial" w:cs="Arial"/>
          <w:sz w:val="20"/>
          <w:szCs w:val="20"/>
        </w:rPr>
        <w:tab/>
        <w:t xml:space="preserve">Bioactive </w:t>
      </w:r>
      <w:r>
        <w:rPr>
          <w:rFonts w:ascii="Arial" w:hAnsi="Arial" w:cs="Arial"/>
          <w:sz w:val="20"/>
          <w:szCs w:val="20"/>
        </w:rPr>
        <w:tab/>
      </w:r>
      <w:r w:rsidRPr="00067846">
        <w:rPr>
          <w:rFonts w:ascii="Arial" w:hAnsi="Arial" w:cs="Arial"/>
          <w:sz w:val="20"/>
          <w:szCs w:val="20"/>
        </w:rPr>
        <w:t xml:space="preserve">properties: Enhancement of hepatoprotective, antioxidant and DNA </w:t>
      </w:r>
      <w:r w:rsidRPr="00067846">
        <w:rPr>
          <w:rFonts w:ascii="Arial" w:hAnsi="Arial" w:cs="Arial"/>
          <w:sz w:val="20"/>
          <w:szCs w:val="20"/>
        </w:rPr>
        <w:tab/>
        <w:t xml:space="preserve">damage protective </w:t>
      </w:r>
      <w:r>
        <w:rPr>
          <w:rFonts w:ascii="Arial" w:hAnsi="Arial" w:cs="Arial"/>
          <w:sz w:val="20"/>
          <w:szCs w:val="20"/>
        </w:rPr>
        <w:tab/>
      </w:r>
      <w:r w:rsidRPr="00067846">
        <w:rPr>
          <w:rFonts w:ascii="Arial" w:hAnsi="Arial" w:cs="Arial"/>
          <w:sz w:val="20"/>
          <w:szCs w:val="20"/>
        </w:rPr>
        <w:t xml:space="preserve">effects of golden grey mullet protein hydrolysates against </w:t>
      </w:r>
      <w:r w:rsidRPr="00067846">
        <w:rPr>
          <w:rFonts w:ascii="Arial" w:hAnsi="Arial" w:cs="Arial"/>
          <w:sz w:val="20"/>
          <w:szCs w:val="20"/>
        </w:rPr>
        <w:tab/>
        <w:t xml:space="preserve">paracetamol toxicity. </w:t>
      </w:r>
      <w:r w:rsidRPr="00067846">
        <w:rPr>
          <w:rFonts w:ascii="Arial" w:hAnsi="Arial" w:cs="Arial"/>
          <w:i/>
          <w:iCs/>
          <w:sz w:val="20"/>
          <w:szCs w:val="20"/>
        </w:rPr>
        <w:t xml:space="preserve">RSC </w:t>
      </w:r>
      <w:r>
        <w:rPr>
          <w:rFonts w:ascii="Arial" w:hAnsi="Arial" w:cs="Arial"/>
          <w:i/>
          <w:iCs/>
          <w:sz w:val="20"/>
          <w:szCs w:val="20"/>
        </w:rPr>
        <w:tab/>
      </w:r>
      <w:r w:rsidRPr="00067846">
        <w:rPr>
          <w:rFonts w:ascii="Arial" w:hAnsi="Arial" w:cs="Arial"/>
          <w:i/>
          <w:iCs/>
          <w:sz w:val="20"/>
          <w:szCs w:val="20"/>
        </w:rPr>
        <w:t>Advances, 8</w:t>
      </w:r>
      <w:r w:rsidR="00301D35">
        <w:rPr>
          <w:rFonts w:ascii="Arial" w:hAnsi="Arial" w:cs="Arial"/>
          <w:sz w:val="20"/>
          <w:szCs w:val="20"/>
        </w:rPr>
        <w:t>(41),</w:t>
      </w:r>
      <w:r w:rsidRPr="00067846">
        <w:rPr>
          <w:rFonts w:ascii="Arial" w:hAnsi="Arial" w:cs="Arial"/>
          <w:sz w:val="20"/>
          <w:szCs w:val="20"/>
        </w:rPr>
        <w:t xml:space="preserve"> 23230–23242. </w:t>
      </w:r>
      <w:r w:rsidRPr="00067846">
        <w:rPr>
          <w:rFonts w:ascii="Arial" w:hAnsi="Arial" w:cs="Arial"/>
          <w:sz w:val="20"/>
          <w:szCs w:val="20"/>
        </w:rPr>
        <w:tab/>
        <w:t xml:space="preserve">https://doi.org/10.1039/C8RA03534A </w:t>
      </w:r>
    </w:p>
    <w:p w14:paraId="1904C989" w14:textId="69C455C1" w:rsidR="00067846" w:rsidRPr="00067846" w:rsidRDefault="00067846" w:rsidP="00067846">
      <w:pPr>
        <w:jc w:val="both"/>
        <w:rPr>
          <w:rFonts w:ascii="Arial" w:hAnsi="Arial" w:cs="Arial"/>
          <w:sz w:val="20"/>
          <w:szCs w:val="20"/>
        </w:rPr>
      </w:pPr>
      <w:proofErr w:type="spellStart"/>
      <w:r w:rsidRPr="00067846">
        <w:rPr>
          <w:rFonts w:ascii="Arial" w:hAnsi="Arial" w:cs="Arial"/>
          <w:sz w:val="20"/>
          <w:szCs w:val="20"/>
        </w:rPr>
        <w:t>Blecharz</w:t>
      </w:r>
      <w:proofErr w:type="spellEnd"/>
      <w:r w:rsidRPr="00067846">
        <w:rPr>
          <w:rFonts w:ascii="Arial" w:hAnsi="Arial" w:cs="Arial"/>
          <w:sz w:val="20"/>
          <w:szCs w:val="20"/>
        </w:rPr>
        <w:t xml:space="preserve">-Klin, K., Sznejder-Pachołek, A., Wawer, A., </w:t>
      </w:r>
      <w:proofErr w:type="spellStart"/>
      <w:r w:rsidRPr="00067846">
        <w:rPr>
          <w:rFonts w:ascii="Arial" w:hAnsi="Arial" w:cs="Arial"/>
          <w:sz w:val="20"/>
          <w:szCs w:val="20"/>
        </w:rPr>
        <w:t>Pyrzanowska</w:t>
      </w:r>
      <w:proofErr w:type="spellEnd"/>
      <w:r w:rsidRPr="00067846">
        <w:rPr>
          <w:rFonts w:ascii="Arial" w:hAnsi="Arial" w:cs="Arial"/>
          <w:sz w:val="20"/>
          <w:szCs w:val="20"/>
        </w:rPr>
        <w:t xml:space="preserve">, J., </w:t>
      </w:r>
      <w:proofErr w:type="spellStart"/>
      <w:r w:rsidRPr="00067846">
        <w:rPr>
          <w:rFonts w:ascii="Arial" w:hAnsi="Arial" w:cs="Arial"/>
          <w:sz w:val="20"/>
          <w:szCs w:val="20"/>
        </w:rPr>
        <w:t>Piechal</w:t>
      </w:r>
      <w:proofErr w:type="spellEnd"/>
      <w:r w:rsidRPr="00067846">
        <w:rPr>
          <w:rFonts w:ascii="Arial" w:hAnsi="Arial" w:cs="Arial"/>
          <w:sz w:val="20"/>
          <w:szCs w:val="20"/>
        </w:rPr>
        <w:t xml:space="preserve">, A., </w:t>
      </w:r>
      <w:r w:rsidRPr="00067846">
        <w:rPr>
          <w:rFonts w:ascii="Arial" w:hAnsi="Arial" w:cs="Arial"/>
          <w:sz w:val="20"/>
          <w:szCs w:val="20"/>
        </w:rPr>
        <w:tab/>
        <w:t>Joniec-</w:t>
      </w:r>
      <w:r>
        <w:rPr>
          <w:rFonts w:ascii="Arial" w:hAnsi="Arial" w:cs="Arial"/>
          <w:sz w:val="20"/>
          <w:szCs w:val="20"/>
        </w:rPr>
        <w:tab/>
      </w:r>
      <w:proofErr w:type="spellStart"/>
      <w:r w:rsidRPr="00067846">
        <w:rPr>
          <w:rFonts w:ascii="Arial" w:hAnsi="Arial" w:cs="Arial"/>
          <w:sz w:val="20"/>
          <w:szCs w:val="20"/>
        </w:rPr>
        <w:t>Maciejak</w:t>
      </w:r>
      <w:proofErr w:type="spellEnd"/>
      <w:r w:rsidRPr="00067846">
        <w:rPr>
          <w:rFonts w:ascii="Arial" w:hAnsi="Arial" w:cs="Arial"/>
          <w:sz w:val="20"/>
          <w:szCs w:val="20"/>
        </w:rPr>
        <w:t xml:space="preserve">, I., et al. (2022). Early exposure to paracetamol reduces level of </w:t>
      </w:r>
      <w:r w:rsidRPr="00067846">
        <w:rPr>
          <w:rFonts w:ascii="Arial" w:hAnsi="Arial" w:cs="Arial"/>
          <w:sz w:val="20"/>
          <w:szCs w:val="20"/>
        </w:rPr>
        <w:tab/>
        <w:t xml:space="preserve">testicular </w:t>
      </w:r>
      <w:r>
        <w:rPr>
          <w:rFonts w:ascii="Arial" w:hAnsi="Arial" w:cs="Arial"/>
          <w:sz w:val="20"/>
          <w:szCs w:val="20"/>
        </w:rPr>
        <w:tab/>
      </w:r>
      <w:r w:rsidRPr="00067846">
        <w:rPr>
          <w:rFonts w:ascii="Arial" w:hAnsi="Arial" w:cs="Arial"/>
          <w:sz w:val="20"/>
          <w:szCs w:val="20"/>
        </w:rPr>
        <w:t xml:space="preserve">testosterone and changes gonadal expression of genes relevant for </w:t>
      </w:r>
      <w:r w:rsidRPr="00067846">
        <w:rPr>
          <w:rFonts w:ascii="Arial" w:hAnsi="Arial" w:cs="Arial"/>
          <w:sz w:val="20"/>
          <w:szCs w:val="20"/>
        </w:rPr>
        <w:tab/>
        <w:t xml:space="preserve">steroidogenesis in rat </w:t>
      </w:r>
      <w:r>
        <w:rPr>
          <w:rFonts w:ascii="Arial" w:hAnsi="Arial" w:cs="Arial"/>
          <w:sz w:val="20"/>
          <w:szCs w:val="20"/>
        </w:rPr>
        <w:tab/>
      </w:r>
      <w:r w:rsidRPr="00067846">
        <w:rPr>
          <w:rFonts w:ascii="Arial" w:hAnsi="Arial" w:cs="Arial"/>
          <w:sz w:val="20"/>
          <w:szCs w:val="20"/>
        </w:rPr>
        <w:t xml:space="preserve">offspring. </w:t>
      </w:r>
      <w:r w:rsidRPr="00067846">
        <w:rPr>
          <w:rFonts w:ascii="Arial" w:hAnsi="Arial" w:cs="Arial"/>
          <w:i/>
          <w:iCs/>
          <w:sz w:val="20"/>
          <w:szCs w:val="20"/>
        </w:rPr>
        <w:t>Drug and Chemical Toxicology, 45</w:t>
      </w:r>
      <w:r w:rsidRPr="00067846">
        <w:rPr>
          <w:rFonts w:ascii="Arial" w:hAnsi="Arial" w:cs="Arial"/>
          <w:sz w:val="20"/>
          <w:szCs w:val="20"/>
        </w:rPr>
        <w:t xml:space="preserve">(4), 1862–1869. </w:t>
      </w:r>
      <w:r w:rsidRPr="00067846">
        <w:rPr>
          <w:rFonts w:ascii="Arial" w:hAnsi="Arial" w:cs="Arial"/>
          <w:sz w:val="20"/>
          <w:szCs w:val="20"/>
        </w:rPr>
        <w:tab/>
        <w:t xml:space="preserve">https://doi.org/10.1080/01480545.2021.1892941 </w:t>
      </w:r>
    </w:p>
    <w:p w14:paraId="67B44DBB" w14:textId="2C1AAFA5" w:rsidR="00067846" w:rsidRPr="00067846" w:rsidRDefault="00067846" w:rsidP="00067846">
      <w:pPr>
        <w:jc w:val="both"/>
        <w:rPr>
          <w:rFonts w:ascii="Arial" w:hAnsi="Arial" w:cs="Arial"/>
          <w:sz w:val="20"/>
          <w:szCs w:val="20"/>
        </w:rPr>
      </w:pPr>
      <w:r w:rsidRPr="00067846">
        <w:rPr>
          <w:rFonts w:ascii="Arial" w:hAnsi="Arial" w:cs="Arial"/>
          <w:sz w:val="20"/>
          <w:szCs w:val="20"/>
        </w:rPr>
        <w:t xml:space="preserve">Creasy, D. M. (2001). Pathogenesis of male reproductive toxicity. </w:t>
      </w:r>
      <w:r w:rsidRPr="00067846">
        <w:rPr>
          <w:rFonts w:ascii="Arial" w:hAnsi="Arial" w:cs="Arial"/>
          <w:i/>
          <w:iCs/>
          <w:sz w:val="20"/>
          <w:szCs w:val="20"/>
        </w:rPr>
        <w:t xml:space="preserve">Toxicologic Pathology, </w:t>
      </w:r>
      <w:r w:rsidRPr="00067846">
        <w:rPr>
          <w:rFonts w:ascii="Arial" w:hAnsi="Arial" w:cs="Arial"/>
          <w:i/>
          <w:iCs/>
          <w:sz w:val="20"/>
          <w:szCs w:val="20"/>
        </w:rPr>
        <w:tab/>
        <w:t>29</w:t>
      </w:r>
      <w:r w:rsidRPr="00067846">
        <w:rPr>
          <w:rFonts w:ascii="Arial" w:hAnsi="Arial" w:cs="Arial"/>
          <w:sz w:val="20"/>
          <w:szCs w:val="20"/>
        </w:rPr>
        <w:t xml:space="preserve">(1), 64–76. </w:t>
      </w:r>
      <w:r>
        <w:rPr>
          <w:rFonts w:ascii="Arial" w:hAnsi="Arial" w:cs="Arial"/>
          <w:sz w:val="20"/>
          <w:szCs w:val="20"/>
        </w:rPr>
        <w:tab/>
      </w:r>
      <w:r w:rsidRPr="00067846">
        <w:rPr>
          <w:rFonts w:ascii="Arial" w:hAnsi="Arial" w:cs="Arial"/>
          <w:sz w:val="20"/>
          <w:szCs w:val="20"/>
        </w:rPr>
        <w:t xml:space="preserve">https://doi.org/10.1080/019262301301418863 </w:t>
      </w:r>
    </w:p>
    <w:p w14:paraId="0B16EB49" w14:textId="5198EF5A" w:rsidR="00067846" w:rsidRPr="00067846" w:rsidRDefault="00067846" w:rsidP="00067846">
      <w:pPr>
        <w:jc w:val="both"/>
        <w:rPr>
          <w:rFonts w:ascii="Arial" w:hAnsi="Arial" w:cs="Arial"/>
          <w:sz w:val="20"/>
          <w:szCs w:val="20"/>
        </w:rPr>
      </w:pPr>
      <w:r w:rsidRPr="00067846">
        <w:rPr>
          <w:rFonts w:ascii="Arial" w:hAnsi="Arial" w:cs="Arial"/>
          <w:sz w:val="20"/>
          <w:szCs w:val="20"/>
        </w:rPr>
        <w:t xml:space="preserve">Divyanshu, Kumari, C., &amp; Ahmad, M. E. (2022). Restitutive effects of </w:t>
      </w:r>
      <w:r w:rsidRPr="00067846">
        <w:rPr>
          <w:rFonts w:ascii="Arial" w:hAnsi="Arial" w:cs="Arial"/>
          <w:i/>
          <w:iCs/>
          <w:sz w:val="20"/>
          <w:szCs w:val="20"/>
        </w:rPr>
        <w:t>Allium sativum</w:t>
      </w:r>
      <w:r w:rsidRPr="00067846">
        <w:rPr>
          <w:rFonts w:ascii="Arial" w:hAnsi="Arial" w:cs="Arial"/>
          <w:sz w:val="20"/>
          <w:szCs w:val="20"/>
        </w:rPr>
        <w:t xml:space="preserve"> on</w:t>
      </w:r>
      <w:r w:rsidR="00073D63">
        <w:rPr>
          <w:rFonts w:ascii="Arial" w:hAnsi="Arial" w:cs="Arial"/>
          <w:sz w:val="20"/>
          <w:szCs w:val="20"/>
        </w:rPr>
        <w:t xml:space="preserve"> </w:t>
      </w:r>
      <w:r w:rsidRPr="00067846">
        <w:rPr>
          <w:rFonts w:ascii="Arial" w:hAnsi="Arial" w:cs="Arial"/>
          <w:sz w:val="20"/>
          <w:szCs w:val="20"/>
        </w:rPr>
        <w:t>oxidative stress</w:t>
      </w:r>
      <w:r w:rsidR="00073D63">
        <w:rPr>
          <w:rFonts w:ascii="Arial" w:hAnsi="Arial" w:cs="Arial"/>
          <w:sz w:val="20"/>
          <w:szCs w:val="20"/>
        </w:rPr>
        <w:t xml:space="preserve"> </w:t>
      </w:r>
      <w:r w:rsidR="00073D63">
        <w:rPr>
          <w:rFonts w:ascii="Arial" w:hAnsi="Arial" w:cs="Arial"/>
          <w:sz w:val="20"/>
          <w:szCs w:val="20"/>
        </w:rPr>
        <w:tab/>
      </w:r>
      <w:r w:rsidRPr="00067846">
        <w:rPr>
          <w:rFonts w:ascii="Arial" w:hAnsi="Arial" w:cs="Arial"/>
          <w:sz w:val="20"/>
          <w:szCs w:val="20"/>
        </w:rPr>
        <w:t xml:space="preserve">and hepatotoxicity in dimethoate-induced </w:t>
      </w:r>
      <w:r w:rsidRPr="00067846">
        <w:rPr>
          <w:rFonts w:ascii="Arial" w:hAnsi="Arial" w:cs="Arial"/>
          <w:i/>
          <w:iCs/>
          <w:sz w:val="20"/>
          <w:szCs w:val="20"/>
        </w:rPr>
        <w:t>Mus musculus</w:t>
      </w:r>
      <w:r w:rsidRPr="00067846">
        <w:rPr>
          <w:rFonts w:ascii="Arial" w:hAnsi="Arial" w:cs="Arial"/>
          <w:sz w:val="20"/>
          <w:szCs w:val="20"/>
        </w:rPr>
        <w:t xml:space="preserve">. </w:t>
      </w:r>
      <w:r w:rsidRPr="00067846">
        <w:rPr>
          <w:rFonts w:ascii="Arial" w:hAnsi="Arial" w:cs="Arial"/>
          <w:i/>
          <w:iCs/>
          <w:sz w:val="20"/>
          <w:szCs w:val="20"/>
        </w:rPr>
        <w:t>Journal</w:t>
      </w:r>
      <w:r w:rsidR="00073D63">
        <w:rPr>
          <w:rFonts w:ascii="Arial" w:hAnsi="Arial" w:cs="Arial"/>
          <w:i/>
          <w:iCs/>
          <w:sz w:val="20"/>
          <w:szCs w:val="20"/>
        </w:rPr>
        <w:t xml:space="preserve"> </w:t>
      </w:r>
      <w:r w:rsidRPr="00067846">
        <w:rPr>
          <w:rFonts w:ascii="Arial" w:hAnsi="Arial" w:cs="Arial"/>
          <w:i/>
          <w:iCs/>
          <w:sz w:val="20"/>
          <w:szCs w:val="20"/>
        </w:rPr>
        <w:t xml:space="preserve">of Advanced Zoology, </w:t>
      </w:r>
      <w:r>
        <w:rPr>
          <w:rFonts w:ascii="Arial" w:hAnsi="Arial" w:cs="Arial"/>
          <w:i/>
          <w:iCs/>
          <w:sz w:val="20"/>
          <w:szCs w:val="20"/>
        </w:rPr>
        <w:tab/>
      </w:r>
      <w:r w:rsidRPr="00067846">
        <w:rPr>
          <w:rFonts w:ascii="Arial" w:hAnsi="Arial" w:cs="Arial"/>
          <w:i/>
          <w:iCs/>
          <w:sz w:val="20"/>
          <w:szCs w:val="20"/>
        </w:rPr>
        <w:t>43</w:t>
      </w:r>
      <w:r w:rsidRPr="00067846">
        <w:rPr>
          <w:rFonts w:ascii="Arial" w:hAnsi="Arial" w:cs="Arial"/>
          <w:sz w:val="20"/>
          <w:szCs w:val="20"/>
        </w:rPr>
        <w:t xml:space="preserve">(1), </w:t>
      </w:r>
      <w:r w:rsidR="00073D63">
        <w:rPr>
          <w:rFonts w:ascii="Arial" w:hAnsi="Arial" w:cs="Arial"/>
          <w:sz w:val="20"/>
          <w:szCs w:val="20"/>
        </w:rPr>
        <w:tab/>
      </w:r>
      <w:r w:rsidRPr="00067846">
        <w:rPr>
          <w:rFonts w:ascii="Arial" w:hAnsi="Arial" w:cs="Arial"/>
          <w:sz w:val="20"/>
          <w:szCs w:val="20"/>
        </w:rPr>
        <w:t xml:space="preserve">1424–1431. </w:t>
      </w:r>
    </w:p>
    <w:p w14:paraId="094CF5A9" w14:textId="5532ED42" w:rsidR="00067846" w:rsidRPr="00067846" w:rsidRDefault="00067846" w:rsidP="00067846">
      <w:pPr>
        <w:jc w:val="both"/>
        <w:rPr>
          <w:rFonts w:ascii="Arial" w:hAnsi="Arial" w:cs="Arial"/>
          <w:sz w:val="20"/>
          <w:szCs w:val="20"/>
        </w:rPr>
      </w:pPr>
      <w:r w:rsidRPr="00067846">
        <w:rPr>
          <w:rFonts w:ascii="Arial" w:hAnsi="Arial" w:cs="Arial"/>
          <w:sz w:val="20"/>
          <w:szCs w:val="20"/>
        </w:rPr>
        <w:t xml:space="preserve">Divyanshu, Nawaz, M. S., &amp; Ahmad, M. E. (2025). Ameliorative potential of </w:t>
      </w:r>
      <w:r w:rsidRPr="00067846">
        <w:rPr>
          <w:rFonts w:ascii="Arial" w:hAnsi="Arial" w:cs="Arial"/>
          <w:i/>
          <w:iCs/>
          <w:sz w:val="20"/>
          <w:szCs w:val="20"/>
        </w:rPr>
        <w:t>Allium sativum</w:t>
      </w:r>
      <w:r w:rsidR="008F2F6D">
        <w:rPr>
          <w:rFonts w:ascii="Arial" w:hAnsi="Arial" w:cs="Arial"/>
          <w:sz w:val="20"/>
          <w:szCs w:val="20"/>
        </w:rPr>
        <w:t xml:space="preserve"> </w:t>
      </w:r>
      <w:r w:rsidRPr="00067846">
        <w:rPr>
          <w:rFonts w:ascii="Arial" w:hAnsi="Arial" w:cs="Arial"/>
          <w:sz w:val="20"/>
          <w:szCs w:val="20"/>
        </w:rPr>
        <w:t>against</w:t>
      </w:r>
      <w:r w:rsidR="008F2F6D">
        <w:rPr>
          <w:rFonts w:ascii="Arial" w:hAnsi="Arial" w:cs="Arial"/>
          <w:sz w:val="20"/>
          <w:szCs w:val="20"/>
        </w:rPr>
        <w:t xml:space="preserve"> </w:t>
      </w:r>
      <w:r w:rsidR="008F2F6D">
        <w:rPr>
          <w:rFonts w:ascii="Arial" w:hAnsi="Arial" w:cs="Arial"/>
          <w:sz w:val="20"/>
          <w:szCs w:val="20"/>
        </w:rPr>
        <w:tab/>
      </w:r>
      <w:r w:rsidRPr="00067846">
        <w:rPr>
          <w:rFonts w:ascii="Arial" w:hAnsi="Arial" w:cs="Arial"/>
          <w:sz w:val="20"/>
          <w:szCs w:val="20"/>
        </w:rPr>
        <w:t>chlorpyrifos-induced toxicity in Swiss albino mice (</w:t>
      </w:r>
      <w:r w:rsidRPr="00067846">
        <w:rPr>
          <w:rFonts w:ascii="Arial" w:hAnsi="Arial" w:cs="Arial"/>
          <w:i/>
          <w:iCs/>
          <w:sz w:val="20"/>
          <w:szCs w:val="20"/>
        </w:rPr>
        <w:t>Mus musculus</w:t>
      </w:r>
      <w:r w:rsidRPr="00067846">
        <w:rPr>
          <w:rFonts w:ascii="Arial" w:hAnsi="Arial" w:cs="Arial"/>
          <w:sz w:val="20"/>
          <w:szCs w:val="20"/>
        </w:rPr>
        <w:t xml:space="preserve">). </w:t>
      </w:r>
      <w:r w:rsidRPr="00067846">
        <w:rPr>
          <w:rFonts w:ascii="Arial" w:hAnsi="Arial" w:cs="Arial"/>
          <w:i/>
          <w:iCs/>
          <w:sz w:val="20"/>
          <w:szCs w:val="20"/>
        </w:rPr>
        <w:t xml:space="preserve">Asian </w:t>
      </w:r>
      <w:r w:rsidRPr="00067846">
        <w:rPr>
          <w:rFonts w:ascii="Arial" w:hAnsi="Arial" w:cs="Arial"/>
          <w:i/>
          <w:iCs/>
          <w:sz w:val="20"/>
          <w:szCs w:val="20"/>
        </w:rPr>
        <w:tab/>
        <w:t xml:space="preserve">Journal of Biological and </w:t>
      </w:r>
      <w:r>
        <w:rPr>
          <w:rFonts w:ascii="Arial" w:hAnsi="Arial" w:cs="Arial"/>
          <w:i/>
          <w:iCs/>
          <w:sz w:val="20"/>
          <w:szCs w:val="20"/>
        </w:rPr>
        <w:tab/>
      </w:r>
      <w:r w:rsidRPr="00067846">
        <w:rPr>
          <w:rFonts w:ascii="Arial" w:hAnsi="Arial" w:cs="Arial"/>
          <w:i/>
          <w:iCs/>
          <w:sz w:val="20"/>
          <w:szCs w:val="20"/>
        </w:rPr>
        <w:t>Life Sciences, 14</w:t>
      </w:r>
      <w:r w:rsidRPr="00067846">
        <w:rPr>
          <w:rFonts w:ascii="Arial" w:hAnsi="Arial" w:cs="Arial"/>
          <w:sz w:val="20"/>
          <w:szCs w:val="20"/>
        </w:rPr>
        <w:t xml:space="preserve">(2), 1–6. </w:t>
      </w:r>
    </w:p>
    <w:p w14:paraId="68791954" w14:textId="3AB442BF" w:rsidR="00067846" w:rsidRPr="00067846" w:rsidRDefault="00067846" w:rsidP="00067846">
      <w:pPr>
        <w:jc w:val="both"/>
        <w:rPr>
          <w:rFonts w:ascii="Arial" w:hAnsi="Arial" w:cs="Arial"/>
          <w:sz w:val="20"/>
          <w:szCs w:val="20"/>
        </w:rPr>
      </w:pPr>
      <w:r w:rsidRPr="00067846">
        <w:rPr>
          <w:rFonts w:ascii="Arial" w:hAnsi="Arial" w:cs="Arial"/>
          <w:sz w:val="20"/>
          <w:szCs w:val="20"/>
        </w:rPr>
        <w:t xml:space="preserve">Guo, X., &amp; </w:t>
      </w:r>
      <w:proofErr w:type="spellStart"/>
      <w:r w:rsidRPr="00067846">
        <w:rPr>
          <w:rFonts w:ascii="Arial" w:hAnsi="Arial" w:cs="Arial"/>
          <w:sz w:val="20"/>
          <w:szCs w:val="20"/>
        </w:rPr>
        <w:t>Nzerue</w:t>
      </w:r>
      <w:proofErr w:type="spellEnd"/>
      <w:r w:rsidRPr="00067846">
        <w:rPr>
          <w:rFonts w:ascii="Arial" w:hAnsi="Arial" w:cs="Arial"/>
          <w:sz w:val="20"/>
          <w:szCs w:val="20"/>
        </w:rPr>
        <w:t xml:space="preserve">, C. (2002). How to prevent, recognize, and treat drug-induced </w:t>
      </w:r>
      <w:r w:rsidRPr="00067846">
        <w:rPr>
          <w:rFonts w:ascii="Arial" w:hAnsi="Arial" w:cs="Arial"/>
          <w:sz w:val="20"/>
          <w:szCs w:val="20"/>
        </w:rPr>
        <w:tab/>
        <w:t xml:space="preserve">nephrotoxicity. </w:t>
      </w:r>
      <w:r>
        <w:rPr>
          <w:rFonts w:ascii="Arial" w:hAnsi="Arial" w:cs="Arial"/>
          <w:sz w:val="20"/>
          <w:szCs w:val="20"/>
        </w:rPr>
        <w:tab/>
      </w:r>
      <w:r w:rsidRPr="00067846">
        <w:rPr>
          <w:rFonts w:ascii="Arial" w:hAnsi="Arial" w:cs="Arial"/>
          <w:i/>
          <w:iCs/>
          <w:sz w:val="20"/>
          <w:szCs w:val="20"/>
        </w:rPr>
        <w:t>Cleveland Clinic Journal of Medicine, 69</w:t>
      </w:r>
      <w:r w:rsidRPr="00067846">
        <w:rPr>
          <w:rFonts w:ascii="Arial" w:hAnsi="Arial" w:cs="Arial"/>
          <w:sz w:val="20"/>
          <w:szCs w:val="20"/>
        </w:rPr>
        <w:t xml:space="preserve">(4), 289–290, 293–294, </w:t>
      </w:r>
      <w:r w:rsidRPr="00067846">
        <w:rPr>
          <w:rFonts w:ascii="Arial" w:hAnsi="Arial" w:cs="Arial"/>
          <w:sz w:val="20"/>
          <w:szCs w:val="20"/>
        </w:rPr>
        <w:tab/>
        <w:t xml:space="preserve">296–297. </w:t>
      </w:r>
    </w:p>
    <w:p w14:paraId="08CD898E" w14:textId="33F4058E" w:rsidR="00067846" w:rsidRPr="00067846" w:rsidRDefault="00067846" w:rsidP="00067846">
      <w:pPr>
        <w:jc w:val="both"/>
        <w:rPr>
          <w:rFonts w:ascii="Arial" w:hAnsi="Arial" w:cs="Arial"/>
          <w:sz w:val="20"/>
          <w:szCs w:val="20"/>
        </w:rPr>
      </w:pPr>
      <w:r w:rsidRPr="00067846">
        <w:rPr>
          <w:rFonts w:ascii="Arial" w:hAnsi="Arial" w:cs="Arial"/>
          <w:sz w:val="20"/>
          <w:szCs w:val="20"/>
        </w:rPr>
        <w:t>Hamza, A. A., Elwy, H. M., &amp; Badawi, A. M. (2016). Fenugreek seed extract attenuates</w:t>
      </w:r>
      <w:r w:rsidR="002333AE">
        <w:rPr>
          <w:rFonts w:ascii="Arial" w:hAnsi="Arial" w:cs="Arial"/>
          <w:sz w:val="20"/>
          <w:szCs w:val="20"/>
        </w:rPr>
        <w:t xml:space="preserve"> </w:t>
      </w:r>
      <w:r w:rsidRPr="00067846">
        <w:rPr>
          <w:rFonts w:ascii="Arial" w:hAnsi="Arial" w:cs="Arial"/>
          <w:sz w:val="20"/>
          <w:szCs w:val="20"/>
        </w:rPr>
        <w:t>cisplatin-</w:t>
      </w:r>
      <w:r>
        <w:rPr>
          <w:rFonts w:ascii="Arial" w:hAnsi="Arial" w:cs="Arial"/>
          <w:sz w:val="20"/>
          <w:szCs w:val="20"/>
        </w:rPr>
        <w:tab/>
      </w:r>
      <w:r w:rsidRPr="00067846">
        <w:rPr>
          <w:rFonts w:ascii="Arial" w:hAnsi="Arial" w:cs="Arial"/>
          <w:sz w:val="20"/>
          <w:szCs w:val="20"/>
        </w:rPr>
        <w:t xml:space="preserve">induced </w:t>
      </w:r>
      <w:r w:rsidR="002333AE">
        <w:rPr>
          <w:rFonts w:ascii="Arial" w:hAnsi="Arial" w:cs="Arial"/>
          <w:sz w:val="20"/>
          <w:szCs w:val="20"/>
        </w:rPr>
        <w:tab/>
      </w:r>
      <w:r w:rsidRPr="00067846">
        <w:rPr>
          <w:rFonts w:ascii="Arial" w:hAnsi="Arial" w:cs="Arial"/>
          <w:sz w:val="20"/>
          <w:szCs w:val="20"/>
        </w:rPr>
        <w:t>testicular damage in Wistar rats.</w:t>
      </w:r>
      <w:r w:rsidR="002333AE">
        <w:rPr>
          <w:rFonts w:ascii="Arial" w:hAnsi="Arial" w:cs="Arial"/>
          <w:sz w:val="20"/>
          <w:szCs w:val="20"/>
        </w:rPr>
        <w:t xml:space="preserve"> </w:t>
      </w:r>
      <w:proofErr w:type="spellStart"/>
      <w:r w:rsidRPr="00067846">
        <w:rPr>
          <w:rFonts w:ascii="Arial" w:hAnsi="Arial" w:cs="Arial"/>
          <w:i/>
          <w:iCs/>
          <w:sz w:val="20"/>
          <w:szCs w:val="20"/>
        </w:rPr>
        <w:t>Andrologia</w:t>
      </w:r>
      <w:proofErr w:type="spellEnd"/>
      <w:r w:rsidRPr="00067846">
        <w:rPr>
          <w:rFonts w:ascii="Arial" w:hAnsi="Arial" w:cs="Arial"/>
          <w:i/>
          <w:iCs/>
          <w:sz w:val="20"/>
          <w:szCs w:val="20"/>
        </w:rPr>
        <w:t>, 48</w:t>
      </w:r>
      <w:r w:rsidRPr="00067846">
        <w:rPr>
          <w:rFonts w:ascii="Arial" w:hAnsi="Arial" w:cs="Arial"/>
          <w:sz w:val="20"/>
          <w:szCs w:val="20"/>
        </w:rPr>
        <w:t xml:space="preserve">(2), 211–221. </w:t>
      </w:r>
      <w:r w:rsidRPr="00067846">
        <w:rPr>
          <w:rFonts w:ascii="Arial" w:hAnsi="Arial" w:cs="Arial"/>
          <w:sz w:val="20"/>
          <w:szCs w:val="20"/>
        </w:rPr>
        <w:tab/>
        <w:t xml:space="preserve">https://doi.org/10.1111/and.12433 </w:t>
      </w:r>
    </w:p>
    <w:p w14:paraId="5022BE7D" w14:textId="36411287" w:rsidR="00067846" w:rsidRPr="00067846" w:rsidRDefault="00067846" w:rsidP="00067846">
      <w:pPr>
        <w:jc w:val="both"/>
        <w:rPr>
          <w:rFonts w:ascii="Arial" w:hAnsi="Arial" w:cs="Arial"/>
          <w:sz w:val="20"/>
          <w:szCs w:val="20"/>
        </w:rPr>
      </w:pPr>
      <w:r w:rsidRPr="00067846">
        <w:rPr>
          <w:rFonts w:ascii="Arial" w:hAnsi="Arial" w:cs="Arial"/>
          <w:sz w:val="20"/>
          <w:szCs w:val="20"/>
        </w:rPr>
        <w:t xml:space="preserve">Hussain, T., Kandeel, M., Metwally, E., Murtaza, G., Kalhoro, D. H., Yin, Y., et al. (2023). </w:t>
      </w:r>
      <w:r w:rsidRPr="00067846">
        <w:rPr>
          <w:rFonts w:ascii="Arial" w:hAnsi="Arial" w:cs="Arial"/>
          <w:sz w:val="20"/>
          <w:szCs w:val="20"/>
        </w:rPr>
        <w:tab/>
        <w:t>Unraveling the</w:t>
      </w:r>
      <w:r w:rsidR="002333AE">
        <w:rPr>
          <w:rFonts w:ascii="Arial" w:hAnsi="Arial" w:cs="Arial"/>
          <w:sz w:val="20"/>
          <w:szCs w:val="20"/>
        </w:rPr>
        <w:t xml:space="preserve"> </w:t>
      </w:r>
      <w:r w:rsidR="002333AE">
        <w:rPr>
          <w:rFonts w:ascii="Arial" w:hAnsi="Arial" w:cs="Arial"/>
          <w:sz w:val="20"/>
          <w:szCs w:val="20"/>
        </w:rPr>
        <w:tab/>
      </w:r>
      <w:r w:rsidRPr="00067846">
        <w:rPr>
          <w:rFonts w:ascii="Arial" w:hAnsi="Arial" w:cs="Arial"/>
          <w:sz w:val="20"/>
          <w:szCs w:val="20"/>
        </w:rPr>
        <w:t>harmful effect of oxidative stress on male fertility: A mechanistic</w:t>
      </w:r>
      <w:r w:rsidR="002333AE">
        <w:rPr>
          <w:rFonts w:ascii="Arial" w:hAnsi="Arial" w:cs="Arial"/>
          <w:sz w:val="20"/>
          <w:szCs w:val="20"/>
        </w:rPr>
        <w:t xml:space="preserve"> </w:t>
      </w:r>
      <w:r w:rsidRPr="00067846">
        <w:rPr>
          <w:rFonts w:ascii="Arial" w:hAnsi="Arial" w:cs="Arial"/>
          <w:sz w:val="20"/>
          <w:szCs w:val="20"/>
        </w:rPr>
        <w:t xml:space="preserve">insight. </w:t>
      </w:r>
      <w:r w:rsidRPr="00067846">
        <w:rPr>
          <w:rFonts w:ascii="Arial" w:hAnsi="Arial" w:cs="Arial"/>
          <w:i/>
          <w:iCs/>
          <w:sz w:val="20"/>
          <w:szCs w:val="20"/>
        </w:rPr>
        <w:t xml:space="preserve">Frontiers in </w:t>
      </w:r>
      <w:r>
        <w:rPr>
          <w:rFonts w:ascii="Arial" w:hAnsi="Arial" w:cs="Arial"/>
          <w:i/>
          <w:iCs/>
          <w:sz w:val="20"/>
          <w:szCs w:val="20"/>
        </w:rPr>
        <w:tab/>
      </w:r>
      <w:r w:rsidRPr="00067846">
        <w:rPr>
          <w:rFonts w:ascii="Arial" w:hAnsi="Arial" w:cs="Arial"/>
          <w:i/>
          <w:iCs/>
          <w:sz w:val="20"/>
          <w:szCs w:val="20"/>
        </w:rPr>
        <w:t>Endocrinology, 14</w:t>
      </w:r>
      <w:r w:rsidRPr="00067846">
        <w:rPr>
          <w:rFonts w:ascii="Arial" w:hAnsi="Arial" w:cs="Arial"/>
          <w:sz w:val="20"/>
          <w:szCs w:val="20"/>
        </w:rPr>
        <w:t xml:space="preserve">, 1070692. </w:t>
      </w:r>
      <w:r w:rsidRPr="00067846">
        <w:rPr>
          <w:rFonts w:ascii="Arial" w:hAnsi="Arial" w:cs="Arial"/>
          <w:sz w:val="20"/>
          <w:szCs w:val="20"/>
        </w:rPr>
        <w:tab/>
      </w:r>
      <w:hyperlink r:id="rId21" w:history="1">
        <w:r w:rsidRPr="00067846">
          <w:rPr>
            <w:rStyle w:val="Hyperlink"/>
            <w:rFonts w:ascii="Arial" w:hAnsi="Arial" w:cs="Arial"/>
            <w:sz w:val="20"/>
            <w:szCs w:val="20"/>
          </w:rPr>
          <w:t>https://doi.org/10.3389/fendo.2023.1070692</w:t>
        </w:r>
      </w:hyperlink>
      <w:r w:rsidRPr="00067846">
        <w:rPr>
          <w:rFonts w:ascii="Arial" w:hAnsi="Arial" w:cs="Arial"/>
          <w:sz w:val="20"/>
          <w:szCs w:val="20"/>
        </w:rPr>
        <w:t xml:space="preserve"> </w:t>
      </w:r>
    </w:p>
    <w:p w14:paraId="5FF29A33" w14:textId="1891427D" w:rsidR="00067846" w:rsidRPr="00067846" w:rsidRDefault="00067846" w:rsidP="00067846">
      <w:pPr>
        <w:jc w:val="both"/>
        <w:rPr>
          <w:rFonts w:ascii="Arial" w:hAnsi="Arial" w:cs="Arial"/>
          <w:sz w:val="20"/>
          <w:szCs w:val="20"/>
        </w:rPr>
      </w:pPr>
      <w:r w:rsidRPr="00067846">
        <w:rPr>
          <w:rFonts w:ascii="Arial" w:hAnsi="Arial" w:cs="Arial"/>
          <w:sz w:val="20"/>
          <w:szCs w:val="20"/>
        </w:rPr>
        <w:t>Iqbal, A., Nawaz, M. S., &amp; Ahmad, M. E. (2024). Role of Ashwagandha (</w:t>
      </w:r>
      <w:proofErr w:type="spellStart"/>
      <w:r w:rsidRPr="00067846">
        <w:rPr>
          <w:rFonts w:ascii="Arial" w:hAnsi="Arial" w:cs="Arial"/>
          <w:i/>
          <w:iCs/>
          <w:sz w:val="20"/>
          <w:szCs w:val="20"/>
        </w:rPr>
        <w:t>Withania</w:t>
      </w:r>
      <w:proofErr w:type="spellEnd"/>
      <w:r w:rsidRPr="00067846">
        <w:rPr>
          <w:rFonts w:ascii="Arial" w:hAnsi="Arial" w:cs="Arial"/>
          <w:i/>
          <w:iCs/>
          <w:sz w:val="20"/>
          <w:szCs w:val="20"/>
        </w:rPr>
        <w:t xml:space="preserve"> </w:t>
      </w:r>
      <w:r w:rsidRPr="00067846">
        <w:rPr>
          <w:rFonts w:ascii="Arial" w:hAnsi="Arial" w:cs="Arial"/>
          <w:i/>
          <w:iCs/>
          <w:sz w:val="20"/>
          <w:szCs w:val="20"/>
        </w:rPr>
        <w:tab/>
      </w:r>
      <w:proofErr w:type="spellStart"/>
      <w:r w:rsidRPr="00067846">
        <w:rPr>
          <w:rFonts w:ascii="Arial" w:hAnsi="Arial" w:cs="Arial"/>
          <w:i/>
          <w:iCs/>
          <w:sz w:val="20"/>
          <w:szCs w:val="20"/>
        </w:rPr>
        <w:t>somnifera</w:t>
      </w:r>
      <w:proofErr w:type="spellEnd"/>
      <w:r w:rsidRPr="00067846">
        <w:rPr>
          <w:rFonts w:ascii="Arial" w:hAnsi="Arial" w:cs="Arial"/>
          <w:sz w:val="20"/>
          <w:szCs w:val="20"/>
        </w:rPr>
        <w:t>) root extract</w:t>
      </w:r>
      <w:r w:rsidR="002333AE">
        <w:rPr>
          <w:rFonts w:ascii="Arial" w:hAnsi="Arial" w:cs="Arial"/>
          <w:sz w:val="20"/>
          <w:szCs w:val="20"/>
        </w:rPr>
        <w:t xml:space="preserve"> </w:t>
      </w:r>
      <w:r w:rsidR="002333AE">
        <w:rPr>
          <w:rFonts w:ascii="Arial" w:hAnsi="Arial" w:cs="Arial"/>
          <w:sz w:val="20"/>
          <w:szCs w:val="20"/>
        </w:rPr>
        <w:tab/>
      </w:r>
      <w:r w:rsidRPr="00067846">
        <w:rPr>
          <w:rFonts w:ascii="Arial" w:hAnsi="Arial" w:cs="Arial"/>
          <w:sz w:val="20"/>
          <w:szCs w:val="20"/>
        </w:rPr>
        <w:t>in attenuating hepatic deficits in diclofenac sodium-induced Swiss albino mice (</w:t>
      </w:r>
      <w:r w:rsidRPr="00067846">
        <w:rPr>
          <w:rFonts w:ascii="Arial" w:hAnsi="Arial" w:cs="Arial"/>
          <w:i/>
          <w:iCs/>
          <w:sz w:val="20"/>
          <w:szCs w:val="20"/>
        </w:rPr>
        <w:t xml:space="preserve">Mus </w:t>
      </w:r>
      <w:r>
        <w:rPr>
          <w:rFonts w:ascii="Arial" w:hAnsi="Arial" w:cs="Arial"/>
          <w:i/>
          <w:iCs/>
          <w:sz w:val="20"/>
          <w:szCs w:val="20"/>
        </w:rPr>
        <w:tab/>
      </w:r>
      <w:r w:rsidRPr="00067846">
        <w:rPr>
          <w:rFonts w:ascii="Arial" w:hAnsi="Arial" w:cs="Arial"/>
          <w:i/>
          <w:iCs/>
          <w:sz w:val="20"/>
          <w:szCs w:val="20"/>
        </w:rPr>
        <w:t>musculus</w:t>
      </w:r>
      <w:r w:rsidRPr="00067846">
        <w:rPr>
          <w:rFonts w:ascii="Arial" w:hAnsi="Arial" w:cs="Arial"/>
          <w:sz w:val="20"/>
          <w:szCs w:val="20"/>
        </w:rPr>
        <w:t xml:space="preserve">). </w:t>
      </w:r>
      <w:r w:rsidRPr="00067846">
        <w:rPr>
          <w:rFonts w:ascii="Arial" w:hAnsi="Arial" w:cs="Arial"/>
          <w:i/>
          <w:iCs/>
          <w:sz w:val="20"/>
          <w:szCs w:val="20"/>
        </w:rPr>
        <w:t>International Journal of Pharmaceutical Research and Applications, 9</w:t>
      </w:r>
      <w:r w:rsidRPr="00067846">
        <w:rPr>
          <w:rFonts w:ascii="Arial" w:hAnsi="Arial" w:cs="Arial"/>
          <w:sz w:val="20"/>
          <w:szCs w:val="20"/>
        </w:rPr>
        <w:t>(1), 563–</w:t>
      </w:r>
      <w:r>
        <w:rPr>
          <w:rFonts w:ascii="Arial" w:hAnsi="Arial" w:cs="Arial"/>
          <w:sz w:val="20"/>
          <w:szCs w:val="20"/>
        </w:rPr>
        <w:tab/>
      </w:r>
      <w:r w:rsidRPr="00067846">
        <w:rPr>
          <w:rFonts w:ascii="Arial" w:hAnsi="Arial" w:cs="Arial"/>
          <w:sz w:val="20"/>
          <w:szCs w:val="20"/>
        </w:rPr>
        <w:t xml:space="preserve">570. </w:t>
      </w:r>
    </w:p>
    <w:p w14:paraId="791279BB" w14:textId="2E807E9A" w:rsidR="00067846" w:rsidRPr="00067846" w:rsidRDefault="00067846" w:rsidP="00067846">
      <w:pPr>
        <w:jc w:val="both"/>
        <w:rPr>
          <w:rFonts w:ascii="Arial" w:hAnsi="Arial" w:cs="Arial"/>
          <w:sz w:val="20"/>
          <w:szCs w:val="20"/>
        </w:rPr>
      </w:pPr>
      <w:r w:rsidRPr="00067846">
        <w:rPr>
          <w:rFonts w:ascii="Arial" w:hAnsi="Arial" w:cs="Arial"/>
          <w:sz w:val="20"/>
          <w:szCs w:val="20"/>
        </w:rPr>
        <w:t xml:space="preserve">Kaur, S., &amp; </w:t>
      </w:r>
      <w:proofErr w:type="spellStart"/>
      <w:r w:rsidRPr="00067846">
        <w:rPr>
          <w:rFonts w:ascii="Arial" w:hAnsi="Arial" w:cs="Arial"/>
          <w:sz w:val="20"/>
          <w:szCs w:val="20"/>
        </w:rPr>
        <w:t>Sadwa</w:t>
      </w:r>
      <w:proofErr w:type="spellEnd"/>
      <w:r w:rsidRPr="00067846">
        <w:rPr>
          <w:rFonts w:ascii="Arial" w:hAnsi="Arial" w:cs="Arial"/>
          <w:sz w:val="20"/>
          <w:szCs w:val="20"/>
        </w:rPr>
        <w:t xml:space="preserve">, S. (2020). Studies on the </w:t>
      </w:r>
      <w:proofErr w:type="spellStart"/>
      <w:r w:rsidRPr="00067846">
        <w:rPr>
          <w:rFonts w:ascii="Arial" w:hAnsi="Arial" w:cs="Arial"/>
          <w:sz w:val="20"/>
          <w:szCs w:val="20"/>
        </w:rPr>
        <w:t>phytomodulatory</w:t>
      </w:r>
      <w:proofErr w:type="spellEnd"/>
      <w:r w:rsidRPr="00067846">
        <w:rPr>
          <w:rFonts w:ascii="Arial" w:hAnsi="Arial" w:cs="Arial"/>
          <w:sz w:val="20"/>
          <w:szCs w:val="20"/>
        </w:rPr>
        <w:t xml:space="preserve"> potential of fenugreek (</w:t>
      </w:r>
      <w:r w:rsidRPr="00067846">
        <w:rPr>
          <w:rFonts w:ascii="Arial" w:hAnsi="Arial" w:cs="Arial"/>
          <w:i/>
          <w:iCs/>
          <w:sz w:val="20"/>
          <w:szCs w:val="20"/>
        </w:rPr>
        <w:t>Trigonella</w:t>
      </w:r>
      <w:r w:rsidR="002333AE">
        <w:rPr>
          <w:rFonts w:ascii="Arial" w:hAnsi="Arial" w:cs="Arial"/>
          <w:i/>
          <w:iCs/>
          <w:sz w:val="20"/>
          <w:szCs w:val="20"/>
        </w:rPr>
        <w:t xml:space="preserve"> </w:t>
      </w:r>
      <w:r w:rsidR="002333AE">
        <w:rPr>
          <w:rFonts w:ascii="Arial" w:hAnsi="Arial" w:cs="Arial"/>
          <w:i/>
          <w:iCs/>
          <w:sz w:val="20"/>
          <w:szCs w:val="20"/>
        </w:rPr>
        <w:tab/>
      </w:r>
      <w:proofErr w:type="spellStart"/>
      <w:r w:rsidRPr="00067846">
        <w:rPr>
          <w:rFonts w:ascii="Arial" w:hAnsi="Arial" w:cs="Arial"/>
          <w:i/>
          <w:iCs/>
          <w:sz w:val="20"/>
          <w:szCs w:val="20"/>
        </w:rPr>
        <w:t>foenum</w:t>
      </w:r>
      <w:proofErr w:type="spellEnd"/>
      <w:r w:rsidRPr="00067846">
        <w:rPr>
          <w:rFonts w:ascii="Arial" w:hAnsi="Arial" w:cs="Arial"/>
          <w:i/>
          <w:iCs/>
          <w:sz w:val="20"/>
          <w:szCs w:val="20"/>
        </w:rPr>
        <w:t>-graecum</w:t>
      </w:r>
      <w:r w:rsidRPr="00067846">
        <w:rPr>
          <w:rFonts w:ascii="Arial" w:hAnsi="Arial" w:cs="Arial"/>
          <w:sz w:val="20"/>
          <w:szCs w:val="20"/>
        </w:rPr>
        <w:t xml:space="preserve">) on bisphenol-A-induced testicular damage in mice. </w:t>
      </w:r>
      <w:proofErr w:type="spellStart"/>
      <w:r w:rsidRPr="00067846">
        <w:rPr>
          <w:rFonts w:ascii="Arial" w:hAnsi="Arial" w:cs="Arial"/>
          <w:i/>
          <w:iCs/>
          <w:sz w:val="20"/>
          <w:szCs w:val="20"/>
        </w:rPr>
        <w:t>Andrologia</w:t>
      </w:r>
      <w:proofErr w:type="spellEnd"/>
      <w:r w:rsidRPr="00067846">
        <w:rPr>
          <w:rFonts w:ascii="Arial" w:hAnsi="Arial" w:cs="Arial"/>
          <w:i/>
          <w:iCs/>
          <w:sz w:val="20"/>
          <w:szCs w:val="20"/>
        </w:rPr>
        <w:t>,</w:t>
      </w:r>
      <w:r w:rsidR="002333AE">
        <w:rPr>
          <w:rFonts w:ascii="Arial" w:hAnsi="Arial" w:cs="Arial"/>
          <w:i/>
          <w:iCs/>
          <w:sz w:val="20"/>
          <w:szCs w:val="20"/>
        </w:rPr>
        <w:t xml:space="preserve"> </w:t>
      </w:r>
      <w:r w:rsidRPr="00067846">
        <w:rPr>
          <w:rFonts w:ascii="Arial" w:hAnsi="Arial" w:cs="Arial"/>
          <w:i/>
          <w:iCs/>
          <w:sz w:val="20"/>
          <w:szCs w:val="20"/>
        </w:rPr>
        <w:t>52</w:t>
      </w:r>
      <w:r w:rsidRPr="00067846">
        <w:rPr>
          <w:rFonts w:ascii="Arial" w:hAnsi="Arial" w:cs="Arial"/>
          <w:sz w:val="20"/>
          <w:szCs w:val="20"/>
        </w:rPr>
        <w:t xml:space="preserve">(12), </w:t>
      </w:r>
      <w:r>
        <w:rPr>
          <w:rFonts w:ascii="Arial" w:hAnsi="Arial" w:cs="Arial"/>
          <w:sz w:val="20"/>
          <w:szCs w:val="20"/>
        </w:rPr>
        <w:tab/>
      </w:r>
      <w:r w:rsidRPr="00067846">
        <w:rPr>
          <w:rFonts w:ascii="Arial" w:hAnsi="Arial" w:cs="Arial"/>
          <w:sz w:val="20"/>
          <w:szCs w:val="20"/>
        </w:rPr>
        <w:t xml:space="preserve">e13492. https://doi.org/10.1111/and.13492 </w:t>
      </w:r>
    </w:p>
    <w:p w14:paraId="54D4E7A7" w14:textId="59F78FC7" w:rsidR="00067846" w:rsidRPr="00067846" w:rsidRDefault="00067846" w:rsidP="00067846">
      <w:pPr>
        <w:jc w:val="both"/>
        <w:rPr>
          <w:rFonts w:ascii="Arial" w:hAnsi="Arial" w:cs="Arial"/>
          <w:sz w:val="20"/>
          <w:szCs w:val="20"/>
        </w:rPr>
      </w:pPr>
      <w:r w:rsidRPr="00067846">
        <w:rPr>
          <w:rFonts w:ascii="Arial" w:hAnsi="Arial" w:cs="Arial"/>
          <w:sz w:val="20"/>
          <w:szCs w:val="20"/>
        </w:rPr>
        <w:lastRenderedPageBreak/>
        <w:t>Kaviarasan, S., Viswanathan, P., &amp; Anuradha, C. V. (2007). Fenugreek seed (</w:t>
      </w:r>
      <w:r w:rsidRPr="00067846">
        <w:rPr>
          <w:rFonts w:ascii="Arial" w:hAnsi="Arial" w:cs="Arial"/>
          <w:i/>
          <w:iCs/>
          <w:sz w:val="20"/>
          <w:szCs w:val="20"/>
        </w:rPr>
        <w:t>Trigonella</w:t>
      </w:r>
      <w:r w:rsidR="00E9522A">
        <w:rPr>
          <w:rFonts w:ascii="Arial" w:hAnsi="Arial" w:cs="Arial"/>
          <w:i/>
          <w:iCs/>
          <w:sz w:val="20"/>
          <w:szCs w:val="20"/>
        </w:rPr>
        <w:t xml:space="preserve"> </w:t>
      </w:r>
      <w:proofErr w:type="spellStart"/>
      <w:r w:rsidRPr="00067846">
        <w:rPr>
          <w:rFonts w:ascii="Arial" w:hAnsi="Arial" w:cs="Arial"/>
          <w:i/>
          <w:iCs/>
          <w:sz w:val="20"/>
          <w:szCs w:val="20"/>
        </w:rPr>
        <w:t>foenum</w:t>
      </w:r>
      <w:proofErr w:type="spellEnd"/>
      <w:r w:rsidRPr="00067846">
        <w:rPr>
          <w:rFonts w:ascii="Arial" w:hAnsi="Arial" w:cs="Arial"/>
          <w:i/>
          <w:iCs/>
          <w:sz w:val="20"/>
          <w:szCs w:val="20"/>
        </w:rPr>
        <w:t>-</w:t>
      </w:r>
      <w:r>
        <w:rPr>
          <w:rFonts w:ascii="Arial" w:hAnsi="Arial" w:cs="Arial"/>
          <w:i/>
          <w:iCs/>
          <w:sz w:val="20"/>
          <w:szCs w:val="20"/>
        </w:rPr>
        <w:tab/>
      </w:r>
      <w:r w:rsidRPr="00067846">
        <w:rPr>
          <w:rFonts w:ascii="Arial" w:hAnsi="Arial" w:cs="Arial"/>
          <w:i/>
          <w:iCs/>
          <w:sz w:val="20"/>
          <w:szCs w:val="20"/>
        </w:rPr>
        <w:t>graecum</w:t>
      </w:r>
      <w:r w:rsidRPr="00067846">
        <w:rPr>
          <w:rFonts w:ascii="Arial" w:hAnsi="Arial" w:cs="Arial"/>
          <w:sz w:val="20"/>
          <w:szCs w:val="20"/>
        </w:rPr>
        <w:t>) polyphenols inhibit ethanol-induced collagen and lipid</w:t>
      </w:r>
      <w:r w:rsidR="00E9522A">
        <w:rPr>
          <w:rFonts w:ascii="Arial" w:hAnsi="Arial" w:cs="Arial"/>
          <w:sz w:val="20"/>
          <w:szCs w:val="20"/>
        </w:rPr>
        <w:t xml:space="preserve"> </w:t>
      </w:r>
      <w:r w:rsidRPr="00067846">
        <w:rPr>
          <w:rFonts w:ascii="Arial" w:hAnsi="Arial" w:cs="Arial"/>
          <w:sz w:val="20"/>
          <w:szCs w:val="20"/>
        </w:rPr>
        <w:t xml:space="preserve">accumulation in rat liver. </w:t>
      </w:r>
      <w:r w:rsidRPr="00067846">
        <w:rPr>
          <w:rFonts w:ascii="Arial" w:hAnsi="Arial" w:cs="Arial"/>
          <w:i/>
          <w:iCs/>
          <w:sz w:val="20"/>
          <w:szCs w:val="20"/>
        </w:rPr>
        <w:t xml:space="preserve">Cell </w:t>
      </w:r>
      <w:r>
        <w:rPr>
          <w:rFonts w:ascii="Arial" w:hAnsi="Arial" w:cs="Arial"/>
          <w:i/>
          <w:iCs/>
          <w:sz w:val="20"/>
          <w:szCs w:val="20"/>
        </w:rPr>
        <w:tab/>
      </w:r>
      <w:r w:rsidRPr="00067846">
        <w:rPr>
          <w:rFonts w:ascii="Arial" w:hAnsi="Arial" w:cs="Arial"/>
          <w:i/>
          <w:iCs/>
          <w:sz w:val="20"/>
          <w:szCs w:val="20"/>
        </w:rPr>
        <w:t xml:space="preserve">Biology and Toxicology, </w:t>
      </w:r>
      <w:r w:rsidRPr="009C4F52">
        <w:rPr>
          <w:rFonts w:ascii="Arial" w:hAnsi="Arial" w:cs="Arial"/>
          <w:sz w:val="20"/>
          <w:szCs w:val="20"/>
        </w:rPr>
        <w:t>23</w:t>
      </w:r>
      <w:r w:rsidR="004B1DC8" w:rsidRPr="009C4F52">
        <w:rPr>
          <w:rFonts w:ascii="Arial" w:hAnsi="Arial" w:cs="Arial"/>
          <w:sz w:val="20"/>
          <w:szCs w:val="20"/>
        </w:rPr>
        <w:t>(6)</w:t>
      </w:r>
      <w:r w:rsidRPr="009C4F52">
        <w:rPr>
          <w:rFonts w:ascii="Arial" w:hAnsi="Arial" w:cs="Arial"/>
          <w:sz w:val="20"/>
          <w:szCs w:val="20"/>
        </w:rPr>
        <w:t>,</w:t>
      </w:r>
      <w:r w:rsidRPr="00067846">
        <w:rPr>
          <w:rFonts w:ascii="Arial" w:hAnsi="Arial" w:cs="Arial"/>
          <w:sz w:val="20"/>
          <w:szCs w:val="20"/>
        </w:rPr>
        <w:t xml:space="preserve"> 373–383. https://doi.org/10.1007/s10565-007-9014-6 </w:t>
      </w:r>
    </w:p>
    <w:p w14:paraId="06C7E117" w14:textId="77777777" w:rsidR="00067846" w:rsidRPr="00067846" w:rsidRDefault="00067846" w:rsidP="00067846">
      <w:pPr>
        <w:jc w:val="both"/>
        <w:rPr>
          <w:rFonts w:ascii="Arial" w:hAnsi="Arial" w:cs="Arial"/>
          <w:sz w:val="20"/>
          <w:szCs w:val="20"/>
        </w:rPr>
      </w:pPr>
      <w:r w:rsidRPr="00067846">
        <w:rPr>
          <w:rFonts w:ascii="Arial" w:hAnsi="Arial" w:cs="Arial"/>
          <w:sz w:val="20"/>
          <w:szCs w:val="20"/>
        </w:rPr>
        <w:t xml:space="preserve">Khayyat, L. I. (2021). Extra virgin olive oil protects the testis and blood from the toxicity of </w:t>
      </w:r>
      <w:r w:rsidRPr="00067846">
        <w:rPr>
          <w:rFonts w:ascii="Arial" w:hAnsi="Arial" w:cs="Arial"/>
          <w:sz w:val="20"/>
          <w:szCs w:val="20"/>
        </w:rPr>
        <w:tab/>
        <w:t xml:space="preserve">paracetamol (overdose) in adult male rats. </w:t>
      </w:r>
      <w:r w:rsidRPr="00067846">
        <w:rPr>
          <w:rFonts w:ascii="Arial" w:hAnsi="Arial" w:cs="Arial"/>
          <w:i/>
          <w:iCs/>
          <w:sz w:val="20"/>
          <w:szCs w:val="20"/>
        </w:rPr>
        <w:t>Biology, 10</w:t>
      </w:r>
      <w:r w:rsidRPr="00067846">
        <w:rPr>
          <w:rFonts w:ascii="Arial" w:hAnsi="Arial" w:cs="Arial"/>
          <w:sz w:val="20"/>
          <w:szCs w:val="20"/>
        </w:rPr>
        <w:t xml:space="preserve">(10), 1042. </w:t>
      </w:r>
      <w:r w:rsidRPr="00067846">
        <w:rPr>
          <w:rFonts w:ascii="Arial" w:hAnsi="Arial" w:cs="Arial"/>
          <w:sz w:val="20"/>
          <w:szCs w:val="20"/>
        </w:rPr>
        <w:tab/>
        <w:t xml:space="preserve">https://doi.org/10.3390/biology10101042 </w:t>
      </w:r>
    </w:p>
    <w:p w14:paraId="3D12E6A7" w14:textId="7B3D031F" w:rsidR="00067846" w:rsidRPr="00067846" w:rsidRDefault="00067846" w:rsidP="00067846">
      <w:pPr>
        <w:jc w:val="both"/>
        <w:rPr>
          <w:rFonts w:ascii="Arial" w:hAnsi="Arial" w:cs="Arial"/>
          <w:sz w:val="20"/>
          <w:szCs w:val="20"/>
        </w:rPr>
      </w:pPr>
      <w:r w:rsidRPr="00067846">
        <w:rPr>
          <w:rFonts w:ascii="Arial" w:hAnsi="Arial" w:cs="Arial"/>
          <w:sz w:val="20"/>
          <w:szCs w:val="20"/>
        </w:rPr>
        <w:t>Maheshwari, A., Verma, N., Swaroop, A., Bagchi, M., Preuss, H. G., Tiwari, K., et al. (2017). Efficacy</w:t>
      </w:r>
      <w:r w:rsidR="00E309E9">
        <w:rPr>
          <w:rFonts w:ascii="Arial" w:hAnsi="Arial" w:cs="Arial"/>
          <w:sz w:val="20"/>
          <w:szCs w:val="20"/>
        </w:rPr>
        <w:t xml:space="preserve"> </w:t>
      </w:r>
      <w:r w:rsidR="00E309E9">
        <w:rPr>
          <w:rFonts w:ascii="Arial" w:hAnsi="Arial" w:cs="Arial"/>
          <w:sz w:val="20"/>
          <w:szCs w:val="20"/>
        </w:rPr>
        <w:tab/>
      </w:r>
      <w:r w:rsidRPr="00067846">
        <w:rPr>
          <w:rFonts w:ascii="Arial" w:hAnsi="Arial" w:cs="Arial"/>
          <w:sz w:val="20"/>
          <w:szCs w:val="20"/>
        </w:rPr>
        <w:t xml:space="preserve">of </w:t>
      </w:r>
      <w:proofErr w:type="spellStart"/>
      <w:r w:rsidRPr="00067846">
        <w:rPr>
          <w:rFonts w:ascii="Arial" w:hAnsi="Arial" w:cs="Arial"/>
          <w:sz w:val="20"/>
          <w:szCs w:val="20"/>
        </w:rPr>
        <w:t>Furosap</w:t>
      </w:r>
      <w:proofErr w:type="spellEnd"/>
      <w:r w:rsidRPr="00067846">
        <w:rPr>
          <w:rFonts w:ascii="Arial" w:hAnsi="Arial" w:cs="Arial"/>
          <w:sz w:val="20"/>
          <w:szCs w:val="20"/>
        </w:rPr>
        <w:t xml:space="preserve">™, a novel </w:t>
      </w:r>
      <w:r w:rsidRPr="00067846">
        <w:rPr>
          <w:rFonts w:ascii="Arial" w:hAnsi="Arial" w:cs="Arial"/>
          <w:i/>
          <w:iCs/>
          <w:sz w:val="20"/>
          <w:szCs w:val="20"/>
        </w:rPr>
        <w:t xml:space="preserve">Trigonella </w:t>
      </w:r>
      <w:proofErr w:type="spellStart"/>
      <w:r w:rsidRPr="00067846">
        <w:rPr>
          <w:rFonts w:ascii="Arial" w:hAnsi="Arial" w:cs="Arial"/>
          <w:i/>
          <w:iCs/>
          <w:sz w:val="20"/>
          <w:szCs w:val="20"/>
        </w:rPr>
        <w:t>foenum</w:t>
      </w:r>
      <w:proofErr w:type="spellEnd"/>
      <w:r w:rsidRPr="00067846">
        <w:rPr>
          <w:rFonts w:ascii="Arial" w:hAnsi="Arial" w:cs="Arial"/>
          <w:i/>
          <w:iCs/>
          <w:sz w:val="20"/>
          <w:szCs w:val="20"/>
        </w:rPr>
        <w:t>-graecum</w:t>
      </w:r>
      <w:r w:rsidRPr="00067846">
        <w:rPr>
          <w:rFonts w:ascii="Arial" w:hAnsi="Arial" w:cs="Arial"/>
          <w:sz w:val="20"/>
          <w:szCs w:val="20"/>
        </w:rPr>
        <w:t xml:space="preserve"> seed extract, in</w:t>
      </w:r>
      <w:r w:rsidR="00E309E9">
        <w:rPr>
          <w:rFonts w:ascii="Arial" w:hAnsi="Arial" w:cs="Arial"/>
          <w:sz w:val="20"/>
          <w:szCs w:val="20"/>
        </w:rPr>
        <w:t xml:space="preserve"> </w:t>
      </w:r>
      <w:r w:rsidRPr="00067846">
        <w:rPr>
          <w:rFonts w:ascii="Arial" w:hAnsi="Arial" w:cs="Arial"/>
          <w:sz w:val="20"/>
          <w:szCs w:val="20"/>
        </w:rPr>
        <w:t>enhancing testosterone</w:t>
      </w:r>
      <w:r w:rsidR="00E309E9">
        <w:rPr>
          <w:rFonts w:ascii="Arial" w:hAnsi="Arial" w:cs="Arial"/>
          <w:sz w:val="20"/>
          <w:szCs w:val="20"/>
        </w:rPr>
        <w:t xml:space="preserve"> </w:t>
      </w:r>
      <w:r w:rsidRPr="00067846">
        <w:rPr>
          <w:rFonts w:ascii="Arial" w:hAnsi="Arial" w:cs="Arial"/>
          <w:sz w:val="20"/>
          <w:szCs w:val="20"/>
        </w:rPr>
        <w:t xml:space="preserve">level </w:t>
      </w:r>
      <w:r w:rsidR="00E309E9">
        <w:rPr>
          <w:rFonts w:ascii="Arial" w:hAnsi="Arial" w:cs="Arial"/>
          <w:sz w:val="20"/>
          <w:szCs w:val="20"/>
        </w:rPr>
        <w:tab/>
      </w:r>
      <w:r w:rsidRPr="00067846">
        <w:rPr>
          <w:rFonts w:ascii="Arial" w:hAnsi="Arial" w:cs="Arial"/>
          <w:sz w:val="20"/>
          <w:szCs w:val="20"/>
        </w:rPr>
        <w:t xml:space="preserve">and improving sperm profile in male volunteers. </w:t>
      </w:r>
      <w:r w:rsidRPr="00067846">
        <w:rPr>
          <w:rFonts w:ascii="Arial" w:hAnsi="Arial" w:cs="Arial"/>
          <w:sz w:val="20"/>
          <w:szCs w:val="20"/>
        </w:rPr>
        <w:tab/>
      </w:r>
      <w:r w:rsidRPr="00067846">
        <w:rPr>
          <w:rFonts w:ascii="Arial" w:hAnsi="Arial" w:cs="Arial"/>
          <w:i/>
          <w:iCs/>
          <w:sz w:val="20"/>
          <w:szCs w:val="20"/>
        </w:rPr>
        <w:t xml:space="preserve">International Journal of Medical </w:t>
      </w:r>
      <w:r>
        <w:rPr>
          <w:rFonts w:ascii="Arial" w:hAnsi="Arial" w:cs="Arial"/>
          <w:i/>
          <w:iCs/>
          <w:sz w:val="20"/>
          <w:szCs w:val="20"/>
        </w:rPr>
        <w:tab/>
      </w:r>
      <w:r w:rsidRPr="00067846">
        <w:rPr>
          <w:rFonts w:ascii="Arial" w:hAnsi="Arial" w:cs="Arial"/>
          <w:i/>
          <w:iCs/>
          <w:sz w:val="20"/>
          <w:szCs w:val="20"/>
        </w:rPr>
        <w:t>Sciences, 14</w:t>
      </w:r>
      <w:r w:rsidRPr="00067846">
        <w:rPr>
          <w:rFonts w:ascii="Arial" w:hAnsi="Arial" w:cs="Arial"/>
          <w:sz w:val="20"/>
          <w:szCs w:val="20"/>
        </w:rPr>
        <w:t xml:space="preserve">(1), </w:t>
      </w:r>
      <w:r w:rsidR="00E309E9">
        <w:rPr>
          <w:rFonts w:ascii="Arial" w:hAnsi="Arial" w:cs="Arial"/>
          <w:sz w:val="20"/>
          <w:szCs w:val="20"/>
        </w:rPr>
        <w:tab/>
      </w:r>
      <w:r w:rsidRPr="00067846">
        <w:rPr>
          <w:rFonts w:ascii="Arial" w:hAnsi="Arial" w:cs="Arial"/>
          <w:sz w:val="20"/>
          <w:szCs w:val="20"/>
        </w:rPr>
        <w:t xml:space="preserve">58–66. </w:t>
      </w:r>
      <w:r w:rsidRPr="00067846">
        <w:rPr>
          <w:rFonts w:ascii="Arial" w:hAnsi="Arial" w:cs="Arial"/>
          <w:sz w:val="20"/>
          <w:szCs w:val="20"/>
        </w:rPr>
        <w:tab/>
        <w:t xml:space="preserve">https://doi.org/10.7150/ijms.17256 </w:t>
      </w:r>
    </w:p>
    <w:p w14:paraId="19277075" w14:textId="7FBC3CF5" w:rsidR="00067846" w:rsidRPr="00067846" w:rsidRDefault="00067846" w:rsidP="00067846">
      <w:pPr>
        <w:jc w:val="both"/>
        <w:rPr>
          <w:rFonts w:ascii="Arial" w:hAnsi="Arial" w:cs="Arial"/>
          <w:sz w:val="20"/>
          <w:szCs w:val="20"/>
        </w:rPr>
      </w:pPr>
      <w:r w:rsidRPr="00067846">
        <w:rPr>
          <w:rFonts w:ascii="Arial" w:hAnsi="Arial" w:cs="Arial"/>
          <w:sz w:val="20"/>
          <w:szCs w:val="20"/>
        </w:rPr>
        <w:t>Marzouk, M., Sayed, A. A., &amp; Soliman, A. M. (2011). Hepatoprotective and antioxidant</w:t>
      </w:r>
      <w:r w:rsidR="00401C96">
        <w:rPr>
          <w:rFonts w:ascii="Arial" w:hAnsi="Arial" w:cs="Arial"/>
          <w:sz w:val="20"/>
          <w:szCs w:val="20"/>
        </w:rPr>
        <w:t xml:space="preserve"> </w:t>
      </w:r>
      <w:r w:rsidRPr="00067846">
        <w:rPr>
          <w:rFonts w:ascii="Arial" w:hAnsi="Arial" w:cs="Arial"/>
          <w:sz w:val="20"/>
          <w:szCs w:val="20"/>
        </w:rPr>
        <w:t xml:space="preserve">effects of </w:t>
      </w:r>
      <w:r>
        <w:rPr>
          <w:rFonts w:ascii="Arial" w:hAnsi="Arial" w:cs="Arial"/>
          <w:sz w:val="20"/>
          <w:szCs w:val="20"/>
        </w:rPr>
        <w:tab/>
      </w:r>
      <w:r w:rsidRPr="00067846">
        <w:rPr>
          <w:rFonts w:ascii="Arial" w:hAnsi="Arial" w:cs="Arial"/>
          <w:i/>
          <w:iCs/>
          <w:sz w:val="20"/>
          <w:szCs w:val="20"/>
        </w:rPr>
        <w:t>Cichorium endivia</w:t>
      </w:r>
      <w:r w:rsidRPr="00067846">
        <w:rPr>
          <w:rFonts w:ascii="Arial" w:hAnsi="Arial" w:cs="Arial"/>
          <w:sz w:val="20"/>
          <w:szCs w:val="20"/>
        </w:rPr>
        <w:t xml:space="preserve"> L. leaves extract against acetaminophen toxicity on</w:t>
      </w:r>
      <w:r w:rsidR="00401C96">
        <w:rPr>
          <w:rFonts w:ascii="Arial" w:hAnsi="Arial" w:cs="Arial"/>
          <w:sz w:val="20"/>
          <w:szCs w:val="20"/>
        </w:rPr>
        <w:t xml:space="preserve"> </w:t>
      </w:r>
      <w:r w:rsidRPr="00067846">
        <w:rPr>
          <w:rFonts w:ascii="Arial" w:hAnsi="Arial" w:cs="Arial"/>
          <w:sz w:val="20"/>
          <w:szCs w:val="20"/>
        </w:rPr>
        <w:t xml:space="preserve">rats. </w:t>
      </w:r>
      <w:r w:rsidRPr="00067846">
        <w:rPr>
          <w:rFonts w:ascii="Arial" w:hAnsi="Arial" w:cs="Arial"/>
          <w:i/>
          <w:iCs/>
          <w:sz w:val="20"/>
          <w:szCs w:val="20"/>
        </w:rPr>
        <w:t xml:space="preserve">Journal of </w:t>
      </w:r>
      <w:r>
        <w:rPr>
          <w:rFonts w:ascii="Arial" w:hAnsi="Arial" w:cs="Arial"/>
          <w:i/>
          <w:iCs/>
          <w:sz w:val="20"/>
          <w:szCs w:val="20"/>
        </w:rPr>
        <w:tab/>
      </w:r>
      <w:r w:rsidRPr="00067846">
        <w:rPr>
          <w:rFonts w:ascii="Arial" w:hAnsi="Arial" w:cs="Arial"/>
          <w:i/>
          <w:iCs/>
          <w:sz w:val="20"/>
          <w:szCs w:val="20"/>
        </w:rPr>
        <w:t>Medicinal and Medical Sciences, 2</w:t>
      </w:r>
      <w:r w:rsidRPr="00067846">
        <w:rPr>
          <w:rFonts w:ascii="Arial" w:hAnsi="Arial" w:cs="Arial"/>
          <w:sz w:val="20"/>
          <w:szCs w:val="20"/>
        </w:rPr>
        <w:t xml:space="preserve">(12), 1273–1279. </w:t>
      </w:r>
    </w:p>
    <w:p w14:paraId="1911FF8A" w14:textId="4B2D44DD" w:rsidR="00067846" w:rsidRPr="00067846" w:rsidRDefault="00067846" w:rsidP="00067846">
      <w:pPr>
        <w:jc w:val="both"/>
        <w:rPr>
          <w:rFonts w:ascii="Arial" w:hAnsi="Arial" w:cs="Arial"/>
          <w:sz w:val="20"/>
          <w:szCs w:val="20"/>
        </w:rPr>
      </w:pPr>
      <w:r w:rsidRPr="00067846">
        <w:rPr>
          <w:rFonts w:ascii="Arial" w:hAnsi="Arial" w:cs="Arial"/>
          <w:sz w:val="20"/>
          <w:szCs w:val="20"/>
        </w:rPr>
        <w:t xml:space="preserve">McGill, M. R., Sharpe, M. R., Williams, C. D., Taha, M., Curry, S. C., &amp; Jaeschke, H. (2012). The </w:t>
      </w:r>
      <w:r>
        <w:rPr>
          <w:rFonts w:ascii="Arial" w:hAnsi="Arial" w:cs="Arial"/>
          <w:sz w:val="20"/>
          <w:szCs w:val="20"/>
        </w:rPr>
        <w:tab/>
      </w:r>
      <w:r w:rsidRPr="00067846">
        <w:rPr>
          <w:rFonts w:ascii="Arial" w:hAnsi="Arial" w:cs="Arial"/>
          <w:sz w:val="20"/>
          <w:szCs w:val="20"/>
        </w:rPr>
        <w:t xml:space="preserve">mechanism underlying acetaminophen-induced hepatotoxicity in </w:t>
      </w:r>
      <w:r w:rsidRPr="00067846">
        <w:rPr>
          <w:rFonts w:ascii="Arial" w:hAnsi="Arial" w:cs="Arial"/>
          <w:sz w:val="20"/>
          <w:szCs w:val="20"/>
        </w:rPr>
        <w:tab/>
        <w:t xml:space="preserve">humans and mice involves </w:t>
      </w:r>
      <w:r>
        <w:rPr>
          <w:rFonts w:ascii="Arial" w:hAnsi="Arial" w:cs="Arial"/>
          <w:sz w:val="20"/>
          <w:szCs w:val="20"/>
        </w:rPr>
        <w:tab/>
      </w:r>
      <w:r w:rsidRPr="00067846">
        <w:rPr>
          <w:rFonts w:ascii="Arial" w:hAnsi="Arial" w:cs="Arial"/>
          <w:sz w:val="20"/>
          <w:szCs w:val="20"/>
        </w:rPr>
        <w:t xml:space="preserve">mitochondrial damage and nuclear DNA fragmentation. </w:t>
      </w:r>
      <w:r w:rsidRPr="00067846">
        <w:rPr>
          <w:rFonts w:ascii="Arial" w:hAnsi="Arial" w:cs="Arial"/>
          <w:sz w:val="20"/>
          <w:szCs w:val="20"/>
        </w:rPr>
        <w:tab/>
      </w:r>
      <w:r w:rsidRPr="00067846">
        <w:rPr>
          <w:rFonts w:ascii="Arial" w:hAnsi="Arial" w:cs="Arial"/>
          <w:i/>
          <w:iCs/>
          <w:sz w:val="20"/>
          <w:szCs w:val="20"/>
        </w:rPr>
        <w:t>Journal of Clinical Investigation, 122</w:t>
      </w:r>
      <w:r w:rsidRPr="00067846">
        <w:rPr>
          <w:rFonts w:ascii="Arial" w:hAnsi="Arial" w:cs="Arial"/>
          <w:sz w:val="20"/>
          <w:szCs w:val="20"/>
        </w:rPr>
        <w:t xml:space="preserve">(4), </w:t>
      </w:r>
      <w:r>
        <w:rPr>
          <w:rFonts w:ascii="Arial" w:hAnsi="Arial" w:cs="Arial"/>
          <w:sz w:val="20"/>
          <w:szCs w:val="20"/>
        </w:rPr>
        <w:tab/>
      </w:r>
      <w:r w:rsidRPr="00067846">
        <w:rPr>
          <w:rFonts w:ascii="Arial" w:hAnsi="Arial" w:cs="Arial"/>
          <w:sz w:val="20"/>
          <w:szCs w:val="20"/>
        </w:rPr>
        <w:t xml:space="preserve">1574–1583. https://doi.org/10.1172/JCI62047 </w:t>
      </w:r>
    </w:p>
    <w:p w14:paraId="62850C19" w14:textId="5678DD70" w:rsidR="00067846" w:rsidRPr="00067846" w:rsidRDefault="00067846" w:rsidP="00067846">
      <w:pPr>
        <w:jc w:val="both"/>
        <w:rPr>
          <w:rFonts w:ascii="Arial" w:hAnsi="Arial" w:cs="Arial"/>
          <w:sz w:val="20"/>
          <w:szCs w:val="20"/>
        </w:rPr>
      </w:pPr>
      <w:r w:rsidRPr="00067846">
        <w:rPr>
          <w:rFonts w:ascii="Arial" w:hAnsi="Arial" w:cs="Arial"/>
          <w:sz w:val="20"/>
          <w:szCs w:val="20"/>
        </w:rPr>
        <w:t xml:space="preserve">Nawaz, M. S., Iqbal, A., &amp; Ahmad, M. E. (2024). Restitutive properties of </w:t>
      </w:r>
      <w:r w:rsidRPr="00067846">
        <w:rPr>
          <w:rFonts w:ascii="Arial" w:hAnsi="Arial" w:cs="Arial"/>
          <w:i/>
          <w:iCs/>
          <w:sz w:val="20"/>
          <w:szCs w:val="20"/>
        </w:rPr>
        <w:t>Curcuma longa</w:t>
      </w:r>
      <w:r w:rsidR="00401C96">
        <w:rPr>
          <w:rFonts w:ascii="Arial" w:hAnsi="Arial" w:cs="Arial"/>
          <w:sz w:val="20"/>
          <w:szCs w:val="20"/>
        </w:rPr>
        <w:t xml:space="preserve"> </w:t>
      </w:r>
      <w:r w:rsidRPr="00067846">
        <w:rPr>
          <w:rFonts w:ascii="Arial" w:hAnsi="Arial" w:cs="Arial"/>
          <w:sz w:val="20"/>
          <w:szCs w:val="20"/>
        </w:rPr>
        <w:t>on</w:t>
      </w:r>
      <w:r w:rsidR="00401C96">
        <w:rPr>
          <w:rFonts w:ascii="Arial" w:hAnsi="Arial" w:cs="Arial"/>
          <w:sz w:val="20"/>
          <w:szCs w:val="20"/>
        </w:rPr>
        <w:t xml:space="preserve"> </w:t>
      </w:r>
      <w:r w:rsidRPr="00067846">
        <w:rPr>
          <w:rFonts w:ascii="Arial" w:hAnsi="Arial" w:cs="Arial"/>
          <w:sz w:val="20"/>
          <w:szCs w:val="20"/>
        </w:rPr>
        <w:t>cypermethrin-</w:t>
      </w:r>
      <w:r w:rsidR="00401C96">
        <w:rPr>
          <w:rFonts w:ascii="Arial" w:hAnsi="Arial" w:cs="Arial"/>
          <w:sz w:val="20"/>
          <w:szCs w:val="20"/>
        </w:rPr>
        <w:tab/>
      </w:r>
      <w:r w:rsidRPr="00067846">
        <w:rPr>
          <w:rFonts w:ascii="Arial" w:hAnsi="Arial" w:cs="Arial"/>
          <w:sz w:val="20"/>
          <w:szCs w:val="20"/>
        </w:rPr>
        <w:t>induced Swiss albino mice (</w:t>
      </w:r>
      <w:r w:rsidRPr="00067846">
        <w:rPr>
          <w:rFonts w:ascii="Arial" w:hAnsi="Arial" w:cs="Arial"/>
          <w:i/>
          <w:iCs/>
          <w:sz w:val="20"/>
          <w:szCs w:val="20"/>
        </w:rPr>
        <w:t>Mus musculus</w:t>
      </w:r>
      <w:r w:rsidRPr="00067846">
        <w:rPr>
          <w:rFonts w:ascii="Arial" w:hAnsi="Arial" w:cs="Arial"/>
          <w:sz w:val="20"/>
          <w:szCs w:val="20"/>
        </w:rPr>
        <w:t xml:space="preserve">). </w:t>
      </w:r>
      <w:r w:rsidRPr="00067846">
        <w:rPr>
          <w:rFonts w:ascii="Arial" w:hAnsi="Arial" w:cs="Arial"/>
          <w:i/>
          <w:iCs/>
          <w:sz w:val="20"/>
          <w:szCs w:val="20"/>
        </w:rPr>
        <w:t>International Journal</w:t>
      </w:r>
      <w:r w:rsidR="00401C96">
        <w:rPr>
          <w:rFonts w:ascii="Arial" w:hAnsi="Arial" w:cs="Arial"/>
          <w:i/>
          <w:iCs/>
          <w:sz w:val="20"/>
          <w:szCs w:val="20"/>
        </w:rPr>
        <w:t xml:space="preserve"> </w:t>
      </w:r>
      <w:r w:rsidRPr="00067846">
        <w:rPr>
          <w:rFonts w:ascii="Arial" w:hAnsi="Arial" w:cs="Arial"/>
          <w:i/>
          <w:iCs/>
          <w:sz w:val="20"/>
          <w:szCs w:val="20"/>
        </w:rPr>
        <w:t xml:space="preserve">of Advanced Research, </w:t>
      </w:r>
      <w:r w:rsidR="00401C96">
        <w:rPr>
          <w:rFonts w:ascii="Arial" w:hAnsi="Arial" w:cs="Arial"/>
          <w:i/>
          <w:iCs/>
          <w:sz w:val="20"/>
          <w:szCs w:val="20"/>
        </w:rPr>
        <w:tab/>
      </w:r>
      <w:r w:rsidRPr="00067846">
        <w:rPr>
          <w:rFonts w:ascii="Arial" w:hAnsi="Arial" w:cs="Arial"/>
          <w:i/>
          <w:iCs/>
          <w:sz w:val="20"/>
          <w:szCs w:val="20"/>
        </w:rPr>
        <w:t>12</w:t>
      </w:r>
      <w:r w:rsidRPr="00067846">
        <w:rPr>
          <w:rFonts w:ascii="Arial" w:hAnsi="Arial" w:cs="Arial"/>
          <w:sz w:val="20"/>
          <w:szCs w:val="20"/>
        </w:rPr>
        <w:t xml:space="preserve">(1), </w:t>
      </w:r>
      <w:r w:rsidR="00401C96">
        <w:rPr>
          <w:rFonts w:ascii="Arial" w:hAnsi="Arial" w:cs="Arial"/>
          <w:sz w:val="20"/>
          <w:szCs w:val="20"/>
        </w:rPr>
        <w:tab/>
      </w:r>
      <w:r w:rsidRPr="00067846">
        <w:rPr>
          <w:rFonts w:ascii="Arial" w:hAnsi="Arial" w:cs="Arial"/>
          <w:sz w:val="20"/>
          <w:szCs w:val="20"/>
        </w:rPr>
        <w:t xml:space="preserve">163–171. </w:t>
      </w:r>
    </w:p>
    <w:p w14:paraId="252E196A" w14:textId="1D8954C4" w:rsidR="00067846" w:rsidRPr="00067846" w:rsidRDefault="00067846" w:rsidP="00067846">
      <w:pPr>
        <w:jc w:val="both"/>
        <w:rPr>
          <w:rFonts w:ascii="Arial" w:hAnsi="Arial" w:cs="Arial"/>
          <w:sz w:val="20"/>
          <w:szCs w:val="20"/>
        </w:rPr>
      </w:pPr>
      <w:r w:rsidRPr="00067846">
        <w:rPr>
          <w:rFonts w:ascii="Arial" w:hAnsi="Arial" w:cs="Arial"/>
          <w:sz w:val="20"/>
          <w:szCs w:val="20"/>
        </w:rPr>
        <w:t xml:space="preserve">Oyedeji, K. O., Bolarinwa, A. F., &amp; </w:t>
      </w:r>
      <w:proofErr w:type="spellStart"/>
      <w:r w:rsidRPr="00067846">
        <w:rPr>
          <w:rFonts w:ascii="Arial" w:hAnsi="Arial" w:cs="Arial"/>
          <w:sz w:val="20"/>
          <w:szCs w:val="20"/>
        </w:rPr>
        <w:t>Ojeniran</w:t>
      </w:r>
      <w:proofErr w:type="spellEnd"/>
      <w:r w:rsidRPr="00067846">
        <w:rPr>
          <w:rFonts w:ascii="Arial" w:hAnsi="Arial" w:cs="Arial"/>
          <w:sz w:val="20"/>
          <w:szCs w:val="20"/>
        </w:rPr>
        <w:t xml:space="preserve">, S. S. (2013). Effect of paracetamol </w:t>
      </w:r>
      <w:r w:rsidRPr="00067846">
        <w:rPr>
          <w:rFonts w:ascii="Arial" w:hAnsi="Arial" w:cs="Arial"/>
          <w:sz w:val="20"/>
          <w:szCs w:val="20"/>
        </w:rPr>
        <w:tab/>
        <w:t>(acetaminophen) on</w:t>
      </w:r>
      <w:r w:rsidR="00857E72">
        <w:rPr>
          <w:rFonts w:ascii="Arial" w:hAnsi="Arial" w:cs="Arial"/>
          <w:sz w:val="20"/>
          <w:szCs w:val="20"/>
        </w:rPr>
        <w:t xml:space="preserve"> </w:t>
      </w:r>
      <w:r w:rsidR="00857E72">
        <w:rPr>
          <w:rFonts w:ascii="Arial" w:hAnsi="Arial" w:cs="Arial"/>
          <w:sz w:val="20"/>
          <w:szCs w:val="20"/>
        </w:rPr>
        <w:tab/>
      </w:r>
      <w:proofErr w:type="spellStart"/>
      <w:r w:rsidRPr="00067846">
        <w:rPr>
          <w:rFonts w:ascii="Arial" w:hAnsi="Arial" w:cs="Arial"/>
          <w:sz w:val="20"/>
          <w:szCs w:val="20"/>
        </w:rPr>
        <w:t>haematological</w:t>
      </w:r>
      <w:proofErr w:type="spellEnd"/>
      <w:r w:rsidRPr="00067846">
        <w:rPr>
          <w:rFonts w:ascii="Arial" w:hAnsi="Arial" w:cs="Arial"/>
          <w:sz w:val="20"/>
          <w:szCs w:val="20"/>
        </w:rPr>
        <w:t xml:space="preserve"> and reproductive parameters in male albino</w:t>
      </w:r>
      <w:r w:rsidR="00857E72">
        <w:rPr>
          <w:rFonts w:ascii="Arial" w:hAnsi="Arial" w:cs="Arial"/>
          <w:sz w:val="20"/>
          <w:szCs w:val="20"/>
        </w:rPr>
        <w:t xml:space="preserve"> </w:t>
      </w:r>
      <w:r w:rsidRPr="00067846">
        <w:rPr>
          <w:rFonts w:ascii="Arial" w:hAnsi="Arial" w:cs="Arial"/>
          <w:sz w:val="20"/>
          <w:szCs w:val="20"/>
        </w:rPr>
        <w:t xml:space="preserve">rats. </w:t>
      </w:r>
      <w:r w:rsidRPr="00067846">
        <w:rPr>
          <w:rFonts w:ascii="Arial" w:hAnsi="Arial" w:cs="Arial"/>
          <w:i/>
          <w:iCs/>
          <w:sz w:val="20"/>
          <w:szCs w:val="20"/>
        </w:rPr>
        <w:t>IOSR Journal of Pharmacy</w:t>
      </w:r>
      <w:r w:rsidR="00857E72">
        <w:rPr>
          <w:rFonts w:ascii="Arial" w:hAnsi="Arial" w:cs="Arial"/>
          <w:i/>
          <w:iCs/>
          <w:sz w:val="20"/>
          <w:szCs w:val="20"/>
        </w:rPr>
        <w:t xml:space="preserve"> </w:t>
      </w:r>
      <w:r w:rsidRPr="00067846">
        <w:rPr>
          <w:rFonts w:ascii="Arial" w:hAnsi="Arial" w:cs="Arial"/>
          <w:i/>
          <w:iCs/>
          <w:sz w:val="20"/>
          <w:szCs w:val="20"/>
        </w:rPr>
        <w:t xml:space="preserve">and </w:t>
      </w:r>
      <w:r w:rsidR="00857E72">
        <w:rPr>
          <w:rFonts w:ascii="Arial" w:hAnsi="Arial" w:cs="Arial"/>
          <w:i/>
          <w:iCs/>
          <w:sz w:val="20"/>
          <w:szCs w:val="20"/>
        </w:rPr>
        <w:tab/>
      </w:r>
      <w:r w:rsidRPr="00067846">
        <w:rPr>
          <w:rFonts w:ascii="Arial" w:hAnsi="Arial" w:cs="Arial"/>
          <w:i/>
          <w:iCs/>
          <w:sz w:val="20"/>
          <w:szCs w:val="20"/>
        </w:rPr>
        <w:t>Biological Sciences, 4</w:t>
      </w:r>
      <w:r w:rsidRPr="00067846">
        <w:rPr>
          <w:rFonts w:ascii="Arial" w:hAnsi="Arial" w:cs="Arial"/>
          <w:sz w:val="20"/>
          <w:szCs w:val="20"/>
        </w:rPr>
        <w:t xml:space="preserve">(6), 65–70. </w:t>
      </w:r>
    </w:p>
    <w:p w14:paraId="7491B46C" w14:textId="38859362" w:rsidR="00067846" w:rsidRPr="00067846" w:rsidRDefault="00067846" w:rsidP="00067846">
      <w:pPr>
        <w:jc w:val="both"/>
        <w:rPr>
          <w:rFonts w:ascii="Arial" w:hAnsi="Arial" w:cs="Arial"/>
          <w:sz w:val="20"/>
          <w:szCs w:val="20"/>
        </w:rPr>
      </w:pPr>
      <w:r w:rsidRPr="00067846">
        <w:rPr>
          <w:rFonts w:ascii="Arial" w:hAnsi="Arial" w:cs="Arial"/>
          <w:sz w:val="20"/>
          <w:szCs w:val="20"/>
        </w:rPr>
        <w:t xml:space="preserve">Qader, S. W., &amp; Othman, G. O. (2014). Cytological and histological effect of paracetamol </w:t>
      </w:r>
      <w:r w:rsidRPr="00067846">
        <w:rPr>
          <w:rFonts w:ascii="Arial" w:hAnsi="Arial" w:cs="Arial"/>
          <w:sz w:val="20"/>
          <w:szCs w:val="20"/>
        </w:rPr>
        <w:tab/>
        <w:t xml:space="preserve">on the testis and </w:t>
      </w:r>
      <w:r>
        <w:rPr>
          <w:rFonts w:ascii="Arial" w:hAnsi="Arial" w:cs="Arial"/>
          <w:sz w:val="20"/>
          <w:szCs w:val="20"/>
        </w:rPr>
        <w:tab/>
      </w:r>
      <w:r w:rsidRPr="00067846">
        <w:rPr>
          <w:rFonts w:ascii="Arial" w:hAnsi="Arial" w:cs="Arial"/>
          <w:sz w:val="20"/>
          <w:szCs w:val="20"/>
        </w:rPr>
        <w:t>liver in albino mice (</w:t>
      </w:r>
      <w:r w:rsidRPr="00067846">
        <w:rPr>
          <w:rFonts w:ascii="Arial" w:hAnsi="Arial" w:cs="Arial"/>
          <w:i/>
          <w:iCs/>
          <w:sz w:val="20"/>
          <w:szCs w:val="20"/>
        </w:rPr>
        <w:t>Mus musculus</w:t>
      </w:r>
      <w:r w:rsidRPr="00067846">
        <w:rPr>
          <w:rFonts w:ascii="Arial" w:hAnsi="Arial" w:cs="Arial"/>
          <w:sz w:val="20"/>
          <w:szCs w:val="20"/>
        </w:rPr>
        <w:t xml:space="preserve">). </w:t>
      </w:r>
      <w:r w:rsidRPr="00067846">
        <w:rPr>
          <w:rFonts w:ascii="Arial" w:hAnsi="Arial" w:cs="Arial"/>
          <w:i/>
          <w:iCs/>
          <w:sz w:val="20"/>
          <w:szCs w:val="20"/>
        </w:rPr>
        <w:t xml:space="preserve">Journal of </w:t>
      </w:r>
      <w:proofErr w:type="spellStart"/>
      <w:r w:rsidRPr="00067846">
        <w:rPr>
          <w:rFonts w:ascii="Arial" w:hAnsi="Arial" w:cs="Arial"/>
          <w:i/>
          <w:iCs/>
          <w:sz w:val="20"/>
          <w:szCs w:val="20"/>
        </w:rPr>
        <w:t>Zankoy</w:t>
      </w:r>
      <w:proofErr w:type="spellEnd"/>
      <w:r w:rsidRPr="00067846">
        <w:rPr>
          <w:rFonts w:ascii="Arial" w:hAnsi="Arial" w:cs="Arial"/>
          <w:i/>
          <w:iCs/>
          <w:sz w:val="20"/>
          <w:szCs w:val="20"/>
        </w:rPr>
        <w:t xml:space="preserve"> Sulaimani - Part A, 16</w:t>
      </w:r>
      <w:r w:rsidRPr="00067846">
        <w:rPr>
          <w:rFonts w:ascii="Arial" w:hAnsi="Arial" w:cs="Arial"/>
          <w:sz w:val="20"/>
          <w:szCs w:val="20"/>
        </w:rPr>
        <w:t xml:space="preserve">(4). </w:t>
      </w:r>
    </w:p>
    <w:p w14:paraId="14C386ED" w14:textId="73FC6F38" w:rsidR="00067846" w:rsidRPr="00067846" w:rsidRDefault="00067846" w:rsidP="00067846">
      <w:pPr>
        <w:jc w:val="both"/>
        <w:rPr>
          <w:rFonts w:ascii="Arial" w:hAnsi="Arial" w:cs="Arial"/>
          <w:sz w:val="20"/>
          <w:szCs w:val="20"/>
        </w:rPr>
      </w:pPr>
      <w:r w:rsidRPr="00067846">
        <w:rPr>
          <w:rFonts w:ascii="Arial" w:hAnsi="Arial" w:cs="Arial"/>
          <w:sz w:val="20"/>
          <w:szCs w:val="20"/>
        </w:rPr>
        <w:t>Sakr, S. A., El-</w:t>
      </w:r>
      <w:proofErr w:type="spellStart"/>
      <w:r w:rsidRPr="00067846">
        <w:rPr>
          <w:rFonts w:ascii="Arial" w:hAnsi="Arial" w:cs="Arial"/>
          <w:sz w:val="20"/>
          <w:szCs w:val="20"/>
        </w:rPr>
        <w:t>Shenawy</w:t>
      </w:r>
      <w:proofErr w:type="spellEnd"/>
      <w:r w:rsidRPr="00067846">
        <w:rPr>
          <w:rFonts w:ascii="Arial" w:hAnsi="Arial" w:cs="Arial"/>
          <w:sz w:val="20"/>
          <w:szCs w:val="20"/>
        </w:rPr>
        <w:t>, S. M., &amp; Al-</w:t>
      </w:r>
      <w:proofErr w:type="spellStart"/>
      <w:r w:rsidRPr="00067846">
        <w:rPr>
          <w:rFonts w:ascii="Arial" w:hAnsi="Arial" w:cs="Arial"/>
          <w:sz w:val="20"/>
          <w:szCs w:val="20"/>
        </w:rPr>
        <w:t>Shabka</w:t>
      </w:r>
      <w:proofErr w:type="spellEnd"/>
      <w:r w:rsidRPr="00067846">
        <w:rPr>
          <w:rFonts w:ascii="Arial" w:hAnsi="Arial" w:cs="Arial"/>
          <w:sz w:val="20"/>
          <w:szCs w:val="20"/>
        </w:rPr>
        <w:t>, A. M. (2012). Aqueous fenugreek seed</w:t>
      </w:r>
      <w:r w:rsidR="00857E72">
        <w:rPr>
          <w:rFonts w:ascii="Arial" w:hAnsi="Arial" w:cs="Arial"/>
          <w:sz w:val="20"/>
          <w:szCs w:val="20"/>
        </w:rPr>
        <w:t xml:space="preserve"> </w:t>
      </w:r>
      <w:r w:rsidRPr="00067846">
        <w:rPr>
          <w:rFonts w:ascii="Arial" w:hAnsi="Arial" w:cs="Arial"/>
          <w:sz w:val="20"/>
          <w:szCs w:val="20"/>
        </w:rPr>
        <w:t>extract</w:t>
      </w:r>
      <w:r w:rsidR="00857E72">
        <w:rPr>
          <w:rFonts w:ascii="Arial" w:hAnsi="Arial" w:cs="Arial"/>
          <w:sz w:val="20"/>
          <w:szCs w:val="20"/>
        </w:rPr>
        <w:t xml:space="preserve"> </w:t>
      </w:r>
      <w:r w:rsidR="00857E72">
        <w:rPr>
          <w:rFonts w:ascii="Arial" w:hAnsi="Arial" w:cs="Arial"/>
          <w:sz w:val="20"/>
          <w:szCs w:val="20"/>
        </w:rPr>
        <w:tab/>
      </w:r>
      <w:r w:rsidRPr="00067846">
        <w:rPr>
          <w:rFonts w:ascii="Arial" w:hAnsi="Arial" w:cs="Arial"/>
          <w:sz w:val="20"/>
          <w:szCs w:val="20"/>
        </w:rPr>
        <w:t xml:space="preserve">ameliorates </w:t>
      </w:r>
      <w:proofErr w:type="spellStart"/>
      <w:r w:rsidRPr="00067846">
        <w:rPr>
          <w:rFonts w:ascii="Arial" w:hAnsi="Arial" w:cs="Arial"/>
          <w:sz w:val="20"/>
          <w:szCs w:val="20"/>
        </w:rPr>
        <w:t>adriamycin</w:t>
      </w:r>
      <w:proofErr w:type="spellEnd"/>
      <w:r w:rsidRPr="00067846">
        <w:rPr>
          <w:rFonts w:ascii="Arial" w:hAnsi="Arial" w:cs="Arial"/>
          <w:sz w:val="20"/>
          <w:szCs w:val="20"/>
        </w:rPr>
        <w:t>-induced cytotoxicity and testicular alterations in</w:t>
      </w:r>
      <w:r w:rsidR="00857E72">
        <w:rPr>
          <w:rFonts w:ascii="Arial" w:hAnsi="Arial" w:cs="Arial"/>
          <w:sz w:val="20"/>
          <w:szCs w:val="20"/>
        </w:rPr>
        <w:t xml:space="preserve"> </w:t>
      </w:r>
      <w:r w:rsidRPr="00067846">
        <w:rPr>
          <w:rFonts w:ascii="Arial" w:hAnsi="Arial" w:cs="Arial"/>
          <w:sz w:val="20"/>
          <w:szCs w:val="20"/>
        </w:rPr>
        <w:t>albino</w:t>
      </w:r>
      <w:r w:rsidR="00857E72">
        <w:rPr>
          <w:rFonts w:ascii="Arial" w:hAnsi="Arial" w:cs="Arial"/>
          <w:sz w:val="20"/>
          <w:szCs w:val="20"/>
        </w:rPr>
        <w:t xml:space="preserve"> </w:t>
      </w:r>
      <w:r w:rsidRPr="00067846">
        <w:rPr>
          <w:rFonts w:ascii="Arial" w:hAnsi="Arial" w:cs="Arial"/>
          <w:sz w:val="20"/>
          <w:szCs w:val="20"/>
        </w:rPr>
        <w:t xml:space="preserve">rats. </w:t>
      </w:r>
      <w:r>
        <w:rPr>
          <w:rFonts w:ascii="Arial" w:hAnsi="Arial" w:cs="Arial"/>
          <w:sz w:val="20"/>
          <w:szCs w:val="20"/>
        </w:rPr>
        <w:tab/>
      </w:r>
      <w:r w:rsidRPr="00067846">
        <w:rPr>
          <w:rFonts w:ascii="Arial" w:hAnsi="Arial" w:cs="Arial"/>
          <w:i/>
          <w:iCs/>
          <w:sz w:val="20"/>
          <w:szCs w:val="20"/>
        </w:rPr>
        <w:t>Reproductive Sciences, 19</w:t>
      </w:r>
      <w:r w:rsidRPr="00067846">
        <w:rPr>
          <w:rFonts w:ascii="Arial" w:hAnsi="Arial" w:cs="Arial"/>
          <w:sz w:val="20"/>
          <w:szCs w:val="20"/>
        </w:rPr>
        <w:t xml:space="preserve">(1), 70–80. https://doi.org/10.1177/1933719111413301 </w:t>
      </w:r>
    </w:p>
    <w:p w14:paraId="2C1BF6F5" w14:textId="1EE5EC86" w:rsidR="00067846" w:rsidRPr="00067846" w:rsidRDefault="00067846" w:rsidP="00067846">
      <w:pPr>
        <w:jc w:val="both"/>
        <w:rPr>
          <w:rFonts w:ascii="Arial" w:hAnsi="Arial" w:cs="Arial"/>
          <w:sz w:val="20"/>
          <w:szCs w:val="20"/>
        </w:rPr>
      </w:pPr>
      <w:proofErr w:type="spellStart"/>
      <w:r w:rsidRPr="00067846">
        <w:rPr>
          <w:rFonts w:ascii="Arial" w:hAnsi="Arial" w:cs="Arial"/>
          <w:sz w:val="20"/>
          <w:szCs w:val="20"/>
        </w:rPr>
        <w:t>Singhmura</w:t>
      </w:r>
      <w:proofErr w:type="spellEnd"/>
      <w:r w:rsidRPr="00067846">
        <w:rPr>
          <w:rFonts w:ascii="Arial" w:hAnsi="Arial" w:cs="Arial"/>
          <w:sz w:val="20"/>
          <w:szCs w:val="20"/>
        </w:rPr>
        <w:t xml:space="preserve">, S. K., Anamika, D., Rajib, D., Pradhan, P., Banik, S., &amp; Mandal, A. (2024). </w:t>
      </w:r>
      <w:r w:rsidRPr="00067846">
        <w:rPr>
          <w:rFonts w:ascii="Arial" w:hAnsi="Arial" w:cs="Arial"/>
          <w:sz w:val="20"/>
          <w:szCs w:val="20"/>
        </w:rPr>
        <w:tab/>
        <w:t>Protective</w:t>
      </w:r>
      <w:r w:rsidR="002A6957">
        <w:rPr>
          <w:rFonts w:ascii="Arial" w:hAnsi="Arial" w:cs="Arial"/>
          <w:sz w:val="20"/>
          <w:szCs w:val="20"/>
        </w:rPr>
        <w:t xml:space="preserve"> </w:t>
      </w:r>
      <w:r w:rsidR="002A6957">
        <w:rPr>
          <w:rFonts w:ascii="Arial" w:hAnsi="Arial" w:cs="Arial"/>
          <w:sz w:val="20"/>
          <w:szCs w:val="20"/>
        </w:rPr>
        <w:tab/>
      </w:r>
      <w:r w:rsidRPr="00067846">
        <w:rPr>
          <w:rFonts w:ascii="Arial" w:hAnsi="Arial" w:cs="Arial"/>
          <w:sz w:val="20"/>
          <w:szCs w:val="20"/>
        </w:rPr>
        <w:t xml:space="preserve">effects of fenugreek seed on monosodium glutamate (MSG) </w:t>
      </w:r>
      <w:r w:rsidRPr="00067846">
        <w:rPr>
          <w:rFonts w:ascii="Arial" w:hAnsi="Arial" w:cs="Arial"/>
          <w:sz w:val="20"/>
          <w:szCs w:val="20"/>
        </w:rPr>
        <w:tab/>
        <w:t>spermatozoa morphology and</w:t>
      </w:r>
      <w:r w:rsidR="002A6957">
        <w:rPr>
          <w:rFonts w:ascii="Arial" w:hAnsi="Arial" w:cs="Arial"/>
          <w:sz w:val="20"/>
          <w:szCs w:val="20"/>
        </w:rPr>
        <w:t xml:space="preserve"> </w:t>
      </w:r>
      <w:r w:rsidR="002A6957">
        <w:rPr>
          <w:rFonts w:ascii="Arial" w:hAnsi="Arial" w:cs="Arial"/>
          <w:sz w:val="20"/>
          <w:szCs w:val="20"/>
        </w:rPr>
        <w:tab/>
      </w:r>
      <w:r w:rsidRPr="00067846">
        <w:rPr>
          <w:rFonts w:ascii="Arial" w:hAnsi="Arial" w:cs="Arial"/>
          <w:sz w:val="20"/>
          <w:szCs w:val="20"/>
        </w:rPr>
        <w:t xml:space="preserve">characteristics in male mice. </w:t>
      </w:r>
      <w:r w:rsidRPr="00067846">
        <w:rPr>
          <w:rFonts w:ascii="Arial" w:hAnsi="Arial" w:cs="Arial"/>
          <w:i/>
          <w:iCs/>
          <w:sz w:val="20"/>
          <w:szCs w:val="20"/>
        </w:rPr>
        <w:t xml:space="preserve">Asian Journal of </w:t>
      </w:r>
      <w:r w:rsidRPr="00067846">
        <w:rPr>
          <w:rFonts w:ascii="Arial" w:hAnsi="Arial" w:cs="Arial"/>
          <w:i/>
          <w:iCs/>
          <w:sz w:val="20"/>
          <w:szCs w:val="20"/>
        </w:rPr>
        <w:tab/>
        <w:t>Pharmacy and Pharmacology, 10</w:t>
      </w:r>
      <w:r w:rsidRPr="00067846">
        <w:rPr>
          <w:rFonts w:ascii="Arial" w:hAnsi="Arial" w:cs="Arial"/>
          <w:sz w:val="20"/>
          <w:szCs w:val="20"/>
        </w:rPr>
        <w:t xml:space="preserve">(3). </w:t>
      </w:r>
    </w:p>
    <w:p w14:paraId="47DDEC12" w14:textId="3F344575" w:rsidR="00067846" w:rsidRPr="00067846" w:rsidRDefault="00067846" w:rsidP="00067846">
      <w:pPr>
        <w:jc w:val="both"/>
        <w:rPr>
          <w:rFonts w:ascii="Arial" w:hAnsi="Arial" w:cs="Arial"/>
          <w:sz w:val="20"/>
          <w:szCs w:val="20"/>
        </w:rPr>
      </w:pPr>
      <w:r w:rsidRPr="00067846">
        <w:rPr>
          <w:rFonts w:ascii="Arial" w:hAnsi="Arial" w:cs="Arial"/>
          <w:sz w:val="20"/>
          <w:szCs w:val="20"/>
        </w:rPr>
        <w:t>Srinivasan, K. (2006). Fenugreek (</w:t>
      </w:r>
      <w:r w:rsidRPr="00067846">
        <w:rPr>
          <w:rFonts w:ascii="Arial" w:hAnsi="Arial" w:cs="Arial"/>
          <w:i/>
          <w:iCs/>
          <w:sz w:val="20"/>
          <w:szCs w:val="20"/>
        </w:rPr>
        <w:t xml:space="preserve">Trigonella </w:t>
      </w:r>
      <w:proofErr w:type="spellStart"/>
      <w:r w:rsidRPr="00067846">
        <w:rPr>
          <w:rFonts w:ascii="Arial" w:hAnsi="Arial" w:cs="Arial"/>
          <w:i/>
          <w:iCs/>
          <w:sz w:val="20"/>
          <w:szCs w:val="20"/>
        </w:rPr>
        <w:t>foenum</w:t>
      </w:r>
      <w:proofErr w:type="spellEnd"/>
      <w:r w:rsidRPr="00067846">
        <w:rPr>
          <w:rFonts w:ascii="Arial" w:hAnsi="Arial" w:cs="Arial"/>
          <w:i/>
          <w:iCs/>
          <w:sz w:val="20"/>
          <w:szCs w:val="20"/>
        </w:rPr>
        <w:t>-graecum</w:t>
      </w:r>
      <w:r w:rsidRPr="00067846">
        <w:rPr>
          <w:rFonts w:ascii="Arial" w:hAnsi="Arial" w:cs="Arial"/>
          <w:sz w:val="20"/>
          <w:szCs w:val="20"/>
        </w:rPr>
        <w:t>): A review of health</w:t>
      </w:r>
      <w:r w:rsidR="002A6957">
        <w:rPr>
          <w:rFonts w:ascii="Arial" w:hAnsi="Arial" w:cs="Arial"/>
          <w:sz w:val="20"/>
          <w:szCs w:val="20"/>
        </w:rPr>
        <w:t xml:space="preserve"> </w:t>
      </w:r>
      <w:r w:rsidRPr="00067846">
        <w:rPr>
          <w:rFonts w:ascii="Arial" w:hAnsi="Arial" w:cs="Arial"/>
          <w:sz w:val="20"/>
          <w:szCs w:val="20"/>
        </w:rPr>
        <w:t>beneficial</w:t>
      </w:r>
      <w:r w:rsidR="002A6957">
        <w:rPr>
          <w:rFonts w:ascii="Arial" w:hAnsi="Arial" w:cs="Arial"/>
          <w:sz w:val="20"/>
          <w:szCs w:val="20"/>
        </w:rPr>
        <w:t xml:space="preserve"> </w:t>
      </w:r>
      <w:r w:rsidRPr="00067846">
        <w:rPr>
          <w:rFonts w:ascii="Arial" w:hAnsi="Arial" w:cs="Arial"/>
          <w:sz w:val="20"/>
          <w:szCs w:val="20"/>
        </w:rPr>
        <w:t xml:space="preserve">physiological </w:t>
      </w:r>
      <w:r w:rsidR="002A6957">
        <w:rPr>
          <w:rFonts w:ascii="Arial" w:hAnsi="Arial" w:cs="Arial"/>
          <w:sz w:val="20"/>
          <w:szCs w:val="20"/>
        </w:rPr>
        <w:tab/>
      </w:r>
      <w:r w:rsidRPr="00067846">
        <w:rPr>
          <w:rFonts w:ascii="Arial" w:hAnsi="Arial" w:cs="Arial"/>
          <w:sz w:val="20"/>
          <w:szCs w:val="20"/>
        </w:rPr>
        <w:t xml:space="preserve">effects. </w:t>
      </w:r>
      <w:r w:rsidRPr="00067846">
        <w:rPr>
          <w:rFonts w:ascii="Arial" w:hAnsi="Arial" w:cs="Arial"/>
          <w:i/>
          <w:iCs/>
          <w:sz w:val="20"/>
          <w:szCs w:val="20"/>
        </w:rPr>
        <w:t>Food Reviews International, 22</w:t>
      </w:r>
      <w:r w:rsidRPr="00067846">
        <w:rPr>
          <w:rFonts w:ascii="Arial" w:hAnsi="Arial" w:cs="Arial"/>
          <w:sz w:val="20"/>
          <w:szCs w:val="20"/>
        </w:rPr>
        <w:t xml:space="preserve">(2), 203–224. </w:t>
      </w:r>
    </w:p>
    <w:p w14:paraId="27B64AED" w14:textId="5A4486B2" w:rsidR="00067846" w:rsidRPr="00067846" w:rsidRDefault="00067846" w:rsidP="00067846">
      <w:pPr>
        <w:jc w:val="both"/>
        <w:rPr>
          <w:rFonts w:ascii="Arial" w:hAnsi="Arial" w:cs="Arial"/>
          <w:sz w:val="20"/>
          <w:szCs w:val="20"/>
        </w:rPr>
      </w:pPr>
      <w:r w:rsidRPr="00067846">
        <w:rPr>
          <w:rFonts w:ascii="Arial" w:hAnsi="Arial" w:cs="Arial"/>
          <w:sz w:val="20"/>
          <w:szCs w:val="20"/>
        </w:rPr>
        <w:t>Tanushree, A., Kumar, A., &amp; Kumar, A. (2024). Study on mitigating role of fenugreek</w:t>
      </w:r>
      <w:r w:rsidR="002A6957">
        <w:rPr>
          <w:rFonts w:ascii="Arial" w:hAnsi="Arial" w:cs="Arial"/>
          <w:sz w:val="20"/>
          <w:szCs w:val="20"/>
        </w:rPr>
        <w:t xml:space="preserve"> </w:t>
      </w:r>
      <w:r w:rsidRPr="00067846">
        <w:rPr>
          <w:rFonts w:ascii="Arial" w:hAnsi="Arial" w:cs="Arial"/>
          <w:sz w:val="20"/>
          <w:szCs w:val="20"/>
        </w:rPr>
        <w:t>aqueous extract</w:t>
      </w:r>
      <w:r w:rsidR="002A6957">
        <w:rPr>
          <w:rFonts w:ascii="Arial" w:hAnsi="Arial" w:cs="Arial"/>
          <w:sz w:val="20"/>
          <w:szCs w:val="20"/>
        </w:rPr>
        <w:t xml:space="preserve"> </w:t>
      </w:r>
      <w:r w:rsidRPr="00067846">
        <w:rPr>
          <w:rFonts w:ascii="Arial" w:hAnsi="Arial" w:cs="Arial"/>
          <w:sz w:val="20"/>
          <w:szCs w:val="20"/>
        </w:rPr>
        <w:t xml:space="preserve">against </w:t>
      </w:r>
      <w:r w:rsidR="002A6957">
        <w:rPr>
          <w:rFonts w:ascii="Arial" w:hAnsi="Arial" w:cs="Arial"/>
          <w:sz w:val="20"/>
          <w:szCs w:val="20"/>
        </w:rPr>
        <w:tab/>
      </w:r>
      <w:r w:rsidRPr="00067846">
        <w:rPr>
          <w:rFonts w:ascii="Arial" w:hAnsi="Arial" w:cs="Arial"/>
          <w:sz w:val="20"/>
          <w:szCs w:val="20"/>
        </w:rPr>
        <w:t>gonadotoxic induced by permethrin on male Swiss albino</w:t>
      </w:r>
      <w:r w:rsidR="002A6957">
        <w:rPr>
          <w:rFonts w:ascii="Arial" w:hAnsi="Arial" w:cs="Arial"/>
          <w:sz w:val="20"/>
          <w:szCs w:val="20"/>
        </w:rPr>
        <w:t xml:space="preserve"> </w:t>
      </w:r>
      <w:r w:rsidRPr="00067846">
        <w:rPr>
          <w:rFonts w:ascii="Arial" w:hAnsi="Arial" w:cs="Arial"/>
          <w:sz w:val="20"/>
          <w:szCs w:val="20"/>
        </w:rPr>
        <w:t>mice (</w:t>
      </w:r>
      <w:r w:rsidRPr="00067846">
        <w:rPr>
          <w:rFonts w:ascii="Arial" w:hAnsi="Arial" w:cs="Arial"/>
          <w:i/>
          <w:iCs/>
          <w:sz w:val="20"/>
          <w:szCs w:val="20"/>
        </w:rPr>
        <w:t>Mus musculus</w:t>
      </w:r>
      <w:r w:rsidRPr="00067846">
        <w:rPr>
          <w:rFonts w:ascii="Arial" w:hAnsi="Arial" w:cs="Arial"/>
          <w:sz w:val="20"/>
          <w:szCs w:val="20"/>
        </w:rPr>
        <w:t xml:space="preserve">). </w:t>
      </w:r>
      <w:r>
        <w:rPr>
          <w:rFonts w:ascii="Arial" w:hAnsi="Arial" w:cs="Arial"/>
          <w:sz w:val="20"/>
          <w:szCs w:val="20"/>
        </w:rPr>
        <w:tab/>
      </w:r>
      <w:proofErr w:type="spellStart"/>
      <w:r w:rsidRPr="00067846">
        <w:rPr>
          <w:rFonts w:ascii="Arial" w:hAnsi="Arial" w:cs="Arial"/>
          <w:i/>
          <w:iCs/>
          <w:sz w:val="20"/>
          <w:szCs w:val="20"/>
        </w:rPr>
        <w:t>Biospectra</w:t>
      </w:r>
      <w:proofErr w:type="spellEnd"/>
      <w:r w:rsidRPr="00067846">
        <w:rPr>
          <w:rFonts w:ascii="Arial" w:hAnsi="Arial" w:cs="Arial"/>
          <w:i/>
          <w:iCs/>
          <w:sz w:val="20"/>
          <w:szCs w:val="20"/>
        </w:rPr>
        <w:t xml:space="preserve">, </w:t>
      </w:r>
      <w:r w:rsidR="002A6957">
        <w:rPr>
          <w:rFonts w:ascii="Arial" w:hAnsi="Arial" w:cs="Arial"/>
          <w:i/>
          <w:iCs/>
          <w:sz w:val="20"/>
          <w:szCs w:val="20"/>
        </w:rPr>
        <w:tab/>
      </w:r>
      <w:r w:rsidRPr="002A6957">
        <w:rPr>
          <w:rFonts w:ascii="Arial" w:hAnsi="Arial" w:cs="Arial"/>
          <w:sz w:val="20"/>
          <w:szCs w:val="20"/>
        </w:rPr>
        <w:t>19(1),</w:t>
      </w:r>
      <w:r w:rsidRPr="00067846">
        <w:rPr>
          <w:rFonts w:ascii="Arial" w:hAnsi="Arial" w:cs="Arial"/>
          <w:sz w:val="20"/>
          <w:szCs w:val="20"/>
        </w:rPr>
        <w:t xml:space="preserve"> 57–60. </w:t>
      </w:r>
    </w:p>
    <w:p w14:paraId="17653E84" w14:textId="61AD1769" w:rsidR="00067846" w:rsidRPr="00067846" w:rsidRDefault="00067846" w:rsidP="00067846">
      <w:pPr>
        <w:jc w:val="both"/>
        <w:rPr>
          <w:rFonts w:ascii="Arial" w:hAnsi="Arial" w:cs="Arial"/>
          <w:sz w:val="20"/>
          <w:szCs w:val="20"/>
        </w:rPr>
      </w:pPr>
      <w:proofErr w:type="spellStart"/>
      <w:r w:rsidRPr="00067846">
        <w:rPr>
          <w:rFonts w:ascii="Arial" w:hAnsi="Arial" w:cs="Arial"/>
          <w:sz w:val="20"/>
          <w:szCs w:val="20"/>
        </w:rPr>
        <w:t>Télez</w:t>
      </w:r>
      <w:proofErr w:type="spellEnd"/>
      <w:r w:rsidRPr="00067846">
        <w:rPr>
          <w:rFonts w:ascii="Arial" w:hAnsi="Arial" w:cs="Arial"/>
          <w:sz w:val="20"/>
          <w:szCs w:val="20"/>
        </w:rPr>
        <w:t xml:space="preserve">, M., Martínez, B., Criado, B., </w:t>
      </w:r>
      <w:proofErr w:type="spellStart"/>
      <w:r w:rsidRPr="00067846">
        <w:rPr>
          <w:rFonts w:ascii="Arial" w:hAnsi="Arial" w:cs="Arial"/>
          <w:sz w:val="20"/>
          <w:szCs w:val="20"/>
        </w:rPr>
        <w:t>Lostao</w:t>
      </w:r>
      <w:proofErr w:type="spellEnd"/>
      <w:r w:rsidRPr="00067846">
        <w:rPr>
          <w:rFonts w:ascii="Arial" w:hAnsi="Arial" w:cs="Arial"/>
          <w:sz w:val="20"/>
          <w:szCs w:val="20"/>
        </w:rPr>
        <w:t xml:space="preserve">, C. M., </w:t>
      </w:r>
      <w:proofErr w:type="spellStart"/>
      <w:r w:rsidRPr="00067846">
        <w:rPr>
          <w:rFonts w:ascii="Arial" w:hAnsi="Arial" w:cs="Arial"/>
          <w:sz w:val="20"/>
          <w:szCs w:val="20"/>
        </w:rPr>
        <w:t>Peñagarikano</w:t>
      </w:r>
      <w:proofErr w:type="spellEnd"/>
      <w:r w:rsidRPr="00067846">
        <w:rPr>
          <w:rFonts w:ascii="Arial" w:hAnsi="Arial" w:cs="Arial"/>
          <w:sz w:val="20"/>
          <w:szCs w:val="20"/>
        </w:rPr>
        <w:t xml:space="preserve">, O., Ortega, B., et al. (2000). In vitro </w:t>
      </w:r>
      <w:r>
        <w:rPr>
          <w:rFonts w:ascii="Arial" w:hAnsi="Arial" w:cs="Arial"/>
          <w:sz w:val="20"/>
          <w:szCs w:val="20"/>
        </w:rPr>
        <w:tab/>
      </w:r>
      <w:r w:rsidRPr="00067846">
        <w:rPr>
          <w:rFonts w:ascii="Arial" w:hAnsi="Arial" w:cs="Arial"/>
          <w:sz w:val="20"/>
          <w:szCs w:val="20"/>
        </w:rPr>
        <w:t>and in vivo evaluation of the antihypertensive drug atenolol in</w:t>
      </w:r>
      <w:r w:rsidR="00EA14D1">
        <w:rPr>
          <w:rFonts w:ascii="Arial" w:hAnsi="Arial" w:cs="Arial"/>
          <w:sz w:val="20"/>
          <w:szCs w:val="20"/>
        </w:rPr>
        <w:t xml:space="preserve"> </w:t>
      </w:r>
      <w:r w:rsidRPr="00067846">
        <w:rPr>
          <w:rFonts w:ascii="Arial" w:hAnsi="Arial" w:cs="Arial"/>
          <w:sz w:val="20"/>
          <w:szCs w:val="20"/>
        </w:rPr>
        <w:t xml:space="preserve">cultured human lymphocytes: </w:t>
      </w:r>
      <w:r>
        <w:rPr>
          <w:rFonts w:ascii="Arial" w:hAnsi="Arial" w:cs="Arial"/>
          <w:sz w:val="20"/>
          <w:szCs w:val="20"/>
        </w:rPr>
        <w:tab/>
      </w:r>
      <w:r w:rsidRPr="00067846">
        <w:rPr>
          <w:rFonts w:ascii="Arial" w:hAnsi="Arial" w:cs="Arial"/>
          <w:sz w:val="20"/>
          <w:szCs w:val="20"/>
        </w:rPr>
        <w:t>Effects</w:t>
      </w:r>
      <w:r w:rsidR="00EA14D1">
        <w:rPr>
          <w:rFonts w:ascii="Arial" w:hAnsi="Arial" w:cs="Arial"/>
          <w:sz w:val="20"/>
          <w:szCs w:val="20"/>
        </w:rPr>
        <w:t xml:space="preserve"> </w:t>
      </w:r>
      <w:r w:rsidRPr="00067846">
        <w:rPr>
          <w:rFonts w:ascii="Arial" w:hAnsi="Arial" w:cs="Arial"/>
          <w:sz w:val="20"/>
          <w:szCs w:val="20"/>
        </w:rPr>
        <w:t xml:space="preserve">of long-term therapy. </w:t>
      </w:r>
      <w:r w:rsidRPr="00067846">
        <w:rPr>
          <w:rFonts w:ascii="Arial" w:hAnsi="Arial" w:cs="Arial"/>
          <w:i/>
          <w:iCs/>
          <w:sz w:val="20"/>
          <w:szCs w:val="20"/>
        </w:rPr>
        <w:t>Mutagenesis, 15</w:t>
      </w:r>
      <w:r w:rsidRPr="00067846">
        <w:rPr>
          <w:rFonts w:ascii="Arial" w:hAnsi="Arial" w:cs="Arial"/>
          <w:sz w:val="20"/>
          <w:szCs w:val="20"/>
        </w:rPr>
        <w:t xml:space="preserve">(3), 195–202. </w:t>
      </w:r>
      <w:r>
        <w:rPr>
          <w:rFonts w:ascii="Arial" w:hAnsi="Arial" w:cs="Arial"/>
          <w:sz w:val="20"/>
          <w:szCs w:val="20"/>
        </w:rPr>
        <w:tab/>
      </w:r>
      <w:r w:rsidRPr="00067846">
        <w:rPr>
          <w:rFonts w:ascii="Arial" w:hAnsi="Arial" w:cs="Arial"/>
          <w:sz w:val="20"/>
          <w:szCs w:val="20"/>
        </w:rPr>
        <w:t xml:space="preserve">https://doi.org/10.1093/mutage/15.3.195 </w:t>
      </w:r>
    </w:p>
    <w:p w14:paraId="221C0E52" w14:textId="50D21526" w:rsidR="00067846" w:rsidRPr="00067846" w:rsidRDefault="00067846" w:rsidP="00067846">
      <w:pPr>
        <w:jc w:val="both"/>
        <w:rPr>
          <w:rFonts w:ascii="Arial" w:hAnsi="Arial" w:cs="Arial"/>
          <w:sz w:val="20"/>
          <w:szCs w:val="20"/>
        </w:rPr>
      </w:pPr>
      <w:r w:rsidRPr="00067846">
        <w:rPr>
          <w:rFonts w:ascii="Arial" w:hAnsi="Arial" w:cs="Arial"/>
          <w:sz w:val="20"/>
          <w:szCs w:val="20"/>
        </w:rPr>
        <w:lastRenderedPageBreak/>
        <w:t>Tran-Guzman, A., &amp; Culty, M. (2022). Eicosanoid biosynthesis in male reproductive</w:t>
      </w:r>
      <w:r w:rsidR="00EA14D1">
        <w:rPr>
          <w:rFonts w:ascii="Arial" w:hAnsi="Arial" w:cs="Arial"/>
          <w:sz w:val="20"/>
          <w:szCs w:val="20"/>
        </w:rPr>
        <w:t xml:space="preserve"> </w:t>
      </w:r>
      <w:r w:rsidRPr="00067846">
        <w:rPr>
          <w:rFonts w:ascii="Arial" w:hAnsi="Arial" w:cs="Arial"/>
          <w:sz w:val="20"/>
          <w:szCs w:val="20"/>
        </w:rPr>
        <w:t xml:space="preserve">development: </w:t>
      </w:r>
      <w:r>
        <w:rPr>
          <w:rFonts w:ascii="Arial" w:hAnsi="Arial" w:cs="Arial"/>
          <w:sz w:val="20"/>
          <w:szCs w:val="20"/>
        </w:rPr>
        <w:tab/>
      </w:r>
      <w:r w:rsidRPr="00067846">
        <w:rPr>
          <w:rFonts w:ascii="Arial" w:hAnsi="Arial" w:cs="Arial"/>
          <w:sz w:val="20"/>
          <w:szCs w:val="20"/>
        </w:rPr>
        <w:t xml:space="preserve">Effects </w:t>
      </w:r>
      <w:r w:rsidR="00EA14D1">
        <w:rPr>
          <w:rFonts w:ascii="Arial" w:hAnsi="Arial" w:cs="Arial"/>
          <w:sz w:val="20"/>
          <w:szCs w:val="20"/>
        </w:rPr>
        <w:tab/>
      </w:r>
      <w:r w:rsidRPr="00067846">
        <w:rPr>
          <w:rFonts w:ascii="Arial" w:hAnsi="Arial" w:cs="Arial"/>
          <w:sz w:val="20"/>
          <w:szCs w:val="20"/>
        </w:rPr>
        <w:t xml:space="preserve">of perinatal exposure to NSAIDs and analgesic drugs. </w:t>
      </w:r>
      <w:r w:rsidRPr="00067846">
        <w:rPr>
          <w:rFonts w:ascii="Arial" w:hAnsi="Arial" w:cs="Arial"/>
          <w:i/>
          <w:iCs/>
          <w:sz w:val="20"/>
          <w:szCs w:val="20"/>
        </w:rPr>
        <w:t>Frontiers in Toxicology, 4</w:t>
      </w:r>
      <w:r w:rsidRPr="00067846">
        <w:rPr>
          <w:rFonts w:ascii="Arial" w:hAnsi="Arial" w:cs="Arial"/>
          <w:sz w:val="20"/>
          <w:szCs w:val="20"/>
        </w:rPr>
        <w:t xml:space="preserve">, </w:t>
      </w:r>
      <w:r>
        <w:rPr>
          <w:rFonts w:ascii="Arial" w:hAnsi="Arial" w:cs="Arial"/>
          <w:sz w:val="20"/>
          <w:szCs w:val="20"/>
        </w:rPr>
        <w:tab/>
      </w:r>
      <w:r w:rsidRPr="00067846">
        <w:rPr>
          <w:rFonts w:ascii="Arial" w:hAnsi="Arial" w:cs="Arial"/>
          <w:sz w:val="20"/>
          <w:szCs w:val="20"/>
        </w:rPr>
        <w:t xml:space="preserve">842565. </w:t>
      </w:r>
      <w:r w:rsidR="00EA14D1">
        <w:rPr>
          <w:rFonts w:ascii="Arial" w:hAnsi="Arial" w:cs="Arial"/>
          <w:sz w:val="20"/>
          <w:szCs w:val="20"/>
        </w:rPr>
        <w:tab/>
      </w:r>
      <w:r w:rsidRPr="00067846">
        <w:rPr>
          <w:rFonts w:ascii="Arial" w:hAnsi="Arial" w:cs="Arial"/>
          <w:sz w:val="20"/>
          <w:szCs w:val="20"/>
        </w:rPr>
        <w:t xml:space="preserve">https://doi.org/10.3389/ftox.2022.842565 </w:t>
      </w:r>
    </w:p>
    <w:p w14:paraId="295E1464" w14:textId="15B3418D" w:rsidR="00067846" w:rsidRPr="00067846" w:rsidRDefault="00067846" w:rsidP="00067846">
      <w:pPr>
        <w:jc w:val="both"/>
        <w:rPr>
          <w:rFonts w:ascii="Arial" w:hAnsi="Arial" w:cs="Arial"/>
          <w:sz w:val="20"/>
          <w:szCs w:val="20"/>
        </w:rPr>
      </w:pPr>
      <w:r w:rsidRPr="00067846">
        <w:rPr>
          <w:rFonts w:ascii="Arial" w:hAnsi="Arial" w:cs="Arial"/>
          <w:sz w:val="20"/>
          <w:szCs w:val="20"/>
        </w:rPr>
        <w:t xml:space="preserve">Trettin, A., Böhmer, A., Suchy, M. T., Probst, I., </w:t>
      </w:r>
      <w:proofErr w:type="spellStart"/>
      <w:r w:rsidRPr="00067846">
        <w:rPr>
          <w:rFonts w:ascii="Arial" w:hAnsi="Arial" w:cs="Arial"/>
          <w:sz w:val="20"/>
          <w:szCs w:val="20"/>
        </w:rPr>
        <w:t>Staerk</w:t>
      </w:r>
      <w:proofErr w:type="spellEnd"/>
      <w:r w:rsidRPr="00067846">
        <w:rPr>
          <w:rFonts w:ascii="Arial" w:hAnsi="Arial" w:cs="Arial"/>
          <w:sz w:val="20"/>
          <w:szCs w:val="20"/>
        </w:rPr>
        <w:t xml:space="preserve">, U., </w:t>
      </w:r>
      <w:proofErr w:type="spellStart"/>
      <w:r w:rsidRPr="00067846">
        <w:rPr>
          <w:rFonts w:ascii="Arial" w:hAnsi="Arial" w:cs="Arial"/>
          <w:sz w:val="20"/>
          <w:szCs w:val="20"/>
        </w:rPr>
        <w:t>Stichtenoth</w:t>
      </w:r>
      <w:proofErr w:type="spellEnd"/>
      <w:r w:rsidRPr="00067846">
        <w:rPr>
          <w:rFonts w:ascii="Arial" w:hAnsi="Arial" w:cs="Arial"/>
          <w:sz w:val="20"/>
          <w:szCs w:val="20"/>
        </w:rPr>
        <w:t xml:space="preserve">, D. O., et al. (2014). Effects </w:t>
      </w:r>
      <w:r>
        <w:rPr>
          <w:rFonts w:ascii="Arial" w:hAnsi="Arial" w:cs="Arial"/>
          <w:sz w:val="20"/>
          <w:szCs w:val="20"/>
        </w:rPr>
        <w:tab/>
      </w:r>
      <w:r w:rsidRPr="00067846">
        <w:rPr>
          <w:rFonts w:ascii="Arial" w:hAnsi="Arial" w:cs="Arial"/>
          <w:sz w:val="20"/>
          <w:szCs w:val="20"/>
        </w:rPr>
        <w:t xml:space="preserve">of paracetamol on NOS, COX, and CYP activity and on oxidative stress in healthy male </w:t>
      </w:r>
      <w:r>
        <w:rPr>
          <w:rFonts w:ascii="Arial" w:hAnsi="Arial" w:cs="Arial"/>
          <w:sz w:val="20"/>
          <w:szCs w:val="20"/>
        </w:rPr>
        <w:tab/>
      </w:r>
      <w:r w:rsidRPr="00067846">
        <w:rPr>
          <w:rFonts w:ascii="Arial" w:hAnsi="Arial" w:cs="Arial"/>
          <w:sz w:val="20"/>
          <w:szCs w:val="20"/>
        </w:rPr>
        <w:t xml:space="preserve">subjects, rat hepatocytes, and recombinant NOS. </w:t>
      </w:r>
      <w:r w:rsidRPr="00067846">
        <w:rPr>
          <w:rFonts w:ascii="Arial" w:hAnsi="Arial" w:cs="Arial"/>
          <w:i/>
          <w:iCs/>
          <w:sz w:val="20"/>
          <w:szCs w:val="20"/>
        </w:rPr>
        <w:t xml:space="preserve">Oxidative Medicine and Cellular Longevity, </w:t>
      </w:r>
      <w:r>
        <w:rPr>
          <w:rFonts w:ascii="Arial" w:hAnsi="Arial" w:cs="Arial"/>
          <w:i/>
          <w:iCs/>
          <w:sz w:val="20"/>
          <w:szCs w:val="20"/>
        </w:rPr>
        <w:tab/>
      </w:r>
      <w:r w:rsidRPr="00067846">
        <w:rPr>
          <w:rFonts w:ascii="Arial" w:hAnsi="Arial" w:cs="Arial"/>
          <w:i/>
          <w:iCs/>
          <w:sz w:val="20"/>
          <w:szCs w:val="20"/>
        </w:rPr>
        <w:t>2014</w:t>
      </w:r>
      <w:r w:rsidRPr="00067846">
        <w:rPr>
          <w:rFonts w:ascii="Arial" w:hAnsi="Arial" w:cs="Arial"/>
          <w:sz w:val="20"/>
          <w:szCs w:val="20"/>
        </w:rPr>
        <w:t xml:space="preserve">, 212576. https://doi.org/10.1155/2014/212576 </w:t>
      </w:r>
    </w:p>
    <w:p w14:paraId="19410770" w14:textId="508328FA" w:rsidR="00067846" w:rsidRPr="00067846" w:rsidRDefault="00067846" w:rsidP="00067846">
      <w:pPr>
        <w:jc w:val="both"/>
        <w:rPr>
          <w:rFonts w:ascii="Arial" w:hAnsi="Arial" w:cs="Arial"/>
          <w:sz w:val="20"/>
          <w:szCs w:val="20"/>
        </w:rPr>
      </w:pPr>
      <w:r w:rsidRPr="00067846">
        <w:rPr>
          <w:rFonts w:ascii="Arial" w:hAnsi="Arial" w:cs="Arial"/>
          <w:sz w:val="20"/>
          <w:szCs w:val="20"/>
        </w:rPr>
        <w:t xml:space="preserve">Ucheya, R. E., &amp; </w:t>
      </w:r>
      <w:proofErr w:type="spellStart"/>
      <w:r w:rsidRPr="00067846">
        <w:rPr>
          <w:rFonts w:ascii="Arial" w:hAnsi="Arial" w:cs="Arial"/>
          <w:sz w:val="20"/>
          <w:szCs w:val="20"/>
        </w:rPr>
        <w:t>Igweh</w:t>
      </w:r>
      <w:proofErr w:type="spellEnd"/>
      <w:r w:rsidRPr="00067846">
        <w:rPr>
          <w:rFonts w:ascii="Arial" w:hAnsi="Arial" w:cs="Arial"/>
          <w:sz w:val="20"/>
          <w:szCs w:val="20"/>
        </w:rPr>
        <w:t xml:space="preserve">, J. C. (2006). Histological changes in kidney structure following a </w:t>
      </w:r>
      <w:r w:rsidRPr="00067846">
        <w:rPr>
          <w:rFonts w:ascii="Arial" w:hAnsi="Arial" w:cs="Arial"/>
          <w:sz w:val="20"/>
          <w:szCs w:val="20"/>
        </w:rPr>
        <w:tab/>
        <w:t xml:space="preserve">long-term </w:t>
      </w:r>
      <w:r>
        <w:rPr>
          <w:rFonts w:ascii="Arial" w:hAnsi="Arial" w:cs="Arial"/>
          <w:sz w:val="20"/>
          <w:szCs w:val="20"/>
        </w:rPr>
        <w:tab/>
      </w:r>
      <w:r w:rsidRPr="00067846">
        <w:rPr>
          <w:rFonts w:ascii="Arial" w:hAnsi="Arial" w:cs="Arial"/>
          <w:sz w:val="20"/>
          <w:szCs w:val="20"/>
        </w:rPr>
        <w:t xml:space="preserve">administration of paracetamol (acetaminophen) in pregnant Sprague Dawley rats. </w:t>
      </w:r>
      <w:r w:rsidRPr="00067846">
        <w:rPr>
          <w:rFonts w:ascii="Arial" w:hAnsi="Arial" w:cs="Arial"/>
          <w:i/>
          <w:iCs/>
          <w:sz w:val="20"/>
          <w:szCs w:val="20"/>
        </w:rPr>
        <w:t xml:space="preserve">Nigerian </w:t>
      </w:r>
      <w:r>
        <w:rPr>
          <w:rFonts w:ascii="Arial" w:hAnsi="Arial" w:cs="Arial"/>
          <w:i/>
          <w:iCs/>
          <w:sz w:val="20"/>
          <w:szCs w:val="20"/>
        </w:rPr>
        <w:tab/>
      </w:r>
      <w:r w:rsidRPr="00067846">
        <w:rPr>
          <w:rFonts w:ascii="Arial" w:hAnsi="Arial" w:cs="Arial"/>
          <w:i/>
          <w:iCs/>
          <w:sz w:val="20"/>
          <w:szCs w:val="20"/>
        </w:rPr>
        <w:t>Journal of Physiological Sciences, 21</w:t>
      </w:r>
      <w:r w:rsidRPr="00067846">
        <w:rPr>
          <w:rFonts w:ascii="Arial" w:hAnsi="Arial" w:cs="Arial"/>
          <w:sz w:val="20"/>
          <w:szCs w:val="20"/>
        </w:rPr>
        <w:t>(1–2), 77–81.</w:t>
      </w:r>
      <w:hyperlink r:id="rId22" w:history="1">
        <w:r w:rsidR="00B65481" w:rsidRPr="008B79E4">
          <w:rPr>
            <w:rStyle w:val="Hyperlink"/>
            <w:rFonts w:ascii="Arial" w:hAnsi="Arial" w:cs="Arial"/>
            <w:sz w:val="20"/>
            <w:szCs w:val="20"/>
          </w:rPr>
          <w:t>https://doi.org/10.4314/njps.v21i1-</w:t>
        </w:r>
      </w:hyperlink>
      <w:r>
        <w:rPr>
          <w:rFonts w:ascii="Arial" w:hAnsi="Arial" w:cs="Arial"/>
          <w:sz w:val="20"/>
          <w:szCs w:val="20"/>
        </w:rPr>
        <w:tab/>
      </w:r>
      <w:r w:rsidRPr="00067846">
        <w:rPr>
          <w:rFonts w:ascii="Arial" w:hAnsi="Arial" w:cs="Arial"/>
          <w:sz w:val="20"/>
          <w:szCs w:val="20"/>
        </w:rPr>
        <w:t xml:space="preserve">2.53973 </w:t>
      </w:r>
    </w:p>
    <w:p w14:paraId="6EC7159F" w14:textId="4B427B5B" w:rsidR="00067846" w:rsidRPr="00067846" w:rsidRDefault="00067846" w:rsidP="00067846">
      <w:pPr>
        <w:jc w:val="both"/>
        <w:rPr>
          <w:rFonts w:ascii="Arial" w:hAnsi="Arial" w:cs="Arial"/>
          <w:sz w:val="20"/>
          <w:szCs w:val="20"/>
        </w:rPr>
      </w:pPr>
      <w:r w:rsidRPr="00067846">
        <w:rPr>
          <w:rFonts w:ascii="Arial" w:hAnsi="Arial" w:cs="Arial"/>
          <w:sz w:val="20"/>
          <w:szCs w:val="20"/>
        </w:rPr>
        <w:t xml:space="preserve">Wyrobek, A. J., Gordon, L. A., Burkhart, J. G., Francis, M. W., Kapp, R. W., Letz, G., et </w:t>
      </w:r>
      <w:r w:rsidRPr="00067846">
        <w:rPr>
          <w:rFonts w:ascii="Arial" w:hAnsi="Arial" w:cs="Arial"/>
          <w:sz w:val="20"/>
          <w:szCs w:val="20"/>
        </w:rPr>
        <w:tab/>
        <w:t xml:space="preserve">al. (1983). An </w:t>
      </w:r>
      <w:r>
        <w:rPr>
          <w:rFonts w:ascii="Arial" w:hAnsi="Arial" w:cs="Arial"/>
          <w:sz w:val="20"/>
          <w:szCs w:val="20"/>
        </w:rPr>
        <w:tab/>
      </w:r>
      <w:r w:rsidRPr="00067846">
        <w:rPr>
          <w:rFonts w:ascii="Arial" w:hAnsi="Arial" w:cs="Arial"/>
          <w:sz w:val="20"/>
          <w:szCs w:val="20"/>
        </w:rPr>
        <w:t xml:space="preserve">evaluation of the mouse sperm morphology test and other sperm tests in nonhuman </w:t>
      </w:r>
      <w:r>
        <w:rPr>
          <w:rFonts w:ascii="Arial" w:hAnsi="Arial" w:cs="Arial"/>
          <w:sz w:val="20"/>
          <w:szCs w:val="20"/>
        </w:rPr>
        <w:tab/>
      </w:r>
      <w:r w:rsidRPr="00067846">
        <w:rPr>
          <w:rFonts w:ascii="Arial" w:hAnsi="Arial" w:cs="Arial"/>
          <w:sz w:val="20"/>
          <w:szCs w:val="20"/>
        </w:rPr>
        <w:t xml:space="preserve">mammals. </w:t>
      </w:r>
      <w:r w:rsidRPr="00067846">
        <w:rPr>
          <w:rFonts w:ascii="Arial" w:hAnsi="Arial" w:cs="Arial"/>
          <w:i/>
          <w:iCs/>
          <w:sz w:val="20"/>
          <w:szCs w:val="20"/>
        </w:rPr>
        <w:t>Mutation Research, 115</w:t>
      </w:r>
      <w:r w:rsidRPr="00067846">
        <w:rPr>
          <w:rFonts w:ascii="Arial" w:hAnsi="Arial" w:cs="Arial"/>
          <w:sz w:val="20"/>
          <w:szCs w:val="20"/>
        </w:rPr>
        <w:t xml:space="preserve">(1), 1–72. https://doi.org/10.1016/0165-1110(83)90023-7 </w:t>
      </w:r>
    </w:p>
    <w:p w14:paraId="66956EF8" w14:textId="5EB5322E" w:rsidR="00067846" w:rsidRPr="00067846" w:rsidRDefault="00067846" w:rsidP="00067846">
      <w:pPr>
        <w:jc w:val="both"/>
        <w:rPr>
          <w:rFonts w:ascii="Arial" w:hAnsi="Arial" w:cs="Arial"/>
          <w:sz w:val="20"/>
          <w:szCs w:val="20"/>
        </w:rPr>
      </w:pPr>
      <w:r w:rsidRPr="00067846">
        <w:rPr>
          <w:rFonts w:ascii="Arial" w:hAnsi="Arial" w:cs="Arial"/>
          <w:sz w:val="20"/>
          <w:szCs w:val="20"/>
        </w:rPr>
        <w:t xml:space="preserve">Yassen, M. (2013). Toxic effects of paracetamol on the male reproductive system of adult </w:t>
      </w:r>
      <w:r w:rsidRPr="00067846">
        <w:rPr>
          <w:rFonts w:ascii="Arial" w:hAnsi="Arial" w:cs="Arial"/>
          <w:sz w:val="20"/>
          <w:szCs w:val="20"/>
        </w:rPr>
        <w:tab/>
        <w:t xml:space="preserve">rabbits. </w:t>
      </w:r>
      <w:r>
        <w:rPr>
          <w:rFonts w:ascii="Arial" w:hAnsi="Arial" w:cs="Arial"/>
          <w:sz w:val="20"/>
          <w:szCs w:val="20"/>
        </w:rPr>
        <w:tab/>
      </w:r>
      <w:r w:rsidRPr="00067846">
        <w:rPr>
          <w:rFonts w:ascii="Arial" w:hAnsi="Arial" w:cs="Arial"/>
          <w:i/>
          <w:iCs/>
          <w:sz w:val="20"/>
          <w:szCs w:val="20"/>
        </w:rPr>
        <w:t>International Journal of Pharmacy and Biological Sciences, 4</w:t>
      </w:r>
      <w:r w:rsidRPr="00067846">
        <w:rPr>
          <w:rFonts w:ascii="Arial" w:hAnsi="Arial" w:cs="Arial"/>
          <w:sz w:val="20"/>
          <w:szCs w:val="20"/>
        </w:rPr>
        <w:t>(3), 806–821.</w:t>
      </w:r>
    </w:p>
    <w:p w14:paraId="5FFDE0CB" w14:textId="77777777" w:rsidR="00067846" w:rsidRPr="00067846" w:rsidRDefault="00067846" w:rsidP="00220A10">
      <w:pPr>
        <w:ind w:left="900" w:hanging="360"/>
        <w:rPr>
          <w:rFonts w:ascii="Arial" w:hAnsi="Arial" w:cs="Arial"/>
          <w:b/>
          <w:bCs/>
          <w:sz w:val="20"/>
          <w:szCs w:val="20"/>
        </w:rPr>
      </w:pPr>
    </w:p>
    <w:p w14:paraId="326F37E6" w14:textId="77777777" w:rsidR="00067846" w:rsidRPr="00067846" w:rsidRDefault="00067846" w:rsidP="00220A10">
      <w:pPr>
        <w:ind w:left="900" w:hanging="360"/>
        <w:rPr>
          <w:rFonts w:ascii="Arial" w:hAnsi="Arial" w:cs="Arial"/>
          <w:b/>
          <w:bCs/>
          <w:sz w:val="20"/>
          <w:szCs w:val="20"/>
        </w:rPr>
      </w:pPr>
    </w:p>
    <w:p w14:paraId="3B209FD4" w14:textId="77777777" w:rsidR="00067846" w:rsidRPr="00067846" w:rsidRDefault="00067846" w:rsidP="00220A10">
      <w:pPr>
        <w:ind w:left="900" w:hanging="360"/>
        <w:rPr>
          <w:rFonts w:ascii="Arial" w:hAnsi="Arial" w:cs="Arial"/>
          <w:b/>
          <w:bCs/>
          <w:sz w:val="20"/>
          <w:szCs w:val="20"/>
        </w:rPr>
      </w:pPr>
    </w:p>
    <w:p w14:paraId="39788707" w14:textId="77777777" w:rsidR="00067846" w:rsidRPr="00067846" w:rsidRDefault="00067846" w:rsidP="00220A10">
      <w:pPr>
        <w:ind w:left="900" w:hanging="360"/>
        <w:rPr>
          <w:rFonts w:ascii="Arial" w:hAnsi="Arial" w:cs="Arial"/>
          <w:b/>
          <w:bCs/>
          <w:sz w:val="20"/>
          <w:szCs w:val="20"/>
        </w:rPr>
      </w:pPr>
    </w:p>
    <w:p w14:paraId="54DAFFCA" w14:textId="77777777" w:rsidR="00067846" w:rsidRPr="00067846" w:rsidRDefault="00067846" w:rsidP="00220A10">
      <w:pPr>
        <w:ind w:left="900" w:hanging="360"/>
        <w:rPr>
          <w:rFonts w:ascii="Arial" w:hAnsi="Arial" w:cs="Arial"/>
          <w:b/>
          <w:bCs/>
          <w:sz w:val="20"/>
          <w:szCs w:val="20"/>
        </w:rPr>
      </w:pPr>
    </w:p>
    <w:p w14:paraId="6F4F9939" w14:textId="77777777" w:rsidR="00067846" w:rsidRPr="00067846" w:rsidRDefault="00067846" w:rsidP="00220A10">
      <w:pPr>
        <w:ind w:left="900" w:hanging="360"/>
        <w:rPr>
          <w:rFonts w:ascii="Arial" w:hAnsi="Arial" w:cs="Arial"/>
          <w:b/>
          <w:bCs/>
          <w:sz w:val="20"/>
          <w:szCs w:val="20"/>
        </w:rPr>
      </w:pPr>
    </w:p>
    <w:p w14:paraId="7138AA53" w14:textId="77777777" w:rsidR="00067846" w:rsidRPr="00067846" w:rsidRDefault="00067846" w:rsidP="00220A10">
      <w:pPr>
        <w:ind w:left="900" w:hanging="360"/>
        <w:rPr>
          <w:rFonts w:ascii="Arial" w:hAnsi="Arial" w:cs="Arial"/>
          <w:b/>
          <w:bCs/>
          <w:sz w:val="20"/>
          <w:szCs w:val="20"/>
        </w:rPr>
      </w:pPr>
    </w:p>
    <w:p w14:paraId="4A0349DF" w14:textId="77777777" w:rsidR="00067846" w:rsidRPr="00067846" w:rsidRDefault="00067846" w:rsidP="00220A10">
      <w:pPr>
        <w:ind w:left="900" w:hanging="360"/>
        <w:rPr>
          <w:rFonts w:ascii="Arial" w:hAnsi="Arial" w:cs="Arial"/>
          <w:b/>
          <w:bCs/>
          <w:sz w:val="20"/>
          <w:szCs w:val="20"/>
        </w:rPr>
      </w:pPr>
    </w:p>
    <w:p w14:paraId="5C5381EC" w14:textId="77777777" w:rsidR="00067846" w:rsidRPr="00067846" w:rsidRDefault="00067846" w:rsidP="00220A10">
      <w:pPr>
        <w:ind w:left="900" w:hanging="360"/>
        <w:rPr>
          <w:rFonts w:ascii="Arial" w:hAnsi="Arial" w:cs="Arial"/>
          <w:b/>
          <w:bCs/>
          <w:sz w:val="20"/>
          <w:szCs w:val="20"/>
        </w:rPr>
      </w:pPr>
    </w:p>
    <w:p w14:paraId="093EBED1" w14:textId="77777777" w:rsidR="00067846" w:rsidRPr="00067846" w:rsidRDefault="00067846" w:rsidP="00220A10">
      <w:pPr>
        <w:ind w:left="900" w:hanging="360"/>
        <w:rPr>
          <w:rFonts w:ascii="Arial" w:hAnsi="Arial" w:cs="Arial"/>
          <w:b/>
          <w:bCs/>
          <w:sz w:val="20"/>
          <w:szCs w:val="20"/>
        </w:rPr>
      </w:pPr>
    </w:p>
    <w:p w14:paraId="5886C9EB" w14:textId="77777777" w:rsidR="00067846" w:rsidRPr="00067846" w:rsidRDefault="00067846" w:rsidP="00220A10">
      <w:pPr>
        <w:ind w:left="900" w:hanging="360"/>
        <w:rPr>
          <w:rFonts w:ascii="Arial" w:hAnsi="Arial" w:cs="Arial"/>
          <w:b/>
          <w:bCs/>
          <w:sz w:val="20"/>
          <w:szCs w:val="20"/>
        </w:rPr>
      </w:pPr>
    </w:p>
    <w:p w14:paraId="1A2A1D34" w14:textId="77777777" w:rsidR="00067846" w:rsidRPr="00067846" w:rsidRDefault="00067846" w:rsidP="00220A10">
      <w:pPr>
        <w:ind w:left="900" w:hanging="360"/>
        <w:rPr>
          <w:rFonts w:ascii="Arial" w:hAnsi="Arial" w:cs="Arial"/>
          <w:b/>
          <w:bCs/>
          <w:sz w:val="20"/>
          <w:szCs w:val="20"/>
        </w:rPr>
      </w:pPr>
    </w:p>
    <w:p w14:paraId="406C01DE" w14:textId="77777777" w:rsidR="00AF3957" w:rsidRPr="00067846" w:rsidRDefault="00AF3957">
      <w:pPr>
        <w:rPr>
          <w:rFonts w:ascii="Arial" w:hAnsi="Arial" w:cs="Arial"/>
          <w:sz w:val="20"/>
          <w:szCs w:val="20"/>
        </w:rPr>
      </w:pPr>
    </w:p>
    <w:sectPr w:rsidR="00AF3957" w:rsidRPr="00067846">
      <w:headerReference w:type="even" r:id="rId23"/>
      <w:headerReference w:type="default" r:id="rId24"/>
      <w:footerReference w:type="even" r:id="rId25"/>
      <w:footerReference w:type="default" r:id="rId26"/>
      <w:headerReference w:type="first" r:id="rId27"/>
      <w:footerReference w:type="first" r:id="rId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AF5B8" w14:textId="77777777" w:rsidR="009E5DD3" w:rsidRDefault="009E5DD3" w:rsidP="002904ED">
      <w:pPr>
        <w:spacing w:after="0" w:line="240" w:lineRule="auto"/>
      </w:pPr>
      <w:r>
        <w:separator/>
      </w:r>
    </w:p>
  </w:endnote>
  <w:endnote w:type="continuationSeparator" w:id="0">
    <w:p w14:paraId="6258EDB4" w14:textId="77777777" w:rsidR="009E5DD3" w:rsidRDefault="009E5DD3" w:rsidP="00290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55FE6" w14:textId="77777777" w:rsidR="00556A76" w:rsidRDefault="00556A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35BBE" w14:textId="77777777" w:rsidR="00556A76" w:rsidRDefault="00556A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E9841" w14:textId="77777777" w:rsidR="00556A76" w:rsidRDefault="00556A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B91B9" w14:textId="77777777" w:rsidR="009E5DD3" w:rsidRDefault="009E5DD3" w:rsidP="002904ED">
      <w:pPr>
        <w:spacing w:after="0" w:line="240" w:lineRule="auto"/>
      </w:pPr>
      <w:r>
        <w:separator/>
      </w:r>
    </w:p>
  </w:footnote>
  <w:footnote w:type="continuationSeparator" w:id="0">
    <w:p w14:paraId="39137658" w14:textId="77777777" w:rsidR="009E5DD3" w:rsidRDefault="009E5DD3" w:rsidP="00290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4407A" w14:textId="32941D6A" w:rsidR="00556A76" w:rsidRDefault="00556A76">
    <w:pPr>
      <w:pStyle w:val="Header"/>
    </w:pPr>
    <w:r>
      <w:rPr>
        <w:noProof/>
      </w:rPr>
      <w:pict w14:anchorId="6A9A0A9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5819063"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506CB" w14:textId="061FBB43" w:rsidR="00556A76" w:rsidRDefault="00556A76">
    <w:pPr>
      <w:pStyle w:val="Header"/>
    </w:pPr>
    <w:r>
      <w:rPr>
        <w:noProof/>
      </w:rPr>
      <w:pict w14:anchorId="2DAAA24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5819064"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C0FEE" w14:textId="08C7DCBF" w:rsidR="00556A76" w:rsidRDefault="00556A76">
    <w:pPr>
      <w:pStyle w:val="Header"/>
    </w:pPr>
    <w:r>
      <w:rPr>
        <w:noProof/>
      </w:rPr>
      <w:pict w14:anchorId="4440E61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5819062"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E7751"/>
    <w:multiLevelType w:val="hybridMultilevel"/>
    <w:tmpl w:val="696A883A"/>
    <w:lvl w:ilvl="0" w:tplc="D3D42E02">
      <w:start w:val="131"/>
      <w:numFmt w:val="bullet"/>
      <w:lvlText w:val=""/>
      <w:lvlJc w:val="left"/>
      <w:pPr>
        <w:ind w:left="840" w:hanging="360"/>
      </w:pPr>
      <w:rPr>
        <w:rFonts w:ascii="Symbol" w:eastAsiaTheme="minorHAnsi" w:hAnsi="Symbol" w:cs="Times New Roman"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 w15:restartNumberingAfterBreak="0">
    <w:nsid w:val="13D33DF1"/>
    <w:multiLevelType w:val="multilevel"/>
    <w:tmpl w:val="CAA0D34C"/>
    <w:lvl w:ilvl="0">
      <w:start w:val="1"/>
      <w:numFmt w:val="decimal"/>
      <w:lvlText w:val="%1."/>
      <w:lvlJc w:val="left"/>
      <w:pPr>
        <w:tabs>
          <w:tab w:val="num" w:pos="990"/>
        </w:tabs>
        <w:ind w:left="990" w:hanging="360"/>
      </w:pPr>
    </w:lvl>
    <w:lvl w:ilvl="1">
      <w:start w:val="2"/>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1FB7541"/>
    <w:multiLevelType w:val="hybridMultilevel"/>
    <w:tmpl w:val="55D89290"/>
    <w:lvl w:ilvl="0" w:tplc="5AF290D2">
      <w:start w:val="131"/>
      <w:numFmt w:val="bullet"/>
      <w:lvlText w:val=""/>
      <w:lvlJc w:val="left"/>
      <w:pPr>
        <w:ind w:left="480" w:hanging="360"/>
      </w:pPr>
      <w:rPr>
        <w:rFonts w:ascii="Symbol" w:eastAsiaTheme="minorHAnsi" w:hAnsi="Symbol" w:cs="Times New Roman" w:hint="default"/>
      </w:rPr>
    </w:lvl>
    <w:lvl w:ilvl="1" w:tplc="04090003" w:tentative="1">
      <w:start w:val="1"/>
      <w:numFmt w:val="bullet"/>
      <w:lvlText w:val="o"/>
      <w:lvlJc w:val="left"/>
      <w:pPr>
        <w:ind w:left="1200" w:hanging="360"/>
      </w:pPr>
      <w:rPr>
        <w:rFonts w:ascii="Courier New" w:hAnsi="Courier New" w:cs="Courier New" w:hint="default"/>
      </w:rPr>
    </w:lvl>
    <w:lvl w:ilvl="2" w:tplc="04090005" w:tentative="1">
      <w:start w:val="1"/>
      <w:numFmt w:val="bullet"/>
      <w:lvlText w:val=""/>
      <w:lvlJc w:val="left"/>
      <w:pPr>
        <w:ind w:left="1920" w:hanging="360"/>
      </w:pPr>
      <w:rPr>
        <w:rFonts w:ascii="Wingdings" w:hAnsi="Wingdings" w:hint="default"/>
      </w:rPr>
    </w:lvl>
    <w:lvl w:ilvl="3" w:tplc="04090001" w:tentative="1">
      <w:start w:val="1"/>
      <w:numFmt w:val="bullet"/>
      <w:lvlText w:val=""/>
      <w:lvlJc w:val="left"/>
      <w:pPr>
        <w:ind w:left="2640" w:hanging="360"/>
      </w:pPr>
      <w:rPr>
        <w:rFonts w:ascii="Symbol" w:hAnsi="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hint="default"/>
      </w:rPr>
    </w:lvl>
    <w:lvl w:ilvl="6" w:tplc="04090001" w:tentative="1">
      <w:start w:val="1"/>
      <w:numFmt w:val="bullet"/>
      <w:lvlText w:val=""/>
      <w:lvlJc w:val="left"/>
      <w:pPr>
        <w:ind w:left="4800" w:hanging="360"/>
      </w:pPr>
      <w:rPr>
        <w:rFonts w:ascii="Symbol" w:hAnsi="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hint="default"/>
      </w:rPr>
    </w:lvl>
  </w:abstractNum>
  <w:num w:numId="1" w16cid:durableId="851723981">
    <w:abstractNumId w:val="1"/>
  </w:num>
  <w:num w:numId="2" w16cid:durableId="1485124839">
    <w:abstractNumId w:val="2"/>
  </w:num>
  <w:num w:numId="3" w16cid:durableId="19306950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B54"/>
    <w:rsid w:val="00000E83"/>
    <w:rsid w:val="00023236"/>
    <w:rsid w:val="00035CB2"/>
    <w:rsid w:val="000504BE"/>
    <w:rsid w:val="00067846"/>
    <w:rsid w:val="00070307"/>
    <w:rsid w:val="000706E0"/>
    <w:rsid w:val="00073D63"/>
    <w:rsid w:val="000A24D6"/>
    <w:rsid w:val="000B5CC7"/>
    <w:rsid w:val="000D4183"/>
    <w:rsid w:val="000E2687"/>
    <w:rsid w:val="000E4661"/>
    <w:rsid w:val="00120C43"/>
    <w:rsid w:val="001233EF"/>
    <w:rsid w:val="00143235"/>
    <w:rsid w:val="00166BA8"/>
    <w:rsid w:val="00172E54"/>
    <w:rsid w:val="0017404B"/>
    <w:rsid w:val="00175057"/>
    <w:rsid w:val="00175D28"/>
    <w:rsid w:val="001C194D"/>
    <w:rsid w:val="001C7618"/>
    <w:rsid w:val="001E740C"/>
    <w:rsid w:val="0020416B"/>
    <w:rsid w:val="00220A10"/>
    <w:rsid w:val="00222C26"/>
    <w:rsid w:val="0022672D"/>
    <w:rsid w:val="002333AE"/>
    <w:rsid w:val="002468B4"/>
    <w:rsid w:val="0025050C"/>
    <w:rsid w:val="00252868"/>
    <w:rsid w:val="0025799C"/>
    <w:rsid w:val="002617FC"/>
    <w:rsid w:val="00264BEA"/>
    <w:rsid w:val="00285BC8"/>
    <w:rsid w:val="002904ED"/>
    <w:rsid w:val="002A6957"/>
    <w:rsid w:val="002B6DEF"/>
    <w:rsid w:val="002D01B1"/>
    <w:rsid w:val="00301D35"/>
    <w:rsid w:val="00310E7A"/>
    <w:rsid w:val="00311079"/>
    <w:rsid w:val="00326AC7"/>
    <w:rsid w:val="00327BDF"/>
    <w:rsid w:val="003329E5"/>
    <w:rsid w:val="00334E98"/>
    <w:rsid w:val="00335B3F"/>
    <w:rsid w:val="003443DA"/>
    <w:rsid w:val="00346330"/>
    <w:rsid w:val="0035366D"/>
    <w:rsid w:val="00360299"/>
    <w:rsid w:val="00395FBC"/>
    <w:rsid w:val="003C2B27"/>
    <w:rsid w:val="003E7C7B"/>
    <w:rsid w:val="003F4D00"/>
    <w:rsid w:val="00400504"/>
    <w:rsid w:val="00401C96"/>
    <w:rsid w:val="00410806"/>
    <w:rsid w:val="004160CD"/>
    <w:rsid w:val="00423911"/>
    <w:rsid w:val="0045106E"/>
    <w:rsid w:val="004572AB"/>
    <w:rsid w:val="004B1DC8"/>
    <w:rsid w:val="004B6B6A"/>
    <w:rsid w:val="004B78E0"/>
    <w:rsid w:val="004B7984"/>
    <w:rsid w:val="004C59CB"/>
    <w:rsid w:val="004C5D0F"/>
    <w:rsid w:val="004E383B"/>
    <w:rsid w:val="004F39BA"/>
    <w:rsid w:val="004F707F"/>
    <w:rsid w:val="004F7156"/>
    <w:rsid w:val="00504629"/>
    <w:rsid w:val="005104A7"/>
    <w:rsid w:val="00513D68"/>
    <w:rsid w:val="005270F1"/>
    <w:rsid w:val="00536CA9"/>
    <w:rsid w:val="00552DED"/>
    <w:rsid w:val="00556A76"/>
    <w:rsid w:val="00560922"/>
    <w:rsid w:val="0057256B"/>
    <w:rsid w:val="005848F8"/>
    <w:rsid w:val="00592CBB"/>
    <w:rsid w:val="005B5882"/>
    <w:rsid w:val="005D4A97"/>
    <w:rsid w:val="00602C36"/>
    <w:rsid w:val="006150E5"/>
    <w:rsid w:val="00616B19"/>
    <w:rsid w:val="00624B6C"/>
    <w:rsid w:val="00676553"/>
    <w:rsid w:val="00694D1A"/>
    <w:rsid w:val="006A29C8"/>
    <w:rsid w:val="006A2DA4"/>
    <w:rsid w:val="006B0C01"/>
    <w:rsid w:val="006B1B93"/>
    <w:rsid w:val="006C120D"/>
    <w:rsid w:val="006D7762"/>
    <w:rsid w:val="006F62DD"/>
    <w:rsid w:val="0071208A"/>
    <w:rsid w:val="0071419A"/>
    <w:rsid w:val="00727FEF"/>
    <w:rsid w:val="00733A78"/>
    <w:rsid w:val="00744B82"/>
    <w:rsid w:val="00750A33"/>
    <w:rsid w:val="00764DAE"/>
    <w:rsid w:val="00783176"/>
    <w:rsid w:val="00795239"/>
    <w:rsid w:val="007A5DC4"/>
    <w:rsid w:val="007B2BAB"/>
    <w:rsid w:val="007D2E70"/>
    <w:rsid w:val="007D60F4"/>
    <w:rsid w:val="007E0960"/>
    <w:rsid w:val="00802C22"/>
    <w:rsid w:val="008121F6"/>
    <w:rsid w:val="00820A58"/>
    <w:rsid w:val="008265A0"/>
    <w:rsid w:val="0082798A"/>
    <w:rsid w:val="00836FDF"/>
    <w:rsid w:val="00852423"/>
    <w:rsid w:val="008556C5"/>
    <w:rsid w:val="00857E72"/>
    <w:rsid w:val="00867FF3"/>
    <w:rsid w:val="008804E2"/>
    <w:rsid w:val="008E29B4"/>
    <w:rsid w:val="008E5B7F"/>
    <w:rsid w:val="008E5CDA"/>
    <w:rsid w:val="008F2F6D"/>
    <w:rsid w:val="008F3084"/>
    <w:rsid w:val="008F5964"/>
    <w:rsid w:val="0091097A"/>
    <w:rsid w:val="00911B44"/>
    <w:rsid w:val="00924C24"/>
    <w:rsid w:val="00927583"/>
    <w:rsid w:val="009452B3"/>
    <w:rsid w:val="009512A6"/>
    <w:rsid w:val="00955B5A"/>
    <w:rsid w:val="00963E26"/>
    <w:rsid w:val="00987C03"/>
    <w:rsid w:val="0099679B"/>
    <w:rsid w:val="009A1109"/>
    <w:rsid w:val="009A14C1"/>
    <w:rsid w:val="009C4F52"/>
    <w:rsid w:val="009D344D"/>
    <w:rsid w:val="009D4D51"/>
    <w:rsid w:val="009E5DD3"/>
    <w:rsid w:val="00A12299"/>
    <w:rsid w:val="00A754D3"/>
    <w:rsid w:val="00A76C50"/>
    <w:rsid w:val="00A95B83"/>
    <w:rsid w:val="00AA17AF"/>
    <w:rsid w:val="00AA357C"/>
    <w:rsid w:val="00AA5769"/>
    <w:rsid w:val="00AA6428"/>
    <w:rsid w:val="00AB238A"/>
    <w:rsid w:val="00AC12CA"/>
    <w:rsid w:val="00AC4865"/>
    <w:rsid w:val="00AD4490"/>
    <w:rsid w:val="00AE2E2A"/>
    <w:rsid w:val="00AE69D8"/>
    <w:rsid w:val="00AE7C1D"/>
    <w:rsid w:val="00AF3957"/>
    <w:rsid w:val="00AF3EA0"/>
    <w:rsid w:val="00AF619E"/>
    <w:rsid w:val="00B03A89"/>
    <w:rsid w:val="00B17014"/>
    <w:rsid w:val="00B21D5D"/>
    <w:rsid w:val="00B22A8E"/>
    <w:rsid w:val="00B54757"/>
    <w:rsid w:val="00B57074"/>
    <w:rsid w:val="00B65481"/>
    <w:rsid w:val="00B714D7"/>
    <w:rsid w:val="00B77DA7"/>
    <w:rsid w:val="00B83ACB"/>
    <w:rsid w:val="00B9751F"/>
    <w:rsid w:val="00BA5336"/>
    <w:rsid w:val="00BB6394"/>
    <w:rsid w:val="00BD6B7A"/>
    <w:rsid w:val="00BF4707"/>
    <w:rsid w:val="00C0101B"/>
    <w:rsid w:val="00C15200"/>
    <w:rsid w:val="00C33D78"/>
    <w:rsid w:val="00C57722"/>
    <w:rsid w:val="00C60EFC"/>
    <w:rsid w:val="00C66B52"/>
    <w:rsid w:val="00C73D83"/>
    <w:rsid w:val="00CB1958"/>
    <w:rsid w:val="00CE4A69"/>
    <w:rsid w:val="00CF471C"/>
    <w:rsid w:val="00CF6242"/>
    <w:rsid w:val="00D30CEE"/>
    <w:rsid w:val="00D446C3"/>
    <w:rsid w:val="00D47431"/>
    <w:rsid w:val="00D51AD5"/>
    <w:rsid w:val="00D5202A"/>
    <w:rsid w:val="00D80B54"/>
    <w:rsid w:val="00D943D6"/>
    <w:rsid w:val="00D97A29"/>
    <w:rsid w:val="00DA28B2"/>
    <w:rsid w:val="00DA2D29"/>
    <w:rsid w:val="00DA379E"/>
    <w:rsid w:val="00DC1E99"/>
    <w:rsid w:val="00DC5256"/>
    <w:rsid w:val="00DF3425"/>
    <w:rsid w:val="00E309E9"/>
    <w:rsid w:val="00E52832"/>
    <w:rsid w:val="00E645A0"/>
    <w:rsid w:val="00E75016"/>
    <w:rsid w:val="00E94842"/>
    <w:rsid w:val="00E9522A"/>
    <w:rsid w:val="00E95CC0"/>
    <w:rsid w:val="00E96CB4"/>
    <w:rsid w:val="00EA14D1"/>
    <w:rsid w:val="00EA639B"/>
    <w:rsid w:val="00EB03AA"/>
    <w:rsid w:val="00EB4B40"/>
    <w:rsid w:val="00EB5684"/>
    <w:rsid w:val="00EB7F7E"/>
    <w:rsid w:val="00EC1558"/>
    <w:rsid w:val="00ED4881"/>
    <w:rsid w:val="00EE427A"/>
    <w:rsid w:val="00EF1AC4"/>
    <w:rsid w:val="00F15B22"/>
    <w:rsid w:val="00F33EFF"/>
    <w:rsid w:val="00F426A5"/>
    <w:rsid w:val="00F565D7"/>
    <w:rsid w:val="00F6786D"/>
    <w:rsid w:val="00F70F1A"/>
    <w:rsid w:val="00F7195A"/>
    <w:rsid w:val="00F84C5B"/>
    <w:rsid w:val="00F85BB0"/>
    <w:rsid w:val="00F92565"/>
    <w:rsid w:val="00FB417F"/>
    <w:rsid w:val="00FB511F"/>
    <w:rsid w:val="00FD4597"/>
    <w:rsid w:val="00FE16D0"/>
    <w:rsid w:val="00FE3E11"/>
    <w:rsid w:val="00FE4E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2B3B29"/>
  <w15:chartTrackingRefBased/>
  <w15:docId w15:val="{F9C1FE32-DC4B-4FFA-ABDB-D56526EAA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0B54"/>
  </w:style>
  <w:style w:type="paragraph" w:styleId="Heading1">
    <w:name w:val="heading 1"/>
    <w:basedOn w:val="Normal"/>
    <w:next w:val="Normal"/>
    <w:link w:val="Heading1Char"/>
    <w:uiPriority w:val="9"/>
    <w:qFormat/>
    <w:rsid w:val="00D80B5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D80B5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D80B54"/>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D80B54"/>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D80B54"/>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D80B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0B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0B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0B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0B54"/>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D80B54"/>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D80B54"/>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D80B54"/>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D80B54"/>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D80B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0B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0B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0B54"/>
    <w:rPr>
      <w:rFonts w:eastAsiaTheme="majorEastAsia" w:cstheme="majorBidi"/>
      <w:color w:val="272727" w:themeColor="text1" w:themeTint="D8"/>
    </w:rPr>
  </w:style>
  <w:style w:type="paragraph" w:styleId="Title">
    <w:name w:val="Title"/>
    <w:basedOn w:val="Normal"/>
    <w:next w:val="Normal"/>
    <w:link w:val="TitleChar"/>
    <w:uiPriority w:val="10"/>
    <w:qFormat/>
    <w:rsid w:val="00D80B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0B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0B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0B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0B54"/>
    <w:pPr>
      <w:spacing w:before="160"/>
      <w:jc w:val="center"/>
    </w:pPr>
    <w:rPr>
      <w:i/>
      <w:iCs/>
      <w:color w:val="404040" w:themeColor="text1" w:themeTint="BF"/>
    </w:rPr>
  </w:style>
  <w:style w:type="character" w:customStyle="1" w:styleId="QuoteChar">
    <w:name w:val="Quote Char"/>
    <w:basedOn w:val="DefaultParagraphFont"/>
    <w:link w:val="Quote"/>
    <w:uiPriority w:val="29"/>
    <w:rsid w:val="00D80B54"/>
    <w:rPr>
      <w:i/>
      <w:iCs/>
      <w:color w:val="404040" w:themeColor="text1" w:themeTint="BF"/>
    </w:rPr>
  </w:style>
  <w:style w:type="paragraph" w:styleId="ListParagraph">
    <w:name w:val="List Paragraph"/>
    <w:basedOn w:val="Normal"/>
    <w:uiPriority w:val="34"/>
    <w:qFormat/>
    <w:rsid w:val="00D80B54"/>
    <w:pPr>
      <w:ind w:left="720"/>
      <w:contextualSpacing/>
    </w:pPr>
  </w:style>
  <w:style w:type="character" w:styleId="IntenseEmphasis">
    <w:name w:val="Intense Emphasis"/>
    <w:basedOn w:val="DefaultParagraphFont"/>
    <w:uiPriority w:val="21"/>
    <w:qFormat/>
    <w:rsid w:val="00D80B54"/>
    <w:rPr>
      <w:i/>
      <w:iCs/>
      <w:color w:val="2E74B5" w:themeColor="accent1" w:themeShade="BF"/>
    </w:rPr>
  </w:style>
  <w:style w:type="paragraph" w:styleId="IntenseQuote">
    <w:name w:val="Intense Quote"/>
    <w:basedOn w:val="Normal"/>
    <w:next w:val="Normal"/>
    <w:link w:val="IntenseQuoteChar"/>
    <w:uiPriority w:val="30"/>
    <w:qFormat/>
    <w:rsid w:val="00D80B5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D80B54"/>
    <w:rPr>
      <w:i/>
      <w:iCs/>
      <w:color w:val="2E74B5" w:themeColor="accent1" w:themeShade="BF"/>
    </w:rPr>
  </w:style>
  <w:style w:type="character" w:styleId="IntenseReference">
    <w:name w:val="Intense Reference"/>
    <w:basedOn w:val="DefaultParagraphFont"/>
    <w:uiPriority w:val="32"/>
    <w:qFormat/>
    <w:rsid w:val="00D80B54"/>
    <w:rPr>
      <w:b/>
      <w:bCs/>
      <w:smallCaps/>
      <w:color w:val="2E74B5" w:themeColor="accent1" w:themeShade="BF"/>
      <w:spacing w:val="5"/>
    </w:rPr>
  </w:style>
  <w:style w:type="table" w:styleId="TableGrid">
    <w:name w:val="Table Grid"/>
    <w:basedOn w:val="TableNormal"/>
    <w:uiPriority w:val="39"/>
    <w:rsid w:val="00D80B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80B54"/>
    <w:rPr>
      <w:rFonts w:ascii="Times New Roman" w:hAnsi="Times New Roman" w:cs="Times New Roman"/>
    </w:rPr>
  </w:style>
  <w:style w:type="character" w:styleId="Hyperlink">
    <w:name w:val="Hyperlink"/>
    <w:basedOn w:val="DefaultParagraphFont"/>
    <w:uiPriority w:val="99"/>
    <w:unhideWhenUsed/>
    <w:rsid w:val="00D80B54"/>
    <w:rPr>
      <w:color w:val="0563C1" w:themeColor="hyperlink"/>
      <w:u w:val="single"/>
    </w:rPr>
  </w:style>
  <w:style w:type="character" w:styleId="Strong">
    <w:name w:val="Strong"/>
    <w:basedOn w:val="DefaultParagraphFont"/>
    <w:uiPriority w:val="22"/>
    <w:qFormat/>
    <w:rsid w:val="00D80B54"/>
    <w:rPr>
      <w:b/>
      <w:bCs/>
    </w:rPr>
  </w:style>
  <w:style w:type="paragraph" w:styleId="z-BottomofForm">
    <w:name w:val="HTML Bottom of Form"/>
    <w:basedOn w:val="Normal"/>
    <w:next w:val="Normal"/>
    <w:link w:val="z-BottomofFormChar"/>
    <w:hidden/>
    <w:uiPriority w:val="99"/>
    <w:semiHidden/>
    <w:unhideWhenUsed/>
    <w:rsid w:val="00D80B54"/>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D80B54"/>
    <w:rPr>
      <w:rFonts w:ascii="Arial" w:eastAsia="Times New Roman" w:hAnsi="Arial" w:cs="Arial"/>
      <w:vanish/>
      <w:kern w:val="0"/>
      <w:sz w:val="16"/>
      <w:szCs w:val="16"/>
      <w14:ligatures w14:val="none"/>
    </w:rPr>
  </w:style>
  <w:style w:type="paragraph" w:styleId="Header">
    <w:name w:val="header"/>
    <w:basedOn w:val="Normal"/>
    <w:link w:val="HeaderChar"/>
    <w:uiPriority w:val="99"/>
    <w:unhideWhenUsed/>
    <w:rsid w:val="002904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04ED"/>
  </w:style>
  <w:style w:type="paragraph" w:styleId="Footer">
    <w:name w:val="footer"/>
    <w:basedOn w:val="Normal"/>
    <w:link w:val="FooterChar"/>
    <w:uiPriority w:val="99"/>
    <w:unhideWhenUsed/>
    <w:rsid w:val="002904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04ED"/>
  </w:style>
  <w:style w:type="character" w:styleId="UnresolvedMention">
    <w:name w:val="Unresolved Mention"/>
    <w:basedOn w:val="DefaultParagraphFont"/>
    <w:uiPriority w:val="99"/>
    <w:semiHidden/>
    <w:unhideWhenUsed/>
    <w:rsid w:val="004B78E0"/>
    <w:rPr>
      <w:color w:val="605E5C"/>
      <w:shd w:val="clear" w:color="auto" w:fill="E1DFDD"/>
    </w:rPr>
  </w:style>
  <w:style w:type="paragraph" w:customStyle="1" w:styleId="pdq2pgselectionanchorcontainer">
    <w:name w:val="pdq2pg_selectionanchorcontainer"/>
    <w:basedOn w:val="Normal"/>
    <w:rsid w:val="00911B44"/>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911B4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18" Type="http://schemas.openxmlformats.org/officeDocument/2006/relationships/hyperlink" Target="https://doi.org/10.1186/1477-7827-10-49"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s://doi.org/10.3389/fendo.2023.1070692" TargetMode="External"/><Relationship Id="rId7" Type="http://schemas.openxmlformats.org/officeDocument/2006/relationships/chart" Target="charts/chart1.xml"/><Relationship Id="rId12" Type="http://schemas.openxmlformats.org/officeDocument/2006/relationships/image" Target="media/image5.jpg"/><Relationship Id="rId17" Type="http://schemas.openxmlformats.org/officeDocument/2006/relationships/image" Target="media/image10.pn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hyperlink" Target="https://doi.org/10.1002/j.1939-"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g"/><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image" Target="media/image3.jpg"/><Relationship Id="rId19" Type="http://schemas.openxmlformats.org/officeDocument/2006/relationships/hyperlink" Target="https://doi.org/10.5534/wjmh.2014.32.1.1"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hyperlink" Target="https://doi.org/10.4314/njps.v21i1-" TargetMode="External"/><Relationship Id="rId27" Type="http://schemas.openxmlformats.org/officeDocument/2006/relationships/header" Target="header3.xm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Desktop\data%20final%20histo.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023798736895518"/>
          <c:y val="6.2852125073003431E-2"/>
          <c:w val="0.78434211092465911"/>
          <c:h val="0.78438059116955927"/>
        </c:manualLayout>
      </c:layout>
      <c:barChart>
        <c:barDir val="col"/>
        <c:grouping val="clustered"/>
        <c:varyColors val="0"/>
        <c:ser>
          <c:idx val="0"/>
          <c:order val="0"/>
          <c:tx>
            <c:strRef>
              <c:f>Sheet1!$R$4</c:f>
              <c:strCache>
                <c:ptCount val="1"/>
                <c:pt idx="0">
                  <c:v>pc</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Sheet1!$Q$5:$Q$8</c:f>
              <c:strCache>
                <c:ptCount val="4"/>
                <c:pt idx="0">
                  <c:v>BW</c:v>
                </c:pt>
                <c:pt idx="1">
                  <c:v>TW</c:v>
                </c:pt>
                <c:pt idx="2">
                  <c:v>SC</c:v>
                </c:pt>
                <c:pt idx="3">
                  <c:v>TSI</c:v>
                </c:pt>
              </c:strCache>
            </c:strRef>
          </c:cat>
          <c:val>
            <c:numRef>
              <c:f>Sheet1!$R$5:$R$8</c:f>
              <c:numCache>
                <c:formatCode>General</c:formatCode>
                <c:ptCount val="4"/>
                <c:pt idx="0">
                  <c:v>9.8000000000000007</c:v>
                </c:pt>
                <c:pt idx="1">
                  <c:v>3.8</c:v>
                </c:pt>
                <c:pt idx="2">
                  <c:v>29.7</c:v>
                </c:pt>
                <c:pt idx="3">
                  <c:v>9.58</c:v>
                </c:pt>
              </c:numCache>
            </c:numRef>
          </c:val>
          <c:extLst>
            <c:ext xmlns:c16="http://schemas.microsoft.com/office/drawing/2014/chart" uri="{C3380CC4-5D6E-409C-BE32-E72D297353CC}">
              <c16:uniqueId val="{00000000-2442-4949-A9DB-4D0DB3542DF9}"/>
            </c:ext>
          </c:extLst>
        </c:ser>
        <c:ser>
          <c:idx val="1"/>
          <c:order val="1"/>
          <c:tx>
            <c:strRef>
              <c:f>Sheet1!$S$4</c:f>
              <c:strCache>
                <c:ptCount val="1"/>
                <c:pt idx="0">
                  <c:v>pc+Fenu</c:v>
                </c:pt>
              </c:strCache>
            </c:strRef>
          </c:tx>
          <c:spPr>
            <a:solidFill>
              <a:schemeClr val="accent2">
                <a:lumMod val="75000"/>
              </a:schemeClr>
            </a:solidFill>
            <a:ln>
              <a:noFill/>
            </a:ln>
            <a:effectLst>
              <a:innerShdw blurRad="114300">
                <a:schemeClr val="accent2"/>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Sheet1!$Q$5:$Q$8</c:f>
              <c:strCache>
                <c:ptCount val="4"/>
                <c:pt idx="0">
                  <c:v>BW</c:v>
                </c:pt>
                <c:pt idx="1">
                  <c:v>TW</c:v>
                </c:pt>
                <c:pt idx="2">
                  <c:v>SC</c:v>
                </c:pt>
                <c:pt idx="3">
                  <c:v>TSI</c:v>
                </c:pt>
              </c:strCache>
            </c:strRef>
          </c:cat>
          <c:val>
            <c:numRef>
              <c:f>Sheet1!$S$5:$S$8</c:f>
              <c:numCache>
                <c:formatCode>General</c:formatCode>
                <c:ptCount val="4"/>
                <c:pt idx="0">
                  <c:v>6.67</c:v>
                </c:pt>
                <c:pt idx="1">
                  <c:v>0.94</c:v>
                </c:pt>
                <c:pt idx="2">
                  <c:v>11</c:v>
                </c:pt>
                <c:pt idx="3">
                  <c:v>10.78</c:v>
                </c:pt>
              </c:numCache>
            </c:numRef>
          </c:val>
          <c:extLst>
            <c:ext xmlns:c16="http://schemas.microsoft.com/office/drawing/2014/chart" uri="{C3380CC4-5D6E-409C-BE32-E72D297353CC}">
              <c16:uniqueId val="{00000001-2442-4949-A9DB-4D0DB3542DF9}"/>
            </c:ext>
          </c:extLst>
        </c:ser>
        <c:dLbls>
          <c:dLblPos val="outEnd"/>
          <c:showLegendKey val="0"/>
          <c:showVal val="1"/>
          <c:showCatName val="0"/>
          <c:showSerName val="0"/>
          <c:showPercent val="0"/>
          <c:showBubbleSize val="0"/>
        </c:dLbls>
        <c:gapWidth val="164"/>
        <c:axId val="450179536"/>
        <c:axId val="450175576"/>
      </c:barChart>
      <c:dateAx>
        <c:axId val="450179536"/>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sz="1000" b="1">
                    <a:solidFill>
                      <a:schemeClr val="tx1"/>
                    </a:solidFill>
                    <a:latin typeface="Arial" panose="020B0604020202020204" pitchFamily="34" charset="0"/>
                    <a:cs typeface="Arial" panose="020B0604020202020204" pitchFamily="34" charset="0"/>
                  </a:rPr>
                  <a:t>Reproductive</a:t>
                </a:r>
                <a:r>
                  <a:rPr lang="en-US" sz="1000" b="1" baseline="0">
                    <a:solidFill>
                      <a:schemeClr val="tx1"/>
                    </a:solidFill>
                    <a:latin typeface="Arial" panose="020B0604020202020204" pitchFamily="34" charset="0"/>
                    <a:cs typeface="Arial" panose="020B0604020202020204" pitchFamily="34" charset="0"/>
                  </a:rPr>
                  <a:t> parameters </a:t>
                </a:r>
                <a:endParaRPr lang="en-US" sz="1000" b="1">
                  <a:solidFill>
                    <a:schemeClr val="tx1"/>
                  </a:solidFill>
                  <a:latin typeface="Arial" panose="020B0604020202020204" pitchFamily="34" charset="0"/>
                  <a:cs typeface="Arial" panose="020B0604020202020204" pitchFamily="34" charset="0"/>
                </a:endParaRPr>
              </a:p>
            </c:rich>
          </c:tx>
          <c:layout>
            <c:manualLayout>
              <c:xMode val="edge"/>
              <c:yMode val="edge"/>
              <c:x val="0.28022756442783547"/>
              <c:y val="0.9223976451699224"/>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title>
        <c:numFmt formatCode="General" sourceLinked="0"/>
        <c:majorTickMark val="out"/>
        <c:minorTickMark val="none"/>
        <c:tickLblPos val="nextTo"/>
        <c:spPr>
          <a:pattFill prst="pct5">
            <a:fgClr>
              <a:schemeClr val="bg1"/>
            </a:fgClr>
            <a:bgClr>
              <a:schemeClr val="bg1"/>
            </a:bgClr>
          </a:pattFill>
          <a:ln w="19050"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alpha val="84000"/>
                  </a:schemeClr>
                </a:solidFill>
                <a:latin typeface="+mn-lt"/>
                <a:ea typeface="+mn-ea"/>
                <a:cs typeface="+mn-cs"/>
              </a:defRPr>
            </a:pPr>
            <a:endParaRPr lang="en-US"/>
          </a:p>
        </c:txPr>
        <c:crossAx val="450175576"/>
        <c:crosses val="autoZero"/>
        <c:auto val="0"/>
        <c:lblOffset val="100"/>
        <c:baseTimeUnit val="days"/>
      </c:dateAx>
      <c:valAx>
        <c:axId val="450175576"/>
        <c:scaling>
          <c:orientation val="minMax"/>
        </c:scaling>
        <c:delete val="0"/>
        <c:axPos val="l"/>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sz="1000">
                    <a:solidFill>
                      <a:schemeClr val="tx1"/>
                    </a:solidFill>
                    <a:latin typeface="Arial" panose="020B0604020202020204" pitchFamily="34" charset="0"/>
                    <a:cs typeface="Arial" panose="020B0604020202020204" pitchFamily="34" charset="0"/>
                  </a:rPr>
                  <a:t>Percentage %</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0179536"/>
        <c:crosses val="autoZero"/>
        <c:crossBetween val="between"/>
      </c:valAx>
      <c:spPr>
        <a:noFill/>
        <a:ln w="15875">
          <a:solidFill>
            <a:schemeClr val="tx1"/>
          </a:solidFill>
        </a:ln>
        <a:effectLst/>
      </c:spPr>
    </c:plotArea>
    <c:legend>
      <c:legendPos val="r"/>
      <c:layout>
        <c:manualLayout>
          <c:xMode val="edge"/>
          <c:yMode val="edge"/>
          <c:x val="0.15580160061959469"/>
          <c:y val="9.2276868532794667E-2"/>
          <c:w val="0.18846069446237254"/>
          <c:h val="0.1609960011543059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round/>
    </a:ln>
    <a:effectLst>
      <a:softEdge rad="12700"/>
    </a:effectLst>
  </c:spPr>
  <c:txPr>
    <a:bodyPr rot="0"/>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3709</TotalTime>
  <Pages>11</Pages>
  <Words>4556</Words>
  <Characters>25972</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SDI 1084</cp:lastModifiedBy>
  <cp:revision>185</cp:revision>
  <cp:lastPrinted>2026-09-03T07:27:00Z</cp:lastPrinted>
  <dcterms:created xsi:type="dcterms:W3CDTF">2026-08-26T13:37:00Z</dcterms:created>
  <dcterms:modified xsi:type="dcterms:W3CDTF">2026-09-03T12:50:00Z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23cac2ef-546a-4413-948e-ca291f499bde</vt:lpwstr>
  </property>
</Properties>
</file>