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A8FA86" w14:textId="07ABB049" w:rsidR="00F33FF6" w:rsidRPr="00E01C55" w:rsidRDefault="00283EA2" w:rsidP="00A5092D">
      <w:pPr>
        <w:spacing w:after="0" w:line="240" w:lineRule="auto"/>
        <w:outlineLvl w:val="2"/>
        <w:rPr>
          <w:rFonts w:ascii="Times New Roman" w:eastAsia="Times New Roman" w:hAnsi="Times New Roman" w:cs="Times New Roman"/>
          <w:b/>
          <w:bCs/>
          <w:szCs w:val="28"/>
          <w:lang w:eastAsia="en-IN"/>
        </w:rPr>
      </w:pPr>
      <w:r w:rsidRPr="00283EA2">
        <w:rPr>
          <w:rFonts w:ascii="Times New Roman" w:eastAsia="Times New Roman" w:hAnsi="Times New Roman" w:cs="Times New Roman"/>
          <w:b/>
          <w:bCs/>
          <w:sz w:val="28"/>
          <w:szCs w:val="28"/>
          <w:lang w:eastAsia="en-IN"/>
        </w:rPr>
        <w:t xml:space="preserve">Influence of Hydrographic Conditions on Ichthyofaunal Diversity and Fishery Dynamics in the </w:t>
      </w:r>
      <w:proofErr w:type="spellStart"/>
      <w:r w:rsidRPr="00283EA2">
        <w:rPr>
          <w:rFonts w:ascii="Times New Roman" w:eastAsia="Times New Roman" w:hAnsi="Times New Roman" w:cs="Times New Roman"/>
          <w:b/>
          <w:bCs/>
          <w:sz w:val="28"/>
          <w:szCs w:val="28"/>
          <w:lang w:eastAsia="en-IN"/>
        </w:rPr>
        <w:t>Vamsadhara</w:t>
      </w:r>
      <w:proofErr w:type="spellEnd"/>
      <w:r w:rsidRPr="00283EA2">
        <w:rPr>
          <w:rFonts w:ascii="Times New Roman" w:eastAsia="Times New Roman" w:hAnsi="Times New Roman" w:cs="Times New Roman"/>
          <w:b/>
          <w:bCs/>
          <w:sz w:val="28"/>
          <w:szCs w:val="28"/>
          <w:lang w:eastAsia="en-IN"/>
        </w:rPr>
        <w:t xml:space="preserve"> Estuary, Andhra Pradesh</w:t>
      </w:r>
      <w:r w:rsidR="006270B5">
        <w:rPr>
          <w:rFonts w:ascii="Times New Roman" w:eastAsia="Times New Roman" w:hAnsi="Times New Roman" w:cs="Times New Roman"/>
          <w:b/>
          <w:bCs/>
          <w:sz w:val="28"/>
          <w:szCs w:val="28"/>
          <w:lang w:eastAsia="en-IN"/>
        </w:rPr>
        <w:t>, India</w:t>
      </w:r>
      <w:r w:rsidR="00E01C55">
        <w:rPr>
          <w:rFonts w:ascii="Times New Roman" w:eastAsia="Times New Roman" w:hAnsi="Times New Roman" w:cs="Times New Roman"/>
          <w:b/>
          <w:bCs/>
          <w:sz w:val="28"/>
          <w:szCs w:val="28"/>
          <w:lang w:eastAsia="en-IN"/>
        </w:rPr>
        <w:br/>
      </w:r>
    </w:p>
    <w:p w14:paraId="44635616" w14:textId="77777777" w:rsidR="00E01C55" w:rsidRDefault="00E01C55" w:rsidP="00E01C55">
      <w:pPr>
        <w:spacing w:after="0" w:line="240" w:lineRule="auto"/>
        <w:jc w:val="center"/>
        <w:rPr>
          <w:rFonts w:ascii="Arial" w:eastAsia="Times New Roman" w:hAnsi="Arial" w:cs="Arial"/>
          <w:color w:val="222222"/>
          <w:sz w:val="24"/>
          <w:szCs w:val="24"/>
          <w:lang w:eastAsia="en-IN"/>
        </w:rPr>
      </w:pPr>
    </w:p>
    <w:p w14:paraId="527CE80F" w14:textId="77777777" w:rsidR="0032120D" w:rsidRPr="006F75D8" w:rsidRDefault="0032120D" w:rsidP="00E01C55">
      <w:pPr>
        <w:spacing w:after="0" w:line="240" w:lineRule="auto"/>
        <w:jc w:val="center"/>
        <w:rPr>
          <w:rFonts w:ascii="Arial" w:eastAsia="Times New Roman" w:hAnsi="Arial" w:cs="Arial"/>
          <w:color w:val="222222"/>
          <w:sz w:val="24"/>
          <w:szCs w:val="24"/>
          <w:lang w:eastAsia="en-IN"/>
        </w:rPr>
      </w:pPr>
    </w:p>
    <w:p w14:paraId="31EA7285" w14:textId="77777777" w:rsidR="00E77220" w:rsidRPr="00E77220" w:rsidRDefault="00E77220" w:rsidP="00E77220">
      <w:pPr>
        <w:pStyle w:val="NormalWeb"/>
        <w:spacing w:before="0" w:beforeAutospacing="0" w:after="0" w:afterAutospacing="0" w:line="360" w:lineRule="auto"/>
        <w:jc w:val="center"/>
        <w:rPr>
          <w:b/>
          <w:bCs/>
          <w:u w:val="single"/>
        </w:rPr>
      </w:pPr>
      <w:r w:rsidRPr="00E77220">
        <w:rPr>
          <w:b/>
          <w:bCs/>
          <w:u w:val="single"/>
        </w:rPr>
        <w:t>ABSTRACT</w:t>
      </w:r>
    </w:p>
    <w:p w14:paraId="0A381AB5" w14:textId="77777777" w:rsidR="0067659A" w:rsidRDefault="00A20833" w:rsidP="000347A5">
      <w:pPr>
        <w:pStyle w:val="NormalWeb"/>
        <w:spacing w:before="0" w:beforeAutospacing="0" w:after="0" w:afterAutospacing="0" w:line="360" w:lineRule="auto"/>
        <w:jc w:val="both"/>
      </w:pPr>
      <w:r>
        <w:rPr>
          <w:b/>
          <w:bCs/>
        </w:rPr>
        <w:t xml:space="preserve"> </w:t>
      </w:r>
      <w:r w:rsidR="00EB15E8">
        <w:t xml:space="preserve">The </w:t>
      </w:r>
      <w:proofErr w:type="spellStart"/>
      <w:r w:rsidR="00EB15E8">
        <w:t>Vamsadhara</w:t>
      </w:r>
      <w:proofErr w:type="spellEnd"/>
      <w:r w:rsidR="00EB15E8">
        <w:t xml:space="preserve"> estuary (</w:t>
      </w:r>
      <w:proofErr w:type="spellStart"/>
      <w:r w:rsidR="00EB15E8">
        <w:t>Kalingapatnam</w:t>
      </w:r>
      <w:proofErr w:type="spellEnd"/>
      <w:r w:rsidR="00EB15E8">
        <w:t xml:space="preserve"> coast, Srikakulam district, Andhra Pradesh) is a biologically productive estuarine system supporting diverse ichthyofauna and important artisanal fisheries. This study synthesizes hydrographic conditions (salinity gradients, temperature regimes, dissolved oxygen, turbidity, and freshwater discharge) and their influence on fish community composition, seasonal recruitment patterns, and fishery yields. We compiled field surveys, recent species checklists, fisheries landing data, and hydrological records up to January 2026 and combined them with satellite-based observations and local socio-economic assessments. Our synthesis shows that estuarine hydrography — driven by seasonal monsoon river discharge (</w:t>
      </w:r>
      <w:proofErr w:type="spellStart"/>
      <w:r w:rsidR="00EB15E8">
        <w:t>Vamsadhara</w:t>
      </w:r>
      <w:proofErr w:type="spellEnd"/>
      <w:r w:rsidR="00EB15E8">
        <w:t xml:space="preserve"> and upstream catchment dynamics), tidal mixing, and episodic weather extremes — structures ichthyofaunal zonation, nursery use by marine migrants, and seasonal shifts in species assemblages. A total of &gt;90 taxa are recorded from the </w:t>
      </w:r>
      <w:proofErr w:type="spellStart"/>
      <w:r w:rsidR="00EB15E8">
        <w:t>Kalingapatnam</w:t>
      </w:r>
      <w:proofErr w:type="spellEnd"/>
      <w:r w:rsidR="00EB15E8">
        <w:t xml:space="preserve"> freshwater–tidal stretch, with Perciformes, </w:t>
      </w:r>
      <w:proofErr w:type="spellStart"/>
      <w:r w:rsidR="00EB15E8">
        <w:t>Siluriformes</w:t>
      </w:r>
      <w:proofErr w:type="spellEnd"/>
      <w:r w:rsidR="00EB15E8">
        <w:t xml:space="preserve"> and </w:t>
      </w:r>
      <w:proofErr w:type="spellStart"/>
      <w:r w:rsidR="00EB15E8">
        <w:t>Clupeiformes</w:t>
      </w:r>
      <w:proofErr w:type="spellEnd"/>
      <w:r w:rsidR="00EB15E8">
        <w:t xml:space="preserve"> prominent in catches and estuarine samples. Salinity stratification and turbidity peaks during monsoon months correspond to higher juvenile abundance of estuarine-dependent species and shrimp/post-larvae influxes, while low-flow dry months </w:t>
      </w:r>
      <w:proofErr w:type="spellStart"/>
      <w:r w:rsidR="00EB15E8">
        <w:t>favor</w:t>
      </w:r>
      <w:proofErr w:type="spellEnd"/>
      <w:r w:rsidR="00EB15E8">
        <w:t xml:space="preserve"> marine migrant exit and adult feeding aggregations. Fisheries landings and socio-economic records reveal that artisanal gears (gillnets, stake nets, ring seines) are tailored to these seasonal dynamics; however, shifts in seasonal hydrography (e.g., altered monsoon timing and river discharge variability) have produced interannual variability in landings and livelihood risk. We conclude that maintaining estuarine connectivity, managing upstream flow regimes, and integrating hydrographic monitoring into fishery management are essential to sustain biodiversity and local fisheries. Key research priorities include long-term hydrographic time-series, fine-scale nursery habitat mapping, and adaptive fisheries governance that accounts for hydrological variability.</w:t>
      </w:r>
    </w:p>
    <w:p w14:paraId="256542AF" w14:textId="77777777" w:rsidR="001B7F13" w:rsidRDefault="001B7F13" w:rsidP="007A52BD">
      <w:pPr>
        <w:pStyle w:val="NormalWeb"/>
        <w:spacing w:before="0" w:beforeAutospacing="0" w:after="0" w:afterAutospacing="0"/>
        <w:jc w:val="both"/>
      </w:pPr>
    </w:p>
    <w:p w14:paraId="38BBFE81" w14:textId="6E14D8B1" w:rsidR="00991110" w:rsidRDefault="00F33FF6" w:rsidP="004F045D">
      <w:pPr>
        <w:pStyle w:val="NormalWeb"/>
        <w:spacing w:before="0" w:beforeAutospacing="0" w:after="0" w:afterAutospacing="0" w:line="360" w:lineRule="auto"/>
        <w:jc w:val="both"/>
      </w:pPr>
      <w:r w:rsidRPr="002B0888">
        <w:rPr>
          <w:b/>
          <w:bCs/>
        </w:rPr>
        <w:t>KEYWORDS</w:t>
      </w:r>
      <w:r w:rsidR="000347A5">
        <w:rPr>
          <w:b/>
          <w:bCs/>
        </w:rPr>
        <w:t xml:space="preserve">: </w:t>
      </w:r>
      <w:proofErr w:type="spellStart"/>
      <w:r w:rsidR="00EB15E8">
        <w:t>Vamsadhara</w:t>
      </w:r>
      <w:proofErr w:type="spellEnd"/>
      <w:r w:rsidR="00EB15E8">
        <w:t xml:space="preserve"> estuary; ichthyofauna; hydrographic gradients; salinity; estuarine fisheries; Srikakulam; nursery habitat</w:t>
      </w:r>
      <w:r w:rsidR="00A5092D">
        <w:t>.</w:t>
      </w:r>
    </w:p>
    <w:p w14:paraId="401FEB81" w14:textId="77777777" w:rsidR="0032120D" w:rsidRDefault="0032120D" w:rsidP="004F045D">
      <w:pPr>
        <w:pStyle w:val="NormalWeb"/>
        <w:spacing w:before="0" w:beforeAutospacing="0" w:after="0" w:afterAutospacing="0" w:line="360" w:lineRule="auto"/>
        <w:jc w:val="both"/>
      </w:pPr>
    </w:p>
    <w:p w14:paraId="7AD388B7" w14:textId="77777777" w:rsidR="0032120D" w:rsidRDefault="0032120D" w:rsidP="004F045D">
      <w:pPr>
        <w:pStyle w:val="NormalWeb"/>
        <w:spacing w:before="0" w:beforeAutospacing="0" w:after="0" w:afterAutospacing="0" w:line="360" w:lineRule="auto"/>
        <w:jc w:val="both"/>
      </w:pPr>
    </w:p>
    <w:p w14:paraId="6716BB1B" w14:textId="77777777" w:rsidR="00A5092D" w:rsidRDefault="00A5092D" w:rsidP="004F045D">
      <w:pPr>
        <w:pStyle w:val="NormalWeb"/>
        <w:spacing w:before="0" w:beforeAutospacing="0" w:after="0" w:afterAutospacing="0" w:line="360" w:lineRule="auto"/>
        <w:jc w:val="both"/>
      </w:pPr>
    </w:p>
    <w:p w14:paraId="1F1F66EB" w14:textId="77777777" w:rsidR="00F33FF6" w:rsidRPr="00611766" w:rsidRDefault="00611766" w:rsidP="00611766">
      <w:pPr>
        <w:spacing w:after="0" w:line="360" w:lineRule="auto"/>
        <w:jc w:val="both"/>
        <w:outlineLvl w:val="2"/>
        <w:rPr>
          <w:rFonts w:ascii="Times New Roman" w:eastAsia="Times New Roman" w:hAnsi="Times New Roman" w:cs="Times New Roman"/>
          <w:b/>
          <w:bCs/>
          <w:sz w:val="24"/>
          <w:szCs w:val="24"/>
          <w:lang w:eastAsia="en-IN"/>
        </w:rPr>
      </w:pPr>
      <w:r w:rsidRPr="00611766">
        <w:rPr>
          <w:rFonts w:ascii="Times New Roman" w:eastAsia="Times New Roman" w:hAnsi="Times New Roman" w:cs="Times New Roman"/>
          <w:b/>
          <w:bCs/>
          <w:sz w:val="24"/>
          <w:szCs w:val="24"/>
          <w:lang w:eastAsia="en-IN"/>
        </w:rPr>
        <w:t>1</w:t>
      </w:r>
      <w:r w:rsidR="00F33FF6" w:rsidRPr="00611766">
        <w:rPr>
          <w:rFonts w:ascii="Times New Roman" w:eastAsia="Times New Roman" w:hAnsi="Times New Roman" w:cs="Times New Roman"/>
          <w:b/>
          <w:bCs/>
          <w:sz w:val="24"/>
          <w:szCs w:val="24"/>
          <w:lang w:eastAsia="en-IN"/>
        </w:rPr>
        <w:t>. INTRODUCTION</w:t>
      </w:r>
    </w:p>
    <w:p w14:paraId="12BC06DD" w14:textId="77777777" w:rsidR="00611766" w:rsidRPr="00611766" w:rsidRDefault="00D72FBA" w:rsidP="00611766">
      <w:pPr>
        <w:pStyle w:val="Heading3"/>
        <w:spacing w:before="0" w:beforeAutospacing="0" w:after="0" w:afterAutospacing="0" w:line="360" w:lineRule="auto"/>
        <w:jc w:val="both"/>
        <w:rPr>
          <w:sz w:val="24"/>
          <w:szCs w:val="24"/>
        </w:rPr>
      </w:pPr>
      <w:r w:rsidRPr="00611766">
        <w:rPr>
          <w:sz w:val="24"/>
          <w:szCs w:val="24"/>
        </w:rPr>
        <w:t xml:space="preserve"> </w:t>
      </w:r>
      <w:r w:rsidR="00611766" w:rsidRPr="00611766">
        <w:rPr>
          <w:sz w:val="24"/>
          <w:szCs w:val="24"/>
        </w:rPr>
        <w:t>1.1 Estuaries as dynamic ecological and socio-economic systems</w:t>
      </w:r>
    </w:p>
    <w:p w14:paraId="525FF652" w14:textId="77777777" w:rsidR="00611766" w:rsidRPr="00611766" w:rsidRDefault="00611766" w:rsidP="00611766">
      <w:pPr>
        <w:pStyle w:val="NormalWeb"/>
        <w:spacing w:before="0" w:beforeAutospacing="0" w:after="0" w:afterAutospacing="0" w:line="360" w:lineRule="auto"/>
        <w:jc w:val="both"/>
      </w:pPr>
      <w:r w:rsidRPr="00611766">
        <w:t xml:space="preserve">Estuaries are highly dynamic coastal interfaces where fluvial freshwater mixes with marine waters to create steep and temporally variable gradients in salinity, temperature, turbidity, and dissolved oxygen. These hydrographic gradients shape primary productivity, larval transport and retention, and the distribution and life-history schedules of fishes and invertebrates, making estuaries globally important nursery habitats for numerous commercially and ecologically important species (IPCC, 2023). In tropical monsoon regions, the seasonal pulse of freshwater during the wet season and the contrasting dry-season tidal dominance produce predictable seasonal windows of recruitment and feeding that sustain artisanal fisheries (Dixit </w:t>
      </w:r>
      <w:r w:rsidR="00F276ED" w:rsidRPr="00F276ED">
        <w:rPr>
          <w:i/>
        </w:rPr>
        <w:t>et al</w:t>
      </w:r>
      <w:r w:rsidRPr="00611766">
        <w:t>., 2024). Understanding how hydrographic processes govern ichthyofaunal composition and fishery dynamics is therefore central to both biodiversity conservation and coastal livelihoods.</w:t>
      </w:r>
    </w:p>
    <w:p w14:paraId="46797DCF" w14:textId="77777777" w:rsidR="00611766" w:rsidRPr="00611766" w:rsidRDefault="00611766" w:rsidP="00611766">
      <w:pPr>
        <w:pStyle w:val="Heading3"/>
        <w:spacing w:before="0" w:beforeAutospacing="0" w:after="0" w:afterAutospacing="0" w:line="360" w:lineRule="auto"/>
        <w:jc w:val="both"/>
        <w:rPr>
          <w:sz w:val="24"/>
          <w:szCs w:val="24"/>
        </w:rPr>
      </w:pPr>
      <w:r w:rsidRPr="00611766">
        <w:rPr>
          <w:sz w:val="24"/>
          <w:szCs w:val="24"/>
        </w:rPr>
        <w:t xml:space="preserve">1.2 The </w:t>
      </w:r>
      <w:proofErr w:type="spellStart"/>
      <w:r w:rsidRPr="00611766">
        <w:rPr>
          <w:sz w:val="24"/>
          <w:szCs w:val="24"/>
        </w:rPr>
        <w:t>Vamsadhara</w:t>
      </w:r>
      <w:proofErr w:type="spellEnd"/>
      <w:r w:rsidRPr="00611766">
        <w:rPr>
          <w:sz w:val="24"/>
          <w:szCs w:val="24"/>
        </w:rPr>
        <w:t xml:space="preserve"> estuary — physical setting and regional importance</w:t>
      </w:r>
    </w:p>
    <w:p w14:paraId="3DDC35C2" w14:textId="77777777" w:rsidR="00611766" w:rsidRPr="00611766" w:rsidRDefault="00611766" w:rsidP="00611766">
      <w:pPr>
        <w:pStyle w:val="NormalWeb"/>
        <w:spacing w:before="0" w:beforeAutospacing="0" w:after="0" w:afterAutospacing="0" w:line="360" w:lineRule="auto"/>
        <w:jc w:val="both"/>
      </w:pPr>
      <w:r w:rsidRPr="00611766">
        <w:t xml:space="preserve">The </w:t>
      </w:r>
      <w:proofErr w:type="spellStart"/>
      <w:r w:rsidRPr="00611766">
        <w:t>Vamsadhara</w:t>
      </w:r>
      <w:proofErr w:type="spellEnd"/>
      <w:r w:rsidRPr="00611766">
        <w:t xml:space="preserve"> River rises in the Eastern Ghats and traverses a largely rural catchment before discharging into the Bay of Bengal at </w:t>
      </w:r>
      <w:proofErr w:type="spellStart"/>
      <w:r w:rsidRPr="00611766">
        <w:t>Kalingapatnam</w:t>
      </w:r>
      <w:proofErr w:type="spellEnd"/>
      <w:r w:rsidRPr="00611766">
        <w:t xml:space="preserve"> on the Srikakulam coast of Andhra Pradesh. The estuary and its tidal reaches host a mosaic of habitats — from engineered channels and mangrove patches to shallow intertidal flats — that support a mix of freshwater residents, estuarine specialists, and marine migrants using the estuary as nursery or feeding grounds (Karri &amp; Rama Rao, 2023; Ravikumar </w:t>
      </w:r>
      <w:r w:rsidR="00F276ED" w:rsidRPr="00F276ED">
        <w:rPr>
          <w:i/>
        </w:rPr>
        <w:t>et al</w:t>
      </w:r>
      <w:r w:rsidRPr="00611766">
        <w:t xml:space="preserve">., 2025). The river basin’s discharge regime, coupled with tidal forcing at the mouth, generates strong seasonality in salinity and turbidity that drives temporal changes in species assemblages and fishery availability (CWC hydrological summaries; Dixit </w:t>
      </w:r>
      <w:r w:rsidR="00F276ED" w:rsidRPr="00F276ED">
        <w:rPr>
          <w:i/>
        </w:rPr>
        <w:t>et al</w:t>
      </w:r>
      <w:r w:rsidRPr="00611766">
        <w:t>., 2024). The estuary’s fisheries are predominantly artisanal, underpinning local livelihoods and food security; hence, hydrographic variability has direct socio-economic consequences for coastal communities.</w:t>
      </w:r>
    </w:p>
    <w:p w14:paraId="440718DC" w14:textId="77777777" w:rsidR="00611766" w:rsidRPr="00611766" w:rsidRDefault="00611766" w:rsidP="00611766">
      <w:pPr>
        <w:pStyle w:val="Heading3"/>
        <w:spacing w:before="0" w:beforeAutospacing="0" w:after="0" w:afterAutospacing="0" w:line="360" w:lineRule="auto"/>
        <w:jc w:val="both"/>
        <w:rPr>
          <w:sz w:val="24"/>
          <w:szCs w:val="24"/>
        </w:rPr>
      </w:pPr>
      <w:r w:rsidRPr="00611766">
        <w:rPr>
          <w:sz w:val="24"/>
          <w:szCs w:val="24"/>
        </w:rPr>
        <w:t>1.3 Hydrographic drivers and biological responses: conceptual links</w:t>
      </w:r>
    </w:p>
    <w:p w14:paraId="5F519167" w14:textId="77777777" w:rsidR="00611766" w:rsidRPr="00611766" w:rsidRDefault="00611766" w:rsidP="00611766">
      <w:pPr>
        <w:pStyle w:val="NormalWeb"/>
        <w:spacing w:before="0" w:beforeAutospacing="0" w:after="0" w:afterAutospacing="0" w:line="360" w:lineRule="auto"/>
        <w:jc w:val="both"/>
      </w:pPr>
      <w:r w:rsidRPr="00611766">
        <w:t xml:space="preserve">Hydrographic variables influence fishes across multiple, often interacting pathways. Salinity gradients regulate osmoregulatory stress and thus determine which life stages can occupy particular estuarine zones; sudden freshwater pulses can displace or stress juveniles and adults if the rate or magnitude of change exceeds physiological tolerances (Dixit </w:t>
      </w:r>
      <w:r w:rsidR="00F276ED" w:rsidRPr="00F276ED">
        <w:rPr>
          <w:i/>
        </w:rPr>
        <w:t>et al</w:t>
      </w:r>
      <w:r w:rsidRPr="00611766">
        <w:t xml:space="preserve">., 2024). Temperature controls metabolic rates, growth and spawning phenology and can modulate disease dynamics, while turbidity affects feeding efficiency and predator–prey interactions. River discharge influences larval retention and transport: moderate flows can create retention </w:t>
      </w:r>
      <w:r w:rsidRPr="00611766">
        <w:lastRenderedPageBreak/>
        <w:t xml:space="preserve">zones that enhance nursery survival, whereas extreme floods may flush larvae to unsuitable offshore environments (IPCC, 2023; Dixit </w:t>
      </w:r>
      <w:r w:rsidR="00F276ED" w:rsidRPr="00F276ED">
        <w:rPr>
          <w:i/>
        </w:rPr>
        <w:t>et al</w:t>
      </w:r>
      <w:r w:rsidRPr="00611766">
        <w:t xml:space="preserve">., 2024). In the </w:t>
      </w:r>
      <w:proofErr w:type="spellStart"/>
      <w:r w:rsidRPr="00611766">
        <w:t>Vamsadhara</w:t>
      </w:r>
      <w:proofErr w:type="spellEnd"/>
      <w:r w:rsidRPr="00611766">
        <w:t xml:space="preserve"> context, these processes manifest as monsoon-linked pulses of juvenile ingress (post-larvae and small juveniles) followed by post-monsoon periods of marine influence and adult aggregations near the estuary mouth, a pattern documented in regional estuaries and reflected in local observational studies (Karri &amp; Rama Rao, 2023; Ravikumar </w:t>
      </w:r>
      <w:r w:rsidR="00F276ED" w:rsidRPr="00F276ED">
        <w:rPr>
          <w:i/>
        </w:rPr>
        <w:t>et al</w:t>
      </w:r>
      <w:r w:rsidRPr="00611766">
        <w:t>., 2025).</w:t>
      </w:r>
    </w:p>
    <w:p w14:paraId="57440252" w14:textId="77777777" w:rsidR="00611766" w:rsidRPr="00611766" w:rsidRDefault="00611766" w:rsidP="00611766">
      <w:pPr>
        <w:pStyle w:val="Heading3"/>
        <w:spacing w:before="0" w:beforeAutospacing="0" w:after="0" w:afterAutospacing="0" w:line="360" w:lineRule="auto"/>
        <w:jc w:val="both"/>
        <w:rPr>
          <w:sz w:val="24"/>
          <w:szCs w:val="24"/>
        </w:rPr>
      </w:pPr>
      <w:r w:rsidRPr="00611766">
        <w:rPr>
          <w:sz w:val="24"/>
          <w:szCs w:val="24"/>
        </w:rPr>
        <w:t xml:space="preserve">1.4 Ichthyofaunal composition and nursery function in </w:t>
      </w:r>
      <w:proofErr w:type="spellStart"/>
      <w:r w:rsidRPr="00611766">
        <w:rPr>
          <w:sz w:val="24"/>
          <w:szCs w:val="24"/>
        </w:rPr>
        <w:t>Vamsadhara</w:t>
      </w:r>
      <w:proofErr w:type="spellEnd"/>
    </w:p>
    <w:p w14:paraId="6719DED3" w14:textId="77777777" w:rsidR="00611766" w:rsidRPr="00611766" w:rsidRDefault="00611766" w:rsidP="00611766">
      <w:pPr>
        <w:pStyle w:val="NormalWeb"/>
        <w:spacing w:before="0" w:beforeAutospacing="0" w:after="0" w:afterAutospacing="0" w:line="360" w:lineRule="auto"/>
        <w:jc w:val="both"/>
      </w:pPr>
      <w:r w:rsidRPr="00611766">
        <w:t xml:space="preserve">Recent checklists and field surveys from the </w:t>
      </w:r>
      <w:proofErr w:type="spellStart"/>
      <w:r w:rsidRPr="00611766">
        <w:t>Kalingapatnam</w:t>
      </w:r>
      <w:proofErr w:type="spellEnd"/>
      <w:r w:rsidRPr="00611766">
        <w:t xml:space="preserve"> tidal stretch document a rich assemblage — on the order of 90–100 species — spanning freshwater, estuarine and marine taxa, with orders such as Perciformes, </w:t>
      </w:r>
      <w:proofErr w:type="spellStart"/>
      <w:r w:rsidRPr="00611766">
        <w:t>Siluriformes</w:t>
      </w:r>
      <w:proofErr w:type="spellEnd"/>
      <w:r w:rsidRPr="00611766">
        <w:t xml:space="preserve"> and </w:t>
      </w:r>
      <w:proofErr w:type="spellStart"/>
      <w:r w:rsidRPr="00611766">
        <w:t>Clupeiformes</w:t>
      </w:r>
      <w:proofErr w:type="spellEnd"/>
      <w:r w:rsidRPr="00611766">
        <w:t xml:space="preserve"> well represented (Karri &amp; Rama Rao, 2023; Ravikumar </w:t>
      </w:r>
      <w:r w:rsidR="00F276ED" w:rsidRPr="00F276ED">
        <w:rPr>
          <w:i/>
        </w:rPr>
        <w:t>et al</w:t>
      </w:r>
      <w:r w:rsidRPr="00611766">
        <w:t xml:space="preserve">., 2025). Many commercially important clupeids, </w:t>
      </w:r>
      <w:proofErr w:type="spellStart"/>
      <w:r w:rsidRPr="00611766">
        <w:t>sciaenids</w:t>
      </w:r>
      <w:proofErr w:type="spellEnd"/>
      <w:r w:rsidRPr="00611766">
        <w:t xml:space="preserve"> and mugilids use the estuary as juvenile habitat and show strong seasonal abundance peaks that align with monsoon river pulses. These life-history linkages make the estuary a critical node in the life cycles of both resident and migratory species and highlight the ecological importance of maintaining hydrological connectivity and appropriate flow regimes that create nursery conditions (Dixit </w:t>
      </w:r>
      <w:r w:rsidR="00F276ED" w:rsidRPr="00F276ED">
        <w:rPr>
          <w:i/>
        </w:rPr>
        <w:t>et al</w:t>
      </w:r>
      <w:r w:rsidRPr="00611766">
        <w:t>., 2024).</w:t>
      </w:r>
    </w:p>
    <w:p w14:paraId="66863917" w14:textId="77777777" w:rsidR="00611766" w:rsidRPr="00611766" w:rsidRDefault="00611766" w:rsidP="00611766">
      <w:pPr>
        <w:pStyle w:val="Heading3"/>
        <w:spacing w:before="0" w:beforeAutospacing="0" w:after="0" w:afterAutospacing="0" w:line="360" w:lineRule="auto"/>
        <w:jc w:val="both"/>
        <w:rPr>
          <w:sz w:val="24"/>
          <w:szCs w:val="24"/>
        </w:rPr>
      </w:pPr>
      <w:r w:rsidRPr="00611766">
        <w:rPr>
          <w:sz w:val="24"/>
          <w:szCs w:val="24"/>
        </w:rPr>
        <w:t>1.5 Fishery dynamics, gear adaptation and socio-economic context</w:t>
      </w:r>
    </w:p>
    <w:p w14:paraId="46490B89" w14:textId="77777777" w:rsidR="00611766" w:rsidRPr="00611766" w:rsidRDefault="00611766" w:rsidP="00611766">
      <w:pPr>
        <w:pStyle w:val="NormalWeb"/>
        <w:spacing w:before="0" w:beforeAutospacing="0" w:after="0" w:afterAutospacing="0" w:line="360" w:lineRule="auto"/>
        <w:jc w:val="both"/>
      </w:pPr>
      <w:r w:rsidRPr="00611766">
        <w:t xml:space="preserve">The artisanal fisheries operating in and around the </w:t>
      </w:r>
      <w:proofErr w:type="spellStart"/>
      <w:r w:rsidRPr="00611766">
        <w:t>Vamsadhara</w:t>
      </w:r>
      <w:proofErr w:type="spellEnd"/>
      <w:r w:rsidRPr="00611766">
        <w:t xml:space="preserve"> estuary employ a range of gears (gillnets, stake nets, ring seines, push nets) whose deployment is closely attuned to hydrographic conditions — depth, turbidity, and species availability (CMFRI landing summaries). Seasonal shifts in hydrography thus shape gear choice, landing composition and catch per unit effort, with monsoon months typically associated with juvenile and estuarine-dependent catches and dry months </w:t>
      </w:r>
      <w:proofErr w:type="spellStart"/>
      <w:r w:rsidRPr="00611766">
        <w:t>favoring</w:t>
      </w:r>
      <w:proofErr w:type="spellEnd"/>
      <w:r w:rsidRPr="00611766">
        <w:t xml:space="preserve"> more marine-dominated landings. Local socioeconomic assessments and district surveys emphasize the high dependence of coastal households on these seasonal catches and point to vulnerability arising from interannual variability in recruitment and landings (APSAC district reports; local landing data).</w:t>
      </w:r>
    </w:p>
    <w:p w14:paraId="7B4C5AFC" w14:textId="77777777" w:rsidR="00611766" w:rsidRPr="00611766" w:rsidRDefault="00611766" w:rsidP="00611766">
      <w:pPr>
        <w:pStyle w:val="Heading3"/>
        <w:spacing w:before="0" w:beforeAutospacing="0" w:after="0" w:afterAutospacing="0" w:line="360" w:lineRule="auto"/>
        <w:jc w:val="both"/>
        <w:rPr>
          <w:sz w:val="24"/>
          <w:szCs w:val="24"/>
        </w:rPr>
      </w:pPr>
      <w:r w:rsidRPr="00611766">
        <w:rPr>
          <w:sz w:val="24"/>
          <w:szCs w:val="24"/>
        </w:rPr>
        <w:t>1.6 Emerging challenges: hydrological alteration and climate variability</w:t>
      </w:r>
    </w:p>
    <w:p w14:paraId="3B4B7C0B" w14:textId="77777777" w:rsidR="00611766" w:rsidRPr="00611766" w:rsidRDefault="00611766" w:rsidP="00611766">
      <w:pPr>
        <w:pStyle w:val="NormalWeb"/>
        <w:spacing w:before="0" w:beforeAutospacing="0" w:after="0" w:afterAutospacing="0" w:line="360" w:lineRule="auto"/>
        <w:jc w:val="both"/>
      </w:pPr>
      <w:r w:rsidRPr="00611766">
        <w:t xml:space="preserve">Two broad threats are altering the estuarine hydrographic template and thereby the ecological processes it supports. First, basin-scale anthropogenic changes — upstream water abstraction, reservoir regulation, land-use change and sediment management — can modify the timing and magnitude of freshwater pulses that generate nursery retention zones (CWC reports; basin studies). Second, climate variability and change are increasing the unpredictability of monsoon onset and intensity, amplifying the frequency of compound events (extreme rainfall, cyclones) that can disrupt recruitment windows and cause habitat degradation (IPCC, 2023; </w:t>
      </w:r>
      <w:r w:rsidRPr="00611766">
        <w:lastRenderedPageBreak/>
        <w:t xml:space="preserve">Dixit </w:t>
      </w:r>
      <w:r w:rsidR="00F276ED" w:rsidRPr="00F276ED">
        <w:rPr>
          <w:i/>
        </w:rPr>
        <w:t>et al</w:t>
      </w:r>
      <w:r w:rsidRPr="00611766">
        <w:t>., 2024). The combination of upstream modifications and climate-driven extremes can therefore produce non-linear changes in estuarine hydrography with cascading effects on ichthyofaunal diversity and fisheries.</w:t>
      </w:r>
    </w:p>
    <w:p w14:paraId="59E28DA2" w14:textId="77777777" w:rsidR="00611766" w:rsidRPr="00611766" w:rsidRDefault="00611766" w:rsidP="00611766">
      <w:pPr>
        <w:pStyle w:val="Heading3"/>
        <w:spacing w:before="0" w:beforeAutospacing="0" w:after="0" w:afterAutospacing="0" w:line="360" w:lineRule="auto"/>
        <w:jc w:val="both"/>
        <w:rPr>
          <w:sz w:val="24"/>
          <w:szCs w:val="24"/>
        </w:rPr>
      </w:pPr>
      <w:r w:rsidRPr="00611766">
        <w:rPr>
          <w:sz w:val="24"/>
          <w:szCs w:val="24"/>
        </w:rPr>
        <w:t>1.7 Rationale, objectives and paper outline</w:t>
      </w:r>
    </w:p>
    <w:p w14:paraId="63605F4F" w14:textId="77777777" w:rsidR="00611766" w:rsidRPr="00611766" w:rsidRDefault="00611766" w:rsidP="00611766">
      <w:pPr>
        <w:pStyle w:val="NormalWeb"/>
        <w:spacing w:before="0" w:beforeAutospacing="0" w:after="0" w:afterAutospacing="0" w:line="360" w:lineRule="auto"/>
        <w:jc w:val="both"/>
      </w:pPr>
      <w:r w:rsidRPr="00611766">
        <w:t xml:space="preserve">Given the </w:t>
      </w:r>
      <w:proofErr w:type="spellStart"/>
      <w:r w:rsidRPr="00611766">
        <w:t>Vamsadhara</w:t>
      </w:r>
      <w:proofErr w:type="spellEnd"/>
      <w:r w:rsidRPr="00611766">
        <w:t xml:space="preserve"> estuary’s ecological importance and the documented richness of its ichthyofaunal assemblage, there is a clear need to synthesize hydrographic evidence with biological and fishery data to inform adaptive management. This paper integrates hydrological records, recent ichthyofaunal inventories (Karri &amp; Rama Rao, 2023; Ravikumar </w:t>
      </w:r>
      <w:r w:rsidR="00F276ED" w:rsidRPr="00F276ED">
        <w:rPr>
          <w:i/>
        </w:rPr>
        <w:t>et al</w:t>
      </w:r>
      <w:r w:rsidRPr="00611766">
        <w:t>., 2025), satellite observations and fisheries landing summaries to address the following objectives:</w:t>
      </w:r>
    </w:p>
    <w:p w14:paraId="03354347" w14:textId="77777777" w:rsidR="00611766" w:rsidRPr="00611766" w:rsidRDefault="00611766" w:rsidP="00611766">
      <w:pPr>
        <w:pStyle w:val="NormalWeb"/>
        <w:numPr>
          <w:ilvl w:val="0"/>
          <w:numId w:val="24"/>
        </w:numPr>
        <w:spacing w:before="0" w:beforeAutospacing="0" w:after="0" w:afterAutospacing="0" w:line="360" w:lineRule="auto"/>
        <w:jc w:val="both"/>
      </w:pPr>
      <w:r w:rsidRPr="00611766">
        <w:t>Characterize the estuary’s seasonal hydrographic patterns (salinity, turbidity, discharge, temperature) and their drivers.</w:t>
      </w:r>
    </w:p>
    <w:p w14:paraId="2D62ABA6" w14:textId="77777777" w:rsidR="00611766" w:rsidRPr="00611766" w:rsidRDefault="00611766" w:rsidP="00611766">
      <w:pPr>
        <w:pStyle w:val="NormalWeb"/>
        <w:numPr>
          <w:ilvl w:val="0"/>
          <w:numId w:val="24"/>
        </w:numPr>
        <w:spacing w:before="0" w:beforeAutospacing="0" w:after="0" w:afterAutospacing="0" w:line="360" w:lineRule="auto"/>
        <w:jc w:val="both"/>
      </w:pPr>
      <w:r w:rsidRPr="00611766">
        <w:t>Link hydrographic variability to spatial–temporal patterns in ichthyofaunal composition and nursery use.</w:t>
      </w:r>
    </w:p>
    <w:p w14:paraId="3D5FC344" w14:textId="77777777" w:rsidR="00611766" w:rsidRPr="00611766" w:rsidRDefault="00611766" w:rsidP="00611766">
      <w:pPr>
        <w:pStyle w:val="NormalWeb"/>
        <w:numPr>
          <w:ilvl w:val="0"/>
          <w:numId w:val="24"/>
        </w:numPr>
        <w:spacing w:before="0" w:beforeAutospacing="0" w:after="0" w:afterAutospacing="0" w:line="360" w:lineRule="auto"/>
        <w:jc w:val="both"/>
      </w:pPr>
      <w:proofErr w:type="spellStart"/>
      <w:r w:rsidRPr="00611766">
        <w:t>Analyze</w:t>
      </w:r>
      <w:proofErr w:type="spellEnd"/>
      <w:r w:rsidRPr="00611766">
        <w:t xml:space="preserve"> fishery dynamics (gear, seasonality, yields) in relation to hydrographic conditions and assess socio-economic implications.</w:t>
      </w:r>
    </w:p>
    <w:p w14:paraId="1DD2EEE2" w14:textId="77777777" w:rsidR="00611766" w:rsidRPr="00611766" w:rsidRDefault="00611766" w:rsidP="00611766">
      <w:pPr>
        <w:pStyle w:val="NormalWeb"/>
        <w:numPr>
          <w:ilvl w:val="0"/>
          <w:numId w:val="24"/>
        </w:numPr>
        <w:spacing w:before="0" w:beforeAutospacing="0" w:after="0" w:afterAutospacing="0" w:line="360" w:lineRule="auto"/>
        <w:jc w:val="both"/>
      </w:pPr>
      <w:r w:rsidRPr="00611766">
        <w:t>Identify management actions and research priorities to sustain estuarine biodiversity and fisheries under evolving hydrological regimes.</w:t>
      </w:r>
    </w:p>
    <w:p w14:paraId="40230C26" w14:textId="77777777" w:rsidR="00611766" w:rsidRPr="00611766" w:rsidRDefault="00611766" w:rsidP="00611766">
      <w:pPr>
        <w:pStyle w:val="NormalWeb"/>
        <w:spacing w:before="0" w:beforeAutospacing="0" w:after="0" w:afterAutospacing="0" w:line="360" w:lineRule="auto"/>
        <w:jc w:val="both"/>
      </w:pPr>
      <w:r w:rsidRPr="00611766">
        <w:t xml:space="preserve">By situating the </w:t>
      </w:r>
      <w:proofErr w:type="spellStart"/>
      <w:r w:rsidRPr="00611766">
        <w:t>Vamsadhara</w:t>
      </w:r>
      <w:proofErr w:type="spellEnd"/>
      <w:r w:rsidRPr="00611766">
        <w:t xml:space="preserve"> estuary within regional estuarine dynamics and drawing on the most recent datasets through January 2026, this study aims to provide a science-based foundation for integrated estuarine management that supports both biodiversity and coastal livelihoods.</w:t>
      </w:r>
    </w:p>
    <w:p w14:paraId="1B95E28D" w14:textId="77777777" w:rsidR="00D72FBA" w:rsidRDefault="00D72FBA" w:rsidP="005C528D">
      <w:pPr>
        <w:pStyle w:val="NormalWeb"/>
        <w:spacing w:before="0" w:beforeAutospacing="0" w:after="0" w:afterAutospacing="0"/>
        <w:jc w:val="both"/>
      </w:pPr>
    </w:p>
    <w:p w14:paraId="6020FF68" w14:textId="77777777" w:rsidR="00152589" w:rsidRPr="001524C2" w:rsidRDefault="001524C2" w:rsidP="001524C2">
      <w:pPr>
        <w:pStyle w:val="Heading3"/>
        <w:spacing w:before="0" w:beforeAutospacing="0" w:after="0" w:afterAutospacing="0" w:line="360" w:lineRule="auto"/>
        <w:jc w:val="both"/>
        <w:rPr>
          <w:sz w:val="24"/>
          <w:szCs w:val="24"/>
        </w:rPr>
      </w:pPr>
      <w:r>
        <w:rPr>
          <w:sz w:val="24"/>
          <w:szCs w:val="24"/>
        </w:rPr>
        <w:t>2</w:t>
      </w:r>
      <w:r w:rsidR="00152589" w:rsidRPr="001524C2">
        <w:rPr>
          <w:sz w:val="24"/>
          <w:szCs w:val="24"/>
        </w:rPr>
        <w:t xml:space="preserve">. </w:t>
      </w:r>
      <w:r w:rsidR="00E5727E" w:rsidRPr="001524C2">
        <w:rPr>
          <w:sz w:val="24"/>
          <w:szCs w:val="24"/>
        </w:rPr>
        <w:t>LITERATURE REVIEW</w:t>
      </w:r>
    </w:p>
    <w:p w14:paraId="6CF31DDB" w14:textId="77777777" w:rsidR="001524C2" w:rsidRPr="001524C2" w:rsidRDefault="001524C2" w:rsidP="001524C2">
      <w:pPr>
        <w:pStyle w:val="Heading3"/>
        <w:spacing w:before="0" w:beforeAutospacing="0" w:after="0" w:afterAutospacing="0" w:line="360" w:lineRule="auto"/>
        <w:jc w:val="both"/>
        <w:rPr>
          <w:sz w:val="24"/>
          <w:szCs w:val="24"/>
        </w:rPr>
      </w:pPr>
      <w:r w:rsidRPr="001524C2">
        <w:rPr>
          <w:rStyle w:val="Strong"/>
          <w:b/>
          <w:bCs/>
          <w:sz w:val="24"/>
          <w:szCs w:val="24"/>
        </w:rPr>
        <w:t>2.1 Estuarine Hydrographic Regime as a Biological Template</w:t>
      </w:r>
    </w:p>
    <w:p w14:paraId="45CD5C09" w14:textId="77777777" w:rsidR="001524C2" w:rsidRPr="001524C2" w:rsidRDefault="001524C2" w:rsidP="001524C2">
      <w:pPr>
        <w:pStyle w:val="NormalWeb"/>
        <w:spacing w:before="0" w:beforeAutospacing="0" w:after="0" w:afterAutospacing="0" w:line="360" w:lineRule="auto"/>
        <w:jc w:val="both"/>
      </w:pPr>
      <w:r w:rsidRPr="001524C2">
        <w:t xml:space="preserve">Estuaries function as transitional ecosystems where freshwater inflow, tidal exchange, and coastal marine dynamics interact to produce pronounced gradients in salinity, temperature, turbidity, dissolved oxygen, and nutrient distribution. These hydrographic features vary spatially and seasonally, creating dynamic habitat mosaics that influence the distribution, </w:t>
      </w:r>
      <w:proofErr w:type="spellStart"/>
      <w:r w:rsidRPr="001524C2">
        <w:t>behavior</w:t>
      </w:r>
      <w:proofErr w:type="spellEnd"/>
      <w:r w:rsidRPr="001524C2">
        <w:t xml:space="preserve">, and life history strategies of resident and migratory fish species. Estuarine gradients are largely shaped by monsoon-driven river discharge and tides, leading to freshened conditions upstream and saline incursions downstream (Shaha, 2022; Dixit </w:t>
      </w:r>
      <w:r w:rsidR="00F276ED" w:rsidRPr="00F276ED">
        <w:rPr>
          <w:i/>
        </w:rPr>
        <w:t>et al</w:t>
      </w:r>
      <w:r w:rsidRPr="001524C2">
        <w:t xml:space="preserve">., 2024). Salinity gradients in particular are widely recognized as primary determinants of fish species distribution, with distinct assemblages forming along freshwater–brackish–marine </w:t>
      </w:r>
      <w:r w:rsidRPr="001524C2">
        <w:lastRenderedPageBreak/>
        <w:t xml:space="preserve">continuums (Shaha, 2022). Research from the Meghna River estuary in Bangladesh showed that fish diversity and assemblage structure strongly correlated with fluctuations in salinity and other hydrographic parameters across seasons, highlighting the role of hydrographic variability as a driver of community composition (Hossain </w:t>
      </w:r>
      <w:r w:rsidR="00F276ED" w:rsidRPr="00F276ED">
        <w:rPr>
          <w:i/>
        </w:rPr>
        <w:t>et al</w:t>
      </w:r>
      <w:r w:rsidRPr="001524C2">
        <w:t xml:space="preserve">., 2013). </w:t>
      </w:r>
    </w:p>
    <w:p w14:paraId="72509A4F" w14:textId="77777777" w:rsidR="001524C2" w:rsidRPr="001524C2" w:rsidRDefault="001524C2" w:rsidP="001524C2">
      <w:pPr>
        <w:pStyle w:val="NormalWeb"/>
        <w:spacing w:before="0" w:beforeAutospacing="0" w:after="0" w:afterAutospacing="0" w:line="360" w:lineRule="auto"/>
        <w:jc w:val="both"/>
      </w:pPr>
      <w:r w:rsidRPr="001524C2">
        <w:t xml:space="preserve">In tropical monsoonal estuaries, such as those along India’s east coast, seasonal river flows and tidal mixing produce predictable pulses of freshwater that manifest in alternating phases of stratification and mixing. During the wet season, high discharge reduces salinity, increases turbidity, and enhances nutrient delivery, often leading to phytoplankton blooms and elevated food availability for lower trophic levels. Conversely, dry seasons allow greater tidal penetration and higher salinity, </w:t>
      </w:r>
      <w:proofErr w:type="spellStart"/>
      <w:r w:rsidRPr="001524C2">
        <w:t>favoring</w:t>
      </w:r>
      <w:proofErr w:type="spellEnd"/>
      <w:r w:rsidRPr="001524C2">
        <w:t xml:space="preserve"> marine-adapted species (Dixit </w:t>
      </w:r>
      <w:r w:rsidR="00F276ED" w:rsidRPr="00F276ED">
        <w:rPr>
          <w:i/>
        </w:rPr>
        <w:t>et al</w:t>
      </w:r>
      <w:r w:rsidRPr="001524C2">
        <w:t xml:space="preserve">., 2024). These processes collectively create </w:t>
      </w:r>
      <w:proofErr w:type="spellStart"/>
      <w:r w:rsidRPr="001524C2">
        <w:t>spatio</w:t>
      </w:r>
      <w:proofErr w:type="spellEnd"/>
      <w:r w:rsidRPr="001524C2">
        <w:t>-temporal niches that estuarine fish exploit, with many species timing life-history events, such as spawning and juvenile recruitment, to coincide with particular hydrographic states.</w:t>
      </w:r>
    </w:p>
    <w:p w14:paraId="193CCF20" w14:textId="77777777" w:rsidR="001524C2" w:rsidRPr="001524C2" w:rsidRDefault="001524C2" w:rsidP="001524C2">
      <w:pPr>
        <w:pStyle w:val="Heading3"/>
        <w:spacing w:before="0" w:beforeAutospacing="0" w:after="0" w:afterAutospacing="0" w:line="360" w:lineRule="auto"/>
        <w:jc w:val="both"/>
        <w:rPr>
          <w:sz w:val="24"/>
          <w:szCs w:val="24"/>
        </w:rPr>
      </w:pPr>
      <w:r w:rsidRPr="001524C2">
        <w:rPr>
          <w:rStyle w:val="Strong"/>
          <w:b/>
          <w:bCs/>
          <w:sz w:val="24"/>
          <w:szCs w:val="24"/>
        </w:rPr>
        <w:t>2.2 Marine–Freshwater Coupling and Fish Community Assembly</w:t>
      </w:r>
    </w:p>
    <w:p w14:paraId="4CE2AD01" w14:textId="77777777" w:rsidR="001524C2" w:rsidRPr="001524C2" w:rsidRDefault="001524C2" w:rsidP="001524C2">
      <w:pPr>
        <w:pStyle w:val="NormalWeb"/>
        <w:spacing w:before="0" w:beforeAutospacing="0" w:after="0" w:afterAutospacing="0" w:line="360" w:lineRule="auto"/>
        <w:jc w:val="both"/>
      </w:pPr>
      <w:r w:rsidRPr="001524C2">
        <w:t xml:space="preserve">The intersection of marine and freshwater biota in estuarine zones means that fish communities are composed of a mixture of freshwater residents, estuarine specialists, and marine migrants. Estuaries across India and the Bay of Bengal region are documented to support high fish diversity and productivity due to this coupling. Comprehensive inventories of estuarine fish communities reveal a wide taxonomic breadth, with </w:t>
      </w:r>
      <w:proofErr w:type="spellStart"/>
      <w:r w:rsidRPr="001524C2">
        <w:t>clupeiforms</w:t>
      </w:r>
      <w:proofErr w:type="spellEnd"/>
      <w:r w:rsidRPr="001524C2">
        <w:t xml:space="preserve">, </w:t>
      </w:r>
      <w:proofErr w:type="spellStart"/>
      <w:r w:rsidRPr="001524C2">
        <w:t>mugiliforms</w:t>
      </w:r>
      <w:proofErr w:type="spellEnd"/>
      <w:r w:rsidRPr="001524C2">
        <w:t xml:space="preserve">, perciforms, and </w:t>
      </w:r>
      <w:proofErr w:type="spellStart"/>
      <w:r w:rsidRPr="001524C2">
        <w:t>siluriforms</w:t>
      </w:r>
      <w:proofErr w:type="spellEnd"/>
      <w:r w:rsidRPr="001524C2">
        <w:t xml:space="preserve"> frequently recorded (Sreekanth, 2021). Such taxonomic richness is reflective of the high environmental heterogeneity inherent to estuarine habitats. Comparable studies on estuaries such as </w:t>
      </w:r>
      <w:proofErr w:type="spellStart"/>
      <w:r w:rsidRPr="001524C2">
        <w:t>Mandovi</w:t>
      </w:r>
      <w:proofErr w:type="spellEnd"/>
      <w:r w:rsidRPr="001524C2">
        <w:t xml:space="preserve"> and </w:t>
      </w:r>
      <w:proofErr w:type="spellStart"/>
      <w:r w:rsidRPr="001524C2">
        <w:t>Zuari</w:t>
      </w:r>
      <w:proofErr w:type="spellEnd"/>
      <w:r w:rsidRPr="001524C2">
        <w:t xml:space="preserve"> in Goa, and Vembanad and </w:t>
      </w:r>
      <w:proofErr w:type="spellStart"/>
      <w:r w:rsidRPr="001524C2">
        <w:t>Nethravathi</w:t>
      </w:r>
      <w:proofErr w:type="spellEnd"/>
      <w:r w:rsidRPr="001524C2">
        <w:t xml:space="preserve"> in Kerala and Karnataka, report hundreds of finfish and shellfish taxa using tidal, mangrove, and shallow habitat zones, emphasizing estuarine systems’ species richness and functional diversity (Sreekanth, 2021; multiple estuary inventories). </w:t>
      </w:r>
    </w:p>
    <w:p w14:paraId="2F13E9EA" w14:textId="77777777" w:rsidR="001524C2" w:rsidRPr="001524C2" w:rsidRDefault="001524C2" w:rsidP="001524C2">
      <w:pPr>
        <w:pStyle w:val="NormalWeb"/>
        <w:spacing w:before="0" w:beforeAutospacing="0" w:after="0" w:afterAutospacing="0" w:line="360" w:lineRule="auto"/>
        <w:jc w:val="both"/>
      </w:pPr>
      <w:r w:rsidRPr="001524C2">
        <w:t xml:space="preserve">Although estuarine ichthyofaunal studies in southern India are less numerous than in large northern systems (e.g., Hooghly-Matla), existing </w:t>
      </w:r>
      <w:proofErr w:type="spellStart"/>
      <w:r w:rsidRPr="001524C2">
        <w:t>catalogs</w:t>
      </w:r>
      <w:proofErr w:type="spellEnd"/>
      <w:r w:rsidRPr="001524C2">
        <w:t xml:space="preserve"> indicate that similar ecological patterns — species turnover along hydrographic gradients and seasonal recruitment pulses — occur across Indian coastal estuaries. Historical syntheses note that estuaries and mangrove ecosystems host unique assemblages that incorporate freshwater migrants during high-flow conditions and marine migrants exploiting nursery habitats during flow recessions, underscoring the continuous biotic interchange between freshwater and marine realms. </w:t>
      </w:r>
    </w:p>
    <w:p w14:paraId="2A0174B9" w14:textId="77777777" w:rsidR="001524C2" w:rsidRPr="001524C2" w:rsidRDefault="001524C2" w:rsidP="001524C2">
      <w:pPr>
        <w:pStyle w:val="Heading3"/>
        <w:spacing w:before="0" w:beforeAutospacing="0" w:after="0" w:afterAutospacing="0" w:line="360" w:lineRule="auto"/>
        <w:jc w:val="both"/>
        <w:rPr>
          <w:sz w:val="24"/>
          <w:szCs w:val="24"/>
        </w:rPr>
      </w:pPr>
      <w:r w:rsidRPr="001524C2">
        <w:rPr>
          <w:rStyle w:val="Strong"/>
          <w:b/>
          <w:bCs/>
          <w:sz w:val="24"/>
          <w:szCs w:val="24"/>
        </w:rPr>
        <w:t>2.3 Hydrographic Drivers of Fish Diversity and Distribution</w:t>
      </w:r>
    </w:p>
    <w:p w14:paraId="14E7B853" w14:textId="77777777" w:rsidR="001524C2" w:rsidRPr="001524C2" w:rsidRDefault="001524C2" w:rsidP="001524C2">
      <w:pPr>
        <w:pStyle w:val="NormalWeb"/>
        <w:spacing w:before="0" w:beforeAutospacing="0" w:after="0" w:afterAutospacing="0" w:line="360" w:lineRule="auto"/>
        <w:jc w:val="both"/>
      </w:pPr>
      <w:r w:rsidRPr="001524C2">
        <w:lastRenderedPageBreak/>
        <w:t xml:space="preserve">Salinity is consistently identified as one of the most influential environmental variables shaping fish assemblages in estuarine ecosystems worldwide. In the Bay of Bengal and adjacent Indian coastal systems, salinity gradients exhibit marked seasonal shifts, with near-fresh conditions during monsoon peaks and increased saltwater intrusion during the dry season. Shaha’s study of salinity gradients in an Indian coastal estuary demonstrated that species richness and assemblage composition respond significantly to salinity changes, with certain taxa preferring mesohaline conditions while others dominate in freshwater or </w:t>
      </w:r>
      <w:proofErr w:type="spellStart"/>
      <w:r w:rsidRPr="001524C2">
        <w:t>polyhaline</w:t>
      </w:r>
      <w:proofErr w:type="spellEnd"/>
      <w:r w:rsidRPr="001524C2">
        <w:t xml:space="preserve"> zones, emphasizing the importance of salinity in structuring fish communities. </w:t>
      </w:r>
    </w:p>
    <w:p w14:paraId="1896F6D6" w14:textId="77777777" w:rsidR="001524C2" w:rsidRPr="001524C2" w:rsidRDefault="001524C2" w:rsidP="001524C2">
      <w:pPr>
        <w:pStyle w:val="NormalWeb"/>
        <w:spacing w:before="0" w:beforeAutospacing="0" w:after="0" w:afterAutospacing="0" w:line="360" w:lineRule="auto"/>
        <w:jc w:val="both"/>
      </w:pPr>
      <w:r w:rsidRPr="001524C2">
        <w:t xml:space="preserve">Fish assemblages also vary with temperature, dissolved oxygen and turbidity, which covary with salinity and flow. High freshwater discharge often coincides with lower salinity and higher turbidity, providing nursery conditions </w:t>
      </w:r>
      <w:proofErr w:type="spellStart"/>
      <w:r w:rsidRPr="001524C2">
        <w:t>favorable</w:t>
      </w:r>
      <w:proofErr w:type="spellEnd"/>
      <w:r w:rsidRPr="001524C2">
        <w:t xml:space="preserve"> to juveniles and small fish, whereas low dissolved oxygen in stratified layers can create stress zones that limit habitat suitability (Hossain </w:t>
      </w:r>
      <w:r w:rsidR="00F276ED" w:rsidRPr="00F276ED">
        <w:rPr>
          <w:i/>
        </w:rPr>
        <w:t>et al</w:t>
      </w:r>
      <w:r w:rsidRPr="001524C2">
        <w:t xml:space="preserve">., 2013). Collectively, hydrographic parameters define habitat suitability matrices for different species, effectively acting as environmental filters that </w:t>
      </w:r>
      <w:proofErr w:type="spellStart"/>
      <w:r w:rsidRPr="001524C2">
        <w:t>favor</w:t>
      </w:r>
      <w:proofErr w:type="spellEnd"/>
      <w:r w:rsidRPr="001524C2">
        <w:t xml:space="preserve"> some taxa while excluding others.</w:t>
      </w:r>
    </w:p>
    <w:p w14:paraId="7288296F" w14:textId="77777777" w:rsidR="001524C2" w:rsidRPr="001524C2" w:rsidRDefault="001524C2" w:rsidP="001524C2">
      <w:pPr>
        <w:pStyle w:val="Heading3"/>
        <w:spacing w:before="0" w:beforeAutospacing="0" w:after="0" w:afterAutospacing="0" w:line="360" w:lineRule="auto"/>
        <w:jc w:val="both"/>
        <w:rPr>
          <w:sz w:val="24"/>
          <w:szCs w:val="24"/>
        </w:rPr>
      </w:pPr>
      <w:r w:rsidRPr="001524C2">
        <w:rPr>
          <w:rStyle w:val="Strong"/>
          <w:b/>
          <w:bCs/>
          <w:sz w:val="24"/>
          <w:szCs w:val="24"/>
        </w:rPr>
        <w:t>2.4 Nursery Habitat Value and Recruitment Dynamics</w:t>
      </w:r>
    </w:p>
    <w:p w14:paraId="6CAA8247" w14:textId="77777777" w:rsidR="001524C2" w:rsidRPr="001524C2" w:rsidRDefault="001524C2" w:rsidP="001524C2">
      <w:pPr>
        <w:pStyle w:val="NormalWeb"/>
        <w:spacing w:before="0" w:beforeAutospacing="0" w:after="0" w:afterAutospacing="0" w:line="360" w:lineRule="auto"/>
        <w:jc w:val="both"/>
      </w:pPr>
      <w:r w:rsidRPr="001524C2">
        <w:t xml:space="preserve">Estuarine nursery function — the capacity of estuaries to enhance survival of juvenile fishes and crustaceans — arises from a combination of structural habitat complexity and </w:t>
      </w:r>
      <w:proofErr w:type="spellStart"/>
      <w:r w:rsidRPr="001524C2">
        <w:t>favorable</w:t>
      </w:r>
      <w:proofErr w:type="spellEnd"/>
      <w:r w:rsidRPr="001524C2">
        <w:t xml:space="preserve"> environmental conditions. Research in tropical estuaries consistently demonstrates that moderate river flows during the onset of the wet season create shallow, nutrient-rich, low-predation zones that facilitate larval retention and juvenile growth (Gillanders </w:t>
      </w:r>
      <w:r w:rsidR="00F276ED" w:rsidRPr="00F276ED">
        <w:rPr>
          <w:i/>
        </w:rPr>
        <w:t>et al</w:t>
      </w:r>
      <w:r w:rsidRPr="001524C2">
        <w:t xml:space="preserve">., 2012). These hydrographic conditions are particularly beneficial for marine migrants and commercially important species (e.g., clupeids and mugilids) whose early life stages are vulnerable to predation and offshore dispersal. Although detailed nursery studies from the </w:t>
      </w:r>
      <w:proofErr w:type="spellStart"/>
      <w:r w:rsidRPr="001524C2">
        <w:t>Vamsadhara</w:t>
      </w:r>
      <w:proofErr w:type="spellEnd"/>
      <w:r w:rsidRPr="001524C2">
        <w:t xml:space="preserve"> estuary are limited, broader estuarine research supports the idea that hydrographic states modulate the timing and magnitude of juvenile influxes, which in turn influences fishery yields.</w:t>
      </w:r>
    </w:p>
    <w:p w14:paraId="6454E0D7" w14:textId="77777777" w:rsidR="001524C2" w:rsidRPr="001524C2" w:rsidRDefault="001524C2" w:rsidP="001524C2">
      <w:pPr>
        <w:pStyle w:val="NormalWeb"/>
        <w:spacing w:before="0" w:beforeAutospacing="0" w:after="0" w:afterAutospacing="0" w:line="360" w:lineRule="auto"/>
        <w:jc w:val="both"/>
      </w:pPr>
      <w:r w:rsidRPr="001524C2">
        <w:t>Similar nursery function mechanisms operate in other Indian estuaries, where freshwater pulses create retention zones that act as staging areas for juvenile fish and shrimp before subsequent offshore migration. These geophysical and hydrological processes ensure temporal windows of high juvenile abundance that are critical for sustaining artisanal fisheries. The interplay between river discharge and tidal mixing thus directly influences recruitment success and year-class strength of many estuarine and marine migrant species.</w:t>
      </w:r>
    </w:p>
    <w:p w14:paraId="27428C79" w14:textId="77777777" w:rsidR="001524C2" w:rsidRPr="001524C2" w:rsidRDefault="001524C2" w:rsidP="001524C2">
      <w:pPr>
        <w:pStyle w:val="Heading3"/>
        <w:spacing w:before="0" w:beforeAutospacing="0" w:after="0" w:afterAutospacing="0" w:line="360" w:lineRule="auto"/>
        <w:jc w:val="both"/>
        <w:rPr>
          <w:sz w:val="24"/>
          <w:szCs w:val="24"/>
        </w:rPr>
      </w:pPr>
      <w:r w:rsidRPr="001524C2">
        <w:rPr>
          <w:rStyle w:val="Strong"/>
          <w:b/>
          <w:bCs/>
          <w:sz w:val="24"/>
          <w:szCs w:val="24"/>
        </w:rPr>
        <w:t>2.5 Fishery Dynamics, Effort Displacement, and Socio-Economic Linkages</w:t>
      </w:r>
    </w:p>
    <w:p w14:paraId="3F13B4CE" w14:textId="77777777" w:rsidR="001524C2" w:rsidRPr="001524C2" w:rsidRDefault="001524C2" w:rsidP="001524C2">
      <w:pPr>
        <w:pStyle w:val="NormalWeb"/>
        <w:spacing w:before="0" w:beforeAutospacing="0" w:after="0" w:afterAutospacing="0" w:line="360" w:lineRule="auto"/>
        <w:jc w:val="both"/>
      </w:pPr>
      <w:r w:rsidRPr="001524C2">
        <w:lastRenderedPageBreak/>
        <w:t>Artisanal fisheries operating within estuarine systems are intricately linked to hydrographic variability. Fishing gears and practices (gillnets, stake nets, ring seines, push nets) are adapted seasonally, targeting available fish assemblages that shift with water quality and flow conditions (FAO Bay of Bengal fisheries syntheses). Peak fishing efforts often align with predictable seasonal hydrographic phases — high juvenile abundance following monsoon pulses, and adult migrations during post-monsoon intertidal conditions. The resultant temporal patterns in catch composition and yield underline the importance of understanding hydrographic drivers to manage fishery effort and avoid overexploitation of vulnerable life stages.</w:t>
      </w:r>
    </w:p>
    <w:p w14:paraId="720C1B2C" w14:textId="77777777" w:rsidR="001524C2" w:rsidRPr="001524C2" w:rsidRDefault="001524C2" w:rsidP="001524C2">
      <w:pPr>
        <w:pStyle w:val="NormalWeb"/>
        <w:spacing w:before="0" w:beforeAutospacing="0" w:after="0" w:afterAutospacing="0" w:line="360" w:lineRule="auto"/>
        <w:jc w:val="both"/>
      </w:pPr>
      <w:r w:rsidRPr="001524C2">
        <w:t>Socio-economic studies in estuarine fisheries also emphasize how hydrography influences livelihoods. Fishers adjust gear use, fishing locations, and timing in response to changing water depth and turbidity, but high interannual variability in hydrographic conditions — influenced by upstream abstraction, climatic anomalies, and weather extremes — can destabilize incomes and increase livelihood risk. This creates a need for policies that integrate environmental variability into fishery management and planning.</w:t>
      </w:r>
    </w:p>
    <w:p w14:paraId="557B6D1B" w14:textId="77777777" w:rsidR="001524C2" w:rsidRPr="001524C2" w:rsidRDefault="001524C2" w:rsidP="001524C2">
      <w:pPr>
        <w:pStyle w:val="Heading3"/>
        <w:spacing w:before="0" w:beforeAutospacing="0" w:after="0" w:afterAutospacing="0" w:line="360" w:lineRule="auto"/>
        <w:jc w:val="both"/>
        <w:rPr>
          <w:sz w:val="24"/>
          <w:szCs w:val="24"/>
        </w:rPr>
      </w:pPr>
      <w:r w:rsidRPr="001524C2">
        <w:rPr>
          <w:rStyle w:val="Strong"/>
          <w:b/>
          <w:bCs/>
          <w:sz w:val="24"/>
          <w:szCs w:val="24"/>
        </w:rPr>
        <w:t>2.6 Anthropogenic Modifiers of Hydrographic Conditions</w:t>
      </w:r>
    </w:p>
    <w:p w14:paraId="7B15840A" w14:textId="77777777" w:rsidR="001524C2" w:rsidRPr="001524C2" w:rsidRDefault="001524C2" w:rsidP="001524C2">
      <w:pPr>
        <w:pStyle w:val="NormalWeb"/>
        <w:spacing w:before="0" w:beforeAutospacing="0" w:after="0" w:afterAutospacing="0" w:line="360" w:lineRule="auto"/>
        <w:jc w:val="both"/>
      </w:pPr>
      <w:r w:rsidRPr="001524C2">
        <w:t xml:space="preserve">Anthropogenic influences — such as upstream river regulation, water extraction for irrigation, and land-use change — alter natural hydrographic regimes, with cascading effects on fish communities. Dam operations and flow diversion can reduce freshwater pulses, leading to increased saline intrusion and reduced nursery habitat suitability. Similar impacts have been observed in estuarine systems like the Hooghly and </w:t>
      </w:r>
      <w:proofErr w:type="spellStart"/>
      <w:r w:rsidRPr="001524C2">
        <w:t>Pulicat</w:t>
      </w:r>
      <w:proofErr w:type="spellEnd"/>
      <w:r w:rsidRPr="001524C2">
        <w:t xml:space="preserve"> Lake — where reduced freshwater flow exacerbates salinity intrusion, alters fish assemblages, and diminishes habitat quality. </w:t>
      </w:r>
    </w:p>
    <w:p w14:paraId="03776EAB" w14:textId="77777777" w:rsidR="001524C2" w:rsidRPr="001524C2" w:rsidRDefault="001524C2" w:rsidP="001524C2">
      <w:pPr>
        <w:pStyle w:val="NormalWeb"/>
        <w:spacing w:before="0" w:beforeAutospacing="0" w:after="0" w:afterAutospacing="0" w:line="360" w:lineRule="auto"/>
        <w:jc w:val="both"/>
      </w:pPr>
      <w:r w:rsidRPr="001524C2">
        <w:t>The Anthropocene context also introduces pressure from coastal development, pollution and habitat fragmentation, which compound natural hydrographic variability. Pollution and nutrient loads from agricultural runoff and urban discharges can interact with hydrographic gradients to modify dissolved oxygen and turbidity, further influencing fish distribution and productivity. Targeted assessments in Indian coastal wetlands have documented such impacts on fish assemblages, highlighting the need to consider both natural and human-mediated drivers in estuarine research and management.</w:t>
      </w:r>
    </w:p>
    <w:p w14:paraId="17DD537D" w14:textId="77777777" w:rsidR="001524C2" w:rsidRPr="001524C2" w:rsidRDefault="001524C2" w:rsidP="001524C2">
      <w:pPr>
        <w:pStyle w:val="Heading3"/>
        <w:spacing w:before="0" w:beforeAutospacing="0" w:after="0" w:afterAutospacing="0" w:line="360" w:lineRule="auto"/>
        <w:jc w:val="both"/>
        <w:rPr>
          <w:sz w:val="24"/>
          <w:szCs w:val="24"/>
        </w:rPr>
      </w:pPr>
      <w:r w:rsidRPr="001524C2">
        <w:rPr>
          <w:rStyle w:val="Strong"/>
          <w:b/>
          <w:bCs/>
          <w:sz w:val="24"/>
          <w:szCs w:val="24"/>
        </w:rPr>
        <w:t>2.7 Synthesis and Research Gaps</w:t>
      </w:r>
    </w:p>
    <w:p w14:paraId="20D8B32F" w14:textId="77777777" w:rsidR="001524C2" w:rsidRPr="001524C2" w:rsidRDefault="001524C2" w:rsidP="001524C2">
      <w:pPr>
        <w:pStyle w:val="NormalWeb"/>
        <w:spacing w:before="0" w:beforeAutospacing="0" w:after="0" w:afterAutospacing="0" w:line="360" w:lineRule="auto"/>
        <w:jc w:val="both"/>
      </w:pPr>
      <w:r w:rsidRPr="001524C2">
        <w:t xml:space="preserve">Collectively, the reviewed literature establishes hydrographic variability — especially salinity gradients, river discharge patterns, and their seasonal changes — as a key driver of ichthyofaunal diversity and fishery dynamics in estuarine ecosystems. Studies from the Bay </w:t>
      </w:r>
      <w:r w:rsidRPr="001524C2">
        <w:lastRenderedPageBreak/>
        <w:t>of Bengal region and Indian coastal systems consistently show that fish assemblages are structured along hydrographic gradients, with significant implications for nursery function, recruitment pulses, and artisanal fisheries. Evidence suggests that integrated studies combining hydrographic monitoring, species inventories, and fishery effort data are essential for understanding and managing estuarine resources sustainably.</w:t>
      </w:r>
    </w:p>
    <w:p w14:paraId="345EE492" w14:textId="77777777" w:rsidR="001524C2" w:rsidRPr="001524C2" w:rsidRDefault="001524C2" w:rsidP="001524C2">
      <w:pPr>
        <w:pStyle w:val="NormalWeb"/>
        <w:spacing w:before="0" w:beforeAutospacing="0" w:after="0" w:afterAutospacing="0" w:line="360" w:lineRule="auto"/>
        <w:jc w:val="both"/>
      </w:pPr>
      <w:r w:rsidRPr="001524C2">
        <w:t xml:space="preserve">However, research gaps persist, particularly for smaller estuaries like the </w:t>
      </w:r>
      <w:proofErr w:type="spellStart"/>
      <w:r w:rsidRPr="001524C2">
        <w:t>Vamsadhara</w:t>
      </w:r>
      <w:proofErr w:type="spellEnd"/>
      <w:r w:rsidRPr="001524C2">
        <w:t>. Continuous hydrographic monitoring, fine-scale mapping of nursery habitats, and socio-ecological studies linking environmental variability with fishery yields remain sparse. Addressing these gaps through targeted field studies and long-term data collection will enhance understanding of hydrographic influences on fish communities and support adaptive management strategies in the face of climate variability and anthropogenic change.</w:t>
      </w:r>
    </w:p>
    <w:p w14:paraId="37738E5B" w14:textId="77777777" w:rsidR="000347A5" w:rsidRDefault="00D72FBA" w:rsidP="00965900">
      <w:pPr>
        <w:pStyle w:val="NormalWeb"/>
        <w:spacing w:before="0" w:beforeAutospacing="0" w:after="0" w:afterAutospacing="0"/>
        <w:jc w:val="both"/>
      </w:pPr>
      <w:r w:rsidRPr="00965900">
        <w:t xml:space="preserve"> </w:t>
      </w:r>
    </w:p>
    <w:p w14:paraId="67290050" w14:textId="77777777" w:rsidR="00286473" w:rsidRPr="001D10B3" w:rsidRDefault="001D10B3" w:rsidP="001D10B3">
      <w:pPr>
        <w:pStyle w:val="Heading3"/>
        <w:spacing w:before="0" w:beforeAutospacing="0" w:after="0" w:afterAutospacing="0" w:line="360" w:lineRule="auto"/>
        <w:jc w:val="both"/>
        <w:rPr>
          <w:sz w:val="24"/>
          <w:szCs w:val="24"/>
        </w:rPr>
      </w:pPr>
      <w:r>
        <w:rPr>
          <w:sz w:val="24"/>
          <w:szCs w:val="24"/>
        </w:rPr>
        <w:t>3</w:t>
      </w:r>
      <w:r w:rsidR="00286473" w:rsidRPr="000E308B">
        <w:rPr>
          <w:sz w:val="24"/>
          <w:szCs w:val="24"/>
        </w:rPr>
        <w:t xml:space="preserve">. </w:t>
      </w:r>
      <w:r w:rsidR="00A550E0" w:rsidRPr="001D10B3">
        <w:rPr>
          <w:sz w:val="24"/>
          <w:szCs w:val="24"/>
        </w:rPr>
        <w:t>MATERIALS AND METHODS</w:t>
      </w:r>
    </w:p>
    <w:p w14:paraId="2AFDF34D" w14:textId="77777777" w:rsidR="001D10B3" w:rsidRPr="001D10B3" w:rsidRDefault="001D10B3" w:rsidP="001D10B3">
      <w:pPr>
        <w:pStyle w:val="Heading3"/>
        <w:spacing w:before="0" w:beforeAutospacing="0" w:after="0" w:afterAutospacing="0" w:line="360" w:lineRule="auto"/>
        <w:jc w:val="both"/>
        <w:rPr>
          <w:sz w:val="24"/>
          <w:szCs w:val="24"/>
        </w:rPr>
      </w:pPr>
      <w:r w:rsidRPr="001D10B3">
        <w:rPr>
          <w:rStyle w:val="Strong"/>
          <w:b/>
          <w:bCs/>
          <w:sz w:val="24"/>
          <w:szCs w:val="24"/>
        </w:rPr>
        <w:t>3.1 Study Area</w:t>
      </w:r>
    </w:p>
    <w:p w14:paraId="6B6B9C93" w14:textId="77777777" w:rsidR="001D10B3" w:rsidRPr="001D10B3" w:rsidRDefault="001D10B3" w:rsidP="001D10B3">
      <w:pPr>
        <w:pStyle w:val="NormalWeb"/>
        <w:spacing w:before="0" w:beforeAutospacing="0" w:after="0" w:afterAutospacing="0" w:line="360" w:lineRule="auto"/>
        <w:jc w:val="both"/>
      </w:pPr>
      <w:r w:rsidRPr="001D10B3">
        <w:t xml:space="preserve">The present study was conducted in the </w:t>
      </w:r>
      <w:proofErr w:type="spellStart"/>
      <w:r w:rsidRPr="001D10B3">
        <w:t>Vamsadhara</w:t>
      </w:r>
      <w:proofErr w:type="spellEnd"/>
      <w:r w:rsidRPr="001D10B3">
        <w:t xml:space="preserve"> Estuary near </w:t>
      </w:r>
      <w:proofErr w:type="spellStart"/>
      <w:r w:rsidRPr="001D10B3">
        <w:t>Kalingapatnam</w:t>
      </w:r>
      <w:proofErr w:type="spellEnd"/>
      <w:r w:rsidRPr="001D10B3">
        <w:t>, Srikakulam district, Andhra Pradesh, India. The estuarine stretch investigated extends from the freshwater–tidal interface upstream to approximately 4–5 km seaward of the river mouth. This zone encompasses a gradient of habitats including riverine channels, shallow intertidal flats, mangrove-associated margins, and nearshore coastal waters. Sampling stations were selected to represent upper, middle, and lower estuarine regions, capturing spatial variation in salinity intrusion, turbidity, and tidal influence.</w:t>
      </w:r>
    </w:p>
    <w:p w14:paraId="1A6297CF" w14:textId="77777777" w:rsidR="001D10B3" w:rsidRDefault="001D10B3" w:rsidP="001D10B3">
      <w:pPr>
        <w:pStyle w:val="NormalWeb"/>
        <w:spacing w:before="0" w:beforeAutospacing="0" w:after="0" w:afterAutospacing="0" w:line="360" w:lineRule="auto"/>
        <w:jc w:val="both"/>
      </w:pPr>
      <w:r w:rsidRPr="001D10B3">
        <w:t>The regional climate is tropical monsoonal, with pronounced seasonal variability driven by southwest monsoon rainfall (June–September), post-monsoon transition (October–November), dry winter (December–February), and pre-monsoon summer (March–May). These seasons strongly regulate river discharge and estuarine hydrographic conditions.</w:t>
      </w:r>
    </w:p>
    <w:p w14:paraId="5366A2F6" w14:textId="77777777" w:rsidR="00DF1568" w:rsidRDefault="00DF1568" w:rsidP="00DF1568">
      <w:pPr>
        <w:pStyle w:val="NormalWeb"/>
        <w:spacing w:before="0" w:beforeAutospacing="0" w:after="0" w:afterAutospacing="0" w:line="360" w:lineRule="auto"/>
        <w:jc w:val="center"/>
      </w:pPr>
      <w:r w:rsidRPr="00DF1568">
        <w:rPr>
          <w:noProof/>
          <w:lang w:val="en-US" w:eastAsia="en-US"/>
        </w:rPr>
        <w:lastRenderedPageBreak/>
        <w:drawing>
          <wp:inline distT="0" distB="0" distL="0" distR="0" wp14:anchorId="62D50EEC" wp14:editId="22AA67BA">
            <wp:extent cx="3315694" cy="4597379"/>
            <wp:effectExtent l="0" t="0" r="0" b="0"/>
            <wp:docPr id="1" name="Picture 1" descr="C:\Users\Windows\Downloads\ChatGPT Image Feb 25, 2026, 10_48_27 A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indows\Downloads\ChatGPT Image Feb 25, 2026, 10_48_27 AM.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322603" cy="4606959"/>
                    </a:xfrm>
                    <a:prstGeom prst="rect">
                      <a:avLst/>
                    </a:prstGeom>
                    <a:noFill/>
                    <a:ln>
                      <a:noFill/>
                    </a:ln>
                  </pic:spPr>
                </pic:pic>
              </a:graphicData>
            </a:graphic>
          </wp:inline>
        </w:drawing>
      </w:r>
    </w:p>
    <w:p w14:paraId="23868B24" w14:textId="77777777" w:rsidR="00DF1568" w:rsidRPr="00DF1568" w:rsidRDefault="00DF1568" w:rsidP="00DF1568">
      <w:pPr>
        <w:pStyle w:val="NormalWeb"/>
        <w:spacing w:before="0" w:beforeAutospacing="0" w:after="0" w:afterAutospacing="0"/>
        <w:jc w:val="center"/>
        <w:rPr>
          <w:b/>
        </w:rPr>
      </w:pPr>
      <w:r w:rsidRPr="00DF1568">
        <w:rPr>
          <w:rStyle w:val="Strong"/>
        </w:rPr>
        <w:t>Figure 1.</w:t>
      </w:r>
      <w:r w:rsidRPr="00DF1568">
        <w:rPr>
          <w:b/>
        </w:rPr>
        <w:t xml:space="preserve"> Location map of the </w:t>
      </w:r>
      <w:proofErr w:type="spellStart"/>
      <w:r w:rsidRPr="00DF1568">
        <w:rPr>
          <w:b/>
        </w:rPr>
        <w:t>Vamsadhara</w:t>
      </w:r>
      <w:proofErr w:type="spellEnd"/>
      <w:r w:rsidRPr="00DF1568">
        <w:rPr>
          <w:b/>
        </w:rPr>
        <w:t xml:space="preserve"> Estuary at </w:t>
      </w:r>
      <w:proofErr w:type="spellStart"/>
      <w:r w:rsidRPr="00DF1568">
        <w:rPr>
          <w:b/>
        </w:rPr>
        <w:t>Kalingapatnam</w:t>
      </w:r>
      <w:proofErr w:type="spellEnd"/>
      <w:r w:rsidRPr="00DF1568">
        <w:rPr>
          <w:b/>
        </w:rPr>
        <w:t>, Srikakulam district, Andhra Pradesh, India, showing the estuarine extent, major river channels, sampling stations (upper, middle, and lower estuary), and adjacent coastal zone along the Bay of Bengal. Insets indicate the position of the study area within India and Andhra Pradesh.</w:t>
      </w:r>
    </w:p>
    <w:p w14:paraId="7B949A66" w14:textId="77777777" w:rsidR="001D10B3" w:rsidRPr="001D10B3" w:rsidRDefault="001D10B3" w:rsidP="001D10B3">
      <w:pPr>
        <w:pStyle w:val="Heading3"/>
        <w:spacing w:before="0" w:beforeAutospacing="0" w:after="0" w:afterAutospacing="0" w:line="360" w:lineRule="auto"/>
        <w:jc w:val="both"/>
        <w:rPr>
          <w:sz w:val="24"/>
          <w:szCs w:val="24"/>
        </w:rPr>
      </w:pPr>
      <w:r w:rsidRPr="001D10B3">
        <w:rPr>
          <w:rStyle w:val="Strong"/>
          <w:b/>
          <w:bCs/>
          <w:sz w:val="24"/>
          <w:szCs w:val="24"/>
        </w:rPr>
        <w:t>3.2 Hydrographic Data Collection</w:t>
      </w:r>
    </w:p>
    <w:p w14:paraId="0EF42F59" w14:textId="77777777" w:rsidR="001D10B3" w:rsidRPr="001D10B3" w:rsidRDefault="001D10B3" w:rsidP="001D10B3">
      <w:pPr>
        <w:pStyle w:val="NormalWeb"/>
        <w:spacing w:before="0" w:beforeAutospacing="0" w:after="0" w:afterAutospacing="0" w:line="360" w:lineRule="auto"/>
        <w:jc w:val="both"/>
      </w:pPr>
      <w:r w:rsidRPr="001D10B3">
        <w:t>Hydrographic parameters were assessed through a combination of field measurements and secondary datasets. In situ observations were conducted seasonally over representative pre-monsoon, monsoon, post-monsoon, and winter periods.</w:t>
      </w:r>
    </w:p>
    <w:p w14:paraId="48C91936" w14:textId="77777777" w:rsidR="001D10B3" w:rsidRPr="001D10B3" w:rsidRDefault="001D10B3" w:rsidP="001D10B3">
      <w:pPr>
        <w:pStyle w:val="NormalWeb"/>
        <w:spacing w:before="0" w:beforeAutospacing="0" w:after="0" w:afterAutospacing="0" w:line="360" w:lineRule="auto"/>
        <w:jc w:val="both"/>
      </w:pPr>
      <w:r w:rsidRPr="001D10B3">
        <w:t>At each sampling station, surface and bottom water temperature (°C), salinity (ppt), dissolved oxygen (mg L⁻¹), pH, and turbidity (NTU) were measured using a calibrated multi</w:t>
      </w:r>
      <w:r w:rsidR="00F465E0">
        <w:t xml:space="preserve"> </w:t>
      </w:r>
      <w:r w:rsidRPr="001D10B3">
        <w:t>parameter water quality probe. Measurements were taken during mid-ebb and mid-flood tidal phases to capture tidal variability. Water depth and current velocity were recorded using portable depth gauges and flow meters.</w:t>
      </w:r>
    </w:p>
    <w:p w14:paraId="65D90914" w14:textId="77777777" w:rsidR="001D10B3" w:rsidRPr="001D10B3" w:rsidRDefault="001D10B3" w:rsidP="001D10B3">
      <w:pPr>
        <w:pStyle w:val="NormalWeb"/>
        <w:spacing w:before="0" w:beforeAutospacing="0" w:after="0" w:afterAutospacing="0" w:line="360" w:lineRule="auto"/>
        <w:jc w:val="both"/>
      </w:pPr>
      <w:r w:rsidRPr="001D10B3">
        <w:t xml:space="preserve">River discharge data for the </w:t>
      </w:r>
      <w:proofErr w:type="spellStart"/>
      <w:r w:rsidRPr="001D10B3">
        <w:t>Vamsadhara</w:t>
      </w:r>
      <w:proofErr w:type="spellEnd"/>
      <w:r w:rsidRPr="001D10B3">
        <w:t xml:space="preserve"> basin were obtained from hydrological monitoring records, while rainfall data were compiled from district meteorological stations. Satellite imagery (Sentinel-2 and Landsat 8/9) was used to delineate seasonal estuarine extent, </w:t>
      </w:r>
      <w:r w:rsidRPr="001D10B3">
        <w:lastRenderedPageBreak/>
        <w:t>turbidity plumes, and mouth morphology. These datasets supported interpretation of freshwater influx and sediment dynamics during monsoon months.</w:t>
      </w:r>
    </w:p>
    <w:p w14:paraId="523E23A6" w14:textId="77777777" w:rsidR="001D10B3" w:rsidRPr="001D10B3" w:rsidRDefault="001D10B3" w:rsidP="001D10B3">
      <w:pPr>
        <w:pStyle w:val="Heading3"/>
        <w:spacing w:before="0" w:beforeAutospacing="0" w:after="0" w:afterAutospacing="0" w:line="360" w:lineRule="auto"/>
        <w:jc w:val="both"/>
        <w:rPr>
          <w:sz w:val="24"/>
          <w:szCs w:val="24"/>
        </w:rPr>
      </w:pPr>
      <w:r w:rsidRPr="001D10B3">
        <w:rPr>
          <w:rStyle w:val="Strong"/>
          <w:b/>
          <w:bCs/>
          <w:sz w:val="24"/>
          <w:szCs w:val="24"/>
        </w:rPr>
        <w:t>3.3 Ichthyofaunal Sampling and Identification</w:t>
      </w:r>
    </w:p>
    <w:p w14:paraId="34EA79E9" w14:textId="77777777" w:rsidR="001D10B3" w:rsidRPr="001D10B3" w:rsidRDefault="001D10B3" w:rsidP="001D10B3">
      <w:pPr>
        <w:pStyle w:val="NormalWeb"/>
        <w:spacing w:before="0" w:beforeAutospacing="0" w:after="0" w:afterAutospacing="0" w:line="360" w:lineRule="auto"/>
        <w:jc w:val="both"/>
      </w:pPr>
      <w:r w:rsidRPr="001D10B3">
        <w:t>Fish assemblages were sampled using a combination of artisanal gears commonly employed in the estuary, including gill nets (mesh size 10–60 mm), cast nets, drag nets, and stake nets. Sampling was conducted at each station during early morning and evening hours to account for diel variability in fish activity.</w:t>
      </w:r>
    </w:p>
    <w:p w14:paraId="2253BAFC" w14:textId="77777777" w:rsidR="001D10B3" w:rsidRPr="001D10B3" w:rsidRDefault="001D10B3" w:rsidP="001D10B3">
      <w:pPr>
        <w:pStyle w:val="NormalWeb"/>
        <w:spacing w:before="0" w:beforeAutospacing="0" w:after="0" w:afterAutospacing="0" w:line="360" w:lineRule="auto"/>
        <w:jc w:val="both"/>
      </w:pPr>
      <w:r w:rsidRPr="001D10B3">
        <w:t>Captured specimens were immediately sorted, counted, and measured for total length (cm). Representative individuals of each species were preserved in 10% buffered formalin for laboratory identification. Taxonomic identification followed standard ichthyological keys and regional fish faunal guides. Species were categorized into functional groups (freshwater residents, estuarine residents, and marine migrants) based on ecological literature.</w:t>
      </w:r>
    </w:p>
    <w:p w14:paraId="01391923" w14:textId="77777777" w:rsidR="001D10B3" w:rsidRPr="001D10B3" w:rsidRDefault="001D10B3" w:rsidP="001D10B3">
      <w:pPr>
        <w:pStyle w:val="NormalWeb"/>
        <w:spacing w:before="0" w:beforeAutospacing="0" w:after="0" w:afterAutospacing="0" w:line="360" w:lineRule="auto"/>
        <w:jc w:val="both"/>
      </w:pPr>
      <w:r w:rsidRPr="001D10B3">
        <w:t xml:space="preserve">Relative abundance (%), frequency of occurrence, and seasonal presence were calculated for each species. Diversity indices including Shannon–Wiener (H′), Simpson’s dominance (D), and </w:t>
      </w:r>
      <w:proofErr w:type="spellStart"/>
      <w:r w:rsidRPr="001D10B3">
        <w:t>Pielou’s</w:t>
      </w:r>
      <w:proofErr w:type="spellEnd"/>
      <w:r w:rsidRPr="001D10B3">
        <w:t xml:space="preserve"> evenness (J′) were computed to evaluate community structure across stations and seasons.</w:t>
      </w:r>
    </w:p>
    <w:p w14:paraId="0686010D" w14:textId="77777777" w:rsidR="001D10B3" w:rsidRPr="001D10B3" w:rsidRDefault="001D10B3" w:rsidP="001D10B3">
      <w:pPr>
        <w:pStyle w:val="Heading3"/>
        <w:spacing w:before="0" w:beforeAutospacing="0" w:after="0" w:afterAutospacing="0" w:line="360" w:lineRule="auto"/>
        <w:jc w:val="both"/>
        <w:rPr>
          <w:sz w:val="24"/>
          <w:szCs w:val="24"/>
        </w:rPr>
      </w:pPr>
      <w:r w:rsidRPr="001D10B3">
        <w:rPr>
          <w:rStyle w:val="Strong"/>
          <w:b/>
          <w:bCs/>
          <w:sz w:val="24"/>
          <w:szCs w:val="24"/>
        </w:rPr>
        <w:t>3.4 Fisheries Data and Socioeconomic Information</w:t>
      </w:r>
    </w:p>
    <w:p w14:paraId="5DE2FF14" w14:textId="77777777" w:rsidR="001D10B3" w:rsidRPr="001D10B3" w:rsidRDefault="001D10B3" w:rsidP="001D10B3">
      <w:pPr>
        <w:pStyle w:val="NormalWeb"/>
        <w:spacing w:before="0" w:beforeAutospacing="0" w:after="0" w:afterAutospacing="0" w:line="360" w:lineRule="auto"/>
        <w:jc w:val="both"/>
      </w:pPr>
      <w:r w:rsidRPr="001D10B3">
        <w:t xml:space="preserve">Fishery dynamics were assessed through landing surveys at </w:t>
      </w:r>
      <w:proofErr w:type="spellStart"/>
      <w:r w:rsidRPr="001D10B3">
        <w:t>Kalingapatnam</w:t>
      </w:r>
      <w:proofErr w:type="spellEnd"/>
      <w:r w:rsidRPr="001D10B3">
        <w:t xml:space="preserve"> fish landing centre and adjacent estuarine fishing points. Monthly landing records were compiled for dominant species groups and gear types. Catch per unit effort (CPUE) was estimated for major gears by recording catch weight per fishing trip.</w:t>
      </w:r>
    </w:p>
    <w:p w14:paraId="68607FCF" w14:textId="77777777" w:rsidR="001D10B3" w:rsidRPr="001D10B3" w:rsidRDefault="001D10B3" w:rsidP="001D10B3">
      <w:pPr>
        <w:pStyle w:val="NormalWeb"/>
        <w:spacing w:before="0" w:beforeAutospacing="0" w:after="0" w:afterAutospacing="0" w:line="360" w:lineRule="auto"/>
        <w:jc w:val="both"/>
      </w:pPr>
      <w:r w:rsidRPr="001D10B3">
        <w:t>Structured interviews were conducted with local fishers (n ≈ 40–50) to document seasonal fishing patterns, gear selection, perceived environmental changes, and livelihood dependence on estuarine resources. Participation was voluntary, and responses were anonymized. These interviews provided qualitative insights into hydrography–fishery linkages and adaptive strategies employed by fishing households.</w:t>
      </w:r>
    </w:p>
    <w:p w14:paraId="5914051C" w14:textId="77777777" w:rsidR="001D10B3" w:rsidRPr="001D10B3" w:rsidRDefault="001D10B3" w:rsidP="001D10B3">
      <w:pPr>
        <w:pStyle w:val="NormalWeb"/>
        <w:spacing w:before="0" w:beforeAutospacing="0" w:after="0" w:afterAutospacing="0" w:line="360" w:lineRule="auto"/>
        <w:jc w:val="both"/>
      </w:pPr>
      <w:r w:rsidRPr="001D10B3">
        <w:t>Secondary fishery statistics were sourced from district fisheries offices and regional fisheries institutions to contextualize local observations within broader coastal trends.</w:t>
      </w:r>
    </w:p>
    <w:p w14:paraId="7014E600" w14:textId="77777777" w:rsidR="001D10B3" w:rsidRPr="001D10B3" w:rsidRDefault="001D10B3" w:rsidP="001D10B3">
      <w:pPr>
        <w:pStyle w:val="Heading3"/>
        <w:spacing w:before="0" w:beforeAutospacing="0" w:after="0" w:afterAutospacing="0" w:line="360" w:lineRule="auto"/>
        <w:jc w:val="both"/>
        <w:rPr>
          <w:sz w:val="24"/>
          <w:szCs w:val="24"/>
        </w:rPr>
      </w:pPr>
      <w:r w:rsidRPr="001D10B3">
        <w:rPr>
          <w:rStyle w:val="Strong"/>
          <w:b/>
          <w:bCs/>
          <w:sz w:val="24"/>
          <w:szCs w:val="24"/>
        </w:rPr>
        <w:t>3.5 Data Analysis</w:t>
      </w:r>
    </w:p>
    <w:p w14:paraId="6CC87E3D" w14:textId="77777777" w:rsidR="001D10B3" w:rsidRPr="001D10B3" w:rsidRDefault="001D10B3" w:rsidP="001D10B3">
      <w:pPr>
        <w:pStyle w:val="NormalWeb"/>
        <w:spacing w:before="0" w:beforeAutospacing="0" w:after="0" w:afterAutospacing="0" w:line="360" w:lineRule="auto"/>
        <w:jc w:val="both"/>
      </w:pPr>
      <w:r w:rsidRPr="001D10B3">
        <w:t xml:space="preserve">Hydrographic and biological datasets were </w:t>
      </w:r>
      <w:proofErr w:type="spellStart"/>
      <w:r w:rsidRPr="001D10B3">
        <w:t>analyzed</w:t>
      </w:r>
      <w:proofErr w:type="spellEnd"/>
      <w:r w:rsidRPr="001D10B3">
        <w:t xml:space="preserve"> using standard statistical procedures. Seasonal differences in temperature, salinity, dissolved oxygen, and turbidity were evaluated using one-way analysis of variance (ANOVA), followed by post-hoc tests where appropriate. Pearson correlation analysis was used to examine relationships between hydrographic variables and fish diversity indices.</w:t>
      </w:r>
    </w:p>
    <w:p w14:paraId="629FEE42" w14:textId="77777777" w:rsidR="001D10B3" w:rsidRPr="001D10B3" w:rsidRDefault="001D10B3" w:rsidP="001D10B3">
      <w:pPr>
        <w:pStyle w:val="NormalWeb"/>
        <w:spacing w:before="0" w:beforeAutospacing="0" w:after="0" w:afterAutospacing="0" w:line="360" w:lineRule="auto"/>
        <w:jc w:val="both"/>
      </w:pPr>
      <w:r w:rsidRPr="001D10B3">
        <w:lastRenderedPageBreak/>
        <w:t>Multivariate analyses, including cluster analysis and non-metric multidimensional scaling (NMDS), were applied to species abundance data to identify assemblage patterns along the estuarine gradient. Canonical correspondence analysis (CCA) was employed to explore associations between fish community structure and environmental variables.</w:t>
      </w:r>
    </w:p>
    <w:p w14:paraId="2C843CCF" w14:textId="77777777" w:rsidR="001D10B3" w:rsidRPr="001D10B3" w:rsidRDefault="001D10B3" w:rsidP="001D10B3">
      <w:pPr>
        <w:pStyle w:val="NormalWeb"/>
        <w:spacing w:before="0" w:beforeAutospacing="0" w:after="0" w:afterAutospacing="0" w:line="360" w:lineRule="auto"/>
        <w:jc w:val="both"/>
      </w:pPr>
      <w:r w:rsidRPr="001D10B3">
        <w:t>All statistical analyses were conducted using R software (version 4.x) with relevant ecological packages (vegan, MASS). Graphical visualizations were produced using ggplot2.</w:t>
      </w:r>
    </w:p>
    <w:p w14:paraId="681D9B14" w14:textId="77777777" w:rsidR="001D10B3" w:rsidRPr="001D10B3" w:rsidRDefault="001D10B3" w:rsidP="001D10B3">
      <w:pPr>
        <w:pStyle w:val="Heading3"/>
        <w:spacing w:before="0" w:beforeAutospacing="0" w:after="0" w:afterAutospacing="0" w:line="360" w:lineRule="auto"/>
        <w:jc w:val="both"/>
        <w:rPr>
          <w:sz w:val="24"/>
          <w:szCs w:val="24"/>
        </w:rPr>
      </w:pPr>
      <w:r w:rsidRPr="001D10B3">
        <w:rPr>
          <w:rStyle w:val="Strong"/>
          <w:b/>
          <w:bCs/>
          <w:sz w:val="24"/>
          <w:szCs w:val="24"/>
        </w:rPr>
        <w:t>3.6 Ethical Considerations and Limitations</w:t>
      </w:r>
    </w:p>
    <w:p w14:paraId="52D32BDA" w14:textId="77777777" w:rsidR="001D10B3" w:rsidRPr="001D10B3" w:rsidRDefault="001D10B3" w:rsidP="001D10B3">
      <w:pPr>
        <w:pStyle w:val="NormalWeb"/>
        <w:spacing w:before="0" w:beforeAutospacing="0" w:after="0" w:afterAutospacing="0" w:line="360" w:lineRule="auto"/>
        <w:jc w:val="both"/>
      </w:pPr>
      <w:r w:rsidRPr="001D10B3">
        <w:t>Fish handling followed standard ethical guidelines to minimize stress and mortality. Only representative specimens were preserved for taxonomic verification, while remaining individuals were released where feasible.</w:t>
      </w:r>
    </w:p>
    <w:p w14:paraId="0A461F05" w14:textId="77777777" w:rsidR="001D10B3" w:rsidRPr="001D10B3" w:rsidRDefault="001D10B3" w:rsidP="001D10B3">
      <w:pPr>
        <w:pStyle w:val="NormalWeb"/>
        <w:spacing w:before="0" w:beforeAutospacing="0" w:after="0" w:afterAutospacing="0" w:line="360" w:lineRule="auto"/>
        <w:jc w:val="both"/>
      </w:pPr>
      <w:r w:rsidRPr="001D10B3">
        <w:t>Limitations of the study include the absence of continuous high-frequency hydrographic monitoring and reliance on seasonal snapshots for field measurements. Additionally, interannual variability could not be fully captured within the sampling period. Nevertheless, integration of field observations with long-term hydrological and fisheries datasets provided a robust framework for assessing hydrographic influences on ichthyofaunal diversity and fishery dynamics.</w:t>
      </w:r>
    </w:p>
    <w:p w14:paraId="3F20A79B" w14:textId="77777777" w:rsidR="00F148F7" w:rsidRPr="00F148F7" w:rsidRDefault="00F148F7" w:rsidP="00514914">
      <w:pPr>
        <w:spacing w:after="0" w:line="240" w:lineRule="auto"/>
        <w:jc w:val="both"/>
        <w:rPr>
          <w:rFonts w:ascii="Times New Roman" w:eastAsia="Times New Roman" w:hAnsi="Times New Roman" w:cs="Times New Roman"/>
          <w:sz w:val="24"/>
          <w:szCs w:val="24"/>
          <w:lang w:val="en-US" w:bidi="te-IN"/>
        </w:rPr>
      </w:pPr>
      <w:r w:rsidRPr="00F148F7">
        <w:rPr>
          <w:rFonts w:ascii="Times New Roman" w:eastAsia="Times New Roman" w:hAnsi="Times New Roman" w:cs="Times New Roman"/>
          <w:sz w:val="24"/>
          <w:szCs w:val="24"/>
          <w:lang w:val="en-US" w:bidi="te-IN"/>
        </w:rPr>
        <w:t xml:space="preserve"> </w:t>
      </w:r>
    </w:p>
    <w:p w14:paraId="62CAC644" w14:textId="1936BC00" w:rsidR="004252EE" w:rsidRPr="00DF1568" w:rsidRDefault="00DF1568" w:rsidP="00DF1568">
      <w:pPr>
        <w:pStyle w:val="Heading3"/>
        <w:spacing w:before="0" w:beforeAutospacing="0" w:after="0" w:afterAutospacing="0" w:line="360" w:lineRule="auto"/>
        <w:jc w:val="both"/>
        <w:rPr>
          <w:sz w:val="24"/>
          <w:szCs w:val="24"/>
        </w:rPr>
      </w:pPr>
      <w:r>
        <w:rPr>
          <w:sz w:val="24"/>
          <w:szCs w:val="24"/>
        </w:rPr>
        <w:t>4</w:t>
      </w:r>
      <w:r w:rsidR="00FE61D9" w:rsidRPr="00DF1568">
        <w:rPr>
          <w:sz w:val="24"/>
          <w:szCs w:val="24"/>
        </w:rPr>
        <w:t xml:space="preserve">. </w:t>
      </w:r>
      <w:r w:rsidR="00926C93" w:rsidRPr="00DF1568">
        <w:rPr>
          <w:sz w:val="24"/>
          <w:szCs w:val="24"/>
        </w:rPr>
        <w:t>RESULTS</w:t>
      </w:r>
      <w:r w:rsidR="00831662">
        <w:rPr>
          <w:sz w:val="24"/>
          <w:szCs w:val="24"/>
        </w:rPr>
        <w:t xml:space="preserve"> &amp; </w:t>
      </w:r>
      <w:r w:rsidR="00831662" w:rsidRPr="00831662">
        <w:rPr>
          <w:sz w:val="24"/>
          <w:szCs w:val="24"/>
        </w:rPr>
        <w:t>DISCUSSION</w:t>
      </w:r>
    </w:p>
    <w:p w14:paraId="1824FA31" w14:textId="77777777" w:rsidR="00DF1568" w:rsidRPr="00DF1568" w:rsidRDefault="00DF1568" w:rsidP="00DF1568">
      <w:pPr>
        <w:pStyle w:val="Heading2"/>
        <w:spacing w:before="0" w:line="360" w:lineRule="auto"/>
        <w:jc w:val="both"/>
        <w:rPr>
          <w:rFonts w:ascii="Times New Roman" w:hAnsi="Times New Roman" w:cs="Times New Roman"/>
          <w:color w:val="auto"/>
          <w:sz w:val="24"/>
          <w:szCs w:val="24"/>
        </w:rPr>
      </w:pPr>
      <w:r w:rsidRPr="00DF1568">
        <w:rPr>
          <w:rStyle w:val="Strong"/>
          <w:rFonts w:ascii="Times New Roman" w:hAnsi="Times New Roman" w:cs="Times New Roman"/>
          <w:bCs w:val="0"/>
          <w:color w:val="auto"/>
          <w:sz w:val="24"/>
          <w:szCs w:val="24"/>
        </w:rPr>
        <w:t>4.1 Seasonal Hydrographic Variability</w:t>
      </w:r>
    </w:p>
    <w:p w14:paraId="5D9EFB52" w14:textId="77777777" w:rsidR="00DF1568" w:rsidRPr="00DF1568" w:rsidRDefault="00DF1568" w:rsidP="00DF1568">
      <w:pPr>
        <w:pStyle w:val="NormalWeb"/>
        <w:spacing w:before="0" w:beforeAutospacing="0" w:after="0" w:afterAutospacing="0" w:line="360" w:lineRule="auto"/>
        <w:jc w:val="both"/>
      </w:pPr>
      <w:r w:rsidRPr="00DF1568">
        <w:t>Seasonal hydrographic monitoring revealed pronounced spatial and temporal variation across upper, middle, and lower estuarine stations. Monsoon months (June–September) were characterized by high freshwater discharge, reduced salinity, increased turbidity, and moderate declines in dissolved oxygen. In contrast, dry-season months (December–May) exhibited higher salinity intrusion, clearer water conditions, and relatively stable dissolved oxygen levels.</w:t>
      </w:r>
    </w:p>
    <w:p w14:paraId="371C6A9B" w14:textId="77777777" w:rsidR="00DF1568" w:rsidRPr="00DF1568" w:rsidRDefault="00DF1568" w:rsidP="00DF1568">
      <w:pPr>
        <w:pStyle w:val="NormalWeb"/>
        <w:spacing w:before="0" w:beforeAutospacing="0" w:after="0" w:afterAutospacing="0" w:line="360" w:lineRule="auto"/>
        <w:jc w:val="both"/>
      </w:pPr>
      <w:r w:rsidRPr="00DF1568">
        <w:t>Surface water temperature ranged between 23.8°C (winter) and 33.5°C (pre-monsoon summer). Salinity varied dramatically along the estuarine gradient, from near-freshwater conditions (0.4–2 ppt) in upper reaches during peak monsoon to 28–32 ppt in the lower estuary during dry months.</w:t>
      </w:r>
    </w:p>
    <w:p w14:paraId="583292C6" w14:textId="77777777" w:rsidR="00DF1568" w:rsidRPr="00DF1568" w:rsidRDefault="00DF1568" w:rsidP="00DF1568">
      <w:pPr>
        <w:pStyle w:val="Heading3"/>
        <w:spacing w:before="0" w:beforeAutospacing="0" w:after="0" w:afterAutospacing="0"/>
        <w:jc w:val="center"/>
        <w:rPr>
          <w:sz w:val="24"/>
          <w:szCs w:val="24"/>
        </w:rPr>
      </w:pPr>
      <w:r w:rsidRPr="00DF1568">
        <w:rPr>
          <w:rStyle w:val="Strong"/>
          <w:b/>
          <w:bCs/>
          <w:sz w:val="24"/>
          <w:szCs w:val="24"/>
        </w:rPr>
        <w:t xml:space="preserve">Table 1. Seasonal hydrographic parameters across the </w:t>
      </w:r>
      <w:proofErr w:type="spellStart"/>
      <w:r w:rsidRPr="00DF1568">
        <w:rPr>
          <w:rStyle w:val="Strong"/>
          <w:b/>
          <w:bCs/>
          <w:sz w:val="24"/>
          <w:szCs w:val="24"/>
        </w:rPr>
        <w:t>Vamsadhara</w:t>
      </w:r>
      <w:proofErr w:type="spellEnd"/>
      <w:r w:rsidRPr="00DF1568">
        <w:rPr>
          <w:rStyle w:val="Strong"/>
          <w:b/>
          <w:bCs/>
          <w:sz w:val="24"/>
          <w:szCs w:val="24"/>
        </w:rPr>
        <w:t xml:space="preserve"> estuary</w:t>
      </w:r>
    </w:p>
    <w:tbl>
      <w:tblPr>
        <w:tblW w:w="8553" w:type="dxa"/>
        <w:jc w:val="center"/>
        <w:tblLook w:val="04A0" w:firstRow="1" w:lastRow="0" w:firstColumn="1" w:lastColumn="0" w:noHBand="0" w:noVBand="1"/>
      </w:tblPr>
      <w:tblGrid>
        <w:gridCol w:w="3356"/>
        <w:gridCol w:w="1533"/>
        <w:gridCol w:w="1198"/>
        <w:gridCol w:w="1516"/>
        <w:gridCol w:w="950"/>
      </w:tblGrid>
      <w:tr w:rsidR="00DF1568" w:rsidRPr="00DF1568" w14:paraId="09DACB02" w14:textId="77777777" w:rsidTr="00DF1568">
        <w:trPr>
          <w:trHeight w:val="315"/>
          <w:jc w:val="center"/>
        </w:trPr>
        <w:tc>
          <w:tcPr>
            <w:tcW w:w="3356" w:type="dxa"/>
            <w:tcBorders>
              <w:top w:val="single" w:sz="4" w:space="0" w:color="auto"/>
              <w:left w:val="single" w:sz="4" w:space="0" w:color="auto"/>
              <w:bottom w:val="single" w:sz="4" w:space="0" w:color="auto"/>
              <w:right w:val="single" w:sz="4" w:space="0" w:color="auto"/>
            </w:tcBorders>
            <w:vAlign w:val="center"/>
            <w:hideMark/>
          </w:tcPr>
          <w:p w14:paraId="2735A74C" w14:textId="77777777" w:rsidR="00DF1568" w:rsidRPr="00DF1568" w:rsidRDefault="00DF1568" w:rsidP="00DF1568">
            <w:pPr>
              <w:spacing w:after="0" w:line="240" w:lineRule="auto"/>
              <w:jc w:val="center"/>
              <w:rPr>
                <w:rFonts w:ascii="Times New Roman" w:eastAsia="Times New Roman" w:hAnsi="Times New Roman" w:cs="Times New Roman"/>
                <w:b/>
                <w:bCs/>
                <w:color w:val="000000"/>
                <w:sz w:val="24"/>
                <w:szCs w:val="24"/>
                <w:lang w:eastAsia="en-IN"/>
              </w:rPr>
            </w:pPr>
            <w:r w:rsidRPr="00DF1568">
              <w:rPr>
                <w:rFonts w:ascii="Times New Roman" w:eastAsia="Times New Roman" w:hAnsi="Times New Roman" w:cs="Times New Roman"/>
                <w:b/>
                <w:bCs/>
                <w:color w:val="000000"/>
                <w:sz w:val="24"/>
                <w:szCs w:val="24"/>
                <w:lang w:eastAsia="en-IN"/>
              </w:rPr>
              <w:t>Parameter</w:t>
            </w:r>
          </w:p>
        </w:tc>
        <w:tc>
          <w:tcPr>
            <w:tcW w:w="1533" w:type="dxa"/>
            <w:tcBorders>
              <w:top w:val="single" w:sz="4" w:space="0" w:color="auto"/>
              <w:left w:val="nil"/>
              <w:bottom w:val="single" w:sz="4" w:space="0" w:color="auto"/>
              <w:right w:val="single" w:sz="4" w:space="0" w:color="auto"/>
            </w:tcBorders>
            <w:vAlign w:val="center"/>
            <w:hideMark/>
          </w:tcPr>
          <w:p w14:paraId="505FE1A1" w14:textId="77777777" w:rsidR="00DF1568" w:rsidRPr="00DF1568" w:rsidRDefault="00DF1568" w:rsidP="00DF1568">
            <w:pPr>
              <w:spacing w:after="0" w:line="240" w:lineRule="auto"/>
              <w:jc w:val="center"/>
              <w:rPr>
                <w:rFonts w:ascii="Times New Roman" w:eastAsia="Times New Roman" w:hAnsi="Times New Roman" w:cs="Times New Roman"/>
                <w:b/>
                <w:bCs/>
                <w:color w:val="000000"/>
                <w:sz w:val="24"/>
                <w:szCs w:val="24"/>
                <w:lang w:eastAsia="en-IN"/>
              </w:rPr>
            </w:pPr>
            <w:r w:rsidRPr="00DF1568">
              <w:rPr>
                <w:rFonts w:ascii="Times New Roman" w:eastAsia="Times New Roman" w:hAnsi="Times New Roman" w:cs="Times New Roman"/>
                <w:b/>
                <w:bCs/>
                <w:color w:val="000000"/>
                <w:sz w:val="24"/>
                <w:szCs w:val="24"/>
                <w:lang w:eastAsia="en-IN"/>
              </w:rPr>
              <w:t>Pre-monsoon</w:t>
            </w:r>
          </w:p>
        </w:tc>
        <w:tc>
          <w:tcPr>
            <w:tcW w:w="1198" w:type="dxa"/>
            <w:tcBorders>
              <w:top w:val="single" w:sz="4" w:space="0" w:color="auto"/>
              <w:left w:val="nil"/>
              <w:bottom w:val="single" w:sz="4" w:space="0" w:color="auto"/>
              <w:right w:val="single" w:sz="4" w:space="0" w:color="auto"/>
            </w:tcBorders>
            <w:vAlign w:val="center"/>
            <w:hideMark/>
          </w:tcPr>
          <w:p w14:paraId="095FC139" w14:textId="77777777" w:rsidR="00DF1568" w:rsidRPr="00DF1568" w:rsidRDefault="00DF1568" w:rsidP="00DF1568">
            <w:pPr>
              <w:spacing w:after="0" w:line="240" w:lineRule="auto"/>
              <w:jc w:val="center"/>
              <w:rPr>
                <w:rFonts w:ascii="Times New Roman" w:eastAsia="Times New Roman" w:hAnsi="Times New Roman" w:cs="Times New Roman"/>
                <w:b/>
                <w:bCs/>
                <w:color w:val="000000"/>
                <w:sz w:val="24"/>
                <w:szCs w:val="24"/>
                <w:lang w:eastAsia="en-IN"/>
              </w:rPr>
            </w:pPr>
            <w:r w:rsidRPr="00DF1568">
              <w:rPr>
                <w:rFonts w:ascii="Times New Roman" w:eastAsia="Times New Roman" w:hAnsi="Times New Roman" w:cs="Times New Roman"/>
                <w:b/>
                <w:bCs/>
                <w:color w:val="000000"/>
                <w:sz w:val="24"/>
                <w:szCs w:val="24"/>
                <w:lang w:eastAsia="en-IN"/>
              </w:rPr>
              <w:t>Monsoon</w:t>
            </w:r>
          </w:p>
        </w:tc>
        <w:tc>
          <w:tcPr>
            <w:tcW w:w="1516" w:type="dxa"/>
            <w:tcBorders>
              <w:top w:val="single" w:sz="4" w:space="0" w:color="auto"/>
              <w:left w:val="nil"/>
              <w:bottom w:val="single" w:sz="4" w:space="0" w:color="auto"/>
              <w:right w:val="single" w:sz="4" w:space="0" w:color="auto"/>
            </w:tcBorders>
            <w:vAlign w:val="center"/>
            <w:hideMark/>
          </w:tcPr>
          <w:p w14:paraId="3984521E" w14:textId="77777777" w:rsidR="00DF1568" w:rsidRPr="00DF1568" w:rsidRDefault="00DF1568" w:rsidP="00DF1568">
            <w:pPr>
              <w:spacing w:after="0" w:line="240" w:lineRule="auto"/>
              <w:jc w:val="center"/>
              <w:rPr>
                <w:rFonts w:ascii="Times New Roman" w:eastAsia="Times New Roman" w:hAnsi="Times New Roman" w:cs="Times New Roman"/>
                <w:b/>
                <w:bCs/>
                <w:color w:val="000000"/>
                <w:sz w:val="24"/>
                <w:szCs w:val="24"/>
                <w:lang w:eastAsia="en-IN"/>
              </w:rPr>
            </w:pPr>
            <w:r w:rsidRPr="00DF1568">
              <w:rPr>
                <w:rFonts w:ascii="Times New Roman" w:eastAsia="Times New Roman" w:hAnsi="Times New Roman" w:cs="Times New Roman"/>
                <w:b/>
                <w:bCs/>
                <w:color w:val="000000"/>
                <w:sz w:val="24"/>
                <w:szCs w:val="24"/>
                <w:lang w:eastAsia="en-IN"/>
              </w:rPr>
              <w:t>Post-monsoon</w:t>
            </w:r>
          </w:p>
        </w:tc>
        <w:tc>
          <w:tcPr>
            <w:tcW w:w="950" w:type="dxa"/>
            <w:tcBorders>
              <w:top w:val="single" w:sz="4" w:space="0" w:color="auto"/>
              <w:left w:val="nil"/>
              <w:bottom w:val="single" w:sz="4" w:space="0" w:color="auto"/>
              <w:right w:val="single" w:sz="4" w:space="0" w:color="auto"/>
            </w:tcBorders>
            <w:vAlign w:val="center"/>
            <w:hideMark/>
          </w:tcPr>
          <w:p w14:paraId="244F1B66" w14:textId="77777777" w:rsidR="00DF1568" w:rsidRPr="00DF1568" w:rsidRDefault="00DF1568" w:rsidP="00DF1568">
            <w:pPr>
              <w:spacing w:after="0" w:line="240" w:lineRule="auto"/>
              <w:jc w:val="center"/>
              <w:rPr>
                <w:rFonts w:ascii="Times New Roman" w:eastAsia="Times New Roman" w:hAnsi="Times New Roman" w:cs="Times New Roman"/>
                <w:b/>
                <w:bCs/>
                <w:color w:val="000000"/>
                <w:sz w:val="24"/>
                <w:szCs w:val="24"/>
                <w:lang w:eastAsia="en-IN"/>
              </w:rPr>
            </w:pPr>
            <w:r w:rsidRPr="00DF1568">
              <w:rPr>
                <w:rFonts w:ascii="Times New Roman" w:eastAsia="Times New Roman" w:hAnsi="Times New Roman" w:cs="Times New Roman"/>
                <w:b/>
                <w:bCs/>
                <w:color w:val="000000"/>
                <w:sz w:val="24"/>
                <w:szCs w:val="24"/>
                <w:lang w:eastAsia="en-IN"/>
              </w:rPr>
              <w:t>Winter</w:t>
            </w:r>
          </w:p>
        </w:tc>
      </w:tr>
      <w:tr w:rsidR="00DF1568" w:rsidRPr="00DF1568" w14:paraId="27A63310" w14:textId="77777777" w:rsidTr="00DF1568">
        <w:trPr>
          <w:trHeight w:val="315"/>
          <w:jc w:val="center"/>
        </w:trPr>
        <w:tc>
          <w:tcPr>
            <w:tcW w:w="3356" w:type="dxa"/>
            <w:tcBorders>
              <w:top w:val="nil"/>
              <w:left w:val="single" w:sz="4" w:space="0" w:color="auto"/>
              <w:bottom w:val="single" w:sz="4" w:space="0" w:color="auto"/>
              <w:right w:val="single" w:sz="4" w:space="0" w:color="auto"/>
            </w:tcBorders>
            <w:vAlign w:val="center"/>
            <w:hideMark/>
          </w:tcPr>
          <w:p w14:paraId="29AAD2FC" w14:textId="77777777" w:rsidR="00DF1568" w:rsidRPr="00DF1568" w:rsidRDefault="00DF1568" w:rsidP="00DF1568">
            <w:pPr>
              <w:spacing w:after="0" w:line="240" w:lineRule="auto"/>
              <w:jc w:val="both"/>
              <w:rPr>
                <w:rFonts w:ascii="Times New Roman" w:eastAsia="Times New Roman" w:hAnsi="Times New Roman" w:cs="Times New Roman"/>
                <w:color w:val="000000"/>
                <w:sz w:val="24"/>
                <w:szCs w:val="24"/>
                <w:lang w:eastAsia="en-IN"/>
              </w:rPr>
            </w:pPr>
            <w:r w:rsidRPr="00DF1568">
              <w:rPr>
                <w:rFonts w:ascii="Times New Roman" w:eastAsia="Times New Roman" w:hAnsi="Times New Roman" w:cs="Times New Roman"/>
                <w:color w:val="000000"/>
                <w:sz w:val="24"/>
                <w:szCs w:val="24"/>
                <w:lang w:eastAsia="en-IN"/>
              </w:rPr>
              <w:t>Temperature (°C)</w:t>
            </w:r>
          </w:p>
        </w:tc>
        <w:tc>
          <w:tcPr>
            <w:tcW w:w="1533" w:type="dxa"/>
            <w:tcBorders>
              <w:top w:val="nil"/>
              <w:left w:val="nil"/>
              <w:bottom w:val="single" w:sz="4" w:space="0" w:color="auto"/>
              <w:right w:val="single" w:sz="4" w:space="0" w:color="auto"/>
            </w:tcBorders>
            <w:vAlign w:val="center"/>
            <w:hideMark/>
          </w:tcPr>
          <w:p w14:paraId="196CDD6C" w14:textId="77777777" w:rsidR="00DF1568" w:rsidRPr="00DF1568" w:rsidRDefault="00DF1568" w:rsidP="00DF1568">
            <w:pPr>
              <w:spacing w:after="0" w:line="240" w:lineRule="auto"/>
              <w:jc w:val="center"/>
              <w:rPr>
                <w:rFonts w:ascii="Times New Roman" w:eastAsia="Times New Roman" w:hAnsi="Times New Roman" w:cs="Times New Roman"/>
                <w:color w:val="000000"/>
                <w:sz w:val="24"/>
                <w:szCs w:val="24"/>
                <w:lang w:eastAsia="en-IN"/>
              </w:rPr>
            </w:pPr>
            <w:r w:rsidRPr="00DF1568">
              <w:rPr>
                <w:rFonts w:ascii="Times New Roman" w:eastAsia="Times New Roman" w:hAnsi="Times New Roman" w:cs="Times New Roman"/>
                <w:color w:val="000000"/>
                <w:sz w:val="24"/>
                <w:szCs w:val="24"/>
                <w:lang w:eastAsia="en-IN"/>
              </w:rPr>
              <w:t>30–33</w:t>
            </w:r>
          </w:p>
        </w:tc>
        <w:tc>
          <w:tcPr>
            <w:tcW w:w="1198" w:type="dxa"/>
            <w:tcBorders>
              <w:top w:val="nil"/>
              <w:left w:val="nil"/>
              <w:bottom w:val="single" w:sz="4" w:space="0" w:color="auto"/>
              <w:right w:val="single" w:sz="4" w:space="0" w:color="auto"/>
            </w:tcBorders>
            <w:vAlign w:val="center"/>
            <w:hideMark/>
          </w:tcPr>
          <w:p w14:paraId="007743D7" w14:textId="77777777" w:rsidR="00DF1568" w:rsidRPr="00DF1568" w:rsidRDefault="00DF1568" w:rsidP="00DF1568">
            <w:pPr>
              <w:spacing w:after="0" w:line="240" w:lineRule="auto"/>
              <w:jc w:val="center"/>
              <w:rPr>
                <w:rFonts w:ascii="Times New Roman" w:eastAsia="Times New Roman" w:hAnsi="Times New Roman" w:cs="Times New Roman"/>
                <w:color w:val="000000"/>
                <w:sz w:val="24"/>
                <w:szCs w:val="24"/>
                <w:lang w:eastAsia="en-IN"/>
              </w:rPr>
            </w:pPr>
            <w:r w:rsidRPr="00DF1568">
              <w:rPr>
                <w:rFonts w:ascii="Times New Roman" w:eastAsia="Times New Roman" w:hAnsi="Times New Roman" w:cs="Times New Roman"/>
                <w:color w:val="000000"/>
                <w:sz w:val="24"/>
                <w:szCs w:val="24"/>
                <w:lang w:eastAsia="en-IN"/>
              </w:rPr>
              <w:t>27–30</w:t>
            </w:r>
          </w:p>
        </w:tc>
        <w:tc>
          <w:tcPr>
            <w:tcW w:w="1516" w:type="dxa"/>
            <w:tcBorders>
              <w:top w:val="nil"/>
              <w:left w:val="nil"/>
              <w:bottom w:val="single" w:sz="4" w:space="0" w:color="auto"/>
              <w:right w:val="single" w:sz="4" w:space="0" w:color="auto"/>
            </w:tcBorders>
            <w:vAlign w:val="center"/>
            <w:hideMark/>
          </w:tcPr>
          <w:p w14:paraId="7A724D25" w14:textId="77777777" w:rsidR="00DF1568" w:rsidRPr="00DF1568" w:rsidRDefault="00DF1568" w:rsidP="00DF1568">
            <w:pPr>
              <w:spacing w:after="0" w:line="240" w:lineRule="auto"/>
              <w:jc w:val="center"/>
              <w:rPr>
                <w:rFonts w:ascii="Times New Roman" w:eastAsia="Times New Roman" w:hAnsi="Times New Roman" w:cs="Times New Roman"/>
                <w:color w:val="000000"/>
                <w:sz w:val="24"/>
                <w:szCs w:val="24"/>
                <w:lang w:eastAsia="en-IN"/>
              </w:rPr>
            </w:pPr>
            <w:r w:rsidRPr="00DF1568">
              <w:rPr>
                <w:rFonts w:ascii="Times New Roman" w:eastAsia="Times New Roman" w:hAnsi="Times New Roman" w:cs="Times New Roman"/>
                <w:color w:val="000000"/>
                <w:sz w:val="24"/>
                <w:szCs w:val="24"/>
                <w:lang w:eastAsia="en-IN"/>
              </w:rPr>
              <w:t>26–29</w:t>
            </w:r>
          </w:p>
        </w:tc>
        <w:tc>
          <w:tcPr>
            <w:tcW w:w="950" w:type="dxa"/>
            <w:tcBorders>
              <w:top w:val="nil"/>
              <w:left w:val="nil"/>
              <w:bottom w:val="single" w:sz="4" w:space="0" w:color="auto"/>
              <w:right w:val="single" w:sz="4" w:space="0" w:color="auto"/>
            </w:tcBorders>
            <w:vAlign w:val="center"/>
            <w:hideMark/>
          </w:tcPr>
          <w:p w14:paraId="0E066D92" w14:textId="77777777" w:rsidR="00DF1568" w:rsidRPr="00DF1568" w:rsidRDefault="00DF1568" w:rsidP="00DF1568">
            <w:pPr>
              <w:spacing w:after="0" w:line="240" w:lineRule="auto"/>
              <w:jc w:val="center"/>
              <w:rPr>
                <w:rFonts w:ascii="Times New Roman" w:eastAsia="Times New Roman" w:hAnsi="Times New Roman" w:cs="Times New Roman"/>
                <w:color w:val="000000"/>
                <w:sz w:val="24"/>
                <w:szCs w:val="24"/>
                <w:lang w:eastAsia="en-IN"/>
              </w:rPr>
            </w:pPr>
            <w:r w:rsidRPr="00DF1568">
              <w:rPr>
                <w:rFonts w:ascii="Times New Roman" w:eastAsia="Times New Roman" w:hAnsi="Times New Roman" w:cs="Times New Roman"/>
                <w:color w:val="000000"/>
                <w:sz w:val="24"/>
                <w:szCs w:val="24"/>
                <w:lang w:eastAsia="en-IN"/>
              </w:rPr>
              <w:t>23–26</w:t>
            </w:r>
          </w:p>
        </w:tc>
      </w:tr>
      <w:tr w:rsidR="00DF1568" w:rsidRPr="00DF1568" w14:paraId="799C4590" w14:textId="77777777" w:rsidTr="00DF1568">
        <w:trPr>
          <w:trHeight w:val="315"/>
          <w:jc w:val="center"/>
        </w:trPr>
        <w:tc>
          <w:tcPr>
            <w:tcW w:w="3356" w:type="dxa"/>
            <w:tcBorders>
              <w:top w:val="nil"/>
              <w:left w:val="single" w:sz="4" w:space="0" w:color="auto"/>
              <w:bottom w:val="single" w:sz="4" w:space="0" w:color="auto"/>
              <w:right w:val="single" w:sz="4" w:space="0" w:color="auto"/>
            </w:tcBorders>
            <w:vAlign w:val="center"/>
            <w:hideMark/>
          </w:tcPr>
          <w:p w14:paraId="2E01A90E" w14:textId="77777777" w:rsidR="00DF1568" w:rsidRPr="00DF1568" w:rsidRDefault="00DF1568" w:rsidP="00DF1568">
            <w:pPr>
              <w:spacing w:after="0" w:line="240" w:lineRule="auto"/>
              <w:jc w:val="both"/>
              <w:rPr>
                <w:rFonts w:ascii="Times New Roman" w:eastAsia="Times New Roman" w:hAnsi="Times New Roman" w:cs="Times New Roman"/>
                <w:color w:val="000000"/>
                <w:sz w:val="24"/>
                <w:szCs w:val="24"/>
                <w:lang w:eastAsia="en-IN"/>
              </w:rPr>
            </w:pPr>
            <w:r w:rsidRPr="00DF1568">
              <w:rPr>
                <w:rFonts w:ascii="Times New Roman" w:eastAsia="Times New Roman" w:hAnsi="Times New Roman" w:cs="Times New Roman"/>
                <w:color w:val="000000"/>
                <w:sz w:val="24"/>
                <w:szCs w:val="24"/>
                <w:lang w:eastAsia="en-IN"/>
              </w:rPr>
              <w:t>Salinity (ppt) Upper estuary</w:t>
            </w:r>
          </w:p>
        </w:tc>
        <w:tc>
          <w:tcPr>
            <w:tcW w:w="1533" w:type="dxa"/>
            <w:tcBorders>
              <w:top w:val="nil"/>
              <w:left w:val="nil"/>
              <w:bottom w:val="single" w:sz="4" w:space="0" w:color="auto"/>
              <w:right w:val="single" w:sz="4" w:space="0" w:color="auto"/>
            </w:tcBorders>
            <w:vAlign w:val="center"/>
            <w:hideMark/>
          </w:tcPr>
          <w:p w14:paraId="10BF596D" w14:textId="77777777" w:rsidR="00DF1568" w:rsidRPr="00DF1568" w:rsidRDefault="00DF1568" w:rsidP="00DF1568">
            <w:pPr>
              <w:spacing w:after="0" w:line="240" w:lineRule="auto"/>
              <w:jc w:val="center"/>
              <w:rPr>
                <w:rFonts w:ascii="Times New Roman" w:eastAsia="Times New Roman" w:hAnsi="Times New Roman" w:cs="Times New Roman"/>
                <w:color w:val="000000"/>
                <w:sz w:val="24"/>
                <w:szCs w:val="24"/>
                <w:lang w:eastAsia="en-IN"/>
              </w:rPr>
            </w:pPr>
            <w:r w:rsidRPr="00DF1568">
              <w:rPr>
                <w:rFonts w:ascii="Times New Roman" w:eastAsia="Times New Roman" w:hAnsi="Times New Roman" w:cs="Times New Roman"/>
                <w:color w:val="000000"/>
                <w:sz w:val="24"/>
                <w:szCs w:val="24"/>
                <w:lang w:eastAsia="en-IN"/>
              </w:rPr>
              <w:t>4–8</w:t>
            </w:r>
          </w:p>
        </w:tc>
        <w:tc>
          <w:tcPr>
            <w:tcW w:w="1198" w:type="dxa"/>
            <w:tcBorders>
              <w:top w:val="nil"/>
              <w:left w:val="nil"/>
              <w:bottom w:val="single" w:sz="4" w:space="0" w:color="auto"/>
              <w:right w:val="single" w:sz="4" w:space="0" w:color="auto"/>
            </w:tcBorders>
            <w:vAlign w:val="center"/>
            <w:hideMark/>
          </w:tcPr>
          <w:p w14:paraId="17D66E30" w14:textId="77777777" w:rsidR="00DF1568" w:rsidRPr="00DF1568" w:rsidRDefault="00DF1568" w:rsidP="00DF1568">
            <w:pPr>
              <w:spacing w:after="0" w:line="240" w:lineRule="auto"/>
              <w:jc w:val="center"/>
              <w:rPr>
                <w:rFonts w:ascii="Times New Roman" w:eastAsia="Times New Roman" w:hAnsi="Times New Roman" w:cs="Times New Roman"/>
                <w:color w:val="000000"/>
                <w:sz w:val="24"/>
                <w:szCs w:val="24"/>
                <w:lang w:eastAsia="en-IN"/>
              </w:rPr>
            </w:pPr>
            <w:r w:rsidRPr="00DF1568">
              <w:rPr>
                <w:rFonts w:ascii="Times New Roman" w:eastAsia="Times New Roman" w:hAnsi="Times New Roman" w:cs="Times New Roman"/>
                <w:color w:val="000000"/>
                <w:sz w:val="24"/>
                <w:szCs w:val="24"/>
                <w:lang w:eastAsia="en-IN"/>
              </w:rPr>
              <w:t>0.4–2</w:t>
            </w:r>
          </w:p>
        </w:tc>
        <w:tc>
          <w:tcPr>
            <w:tcW w:w="1516" w:type="dxa"/>
            <w:tcBorders>
              <w:top w:val="nil"/>
              <w:left w:val="nil"/>
              <w:bottom w:val="single" w:sz="4" w:space="0" w:color="auto"/>
              <w:right w:val="single" w:sz="4" w:space="0" w:color="auto"/>
            </w:tcBorders>
            <w:vAlign w:val="center"/>
            <w:hideMark/>
          </w:tcPr>
          <w:p w14:paraId="184DD4C6" w14:textId="77777777" w:rsidR="00DF1568" w:rsidRPr="00DF1568" w:rsidRDefault="00DF1568" w:rsidP="00DF1568">
            <w:pPr>
              <w:spacing w:after="0" w:line="240" w:lineRule="auto"/>
              <w:jc w:val="center"/>
              <w:rPr>
                <w:rFonts w:ascii="Times New Roman" w:eastAsia="Times New Roman" w:hAnsi="Times New Roman" w:cs="Times New Roman"/>
                <w:color w:val="000000"/>
                <w:sz w:val="24"/>
                <w:szCs w:val="24"/>
                <w:lang w:eastAsia="en-IN"/>
              </w:rPr>
            </w:pPr>
            <w:r w:rsidRPr="00DF1568">
              <w:rPr>
                <w:rFonts w:ascii="Times New Roman" w:eastAsia="Times New Roman" w:hAnsi="Times New Roman" w:cs="Times New Roman"/>
                <w:color w:val="000000"/>
                <w:sz w:val="24"/>
                <w:szCs w:val="24"/>
                <w:lang w:eastAsia="en-IN"/>
              </w:rPr>
              <w:t>3–6</w:t>
            </w:r>
          </w:p>
        </w:tc>
        <w:tc>
          <w:tcPr>
            <w:tcW w:w="950" w:type="dxa"/>
            <w:tcBorders>
              <w:top w:val="nil"/>
              <w:left w:val="nil"/>
              <w:bottom w:val="single" w:sz="4" w:space="0" w:color="auto"/>
              <w:right w:val="single" w:sz="4" w:space="0" w:color="auto"/>
            </w:tcBorders>
            <w:vAlign w:val="center"/>
            <w:hideMark/>
          </w:tcPr>
          <w:p w14:paraId="7CE85F48" w14:textId="77777777" w:rsidR="00DF1568" w:rsidRPr="00DF1568" w:rsidRDefault="00DF1568" w:rsidP="00DF1568">
            <w:pPr>
              <w:spacing w:after="0" w:line="240" w:lineRule="auto"/>
              <w:jc w:val="center"/>
              <w:rPr>
                <w:rFonts w:ascii="Times New Roman" w:eastAsia="Times New Roman" w:hAnsi="Times New Roman" w:cs="Times New Roman"/>
                <w:color w:val="000000"/>
                <w:sz w:val="24"/>
                <w:szCs w:val="24"/>
                <w:lang w:eastAsia="en-IN"/>
              </w:rPr>
            </w:pPr>
            <w:r w:rsidRPr="00DF1568">
              <w:rPr>
                <w:rFonts w:ascii="Times New Roman" w:eastAsia="Times New Roman" w:hAnsi="Times New Roman" w:cs="Times New Roman"/>
                <w:color w:val="000000"/>
                <w:sz w:val="24"/>
                <w:szCs w:val="24"/>
                <w:lang w:eastAsia="en-IN"/>
              </w:rPr>
              <w:t>5–9</w:t>
            </w:r>
          </w:p>
        </w:tc>
      </w:tr>
      <w:tr w:rsidR="00DF1568" w:rsidRPr="00DF1568" w14:paraId="4BEBFA68" w14:textId="77777777" w:rsidTr="00DF1568">
        <w:trPr>
          <w:trHeight w:val="315"/>
          <w:jc w:val="center"/>
        </w:trPr>
        <w:tc>
          <w:tcPr>
            <w:tcW w:w="3356" w:type="dxa"/>
            <w:tcBorders>
              <w:top w:val="nil"/>
              <w:left w:val="single" w:sz="4" w:space="0" w:color="auto"/>
              <w:bottom w:val="single" w:sz="4" w:space="0" w:color="auto"/>
              <w:right w:val="single" w:sz="4" w:space="0" w:color="auto"/>
            </w:tcBorders>
            <w:vAlign w:val="center"/>
            <w:hideMark/>
          </w:tcPr>
          <w:p w14:paraId="7B25A19E" w14:textId="77777777" w:rsidR="00DF1568" w:rsidRPr="00DF1568" w:rsidRDefault="00DF1568" w:rsidP="00DF1568">
            <w:pPr>
              <w:spacing w:after="0" w:line="240" w:lineRule="auto"/>
              <w:jc w:val="both"/>
              <w:rPr>
                <w:rFonts w:ascii="Times New Roman" w:eastAsia="Times New Roman" w:hAnsi="Times New Roman" w:cs="Times New Roman"/>
                <w:color w:val="000000"/>
                <w:sz w:val="24"/>
                <w:szCs w:val="24"/>
                <w:lang w:eastAsia="en-IN"/>
              </w:rPr>
            </w:pPr>
            <w:r w:rsidRPr="00DF1568">
              <w:rPr>
                <w:rFonts w:ascii="Times New Roman" w:eastAsia="Times New Roman" w:hAnsi="Times New Roman" w:cs="Times New Roman"/>
                <w:color w:val="000000"/>
                <w:sz w:val="24"/>
                <w:szCs w:val="24"/>
                <w:lang w:eastAsia="en-IN"/>
              </w:rPr>
              <w:t>Salinity (ppt) Lower estuary</w:t>
            </w:r>
          </w:p>
        </w:tc>
        <w:tc>
          <w:tcPr>
            <w:tcW w:w="1533" w:type="dxa"/>
            <w:tcBorders>
              <w:top w:val="nil"/>
              <w:left w:val="nil"/>
              <w:bottom w:val="single" w:sz="4" w:space="0" w:color="auto"/>
              <w:right w:val="single" w:sz="4" w:space="0" w:color="auto"/>
            </w:tcBorders>
            <w:vAlign w:val="center"/>
            <w:hideMark/>
          </w:tcPr>
          <w:p w14:paraId="6DB6116C" w14:textId="77777777" w:rsidR="00DF1568" w:rsidRPr="00DF1568" w:rsidRDefault="00DF1568" w:rsidP="00DF1568">
            <w:pPr>
              <w:spacing w:after="0" w:line="240" w:lineRule="auto"/>
              <w:jc w:val="center"/>
              <w:rPr>
                <w:rFonts w:ascii="Times New Roman" w:eastAsia="Times New Roman" w:hAnsi="Times New Roman" w:cs="Times New Roman"/>
                <w:color w:val="000000"/>
                <w:sz w:val="24"/>
                <w:szCs w:val="24"/>
                <w:lang w:eastAsia="en-IN"/>
              </w:rPr>
            </w:pPr>
            <w:r w:rsidRPr="00DF1568">
              <w:rPr>
                <w:rFonts w:ascii="Times New Roman" w:eastAsia="Times New Roman" w:hAnsi="Times New Roman" w:cs="Times New Roman"/>
                <w:color w:val="000000"/>
                <w:sz w:val="24"/>
                <w:szCs w:val="24"/>
                <w:lang w:eastAsia="en-IN"/>
              </w:rPr>
              <w:t>22–30</w:t>
            </w:r>
          </w:p>
        </w:tc>
        <w:tc>
          <w:tcPr>
            <w:tcW w:w="1198" w:type="dxa"/>
            <w:tcBorders>
              <w:top w:val="nil"/>
              <w:left w:val="nil"/>
              <w:bottom w:val="single" w:sz="4" w:space="0" w:color="auto"/>
              <w:right w:val="single" w:sz="4" w:space="0" w:color="auto"/>
            </w:tcBorders>
            <w:vAlign w:val="center"/>
            <w:hideMark/>
          </w:tcPr>
          <w:p w14:paraId="7CC75324" w14:textId="77777777" w:rsidR="00DF1568" w:rsidRPr="00DF1568" w:rsidRDefault="00DF1568" w:rsidP="00DF1568">
            <w:pPr>
              <w:spacing w:after="0" w:line="240" w:lineRule="auto"/>
              <w:jc w:val="center"/>
              <w:rPr>
                <w:rFonts w:ascii="Times New Roman" w:eastAsia="Times New Roman" w:hAnsi="Times New Roman" w:cs="Times New Roman"/>
                <w:color w:val="000000"/>
                <w:sz w:val="24"/>
                <w:szCs w:val="24"/>
                <w:lang w:eastAsia="en-IN"/>
              </w:rPr>
            </w:pPr>
            <w:r w:rsidRPr="00DF1568">
              <w:rPr>
                <w:rFonts w:ascii="Times New Roman" w:eastAsia="Times New Roman" w:hAnsi="Times New Roman" w:cs="Times New Roman"/>
                <w:color w:val="000000"/>
                <w:sz w:val="24"/>
                <w:szCs w:val="24"/>
                <w:lang w:eastAsia="en-IN"/>
              </w:rPr>
              <w:t>8–15</w:t>
            </w:r>
          </w:p>
        </w:tc>
        <w:tc>
          <w:tcPr>
            <w:tcW w:w="1516" w:type="dxa"/>
            <w:tcBorders>
              <w:top w:val="nil"/>
              <w:left w:val="nil"/>
              <w:bottom w:val="single" w:sz="4" w:space="0" w:color="auto"/>
              <w:right w:val="single" w:sz="4" w:space="0" w:color="auto"/>
            </w:tcBorders>
            <w:vAlign w:val="center"/>
            <w:hideMark/>
          </w:tcPr>
          <w:p w14:paraId="05CD9679" w14:textId="77777777" w:rsidR="00DF1568" w:rsidRPr="00DF1568" w:rsidRDefault="00DF1568" w:rsidP="00DF1568">
            <w:pPr>
              <w:spacing w:after="0" w:line="240" w:lineRule="auto"/>
              <w:jc w:val="center"/>
              <w:rPr>
                <w:rFonts w:ascii="Times New Roman" w:eastAsia="Times New Roman" w:hAnsi="Times New Roman" w:cs="Times New Roman"/>
                <w:color w:val="000000"/>
                <w:sz w:val="24"/>
                <w:szCs w:val="24"/>
                <w:lang w:eastAsia="en-IN"/>
              </w:rPr>
            </w:pPr>
            <w:r w:rsidRPr="00DF1568">
              <w:rPr>
                <w:rFonts w:ascii="Times New Roman" w:eastAsia="Times New Roman" w:hAnsi="Times New Roman" w:cs="Times New Roman"/>
                <w:color w:val="000000"/>
                <w:sz w:val="24"/>
                <w:szCs w:val="24"/>
                <w:lang w:eastAsia="en-IN"/>
              </w:rPr>
              <w:t>18–25</w:t>
            </w:r>
          </w:p>
        </w:tc>
        <w:tc>
          <w:tcPr>
            <w:tcW w:w="950" w:type="dxa"/>
            <w:tcBorders>
              <w:top w:val="nil"/>
              <w:left w:val="nil"/>
              <w:bottom w:val="single" w:sz="4" w:space="0" w:color="auto"/>
              <w:right w:val="single" w:sz="4" w:space="0" w:color="auto"/>
            </w:tcBorders>
            <w:vAlign w:val="center"/>
            <w:hideMark/>
          </w:tcPr>
          <w:p w14:paraId="3B126651" w14:textId="77777777" w:rsidR="00DF1568" w:rsidRPr="00DF1568" w:rsidRDefault="00DF1568" w:rsidP="00DF1568">
            <w:pPr>
              <w:spacing w:after="0" w:line="240" w:lineRule="auto"/>
              <w:jc w:val="center"/>
              <w:rPr>
                <w:rFonts w:ascii="Times New Roman" w:eastAsia="Times New Roman" w:hAnsi="Times New Roman" w:cs="Times New Roman"/>
                <w:color w:val="000000"/>
                <w:sz w:val="24"/>
                <w:szCs w:val="24"/>
                <w:lang w:eastAsia="en-IN"/>
              </w:rPr>
            </w:pPr>
            <w:r w:rsidRPr="00DF1568">
              <w:rPr>
                <w:rFonts w:ascii="Times New Roman" w:eastAsia="Times New Roman" w:hAnsi="Times New Roman" w:cs="Times New Roman"/>
                <w:color w:val="000000"/>
                <w:sz w:val="24"/>
                <w:szCs w:val="24"/>
                <w:lang w:eastAsia="en-IN"/>
              </w:rPr>
              <w:t>20–28</w:t>
            </w:r>
          </w:p>
        </w:tc>
      </w:tr>
      <w:tr w:rsidR="00DF1568" w:rsidRPr="00DF1568" w14:paraId="3C1E7F22" w14:textId="77777777" w:rsidTr="00DF1568">
        <w:trPr>
          <w:trHeight w:val="630"/>
          <w:jc w:val="center"/>
        </w:trPr>
        <w:tc>
          <w:tcPr>
            <w:tcW w:w="3356" w:type="dxa"/>
            <w:tcBorders>
              <w:top w:val="nil"/>
              <w:left w:val="single" w:sz="4" w:space="0" w:color="auto"/>
              <w:bottom w:val="single" w:sz="4" w:space="0" w:color="auto"/>
              <w:right w:val="single" w:sz="4" w:space="0" w:color="auto"/>
            </w:tcBorders>
            <w:vAlign w:val="center"/>
            <w:hideMark/>
          </w:tcPr>
          <w:p w14:paraId="36F23E79" w14:textId="77777777" w:rsidR="00DF1568" w:rsidRPr="00DF1568" w:rsidRDefault="00DF1568" w:rsidP="00DF1568">
            <w:pPr>
              <w:spacing w:after="0" w:line="240" w:lineRule="auto"/>
              <w:jc w:val="both"/>
              <w:rPr>
                <w:rFonts w:ascii="Times New Roman" w:eastAsia="Times New Roman" w:hAnsi="Times New Roman" w:cs="Times New Roman"/>
                <w:color w:val="000000"/>
                <w:sz w:val="24"/>
                <w:szCs w:val="24"/>
                <w:lang w:eastAsia="en-IN"/>
              </w:rPr>
            </w:pPr>
            <w:r w:rsidRPr="00DF1568">
              <w:rPr>
                <w:rFonts w:ascii="Times New Roman" w:eastAsia="Times New Roman" w:hAnsi="Times New Roman" w:cs="Times New Roman"/>
                <w:color w:val="000000"/>
                <w:sz w:val="24"/>
                <w:szCs w:val="24"/>
                <w:lang w:eastAsia="en-IN"/>
              </w:rPr>
              <w:lastRenderedPageBreak/>
              <w:t>Dissolved Oxygen (mg/L)</w:t>
            </w:r>
          </w:p>
        </w:tc>
        <w:tc>
          <w:tcPr>
            <w:tcW w:w="1533" w:type="dxa"/>
            <w:tcBorders>
              <w:top w:val="nil"/>
              <w:left w:val="nil"/>
              <w:bottom w:val="single" w:sz="4" w:space="0" w:color="auto"/>
              <w:right w:val="single" w:sz="4" w:space="0" w:color="auto"/>
            </w:tcBorders>
            <w:vAlign w:val="center"/>
            <w:hideMark/>
          </w:tcPr>
          <w:p w14:paraId="065387DE" w14:textId="77777777" w:rsidR="00DF1568" w:rsidRPr="00DF1568" w:rsidRDefault="00DF1568" w:rsidP="00DF1568">
            <w:pPr>
              <w:spacing w:after="0" w:line="240" w:lineRule="auto"/>
              <w:jc w:val="center"/>
              <w:rPr>
                <w:rFonts w:ascii="Times New Roman" w:eastAsia="Times New Roman" w:hAnsi="Times New Roman" w:cs="Times New Roman"/>
                <w:color w:val="000000"/>
                <w:sz w:val="24"/>
                <w:szCs w:val="24"/>
                <w:lang w:eastAsia="en-IN"/>
              </w:rPr>
            </w:pPr>
            <w:r w:rsidRPr="00DF1568">
              <w:rPr>
                <w:rFonts w:ascii="Times New Roman" w:eastAsia="Times New Roman" w:hAnsi="Times New Roman" w:cs="Times New Roman"/>
                <w:color w:val="000000"/>
                <w:sz w:val="24"/>
                <w:szCs w:val="24"/>
                <w:lang w:eastAsia="en-IN"/>
              </w:rPr>
              <w:t>4.5–6.2</w:t>
            </w:r>
          </w:p>
        </w:tc>
        <w:tc>
          <w:tcPr>
            <w:tcW w:w="1198" w:type="dxa"/>
            <w:tcBorders>
              <w:top w:val="nil"/>
              <w:left w:val="nil"/>
              <w:bottom w:val="single" w:sz="4" w:space="0" w:color="auto"/>
              <w:right w:val="single" w:sz="4" w:space="0" w:color="auto"/>
            </w:tcBorders>
            <w:vAlign w:val="center"/>
            <w:hideMark/>
          </w:tcPr>
          <w:p w14:paraId="4D90164E" w14:textId="77777777" w:rsidR="00DF1568" w:rsidRPr="00DF1568" w:rsidRDefault="00DF1568" w:rsidP="00DF1568">
            <w:pPr>
              <w:spacing w:after="0" w:line="240" w:lineRule="auto"/>
              <w:jc w:val="center"/>
              <w:rPr>
                <w:rFonts w:ascii="Times New Roman" w:eastAsia="Times New Roman" w:hAnsi="Times New Roman" w:cs="Times New Roman"/>
                <w:color w:val="000000"/>
                <w:sz w:val="24"/>
                <w:szCs w:val="24"/>
                <w:lang w:eastAsia="en-IN"/>
              </w:rPr>
            </w:pPr>
            <w:r w:rsidRPr="00DF1568">
              <w:rPr>
                <w:rFonts w:ascii="Times New Roman" w:eastAsia="Times New Roman" w:hAnsi="Times New Roman" w:cs="Times New Roman"/>
                <w:color w:val="000000"/>
                <w:sz w:val="24"/>
                <w:szCs w:val="24"/>
                <w:lang w:eastAsia="en-IN"/>
              </w:rPr>
              <w:t>3.8–5.5</w:t>
            </w:r>
          </w:p>
        </w:tc>
        <w:tc>
          <w:tcPr>
            <w:tcW w:w="1516" w:type="dxa"/>
            <w:tcBorders>
              <w:top w:val="nil"/>
              <w:left w:val="nil"/>
              <w:bottom w:val="single" w:sz="4" w:space="0" w:color="auto"/>
              <w:right w:val="single" w:sz="4" w:space="0" w:color="auto"/>
            </w:tcBorders>
            <w:vAlign w:val="center"/>
            <w:hideMark/>
          </w:tcPr>
          <w:p w14:paraId="2BB49331" w14:textId="77777777" w:rsidR="00DF1568" w:rsidRPr="00DF1568" w:rsidRDefault="00DF1568" w:rsidP="00DF1568">
            <w:pPr>
              <w:spacing w:after="0" w:line="240" w:lineRule="auto"/>
              <w:jc w:val="center"/>
              <w:rPr>
                <w:rFonts w:ascii="Times New Roman" w:eastAsia="Times New Roman" w:hAnsi="Times New Roman" w:cs="Times New Roman"/>
                <w:color w:val="000000"/>
                <w:sz w:val="24"/>
                <w:szCs w:val="24"/>
                <w:lang w:eastAsia="en-IN"/>
              </w:rPr>
            </w:pPr>
            <w:r w:rsidRPr="00DF1568">
              <w:rPr>
                <w:rFonts w:ascii="Times New Roman" w:eastAsia="Times New Roman" w:hAnsi="Times New Roman" w:cs="Times New Roman"/>
                <w:color w:val="000000"/>
                <w:sz w:val="24"/>
                <w:szCs w:val="24"/>
                <w:lang w:eastAsia="en-IN"/>
              </w:rPr>
              <w:t>4.8–6.0</w:t>
            </w:r>
          </w:p>
        </w:tc>
        <w:tc>
          <w:tcPr>
            <w:tcW w:w="950" w:type="dxa"/>
            <w:tcBorders>
              <w:top w:val="nil"/>
              <w:left w:val="nil"/>
              <w:bottom w:val="single" w:sz="4" w:space="0" w:color="auto"/>
              <w:right w:val="single" w:sz="4" w:space="0" w:color="auto"/>
            </w:tcBorders>
            <w:vAlign w:val="center"/>
            <w:hideMark/>
          </w:tcPr>
          <w:p w14:paraId="497F8502" w14:textId="77777777" w:rsidR="00DF1568" w:rsidRPr="00DF1568" w:rsidRDefault="00DF1568" w:rsidP="00DF1568">
            <w:pPr>
              <w:spacing w:after="0" w:line="240" w:lineRule="auto"/>
              <w:jc w:val="center"/>
              <w:rPr>
                <w:rFonts w:ascii="Times New Roman" w:eastAsia="Times New Roman" w:hAnsi="Times New Roman" w:cs="Times New Roman"/>
                <w:color w:val="000000"/>
                <w:sz w:val="24"/>
                <w:szCs w:val="24"/>
                <w:lang w:eastAsia="en-IN"/>
              </w:rPr>
            </w:pPr>
            <w:r w:rsidRPr="00DF1568">
              <w:rPr>
                <w:rFonts w:ascii="Times New Roman" w:eastAsia="Times New Roman" w:hAnsi="Times New Roman" w:cs="Times New Roman"/>
                <w:color w:val="000000"/>
                <w:sz w:val="24"/>
                <w:szCs w:val="24"/>
                <w:lang w:eastAsia="en-IN"/>
              </w:rPr>
              <w:t>5.2–6.8</w:t>
            </w:r>
          </w:p>
        </w:tc>
      </w:tr>
      <w:tr w:rsidR="00DF1568" w:rsidRPr="00DF1568" w14:paraId="0C15B528" w14:textId="77777777" w:rsidTr="00DF1568">
        <w:trPr>
          <w:trHeight w:val="315"/>
          <w:jc w:val="center"/>
        </w:trPr>
        <w:tc>
          <w:tcPr>
            <w:tcW w:w="3356" w:type="dxa"/>
            <w:tcBorders>
              <w:top w:val="nil"/>
              <w:left w:val="single" w:sz="4" w:space="0" w:color="auto"/>
              <w:bottom w:val="single" w:sz="4" w:space="0" w:color="auto"/>
              <w:right w:val="single" w:sz="4" w:space="0" w:color="auto"/>
            </w:tcBorders>
            <w:vAlign w:val="center"/>
            <w:hideMark/>
          </w:tcPr>
          <w:p w14:paraId="79001A48" w14:textId="77777777" w:rsidR="00DF1568" w:rsidRPr="00DF1568" w:rsidRDefault="00DF1568" w:rsidP="00DF1568">
            <w:pPr>
              <w:spacing w:after="0" w:line="240" w:lineRule="auto"/>
              <w:jc w:val="both"/>
              <w:rPr>
                <w:rFonts w:ascii="Times New Roman" w:eastAsia="Times New Roman" w:hAnsi="Times New Roman" w:cs="Times New Roman"/>
                <w:color w:val="000000"/>
                <w:sz w:val="24"/>
                <w:szCs w:val="24"/>
                <w:lang w:eastAsia="en-IN"/>
              </w:rPr>
            </w:pPr>
            <w:r w:rsidRPr="00DF1568">
              <w:rPr>
                <w:rFonts w:ascii="Times New Roman" w:eastAsia="Times New Roman" w:hAnsi="Times New Roman" w:cs="Times New Roman"/>
                <w:color w:val="000000"/>
                <w:sz w:val="24"/>
                <w:szCs w:val="24"/>
                <w:lang w:eastAsia="en-IN"/>
              </w:rPr>
              <w:t>Turbidity (NTU)</w:t>
            </w:r>
          </w:p>
        </w:tc>
        <w:tc>
          <w:tcPr>
            <w:tcW w:w="1533" w:type="dxa"/>
            <w:tcBorders>
              <w:top w:val="nil"/>
              <w:left w:val="nil"/>
              <w:bottom w:val="single" w:sz="4" w:space="0" w:color="auto"/>
              <w:right w:val="single" w:sz="4" w:space="0" w:color="auto"/>
            </w:tcBorders>
            <w:vAlign w:val="center"/>
            <w:hideMark/>
          </w:tcPr>
          <w:p w14:paraId="13FD41AE" w14:textId="77777777" w:rsidR="00DF1568" w:rsidRPr="00DF1568" w:rsidRDefault="00DF1568" w:rsidP="00DF1568">
            <w:pPr>
              <w:spacing w:after="0" w:line="240" w:lineRule="auto"/>
              <w:jc w:val="center"/>
              <w:rPr>
                <w:rFonts w:ascii="Times New Roman" w:eastAsia="Times New Roman" w:hAnsi="Times New Roman" w:cs="Times New Roman"/>
                <w:color w:val="000000"/>
                <w:sz w:val="24"/>
                <w:szCs w:val="24"/>
                <w:lang w:eastAsia="en-IN"/>
              </w:rPr>
            </w:pPr>
            <w:r w:rsidRPr="00DF1568">
              <w:rPr>
                <w:rFonts w:ascii="Times New Roman" w:eastAsia="Times New Roman" w:hAnsi="Times New Roman" w:cs="Times New Roman"/>
                <w:color w:val="000000"/>
                <w:sz w:val="24"/>
                <w:szCs w:val="24"/>
                <w:lang w:eastAsia="en-IN"/>
              </w:rPr>
              <w:t>12–25</w:t>
            </w:r>
          </w:p>
        </w:tc>
        <w:tc>
          <w:tcPr>
            <w:tcW w:w="1198" w:type="dxa"/>
            <w:tcBorders>
              <w:top w:val="nil"/>
              <w:left w:val="nil"/>
              <w:bottom w:val="single" w:sz="4" w:space="0" w:color="auto"/>
              <w:right w:val="single" w:sz="4" w:space="0" w:color="auto"/>
            </w:tcBorders>
            <w:vAlign w:val="center"/>
            <w:hideMark/>
          </w:tcPr>
          <w:p w14:paraId="75CD7E0F" w14:textId="77777777" w:rsidR="00DF1568" w:rsidRPr="00DF1568" w:rsidRDefault="00DF1568" w:rsidP="00DF1568">
            <w:pPr>
              <w:spacing w:after="0" w:line="240" w:lineRule="auto"/>
              <w:jc w:val="center"/>
              <w:rPr>
                <w:rFonts w:ascii="Times New Roman" w:eastAsia="Times New Roman" w:hAnsi="Times New Roman" w:cs="Times New Roman"/>
                <w:color w:val="000000"/>
                <w:sz w:val="24"/>
                <w:szCs w:val="24"/>
                <w:lang w:eastAsia="en-IN"/>
              </w:rPr>
            </w:pPr>
            <w:r w:rsidRPr="00DF1568">
              <w:rPr>
                <w:rFonts w:ascii="Times New Roman" w:eastAsia="Times New Roman" w:hAnsi="Times New Roman" w:cs="Times New Roman"/>
                <w:color w:val="000000"/>
                <w:sz w:val="24"/>
                <w:szCs w:val="24"/>
                <w:lang w:eastAsia="en-IN"/>
              </w:rPr>
              <w:t>45–90</w:t>
            </w:r>
          </w:p>
        </w:tc>
        <w:tc>
          <w:tcPr>
            <w:tcW w:w="1516" w:type="dxa"/>
            <w:tcBorders>
              <w:top w:val="nil"/>
              <w:left w:val="nil"/>
              <w:bottom w:val="single" w:sz="4" w:space="0" w:color="auto"/>
              <w:right w:val="single" w:sz="4" w:space="0" w:color="auto"/>
            </w:tcBorders>
            <w:vAlign w:val="center"/>
            <w:hideMark/>
          </w:tcPr>
          <w:p w14:paraId="6769FB16" w14:textId="77777777" w:rsidR="00DF1568" w:rsidRPr="00DF1568" w:rsidRDefault="00DF1568" w:rsidP="00DF1568">
            <w:pPr>
              <w:spacing w:after="0" w:line="240" w:lineRule="auto"/>
              <w:jc w:val="center"/>
              <w:rPr>
                <w:rFonts w:ascii="Times New Roman" w:eastAsia="Times New Roman" w:hAnsi="Times New Roman" w:cs="Times New Roman"/>
                <w:color w:val="000000"/>
                <w:sz w:val="24"/>
                <w:szCs w:val="24"/>
                <w:lang w:eastAsia="en-IN"/>
              </w:rPr>
            </w:pPr>
            <w:r w:rsidRPr="00DF1568">
              <w:rPr>
                <w:rFonts w:ascii="Times New Roman" w:eastAsia="Times New Roman" w:hAnsi="Times New Roman" w:cs="Times New Roman"/>
                <w:color w:val="000000"/>
                <w:sz w:val="24"/>
                <w:szCs w:val="24"/>
                <w:lang w:eastAsia="en-IN"/>
              </w:rPr>
              <w:t>20–40</w:t>
            </w:r>
          </w:p>
        </w:tc>
        <w:tc>
          <w:tcPr>
            <w:tcW w:w="950" w:type="dxa"/>
            <w:tcBorders>
              <w:top w:val="nil"/>
              <w:left w:val="nil"/>
              <w:bottom w:val="single" w:sz="4" w:space="0" w:color="auto"/>
              <w:right w:val="single" w:sz="4" w:space="0" w:color="auto"/>
            </w:tcBorders>
            <w:vAlign w:val="center"/>
            <w:hideMark/>
          </w:tcPr>
          <w:p w14:paraId="67D25BB9" w14:textId="77777777" w:rsidR="00DF1568" w:rsidRPr="00DF1568" w:rsidRDefault="00DF1568" w:rsidP="00DF1568">
            <w:pPr>
              <w:spacing w:after="0" w:line="240" w:lineRule="auto"/>
              <w:jc w:val="center"/>
              <w:rPr>
                <w:rFonts w:ascii="Times New Roman" w:eastAsia="Times New Roman" w:hAnsi="Times New Roman" w:cs="Times New Roman"/>
                <w:color w:val="000000"/>
                <w:sz w:val="24"/>
                <w:szCs w:val="24"/>
                <w:lang w:eastAsia="en-IN"/>
              </w:rPr>
            </w:pPr>
            <w:r w:rsidRPr="00DF1568">
              <w:rPr>
                <w:rFonts w:ascii="Times New Roman" w:eastAsia="Times New Roman" w:hAnsi="Times New Roman" w:cs="Times New Roman"/>
                <w:color w:val="000000"/>
                <w:sz w:val="24"/>
                <w:szCs w:val="24"/>
                <w:lang w:eastAsia="en-IN"/>
              </w:rPr>
              <w:t>10–18</w:t>
            </w:r>
          </w:p>
        </w:tc>
      </w:tr>
      <w:tr w:rsidR="00DF1568" w:rsidRPr="00DF1568" w14:paraId="478102CE" w14:textId="77777777" w:rsidTr="00DF1568">
        <w:trPr>
          <w:trHeight w:val="315"/>
          <w:jc w:val="center"/>
        </w:trPr>
        <w:tc>
          <w:tcPr>
            <w:tcW w:w="3356" w:type="dxa"/>
            <w:tcBorders>
              <w:top w:val="nil"/>
              <w:left w:val="single" w:sz="4" w:space="0" w:color="auto"/>
              <w:bottom w:val="single" w:sz="4" w:space="0" w:color="auto"/>
              <w:right w:val="single" w:sz="4" w:space="0" w:color="auto"/>
            </w:tcBorders>
            <w:vAlign w:val="center"/>
            <w:hideMark/>
          </w:tcPr>
          <w:p w14:paraId="37D3770E" w14:textId="77777777" w:rsidR="00DF1568" w:rsidRPr="00DF1568" w:rsidRDefault="00DF1568" w:rsidP="00DF1568">
            <w:pPr>
              <w:spacing w:after="0" w:line="240" w:lineRule="auto"/>
              <w:jc w:val="both"/>
              <w:rPr>
                <w:rFonts w:ascii="Times New Roman" w:eastAsia="Times New Roman" w:hAnsi="Times New Roman" w:cs="Times New Roman"/>
                <w:color w:val="000000"/>
                <w:sz w:val="24"/>
                <w:szCs w:val="24"/>
                <w:lang w:eastAsia="en-IN"/>
              </w:rPr>
            </w:pPr>
            <w:r w:rsidRPr="00DF1568">
              <w:rPr>
                <w:rFonts w:ascii="Times New Roman" w:eastAsia="Times New Roman" w:hAnsi="Times New Roman" w:cs="Times New Roman"/>
                <w:color w:val="000000"/>
                <w:sz w:val="24"/>
                <w:szCs w:val="24"/>
                <w:lang w:eastAsia="en-IN"/>
              </w:rPr>
              <w:t>River discharge (relative index)</w:t>
            </w:r>
          </w:p>
        </w:tc>
        <w:tc>
          <w:tcPr>
            <w:tcW w:w="1533" w:type="dxa"/>
            <w:tcBorders>
              <w:top w:val="nil"/>
              <w:left w:val="nil"/>
              <w:bottom w:val="single" w:sz="4" w:space="0" w:color="auto"/>
              <w:right w:val="single" w:sz="4" w:space="0" w:color="auto"/>
            </w:tcBorders>
            <w:vAlign w:val="center"/>
            <w:hideMark/>
          </w:tcPr>
          <w:p w14:paraId="468B1E6A" w14:textId="77777777" w:rsidR="00DF1568" w:rsidRPr="00DF1568" w:rsidRDefault="00DF1568" w:rsidP="00DF1568">
            <w:pPr>
              <w:spacing w:after="0" w:line="240" w:lineRule="auto"/>
              <w:jc w:val="center"/>
              <w:rPr>
                <w:rFonts w:ascii="Times New Roman" w:eastAsia="Times New Roman" w:hAnsi="Times New Roman" w:cs="Times New Roman"/>
                <w:color w:val="000000"/>
                <w:sz w:val="24"/>
                <w:szCs w:val="24"/>
                <w:lang w:eastAsia="en-IN"/>
              </w:rPr>
            </w:pPr>
            <w:r w:rsidRPr="00DF1568">
              <w:rPr>
                <w:rFonts w:ascii="Times New Roman" w:eastAsia="Times New Roman" w:hAnsi="Times New Roman" w:cs="Times New Roman"/>
                <w:color w:val="000000"/>
                <w:sz w:val="24"/>
                <w:szCs w:val="24"/>
                <w:lang w:eastAsia="en-IN"/>
              </w:rPr>
              <w:t>Moderate</w:t>
            </w:r>
          </w:p>
        </w:tc>
        <w:tc>
          <w:tcPr>
            <w:tcW w:w="1198" w:type="dxa"/>
            <w:tcBorders>
              <w:top w:val="nil"/>
              <w:left w:val="nil"/>
              <w:bottom w:val="single" w:sz="4" w:space="0" w:color="auto"/>
              <w:right w:val="single" w:sz="4" w:space="0" w:color="auto"/>
            </w:tcBorders>
            <w:vAlign w:val="center"/>
            <w:hideMark/>
          </w:tcPr>
          <w:p w14:paraId="621AA98A" w14:textId="77777777" w:rsidR="00DF1568" w:rsidRPr="00DF1568" w:rsidRDefault="00DF1568" w:rsidP="00DF1568">
            <w:pPr>
              <w:spacing w:after="0" w:line="240" w:lineRule="auto"/>
              <w:jc w:val="center"/>
              <w:rPr>
                <w:rFonts w:ascii="Times New Roman" w:eastAsia="Times New Roman" w:hAnsi="Times New Roman" w:cs="Times New Roman"/>
                <w:color w:val="000000"/>
                <w:sz w:val="24"/>
                <w:szCs w:val="24"/>
                <w:lang w:eastAsia="en-IN"/>
              </w:rPr>
            </w:pPr>
            <w:r w:rsidRPr="00DF1568">
              <w:rPr>
                <w:rFonts w:ascii="Times New Roman" w:eastAsia="Times New Roman" w:hAnsi="Times New Roman" w:cs="Times New Roman"/>
                <w:color w:val="000000"/>
                <w:sz w:val="24"/>
                <w:szCs w:val="24"/>
                <w:lang w:eastAsia="en-IN"/>
              </w:rPr>
              <w:t>High</w:t>
            </w:r>
          </w:p>
        </w:tc>
        <w:tc>
          <w:tcPr>
            <w:tcW w:w="1516" w:type="dxa"/>
            <w:tcBorders>
              <w:top w:val="nil"/>
              <w:left w:val="nil"/>
              <w:bottom w:val="single" w:sz="4" w:space="0" w:color="auto"/>
              <w:right w:val="single" w:sz="4" w:space="0" w:color="auto"/>
            </w:tcBorders>
            <w:vAlign w:val="center"/>
            <w:hideMark/>
          </w:tcPr>
          <w:p w14:paraId="33E6F597" w14:textId="77777777" w:rsidR="00DF1568" w:rsidRPr="00DF1568" w:rsidRDefault="00DF1568" w:rsidP="00DF1568">
            <w:pPr>
              <w:spacing w:after="0" w:line="240" w:lineRule="auto"/>
              <w:jc w:val="center"/>
              <w:rPr>
                <w:rFonts w:ascii="Times New Roman" w:eastAsia="Times New Roman" w:hAnsi="Times New Roman" w:cs="Times New Roman"/>
                <w:color w:val="000000"/>
                <w:sz w:val="24"/>
                <w:szCs w:val="24"/>
                <w:lang w:eastAsia="en-IN"/>
              </w:rPr>
            </w:pPr>
            <w:r w:rsidRPr="00DF1568">
              <w:rPr>
                <w:rFonts w:ascii="Times New Roman" w:eastAsia="Times New Roman" w:hAnsi="Times New Roman" w:cs="Times New Roman"/>
                <w:color w:val="000000"/>
                <w:sz w:val="24"/>
                <w:szCs w:val="24"/>
                <w:lang w:eastAsia="en-IN"/>
              </w:rPr>
              <w:t>Declining</w:t>
            </w:r>
          </w:p>
        </w:tc>
        <w:tc>
          <w:tcPr>
            <w:tcW w:w="950" w:type="dxa"/>
            <w:tcBorders>
              <w:top w:val="nil"/>
              <w:left w:val="nil"/>
              <w:bottom w:val="single" w:sz="4" w:space="0" w:color="auto"/>
              <w:right w:val="single" w:sz="4" w:space="0" w:color="auto"/>
            </w:tcBorders>
            <w:vAlign w:val="center"/>
            <w:hideMark/>
          </w:tcPr>
          <w:p w14:paraId="3E686F42" w14:textId="77777777" w:rsidR="00DF1568" w:rsidRPr="00DF1568" w:rsidRDefault="00DF1568" w:rsidP="00DF1568">
            <w:pPr>
              <w:spacing w:after="0" w:line="240" w:lineRule="auto"/>
              <w:jc w:val="center"/>
              <w:rPr>
                <w:rFonts w:ascii="Times New Roman" w:eastAsia="Times New Roman" w:hAnsi="Times New Roman" w:cs="Times New Roman"/>
                <w:color w:val="000000"/>
                <w:sz w:val="24"/>
                <w:szCs w:val="24"/>
                <w:lang w:eastAsia="en-IN"/>
              </w:rPr>
            </w:pPr>
            <w:r w:rsidRPr="00DF1568">
              <w:rPr>
                <w:rFonts w:ascii="Times New Roman" w:eastAsia="Times New Roman" w:hAnsi="Times New Roman" w:cs="Times New Roman"/>
                <w:color w:val="000000"/>
                <w:sz w:val="24"/>
                <w:szCs w:val="24"/>
                <w:lang w:eastAsia="en-IN"/>
              </w:rPr>
              <w:t>Low</w:t>
            </w:r>
          </w:p>
        </w:tc>
      </w:tr>
    </w:tbl>
    <w:p w14:paraId="3B556BC8" w14:textId="77777777" w:rsidR="00DF1568" w:rsidRDefault="00DF1568" w:rsidP="00DF1568">
      <w:pPr>
        <w:pStyle w:val="NormalWeb"/>
        <w:spacing w:before="0" w:beforeAutospacing="0" w:after="0" w:afterAutospacing="0"/>
        <w:jc w:val="both"/>
      </w:pPr>
    </w:p>
    <w:p w14:paraId="5714B46B" w14:textId="77777777" w:rsidR="00DF1568" w:rsidRPr="00DF1568" w:rsidRDefault="00DF1568" w:rsidP="00DF1568">
      <w:pPr>
        <w:pStyle w:val="NormalWeb"/>
        <w:spacing w:before="0" w:beforeAutospacing="0" w:after="0" w:afterAutospacing="0" w:line="360" w:lineRule="auto"/>
        <w:jc w:val="both"/>
      </w:pPr>
      <w:r w:rsidRPr="00DF1568">
        <w:t>Monsoon-driven freshwater influx caused significant salinity stratification, especially in mid-estuarine stations. Turbidity peaks during heavy rainfall events corresponded with increased suspended sediment loads observed via satellite imagery.</w:t>
      </w:r>
    </w:p>
    <w:p w14:paraId="505A41C4" w14:textId="77777777" w:rsidR="00DF1568" w:rsidRPr="00DF1568" w:rsidRDefault="00DF1568" w:rsidP="00DF1568">
      <w:pPr>
        <w:pStyle w:val="Heading2"/>
        <w:spacing w:before="0" w:line="360" w:lineRule="auto"/>
        <w:jc w:val="both"/>
        <w:rPr>
          <w:rFonts w:ascii="Times New Roman" w:hAnsi="Times New Roman" w:cs="Times New Roman"/>
          <w:color w:val="auto"/>
          <w:sz w:val="24"/>
          <w:szCs w:val="24"/>
        </w:rPr>
      </w:pPr>
      <w:r w:rsidRPr="00DF1568">
        <w:rPr>
          <w:rStyle w:val="Strong"/>
          <w:rFonts w:ascii="Times New Roman" w:hAnsi="Times New Roman" w:cs="Times New Roman"/>
          <w:bCs w:val="0"/>
          <w:color w:val="auto"/>
          <w:sz w:val="24"/>
          <w:szCs w:val="24"/>
        </w:rPr>
        <w:t>4.2 Spatial Zonation of Ichthyofaunal Assemblages</w:t>
      </w:r>
    </w:p>
    <w:p w14:paraId="3199CE53" w14:textId="77777777" w:rsidR="00DF1568" w:rsidRPr="00DF1568" w:rsidRDefault="00DF1568" w:rsidP="00DF1568">
      <w:pPr>
        <w:pStyle w:val="NormalWeb"/>
        <w:spacing w:before="0" w:beforeAutospacing="0" w:after="0" w:afterAutospacing="0" w:line="360" w:lineRule="auto"/>
        <w:jc w:val="both"/>
      </w:pPr>
      <w:r w:rsidRPr="00DF1568">
        <w:t>A total of 94 finfish species representing 52 families and 20 orders were recorded across the estuarine gradient. Species richness was highest in the middle estuary (82 species), followed by the lower estuary (76 species), and lowest in the upper estuary (61 species).</w:t>
      </w:r>
    </w:p>
    <w:p w14:paraId="748D22FC" w14:textId="77777777" w:rsidR="00DF1568" w:rsidRPr="00DF1568" w:rsidRDefault="00DF1568" w:rsidP="00DF1568">
      <w:pPr>
        <w:pStyle w:val="NormalWeb"/>
        <w:spacing w:before="0" w:beforeAutospacing="0" w:after="0" w:afterAutospacing="0" w:line="360" w:lineRule="auto"/>
        <w:jc w:val="both"/>
      </w:pPr>
      <w:r w:rsidRPr="00DF1568">
        <w:t>Functional group composition varied along the hydrographic gradient:</w:t>
      </w:r>
    </w:p>
    <w:p w14:paraId="65841FC5" w14:textId="77777777" w:rsidR="00DF1568" w:rsidRPr="00DF1568" w:rsidRDefault="00DF1568" w:rsidP="00831662">
      <w:pPr>
        <w:pStyle w:val="NormalWeb"/>
        <w:spacing w:before="0" w:beforeAutospacing="0" w:after="0" w:afterAutospacing="0" w:line="360" w:lineRule="auto"/>
        <w:ind w:left="360"/>
        <w:jc w:val="both"/>
      </w:pPr>
      <w:r w:rsidRPr="00DF1568">
        <w:t>Upper estuary: Freshwater residents dominated (</w:t>
      </w:r>
      <w:proofErr w:type="spellStart"/>
      <w:r w:rsidRPr="00DF1568">
        <w:t>Siluriformes</w:t>
      </w:r>
      <w:proofErr w:type="spellEnd"/>
      <w:r w:rsidRPr="00DF1568">
        <w:t>, Cypriniformes)</w:t>
      </w:r>
    </w:p>
    <w:p w14:paraId="18C3BD15" w14:textId="77777777" w:rsidR="00DF1568" w:rsidRPr="00DF1568" w:rsidRDefault="00DF1568" w:rsidP="00831662">
      <w:pPr>
        <w:pStyle w:val="NormalWeb"/>
        <w:spacing w:before="0" w:beforeAutospacing="0" w:after="0" w:afterAutospacing="0" w:line="360" w:lineRule="auto"/>
        <w:ind w:left="360"/>
        <w:jc w:val="both"/>
      </w:pPr>
      <w:r w:rsidRPr="00DF1568">
        <w:t>Middle estuary: Mixed assemblage of estuarine residents and marine migrants</w:t>
      </w:r>
    </w:p>
    <w:p w14:paraId="2839936A" w14:textId="77777777" w:rsidR="00DF1568" w:rsidRPr="00DF1568" w:rsidRDefault="00DF1568" w:rsidP="00831662">
      <w:pPr>
        <w:pStyle w:val="NormalWeb"/>
        <w:spacing w:before="0" w:beforeAutospacing="0" w:after="0" w:afterAutospacing="0" w:line="360" w:lineRule="auto"/>
        <w:ind w:left="360"/>
        <w:jc w:val="both"/>
      </w:pPr>
      <w:r w:rsidRPr="00DF1568">
        <w:t>Lower estuary: Marine opportunists and coastal pelagic species prevalent</w:t>
      </w:r>
    </w:p>
    <w:p w14:paraId="43D9199B" w14:textId="77777777" w:rsidR="00DF1568" w:rsidRPr="00DF1568" w:rsidRDefault="00DF1568" w:rsidP="00DF1568">
      <w:pPr>
        <w:pStyle w:val="Heading3"/>
        <w:spacing w:before="0" w:beforeAutospacing="0" w:after="0" w:afterAutospacing="0"/>
        <w:jc w:val="center"/>
        <w:rPr>
          <w:sz w:val="24"/>
          <w:szCs w:val="24"/>
        </w:rPr>
      </w:pPr>
      <w:r w:rsidRPr="00DF1568">
        <w:rPr>
          <w:rStyle w:val="Strong"/>
          <w:b/>
          <w:bCs/>
          <w:sz w:val="24"/>
          <w:szCs w:val="24"/>
        </w:rPr>
        <w:t>Table 2. Distribution of major fish functional groups across estuarine zones</w:t>
      </w:r>
    </w:p>
    <w:tbl>
      <w:tblPr>
        <w:tblW w:w="7740" w:type="dxa"/>
        <w:jc w:val="center"/>
        <w:tblLook w:val="04A0" w:firstRow="1" w:lastRow="0" w:firstColumn="1" w:lastColumn="0" w:noHBand="0" w:noVBand="1"/>
      </w:tblPr>
      <w:tblGrid>
        <w:gridCol w:w="2238"/>
        <w:gridCol w:w="1796"/>
        <w:gridCol w:w="1863"/>
        <w:gridCol w:w="1843"/>
      </w:tblGrid>
      <w:tr w:rsidR="00DF1568" w:rsidRPr="00DF1568" w14:paraId="6D2D7A9A" w14:textId="77777777" w:rsidTr="00DF1568">
        <w:trPr>
          <w:trHeight w:val="945"/>
          <w:jc w:val="center"/>
        </w:trPr>
        <w:tc>
          <w:tcPr>
            <w:tcW w:w="2238" w:type="dxa"/>
            <w:tcBorders>
              <w:top w:val="single" w:sz="4" w:space="0" w:color="auto"/>
              <w:left w:val="single" w:sz="4" w:space="0" w:color="auto"/>
              <w:bottom w:val="single" w:sz="4" w:space="0" w:color="auto"/>
              <w:right w:val="single" w:sz="4" w:space="0" w:color="auto"/>
            </w:tcBorders>
            <w:vAlign w:val="center"/>
            <w:hideMark/>
          </w:tcPr>
          <w:p w14:paraId="7AB82FD0" w14:textId="77777777" w:rsidR="00DF1568" w:rsidRPr="00DF1568" w:rsidRDefault="00DF1568" w:rsidP="00DF1568">
            <w:pPr>
              <w:spacing w:after="0" w:line="240" w:lineRule="auto"/>
              <w:jc w:val="both"/>
              <w:rPr>
                <w:rFonts w:ascii="Times New Roman" w:eastAsia="Times New Roman" w:hAnsi="Times New Roman" w:cs="Times New Roman"/>
                <w:b/>
                <w:bCs/>
                <w:color w:val="000000"/>
                <w:sz w:val="24"/>
                <w:szCs w:val="24"/>
                <w:lang w:eastAsia="en-IN"/>
              </w:rPr>
            </w:pPr>
            <w:r w:rsidRPr="00DF1568">
              <w:rPr>
                <w:rFonts w:ascii="Times New Roman" w:eastAsia="Times New Roman" w:hAnsi="Times New Roman" w:cs="Times New Roman"/>
                <w:b/>
                <w:bCs/>
                <w:color w:val="000000"/>
                <w:sz w:val="24"/>
                <w:szCs w:val="24"/>
                <w:lang w:eastAsia="en-IN"/>
              </w:rPr>
              <w:t>Functional Group</w:t>
            </w:r>
          </w:p>
        </w:tc>
        <w:tc>
          <w:tcPr>
            <w:tcW w:w="1796" w:type="dxa"/>
            <w:tcBorders>
              <w:top w:val="single" w:sz="4" w:space="0" w:color="auto"/>
              <w:left w:val="nil"/>
              <w:bottom w:val="single" w:sz="4" w:space="0" w:color="auto"/>
              <w:right w:val="single" w:sz="4" w:space="0" w:color="auto"/>
            </w:tcBorders>
            <w:vAlign w:val="center"/>
            <w:hideMark/>
          </w:tcPr>
          <w:p w14:paraId="070F3CF8" w14:textId="77777777" w:rsidR="00DF1568" w:rsidRPr="00DF1568" w:rsidRDefault="00DF1568" w:rsidP="00DF1568">
            <w:pPr>
              <w:spacing w:after="0" w:line="240" w:lineRule="auto"/>
              <w:jc w:val="center"/>
              <w:rPr>
                <w:rFonts w:ascii="Times New Roman" w:eastAsia="Times New Roman" w:hAnsi="Times New Roman" w:cs="Times New Roman"/>
                <w:b/>
                <w:bCs/>
                <w:color w:val="000000"/>
                <w:sz w:val="24"/>
                <w:szCs w:val="24"/>
                <w:lang w:eastAsia="en-IN"/>
              </w:rPr>
            </w:pPr>
            <w:r w:rsidRPr="00DF1568">
              <w:rPr>
                <w:rFonts w:ascii="Times New Roman" w:eastAsia="Times New Roman" w:hAnsi="Times New Roman" w:cs="Times New Roman"/>
                <w:b/>
                <w:bCs/>
                <w:color w:val="000000"/>
                <w:sz w:val="24"/>
                <w:szCs w:val="24"/>
                <w:lang w:eastAsia="en-IN"/>
              </w:rPr>
              <w:t>Upper Estuary (%)</w:t>
            </w:r>
          </w:p>
        </w:tc>
        <w:tc>
          <w:tcPr>
            <w:tcW w:w="1863" w:type="dxa"/>
            <w:tcBorders>
              <w:top w:val="single" w:sz="4" w:space="0" w:color="auto"/>
              <w:left w:val="nil"/>
              <w:bottom w:val="single" w:sz="4" w:space="0" w:color="auto"/>
              <w:right w:val="single" w:sz="4" w:space="0" w:color="auto"/>
            </w:tcBorders>
            <w:vAlign w:val="center"/>
            <w:hideMark/>
          </w:tcPr>
          <w:p w14:paraId="6EA2BA0D" w14:textId="77777777" w:rsidR="00DF1568" w:rsidRPr="00DF1568" w:rsidRDefault="00DF1568" w:rsidP="00DF1568">
            <w:pPr>
              <w:spacing w:after="0" w:line="240" w:lineRule="auto"/>
              <w:jc w:val="center"/>
              <w:rPr>
                <w:rFonts w:ascii="Times New Roman" w:eastAsia="Times New Roman" w:hAnsi="Times New Roman" w:cs="Times New Roman"/>
                <w:b/>
                <w:bCs/>
                <w:color w:val="000000"/>
                <w:sz w:val="24"/>
                <w:szCs w:val="24"/>
                <w:lang w:eastAsia="en-IN"/>
              </w:rPr>
            </w:pPr>
            <w:r w:rsidRPr="00DF1568">
              <w:rPr>
                <w:rFonts w:ascii="Times New Roman" w:eastAsia="Times New Roman" w:hAnsi="Times New Roman" w:cs="Times New Roman"/>
                <w:b/>
                <w:bCs/>
                <w:color w:val="000000"/>
                <w:sz w:val="24"/>
                <w:szCs w:val="24"/>
                <w:lang w:eastAsia="en-IN"/>
              </w:rPr>
              <w:t>Middle Estuary (%)</w:t>
            </w:r>
          </w:p>
        </w:tc>
        <w:tc>
          <w:tcPr>
            <w:tcW w:w="1843" w:type="dxa"/>
            <w:tcBorders>
              <w:top w:val="single" w:sz="4" w:space="0" w:color="auto"/>
              <w:left w:val="nil"/>
              <w:bottom w:val="single" w:sz="4" w:space="0" w:color="auto"/>
              <w:right w:val="single" w:sz="4" w:space="0" w:color="auto"/>
            </w:tcBorders>
            <w:vAlign w:val="center"/>
            <w:hideMark/>
          </w:tcPr>
          <w:p w14:paraId="73C87B42" w14:textId="77777777" w:rsidR="00DF1568" w:rsidRPr="00DF1568" w:rsidRDefault="00DF1568" w:rsidP="00DF1568">
            <w:pPr>
              <w:spacing w:after="0" w:line="240" w:lineRule="auto"/>
              <w:jc w:val="center"/>
              <w:rPr>
                <w:rFonts w:ascii="Times New Roman" w:eastAsia="Times New Roman" w:hAnsi="Times New Roman" w:cs="Times New Roman"/>
                <w:b/>
                <w:bCs/>
                <w:color w:val="000000"/>
                <w:sz w:val="24"/>
                <w:szCs w:val="24"/>
                <w:lang w:eastAsia="en-IN"/>
              </w:rPr>
            </w:pPr>
            <w:r w:rsidRPr="00DF1568">
              <w:rPr>
                <w:rFonts w:ascii="Times New Roman" w:eastAsia="Times New Roman" w:hAnsi="Times New Roman" w:cs="Times New Roman"/>
                <w:b/>
                <w:bCs/>
                <w:color w:val="000000"/>
                <w:sz w:val="24"/>
                <w:szCs w:val="24"/>
                <w:lang w:eastAsia="en-IN"/>
              </w:rPr>
              <w:t>Lower Estuary (%)</w:t>
            </w:r>
          </w:p>
        </w:tc>
      </w:tr>
      <w:tr w:rsidR="00DF1568" w:rsidRPr="00DF1568" w14:paraId="66CE6CD9" w14:textId="77777777" w:rsidTr="00DF1568">
        <w:trPr>
          <w:trHeight w:val="153"/>
          <w:jc w:val="center"/>
        </w:trPr>
        <w:tc>
          <w:tcPr>
            <w:tcW w:w="2238" w:type="dxa"/>
            <w:tcBorders>
              <w:top w:val="nil"/>
              <w:left w:val="single" w:sz="4" w:space="0" w:color="auto"/>
              <w:bottom w:val="single" w:sz="4" w:space="0" w:color="auto"/>
              <w:right w:val="single" w:sz="4" w:space="0" w:color="auto"/>
            </w:tcBorders>
            <w:vAlign w:val="center"/>
            <w:hideMark/>
          </w:tcPr>
          <w:p w14:paraId="04C547E1" w14:textId="77777777" w:rsidR="00DF1568" w:rsidRPr="00DF1568" w:rsidRDefault="00DF1568" w:rsidP="00DF1568">
            <w:pPr>
              <w:spacing w:after="0" w:line="240" w:lineRule="auto"/>
              <w:jc w:val="both"/>
              <w:rPr>
                <w:rFonts w:ascii="Times New Roman" w:eastAsia="Times New Roman" w:hAnsi="Times New Roman" w:cs="Times New Roman"/>
                <w:color w:val="000000"/>
                <w:sz w:val="24"/>
                <w:szCs w:val="24"/>
                <w:lang w:eastAsia="en-IN"/>
              </w:rPr>
            </w:pPr>
            <w:r w:rsidRPr="00DF1568">
              <w:rPr>
                <w:rFonts w:ascii="Times New Roman" w:eastAsia="Times New Roman" w:hAnsi="Times New Roman" w:cs="Times New Roman"/>
                <w:color w:val="000000"/>
                <w:sz w:val="24"/>
                <w:szCs w:val="24"/>
                <w:lang w:eastAsia="en-IN"/>
              </w:rPr>
              <w:t>Freshwater residents</w:t>
            </w:r>
          </w:p>
        </w:tc>
        <w:tc>
          <w:tcPr>
            <w:tcW w:w="1796" w:type="dxa"/>
            <w:tcBorders>
              <w:top w:val="nil"/>
              <w:left w:val="nil"/>
              <w:bottom w:val="single" w:sz="4" w:space="0" w:color="auto"/>
              <w:right w:val="single" w:sz="4" w:space="0" w:color="auto"/>
            </w:tcBorders>
            <w:vAlign w:val="center"/>
            <w:hideMark/>
          </w:tcPr>
          <w:p w14:paraId="1F6345CD" w14:textId="77777777" w:rsidR="00DF1568" w:rsidRPr="00DF1568" w:rsidRDefault="00DF1568" w:rsidP="00DF1568">
            <w:pPr>
              <w:spacing w:after="0" w:line="240" w:lineRule="auto"/>
              <w:jc w:val="center"/>
              <w:rPr>
                <w:rFonts w:ascii="Times New Roman" w:eastAsia="Times New Roman" w:hAnsi="Times New Roman" w:cs="Times New Roman"/>
                <w:color w:val="000000"/>
                <w:sz w:val="24"/>
                <w:szCs w:val="24"/>
                <w:lang w:eastAsia="en-IN"/>
              </w:rPr>
            </w:pPr>
            <w:r w:rsidRPr="00DF1568">
              <w:rPr>
                <w:rFonts w:ascii="Times New Roman" w:eastAsia="Times New Roman" w:hAnsi="Times New Roman" w:cs="Times New Roman"/>
                <w:color w:val="000000"/>
                <w:sz w:val="24"/>
                <w:szCs w:val="24"/>
                <w:lang w:eastAsia="en-IN"/>
              </w:rPr>
              <w:t>48</w:t>
            </w:r>
          </w:p>
        </w:tc>
        <w:tc>
          <w:tcPr>
            <w:tcW w:w="1863" w:type="dxa"/>
            <w:tcBorders>
              <w:top w:val="nil"/>
              <w:left w:val="nil"/>
              <w:bottom w:val="single" w:sz="4" w:space="0" w:color="auto"/>
              <w:right w:val="single" w:sz="4" w:space="0" w:color="auto"/>
            </w:tcBorders>
            <w:vAlign w:val="center"/>
            <w:hideMark/>
          </w:tcPr>
          <w:p w14:paraId="3E7992C1" w14:textId="77777777" w:rsidR="00DF1568" w:rsidRPr="00DF1568" w:rsidRDefault="00DF1568" w:rsidP="00DF1568">
            <w:pPr>
              <w:spacing w:after="0" w:line="240" w:lineRule="auto"/>
              <w:jc w:val="center"/>
              <w:rPr>
                <w:rFonts w:ascii="Times New Roman" w:eastAsia="Times New Roman" w:hAnsi="Times New Roman" w:cs="Times New Roman"/>
                <w:color w:val="000000"/>
                <w:sz w:val="24"/>
                <w:szCs w:val="24"/>
                <w:lang w:eastAsia="en-IN"/>
              </w:rPr>
            </w:pPr>
            <w:r w:rsidRPr="00DF1568">
              <w:rPr>
                <w:rFonts w:ascii="Times New Roman" w:eastAsia="Times New Roman" w:hAnsi="Times New Roman" w:cs="Times New Roman"/>
                <w:color w:val="000000"/>
                <w:sz w:val="24"/>
                <w:szCs w:val="24"/>
                <w:lang w:eastAsia="en-IN"/>
              </w:rPr>
              <w:t>22</w:t>
            </w:r>
          </w:p>
        </w:tc>
        <w:tc>
          <w:tcPr>
            <w:tcW w:w="1843" w:type="dxa"/>
            <w:tcBorders>
              <w:top w:val="nil"/>
              <w:left w:val="nil"/>
              <w:bottom w:val="single" w:sz="4" w:space="0" w:color="auto"/>
              <w:right w:val="single" w:sz="4" w:space="0" w:color="auto"/>
            </w:tcBorders>
            <w:vAlign w:val="center"/>
            <w:hideMark/>
          </w:tcPr>
          <w:p w14:paraId="58FFC250" w14:textId="77777777" w:rsidR="00DF1568" w:rsidRPr="00DF1568" w:rsidRDefault="00DF1568" w:rsidP="00DF1568">
            <w:pPr>
              <w:spacing w:after="0" w:line="240" w:lineRule="auto"/>
              <w:jc w:val="center"/>
              <w:rPr>
                <w:rFonts w:ascii="Times New Roman" w:eastAsia="Times New Roman" w:hAnsi="Times New Roman" w:cs="Times New Roman"/>
                <w:color w:val="000000"/>
                <w:sz w:val="24"/>
                <w:szCs w:val="24"/>
                <w:lang w:eastAsia="en-IN"/>
              </w:rPr>
            </w:pPr>
            <w:r w:rsidRPr="00DF1568">
              <w:rPr>
                <w:rFonts w:ascii="Times New Roman" w:eastAsia="Times New Roman" w:hAnsi="Times New Roman" w:cs="Times New Roman"/>
                <w:color w:val="000000"/>
                <w:sz w:val="24"/>
                <w:szCs w:val="24"/>
                <w:lang w:eastAsia="en-IN"/>
              </w:rPr>
              <w:t>5</w:t>
            </w:r>
          </w:p>
        </w:tc>
      </w:tr>
      <w:tr w:rsidR="00DF1568" w:rsidRPr="00DF1568" w14:paraId="2ECADAD6" w14:textId="77777777" w:rsidTr="00DF1568">
        <w:trPr>
          <w:trHeight w:val="315"/>
          <w:jc w:val="center"/>
        </w:trPr>
        <w:tc>
          <w:tcPr>
            <w:tcW w:w="2238" w:type="dxa"/>
            <w:tcBorders>
              <w:top w:val="nil"/>
              <w:left w:val="single" w:sz="4" w:space="0" w:color="auto"/>
              <w:bottom w:val="single" w:sz="4" w:space="0" w:color="auto"/>
              <w:right w:val="single" w:sz="4" w:space="0" w:color="auto"/>
            </w:tcBorders>
            <w:vAlign w:val="center"/>
            <w:hideMark/>
          </w:tcPr>
          <w:p w14:paraId="1832AF5B" w14:textId="77777777" w:rsidR="00DF1568" w:rsidRPr="00DF1568" w:rsidRDefault="00DF1568" w:rsidP="00DF1568">
            <w:pPr>
              <w:spacing w:after="0" w:line="240" w:lineRule="auto"/>
              <w:jc w:val="both"/>
              <w:rPr>
                <w:rFonts w:ascii="Times New Roman" w:eastAsia="Times New Roman" w:hAnsi="Times New Roman" w:cs="Times New Roman"/>
                <w:color w:val="000000"/>
                <w:sz w:val="24"/>
                <w:szCs w:val="24"/>
                <w:lang w:eastAsia="en-IN"/>
              </w:rPr>
            </w:pPr>
            <w:r w:rsidRPr="00DF1568">
              <w:rPr>
                <w:rFonts w:ascii="Times New Roman" w:eastAsia="Times New Roman" w:hAnsi="Times New Roman" w:cs="Times New Roman"/>
                <w:color w:val="000000"/>
                <w:sz w:val="24"/>
                <w:szCs w:val="24"/>
                <w:lang w:eastAsia="en-IN"/>
              </w:rPr>
              <w:t>Estuarine residents</w:t>
            </w:r>
          </w:p>
        </w:tc>
        <w:tc>
          <w:tcPr>
            <w:tcW w:w="1796" w:type="dxa"/>
            <w:tcBorders>
              <w:top w:val="nil"/>
              <w:left w:val="nil"/>
              <w:bottom w:val="single" w:sz="4" w:space="0" w:color="auto"/>
              <w:right w:val="single" w:sz="4" w:space="0" w:color="auto"/>
            </w:tcBorders>
            <w:vAlign w:val="center"/>
            <w:hideMark/>
          </w:tcPr>
          <w:p w14:paraId="6B7DE676" w14:textId="77777777" w:rsidR="00DF1568" w:rsidRPr="00DF1568" w:rsidRDefault="00DF1568" w:rsidP="00DF1568">
            <w:pPr>
              <w:spacing w:after="0" w:line="240" w:lineRule="auto"/>
              <w:jc w:val="center"/>
              <w:rPr>
                <w:rFonts w:ascii="Times New Roman" w:eastAsia="Times New Roman" w:hAnsi="Times New Roman" w:cs="Times New Roman"/>
                <w:color w:val="000000"/>
                <w:sz w:val="24"/>
                <w:szCs w:val="24"/>
                <w:lang w:eastAsia="en-IN"/>
              </w:rPr>
            </w:pPr>
            <w:r w:rsidRPr="00DF1568">
              <w:rPr>
                <w:rFonts w:ascii="Times New Roman" w:eastAsia="Times New Roman" w:hAnsi="Times New Roman" w:cs="Times New Roman"/>
                <w:color w:val="000000"/>
                <w:sz w:val="24"/>
                <w:szCs w:val="24"/>
                <w:lang w:eastAsia="en-IN"/>
              </w:rPr>
              <w:t>32</w:t>
            </w:r>
          </w:p>
        </w:tc>
        <w:tc>
          <w:tcPr>
            <w:tcW w:w="1863" w:type="dxa"/>
            <w:tcBorders>
              <w:top w:val="nil"/>
              <w:left w:val="nil"/>
              <w:bottom w:val="single" w:sz="4" w:space="0" w:color="auto"/>
              <w:right w:val="single" w:sz="4" w:space="0" w:color="auto"/>
            </w:tcBorders>
            <w:vAlign w:val="center"/>
            <w:hideMark/>
          </w:tcPr>
          <w:p w14:paraId="57FF23BE" w14:textId="77777777" w:rsidR="00DF1568" w:rsidRPr="00DF1568" w:rsidRDefault="00DF1568" w:rsidP="00DF1568">
            <w:pPr>
              <w:spacing w:after="0" w:line="240" w:lineRule="auto"/>
              <w:jc w:val="center"/>
              <w:rPr>
                <w:rFonts w:ascii="Times New Roman" w:eastAsia="Times New Roman" w:hAnsi="Times New Roman" w:cs="Times New Roman"/>
                <w:color w:val="000000"/>
                <w:sz w:val="24"/>
                <w:szCs w:val="24"/>
                <w:lang w:eastAsia="en-IN"/>
              </w:rPr>
            </w:pPr>
            <w:r w:rsidRPr="00DF1568">
              <w:rPr>
                <w:rFonts w:ascii="Times New Roman" w:eastAsia="Times New Roman" w:hAnsi="Times New Roman" w:cs="Times New Roman"/>
                <w:color w:val="000000"/>
                <w:sz w:val="24"/>
                <w:szCs w:val="24"/>
                <w:lang w:eastAsia="en-IN"/>
              </w:rPr>
              <w:t>38</w:t>
            </w:r>
          </w:p>
        </w:tc>
        <w:tc>
          <w:tcPr>
            <w:tcW w:w="1843" w:type="dxa"/>
            <w:tcBorders>
              <w:top w:val="nil"/>
              <w:left w:val="nil"/>
              <w:bottom w:val="single" w:sz="4" w:space="0" w:color="auto"/>
              <w:right w:val="single" w:sz="4" w:space="0" w:color="auto"/>
            </w:tcBorders>
            <w:vAlign w:val="center"/>
            <w:hideMark/>
          </w:tcPr>
          <w:p w14:paraId="720B18FF" w14:textId="77777777" w:rsidR="00DF1568" w:rsidRPr="00DF1568" w:rsidRDefault="00DF1568" w:rsidP="00DF1568">
            <w:pPr>
              <w:spacing w:after="0" w:line="240" w:lineRule="auto"/>
              <w:jc w:val="center"/>
              <w:rPr>
                <w:rFonts w:ascii="Times New Roman" w:eastAsia="Times New Roman" w:hAnsi="Times New Roman" w:cs="Times New Roman"/>
                <w:color w:val="000000"/>
                <w:sz w:val="24"/>
                <w:szCs w:val="24"/>
                <w:lang w:eastAsia="en-IN"/>
              </w:rPr>
            </w:pPr>
            <w:r w:rsidRPr="00DF1568">
              <w:rPr>
                <w:rFonts w:ascii="Times New Roman" w:eastAsia="Times New Roman" w:hAnsi="Times New Roman" w:cs="Times New Roman"/>
                <w:color w:val="000000"/>
                <w:sz w:val="24"/>
                <w:szCs w:val="24"/>
                <w:lang w:eastAsia="en-IN"/>
              </w:rPr>
              <w:t>24</w:t>
            </w:r>
          </w:p>
        </w:tc>
      </w:tr>
      <w:tr w:rsidR="00DF1568" w:rsidRPr="00DF1568" w14:paraId="211B2E08" w14:textId="77777777" w:rsidTr="00DF1568">
        <w:trPr>
          <w:trHeight w:val="315"/>
          <w:jc w:val="center"/>
        </w:trPr>
        <w:tc>
          <w:tcPr>
            <w:tcW w:w="2238" w:type="dxa"/>
            <w:tcBorders>
              <w:top w:val="nil"/>
              <w:left w:val="single" w:sz="4" w:space="0" w:color="auto"/>
              <w:bottom w:val="single" w:sz="4" w:space="0" w:color="auto"/>
              <w:right w:val="single" w:sz="4" w:space="0" w:color="auto"/>
            </w:tcBorders>
            <w:vAlign w:val="center"/>
            <w:hideMark/>
          </w:tcPr>
          <w:p w14:paraId="373A024F" w14:textId="77777777" w:rsidR="00DF1568" w:rsidRPr="00DF1568" w:rsidRDefault="00DF1568" w:rsidP="00DF1568">
            <w:pPr>
              <w:spacing w:after="0" w:line="240" w:lineRule="auto"/>
              <w:jc w:val="both"/>
              <w:rPr>
                <w:rFonts w:ascii="Times New Roman" w:eastAsia="Times New Roman" w:hAnsi="Times New Roman" w:cs="Times New Roman"/>
                <w:color w:val="000000"/>
                <w:sz w:val="24"/>
                <w:szCs w:val="24"/>
                <w:lang w:eastAsia="en-IN"/>
              </w:rPr>
            </w:pPr>
            <w:r w:rsidRPr="00DF1568">
              <w:rPr>
                <w:rFonts w:ascii="Times New Roman" w:eastAsia="Times New Roman" w:hAnsi="Times New Roman" w:cs="Times New Roman"/>
                <w:color w:val="000000"/>
                <w:sz w:val="24"/>
                <w:szCs w:val="24"/>
                <w:lang w:eastAsia="en-IN"/>
              </w:rPr>
              <w:t>Marine migrants</w:t>
            </w:r>
          </w:p>
        </w:tc>
        <w:tc>
          <w:tcPr>
            <w:tcW w:w="1796" w:type="dxa"/>
            <w:tcBorders>
              <w:top w:val="nil"/>
              <w:left w:val="nil"/>
              <w:bottom w:val="single" w:sz="4" w:space="0" w:color="auto"/>
              <w:right w:val="single" w:sz="4" w:space="0" w:color="auto"/>
            </w:tcBorders>
            <w:vAlign w:val="center"/>
            <w:hideMark/>
          </w:tcPr>
          <w:p w14:paraId="47775DE0" w14:textId="77777777" w:rsidR="00DF1568" w:rsidRPr="00DF1568" w:rsidRDefault="00DF1568" w:rsidP="00DF1568">
            <w:pPr>
              <w:spacing w:after="0" w:line="240" w:lineRule="auto"/>
              <w:jc w:val="center"/>
              <w:rPr>
                <w:rFonts w:ascii="Times New Roman" w:eastAsia="Times New Roman" w:hAnsi="Times New Roman" w:cs="Times New Roman"/>
                <w:color w:val="000000"/>
                <w:sz w:val="24"/>
                <w:szCs w:val="24"/>
                <w:lang w:eastAsia="en-IN"/>
              </w:rPr>
            </w:pPr>
            <w:r w:rsidRPr="00DF1568">
              <w:rPr>
                <w:rFonts w:ascii="Times New Roman" w:eastAsia="Times New Roman" w:hAnsi="Times New Roman" w:cs="Times New Roman"/>
                <w:color w:val="000000"/>
                <w:sz w:val="24"/>
                <w:szCs w:val="24"/>
                <w:lang w:eastAsia="en-IN"/>
              </w:rPr>
              <w:t>20</w:t>
            </w:r>
          </w:p>
        </w:tc>
        <w:tc>
          <w:tcPr>
            <w:tcW w:w="1863" w:type="dxa"/>
            <w:tcBorders>
              <w:top w:val="nil"/>
              <w:left w:val="nil"/>
              <w:bottom w:val="single" w:sz="4" w:space="0" w:color="auto"/>
              <w:right w:val="single" w:sz="4" w:space="0" w:color="auto"/>
            </w:tcBorders>
            <w:vAlign w:val="center"/>
            <w:hideMark/>
          </w:tcPr>
          <w:p w14:paraId="495937A9" w14:textId="77777777" w:rsidR="00DF1568" w:rsidRPr="00DF1568" w:rsidRDefault="00DF1568" w:rsidP="00DF1568">
            <w:pPr>
              <w:spacing w:after="0" w:line="240" w:lineRule="auto"/>
              <w:jc w:val="center"/>
              <w:rPr>
                <w:rFonts w:ascii="Times New Roman" w:eastAsia="Times New Roman" w:hAnsi="Times New Roman" w:cs="Times New Roman"/>
                <w:color w:val="000000"/>
                <w:sz w:val="24"/>
                <w:szCs w:val="24"/>
                <w:lang w:eastAsia="en-IN"/>
              </w:rPr>
            </w:pPr>
            <w:r w:rsidRPr="00DF1568">
              <w:rPr>
                <w:rFonts w:ascii="Times New Roman" w:eastAsia="Times New Roman" w:hAnsi="Times New Roman" w:cs="Times New Roman"/>
                <w:color w:val="000000"/>
                <w:sz w:val="24"/>
                <w:szCs w:val="24"/>
                <w:lang w:eastAsia="en-IN"/>
              </w:rPr>
              <w:t>40</w:t>
            </w:r>
          </w:p>
        </w:tc>
        <w:tc>
          <w:tcPr>
            <w:tcW w:w="1843" w:type="dxa"/>
            <w:tcBorders>
              <w:top w:val="nil"/>
              <w:left w:val="nil"/>
              <w:bottom w:val="single" w:sz="4" w:space="0" w:color="auto"/>
              <w:right w:val="single" w:sz="4" w:space="0" w:color="auto"/>
            </w:tcBorders>
            <w:vAlign w:val="center"/>
            <w:hideMark/>
          </w:tcPr>
          <w:p w14:paraId="7EB92DB3" w14:textId="77777777" w:rsidR="00DF1568" w:rsidRPr="00DF1568" w:rsidRDefault="00DF1568" w:rsidP="00DF1568">
            <w:pPr>
              <w:spacing w:after="0" w:line="240" w:lineRule="auto"/>
              <w:jc w:val="center"/>
              <w:rPr>
                <w:rFonts w:ascii="Times New Roman" w:eastAsia="Times New Roman" w:hAnsi="Times New Roman" w:cs="Times New Roman"/>
                <w:color w:val="000000"/>
                <w:sz w:val="24"/>
                <w:szCs w:val="24"/>
                <w:lang w:eastAsia="en-IN"/>
              </w:rPr>
            </w:pPr>
            <w:r w:rsidRPr="00DF1568">
              <w:rPr>
                <w:rFonts w:ascii="Times New Roman" w:eastAsia="Times New Roman" w:hAnsi="Times New Roman" w:cs="Times New Roman"/>
                <w:color w:val="000000"/>
                <w:sz w:val="24"/>
                <w:szCs w:val="24"/>
                <w:lang w:eastAsia="en-IN"/>
              </w:rPr>
              <w:t>71</w:t>
            </w:r>
          </w:p>
        </w:tc>
      </w:tr>
    </w:tbl>
    <w:p w14:paraId="2AC1A214" w14:textId="77777777" w:rsidR="00DF1568" w:rsidRDefault="00DF1568" w:rsidP="00DF1568">
      <w:pPr>
        <w:pStyle w:val="NormalWeb"/>
        <w:spacing w:before="0" w:beforeAutospacing="0" w:after="0" w:afterAutospacing="0"/>
        <w:jc w:val="both"/>
      </w:pPr>
    </w:p>
    <w:p w14:paraId="6173A371" w14:textId="77777777" w:rsidR="00DF1568" w:rsidRPr="00DF1568" w:rsidRDefault="00DF1568" w:rsidP="00DF1568">
      <w:pPr>
        <w:pStyle w:val="NormalWeb"/>
        <w:spacing w:before="0" w:beforeAutospacing="0" w:after="0" w:afterAutospacing="0" w:line="360" w:lineRule="auto"/>
        <w:jc w:val="both"/>
      </w:pPr>
      <w:r w:rsidRPr="00DF1568">
        <w:t>Species turnover analysis showed clear clustering of sampling stations according to salinity regimes.</w:t>
      </w:r>
    </w:p>
    <w:p w14:paraId="2C521F83" w14:textId="77777777" w:rsidR="00DF1568" w:rsidRPr="00DF1568" w:rsidRDefault="00DF1568" w:rsidP="00DF1568">
      <w:pPr>
        <w:pStyle w:val="NormalWeb"/>
        <w:spacing w:before="0" w:beforeAutospacing="0" w:after="0" w:afterAutospacing="0" w:line="360" w:lineRule="auto"/>
        <w:jc w:val="both"/>
      </w:pPr>
      <w:r w:rsidRPr="00DF1568">
        <w:t>Species diversity (Shannon index) peaked at mesohaline conditions (8–18 ppt), indicating maximum overlap of freshwater and marine taxa in the mixing zone.</w:t>
      </w:r>
    </w:p>
    <w:p w14:paraId="658FA8EC" w14:textId="77777777" w:rsidR="00DF1568" w:rsidRPr="00DF1568" w:rsidRDefault="00DF1568" w:rsidP="00DF1568">
      <w:pPr>
        <w:pStyle w:val="Heading2"/>
        <w:spacing w:before="0" w:line="360" w:lineRule="auto"/>
        <w:jc w:val="both"/>
        <w:rPr>
          <w:rFonts w:ascii="Times New Roman" w:hAnsi="Times New Roman" w:cs="Times New Roman"/>
          <w:color w:val="auto"/>
          <w:sz w:val="24"/>
          <w:szCs w:val="24"/>
        </w:rPr>
      </w:pPr>
      <w:r w:rsidRPr="00DF1568">
        <w:rPr>
          <w:rStyle w:val="Strong"/>
          <w:rFonts w:ascii="Times New Roman" w:hAnsi="Times New Roman" w:cs="Times New Roman"/>
          <w:bCs w:val="0"/>
          <w:color w:val="auto"/>
          <w:sz w:val="24"/>
          <w:szCs w:val="24"/>
        </w:rPr>
        <w:t>4.3 Diversity Indices and Community Structure</w:t>
      </w:r>
    </w:p>
    <w:p w14:paraId="535058C0" w14:textId="77777777" w:rsidR="00DF1568" w:rsidRPr="00DF1568" w:rsidRDefault="00DF1568" w:rsidP="00DF1568">
      <w:pPr>
        <w:pStyle w:val="NormalWeb"/>
        <w:spacing w:before="0" w:beforeAutospacing="0" w:after="0" w:afterAutospacing="0" w:line="360" w:lineRule="auto"/>
        <w:jc w:val="both"/>
      </w:pPr>
      <w:r w:rsidRPr="00DF1568">
        <w:t>Diversity metrics revealed significant seasonal variability.</w:t>
      </w:r>
    </w:p>
    <w:p w14:paraId="4C69909F" w14:textId="77777777" w:rsidR="00DF1568" w:rsidRPr="00DF1568" w:rsidRDefault="00DF1568" w:rsidP="00831662">
      <w:pPr>
        <w:pStyle w:val="NormalWeb"/>
        <w:spacing w:before="0" w:beforeAutospacing="0" w:after="0" w:afterAutospacing="0" w:line="360" w:lineRule="auto"/>
        <w:ind w:left="360"/>
        <w:jc w:val="both"/>
      </w:pPr>
      <w:r w:rsidRPr="00DF1568">
        <w:t>Shannon diversity (H′) ranged from 2.1 (upper estuary, monsoon) to 3.4 (middle estuary, post-monsoon).</w:t>
      </w:r>
    </w:p>
    <w:p w14:paraId="08DDF98F" w14:textId="77777777" w:rsidR="00DF1568" w:rsidRPr="00DF1568" w:rsidRDefault="00DF1568" w:rsidP="00831662">
      <w:pPr>
        <w:pStyle w:val="NormalWeb"/>
        <w:spacing w:before="0" w:beforeAutospacing="0" w:after="0" w:afterAutospacing="0" w:line="360" w:lineRule="auto"/>
        <w:ind w:left="360"/>
        <w:jc w:val="both"/>
      </w:pPr>
      <w:r w:rsidRPr="00DF1568">
        <w:t>Simpson dominance index was highest during monsoon in upper stations due to dominance of few tolerant freshwater species.</w:t>
      </w:r>
    </w:p>
    <w:p w14:paraId="46BB959A" w14:textId="77777777" w:rsidR="00DF1568" w:rsidRPr="00DF1568" w:rsidRDefault="00DF1568" w:rsidP="00831662">
      <w:pPr>
        <w:pStyle w:val="NormalWeb"/>
        <w:spacing w:before="0" w:beforeAutospacing="0" w:after="0" w:afterAutospacing="0" w:line="360" w:lineRule="auto"/>
        <w:ind w:left="360"/>
        <w:jc w:val="both"/>
      </w:pPr>
      <w:r w:rsidRPr="00DF1568">
        <w:t>Evenness values were highest during post-monsoon months when assemblage composition stabilized.</w:t>
      </w:r>
    </w:p>
    <w:p w14:paraId="256706B2" w14:textId="77777777" w:rsidR="00DF1568" w:rsidRDefault="00DF1568" w:rsidP="00DF1568">
      <w:pPr>
        <w:pStyle w:val="Heading3"/>
        <w:spacing w:before="0" w:beforeAutospacing="0" w:after="0" w:afterAutospacing="0"/>
        <w:jc w:val="center"/>
        <w:rPr>
          <w:rStyle w:val="Strong"/>
          <w:b/>
          <w:bCs/>
          <w:sz w:val="24"/>
          <w:szCs w:val="24"/>
        </w:rPr>
      </w:pPr>
    </w:p>
    <w:p w14:paraId="7C7894A8" w14:textId="77777777" w:rsidR="00DF1568" w:rsidRPr="00DF1568" w:rsidRDefault="00DF1568" w:rsidP="00DF1568">
      <w:pPr>
        <w:pStyle w:val="Heading3"/>
        <w:spacing w:before="0" w:beforeAutospacing="0" w:after="0" w:afterAutospacing="0"/>
        <w:jc w:val="center"/>
        <w:rPr>
          <w:sz w:val="24"/>
          <w:szCs w:val="24"/>
        </w:rPr>
      </w:pPr>
      <w:r w:rsidRPr="00DF1568">
        <w:rPr>
          <w:rStyle w:val="Strong"/>
          <w:b/>
          <w:bCs/>
          <w:sz w:val="24"/>
          <w:szCs w:val="24"/>
        </w:rPr>
        <w:lastRenderedPageBreak/>
        <w:t>Table 3. Seasonal diversity indices (mean values)</w:t>
      </w:r>
    </w:p>
    <w:tbl>
      <w:tblPr>
        <w:tblW w:w="7952" w:type="dxa"/>
        <w:jc w:val="center"/>
        <w:tblLook w:val="04A0" w:firstRow="1" w:lastRow="0" w:firstColumn="1" w:lastColumn="0" w:noHBand="0" w:noVBand="1"/>
      </w:tblPr>
      <w:tblGrid>
        <w:gridCol w:w="1573"/>
        <w:gridCol w:w="2323"/>
        <w:gridCol w:w="2200"/>
        <w:gridCol w:w="1856"/>
      </w:tblGrid>
      <w:tr w:rsidR="00DF1568" w:rsidRPr="00DF1568" w14:paraId="7FDF0964" w14:textId="77777777" w:rsidTr="00DF1568">
        <w:trPr>
          <w:trHeight w:val="315"/>
          <w:jc w:val="center"/>
        </w:trPr>
        <w:tc>
          <w:tcPr>
            <w:tcW w:w="1573" w:type="dxa"/>
            <w:tcBorders>
              <w:top w:val="single" w:sz="4" w:space="0" w:color="auto"/>
              <w:left w:val="single" w:sz="4" w:space="0" w:color="auto"/>
              <w:bottom w:val="single" w:sz="4" w:space="0" w:color="auto"/>
              <w:right w:val="single" w:sz="4" w:space="0" w:color="auto"/>
            </w:tcBorders>
            <w:vAlign w:val="center"/>
            <w:hideMark/>
          </w:tcPr>
          <w:p w14:paraId="38EBE180" w14:textId="77777777" w:rsidR="00DF1568" w:rsidRPr="00DF1568" w:rsidRDefault="00DF1568" w:rsidP="00DF1568">
            <w:pPr>
              <w:spacing w:after="0" w:line="240" w:lineRule="auto"/>
              <w:jc w:val="center"/>
              <w:rPr>
                <w:rFonts w:ascii="Times New Roman" w:eastAsia="Times New Roman" w:hAnsi="Times New Roman" w:cs="Times New Roman"/>
                <w:b/>
                <w:bCs/>
                <w:color w:val="000000"/>
                <w:sz w:val="24"/>
                <w:szCs w:val="24"/>
                <w:lang w:eastAsia="en-IN"/>
              </w:rPr>
            </w:pPr>
            <w:r w:rsidRPr="00DF1568">
              <w:rPr>
                <w:rFonts w:ascii="Times New Roman" w:eastAsia="Times New Roman" w:hAnsi="Times New Roman" w:cs="Times New Roman"/>
                <w:b/>
                <w:bCs/>
                <w:color w:val="000000"/>
                <w:sz w:val="24"/>
                <w:szCs w:val="24"/>
                <w:lang w:eastAsia="en-IN"/>
              </w:rPr>
              <w:t>Season</w:t>
            </w:r>
          </w:p>
        </w:tc>
        <w:tc>
          <w:tcPr>
            <w:tcW w:w="2323" w:type="dxa"/>
            <w:tcBorders>
              <w:top w:val="single" w:sz="4" w:space="0" w:color="auto"/>
              <w:left w:val="nil"/>
              <w:bottom w:val="single" w:sz="4" w:space="0" w:color="auto"/>
              <w:right w:val="single" w:sz="4" w:space="0" w:color="auto"/>
            </w:tcBorders>
            <w:vAlign w:val="center"/>
            <w:hideMark/>
          </w:tcPr>
          <w:p w14:paraId="4C36B7B4" w14:textId="77777777" w:rsidR="00DF1568" w:rsidRPr="00DF1568" w:rsidRDefault="00DF1568" w:rsidP="00DF1568">
            <w:pPr>
              <w:spacing w:after="0" w:line="240" w:lineRule="auto"/>
              <w:jc w:val="center"/>
              <w:rPr>
                <w:rFonts w:ascii="Times New Roman" w:eastAsia="Times New Roman" w:hAnsi="Times New Roman" w:cs="Times New Roman"/>
                <w:b/>
                <w:bCs/>
                <w:color w:val="000000"/>
                <w:sz w:val="24"/>
                <w:szCs w:val="24"/>
                <w:lang w:eastAsia="en-IN"/>
              </w:rPr>
            </w:pPr>
            <w:r w:rsidRPr="00DF1568">
              <w:rPr>
                <w:rFonts w:ascii="Times New Roman" w:eastAsia="Times New Roman" w:hAnsi="Times New Roman" w:cs="Times New Roman"/>
                <w:b/>
                <w:bCs/>
                <w:color w:val="000000"/>
                <w:sz w:val="24"/>
                <w:szCs w:val="24"/>
                <w:lang w:eastAsia="en-IN"/>
              </w:rPr>
              <w:t>Shannon Index (H′)</w:t>
            </w:r>
          </w:p>
        </w:tc>
        <w:tc>
          <w:tcPr>
            <w:tcW w:w="2200" w:type="dxa"/>
            <w:tcBorders>
              <w:top w:val="single" w:sz="4" w:space="0" w:color="auto"/>
              <w:left w:val="nil"/>
              <w:bottom w:val="single" w:sz="4" w:space="0" w:color="auto"/>
              <w:right w:val="single" w:sz="4" w:space="0" w:color="auto"/>
            </w:tcBorders>
            <w:vAlign w:val="center"/>
            <w:hideMark/>
          </w:tcPr>
          <w:p w14:paraId="6A3243D0" w14:textId="77777777" w:rsidR="00DF1568" w:rsidRPr="00DF1568" w:rsidRDefault="00DF1568" w:rsidP="00DF1568">
            <w:pPr>
              <w:spacing w:after="0" w:line="240" w:lineRule="auto"/>
              <w:jc w:val="center"/>
              <w:rPr>
                <w:rFonts w:ascii="Times New Roman" w:eastAsia="Times New Roman" w:hAnsi="Times New Roman" w:cs="Times New Roman"/>
                <w:b/>
                <w:bCs/>
                <w:color w:val="000000"/>
                <w:sz w:val="24"/>
                <w:szCs w:val="24"/>
                <w:lang w:eastAsia="en-IN"/>
              </w:rPr>
            </w:pPr>
            <w:r w:rsidRPr="00DF1568">
              <w:rPr>
                <w:rFonts w:ascii="Times New Roman" w:eastAsia="Times New Roman" w:hAnsi="Times New Roman" w:cs="Times New Roman"/>
                <w:b/>
                <w:bCs/>
                <w:color w:val="000000"/>
                <w:sz w:val="24"/>
                <w:szCs w:val="24"/>
                <w:lang w:eastAsia="en-IN"/>
              </w:rPr>
              <w:t>Simpson Index (D)</w:t>
            </w:r>
          </w:p>
        </w:tc>
        <w:tc>
          <w:tcPr>
            <w:tcW w:w="1856" w:type="dxa"/>
            <w:tcBorders>
              <w:top w:val="single" w:sz="4" w:space="0" w:color="auto"/>
              <w:left w:val="nil"/>
              <w:bottom w:val="single" w:sz="4" w:space="0" w:color="auto"/>
              <w:right w:val="single" w:sz="4" w:space="0" w:color="auto"/>
            </w:tcBorders>
            <w:vAlign w:val="center"/>
            <w:hideMark/>
          </w:tcPr>
          <w:p w14:paraId="25607115" w14:textId="77777777" w:rsidR="00DF1568" w:rsidRPr="00DF1568" w:rsidRDefault="00DF1568" w:rsidP="00DF1568">
            <w:pPr>
              <w:spacing w:after="0" w:line="240" w:lineRule="auto"/>
              <w:jc w:val="center"/>
              <w:rPr>
                <w:rFonts w:ascii="Times New Roman" w:eastAsia="Times New Roman" w:hAnsi="Times New Roman" w:cs="Times New Roman"/>
                <w:b/>
                <w:bCs/>
                <w:color w:val="000000"/>
                <w:sz w:val="24"/>
                <w:szCs w:val="24"/>
                <w:lang w:eastAsia="en-IN"/>
              </w:rPr>
            </w:pPr>
            <w:r w:rsidRPr="00DF1568">
              <w:rPr>
                <w:rFonts w:ascii="Times New Roman" w:eastAsia="Times New Roman" w:hAnsi="Times New Roman" w:cs="Times New Roman"/>
                <w:b/>
                <w:bCs/>
                <w:color w:val="000000"/>
                <w:sz w:val="24"/>
                <w:szCs w:val="24"/>
                <w:lang w:eastAsia="en-IN"/>
              </w:rPr>
              <w:t>Evenness (J′)</w:t>
            </w:r>
          </w:p>
        </w:tc>
      </w:tr>
      <w:tr w:rsidR="00DF1568" w:rsidRPr="00DF1568" w14:paraId="687E3936" w14:textId="77777777" w:rsidTr="00DF1568">
        <w:trPr>
          <w:trHeight w:val="315"/>
          <w:jc w:val="center"/>
        </w:trPr>
        <w:tc>
          <w:tcPr>
            <w:tcW w:w="1573" w:type="dxa"/>
            <w:tcBorders>
              <w:top w:val="nil"/>
              <w:left w:val="single" w:sz="4" w:space="0" w:color="auto"/>
              <w:bottom w:val="single" w:sz="4" w:space="0" w:color="auto"/>
              <w:right w:val="single" w:sz="4" w:space="0" w:color="auto"/>
            </w:tcBorders>
            <w:vAlign w:val="center"/>
            <w:hideMark/>
          </w:tcPr>
          <w:p w14:paraId="2A784E92" w14:textId="77777777" w:rsidR="00DF1568" w:rsidRPr="00DF1568" w:rsidRDefault="00DF1568" w:rsidP="00DF1568">
            <w:pPr>
              <w:spacing w:after="0" w:line="240" w:lineRule="auto"/>
              <w:jc w:val="center"/>
              <w:rPr>
                <w:rFonts w:ascii="Times New Roman" w:eastAsia="Times New Roman" w:hAnsi="Times New Roman" w:cs="Times New Roman"/>
                <w:color w:val="000000"/>
                <w:sz w:val="24"/>
                <w:szCs w:val="24"/>
                <w:lang w:eastAsia="en-IN"/>
              </w:rPr>
            </w:pPr>
            <w:r w:rsidRPr="00DF1568">
              <w:rPr>
                <w:rFonts w:ascii="Times New Roman" w:eastAsia="Times New Roman" w:hAnsi="Times New Roman" w:cs="Times New Roman"/>
                <w:color w:val="000000"/>
                <w:sz w:val="24"/>
                <w:szCs w:val="24"/>
                <w:lang w:eastAsia="en-IN"/>
              </w:rPr>
              <w:t>Pre-monsoon</w:t>
            </w:r>
          </w:p>
        </w:tc>
        <w:tc>
          <w:tcPr>
            <w:tcW w:w="2323" w:type="dxa"/>
            <w:tcBorders>
              <w:top w:val="nil"/>
              <w:left w:val="nil"/>
              <w:bottom w:val="single" w:sz="4" w:space="0" w:color="auto"/>
              <w:right w:val="single" w:sz="4" w:space="0" w:color="auto"/>
            </w:tcBorders>
            <w:vAlign w:val="center"/>
            <w:hideMark/>
          </w:tcPr>
          <w:p w14:paraId="646AF9A6" w14:textId="77777777" w:rsidR="00DF1568" w:rsidRPr="00DF1568" w:rsidRDefault="00DF1568" w:rsidP="00DF1568">
            <w:pPr>
              <w:spacing w:after="0" w:line="240" w:lineRule="auto"/>
              <w:jc w:val="center"/>
              <w:rPr>
                <w:rFonts w:ascii="Times New Roman" w:eastAsia="Times New Roman" w:hAnsi="Times New Roman" w:cs="Times New Roman"/>
                <w:color w:val="000000"/>
                <w:sz w:val="24"/>
                <w:szCs w:val="24"/>
                <w:lang w:eastAsia="en-IN"/>
              </w:rPr>
            </w:pPr>
            <w:r w:rsidRPr="00DF1568">
              <w:rPr>
                <w:rFonts w:ascii="Times New Roman" w:eastAsia="Times New Roman" w:hAnsi="Times New Roman" w:cs="Times New Roman"/>
                <w:color w:val="000000"/>
                <w:sz w:val="24"/>
                <w:szCs w:val="24"/>
                <w:lang w:eastAsia="en-IN"/>
              </w:rPr>
              <w:t>2.85</w:t>
            </w:r>
          </w:p>
        </w:tc>
        <w:tc>
          <w:tcPr>
            <w:tcW w:w="2200" w:type="dxa"/>
            <w:tcBorders>
              <w:top w:val="nil"/>
              <w:left w:val="nil"/>
              <w:bottom w:val="single" w:sz="4" w:space="0" w:color="auto"/>
              <w:right w:val="single" w:sz="4" w:space="0" w:color="auto"/>
            </w:tcBorders>
            <w:vAlign w:val="center"/>
            <w:hideMark/>
          </w:tcPr>
          <w:p w14:paraId="76F84180" w14:textId="77777777" w:rsidR="00DF1568" w:rsidRPr="00DF1568" w:rsidRDefault="00DF1568" w:rsidP="00DF1568">
            <w:pPr>
              <w:spacing w:after="0" w:line="240" w:lineRule="auto"/>
              <w:jc w:val="center"/>
              <w:rPr>
                <w:rFonts w:ascii="Times New Roman" w:eastAsia="Times New Roman" w:hAnsi="Times New Roman" w:cs="Times New Roman"/>
                <w:color w:val="000000"/>
                <w:sz w:val="24"/>
                <w:szCs w:val="24"/>
                <w:lang w:eastAsia="en-IN"/>
              </w:rPr>
            </w:pPr>
            <w:r w:rsidRPr="00DF1568">
              <w:rPr>
                <w:rFonts w:ascii="Times New Roman" w:eastAsia="Times New Roman" w:hAnsi="Times New Roman" w:cs="Times New Roman"/>
                <w:color w:val="000000"/>
                <w:sz w:val="24"/>
                <w:szCs w:val="24"/>
                <w:lang w:eastAsia="en-IN"/>
              </w:rPr>
              <w:t>0.18</w:t>
            </w:r>
          </w:p>
        </w:tc>
        <w:tc>
          <w:tcPr>
            <w:tcW w:w="1856" w:type="dxa"/>
            <w:tcBorders>
              <w:top w:val="nil"/>
              <w:left w:val="nil"/>
              <w:bottom w:val="single" w:sz="4" w:space="0" w:color="auto"/>
              <w:right w:val="single" w:sz="4" w:space="0" w:color="auto"/>
            </w:tcBorders>
            <w:vAlign w:val="center"/>
            <w:hideMark/>
          </w:tcPr>
          <w:p w14:paraId="2CF5B06E" w14:textId="77777777" w:rsidR="00DF1568" w:rsidRPr="00DF1568" w:rsidRDefault="00DF1568" w:rsidP="00DF1568">
            <w:pPr>
              <w:spacing w:after="0" w:line="240" w:lineRule="auto"/>
              <w:jc w:val="center"/>
              <w:rPr>
                <w:rFonts w:ascii="Times New Roman" w:eastAsia="Times New Roman" w:hAnsi="Times New Roman" w:cs="Times New Roman"/>
                <w:color w:val="000000"/>
                <w:sz w:val="24"/>
                <w:szCs w:val="24"/>
                <w:lang w:eastAsia="en-IN"/>
              </w:rPr>
            </w:pPr>
            <w:r w:rsidRPr="00DF1568">
              <w:rPr>
                <w:rFonts w:ascii="Times New Roman" w:eastAsia="Times New Roman" w:hAnsi="Times New Roman" w:cs="Times New Roman"/>
                <w:color w:val="000000"/>
                <w:sz w:val="24"/>
                <w:szCs w:val="24"/>
                <w:lang w:eastAsia="en-IN"/>
              </w:rPr>
              <w:t>0.74</w:t>
            </w:r>
          </w:p>
        </w:tc>
      </w:tr>
      <w:tr w:rsidR="00DF1568" w:rsidRPr="00DF1568" w14:paraId="50BF3782" w14:textId="77777777" w:rsidTr="00DF1568">
        <w:trPr>
          <w:trHeight w:val="315"/>
          <w:jc w:val="center"/>
        </w:trPr>
        <w:tc>
          <w:tcPr>
            <w:tcW w:w="1573" w:type="dxa"/>
            <w:tcBorders>
              <w:top w:val="nil"/>
              <w:left w:val="single" w:sz="4" w:space="0" w:color="auto"/>
              <w:bottom w:val="single" w:sz="4" w:space="0" w:color="auto"/>
              <w:right w:val="single" w:sz="4" w:space="0" w:color="auto"/>
            </w:tcBorders>
            <w:vAlign w:val="center"/>
            <w:hideMark/>
          </w:tcPr>
          <w:p w14:paraId="4D65B0DF" w14:textId="77777777" w:rsidR="00DF1568" w:rsidRPr="00DF1568" w:rsidRDefault="00DF1568" w:rsidP="00DF1568">
            <w:pPr>
              <w:spacing w:after="0" w:line="240" w:lineRule="auto"/>
              <w:jc w:val="center"/>
              <w:rPr>
                <w:rFonts w:ascii="Times New Roman" w:eastAsia="Times New Roman" w:hAnsi="Times New Roman" w:cs="Times New Roman"/>
                <w:color w:val="000000"/>
                <w:sz w:val="24"/>
                <w:szCs w:val="24"/>
                <w:lang w:eastAsia="en-IN"/>
              </w:rPr>
            </w:pPr>
            <w:r w:rsidRPr="00DF1568">
              <w:rPr>
                <w:rFonts w:ascii="Times New Roman" w:eastAsia="Times New Roman" w:hAnsi="Times New Roman" w:cs="Times New Roman"/>
                <w:color w:val="000000"/>
                <w:sz w:val="24"/>
                <w:szCs w:val="24"/>
                <w:lang w:eastAsia="en-IN"/>
              </w:rPr>
              <w:t>Monsoon</w:t>
            </w:r>
          </w:p>
        </w:tc>
        <w:tc>
          <w:tcPr>
            <w:tcW w:w="2323" w:type="dxa"/>
            <w:tcBorders>
              <w:top w:val="nil"/>
              <w:left w:val="nil"/>
              <w:bottom w:val="single" w:sz="4" w:space="0" w:color="auto"/>
              <w:right w:val="single" w:sz="4" w:space="0" w:color="auto"/>
            </w:tcBorders>
            <w:vAlign w:val="center"/>
            <w:hideMark/>
          </w:tcPr>
          <w:p w14:paraId="513F3633" w14:textId="77777777" w:rsidR="00DF1568" w:rsidRPr="00DF1568" w:rsidRDefault="00DF1568" w:rsidP="00DF1568">
            <w:pPr>
              <w:spacing w:after="0" w:line="240" w:lineRule="auto"/>
              <w:jc w:val="center"/>
              <w:rPr>
                <w:rFonts w:ascii="Times New Roman" w:eastAsia="Times New Roman" w:hAnsi="Times New Roman" w:cs="Times New Roman"/>
                <w:color w:val="000000"/>
                <w:sz w:val="24"/>
                <w:szCs w:val="24"/>
                <w:lang w:eastAsia="en-IN"/>
              </w:rPr>
            </w:pPr>
            <w:r w:rsidRPr="00DF1568">
              <w:rPr>
                <w:rFonts w:ascii="Times New Roman" w:eastAsia="Times New Roman" w:hAnsi="Times New Roman" w:cs="Times New Roman"/>
                <w:color w:val="000000"/>
                <w:sz w:val="24"/>
                <w:szCs w:val="24"/>
                <w:lang w:eastAsia="en-IN"/>
              </w:rPr>
              <w:t>2.42</w:t>
            </w:r>
          </w:p>
        </w:tc>
        <w:tc>
          <w:tcPr>
            <w:tcW w:w="2200" w:type="dxa"/>
            <w:tcBorders>
              <w:top w:val="nil"/>
              <w:left w:val="nil"/>
              <w:bottom w:val="single" w:sz="4" w:space="0" w:color="auto"/>
              <w:right w:val="single" w:sz="4" w:space="0" w:color="auto"/>
            </w:tcBorders>
            <w:vAlign w:val="center"/>
            <w:hideMark/>
          </w:tcPr>
          <w:p w14:paraId="010F1E8B" w14:textId="77777777" w:rsidR="00DF1568" w:rsidRPr="00DF1568" w:rsidRDefault="00DF1568" w:rsidP="00DF1568">
            <w:pPr>
              <w:spacing w:after="0" w:line="240" w:lineRule="auto"/>
              <w:jc w:val="center"/>
              <w:rPr>
                <w:rFonts w:ascii="Times New Roman" w:eastAsia="Times New Roman" w:hAnsi="Times New Roman" w:cs="Times New Roman"/>
                <w:color w:val="000000"/>
                <w:sz w:val="24"/>
                <w:szCs w:val="24"/>
                <w:lang w:eastAsia="en-IN"/>
              </w:rPr>
            </w:pPr>
            <w:r w:rsidRPr="00DF1568">
              <w:rPr>
                <w:rFonts w:ascii="Times New Roman" w:eastAsia="Times New Roman" w:hAnsi="Times New Roman" w:cs="Times New Roman"/>
                <w:color w:val="000000"/>
                <w:sz w:val="24"/>
                <w:szCs w:val="24"/>
                <w:lang w:eastAsia="en-IN"/>
              </w:rPr>
              <w:t>0.26</w:t>
            </w:r>
          </w:p>
        </w:tc>
        <w:tc>
          <w:tcPr>
            <w:tcW w:w="1856" w:type="dxa"/>
            <w:tcBorders>
              <w:top w:val="nil"/>
              <w:left w:val="nil"/>
              <w:bottom w:val="single" w:sz="4" w:space="0" w:color="auto"/>
              <w:right w:val="single" w:sz="4" w:space="0" w:color="auto"/>
            </w:tcBorders>
            <w:vAlign w:val="center"/>
            <w:hideMark/>
          </w:tcPr>
          <w:p w14:paraId="3C137012" w14:textId="77777777" w:rsidR="00DF1568" w:rsidRPr="00DF1568" w:rsidRDefault="00DF1568" w:rsidP="00DF1568">
            <w:pPr>
              <w:spacing w:after="0" w:line="240" w:lineRule="auto"/>
              <w:jc w:val="center"/>
              <w:rPr>
                <w:rFonts w:ascii="Times New Roman" w:eastAsia="Times New Roman" w:hAnsi="Times New Roman" w:cs="Times New Roman"/>
                <w:color w:val="000000"/>
                <w:sz w:val="24"/>
                <w:szCs w:val="24"/>
                <w:lang w:eastAsia="en-IN"/>
              </w:rPr>
            </w:pPr>
            <w:r w:rsidRPr="00DF1568">
              <w:rPr>
                <w:rFonts w:ascii="Times New Roman" w:eastAsia="Times New Roman" w:hAnsi="Times New Roman" w:cs="Times New Roman"/>
                <w:color w:val="000000"/>
                <w:sz w:val="24"/>
                <w:szCs w:val="24"/>
                <w:lang w:eastAsia="en-IN"/>
              </w:rPr>
              <w:t>0.68</w:t>
            </w:r>
          </w:p>
        </w:tc>
      </w:tr>
      <w:tr w:rsidR="00DF1568" w:rsidRPr="00DF1568" w14:paraId="4DD5D158" w14:textId="77777777" w:rsidTr="00DF1568">
        <w:trPr>
          <w:trHeight w:val="315"/>
          <w:jc w:val="center"/>
        </w:trPr>
        <w:tc>
          <w:tcPr>
            <w:tcW w:w="1573" w:type="dxa"/>
            <w:tcBorders>
              <w:top w:val="nil"/>
              <w:left w:val="single" w:sz="4" w:space="0" w:color="auto"/>
              <w:bottom w:val="single" w:sz="4" w:space="0" w:color="auto"/>
              <w:right w:val="single" w:sz="4" w:space="0" w:color="auto"/>
            </w:tcBorders>
            <w:vAlign w:val="center"/>
            <w:hideMark/>
          </w:tcPr>
          <w:p w14:paraId="52C15AC8" w14:textId="77777777" w:rsidR="00DF1568" w:rsidRPr="00DF1568" w:rsidRDefault="00DF1568" w:rsidP="00DF1568">
            <w:pPr>
              <w:spacing w:after="0" w:line="240" w:lineRule="auto"/>
              <w:jc w:val="center"/>
              <w:rPr>
                <w:rFonts w:ascii="Times New Roman" w:eastAsia="Times New Roman" w:hAnsi="Times New Roman" w:cs="Times New Roman"/>
                <w:color w:val="000000"/>
                <w:sz w:val="24"/>
                <w:szCs w:val="24"/>
                <w:lang w:eastAsia="en-IN"/>
              </w:rPr>
            </w:pPr>
            <w:r w:rsidRPr="00DF1568">
              <w:rPr>
                <w:rFonts w:ascii="Times New Roman" w:eastAsia="Times New Roman" w:hAnsi="Times New Roman" w:cs="Times New Roman"/>
                <w:color w:val="000000"/>
                <w:sz w:val="24"/>
                <w:szCs w:val="24"/>
                <w:lang w:eastAsia="en-IN"/>
              </w:rPr>
              <w:t>Post-monsoon</w:t>
            </w:r>
          </w:p>
        </w:tc>
        <w:tc>
          <w:tcPr>
            <w:tcW w:w="2323" w:type="dxa"/>
            <w:tcBorders>
              <w:top w:val="nil"/>
              <w:left w:val="nil"/>
              <w:bottom w:val="single" w:sz="4" w:space="0" w:color="auto"/>
              <w:right w:val="single" w:sz="4" w:space="0" w:color="auto"/>
            </w:tcBorders>
            <w:vAlign w:val="center"/>
            <w:hideMark/>
          </w:tcPr>
          <w:p w14:paraId="5EC47B5A" w14:textId="77777777" w:rsidR="00DF1568" w:rsidRPr="00DF1568" w:rsidRDefault="00DF1568" w:rsidP="00DF1568">
            <w:pPr>
              <w:spacing w:after="0" w:line="240" w:lineRule="auto"/>
              <w:jc w:val="center"/>
              <w:rPr>
                <w:rFonts w:ascii="Times New Roman" w:eastAsia="Times New Roman" w:hAnsi="Times New Roman" w:cs="Times New Roman"/>
                <w:color w:val="000000"/>
                <w:sz w:val="24"/>
                <w:szCs w:val="24"/>
                <w:lang w:eastAsia="en-IN"/>
              </w:rPr>
            </w:pPr>
            <w:r w:rsidRPr="00DF1568">
              <w:rPr>
                <w:rFonts w:ascii="Times New Roman" w:eastAsia="Times New Roman" w:hAnsi="Times New Roman" w:cs="Times New Roman"/>
                <w:color w:val="000000"/>
                <w:sz w:val="24"/>
                <w:szCs w:val="24"/>
                <w:lang w:eastAsia="en-IN"/>
              </w:rPr>
              <w:t>3.12</w:t>
            </w:r>
          </w:p>
        </w:tc>
        <w:tc>
          <w:tcPr>
            <w:tcW w:w="2200" w:type="dxa"/>
            <w:tcBorders>
              <w:top w:val="nil"/>
              <w:left w:val="nil"/>
              <w:bottom w:val="single" w:sz="4" w:space="0" w:color="auto"/>
              <w:right w:val="single" w:sz="4" w:space="0" w:color="auto"/>
            </w:tcBorders>
            <w:vAlign w:val="center"/>
            <w:hideMark/>
          </w:tcPr>
          <w:p w14:paraId="32BD1D96" w14:textId="77777777" w:rsidR="00DF1568" w:rsidRPr="00DF1568" w:rsidRDefault="00DF1568" w:rsidP="00DF1568">
            <w:pPr>
              <w:spacing w:after="0" w:line="240" w:lineRule="auto"/>
              <w:jc w:val="center"/>
              <w:rPr>
                <w:rFonts w:ascii="Times New Roman" w:eastAsia="Times New Roman" w:hAnsi="Times New Roman" w:cs="Times New Roman"/>
                <w:color w:val="000000"/>
                <w:sz w:val="24"/>
                <w:szCs w:val="24"/>
                <w:lang w:eastAsia="en-IN"/>
              </w:rPr>
            </w:pPr>
            <w:r w:rsidRPr="00DF1568">
              <w:rPr>
                <w:rFonts w:ascii="Times New Roman" w:eastAsia="Times New Roman" w:hAnsi="Times New Roman" w:cs="Times New Roman"/>
                <w:color w:val="000000"/>
                <w:sz w:val="24"/>
                <w:szCs w:val="24"/>
                <w:lang w:eastAsia="en-IN"/>
              </w:rPr>
              <w:t>0.15</w:t>
            </w:r>
          </w:p>
        </w:tc>
        <w:tc>
          <w:tcPr>
            <w:tcW w:w="1856" w:type="dxa"/>
            <w:tcBorders>
              <w:top w:val="nil"/>
              <w:left w:val="nil"/>
              <w:bottom w:val="single" w:sz="4" w:space="0" w:color="auto"/>
              <w:right w:val="single" w:sz="4" w:space="0" w:color="auto"/>
            </w:tcBorders>
            <w:vAlign w:val="center"/>
            <w:hideMark/>
          </w:tcPr>
          <w:p w14:paraId="1C24E0EE" w14:textId="77777777" w:rsidR="00DF1568" w:rsidRPr="00DF1568" w:rsidRDefault="00DF1568" w:rsidP="00DF1568">
            <w:pPr>
              <w:spacing w:after="0" w:line="240" w:lineRule="auto"/>
              <w:jc w:val="center"/>
              <w:rPr>
                <w:rFonts w:ascii="Times New Roman" w:eastAsia="Times New Roman" w:hAnsi="Times New Roman" w:cs="Times New Roman"/>
                <w:color w:val="000000"/>
                <w:sz w:val="24"/>
                <w:szCs w:val="24"/>
                <w:lang w:eastAsia="en-IN"/>
              </w:rPr>
            </w:pPr>
            <w:r w:rsidRPr="00DF1568">
              <w:rPr>
                <w:rFonts w:ascii="Times New Roman" w:eastAsia="Times New Roman" w:hAnsi="Times New Roman" w:cs="Times New Roman"/>
                <w:color w:val="000000"/>
                <w:sz w:val="24"/>
                <w:szCs w:val="24"/>
                <w:lang w:eastAsia="en-IN"/>
              </w:rPr>
              <w:t>0.81</w:t>
            </w:r>
          </w:p>
        </w:tc>
      </w:tr>
      <w:tr w:rsidR="00DF1568" w:rsidRPr="00DF1568" w14:paraId="2C4EBD1D" w14:textId="77777777" w:rsidTr="00DF1568">
        <w:trPr>
          <w:trHeight w:val="315"/>
          <w:jc w:val="center"/>
        </w:trPr>
        <w:tc>
          <w:tcPr>
            <w:tcW w:w="1573" w:type="dxa"/>
            <w:tcBorders>
              <w:top w:val="nil"/>
              <w:left w:val="single" w:sz="4" w:space="0" w:color="auto"/>
              <w:bottom w:val="single" w:sz="4" w:space="0" w:color="auto"/>
              <w:right w:val="single" w:sz="4" w:space="0" w:color="auto"/>
            </w:tcBorders>
            <w:vAlign w:val="center"/>
            <w:hideMark/>
          </w:tcPr>
          <w:p w14:paraId="1ECCF05E" w14:textId="77777777" w:rsidR="00DF1568" w:rsidRPr="00DF1568" w:rsidRDefault="00DF1568" w:rsidP="00DF1568">
            <w:pPr>
              <w:spacing w:after="0" w:line="240" w:lineRule="auto"/>
              <w:jc w:val="center"/>
              <w:rPr>
                <w:rFonts w:ascii="Times New Roman" w:eastAsia="Times New Roman" w:hAnsi="Times New Roman" w:cs="Times New Roman"/>
                <w:color w:val="000000"/>
                <w:sz w:val="24"/>
                <w:szCs w:val="24"/>
                <w:lang w:eastAsia="en-IN"/>
              </w:rPr>
            </w:pPr>
            <w:r w:rsidRPr="00DF1568">
              <w:rPr>
                <w:rFonts w:ascii="Times New Roman" w:eastAsia="Times New Roman" w:hAnsi="Times New Roman" w:cs="Times New Roman"/>
                <w:color w:val="000000"/>
                <w:sz w:val="24"/>
                <w:szCs w:val="24"/>
                <w:lang w:eastAsia="en-IN"/>
              </w:rPr>
              <w:t>Winter</w:t>
            </w:r>
          </w:p>
        </w:tc>
        <w:tc>
          <w:tcPr>
            <w:tcW w:w="2323" w:type="dxa"/>
            <w:tcBorders>
              <w:top w:val="nil"/>
              <w:left w:val="nil"/>
              <w:bottom w:val="single" w:sz="4" w:space="0" w:color="auto"/>
              <w:right w:val="single" w:sz="4" w:space="0" w:color="auto"/>
            </w:tcBorders>
            <w:vAlign w:val="center"/>
            <w:hideMark/>
          </w:tcPr>
          <w:p w14:paraId="372DFFFE" w14:textId="77777777" w:rsidR="00DF1568" w:rsidRPr="00DF1568" w:rsidRDefault="00DF1568" w:rsidP="00DF1568">
            <w:pPr>
              <w:spacing w:after="0" w:line="240" w:lineRule="auto"/>
              <w:jc w:val="center"/>
              <w:rPr>
                <w:rFonts w:ascii="Times New Roman" w:eastAsia="Times New Roman" w:hAnsi="Times New Roman" w:cs="Times New Roman"/>
                <w:color w:val="000000"/>
                <w:sz w:val="24"/>
                <w:szCs w:val="24"/>
                <w:lang w:eastAsia="en-IN"/>
              </w:rPr>
            </w:pPr>
            <w:r w:rsidRPr="00DF1568">
              <w:rPr>
                <w:rFonts w:ascii="Times New Roman" w:eastAsia="Times New Roman" w:hAnsi="Times New Roman" w:cs="Times New Roman"/>
                <w:color w:val="000000"/>
                <w:sz w:val="24"/>
                <w:szCs w:val="24"/>
                <w:lang w:eastAsia="en-IN"/>
              </w:rPr>
              <w:t>2.95</w:t>
            </w:r>
          </w:p>
        </w:tc>
        <w:tc>
          <w:tcPr>
            <w:tcW w:w="2200" w:type="dxa"/>
            <w:tcBorders>
              <w:top w:val="nil"/>
              <w:left w:val="nil"/>
              <w:bottom w:val="single" w:sz="4" w:space="0" w:color="auto"/>
              <w:right w:val="single" w:sz="4" w:space="0" w:color="auto"/>
            </w:tcBorders>
            <w:vAlign w:val="center"/>
            <w:hideMark/>
          </w:tcPr>
          <w:p w14:paraId="7AC295CD" w14:textId="77777777" w:rsidR="00DF1568" w:rsidRPr="00DF1568" w:rsidRDefault="00DF1568" w:rsidP="00DF1568">
            <w:pPr>
              <w:spacing w:after="0" w:line="240" w:lineRule="auto"/>
              <w:jc w:val="center"/>
              <w:rPr>
                <w:rFonts w:ascii="Times New Roman" w:eastAsia="Times New Roman" w:hAnsi="Times New Roman" w:cs="Times New Roman"/>
                <w:color w:val="000000"/>
                <w:sz w:val="24"/>
                <w:szCs w:val="24"/>
                <w:lang w:eastAsia="en-IN"/>
              </w:rPr>
            </w:pPr>
            <w:r w:rsidRPr="00DF1568">
              <w:rPr>
                <w:rFonts w:ascii="Times New Roman" w:eastAsia="Times New Roman" w:hAnsi="Times New Roman" w:cs="Times New Roman"/>
                <w:color w:val="000000"/>
                <w:sz w:val="24"/>
                <w:szCs w:val="24"/>
                <w:lang w:eastAsia="en-IN"/>
              </w:rPr>
              <w:t>0.17</w:t>
            </w:r>
          </w:p>
        </w:tc>
        <w:tc>
          <w:tcPr>
            <w:tcW w:w="1856" w:type="dxa"/>
            <w:tcBorders>
              <w:top w:val="nil"/>
              <w:left w:val="nil"/>
              <w:bottom w:val="single" w:sz="4" w:space="0" w:color="auto"/>
              <w:right w:val="single" w:sz="4" w:space="0" w:color="auto"/>
            </w:tcBorders>
            <w:vAlign w:val="center"/>
            <w:hideMark/>
          </w:tcPr>
          <w:p w14:paraId="15F9D435" w14:textId="77777777" w:rsidR="00DF1568" w:rsidRPr="00DF1568" w:rsidRDefault="00DF1568" w:rsidP="00DF1568">
            <w:pPr>
              <w:spacing w:after="0" w:line="240" w:lineRule="auto"/>
              <w:jc w:val="center"/>
              <w:rPr>
                <w:rFonts w:ascii="Times New Roman" w:eastAsia="Times New Roman" w:hAnsi="Times New Roman" w:cs="Times New Roman"/>
                <w:color w:val="000000"/>
                <w:sz w:val="24"/>
                <w:szCs w:val="24"/>
                <w:lang w:eastAsia="en-IN"/>
              </w:rPr>
            </w:pPr>
            <w:r w:rsidRPr="00DF1568">
              <w:rPr>
                <w:rFonts w:ascii="Times New Roman" w:eastAsia="Times New Roman" w:hAnsi="Times New Roman" w:cs="Times New Roman"/>
                <w:color w:val="000000"/>
                <w:sz w:val="24"/>
                <w:szCs w:val="24"/>
                <w:lang w:eastAsia="en-IN"/>
              </w:rPr>
              <w:t>0.76</w:t>
            </w:r>
          </w:p>
        </w:tc>
      </w:tr>
    </w:tbl>
    <w:p w14:paraId="63B9BC6D" w14:textId="77777777" w:rsidR="00DF1568" w:rsidRDefault="00DF1568" w:rsidP="00DF1568">
      <w:pPr>
        <w:pStyle w:val="NormalWeb"/>
        <w:spacing w:before="0" w:beforeAutospacing="0" w:after="0" w:afterAutospacing="0"/>
        <w:jc w:val="both"/>
      </w:pPr>
    </w:p>
    <w:p w14:paraId="677E98F5" w14:textId="77777777" w:rsidR="00DF1568" w:rsidRPr="00DF1568" w:rsidRDefault="00DF1568" w:rsidP="00DF1568">
      <w:pPr>
        <w:pStyle w:val="NormalWeb"/>
        <w:spacing w:before="0" w:beforeAutospacing="0" w:after="0" w:afterAutospacing="0" w:line="360" w:lineRule="auto"/>
        <w:jc w:val="both"/>
      </w:pPr>
      <w:r w:rsidRPr="00DF1568">
        <w:t>The post-monsoon period supported the most balanced community structure across zones.</w:t>
      </w:r>
    </w:p>
    <w:p w14:paraId="7EBED667" w14:textId="77777777" w:rsidR="00DF1568" w:rsidRPr="00DF1568" w:rsidRDefault="00DF1568" w:rsidP="00DF1568">
      <w:pPr>
        <w:pStyle w:val="Heading2"/>
        <w:spacing w:before="0" w:line="360" w:lineRule="auto"/>
        <w:jc w:val="both"/>
        <w:rPr>
          <w:rFonts w:ascii="Times New Roman" w:hAnsi="Times New Roman" w:cs="Times New Roman"/>
          <w:color w:val="auto"/>
          <w:sz w:val="24"/>
          <w:szCs w:val="24"/>
        </w:rPr>
      </w:pPr>
      <w:r w:rsidRPr="00DF1568">
        <w:rPr>
          <w:rStyle w:val="Strong"/>
          <w:rFonts w:ascii="Times New Roman" w:hAnsi="Times New Roman" w:cs="Times New Roman"/>
          <w:bCs w:val="0"/>
          <w:color w:val="auto"/>
          <w:sz w:val="24"/>
          <w:szCs w:val="24"/>
        </w:rPr>
        <w:t>4.4 Recruitment Pulses and Juvenile Abundance</w:t>
      </w:r>
    </w:p>
    <w:p w14:paraId="7A3420BB" w14:textId="77777777" w:rsidR="00DF1568" w:rsidRPr="00DF1568" w:rsidRDefault="00DF1568" w:rsidP="00DF1568">
      <w:pPr>
        <w:pStyle w:val="NormalWeb"/>
        <w:spacing w:before="0" w:beforeAutospacing="0" w:after="0" w:afterAutospacing="0" w:line="360" w:lineRule="auto"/>
        <w:jc w:val="both"/>
      </w:pPr>
      <w:r w:rsidRPr="00DF1568">
        <w:t>Juvenile abundance peaked during early monsoon and immediate post-monsoon months. Penaeid post-larvae, clupeid juveniles, and mugilid recruits were particularly abundant during salinity ranges between 4–15 ppt.</w:t>
      </w:r>
    </w:p>
    <w:p w14:paraId="3CD894C1" w14:textId="77777777" w:rsidR="00DF1568" w:rsidRPr="00DF1568" w:rsidRDefault="00DF1568" w:rsidP="00DF1568">
      <w:pPr>
        <w:pStyle w:val="NormalWeb"/>
        <w:spacing w:before="0" w:beforeAutospacing="0" w:after="0" w:afterAutospacing="0" w:line="360" w:lineRule="auto"/>
        <w:jc w:val="both"/>
      </w:pPr>
      <w:r w:rsidRPr="00DF1568">
        <w:t>Length-frequency analysis showed strong cohort formation corresponding to monsoon recruitment events.</w:t>
      </w:r>
    </w:p>
    <w:p w14:paraId="5BCF7C77" w14:textId="77777777" w:rsidR="00DF1568" w:rsidRPr="00DF1568" w:rsidRDefault="00DF1568" w:rsidP="00DF1568">
      <w:pPr>
        <w:pStyle w:val="Heading2"/>
        <w:spacing w:before="0" w:line="360" w:lineRule="auto"/>
        <w:jc w:val="both"/>
        <w:rPr>
          <w:rFonts w:ascii="Times New Roman" w:hAnsi="Times New Roman" w:cs="Times New Roman"/>
          <w:color w:val="auto"/>
          <w:sz w:val="24"/>
          <w:szCs w:val="24"/>
        </w:rPr>
      </w:pPr>
      <w:r w:rsidRPr="00DF1568">
        <w:rPr>
          <w:rStyle w:val="Strong"/>
          <w:rFonts w:ascii="Times New Roman" w:hAnsi="Times New Roman" w:cs="Times New Roman"/>
          <w:bCs w:val="0"/>
          <w:color w:val="auto"/>
          <w:sz w:val="24"/>
          <w:szCs w:val="24"/>
        </w:rPr>
        <w:t>4.5 Fishery Landing Dynamics</w:t>
      </w:r>
    </w:p>
    <w:p w14:paraId="41E6BE97" w14:textId="77777777" w:rsidR="00DF1568" w:rsidRPr="00DF1568" w:rsidRDefault="00DF1568" w:rsidP="00DF1568">
      <w:pPr>
        <w:pStyle w:val="NormalWeb"/>
        <w:spacing w:before="0" w:beforeAutospacing="0" w:after="0" w:afterAutospacing="0" w:line="360" w:lineRule="auto"/>
        <w:jc w:val="both"/>
      </w:pPr>
      <w:r w:rsidRPr="00DF1568">
        <w:t>Landing centre surveys indicated strong seasonality in catch composition.</w:t>
      </w:r>
    </w:p>
    <w:p w14:paraId="4C2A8D22" w14:textId="77777777" w:rsidR="00DF1568" w:rsidRPr="00DF1568" w:rsidRDefault="00DF1568" w:rsidP="00831662">
      <w:pPr>
        <w:pStyle w:val="NormalWeb"/>
        <w:spacing w:before="0" w:beforeAutospacing="0" w:after="0" w:afterAutospacing="0" w:line="360" w:lineRule="auto"/>
        <w:ind w:left="360"/>
        <w:jc w:val="both"/>
      </w:pPr>
      <w:r w:rsidRPr="00DF1568">
        <w:t>Monsoon months: Higher proportion of juvenile and estuarine-dependent species</w:t>
      </w:r>
    </w:p>
    <w:p w14:paraId="177528DF" w14:textId="77777777" w:rsidR="00DF1568" w:rsidRPr="00DF1568" w:rsidRDefault="00DF1568" w:rsidP="00831662">
      <w:pPr>
        <w:pStyle w:val="NormalWeb"/>
        <w:spacing w:before="0" w:beforeAutospacing="0" w:after="0" w:afterAutospacing="0" w:line="360" w:lineRule="auto"/>
        <w:ind w:left="360"/>
        <w:jc w:val="both"/>
      </w:pPr>
      <w:r w:rsidRPr="00DF1568">
        <w:t>Post-monsoon: Increased landings of marine migrants</w:t>
      </w:r>
    </w:p>
    <w:p w14:paraId="04ADAC7C" w14:textId="77777777" w:rsidR="00DF1568" w:rsidRPr="00DF1568" w:rsidRDefault="00DF1568" w:rsidP="00831662">
      <w:pPr>
        <w:pStyle w:val="NormalWeb"/>
        <w:spacing w:before="0" w:beforeAutospacing="0" w:after="0" w:afterAutospacing="0" w:line="360" w:lineRule="auto"/>
        <w:ind w:left="360"/>
        <w:jc w:val="both"/>
      </w:pPr>
      <w:r w:rsidRPr="00DF1568">
        <w:t>Pre-monsoon: Mixed assemblages with moderate yields</w:t>
      </w:r>
    </w:p>
    <w:p w14:paraId="15BED0BD" w14:textId="77777777" w:rsidR="00DF1568" w:rsidRPr="00DF1568" w:rsidRDefault="00DF1568" w:rsidP="00DF1568">
      <w:pPr>
        <w:pStyle w:val="NormalWeb"/>
        <w:spacing w:before="0" w:beforeAutospacing="0" w:after="0" w:afterAutospacing="0" w:line="360" w:lineRule="auto"/>
        <w:jc w:val="both"/>
      </w:pPr>
      <w:r w:rsidRPr="00DF1568">
        <w:t>Catch per unit effort (CPUE) showed a 28–35% increase during post-monsoon relative to peak monsoon periods.</w:t>
      </w:r>
    </w:p>
    <w:p w14:paraId="545AA545" w14:textId="77777777" w:rsidR="00DF1568" w:rsidRPr="00DF1568" w:rsidRDefault="00DF1568" w:rsidP="00DF1568">
      <w:pPr>
        <w:pStyle w:val="Heading3"/>
        <w:spacing w:before="0" w:beforeAutospacing="0" w:after="0" w:afterAutospacing="0" w:line="360" w:lineRule="auto"/>
        <w:jc w:val="both"/>
        <w:rPr>
          <w:sz w:val="24"/>
          <w:szCs w:val="24"/>
        </w:rPr>
      </w:pPr>
      <w:r w:rsidRPr="00DF1568">
        <w:rPr>
          <w:rStyle w:val="Strong"/>
          <w:b/>
          <w:bCs/>
          <w:sz w:val="24"/>
          <w:szCs w:val="24"/>
        </w:rPr>
        <w:t>Table 4. Seasonal variation in dominant landing categories</w:t>
      </w:r>
    </w:p>
    <w:tbl>
      <w:tblPr>
        <w:tblW w:w="5680" w:type="dxa"/>
        <w:jc w:val="center"/>
        <w:tblLook w:val="04A0" w:firstRow="1" w:lastRow="0" w:firstColumn="1" w:lastColumn="0" w:noHBand="0" w:noVBand="1"/>
      </w:tblPr>
      <w:tblGrid>
        <w:gridCol w:w="1520"/>
        <w:gridCol w:w="2360"/>
        <w:gridCol w:w="1800"/>
      </w:tblGrid>
      <w:tr w:rsidR="00DF1568" w:rsidRPr="00DF1568" w14:paraId="497AE6CF" w14:textId="77777777" w:rsidTr="00DF1568">
        <w:trPr>
          <w:trHeight w:val="630"/>
          <w:jc w:val="center"/>
        </w:trPr>
        <w:tc>
          <w:tcPr>
            <w:tcW w:w="1520" w:type="dxa"/>
            <w:tcBorders>
              <w:top w:val="single" w:sz="4" w:space="0" w:color="auto"/>
              <w:left w:val="single" w:sz="4" w:space="0" w:color="auto"/>
              <w:bottom w:val="single" w:sz="4" w:space="0" w:color="auto"/>
              <w:right w:val="single" w:sz="4" w:space="0" w:color="auto"/>
            </w:tcBorders>
            <w:vAlign w:val="center"/>
            <w:hideMark/>
          </w:tcPr>
          <w:p w14:paraId="34833444" w14:textId="77777777" w:rsidR="00DF1568" w:rsidRPr="00DF1568" w:rsidRDefault="00DF1568" w:rsidP="00DF1568">
            <w:pPr>
              <w:spacing w:after="0" w:line="240" w:lineRule="auto"/>
              <w:jc w:val="center"/>
              <w:rPr>
                <w:rFonts w:ascii="Times New Roman" w:eastAsia="Times New Roman" w:hAnsi="Times New Roman" w:cs="Times New Roman"/>
                <w:b/>
                <w:bCs/>
                <w:color w:val="000000"/>
                <w:sz w:val="24"/>
                <w:szCs w:val="24"/>
                <w:lang w:eastAsia="en-IN"/>
              </w:rPr>
            </w:pPr>
            <w:r w:rsidRPr="00DF1568">
              <w:rPr>
                <w:rFonts w:ascii="Times New Roman" w:eastAsia="Times New Roman" w:hAnsi="Times New Roman" w:cs="Times New Roman"/>
                <w:b/>
                <w:bCs/>
                <w:color w:val="000000"/>
                <w:sz w:val="24"/>
                <w:szCs w:val="24"/>
                <w:lang w:eastAsia="en-IN"/>
              </w:rPr>
              <w:t>Season</w:t>
            </w:r>
          </w:p>
        </w:tc>
        <w:tc>
          <w:tcPr>
            <w:tcW w:w="2360" w:type="dxa"/>
            <w:tcBorders>
              <w:top w:val="single" w:sz="4" w:space="0" w:color="auto"/>
              <w:left w:val="nil"/>
              <w:bottom w:val="single" w:sz="4" w:space="0" w:color="auto"/>
              <w:right w:val="single" w:sz="4" w:space="0" w:color="auto"/>
            </w:tcBorders>
            <w:vAlign w:val="center"/>
            <w:hideMark/>
          </w:tcPr>
          <w:p w14:paraId="2878D345" w14:textId="77777777" w:rsidR="00DF1568" w:rsidRPr="00DF1568" w:rsidRDefault="00DF1568" w:rsidP="00DF1568">
            <w:pPr>
              <w:spacing w:after="0" w:line="240" w:lineRule="auto"/>
              <w:jc w:val="center"/>
              <w:rPr>
                <w:rFonts w:ascii="Times New Roman" w:eastAsia="Times New Roman" w:hAnsi="Times New Roman" w:cs="Times New Roman"/>
                <w:b/>
                <w:bCs/>
                <w:color w:val="000000"/>
                <w:sz w:val="24"/>
                <w:szCs w:val="24"/>
                <w:lang w:eastAsia="en-IN"/>
              </w:rPr>
            </w:pPr>
            <w:r w:rsidRPr="00DF1568">
              <w:rPr>
                <w:rFonts w:ascii="Times New Roman" w:eastAsia="Times New Roman" w:hAnsi="Times New Roman" w:cs="Times New Roman"/>
                <w:b/>
                <w:bCs/>
                <w:color w:val="000000"/>
                <w:sz w:val="24"/>
                <w:szCs w:val="24"/>
                <w:lang w:eastAsia="en-IN"/>
              </w:rPr>
              <w:t>Dominant Catch Groups</w:t>
            </w:r>
          </w:p>
        </w:tc>
        <w:tc>
          <w:tcPr>
            <w:tcW w:w="1800" w:type="dxa"/>
            <w:tcBorders>
              <w:top w:val="single" w:sz="4" w:space="0" w:color="auto"/>
              <w:left w:val="nil"/>
              <w:bottom w:val="single" w:sz="4" w:space="0" w:color="auto"/>
              <w:right w:val="single" w:sz="4" w:space="0" w:color="auto"/>
            </w:tcBorders>
            <w:vAlign w:val="center"/>
            <w:hideMark/>
          </w:tcPr>
          <w:p w14:paraId="3E4DCB3E" w14:textId="77777777" w:rsidR="00DF1568" w:rsidRPr="00DF1568" w:rsidRDefault="00DF1568" w:rsidP="00DF1568">
            <w:pPr>
              <w:spacing w:after="0" w:line="240" w:lineRule="auto"/>
              <w:jc w:val="center"/>
              <w:rPr>
                <w:rFonts w:ascii="Times New Roman" w:eastAsia="Times New Roman" w:hAnsi="Times New Roman" w:cs="Times New Roman"/>
                <w:b/>
                <w:bCs/>
                <w:color w:val="000000"/>
                <w:sz w:val="24"/>
                <w:szCs w:val="24"/>
                <w:lang w:eastAsia="en-IN"/>
              </w:rPr>
            </w:pPr>
            <w:r w:rsidRPr="00DF1568">
              <w:rPr>
                <w:rFonts w:ascii="Times New Roman" w:eastAsia="Times New Roman" w:hAnsi="Times New Roman" w:cs="Times New Roman"/>
                <w:b/>
                <w:bCs/>
                <w:color w:val="000000"/>
                <w:sz w:val="24"/>
                <w:szCs w:val="24"/>
                <w:lang w:eastAsia="en-IN"/>
              </w:rPr>
              <w:t>CPUE (relative index)</w:t>
            </w:r>
          </w:p>
        </w:tc>
      </w:tr>
      <w:tr w:rsidR="00DF1568" w:rsidRPr="00DF1568" w14:paraId="12290B9A" w14:textId="77777777" w:rsidTr="00DF1568">
        <w:trPr>
          <w:trHeight w:val="315"/>
          <w:jc w:val="center"/>
        </w:trPr>
        <w:tc>
          <w:tcPr>
            <w:tcW w:w="1520" w:type="dxa"/>
            <w:tcBorders>
              <w:top w:val="nil"/>
              <w:left w:val="single" w:sz="4" w:space="0" w:color="auto"/>
              <w:bottom w:val="single" w:sz="4" w:space="0" w:color="auto"/>
              <w:right w:val="single" w:sz="4" w:space="0" w:color="auto"/>
            </w:tcBorders>
            <w:vAlign w:val="center"/>
            <w:hideMark/>
          </w:tcPr>
          <w:p w14:paraId="0AF57283" w14:textId="77777777" w:rsidR="00DF1568" w:rsidRPr="00DF1568" w:rsidRDefault="00DF1568" w:rsidP="00DF1568">
            <w:pPr>
              <w:spacing w:after="0" w:line="240" w:lineRule="auto"/>
              <w:rPr>
                <w:rFonts w:ascii="Times New Roman" w:eastAsia="Times New Roman" w:hAnsi="Times New Roman" w:cs="Times New Roman"/>
                <w:color w:val="000000"/>
                <w:sz w:val="24"/>
                <w:szCs w:val="24"/>
                <w:lang w:eastAsia="en-IN"/>
              </w:rPr>
            </w:pPr>
            <w:r w:rsidRPr="00DF1568">
              <w:rPr>
                <w:rFonts w:ascii="Times New Roman" w:eastAsia="Times New Roman" w:hAnsi="Times New Roman" w:cs="Times New Roman"/>
                <w:color w:val="000000"/>
                <w:sz w:val="24"/>
                <w:szCs w:val="24"/>
                <w:lang w:eastAsia="en-IN"/>
              </w:rPr>
              <w:t>Pre-monsoon</w:t>
            </w:r>
          </w:p>
        </w:tc>
        <w:tc>
          <w:tcPr>
            <w:tcW w:w="2360" w:type="dxa"/>
            <w:tcBorders>
              <w:top w:val="nil"/>
              <w:left w:val="nil"/>
              <w:bottom w:val="single" w:sz="4" w:space="0" w:color="auto"/>
              <w:right w:val="single" w:sz="4" w:space="0" w:color="auto"/>
            </w:tcBorders>
            <w:vAlign w:val="center"/>
            <w:hideMark/>
          </w:tcPr>
          <w:p w14:paraId="0536C0DE" w14:textId="77777777" w:rsidR="00DF1568" w:rsidRPr="00DF1568" w:rsidRDefault="00DF1568" w:rsidP="00DF1568">
            <w:pPr>
              <w:spacing w:after="0" w:line="240" w:lineRule="auto"/>
              <w:rPr>
                <w:rFonts w:ascii="Times New Roman" w:eastAsia="Times New Roman" w:hAnsi="Times New Roman" w:cs="Times New Roman"/>
                <w:color w:val="000000"/>
                <w:sz w:val="24"/>
                <w:szCs w:val="24"/>
                <w:lang w:eastAsia="en-IN"/>
              </w:rPr>
            </w:pPr>
            <w:r w:rsidRPr="00DF1568">
              <w:rPr>
                <w:rFonts w:ascii="Times New Roman" w:eastAsia="Times New Roman" w:hAnsi="Times New Roman" w:cs="Times New Roman"/>
                <w:color w:val="000000"/>
                <w:sz w:val="24"/>
                <w:szCs w:val="24"/>
                <w:lang w:eastAsia="en-IN"/>
              </w:rPr>
              <w:t xml:space="preserve">Mugilids, </w:t>
            </w:r>
            <w:proofErr w:type="spellStart"/>
            <w:r w:rsidRPr="00DF1568">
              <w:rPr>
                <w:rFonts w:ascii="Times New Roman" w:eastAsia="Times New Roman" w:hAnsi="Times New Roman" w:cs="Times New Roman"/>
                <w:color w:val="000000"/>
                <w:sz w:val="24"/>
                <w:szCs w:val="24"/>
                <w:lang w:eastAsia="en-IN"/>
              </w:rPr>
              <w:t>Sciaenids</w:t>
            </w:r>
            <w:proofErr w:type="spellEnd"/>
          </w:p>
        </w:tc>
        <w:tc>
          <w:tcPr>
            <w:tcW w:w="1800" w:type="dxa"/>
            <w:tcBorders>
              <w:top w:val="nil"/>
              <w:left w:val="nil"/>
              <w:bottom w:val="single" w:sz="4" w:space="0" w:color="auto"/>
              <w:right w:val="single" w:sz="4" w:space="0" w:color="auto"/>
            </w:tcBorders>
            <w:vAlign w:val="center"/>
            <w:hideMark/>
          </w:tcPr>
          <w:p w14:paraId="2091BDBF" w14:textId="77777777" w:rsidR="00DF1568" w:rsidRPr="00DF1568" w:rsidRDefault="00DF1568" w:rsidP="00DF1568">
            <w:pPr>
              <w:spacing w:after="0" w:line="240" w:lineRule="auto"/>
              <w:rPr>
                <w:rFonts w:ascii="Times New Roman" w:eastAsia="Times New Roman" w:hAnsi="Times New Roman" w:cs="Times New Roman"/>
                <w:color w:val="000000"/>
                <w:sz w:val="24"/>
                <w:szCs w:val="24"/>
                <w:lang w:eastAsia="en-IN"/>
              </w:rPr>
            </w:pPr>
            <w:r w:rsidRPr="00DF1568">
              <w:rPr>
                <w:rFonts w:ascii="Times New Roman" w:eastAsia="Times New Roman" w:hAnsi="Times New Roman" w:cs="Times New Roman"/>
                <w:color w:val="000000"/>
                <w:sz w:val="24"/>
                <w:szCs w:val="24"/>
                <w:lang w:eastAsia="en-IN"/>
              </w:rPr>
              <w:t>Moderate</w:t>
            </w:r>
          </w:p>
        </w:tc>
      </w:tr>
      <w:tr w:rsidR="00DF1568" w:rsidRPr="00DF1568" w14:paraId="0330849E" w14:textId="77777777" w:rsidTr="00DF1568">
        <w:trPr>
          <w:trHeight w:val="630"/>
          <w:jc w:val="center"/>
        </w:trPr>
        <w:tc>
          <w:tcPr>
            <w:tcW w:w="1520" w:type="dxa"/>
            <w:tcBorders>
              <w:top w:val="nil"/>
              <w:left w:val="single" w:sz="4" w:space="0" w:color="auto"/>
              <w:bottom w:val="single" w:sz="4" w:space="0" w:color="auto"/>
              <w:right w:val="single" w:sz="4" w:space="0" w:color="auto"/>
            </w:tcBorders>
            <w:vAlign w:val="center"/>
            <w:hideMark/>
          </w:tcPr>
          <w:p w14:paraId="4BAEC3CC" w14:textId="77777777" w:rsidR="00DF1568" w:rsidRPr="00DF1568" w:rsidRDefault="00DF1568" w:rsidP="00DF1568">
            <w:pPr>
              <w:spacing w:after="0" w:line="240" w:lineRule="auto"/>
              <w:rPr>
                <w:rFonts w:ascii="Times New Roman" w:eastAsia="Times New Roman" w:hAnsi="Times New Roman" w:cs="Times New Roman"/>
                <w:color w:val="000000"/>
                <w:sz w:val="24"/>
                <w:szCs w:val="24"/>
                <w:lang w:eastAsia="en-IN"/>
              </w:rPr>
            </w:pPr>
            <w:r w:rsidRPr="00DF1568">
              <w:rPr>
                <w:rFonts w:ascii="Times New Roman" w:eastAsia="Times New Roman" w:hAnsi="Times New Roman" w:cs="Times New Roman"/>
                <w:color w:val="000000"/>
                <w:sz w:val="24"/>
                <w:szCs w:val="24"/>
                <w:lang w:eastAsia="en-IN"/>
              </w:rPr>
              <w:t>Monsoon</w:t>
            </w:r>
          </w:p>
        </w:tc>
        <w:tc>
          <w:tcPr>
            <w:tcW w:w="2360" w:type="dxa"/>
            <w:tcBorders>
              <w:top w:val="nil"/>
              <w:left w:val="nil"/>
              <w:bottom w:val="single" w:sz="4" w:space="0" w:color="auto"/>
              <w:right w:val="single" w:sz="4" w:space="0" w:color="auto"/>
            </w:tcBorders>
            <w:vAlign w:val="center"/>
            <w:hideMark/>
          </w:tcPr>
          <w:p w14:paraId="0A9A5370" w14:textId="77777777" w:rsidR="00DF1568" w:rsidRPr="00DF1568" w:rsidRDefault="00DF1568" w:rsidP="00DF1568">
            <w:pPr>
              <w:spacing w:after="0" w:line="240" w:lineRule="auto"/>
              <w:rPr>
                <w:rFonts w:ascii="Times New Roman" w:eastAsia="Times New Roman" w:hAnsi="Times New Roman" w:cs="Times New Roman"/>
                <w:color w:val="000000"/>
                <w:sz w:val="24"/>
                <w:szCs w:val="24"/>
                <w:lang w:eastAsia="en-IN"/>
              </w:rPr>
            </w:pPr>
            <w:r w:rsidRPr="00DF1568">
              <w:rPr>
                <w:rFonts w:ascii="Times New Roman" w:eastAsia="Times New Roman" w:hAnsi="Times New Roman" w:cs="Times New Roman"/>
                <w:color w:val="000000"/>
                <w:sz w:val="24"/>
                <w:szCs w:val="24"/>
                <w:lang w:eastAsia="en-IN"/>
              </w:rPr>
              <w:t>Clupeid juveniles, Prawns</w:t>
            </w:r>
          </w:p>
        </w:tc>
        <w:tc>
          <w:tcPr>
            <w:tcW w:w="1800" w:type="dxa"/>
            <w:tcBorders>
              <w:top w:val="nil"/>
              <w:left w:val="nil"/>
              <w:bottom w:val="single" w:sz="4" w:space="0" w:color="auto"/>
              <w:right w:val="single" w:sz="4" w:space="0" w:color="auto"/>
            </w:tcBorders>
            <w:vAlign w:val="center"/>
            <w:hideMark/>
          </w:tcPr>
          <w:p w14:paraId="5D7F997F" w14:textId="77777777" w:rsidR="00DF1568" w:rsidRPr="00DF1568" w:rsidRDefault="00DF1568" w:rsidP="00DF1568">
            <w:pPr>
              <w:spacing w:after="0" w:line="240" w:lineRule="auto"/>
              <w:rPr>
                <w:rFonts w:ascii="Times New Roman" w:eastAsia="Times New Roman" w:hAnsi="Times New Roman" w:cs="Times New Roman"/>
                <w:color w:val="000000"/>
                <w:sz w:val="24"/>
                <w:szCs w:val="24"/>
                <w:lang w:eastAsia="en-IN"/>
              </w:rPr>
            </w:pPr>
            <w:r w:rsidRPr="00DF1568">
              <w:rPr>
                <w:rFonts w:ascii="Times New Roman" w:eastAsia="Times New Roman" w:hAnsi="Times New Roman" w:cs="Times New Roman"/>
                <w:color w:val="000000"/>
                <w:sz w:val="24"/>
                <w:szCs w:val="24"/>
                <w:lang w:eastAsia="en-IN"/>
              </w:rPr>
              <w:t>Variable</w:t>
            </w:r>
          </w:p>
        </w:tc>
      </w:tr>
      <w:tr w:rsidR="00DF1568" w:rsidRPr="00DF1568" w14:paraId="40CF9C41" w14:textId="77777777" w:rsidTr="00DF1568">
        <w:trPr>
          <w:trHeight w:val="315"/>
          <w:jc w:val="center"/>
        </w:trPr>
        <w:tc>
          <w:tcPr>
            <w:tcW w:w="1520" w:type="dxa"/>
            <w:tcBorders>
              <w:top w:val="nil"/>
              <w:left w:val="single" w:sz="4" w:space="0" w:color="auto"/>
              <w:bottom w:val="single" w:sz="4" w:space="0" w:color="auto"/>
              <w:right w:val="single" w:sz="4" w:space="0" w:color="auto"/>
            </w:tcBorders>
            <w:vAlign w:val="center"/>
            <w:hideMark/>
          </w:tcPr>
          <w:p w14:paraId="775C4EF4" w14:textId="77777777" w:rsidR="00DF1568" w:rsidRPr="00DF1568" w:rsidRDefault="00DF1568" w:rsidP="00DF1568">
            <w:pPr>
              <w:spacing w:after="0" w:line="240" w:lineRule="auto"/>
              <w:rPr>
                <w:rFonts w:ascii="Times New Roman" w:eastAsia="Times New Roman" w:hAnsi="Times New Roman" w:cs="Times New Roman"/>
                <w:color w:val="000000"/>
                <w:sz w:val="24"/>
                <w:szCs w:val="24"/>
                <w:lang w:eastAsia="en-IN"/>
              </w:rPr>
            </w:pPr>
            <w:r w:rsidRPr="00DF1568">
              <w:rPr>
                <w:rFonts w:ascii="Times New Roman" w:eastAsia="Times New Roman" w:hAnsi="Times New Roman" w:cs="Times New Roman"/>
                <w:color w:val="000000"/>
                <w:sz w:val="24"/>
                <w:szCs w:val="24"/>
                <w:lang w:eastAsia="en-IN"/>
              </w:rPr>
              <w:t>Post-monsoon</w:t>
            </w:r>
          </w:p>
        </w:tc>
        <w:tc>
          <w:tcPr>
            <w:tcW w:w="2360" w:type="dxa"/>
            <w:tcBorders>
              <w:top w:val="nil"/>
              <w:left w:val="nil"/>
              <w:bottom w:val="single" w:sz="4" w:space="0" w:color="auto"/>
              <w:right w:val="single" w:sz="4" w:space="0" w:color="auto"/>
            </w:tcBorders>
            <w:vAlign w:val="center"/>
            <w:hideMark/>
          </w:tcPr>
          <w:p w14:paraId="2B4DD144" w14:textId="77777777" w:rsidR="00DF1568" w:rsidRPr="00DF1568" w:rsidRDefault="00DF1568" w:rsidP="00DF1568">
            <w:pPr>
              <w:spacing w:after="0" w:line="240" w:lineRule="auto"/>
              <w:rPr>
                <w:rFonts w:ascii="Times New Roman" w:eastAsia="Times New Roman" w:hAnsi="Times New Roman" w:cs="Times New Roman"/>
                <w:color w:val="000000"/>
                <w:sz w:val="24"/>
                <w:szCs w:val="24"/>
                <w:lang w:eastAsia="en-IN"/>
              </w:rPr>
            </w:pPr>
            <w:r w:rsidRPr="00DF1568">
              <w:rPr>
                <w:rFonts w:ascii="Times New Roman" w:eastAsia="Times New Roman" w:hAnsi="Times New Roman" w:cs="Times New Roman"/>
                <w:color w:val="000000"/>
                <w:sz w:val="24"/>
                <w:szCs w:val="24"/>
                <w:lang w:eastAsia="en-IN"/>
              </w:rPr>
              <w:t>Carangids, Lutjanids</w:t>
            </w:r>
          </w:p>
        </w:tc>
        <w:tc>
          <w:tcPr>
            <w:tcW w:w="1800" w:type="dxa"/>
            <w:tcBorders>
              <w:top w:val="nil"/>
              <w:left w:val="nil"/>
              <w:bottom w:val="single" w:sz="4" w:space="0" w:color="auto"/>
              <w:right w:val="single" w:sz="4" w:space="0" w:color="auto"/>
            </w:tcBorders>
            <w:vAlign w:val="center"/>
            <w:hideMark/>
          </w:tcPr>
          <w:p w14:paraId="6361FA63" w14:textId="77777777" w:rsidR="00DF1568" w:rsidRPr="00DF1568" w:rsidRDefault="00DF1568" w:rsidP="00DF1568">
            <w:pPr>
              <w:spacing w:after="0" w:line="240" w:lineRule="auto"/>
              <w:rPr>
                <w:rFonts w:ascii="Times New Roman" w:eastAsia="Times New Roman" w:hAnsi="Times New Roman" w:cs="Times New Roman"/>
                <w:color w:val="000000"/>
                <w:sz w:val="24"/>
                <w:szCs w:val="24"/>
                <w:lang w:eastAsia="en-IN"/>
              </w:rPr>
            </w:pPr>
            <w:r w:rsidRPr="00DF1568">
              <w:rPr>
                <w:rFonts w:ascii="Times New Roman" w:eastAsia="Times New Roman" w:hAnsi="Times New Roman" w:cs="Times New Roman"/>
                <w:color w:val="000000"/>
                <w:sz w:val="24"/>
                <w:szCs w:val="24"/>
                <w:lang w:eastAsia="en-IN"/>
              </w:rPr>
              <w:t>High</w:t>
            </w:r>
          </w:p>
        </w:tc>
      </w:tr>
      <w:tr w:rsidR="00DF1568" w:rsidRPr="00DF1568" w14:paraId="1B85E2E0" w14:textId="77777777" w:rsidTr="00DF1568">
        <w:trPr>
          <w:trHeight w:val="315"/>
          <w:jc w:val="center"/>
        </w:trPr>
        <w:tc>
          <w:tcPr>
            <w:tcW w:w="1520" w:type="dxa"/>
            <w:tcBorders>
              <w:top w:val="nil"/>
              <w:left w:val="single" w:sz="4" w:space="0" w:color="auto"/>
              <w:bottom w:val="single" w:sz="4" w:space="0" w:color="auto"/>
              <w:right w:val="single" w:sz="4" w:space="0" w:color="auto"/>
            </w:tcBorders>
            <w:vAlign w:val="center"/>
            <w:hideMark/>
          </w:tcPr>
          <w:p w14:paraId="77AA3FDA" w14:textId="77777777" w:rsidR="00DF1568" w:rsidRPr="00DF1568" w:rsidRDefault="00DF1568" w:rsidP="00DF1568">
            <w:pPr>
              <w:spacing w:after="0" w:line="240" w:lineRule="auto"/>
              <w:rPr>
                <w:rFonts w:ascii="Times New Roman" w:eastAsia="Times New Roman" w:hAnsi="Times New Roman" w:cs="Times New Roman"/>
                <w:color w:val="000000"/>
                <w:sz w:val="24"/>
                <w:szCs w:val="24"/>
                <w:lang w:eastAsia="en-IN"/>
              </w:rPr>
            </w:pPr>
            <w:r w:rsidRPr="00DF1568">
              <w:rPr>
                <w:rFonts w:ascii="Times New Roman" w:eastAsia="Times New Roman" w:hAnsi="Times New Roman" w:cs="Times New Roman"/>
                <w:color w:val="000000"/>
                <w:sz w:val="24"/>
                <w:szCs w:val="24"/>
                <w:lang w:eastAsia="en-IN"/>
              </w:rPr>
              <w:t>Winter</w:t>
            </w:r>
          </w:p>
        </w:tc>
        <w:tc>
          <w:tcPr>
            <w:tcW w:w="2360" w:type="dxa"/>
            <w:tcBorders>
              <w:top w:val="nil"/>
              <w:left w:val="nil"/>
              <w:bottom w:val="single" w:sz="4" w:space="0" w:color="auto"/>
              <w:right w:val="single" w:sz="4" w:space="0" w:color="auto"/>
            </w:tcBorders>
            <w:vAlign w:val="center"/>
            <w:hideMark/>
          </w:tcPr>
          <w:p w14:paraId="59609105" w14:textId="77777777" w:rsidR="00DF1568" w:rsidRPr="00DF1568" w:rsidRDefault="00DF1568" w:rsidP="00DF1568">
            <w:pPr>
              <w:spacing w:after="0" w:line="240" w:lineRule="auto"/>
              <w:rPr>
                <w:rFonts w:ascii="Times New Roman" w:eastAsia="Times New Roman" w:hAnsi="Times New Roman" w:cs="Times New Roman"/>
                <w:color w:val="000000"/>
                <w:sz w:val="24"/>
                <w:szCs w:val="24"/>
                <w:lang w:eastAsia="en-IN"/>
              </w:rPr>
            </w:pPr>
            <w:r w:rsidRPr="00DF1568">
              <w:rPr>
                <w:rFonts w:ascii="Times New Roman" w:eastAsia="Times New Roman" w:hAnsi="Times New Roman" w:cs="Times New Roman"/>
                <w:color w:val="000000"/>
                <w:sz w:val="24"/>
                <w:szCs w:val="24"/>
                <w:lang w:eastAsia="en-IN"/>
              </w:rPr>
              <w:t>Mixed assemblage</w:t>
            </w:r>
          </w:p>
        </w:tc>
        <w:tc>
          <w:tcPr>
            <w:tcW w:w="1800" w:type="dxa"/>
            <w:tcBorders>
              <w:top w:val="nil"/>
              <w:left w:val="nil"/>
              <w:bottom w:val="single" w:sz="4" w:space="0" w:color="auto"/>
              <w:right w:val="single" w:sz="4" w:space="0" w:color="auto"/>
            </w:tcBorders>
            <w:vAlign w:val="center"/>
            <w:hideMark/>
          </w:tcPr>
          <w:p w14:paraId="68A84C59" w14:textId="77777777" w:rsidR="00DF1568" w:rsidRPr="00DF1568" w:rsidRDefault="00DF1568" w:rsidP="00DF1568">
            <w:pPr>
              <w:spacing w:after="0" w:line="240" w:lineRule="auto"/>
              <w:rPr>
                <w:rFonts w:ascii="Times New Roman" w:eastAsia="Times New Roman" w:hAnsi="Times New Roman" w:cs="Times New Roman"/>
                <w:color w:val="000000"/>
                <w:sz w:val="24"/>
                <w:szCs w:val="24"/>
                <w:lang w:eastAsia="en-IN"/>
              </w:rPr>
            </w:pPr>
            <w:r w:rsidRPr="00DF1568">
              <w:rPr>
                <w:rFonts w:ascii="Times New Roman" w:eastAsia="Times New Roman" w:hAnsi="Times New Roman" w:cs="Times New Roman"/>
                <w:color w:val="000000"/>
                <w:sz w:val="24"/>
                <w:szCs w:val="24"/>
                <w:lang w:eastAsia="en-IN"/>
              </w:rPr>
              <w:t>Moderate</w:t>
            </w:r>
          </w:p>
        </w:tc>
      </w:tr>
    </w:tbl>
    <w:p w14:paraId="7A5D7E78" w14:textId="77777777" w:rsidR="00DF1568" w:rsidRDefault="00DF1568" w:rsidP="00DF1568">
      <w:pPr>
        <w:pStyle w:val="NormalWeb"/>
        <w:spacing w:before="0" w:beforeAutospacing="0" w:after="0" w:afterAutospacing="0"/>
        <w:jc w:val="both"/>
      </w:pPr>
    </w:p>
    <w:p w14:paraId="6FC9AC4A" w14:textId="77777777" w:rsidR="00DF1568" w:rsidRPr="00DF1568" w:rsidRDefault="00DF1568" w:rsidP="00DF1568">
      <w:pPr>
        <w:pStyle w:val="NormalWeb"/>
        <w:spacing w:before="0" w:beforeAutospacing="0" w:after="0" w:afterAutospacing="0" w:line="360" w:lineRule="auto"/>
        <w:jc w:val="both"/>
      </w:pPr>
      <w:r w:rsidRPr="00DF1568">
        <w:t>Gear deployment patterns varied accordingly, with stake nets and small-mesh gillnets dominant during juvenile peaks.</w:t>
      </w:r>
    </w:p>
    <w:p w14:paraId="26E385E6" w14:textId="77777777" w:rsidR="00DF1568" w:rsidRPr="00DF1568" w:rsidRDefault="00DF1568" w:rsidP="00DF1568">
      <w:pPr>
        <w:pStyle w:val="Heading2"/>
        <w:spacing w:before="0" w:line="360" w:lineRule="auto"/>
        <w:jc w:val="both"/>
        <w:rPr>
          <w:rFonts w:ascii="Times New Roman" w:hAnsi="Times New Roman" w:cs="Times New Roman"/>
          <w:color w:val="auto"/>
          <w:sz w:val="24"/>
          <w:szCs w:val="24"/>
        </w:rPr>
      </w:pPr>
      <w:r w:rsidRPr="00DF1568">
        <w:rPr>
          <w:rStyle w:val="Strong"/>
          <w:rFonts w:ascii="Times New Roman" w:hAnsi="Times New Roman" w:cs="Times New Roman"/>
          <w:bCs w:val="0"/>
          <w:color w:val="auto"/>
          <w:sz w:val="24"/>
          <w:szCs w:val="24"/>
        </w:rPr>
        <w:t>4.6 Hydrography–Fishery Coupling</w:t>
      </w:r>
    </w:p>
    <w:p w14:paraId="01949B81" w14:textId="77777777" w:rsidR="00DF1568" w:rsidRPr="00DF1568" w:rsidRDefault="00DF1568" w:rsidP="00DF1568">
      <w:pPr>
        <w:pStyle w:val="NormalWeb"/>
        <w:spacing w:before="0" w:beforeAutospacing="0" w:after="0" w:afterAutospacing="0" w:line="360" w:lineRule="auto"/>
        <w:jc w:val="both"/>
      </w:pPr>
      <w:r w:rsidRPr="00DF1568">
        <w:t>Correlation analysis revealed:</w:t>
      </w:r>
    </w:p>
    <w:p w14:paraId="3D1E5A43" w14:textId="77777777" w:rsidR="00DF1568" w:rsidRPr="00DF1568" w:rsidRDefault="00DF1568" w:rsidP="00831662">
      <w:pPr>
        <w:pStyle w:val="NormalWeb"/>
        <w:spacing w:before="0" w:beforeAutospacing="0" w:after="0" w:afterAutospacing="0" w:line="360" w:lineRule="auto"/>
        <w:ind w:left="360"/>
        <w:jc w:val="both"/>
      </w:pPr>
      <w:r w:rsidRPr="00DF1568">
        <w:t>Positive relationship between mesohaline conditions and species richness (r = 0.71)</w:t>
      </w:r>
    </w:p>
    <w:p w14:paraId="5079913C" w14:textId="77777777" w:rsidR="00DF1568" w:rsidRPr="00DF1568" w:rsidRDefault="00DF1568" w:rsidP="00831662">
      <w:pPr>
        <w:pStyle w:val="NormalWeb"/>
        <w:spacing w:before="0" w:beforeAutospacing="0" w:after="0" w:afterAutospacing="0" w:line="360" w:lineRule="auto"/>
        <w:ind w:left="360"/>
        <w:jc w:val="both"/>
      </w:pPr>
      <w:r w:rsidRPr="00DF1568">
        <w:lastRenderedPageBreak/>
        <w:t>Negative relationship between extreme low salinity and marine migrant presence (r = –0.64)</w:t>
      </w:r>
    </w:p>
    <w:p w14:paraId="62C58861" w14:textId="77777777" w:rsidR="00DF1568" w:rsidRPr="00DF1568" w:rsidRDefault="00DF1568" w:rsidP="00831662">
      <w:pPr>
        <w:pStyle w:val="NormalWeb"/>
        <w:spacing w:before="0" w:beforeAutospacing="0" w:after="0" w:afterAutospacing="0" w:line="360" w:lineRule="auto"/>
        <w:ind w:left="360"/>
        <w:jc w:val="both"/>
      </w:pPr>
      <w:r w:rsidRPr="00DF1568">
        <w:t>Moderate positive correlation between turbidity and juvenile abundance (r = 0.58)</w:t>
      </w:r>
    </w:p>
    <w:p w14:paraId="4F0DEC6B" w14:textId="77777777" w:rsidR="00DF1568" w:rsidRPr="00DF1568" w:rsidRDefault="00DF1568" w:rsidP="00DF1568">
      <w:pPr>
        <w:pStyle w:val="NormalWeb"/>
        <w:spacing w:before="0" w:beforeAutospacing="0" w:after="0" w:afterAutospacing="0" w:line="360" w:lineRule="auto"/>
        <w:jc w:val="both"/>
      </w:pPr>
      <w:r w:rsidRPr="00DF1568">
        <w:t>Multivariate ordination separated monsoon and dry-season assemblages distinctly, demonstrating hydrographic structuring of fish communities.</w:t>
      </w:r>
    </w:p>
    <w:p w14:paraId="6433B663" w14:textId="77777777" w:rsidR="00DF1568" w:rsidRPr="00DF1568" w:rsidRDefault="00DF1568" w:rsidP="00DF1568">
      <w:pPr>
        <w:pStyle w:val="Heading2"/>
        <w:spacing w:before="0" w:line="360" w:lineRule="auto"/>
        <w:jc w:val="both"/>
        <w:rPr>
          <w:rFonts w:ascii="Times New Roman" w:hAnsi="Times New Roman" w:cs="Times New Roman"/>
          <w:color w:val="auto"/>
          <w:sz w:val="24"/>
          <w:szCs w:val="24"/>
        </w:rPr>
      </w:pPr>
      <w:r w:rsidRPr="00DF1568">
        <w:rPr>
          <w:rStyle w:val="Strong"/>
          <w:rFonts w:ascii="Times New Roman" w:hAnsi="Times New Roman" w:cs="Times New Roman"/>
          <w:bCs w:val="0"/>
          <w:color w:val="auto"/>
          <w:sz w:val="24"/>
          <w:szCs w:val="24"/>
        </w:rPr>
        <w:t>4.7 Spatial Vulnerability Patterns</w:t>
      </w:r>
    </w:p>
    <w:p w14:paraId="2EE8D4EC" w14:textId="77777777" w:rsidR="00DF1568" w:rsidRPr="00DF1568" w:rsidRDefault="00DF1568" w:rsidP="00DF1568">
      <w:pPr>
        <w:pStyle w:val="NormalWeb"/>
        <w:spacing w:before="0" w:beforeAutospacing="0" w:after="0" w:afterAutospacing="0" w:line="360" w:lineRule="auto"/>
        <w:jc w:val="both"/>
      </w:pPr>
      <w:r w:rsidRPr="00DF1568">
        <w:t>Upper estuarine stations showed high sensitivity to discharge variability, with abrupt species turnover during peak freshwater pulses. Lower estuarine stations exhibited greater stability but were influenced by tidal saline intrusion during dry months.</w:t>
      </w:r>
    </w:p>
    <w:p w14:paraId="353D3D39" w14:textId="77777777" w:rsidR="00DF1568" w:rsidRPr="00DF1568" w:rsidRDefault="00DF1568" w:rsidP="00DF1568">
      <w:pPr>
        <w:pStyle w:val="NormalWeb"/>
        <w:spacing w:before="0" w:beforeAutospacing="0" w:after="0" w:afterAutospacing="0" w:line="360" w:lineRule="auto"/>
        <w:jc w:val="both"/>
      </w:pPr>
      <w:r w:rsidRPr="00DF1568">
        <w:t>Floodplain and shallow intertidal habitats functioned as key nursery grounds during moderate discharge phases.</w:t>
      </w:r>
    </w:p>
    <w:p w14:paraId="0962853C" w14:textId="77777777" w:rsidR="00DF1568" w:rsidRPr="00DF1568" w:rsidRDefault="00DF1568" w:rsidP="00DF1568">
      <w:pPr>
        <w:pStyle w:val="Heading2"/>
        <w:spacing w:before="0" w:line="360" w:lineRule="auto"/>
        <w:jc w:val="both"/>
        <w:rPr>
          <w:rFonts w:ascii="Times New Roman" w:hAnsi="Times New Roman" w:cs="Times New Roman"/>
          <w:color w:val="auto"/>
          <w:sz w:val="24"/>
          <w:szCs w:val="24"/>
        </w:rPr>
      </w:pPr>
      <w:r w:rsidRPr="00DF1568">
        <w:rPr>
          <w:rStyle w:val="Strong"/>
          <w:rFonts w:ascii="Times New Roman" w:hAnsi="Times New Roman" w:cs="Times New Roman"/>
          <w:bCs w:val="0"/>
          <w:color w:val="auto"/>
          <w:sz w:val="24"/>
          <w:szCs w:val="24"/>
        </w:rPr>
        <w:t>4.8 Summary of Key Findings</w:t>
      </w:r>
    </w:p>
    <w:p w14:paraId="239DF3E3" w14:textId="77777777" w:rsidR="00DF1568" w:rsidRPr="00DF1568" w:rsidRDefault="00DF1568" w:rsidP="00DF1568">
      <w:pPr>
        <w:pStyle w:val="NormalWeb"/>
        <w:numPr>
          <w:ilvl w:val="0"/>
          <w:numId w:val="29"/>
        </w:numPr>
        <w:spacing w:before="0" w:beforeAutospacing="0" w:after="0" w:afterAutospacing="0" w:line="360" w:lineRule="auto"/>
        <w:jc w:val="both"/>
      </w:pPr>
      <w:r w:rsidRPr="00DF1568">
        <w:t>Strong hydrographic seasonality shapes spatial and temporal ichthyofaunal structure.</w:t>
      </w:r>
    </w:p>
    <w:p w14:paraId="7DA221EE" w14:textId="77777777" w:rsidR="00DF1568" w:rsidRPr="00DF1568" w:rsidRDefault="00DF1568" w:rsidP="00DF1568">
      <w:pPr>
        <w:pStyle w:val="NormalWeb"/>
        <w:numPr>
          <w:ilvl w:val="0"/>
          <w:numId w:val="29"/>
        </w:numPr>
        <w:spacing w:before="0" w:beforeAutospacing="0" w:after="0" w:afterAutospacing="0" w:line="360" w:lineRule="auto"/>
        <w:jc w:val="both"/>
      </w:pPr>
      <w:r w:rsidRPr="00DF1568">
        <w:t>Mesohaline mixing zones support highest diversity.</w:t>
      </w:r>
    </w:p>
    <w:p w14:paraId="4FFC98D4" w14:textId="77777777" w:rsidR="00DF1568" w:rsidRPr="00DF1568" w:rsidRDefault="00DF1568" w:rsidP="00DF1568">
      <w:pPr>
        <w:pStyle w:val="NormalWeb"/>
        <w:numPr>
          <w:ilvl w:val="0"/>
          <w:numId w:val="29"/>
        </w:numPr>
        <w:spacing w:before="0" w:beforeAutospacing="0" w:after="0" w:afterAutospacing="0" w:line="360" w:lineRule="auto"/>
        <w:jc w:val="both"/>
      </w:pPr>
      <w:r w:rsidRPr="00DF1568">
        <w:t>Monsoon freshwater pulses drive juvenile recruitment events.</w:t>
      </w:r>
    </w:p>
    <w:p w14:paraId="287FD01D" w14:textId="77777777" w:rsidR="00DF1568" w:rsidRPr="00DF1568" w:rsidRDefault="00DF1568" w:rsidP="00DF1568">
      <w:pPr>
        <w:pStyle w:val="NormalWeb"/>
        <w:numPr>
          <w:ilvl w:val="0"/>
          <w:numId w:val="29"/>
        </w:numPr>
        <w:spacing w:before="0" w:beforeAutospacing="0" w:after="0" w:afterAutospacing="0" w:line="360" w:lineRule="auto"/>
        <w:jc w:val="both"/>
      </w:pPr>
      <w:r w:rsidRPr="00DF1568">
        <w:t>Fishery yields align with predictable hydrographic cycles.</w:t>
      </w:r>
    </w:p>
    <w:p w14:paraId="4A5FACDF" w14:textId="77777777" w:rsidR="00DF1568" w:rsidRPr="00DF1568" w:rsidRDefault="00DF1568" w:rsidP="00DF1568">
      <w:pPr>
        <w:pStyle w:val="NormalWeb"/>
        <w:numPr>
          <w:ilvl w:val="0"/>
          <w:numId w:val="29"/>
        </w:numPr>
        <w:spacing w:before="0" w:beforeAutospacing="0" w:after="0" w:afterAutospacing="0" w:line="360" w:lineRule="auto"/>
        <w:jc w:val="both"/>
      </w:pPr>
      <w:r w:rsidRPr="00DF1568">
        <w:t>Interannual discharge variability influences catch stability.</w:t>
      </w:r>
    </w:p>
    <w:p w14:paraId="5377B3AA" w14:textId="77777777" w:rsidR="001D10B3" w:rsidRPr="00DF1568" w:rsidRDefault="00DF1568" w:rsidP="00DF1568">
      <w:pPr>
        <w:pStyle w:val="Heading3"/>
        <w:spacing w:before="0" w:beforeAutospacing="0" w:after="120" w:afterAutospacing="0"/>
        <w:jc w:val="center"/>
        <w:rPr>
          <w:sz w:val="24"/>
          <w:szCs w:val="24"/>
        </w:rPr>
      </w:pPr>
      <w:r w:rsidRPr="00DF1568">
        <w:rPr>
          <w:noProof/>
          <w:sz w:val="24"/>
          <w:szCs w:val="24"/>
          <w:lang w:val="en-US" w:eastAsia="en-US"/>
        </w:rPr>
        <w:lastRenderedPageBreak/>
        <w:drawing>
          <wp:inline distT="0" distB="0" distL="0" distR="0" wp14:anchorId="7E5A04F0" wp14:editId="5E7C5822">
            <wp:extent cx="5582839" cy="7211833"/>
            <wp:effectExtent l="0" t="0" r="0" b="0"/>
            <wp:docPr id="2" name="Picture 2" descr="C:\Users\Windows\Downloads\Grpah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C:\Users\Windows\Downloads\Grpahs.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585345" cy="7215071"/>
                    </a:xfrm>
                    <a:prstGeom prst="rect">
                      <a:avLst/>
                    </a:prstGeom>
                    <a:noFill/>
                    <a:ln>
                      <a:noFill/>
                    </a:ln>
                  </pic:spPr>
                </pic:pic>
              </a:graphicData>
            </a:graphic>
          </wp:inline>
        </w:drawing>
      </w:r>
    </w:p>
    <w:p w14:paraId="323453A1" w14:textId="77777777" w:rsidR="00DF1568" w:rsidRPr="00DF1568" w:rsidRDefault="00DF1568" w:rsidP="00806B1A">
      <w:pPr>
        <w:spacing w:after="80" w:line="240" w:lineRule="auto"/>
        <w:jc w:val="both"/>
        <w:outlineLvl w:val="2"/>
        <w:rPr>
          <w:rFonts w:ascii="Times New Roman" w:eastAsia="Times New Roman" w:hAnsi="Times New Roman" w:cs="Times New Roman"/>
          <w:b/>
          <w:bCs/>
          <w:sz w:val="24"/>
          <w:szCs w:val="24"/>
          <w:lang w:eastAsia="en-IN"/>
        </w:rPr>
      </w:pPr>
      <w:r>
        <w:rPr>
          <w:rFonts w:ascii="Times New Roman" w:eastAsia="Times New Roman" w:hAnsi="Times New Roman" w:cs="Times New Roman"/>
          <w:b/>
          <w:bCs/>
          <w:sz w:val="24"/>
          <w:szCs w:val="24"/>
          <w:lang w:eastAsia="en-IN"/>
        </w:rPr>
        <w:t>Figure 2</w:t>
      </w:r>
      <w:r w:rsidRPr="00DF1568">
        <w:rPr>
          <w:rFonts w:ascii="Times New Roman" w:eastAsia="Times New Roman" w:hAnsi="Times New Roman" w:cs="Times New Roman"/>
          <w:b/>
          <w:bCs/>
          <w:sz w:val="24"/>
          <w:szCs w:val="24"/>
          <w:lang w:eastAsia="en-IN"/>
        </w:rPr>
        <w:t xml:space="preserve">. Seasonal Hydrographic Variability in the </w:t>
      </w:r>
      <w:proofErr w:type="spellStart"/>
      <w:r w:rsidRPr="00DF1568">
        <w:rPr>
          <w:rFonts w:ascii="Times New Roman" w:eastAsia="Times New Roman" w:hAnsi="Times New Roman" w:cs="Times New Roman"/>
          <w:b/>
          <w:bCs/>
          <w:sz w:val="24"/>
          <w:szCs w:val="24"/>
          <w:lang w:eastAsia="en-IN"/>
        </w:rPr>
        <w:t>Vamsadhara</w:t>
      </w:r>
      <w:proofErr w:type="spellEnd"/>
      <w:r w:rsidRPr="00DF1568">
        <w:rPr>
          <w:rFonts w:ascii="Times New Roman" w:eastAsia="Times New Roman" w:hAnsi="Times New Roman" w:cs="Times New Roman"/>
          <w:b/>
          <w:bCs/>
          <w:sz w:val="24"/>
          <w:szCs w:val="24"/>
          <w:lang w:eastAsia="en-IN"/>
        </w:rPr>
        <w:t xml:space="preserve"> Estuary</w:t>
      </w:r>
      <w:r w:rsidR="00806B1A">
        <w:rPr>
          <w:rFonts w:ascii="Times New Roman" w:eastAsia="Times New Roman" w:hAnsi="Times New Roman" w:cs="Times New Roman"/>
          <w:b/>
          <w:bCs/>
          <w:sz w:val="24"/>
          <w:szCs w:val="24"/>
          <w:lang w:eastAsia="en-IN"/>
        </w:rPr>
        <w:t xml:space="preserve">: </w:t>
      </w:r>
      <w:r w:rsidRPr="00DF1568">
        <w:rPr>
          <w:rFonts w:ascii="Times New Roman" w:eastAsia="Times New Roman" w:hAnsi="Times New Roman" w:cs="Times New Roman"/>
          <w:sz w:val="24"/>
          <w:szCs w:val="24"/>
          <w:lang w:eastAsia="en-IN"/>
        </w:rPr>
        <w:t xml:space="preserve">Seasonal variation in river discharge, salinity (upper and lower estuary), and turbidity across the </w:t>
      </w:r>
      <w:proofErr w:type="spellStart"/>
      <w:r w:rsidRPr="00DF1568">
        <w:rPr>
          <w:rFonts w:ascii="Times New Roman" w:eastAsia="Times New Roman" w:hAnsi="Times New Roman" w:cs="Times New Roman"/>
          <w:sz w:val="24"/>
          <w:szCs w:val="24"/>
          <w:lang w:eastAsia="en-IN"/>
        </w:rPr>
        <w:t>Vamsadhara</w:t>
      </w:r>
      <w:proofErr w:type="spellEnd"/>
      <w:r w:rsidRPr="00DF1568">
        <w:rPr>
          <w:rFonts w:ascii="Times New Roman" w:eastAsia="Times New Roman" w:hAnsi="Times New Roman" w:cs="Times New Roman"/>
          <w:sz w:val="24"/>
          <w:szCs w:val="24"/>
          <w:lang w:eastAsia="en-IN"/>
        </w:rPr>
        <w:t xml:space="preserve"> estuary. Monsoon months show peak freshwater discharge and turbidity, accompanied by reduced salinity in upper estuarine zones. Post-monsoon and dry-season periods exhibit progressive saline intrusion and stabilized hydrographic conditions.</w:t>
      </w:r>
    </w:p>
    <w:p w14:paraId="1C791D49" w14:textId="77777777" w:rsidR="00DF1568" w:rsidRPr="00DF1568" w:rsidRDefault="00DF1568" w:rsidP="00806B1A">
      <w:pPr>
        <w:spacing w:after="80" w:line="240" w:lineRule="auto"/>
        <w:jc w:val="both"/>
        <w:outlineLvl w:val="2"/>
        <w:rPr>
          <w:rFonts w:ascii="Times New Roman" w:eastAsia="Times New Roman" w:hAnsi="Times New Roman" w:cs="Times New Roman"/>
          <w:b/>
          <w:bCs/>
          <w:sz w:val="24"/>
          <w:szCs w:val="24"/>
          <w:lang w:eastAsia="en-IN"/>
        </w:rPr>
      </w:pPr>
      <w:r>
        <w:rPr>
          <w:rFonts w:ascii="Times New Roman" w:eastAsia="Times New Roman" w:hAnsi="Times New Roman" w:cs="Times New Roman"/>
          <w:b/>
          <w:bCs/>
          <w:sz w:val="24"/>
          <w:szCs w:val="24"/>
          <w:lang w:eastAsia="en-IN"/>
        </w:rPr>
        <w:t>Figure 3</w:t>
      </w:r>
      <w:r w:rsidRPr="00DF1568">
        <w:rPr>
          <w:rFonts w:ascii="Times New Roman" w:eastAsia="Times New Roman" w:hAnsi="Times New Roman" w:cs="Times New Roman"/>
          <w:b/>
          <w:bCs/>
          <w:sz w:val="24"/>
          <w:szCs w:val="24"/>
          <w:lang w:eastAsia="en-IN"/>
        </w:rPr>
        <w:t>. Fish Community Structure Along the Salinity Gradient</w:t>
      </w:r>
      <w:r w:rsidR="00806B1A">
        <w:rPr>
          <w:rFonts w:ascii="Times New Roman" w:eastAsia="Times New Roman" w:hAnsi="Times New Roman" w:cs="Times New Roman"/>
          <w:b/>
          <w:bCs/>
          <w:sz w:val="24"/>
          <w:szCs w:val="24"/>
          <w:lang w:eastAsia="en-IN"/>
        </w:rPr>
        <w:t xml:space="preserve">: </w:t>
      </w:r>
      <w:r w:rsidRPr="00DF1568">
        <w:rPr>
          <w:rFonts w:ascii="Times New Roman" w:eastAsia="Times New Roman" w:hAnsi="Times New Roman" w:cs="Times New Roman"/>
          <w:sz w:val="24"/>
          <w:szCs w:val="24"/>
          <w:lang w:eastAsia="en-IN"/>
        </w:rPr>
        <w:t>Conceptual representation of the distribution of freshwater residents, estuarine residents, and marine migrants along the estuarine salinity gradient (freshwater–mesohaline–</w:t>
      </w:r>
      <w:proofErr w:type="spellStart"/>
      <w:r w:rsidRPr="00DF1568">
        <w:rPr>
          <w:rFonts w:ascii="Times New Roman" w:eastAsia="Times New Roman" w:hAnsi="Times New Roman" w:cs="Times New Roman"/>
          <w:sz w:val="24"/>
          <w:szCs w:val="24"/>
          <w:lang w:eastAsia="en-IN"/>
        </w:rPr>
        <w:t>euhaline</w:t>
      </w:r>
      <w:proofErr w:type="spellEnd"/>
      <w:r w:rsidRPr="00DF1568">
        <w:rPr>
          <w:rFonts w:ascii="Times New Roman" w:eastAsia="Times New Roman" w:hAnsi="Times New Roman" w:cs="Times New Roman"/>
          <w:sz w:val="24"/>
          <w:szCs w:val="24"/>
          <w:lang w:eastAsia="en-IN"/>
        </w:rPr>
        <w:t xml:space="preserve"> zones). </w:t>
      </w:r>
      <w:r w:rsidRPr="00DF1568">
        <w:rPr>
          <w:rFonts w:ascii="Times New Roman" w:eastAsia="Times New Roman" w:hAnsi="Times New Roman" w:cs="Times New Roman"/>
          <w:sz w:val="24"/>
          <w:szCs w:val="24"/>
          <w:lang w:eastAsia="en-IN"/>
        </w:rPr>
        <w:lastRenderedPageBreak/>
        <w:t xml:space="preserve">Freshwater taxa dominate low-salinity zones, marine migrants increase toward </w:t>
      </w:r>
      <w:proofErr w:type="spellStart"/>
      <w:r w:rsidRPr="00DF1568">
        <w:rPr>
          <w:rFonts w:ascii="Times New Roman" w:eastAsia="Times New Roman" w:hAnsi="Times New Roman" w:cs="Times New Roman"/>
          <w:sz w:val="24"/>
          <w:szCs w:val="24"/>
          <w:lang w:eastAsia="en-IN"/>
        </w:rPr>
        <w:t>polyhaline</w:t>
      </w:r>
      <w:proofErr w:type="spellEnd"/>
      <w:r w:rsidRPr="00DF1568">
        <w:rPr>
          <w:rFonts w:ascii="Times New Roman" w:eastAsia="Times New Roman" w:hAnsi="Times New Roman" w:cs="Times New Roman"/>
          <w:sz w:val="24"/>
          <w:szCs w:val="24"/>
          <w:lang w:eastAsia="en-IN"/>
        </w:rPr>
        <w:t xml:space="preserve"> conditions, and species overlap peaks under mesohaline mixing regimes.</w:t>
      </w:r>
    </w:p>
    <w:p w14:paraId="6D652C2B" w14:textId="77777777" w:rsidR="00DF1568" w:rsidRPr="00DF1568" w:rsidRDefault="00DF1568" w:rsidP="00806B1A">
      <w:pPr>
        <w:spacing w:after="80" w:line="240" w:lineRule="auto"/>
        <w:jc w:val="both"/>
        <w:outlineLvl w:val="2"/>
        <w:rPr>
          <w:rFonts w:ascii="Times New Roman" w:eastAsia="Times New Roman" w:hAnsi="Times New Roman" w:cs="Times New Roman"/>
          <w:b/>
          <w:bCs/>
          <w:sz w:val="24"/>
          <w:szCs w:val="24"/>
          <w:lang w:eastAsia="en-IN"/>
        </w:rPr>
      </w:pPr>
      <w:r>
        <w:rPr>
          <w:rFonts w:ascii="Times New Roman" w:eastAsia="Times New Roman" w:hAnsi="Times New Roman" w:cs="Times New Roman"/>
          <w:b/>
          <w:bCs/>
          <w:sz w:val="24"/>
          <w:szCs w:val="24"/>
          <w:lang w:eastAsia="en-IN"/>
        </w:rPr>
        <w:t>Figure 4</w:t>
      </w:r>
      <w:r w:rsidRPr="00DF1568">
        <w:rPr>
          <w:rFonts w:ascii="Times New Roman" w:eastAsia="Times New Roman" w:hAnsi="Times New Roman" w:cs="Times New Roman"/>
          <w:b/>
          <w:bCs/>
          <w:sz w:val="24"/>
          <w:szCs w:val="24"/>
          <w:lang w:eastAsia="en-IN"/>
        </w:rPr>
        <w:t>. Seasonal Recruitment of Juvenile Fish and Penaeid Post-Larvae</w:t>
      </w:r>
      <w:r w:rsidR="00806B1A">
        <w:rPr>
          <w:rFonts w:ascii="Times New Roman" w:eastAsia="Times New Roman" w:hAnsi="Times New Roman" w:cs="Times New Roman"/>
          <w:b/>
          <w:bCs/>
          <w:sz w:val="24"/>
          <w:szCs w:val="24"/>
          <w:lang w:eastAsia="en-IN"/>
        </w:rPr>
        <w:t xml:space="preserve">: </w:t>
      </w:r>
      <w:r w:rsidRPr="00DF1568">
        <w:rPr>
          <w:rFonts w:ascii="Times New Roman" w:eastAsia="Times New Roman" w:hAnsi="Times New Roman" w:cs="Times New Roman"/>
          <w:sz w:val="24"/>
          <w:szCs w:val="24"/>
          <w:lang w:eastAsia="en-IN"/>
        </w:rPr>
        <w:t xml:space="preserve">Variation in mean juvenile abundance of clupeids, mugilids, and penaeid post-larvae across salinity ranges. Recruitment peaks at low to mesohaline salinity levels (5–15 </w:t>
      </w:r>
      <w:proofErr w:type="spellStart"/>
      <w:r w:rsidRPr="00DF1568">
        <w:rPr>
          <w:rFonts w:ascii="Times New Roman" w:eastAsia="Times New Roman" w:hAnsi="Times New Roman" w:cs="Times New Roman"/>
          <w:sz w:val="24"/>
          <w:szCs w:val="24"/>
          <w:lang w:eastAsia="en-IN"/>
        </w:rPr>
        <w:t>psu</w:t>
      </w:r>
      <w:proofErr w:type="spellEnd"/>
      <w:r w:rsidRPr="00DF1568">
        <w:rPr>
          <w:rFonts w:ascii="Times New Roman" w:eastAsia="Times New Roman" w:hAnsi="Times New Roman" w:cs="Times New Roman"/>
          <w:sz w:val="24"/>
          <w:szCs w:val="24"/>
          <w:lang w:eastAsia="en-IN"/>
        </w:rPr>
        <w:t>), corresponding to monsoon-driven freshwater pulses and enhanced nursery habitat availability.</w:t>
      </w:r>
    </w:p>
    <w:p w14:paraId="5D5C65BB" w14:textId="77777777" w:rsidR="00DF1568" w:rsidRPr="00DF1568" w:rsidRDefault="00DF1568" w:rsidP="00806B1A">
      <w:pPr>
        <w:spacing w:after="80" w:line="240" w:lineRule="auto"/>
        <w:jc w:val="both"/>
        <w:outlineLvl w:val="2"/>
        <w:rPr>
          <w:rFonts w:ascii="Times New Roman" w:eastAsia="Times New Roman" w:hAnsi="Times New Roman" w:cs="Times New Roman"/>
          <w:b/>
          <w:bCs/>
          <w:sz w:val="24"/>
          <w:szCs w:val="24"/>
          <w:lang w:eastAsia="en-IN"/>
        </w:rPr>
      </w:pPr>
      <w:r>
        <w:rPr>
          <w:rFonts w:ascii="Times New Roman" w:eastAsia="Times New Roman" w:hAnsi="Times New Roman" w:cs="Times New Roman"/>
          <w:b/>
          <w:bCs/>
          <w:sz w:val="24"/>
          <w:szCs w:val="24"/>
          <w:lang w:eastAsia="en-IN"/>
        </w:rPr>
        <w:t>Figure 5</w:t>
      </w:r>
      <w:r w:rsidRPr="00DF1568">
        <w:rPr>
          <w:rFonts w:ascii="Times New Roman" w:eastAsia="Times New Roman" w:hAnsi="Times New Roman" w:cs="Times New Roman"/>
          <w:b/>
          <w:bCs/>
          <w:sz w:val="24"/>
          <w:szCs w:val="24"/>
          <w:lang w:eastAsia="en-IN"/>
        </w:rPr>
        <w:t xml:space="preserve">. Monthly Fishery Landings and Catch Composition in the </w:t>
      </w:r>
      <w:proofErr w:type="spellStart"/>
      <w:r w:rsidRPr="00DF1568">
        <w:rPr>
          <w:rFonts w:ascii="Times New Roman" w:eastAsia="Times New Roman" w:hAnsi="Times New Roman" w:cs="Times New Roman"/>
          <w:b/>
          <w:bCs/>
          <w:sz w:val="24"/>
          <w:szCs w:val="24"/>
          <w:lang w:eastAsia="en-IN"/>
        </w:rPr>
        <w:t>Vamsadhara</w:t>
      </w:r>
      <w:proofErr w:type="spellEnd"/>
      <w:r w:rsidRPr="00DF1568">
        <w:rPr>
          <w:rFonts w:ascii="Times New Roman" w:eastAsia="Times New Roman" w:hAnsi="Times New Roman" w:cs="Times New Roman"/>
          <w:b/>
          <w:bCs/>
          <w:sz w:val="24"/>
          <w:szCs w:val="24"/>
          <w:lang w:eastAsia="en-IN"/>
        </w:rPr>
        <w:t xml:space="preserve"> Estuary</w:t>
      </w:r>
      <w:r w:rsidR="00806B1A">
        <w:rPr>
          <w:rFonts w:ascii="Times New Roman" w:eastAsia="Times New Roman" w:hAnsi="Times New Roman" w:cs="Times New Roman"/>
          <w:b/>
          <w:bCs/>
          <w:sz w:val="24"/>
          <w:szCs w:val="24"/>
          <w:lang w:eastAsia="en-IN"/>
        </w:rPr>
        <w:t xml:space="preserve">: </w:t>
      </w:r>
      <w:r w:rsidRPr="00DF1568">
        <w:rPr>
          <w:rFonts w:ascii="Times New Roman" w:eastAsia="Times New Roman" w:hAnsi="Times New Roman" w:cs="Times New Roman"/>
          <w:sz w:val="24"/>
          <w:szCs w:val="24"/>
          <w:lang w:eastAsia="en-IN"/>
        </w:rPr>
        <w:t>Seasonal fluctuations in total monthly landings and dominant catch groups (mugilids, penaeid prawns, and other finfish), along with relative CPUE trends. Post-monsoon months exhibit higher CPUE and increased marine migrant landings, whereas monsoon periods show greater juvenile and estuarine-dependent catch proportions.</w:t>
      </w:r>
    </w:p>
    <w:p w14:paraId="3CB7975E" w14:textId="77777777" w:rsidR="00514914" w:rsidRDefault="00514914" w:rsidP="004252EE">
      <w:pPr>
        <w:pStyle w:val="Heading3"/>
        <w:spacing w:before="0" w:beforeAutospacing="0" w:after="0" w:afterAutospacing="0"/>
        <w:jc w:val="both"/>
        <w:rPr>
          <w:sz w:val="24"/>
          <w:szCs w:val="24"/>
        </w:rPr>
      </w:pPr>
    </w:p>
    <w:p w14:paraId="6A36C238" w14:textId="67C86F89" w:rsidR="00926C93" w:rsidRPr="00806B1A" w:rsidRDefault="00926C93" w:rsidP="00806B1A">
      <w:pPr>
        <w:pStyle w:val="Heading3"/>
        <w:spacing w:before="0" w:beforeAutospacing="0" w:after="0" w:afterAutospacing="0" w:line="360" w:lineRule="auto"/>
        <w:jc w:val="both"/>
        <w:rPr>
          <w:sz w:val="24"/>
          <w:szCs w:val="24"/>
        </w:rPr>
      </w:pPr>
    </w:p>
    <w:p w14:paraId="51C5CCB6" w14:textId="77777777" w:rsidR="00806B1A" w:rsidRPr="00806B1A" w:rsidRDefault="00806B1A" w:rsidP="00806B1A">
      <w:pPr>
        <w:pStyle w:val="NormalWeb"/>
        <w:spacing w:before="0" w:beforeAutospacing="0" w:after="0" w:afterAutospacing="0" w:line="360" w:lineRule="auto"/>
        <w:jc w:val="both"/>
      </w:pPr>
      <w:r w:rsidRPr="00806B1A">
        <w:t xml:space="preserve">The present study demonstrates that hydrographic variability is the dominant organizing force shaping ichthyofaunal diversity and fishery dynamics in the </w:t>
      </w:r>
      <w:proofErr w:type="spellStart"/>
      <w:r w:rsidRPr="00806B1A">
        <w:t>Vamsadhara</w:t>
      </w:r>
      <w:proofErr w:type="spellEnd"/>
      <w:r w:rsidRPr="00806B1A">
        <w:t xml:space="preserve"> estuary. Seasonal changes in freshwater discharge, salinity intrusion, turbidity, and dissolved oxygen structured spatial zonation of fish assemblages, regulated recruitment pulses, and governed artisanal fishing patterns. These findings closely mirror broader observations from tropical estuarine systems, where hydrographic gradients act as ecological filters determining species distribution and functional guild composition (Shaha, 2022; Hossain </w:t>
      </w:r>
      <w:r w:rsidR="00F276ED" w:rsidRPr="00F276ED">
        <w:rPr>
          <w:i/>
        </w:rPr>
        <w:t>et al</w:t>
      </w:r>
      <w:r w:rsidRPr="00806B1A">
        <w:t xml:space="preserve">., 2013; Dixit </w:t>
      </w:r>
      <w:r w:rsidR="00F276ED" w:rsidRPr="00F276ED">
        <w:rPr>
          <w:i/>
        </w:rPr>
        <w:t>et al</w:t>
      </w:r>
      <w:r w:rsidRPr="00806B1A">
        <w:t>., 2024).</w:t>
      </w:r>
    </w:p>
    <w:p w14:paraId="2C4B5150" w14:textId="77777777" w:rsidR="00806B1A" w:rsidRPr="00806B1A" w:rsidRDefault="00806B1A" w:rsidP="00806B1A">
      <w:pPr>
        <w:pStyle w:val="Heading3"/>
        <w:spacing w:before="0" w:beforeAutospacing="0" w:after="0" w:afterAutospacing="0" w:line="360" w:lineRule="auto"/>
        <w:jc w:val="both"/>
        <w:rPr>
          <w:sz w:val="24"/>
          <w:szCs w:val="24"/>
        </w:rPr>
      </w:pPr>
      <w:r w:rsidRPr="00806B1A">
        <w:rPr>
          <w:rStyle w:val="Strong"/>
          <w:b/>
          <w:bCs/>
          <w:sz w:val="24"/>
          <w:szCs w:val="24"/>
        </w:rPr>
        <w:t>5.1 Salinity gradients and assemblage organization</w:t>
      </w:r>
    </w:p>
    <w:p w14:paraId="607B32D1" w14:textId="77777777" w:rsidR="00806B1A" w:rsidRPr="00806B1A" w:rsidRDefault="00806B1A" w:rsidP="00806B1A">
      <w:pPr>
        <w:pStyle w:val="NormalWeb"/>
        <w:spacing w:before="0" w:beforeAutospacing="0" w:after="0" w:afterAutospacing="0" w:line="360" w:lineRule="auto"/>
        <w:jc w:val="both"/>
      </w:pPr>
      <w:r w:rsidRPr="00806B1A">
        <w:t xml:space="preserve">The strong spatial segregation of freshwater residents in upper reaches, mixed assemblages in mesohaline zones, and marine migrants toward the estuary mouth reflects classic estuarine zonation patterns reported across Indian and Bay of Bengal estuaries. Similar relationships between salinity gradients and fish community structure have been documented in the Meghna, Hooghly, </w:t>
      </w:r>
      <w:proofErr w:type="spellStart"/>
      <w:r w:rsidRPr="00806B1A">
        <w:t>Mandovi</w:t>
      </w:r>
      <w:proofErr w:type="spellEnd"/>
      <w:r w:rsidRPr="00806B1A">
        <w:t xml:space="preserve">, </w:t>
      </w:r>
      <w:proofErr w:type="spellStart"/>
      <w:r w:rsidRPr="00806B1A">
        <w:t>Zuari</w:t>
      </w:r>
      <w:proofErr w:type="spellEnd"/>
      <w:r w:rsidRPr="00806B1A">
        <w:t xml:space="preserve">, and </w:t>
      </w:r>
      <w:proofErr w:type="spellStart"/>
      <w:r w:rsidRPr="00806B1A">
        <w:t>Ashtamudi</w:t>
      </w:r>
      <w:proofErr w:type="spellEnd"/>
      <w:r w:rsidRPr="00806B1A">
        <w:t xml:space="preserve"> estuaries, where salinity consistently emerges as the primary driver of assemblage turnover (Hossain </w:t>
      </w:r>
      <w:r w:rsidR="00F276ED" w:rsidRPr="00F276ED">
        <w:rPr>
          <w:i/>
        </w:rPr>
        <w:t>et al</w:t>
      </w:r>
      <w:r w:rsidRPr="00806B1A">
        <w:t xml:space="preserve">., 2013; Shaha, 2022; Sreekanth, 2021). The peak in species richness observed under mesohaline conditions in the </w:t>
      </w:r>
      <w:proofErr w:type="spellStart"/>
      <w:r w:rsidRPr="00806B1A">
        <w:t>Vamsadhara</w:t>
      </w:r>
      <w:proofErr w:type="spellEnd"/>
      <w:r w:rsidRPr="00806B1A">
        <w:t xml:space="preserve"> aligns with these studies, highlighting the ecological importance of mixing zones where freshwater and marine taxa overlap.</w:t>
      </w:r>
    </w:p>
    <w:p w14:paraId="71596413" w14:textId="77777777" w:rsidR="00806B1A" w:rsidRPr="00806B1A" w:rsidRDefault="00806B1A" w:rsidP="00806B1A">
      <w:pPr>
        <w:pStyle w:val="NormalWeb"/>
        <w:spacing w:before="0" w:beforeAutospacing="0" w:after="0" w:afterAutospacing="0" w:line="360" w:lineRule="auto"/>
        <w:jc w:val="both"/>
      </w:pPr>
      <w:r w:rsidRPr="00806B1A">
        <w:t>Such mesohaline regions function as biodiversity hotspots because they support both estuarine specialists and transient marine migrants, producing higher functional diversity. The elevated Shannon diversity and evenness recorded in the middle estuary during post-monsoon months further support this interpretation. These patterns reinforce the concept that estuarine fish communities are structured along environmental gradients rather than random distributions, with salinity acting as a master variable mediating habitat suitability.</w:t>
      </w:r>
    </w:p>
    <w:p w14:paraId="0D61192D" w14:textId="77777777" w:rsidR="00806B1A" w:rsidRPr="00806B1A" w:rsidRDefault="00806B1A" w:rsidP="00806B1A">
      <w:pPr>
        <w:pStyle w:val="Heading3"/>
        <w:spacing w:before="0" w:beforeAutospacing="0" w:after="0" w:afterAutospacing="0" w:line="360" w:lineRule="auto"/>
        <w:jc w:val="both"/>
        <w:rPr>
          <w:sz w:val="24"/>
          <w:szCs w:val="24"/>
        </w:rPr>
      </w:pPr>
      <w:r w:rsidRPr="00806B1A">
        <w:rPr>
          <w:rStyle w:val="Strong"/>
          <w:b/>
          <w:bCs/>
          <w:sz w:val="24"/>
          <w:szCs w:val="24"/>
        </w:rPr>
        <w:lastRenderedPageBreak/>
        <w:t>5.2 Hydrographic control of nursery function and recruitment</w:t>
      </w:r>
    </w:p>
    <w:p w14:paraId="610F98F4" w14:textId="77777777" w:rsidR="00806B1A" w:rsidRPr="00806B1A" w:rsidRDefault="00806B1A" w:rsidP="00806B1A">
      <w:pPr>
        <w:pStyle w:val="NormalWeb"/>
        <w:spacing w:before="0" w:beforeAutospacing="0" w:after="0" w:afterAutospacing="0" w:line="360" w:lineRule="auto"/>
        <w:jc w:val="both"/>
      </w:pPr>
      <w:r w:rsidRPr="00806B1A">
        <w:t xml:space="preserve">The pronounced juvenile recruitment pulses recorded during early monsoon and immediate post-monsoon periods underscore the nursery role of the </w:t>
      </w:r>
      <w:proofErr w:type="spellStart"/>
      <w:r w:rsidRPr="00806B1A">
        <w:t>Vamsadhara</w:t>
      </w:r>
      <w:proofErr w:type="spellEnd"/>
      <w:r w:rsidRPr="00806B1A">
        <w:t xml:space="preserve"> estuary. Moderate freshwater inflows created shallow, turbid, nutrient-enriched environments that supported high densities of clupeid juveniles, mugilid recruits, and penaeid post-larvae. This recruitment timing closely corresponds with mechanisms described for tropical estuaries, where river discharge promotes larval retention, reduces predation pressure through turbidity, and enhances food availability (Gillanders </w:t>
      </w:r>
      <w:r w:rsidR="00F276ED" w:rsidRPr="00F276ED">
        <w:rPr>
          <w:i/>
        </w:rPr>
        <w:t>et al</w:t>
      </w:r>
      <w:r w:rsidRPr="00806B1A">
        <w:t xml:space="preserve">., 2012; Dixit </w:t>
      </w:r>
      <w:r w:rsidR="00F276ED" w:rsidRPr="00F276ED">
        <w:rPr>
          <w:i/>
        </w:rPr>
        <w:t>et al</w:t>
      </w:r>
      <w:r w:rsidRPr="00806B1A">
        <w:t>., 2024).</w:t>
      </w:r>
    </w:p>
    <w:p w14:paraId="2E6BBF07" w14:textId="77777777" w:rsidR="00806B1A" w:rsidRPr="00806B1A" w:rsidRDefault="00806B1A" w:rsidP="00806B1A">
      <w:pPr>
        <w:pStyle w:val="NormalWeb"/>
        <w:spacing w:before="0" w:beforeAutospacing="0" w:after="0" w:afterAutospacing="0" w:line="360" w:lineRule="auto"/>
        <w:jc w:val="both"/>
      </w:pPr>
      <w:r w:rsidRPr="00806B1A">
        <w:t xml:space="preserve">The concentration of juveniles within salinity ranges of 4–15 ppt suggests that intermediate salinity zones provide optimal physiological and ecological conditions for early life stages. Similar salinity-linked recruitment windows have been reported from multiple estuarine systems, emphasizing that successful year-class formation is tightly coupled to hydrographic states (Hossain </w:t>
      </w:r>
      <w:r w:rsidR="00F276ED" w:rsidRPr="00F276ED">
        <w:rPr>
          <w:i/>
        </w:rPr>
        <w:t>et al</w:t>
      </w:r>
      <w:r w:rsidRPr="00806B1A">
        <w:t xml:space="preserve">., 2013; Shaha, 2022). These findings support the broader framework proposed by Gillanders </w:t>
      </w:r>
      <w:r w:rsidR="00F276ED" w:rsidRPr="00F276ED">
        <w:rPr>
          <w:i/>
        </w:rPr>
        <w:t>et al</w:t>
      </w:r>
      <w:r w:rsidRPr="00806B1A">
        <w:t>. (2012), which emphasizes that nursery habitat value arises from dynamic interactions between hydrology, habitat structure, and biological processes rather than static habitat attributes alone.</w:t>
      </w:r>
    </w:p>
    <w:p w14:paraId="768C4914" w14:textId="77777777" w:rsidR="00806B1A" w:rsidRPr="00806B1A" w:rsidRDefault="00806B1A" w:rsidP="00806B1A">
      <w:pPr>
        <w:pStyle w:val="Heading3"/>
        <w:spacing w:before="0" w:beforeAutospacing="0" w:after="0" w:afterAutospacing="0" w:line="360" w:lineRule="auto"/>
        <w:jc w:val="both"/>
        <w:rPr>
          <w:sz w:val="24"/>
          <w:szCs w:val="24"/>
        </w:rPr>
      </w:pPr>
      <w:r w:rsidRPr="00806B1A">
        <w:rPr>
          <w:rStyle w:val="Strong"/>
          <w:b/>
          <w:bCs/>
          <w:sz w:val="24"/>
          <w:szCs w:val="24"/>
        </w:rPr>
        <w:t>5.3 Seasonal hydrography and fishery dynamics</w:t>
      </w:r>
    </w:p>
    <w:p w14:paraId="7EDC86CA" w14:textId="77777777" w:rsidR="00806B1A" w:rsidRPr="00806B1A" w:rsidRDefault="00806B1A" w:rsidP="00806B1A">
      <w:pPr>
        <w:pStyle w:val="NormalWeb"/>
        <w:spacing w:before="0" w:beforeAutospacing="0" w:after="0" w:afterAutospacing="0" w:line="360" w:lineRule="auto"/>
        <w:jc w:val="both"/>
      </w:pPr>
      <w:r w:rsidRPr="00806B1A">
        <w:t xml:space="preserve">Artisanal fisheries in the </w:t>
      </w:r>
      <w:proofErr w:type="spellStart"/>
      <w:r w:rsidRPr="00806B1A">
        <w:t>Vamsadhara</w:t>
      </w:r>
      <w:proofErr w:type="spellEnd"/>
      <w:r w:rsidRPr="00806B1A">
        <w:t xml:space="preserve"> estuary exhibited strong seasonal coupling with hydrographic cycles. Peak juvenile abundance during monsoon months translated into increased landings of estuarine-dependent species and prawns, while post-monsoon saline intrusion coincided with higher catches of marine migrants. This seasonal alternation reflects adaptive fishing strategies observed in estuarine fisheries worldwide, where gear deployment and effort are adjusted to track shifting species availability driven by environmental variability (FAO Bay of Bengal syntheses).</w:t>
      </w:r>
    </w:p>
    <w:p w14:paraId="6D2BDD67" w14:textId="77777777" w:rsidR="00806B1A" w:rsidRPr="00806B1A" w:rsidRDefault="00806B1A" w:rsidP="00806B1A">
      <w:pPr>
        <w:pStyle w:val="NormalWeb"/>
        <w:spacing w:before="0" w:beforeAutospacing="0" w:after="0" w:afterAutospacing="0" w:line="360" w:lineRule="auto"/>
        <w:jc w:val="both"/>
      </w:pPr>
      <w:r w:rsidRPr="00806B1A">
        <w:t xml:space="preserve">The observed increase in catch per unit effort during post-monsoon periods likely reflects aggregation of marine migrants near the estuary mouth as salinity rises and turbidity declines. Conversely, the variable CPUE during peak monsoon underscores the challenges fishers face when extreme freshwater discharge disrupts accessibility and species distribution. Comparable dynamics have been documented in other Indian estuaries, where fishers modify gear types and fishing locations in response to changing depth, turbidity, and target species </w:t>
      </w:r>
      <w:proofErr w:type="spellStart"/>
      <w:r w:rsidRPr="00806B1A">
        <w:t>behavior</w:t>
      </w:r>
      <w:proofErr w:type="spellEnd"/>
      <w:r w:rsidRPr="00806B1A">
        <w:t xml:space="preserve"> (Sreekanth, 2021).</w:t>
      </w:r>
    </w:p>
    <w:p w14:paraId="46D9B985" w14:textId="77777777" w:rsidR="00806B1A" w:rsidRPr="00806B1A" w:rsidRDefault="00806B1A" w:rsidP="00806B1A">
      <w:pPr>
        <w:pStyle w:val="NormalWeb"/>
        <w:spacing w:before="0" w:beforeAutospacing="0" w:after="0" w:afterAutospacing="0" w:line="360" w:lineRule="auto"/>
        <w:jc w:val="both"/>
      </w:pPr>
      <w:r w:rsidRPr="00806B1A">
        <w:t xml:space="preserve">These results highlight that fisheries productivity in the </w:t>
      </w:r>
      <w:proofErr w:type="spellStart"/>
      <w:r w:rsidRPr="00806B1A">
        <w:t>Vamsadhara</w:t>
      </w:r>
      <w:proofErr w:type="spellEnd"/>
      <w:r w:rsidRPr="00806B1A">
        <w:t xml:space="preserve"> estuary is not solely determined by stock abundance but is tightly linked to hydrographic accessibility and gear </w:t>
      </w:r>
      <w:r w:rsidRPr="00806B1A">
        <w:lastRenderedPageBreak/>
        <w:t>efficiency. Consequently, any alteration to the natural flow regime has the potential to cascade through ecological and socioeconomic systems.</w:t>
      </w:r>
    </w:p>
    <w:p w14:paraId="29AEFBF5" w14:textId="77777777" w:rsidR="00806B1A" w:rsidRPr="00806B1A" w:rsidRDefault="00806B1A" w:rsidP="00806B1A">
      <w:pPr>
        <w:pStyle w:val="Heading3"/>
        <w:spacing w:before="0" w:beforeAutospacing="0" w:after="0" w:afterAutospacing="0" w:line="360" w:lineRule="auto"/>
        <w:jc w:val="both"/>
        <w:rPr>
          <w:sz w:val="24"/>
          <w:szCs w:val="24"/>
        </w:rPr>
      </w:pPr>
      <w:r w:rsidRPr="00806B1A">
        <w:rPr>
          <w:rStyle w:val="Strong"/>
          <w:b/>
          <w:bCs/>
          <w:sz w:val="24"/>
          <w:szCs w:val="24"/>
        </w:rPr>
        <w:t>5.4 Influence of extreme events and hydrographic instability</w:t>
      </w:r>
    </w:p>
    <w:p w14:paraId="3904BB46" w14:textId="77777777" w:rsidR="00806B1A" w:rsidRPr="00806B1A" w:rsidRDefault="00806B1A" w:rsidP="00806B1A">
      <w:pPr>
        <w:pStyle w:val="NormalWeb"/>
        <w:spacing w:before="0" w:beforeAutospacing="0" w:after="0" w:afterAutospacing="0" w:line="360" w:lineRule="auto"/>
        <w:jc w:val="both"/>
      </w:pPr>
      <w:r w:rsidRPr="00806B1A">
        <w:t xml:space="preserve">While seasonal hydrographic variability supports productivity, extreme freshwater pulses and prolonged low-flow conditions introduce instability. The sharp declines in marine migrant presence during periods of very low salinity and the dominance of tolerant freshwater taxa during peak discharge mirror observations from other estuaries experiencing episodic flooding or altered flow regimes (Hossain </w:t>
      </w:r>
      <w:r w:rsidR="00F276ED" w:rsidRPr="00F276ED">
        <w:rPr>
          <w:i/>
        </w:rPr>
        <w:t>et al</w:t>
      </w:r>
      <w:r w:rsidRPr="00806B1A">
        <w:t xml:space="preserve">., 2013; Dixit </w:t>
      </w:r>
      <w:r w:rsidR="00F276ED" w:rsidRPr="00F276ED">
        <w:rPr>
          <w:i/>
        </w:rPr>
        <w:t>et al</w:t>
      </w:r>
      <w:r w:rsidRPr="00806B1A">
        <w:t>., 2024). Such extremes can displace juveniles, reduce habitat suitability, and interrupt recruitment windows.</w:t>
      </w:r>
    </w:p>
    <w:p w14:paraId="05913B09" w14:textId="77777777" w:rsidR="00806B1A" w:rsidRPr="00806B1A" w:rsidRDefault="00806B1A" w:rsidP="00806B1A">
      <w:pPr>
        <w:pStyle w:val="NormalWeb"/>
        <w:spacing w:before="0" w:beforeAutospacing="0" w:after="0" w:afterAutospacing="0" w:line="360" w:lineRule="auto"/>
        <w:jc w:val="both"/>
      </w:pPr>
      <w:r w:rsidRPr="00806B1A">
        <w:t xml:space="preserve">Comparable impacts have been reported from </w:t>
      </w:r>
      <w:proofErr w:type="spellStart"/>
      <w:r w:rsidRPr="00806B1A">
        <w:t>Pulicat</w:t>
      </w:r>
      <w:proofErr w:type="spellEnd"/>
      <w:r w:rsidRPr="00806B1A">
        <w:t xml:space="preserve"> Lake and other coastal systems, where excessive freshwater inflow or reduced tidal exchange caused drastic salinity swings, restructuring fish assemblages and diminishing fishery yields. These analogues suggest that increasing climate variability and altered upstream hydrology could amplify recruitment failure risks in the </w:t>
      </w:r>
      <w:proofErr w:type="spellStart"/>
      <w:r w:rsidRPr="00806B1A">
        <w:t>Vamsadhara</w:t>
      </w:r>
      <w:proofErr w:type="spellEnd"/>
      <w:r w:rsidRPr="00806B1A">
        <w:t xml:space="preserve"> estuary if not carefully managed.</w:t>
      </w:r>
    </w:p>
    <w:p w14:paraId="2F926A23" w14:textId="77777777" w:rsidR="00806B1A" w:rsidRPr="00806B1A" w:rsidRDefault="00806B1A" w:rsidP="00806B1A">
      <w:pPr>
        <w:pStyle w:val="Heading3"/>
        <w:spacing w:before="0" w:beforeAutospacing="0" w:after="0" w:afterAutospacing="0" w:line="360" w:lineRule="auto"/>
        <w:jc w:val="both"/>
        <w:rPr>
          <w:sz w:val="24"/>
          <w:szCs w:val="24"/>
        </w:rPr>
      </w:pPr>
      <w:r w:rsidRPr="00806B1A">
        <w:rPr>
          <w:rStyle w:val="Strong"/>
          <w:b/>
          <w:bCs/>
          <w:sz w:val="24"/>
          <w:szCs w:val="24"/>
        </w:rPr>
        <w:t>5.5 Anthropogenic modulation of hydrographic regimes</w:t>
      </w:r>
    </w:p>
    <w:p w14:paraId="1EFE9E74" w14:textId="77777777" w:rsidR="00806B1A" w:rsidRPr="00806B1A" w:rsidRDefault="00806B1A" w:rsidP="00806B1A">
      <w:pPr>
        <w:pStyle w:val="NormalWeb"/>
        <w:spacing w:before="0" w:beforeAutospacing="0" w:after="0" w:afterAutospacing="0" w:line="360" w:lineRule="auto"/>
        <w:jc w:val="both"/>
      </w:pPr>
      <w:r w:rsidRPr="00806B1A">
        <w:t>Beyond natural variability, anthropogenic drivers—including upstream abstraction, reservoir regulation, and land-use change—pose significant risks to estuarine hydrography. Reduced freshwater inflow can intensify saline intrusion, compress nursery habitats, and shift assemblage composition toward marine-dominated communities, as documented in several Indian estuaries. Conversely, abrupt reservoir releases may generate unnatural flood pulses that flush larvae and destabilize juvenile habitats.</w:t>
      </w:r>
    </w:p>
    <w:p w14:paraId="29118489" w14:textId="77777777" w:rsidR="00806B1A" w:rsidRPr="00806B1A" w:rsidRDefault="00806B1A" w:rsidP="00806B1A">
      <w:pPr>
        <w:pStyle w:val="NormalWeb"/>
        <w:spacing w:before="0" w:beforeAutospacing="0" w:after="0" w:afterAutospacing="0" w:line="360" w:lineRule="auto"/>
        <w:jc w:val="both"/>
      </w:pPr>
      <w:r w:rsidRPr="00806B1A">
        <w:t xml:space="preserve">The </w:t>
      </w:r>
      <w:proofErr w:type="spellStart"/>
      <w:r w:rsidRPr="00806B1A">
        <w:t>Vamsadhara</w:t>
      </w:r>
      <w:proofErr w:type="spellEnd"/>
      <w:r w:rsidRPr="00806B1A">
        <w:t xml:space="preserve"> basin, like many medium-sized river systems, is increasingly subject to such modifications, raising concerns about long-term ecological resilience. The literature consistently emphasizes that maintaining ecological flows is critical for sustaining estuarine nursery function and biodiversity (Gillanders </w:t>
      </w:r>
      <w:r w:rsidR="00F276ED" w:rsidRPr="00F276ED">
        <w:rPr>
          <w:i/>
        </w:rPr>
        <w:t>et al</w:t>
      </w:r>
      <w:r w:rsidRPr="00806B1A">
        <w:t xml:space="preserve">., 2012; Dixit </w:t>
      </w:r>
      <w:r w:rsidR="00F276ED" w:rsidRPr="00F276ED">
        <w:rPr>
          <w:i/>
        </w:rPr>
        <w:t>et al</w:t>
      </w:r>
      <w:r w:rsidRPr="00806B1A">
        <w:t>., 2024). The present results reinforce this view by demonstrating how tightly fish recruitment and diversity are linked to flow-mediated salinity gradients.</w:t>
      </w:r>
    </w:p>
    <w:p w14:paraId="20163EAF" w14:textId="77777777" w:rsidR="00806B1A" w:rsidRPr="00806B1A" w:rsidRDefault="00806B1A" w:rsidP="00806B1A">
      <w:pPr>
        <w:pStyle w:val="Heading3"/>
        <w:spacing w:before="0" w:beforeAutospacing="0" w:after="0" w:afterAutospacing="0" w:line="360" w:lineRule="auto"/>
        <w:jc w:val="both"/>
        <w:rPr>
          <w:sz w:val="24"/>
          <w:szCs w:val="24"/>
        </w:rPr>
      </w:pPr>
      <w:r w:rsidRPr="00806B1A">
        <w:rPr>
          <w:rStyle w:val="Strong"/>
          <w:b/>
          <w:bCs/>
          <w:sz w:val="24"/>
          <w:szCs w:val="24"/>
        </w:rPr>
        <w:t>5.6 Socioeconomic implications and adaptive capacity</w:t>
      </w:r>
    </w:p>
    <w:p w14:paraId="106F7AEC" w14:textId="77777777" w:rsidR="00806B1A" w:rsidRPr="00806B1A" w:rsidRDefault="00806B1A" w:rsidP="00806B1A">
      <w:pPr>
        <w:pStyle w:val="NormalWeb"/>
        <w:spacing w:before="0" w:beforeAutospacing="0" w:after="0" w:afterAutospacing="0" w:line="360" w:lineRule="auto"/>
        <w:jc w:val="both"/>
      </w:pPr>
      <w:r w:rsidRPr="00806B1A">
        <w:t xml:space="preserve">Small-scale fishing communities in the </w:t>
      </w:r>
      <w:proofErr w:type="spellStart"/>
      <w:r w:rsidRPr="00806B1A">
        <w:t>Vamsadhara</w:t>
      </w:r>
      <w:proofErr w:type="spellEnd"/>
      <w:r w:rsidRPr="00806B1A">
        <w:t xml:space="preserve"> region are highly dependent on predictable seasonal recruitment and landings. The strong hydrography–fishery coupling observed here implies that increased interannual variability in discharge and salinity could directly translate into livelihood instability. While fishers demonstrate adaptive capacity through gear switching and spatial targeting, socioeconomic studies indicate limited buffers against prolonged poor recruitment years.</w:t>
      </w:r>
    </w:p>
    <w:p w14:paraId="1FCB5DD1" w14:textId="77777777" w:rsidR="00806B1A" w:rsidRPr="00806B1A" w:rsidRDefault="00806B1A" w:rsidP="00806B1A">
      <w:pPr>
        <w:pStyle w:val="NormalWeb"/>
        <w:spacing w:before="0" w:beforeAutospacing="0" w:after="0" w:afterAutospacing="0" w:line="360" w:lineRule="auto"/>
        <w:jc w:val="both"/>
      </w:pPr>
      <w:r w:rsidRPr="00806B1A">
        <w:lastRenderedPageBreak/>
        <w:t>This vulnerability highlights the need for management approaches that integrate hydrographic monitoring with fisheries governance. Seasonal gear regulations, protection of nursery zones during peak recruitment, and participatory flow management could enhance resilience. Experiences from other estuarine fisheries suggest that co-management frameworks, combining scientific monitoring with fisher knowledge, are particularly effective in addressing hydrographically driven variability.</w:t>
      </w:r>
    </w:p>
    <w:p w14:paraId="57DAE999" w14:textId="77777777" w:rsidR="00806B1A" w:rsidRPr="00806B1A" w:rsidRDefault="00806B1A" w:rsidP="00806B1A">
      <w:pPr>
        <w:pStyle w:val="Heading3"/>
        <w:spacing w:before="0" w:beforeAutospacing="0" w:after="0" w:afterAutospacing="0" w:line="360" w:lineRule="auto"/>
        <w:jc w:val="both"/>
        <w:rPr>
          <w:sz w:val="24"/>
          <w:szCs w:val="24"/>
        </w:rPr>
      </w:pPr>
      <w:r w:rsidRPr="00806B1A">
        <w:rPr>
          <w:rStyle w:val="Strong"/>
          <w:b/>
          <w:bCs/>
          <w:sz w:val="24"/>
          <w:szCs w:val="24"/>
        </w:rPr>
        <w:t>5.7 Management implications and research priorities</w:t>
      </w:r>
    </w:p>
    <w:p w14:paraId="04408826" w14:textId="77777777" w:rsidR="00806B1A" w:rsidRPr="00806B1A" w:rsidRDefault="00806B1A" w:rsidP="00806B1A">
      <w:pPr>
        <w:pStyle w:val="NormalWeb"/>
        <w:spacing w:before="0" w:beforeAutospacing="0" w:after="0" w:afterAutospacing="0" w:line="360" w:lineRule="auto"/>
        <w:jc w:val="both"/>
      </w:pPr>
      <w:r w:rsidRPr="00806B1A">
        <w:t xml:space="preserve">The synthesis of results with existing literature points to several priorities for the </w:t>
      </w:r>
      <w:proofErr w:type="spellStart"/>
      <w:r w:rsidRPr="00806B1A">
        <w:t>Vamsadhara</w:t>
      </w:r>
      <w:proofErr w:type="spellEnd"/>
      <w:r w:rsidRPr="00806B1A">
        <w:t xml:space="preserve"> estuary:</w:t>
      </w:r>
    </w:p>
    <w:p w14:paraId="3AB3CD0E" w14:textId="77777777" w:rsidR="00806B1A" w:rsidRPr="00806B1A" w:rsidRDefault="00806B1A" w:rsidP="00806B1A">
      <w:pPr>
        <w:pStyle w:val="NormalWeb"/>
        <w:numPr>
          <w:ilvl w:val="0"/>
          <w:numId w:val="30"/>
        </w:numPr>
        <w:spacing w:before="0" w:beforeAutospacing="0" w:after="0" w:afterAutospacing="0" w:line="360" w:lineRule="auto"/>
        <w:jc w:val="both"/>
      </w:pPr>
      <w:r w:rsidRPr="00806B1A">
        <w:rPr>
          <w:rStyle w:val="Strong"/>
        </w:rPr>
        <w:t>Long-term hydrographic monitoring</w:t>
      </w:r>
      <w:r w:rsidRPr="00806B1A">
        <w:t xml:space="preserve"> of salinity, turbidity, and discharge to detect shifts in recruitment conditions.</w:t>
      </w:r>
    </w:p>
    <w:p w14:paraId="1ECE7538" w14:textId="77777777" w:rsidR="00806B1A" w:rsidRPr="00806B1A" w:rsidRDefault="00806B1A" w:rsidP="00806B1A">
      <w:pPr>
        <w:pStyle w:val="NormalWeb"/>
        <w:numPr>
          <w:ilvl w:val="0"/>
          <w:numId w:val="30"/>
        </w:numPr>
        <w:spacing w:before="0" w:beforeAutospacing="0" w:after="0" w:afterAutospacing="0" w:line="360" w:lineRule="auto"/>
        <w:jc w:val="both"/>
      </w:pPr>
      <w:r w:rsidRPr="00806B1A">
        <w:rPr>
          <w:rStyle w:val="Strong"/>
        </w:rPr>
        <w:t>Nursery habitat mapping</w:t>
      </w:r>
      <w:r w:rsidRPr="00806B1A">
        <w:t xml:space="preserve"> to identify and protect critical mesohaline and shallow intertidal zones.</w:t>
      </w:r>
    </w:p>
    <w:p w14:paraId="7173A4BB" w14:textId="77777777" w:rsidR="00806B1A" w:rsidRPr="00806B1A" w:rsidRDefault="00806B1A" w:rsidP="00806B1A">
      <w:pPr>
        <w:pStyle w:val="NormalWeb"/>
        <w:numPr>
          <w:ilvl w:val="0"/>
          <w:numId w:val="30"/>
        </w:numPr>
        <w:spacing w:before="0" w:beforeAutospacing="0" w:after="0" w:afterAutospacing="0" w:line="360" w:lineRule="auto"/>
        <w:jc w:val="both"/>
      </w:pPr>
      <w:r w:rsidRPr="00806B1A">
        <w:rPr>
          <w:rStyle w:val="Strong"/>
        </w:rPr>
        <w:t>Flow-aware fisheries management</w:t>
      </w:r>
      <w:r w:rsidRPr="00806B1A">
        <w:t>, aligning seasonal closures and mesh-size regulations with recruitment windows.</w:t>
      </w:r>
    </w:p>
    <w:p w14:paraId="7C838D65" w14:textId="77777777" w:rsidR="00806B1A" w:rsidRPr="00806B1A" w:rsidRDefault="00806B1A" w:rsidP="00806B1A">
      <w:pPr>
        <w:pStyle w:val="NormalWeb"/>
        <w:numPr>
          <w:ilvl w:val="0"/>
          <w:numId w:val="30"/>
        </w:numPr>
        <w:spacing w:before="0" w:beforeAutospacing="0" w:after="0" w:afterAutospacing="0" w:line="360" w:lineRule="auto"/>
        <w:jc w:val="both"/>
      </w:pPr>
      <w:r w:rsidRPr="00806B1A">
        <w:rPr>
          <w:rStyle w:val="Strong"/>
        </w:rPr>
        <w:t>Basin-scale coordination</w:t>
      </w:r>
      <w:r w:rsidRPr="00806B1A">
        <w:t xml:space="preserve"> to ensure ecological flows that sustain estuarine productivity.</w:t>
      </w:r>
    </w:p>
    <w:p w14:paraId="5DD45872" w14:textId="77777777" w:rsidR="00806B1A" w:rsidRPr="00806B1A" w:rsidRDefault="00806B1A" w:rsidP="00806B1A">
      <w:pPr>
        <w:pStyle w:val="NormalWeb"/>
        <w:numPr>
          <w:ilvl w:val="0"/>
          <w:numId w:val="30"/>
        </w:numPr>
        <w:spacing w:before="0" w:beforeAutospacing="0" w:after="0" w:afterAutospacing="0" w:line="360" w:lineRule="auto"/>
        <w:jc w:val="both"/>
      </w:pPr>
      <w:r w:rsidRPr="00806B1A">
        <w:rPr>
          <w:rStyle w:val="Strong"/>
        </w:rPr>
        <w:t>Socioecological integration</w:t>
      </w:r>
      <w:r w:rsidRPr="00806B1A">
        <w:t>, incorporating fisher observations into adaptive management frameworks.</w:t>
      </w:r>
    </w:p>
    <w:p w14:paraId="3651F7E3" w14:textId="77777777" w:rsidR="00806B1A" w:rsidRPr="00806B1A" w:rsidRDefault="00806B1A" w:rsidP="00806B1A">
      <w:pPr>
        <w:pStyle w:val="NormalWeb"/>
        <w:spacing w:before="0" w:beforeAutospacing="0" w:after="0" w:afterAutospacing="0" w:line="360" w:lineRule="auto"/>
        <w:jc w:val="both"/>
      </w:pPr>
      <w:r w:rsidRPr="00806B1A">
        <w:t>Addressing these priorities would help safeguard both ichthyofaunal diversity and fishery livelihoods under increasing climatic and anthropogenic pressures.</w:t>
      </w:r>
    </w:p>
    <w:p w14:paraId="019F9D94" w14:textId="77777777" w:rsidR="00806B1A" w:rsidRPr="00806B1A" w:rsidRDefault="00806B1A" w:rsidP="00806B1A">
      <w:pPr>
        <w:pStyle w:val="Heading3"/>
        <w:spacing w:before="0" w:beforeAutospacing="0" w:after="0" w:afterAutospacing="0" w:line="360" w:lineRule="auto"/>
        <w:jc w:val="both"/>
        <w:rPr>
          <w:sz w:val="24"/>
          <w:szCs w:val="24"/>
        </w:rPr>
      </w:pPr>
      <w:r w:rsidRPr="00806B1A">
        <w:rPr>
          <w:rStyle w:val="Strong"/>
          <w:b/>
          <w:bCs/>
          <w:sz w:val="24"/>
          <w:szCs w:val="24"/>
        </w:rPr>
        <w:t>5.8 Integrative perspective</w:t>
      </w:r>
    </w:p>
    <w:p w14:paraId="636CEFA2" w14:textId="77777777" w:rsidR="00806B1A" w:rsidRPr="00806B1A" w:rsidRDefault="00806B1A" w:rsidP="00806B1A">
      <w:pPr>
        <w:pStyle w:val="NormalWeb"/>
        <w:spacing w:before="0" w:beforeAutospacing="0" w:after="0" w:afterAutospacing="0" w:line="360" w:lineRule="auto"/>
        <w:jc w:val="both"/>
      </w:pPr>
      <w:r w:rsidRPr="00806B1A">
        <w:t xml:space="preserve">Overall, this study reinforces the conceptual model that estuarine ecosystems function as hydrographically regulated nursery–production systems. In the </w:t>
      </w:r>
      <w:proofErr w:type="spellStart"/>
      <w:r w:rsidRPr="00806B1A">
        <w:t>Vamsadhara</w:t>
      </w:r>
      <w:proofErr w:type="spellEnd"/>
      <w:r w:rsidRPr="00806B1A">
        <w:t xml:space="preserve"> estuary, seasonal freshwater pulses create biologically productive mixing zones that underpin fish diversity and artisanal fisheries, while departures from these natural regimes—whether through extreme climate events or human modification—risk destabilizing ecological and socioeconomic outcomes. The convergence of local results with regional and global estuarine studies underscores the generality of these processes and highlights the urgency of integrating hydrographic science into estuarine fisheries management.</w:t>
      </w:r>
    </w:p>
    <w:p w14:paraId="653214E2" w14:textId="77777777" w:rsidR="00544000" w:rsidRPr="00544000" w:rsidRDefault="00544000" w:rsidP="00A70371">
      <w:pPr>
        <w:spacing w:after="0" w:line="240" w:lineRule="auto"/>
        <w:jc w:val="both"/>
        <w:rPr>
          <w:rFonts w:ascii="Times New Roman" w:eastAsia="Times New Roman" w:hAnsi="Times New Roman" w:cs="Times New Roman"/>
          <w:sz w:val="24"/>
          <w:szCs w:val="24"/>
          <w:lang w:val="en-US" w:bidi="te-IN"/>
        </w:rPr>
      </w:pPr>
    </w:p>
    <w:p w14:paraId="4D581125" w14:textId="77777777" w:rsidR="00926C93" w:rsidRDefault="00B1270C" w:rsidP="00B1270C">
      <w:pPr>
        <w:pStyle w:val="Heading3"/>
        <w:spacing w:before="0" w:beforeAutospacing="0" w:after="0" w:afterAutospacing="0" w:line="360" w:lineRule="auto"/>
        <w:jc w:val="both"/>
        <w:rPr>
          <w:sz w:val="24"/>
          <w:szCs w:val="24"/>
        </w:rPr>
      </w:pPr>
      <w:r>
        <w:rPr>
          <w:sz w:val="24"/>
          <w:szCs w:val="24"/>
        </w:rPr>
        <w:t>6</w:t>
      </w:r>
      <w:r w:rsidR="00174FEE" w:rsidRPr="00174FEE">
        <w:rPr>
          <w:sz w:val="24"/>
          <w:szCs w:val="24"/>
        </w:rPr>
        <w:t>. CONCLUSION</w:t>
      </w:r>
    </w:p>
    <w:p w14:paraId="469699A0" w14:textId="77777777" w:rsidR="00B1270C" w:rsidRPr="00B1270C" w:rsidRDefault="00B1270C" w:rsidP="00B1270C">
      <w:pPr>
        <w:spacing w:after="0" w:line="360" w:lineRule="auto"/>
        <w:jc w:val="both"/>
        <w:rPr>
          <w:rFonts w:ascii="Times New Roman" w:eastAsia="Times New Roman" w:hAnsi="Times New Roman" w:cs="Times New Roman"/>
          <w:sz w:val="24"/>
          <w:szCs w:val="24"/>
          <w:lang w:eastAsia="en-IN"/>
        </w:rPr>
      </w:pPr>
      <w:r w:rsidRPr="00B1270C">
        <w:rPr>
          <w:rFonts w:ascii="Times New Roman" w:eastAsia="Times New Roman" w:hAnsi="Times New Roman" w:cs="Times New Roman"/>
          <w:sz w:val="24"/>
          <w:szCs w:val="24"/>
          <w:lang w:eastAsia="en-IN"/>
        </w:rPr>
        <w:t xml:space="preserve">The present study provides an integrated assessment of how hydrographic variability governs ichthyofaunal diversity and fishery dynamics in the </w:t>
      </w:r>
      <w:proofErr w:type="spellStart"/>
      <w:r w:rsidRPr="00B1270C">
        <w:rPr>
          <w:rFonts w:ascii="Times New Roman" w:eastAsia="Times New Roman" w:hAnsi="Times New Roman" w:cs="Times New Roman"/>
          <w:sz w:val="24"/>
          <w:szCs w:val="24"/>
          <w:lang w:eastAsia="en-IN"/>
        </w:rPr>
        <w:t>Vamsadhara</w:t>
      </w:r>
      <w:proofErr w:type="spellEnd"/>
      <w:r w:rsidRPr="00B1270C">
        <w:rPr>
          <w:rFonts w:ascii="Times New Roman" w:eastAsia="Times New Roman" w:hAnsi="Times New Roman" w:cs="Times New Roman"/>
          <w:sz w:val="24"/>
          <w:szCs w:val="24"/>
          <w:lang w:eastAsia="en-IN"/>
        </w:rPr>
        <w:t xml:space="preserve"> estuary, underscoring the </w:t>
      </w:r>
      <w:r w:rsidRPr="00B1270C">
        <w:rPr>
          <w:rFonts w:ascii="Times New Roman" w:eastAsia="Times New Roman" w:hAnsi="Times New Roman" w:cs="Times New Roman"/>
          <w:sz w:val="24"/>
          <w:szCs w:val="24"/>
          <w:lang w:eastAsia="en-IN"/>
        </w:rPr>
        <w:lastRenderedPageBreak/>
        <w:t>estuary’s role as a hydrographically regulated nursery and production system. Seasonal freshwater discharge, salinity intrusion, turbidity fluctuations, and associated physicochemical gradients emerged as primary drivers shaping spatial zonation of fish assemblages, recruitment pulses, and artisanal fishing patterns. The highest species richness and community evenness occurred within mesohaline mixing zones, highlighting their ecological importance as transitional habitats supporting both freshwater and marine taxa.</w:t>
      </w:r>
    </w:p>
    <w:p w14:paraId="1A905928" w14:textId="77777777" w:rsidR="00B1270C" w:rsidRPr="00B1270C" w:rsidRDefault="00B1270C" w:rsidP="00B1270C">
      <w:pPr>
        <w:spacing w:after="0" w:line="360" w:lineRule="auto"/>
        <w:jc w:val="both"/>
        <w:rPr>
          <w:rFonts w:ascii="Times New Roman" w:eastAsia="Times New Roman" w:hAnsi="Times New Roman" w:cs="Times New Roman"/>
          <w:sz w:val="24"/>
          <w:szCs w:val="24"/>
          <w:lang w:eastAsia="en-IN"/>
        </w:rPr>
      </w:pPr>
      <w:r w:rsidRPr="00B1270C">
        <w:rPr>
          <w:rFonts w:ascii="Times New Roman" w:eastAsia="Times New Roman" w:hAnsi="Times New Roman" w:cs="Times New Roman"/>
          <w:sz w:val="24"/>
          <w:szCs w:val="24"/>
          <w:lang w:eastAsia="en-IN"/>
        </w:rPr>
        <w:t>Monsoon-driven freshwater pulses were closely linked to enhanced juvenile recruitment of estuarine-dependent fishes and penaeid prawns, confirming the estuary’s function as a critical nursery habitat. These recruitment events subsequently influenced post-monsoon fishery yields, demonstrating a direct coupling between hydrographic processes and livelihood outcomes. Conversely, extreme freshwater conditions or prolonged low-flow periods reduced habitat suitability for marine migrants and altered assemblage composition, revealing the sensitivity of fish communities to deviations from natural flow regimes.</w:t>
      </w:r>
    </w:p>
    <w:p w14:paraId="2EB918B1" w14:textId="77777777" w:rsidR="00B1270C" w:rsidRPr="00B1270C" w:rsidRDefault="00B1270C" w:rsidP="00B1270C">
      <w:pPr>
        <w:spacing w:after="0" w:line="360" w:lineRule="auto"/>
        <w:jc w:val="both"/>
        <w:rPr>
          <w:rFonts w:ascii="Times New Roman" w:eastAsia="Times New Roman" w:hAnsi="Times New Roman" w:cs="Times New Roman"/>
          <w:sz w:val="24"/>
          <w:szCs w:val="24"/>
          <w:lang w:eastAsia="en-IN"/>
        </w:rPr>
      </w:pPr>
      <w:r w:rsidRPr="00B1270C">
        <w:rPr>
          <w:rFonts w:ascii="Times New Roman" w:eastAsia="Times New Roman" w:hAnsi="Times New Roman" w:cs="Times New Roman"/>
          <w:sz w:val="24"/>
          <w:szCs w:val="24"/>
          <w:lang w:eastAsia="en-IN"/>
        </w:rPr>
        <w:t xml:space="preserve">The findings also emphasize that artisanal fisheries in the </w:t>
      </w:r>
      <w:proofErr w:type="spellStart"/>
      <w:r w:rsidRPr="00B1270C">
        <w:rPr>
          <w:rFonts w:ascii="Times New Roman" w:eastAsia="Times New Roman" w:hAnsi="Times New Roman" w:cs="Times New Roman"/>
          <w:sz w:val="24"/>
          <w:szCs w:val="24"/>
          <w:lang w:eastAsia="en-IN"/>
        </w:rPr>
        <w:t>Vamsadhara</w:t>
      </w:r>
      <w:proofErr w:type="spellEnd"/>
      <w:r w:rsidRPr="00B1270C">
        <w:rPr>
          <w:rFonts w:ascii="Times New Roman" w:eastAsia="Times New Roman" w:hAnsi="Times New Roman" w:cs="Times New Roman"/>
          <w:sz w:val="24"/>
          <w:szCs w:val="24"/>
          <w:lang w:eastAsia="en-IN"/>
        </w:rPr>
        <w:t xml:space="preserve"> estuary are finely tuned to seasonal hydrographic cycles, with gear deployment and fishing effort adapting to changing water quality and species availability. However, increasing interannual variability in discharge patterns—driven by climate fluctuations and upstream anthropogenic modifications—poses growing risks to both biodiversity and fishery stability. Without adequate management interventions, altered freshwater inflow and salinity regimes may compromise nursery function, reduce recruitment success, and exacerbate socioeconomic vulnerability among dependent fishing communities.</w:t>
      </w:r>
    </w:p>
    <w:p w14:paraId="0DF50AE2" w14:textId="77777777" w:rsidR="00B1270C" w:rsidRPr="00B1270C" w:rsidRDefault="00B1270C" w:rsidP="00B1270C">
      <w:pPr>
        <w:spacing w:after="0" w:line="360" w:lineRule="auto"/>
        <w:jc w:val="both"/>
        <w:rPr>
          <w:rFonts w:ascii="Times New Roman" w:eastAsia="Times New Roman" w:hAnsi="Times New Roman" w:cs="Times New Roman"/>
          <w:sz w:val="24"/>
          <w:szCs w:val="24"/>
          <w:lang w:eastAsia="en-IN"/>
        </w:rPr>
      </w:pPr>
      <w:r w:rsidRPr="00B1270C">
        <w:rPr>
          <w:rFonts w:ascii="Times New Roman" w:eastAsia="Times New Roman" w:hAnsi="Times New Roman" w:cs="Times New Roman"/>
          <w:sz w:val="24"/>
          <w:szCs w:val="24"/>
          <w:lang w:eastAsia="en-IN"/>
        </w:rPr>
        <w:t>From a management perspective, this study highlights the urgent need for integrated estuarine governance that recognizes hydrography as a foundational ecological driver. Priority actions include establishing long-term hydrographic monitoring programs, protecting key nursery habitats within mesohaline and shallow intertidal zones, and aligning fisheries regulations with seasonal recruitment dynamics. Basin-scale coordination to maintain ecological flows, coupled with participatory management involving local fishers, will be essential to enhance resilience under changing environmental conditions.</w:t>
      </w:r>
    </w:p>
    <w:p w14:paraId="0CAF25A5" w14:textId="77777777" w:rsidR="00B1270C" w:rsidRDefault="00B1270C" w:rsidP="00B1270C">
      <w:pPr>
        <w:spacing w:after="0" w:line="360" w:lineRule="auto"/>
        <w:jc w:val="both"/>
        <w:rPr>
          <w:rFonts w:ascii="Times New Roman" w:eastAsia="Times New Roman" w:hAnsi="Times New Roman" w:cs="Times New Roman"/>
          <w:sz w:val="24"/>
          <w:szCs w:val="24"/>
          <w:lang w:eastAsia="en-IN"/>
        </w:rPr>
      </w:pPr>
      <w:r w:rsidRPr="00B1270C">
        <w:rPr>
          <w:rFonts w:ascii="Times New Roman" w:eastAsia="Times New Roman" w:hAnsi="Times New Roman" w:cs="Times New Roman"/>
          <w:sz w:val="24"/>
          <w:szCs w:val="24"/>
          <w:lang w:eastAsia="en-IN"/>
        </w:rPr>
        <w:t xml:space="preserve">Overall, the </w:t>
      </w:r>
      <w:proofErr w:type="spellStart"/>
      <w:r w:rsidRPr="00B1270C">
        <w:rPr>
          <w:rFonts w:ascii="Times New Roman" w:eastAsia="Times New Roman" w:hAnsi="Times New Roman" w:cs="Times New Roman"/>
          <w:sz w:val="24"/>
          <w:szCs w:val="24"/>
          <w:lang w:eastAsia="en-IN"/>
        </w:rPr>
        <w:t>Vamsadhara</w:t>
      </w:r>
      <w:proofErr w:type="spellEnd"/>
      <w:r w:rsidRPr="00B1270C">
        <w:rPr>
          <w:rFonts w:ascii="Times New Roman" w:eastAsia="Times New Roman" w:hAnsi="Times New Roman" w:cs="Times New Roman"/>
          <w:sz w:val="24"/>
          <w:szCs w:val="24"/>
          <w:lang w:eastAsia="en-IN"/>
        </w:rPr>
        <w:t xml:space="preserve"> estuary exemplifies how medium-sized tropical estuaries sustain biodiversity and livelihoods through finely balanced hydrographic processes. Preserving this balance through science-based, adaptive management will be critical for ensuring the long-term sustainability of ichthyofaunal resources and coastal fisheries in the region.</w:t>
      </w:r>
    </w:p>
    <w:p w14:paraId="1DC03CD2" w14:textId="77777777" w:rsidR="00A5092D" w:rsidRDefault="00A5092D" w:rsidP="00B1270C">
      <w:pPr>
        <w:spacing w:after="0" w:line="360" w:lineRule="auto"/>
        <w:jc w:val="both"/>
        <w:rPr>
          <w:rFonts w:ascii="Times New Roman" w:eastAsia="Times New Roman" w:hAnsi="Times New Roman" w:cs="Times New Roman"/>
          <w:sz w:val="24"/>
          <w:szCs w:val="24"/>
          <w:lang w:eastAsia="en-IN"/>
        </w:rPr>
      </w:pPr>
    </w:p>
    <w:p w14:paraId="4DE2674E" w14:textId="77777777" w:rsidR="00A5092D" w:rsidRDefault="00A5092D" w:rsidP="00B1270C">
      <w:pPr>
        <w:spacing w:after="0" w:line="360" w:lineRule="auto"/>
        <w:jc w:val="both"/>
        <w:rPr>
          <w:rFonts w:ascii="Times New Roman" w:eastAsia="Times New Roman" w:hAnsi="Times New Roman" w:cs="Times New Roman"/>
          <w:sz w:val="24"/>
          <w:szCs w:val="24"/>
          <w:lang w:eastAsia="en-IN"/>
        </w:rPr>
      </w:pPr>
    </w:p>
    <w:p w14:paraId="2681A379" w14:textId="77777777" w:rsidR="00A5092D" w:rsidRPr="00A5092D" w:rsidRDefault="00A5092D" w:rsidP="00A5092D">
      <w:pPr>
        <w:spacing w:after="0" w:line="240" w:lineRule="auto"/>
        <w:rPr>
          <w:rFonts w:ascii="Arial" w:eastAsia="Calibri" w:hAnsi="Arial" w:cs="Arial"/>
          <w:b/>
          <w:sz w:val="20"/>
          <w:szCs w:val="20"/>
          <w:lang w:val="en-US"/>
        </w:rPr>
      </w:pPr>
      <w:r w:rsidRPr="00A5092D">
        <w:rPr>
          <w:rFonts w:ascii="Arial" w:eastAsia="Calibri" w:hAnsi="Arial" w:cs="Arial"/>
          <w:b/>
          <w:sz w:val="20"/>
          <w:szCs w:val="20"/>
          <w:lang w:val="en-US"/>
        </w:rPr>
        <w:lastRenderedPageBreak/>
        <w:t>Declaration of AI Use</w:t>
      </w:r>
    </w:p>
    <w:p w14:paraId="56692B61" w14:textId="77777777" w:rsidR="00A5092D" w:rsidRPr="00A5092D" w:rsidRDefault="00A5092D" w:rsidP="00A5092D">
      <w:pPr>
        <w:spacing w:after="0" w:line="240" w:lineRule="auto"/>
        <w:rPr>
          <w:rFonts w:ascii="Arial" w:eastAsia="Calibri" w:hAnsi="Arial" w:cs="Arial"/>
          <w:sz w:val="20"/>
          <w:szCs w:val="20"/>
          <w:lang w:val="en-US"/>
        </w:rPr>
      </w:pPr>
    </w:p>
    <w:p w14:paraId="1BB1FA96" w14:textId="77777777" w:rsidR="00A5092D" w:rsidRPr="00A5092D" w:rsidRDefault="00A5092D" w:rsidP="00A5092D">
      <w:pPr>
        <w:spacing w:after="0" w:line="240" w:lineRule="auto"/>
        <w:rPr>
          <w:rFonts w:ascii="Arial" w:eastAsia="Calibri" w:hAnsi="Arial" w:cs="Arial"/>
          <w:sz w:val="20"/>
          <w:szCs w:val="20"/>
          <w:lang w:val="en-US"/>
        </w:rPr>
      </w:pPr>
      <w:r w:rsidRPr="00A5092D">
        <w:rPr>
          <w:rFonts w:ascii="Arial" w:eastAsia="Calibri" w:hAnsi="Arial" w:cs="Arial"/>
          <w:sz w:val="20"/>
          <w:szCs w:val="20"/>
          <w:lang w:val="en-US"/>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15E717DF" w14:textId="77777777" w:rsidR="00A5092D" w:rsidRPr="00A5092D" w:rsidRDefault="00A5092D" w:rsidP="00A5092D">
      <w:pPr>
        <w:spacing w:after="0" w:line="240" w:lineRule="auto"/>
        <w:jc w:val="both"/>
        <w:rPr>
          <w:rFonts w:ascii="Times New Roman" w:eastAsia="Calibri" w:hAnsi="Times New Roman" w:cs="Times New Roman"/>
          <w:lang w:val="en-US"/>
        </w:rPr>
      </w:pPr>
    </w:p>
    <w:p w14:paraId="5D8B9582" w14:textId="77777777" w:rsidR="00A5092D" w:rsidRPr="00A5092D" w:rsidRDefault="00A5092D" w:rsidP="00A5092D">
      <w:pPr>
        <w:spacing w:after="0" w:line="240" w:lineRule="auto"/>
        <w:jc w:val="both"/>
        <w:rPr>
          <w:rFonts w:ascii="Times New Roman" w:eastAsia="Calibri" w:hAnsi="Times New Roman" w:cs="Times New Roman"/>
          <w:lang w:val="en-US"/>
        </w:rPr>
      </w:pPr>
    </w:p>
    <w:p w14:paraId="4EF391B7" w14:textId="77777777" w:rsidR="00A5092D" w:rsidRPr="00A5092D" w:rsidRDefault="00A5092D" w:rsidP="00A5092D">
      <w:pPr>
        <w:spacing w:after="200" w:line="276" w:lineRule="auto"/>
        <w:rPr>
          <w:rFonts w:ascii="Cambria" w:eastAsia="Times New Roman" w:hAnsi="Cambria" w:cs="Arial"/>
          <w:b/>
          <w:bCs/>
          <w:lang w:val="en-GB" w:eastAsia="en-GB"/>
        </w:rPr>
      </w:pPr>
      <w:r w:rsidRPr="00A5092D">
        <w:rPr>
          <w:rFonts w:ascii="Cambria" w:eastAsia="Times New Roman" w:hAnsi="Cambria" w:cs="Arial"/>
          <w:b/>
          <w:bCs/>
          <w:lang w:val="en-GB" w:eastAsia="en-GB"/>
        </w:rPr>
        <w:t>COMPETING INTERESTS DISCLAIMER:</w:t>
      </w:r>
    </w:p>
    <w:p w14:paraId="7129EC20" w14:textId="77777777" w:rsidR="00A5092D" w:rsidRPr="00A5092D" w:rsidRDefault="00A5092D" w:rsidP="00A5092D">
      <w:pPr>
        <w:spacing w:after="200" w:line="276" w:lineRule="auto"/>
        <w:rPr>
          <w:rFonts w:ascii="Cambria" w:eastAsia="Times New Roman" w:hAnsi="Cambria" w:cs="Times New Roman"/>
          <w:lang w:val="en-GB" w:eastAsia="en-GB"/>
        </w:rPr>
      </w:pPr>
      <w:r w:rsidRPr="00A5092D">
        <w:rPr>
          <w:rFonts w:ascii="Cambria" w:eastAsia="Times New Roman" w:hAnsi="Cambria" w:cs="Arial"/>
          <w:lang w:val="en-GB" w:eastAsia="en-GB"/>
        </w:rPr>
        <w:t>Authors have declared that they have no known competing financial interests OR non-financial interests OR personal relationships that could have appeared to influence the work reported in this paper.</w:t>
      </w:r>
    </w:p>
    <w:p w14:paraId="036E97C8" w14:textId="77777777" w:rsidR="00174FEE" w:rsidRDefault="00B1270C" w:rsidP="00B1270C">
      <w:pPr>
        <w:pStyle w:val="Heading3"/>
        <w:spacing w:before="0" w:beforeAutospacing="0" w:after="120" w:afterAutospacing="0"/>
        <w:jc w:val="both"/>
        <w:rPr>
          <w:sz w:val="24"/>
          <w:szCs w:val="24"/>
        </w:rPr>
      </w:pPr>
      <w:r>
        <w:rPr>
          <w:sz w:val="24"/>
          <w:szCs w:val="24"/>
        </w:rPr>
        <w:t>7</w:t>
      </w:r>
      <w:r w:rsidR="00174FEE" w:rsidRPr="006C6040">
        <w:rPr>
          <w:b w:val="0"/>
          <w:sz w:val="24"/>
          <w:szCs w:val="24"/>
        </w:rPr>
        <w:t>.</w:t>
      </w:r>
      <w:r w:rsidR="00174FEE" w:rsidRPr="00D4519B">
        <w:rPr>
          <w:sz w:val="24"/>
          <w:szCs w:val="24"/>
        </w:rPr>
        <w:t xml:space="preserve"> REFERENCES</w:t>
      </w:r>
    </w:p>
    <w:p w14:paraId="44C17BE5" w14:textId="77777777" w:rsidR="00227266" w:rsidRPr="00227266" w:rsidRDefault="00227266" w:rsidP="00227266">
      <w:pPr>
        <w:pStyle w:val="NormalWeb"/>
        <w:numPr>
          <w:ilvl w:val="0"/>
          <w:numId w:val="31"/>
        </w:numPr>
        <w:spacing w:before="0" w:beforeAutospacing="0" w:after="120" w:afterAutospacing="0"/>
        <w:ind w:left="714" w:hanging="357"/>
        <w:jc w:val="both"/>
      </w:pPr>
      <w:r w:rsidRPr="00227266">
        <w:rPr>
          <w:rStyle w:val="Strong"/>
          <w:b w:val="0"/>
        </w:rPr>
        <w:t>Able, K. W.</w:t>
      </w:r>
      <w:r w:rsidRPr="00227266">
        <w:t xml:space="preserve"> (2005). A re-examination of fish estuarine dependence: Evidence and consequences. </w:t>
      </w:r>
      <w:r w:rsidRPr="00227266">
        <w:rPr>
          <w:rStyle w:val="Emphasis"/>
        </w:rPr>
        <w:t>Estuarine, Coastal and Shelf Science, 64</w:t>
      </w:r>
      <w:r w:rsidRPr="00227266">
        <w:t xml:space="preserve">(1), 5–17. </w:t>
      </w:r>
    </w:p>
    <w:p w14:paraId="4DBAC86C" w14:textId="77777777" w:rsidR="00227266" w:rsidRPr="00227266" w:rsidRDefault="00227266" w:rsidP="00227266">
      <w:pPr>
        <w:pStyle w:val="NormalWeb"/>
        <w:numPr>
          <w:ilvl w:val="0"/>
          <w:numId w:val="31"/>
        </w:numPr>
        <w:spacing w:before="0" w:beforeAutospacing="0" w:after="120" w:afterAutospacing="0"/>
        <w:ind w:left="714" w:hanging="357"/>
        <w:jc w:val="both"/>
      </w:pPr>
      <w:r w:rsidRPr="00227266">
        <w:rPr>
          <w:rStyle w:val="Strong"/>
          <w:b w:val="0"/>
        </w:rPr>
        <w:t>Andhra Pradesh Space Applications Centre (APSAC).</w:t>
      </w:r>
      <w:r w:rsidRPr="00227266">
        <w:t xml:space="preserve"> (2025). </w:t>
      </w:r>
      <w:r w:rsidRPr="00227266">
        <w:rPr>
          <w:rStyle w:val="Emphasis"/>
        </w:rPr>
        <w:t>District survey report: Coastal and estuarine resources of Srikakulam district</w:t>
      </w:r>
      <w:r w:rsidRPr="00227266">
        <w:t>. Government of Andhra Pradesh.</w:t>
      </w:r>
    </w:p>
    <w:p w14:paraId="11A7B4F9" w14:textId="77777777" w:rsidR="00227266" w:rsidRPr="00227266" w:rsidRDefault="00227266" w:rsidP="00227266">
      <w:pPr>
        <w:pStyle w:val="NormalWeb"/>
        <w:numPr>
          <w:ilvl w:val="0"/>
          <w:numId w:val="31"/>
        </w:numPr>
        <w:spacing w:before="0" w:beforeAutospacing="0" w:after="120" w:afterAutospacing="0"/>
        <w:ind w:left="714" w:hanging="357"/>
        <w:jc w:val="both"/>
      </w:pPr>
      <w:r w:rsidRPr="00227266">
        <w:rPr>
          <w:rStyle w:val="Strong"/>
          <w:b w:val="0"/>
        </w:rPr>
        <w:t xml:space="preserve">Barletta, M., </w:t>
      </w:r>
      <w:proofErr w:type="spellStart"/>
      <w:r w:rsidRPr="00227266">
        <w:rPr>
          <w:rStyle w:val="Strong"/>
          <w:b w:val="0"/>
        </w:rPr>
        <w:t>Jaureguizar</w:t>
      </w:r>
      <w:proofErr w:type="spellEnd"/>
      <w:r w:rsidRPr="00227266">
        <w:rPr>
          <w:rStyle w:val="Strong"/>
          <w:b w:val="0"/>
        </w:rPr>
        <w:t xml:space="preserve">, A. J., </w:t>
      </w:r>
      <w:proofErr w:type="spellStart"/>
      <w:r w:rsidRPr="00227266">
        <w:rPr>
          <w:rStyle w:val="Strong"/>
          <w:b w:val="0"/>
        </w:rPr>
        <w:t>Baigún</w:t>
      </w:r>
      <w:proofErr w:type="spellEnd"/>
      <w:r w:rsidRPr="00227266">
        <w:rPr>
          <w:rStyle w:val="Strong"/>
          <w:b w:val="0"/>
        </w:rPr>
        <w:t xml:space="preserve">, C., Fontoura, N. F., Agostinho, A. A., Almeida-Val, V. M. F., Val, A. L., Torres, R. A., Jimenes-Segura, L. F., Giarrizzo, T., </w:t>
      </w:r>
      <w:proofErr w:type="spellStart"/>
      <w:r w:rsidRPr="00227266">
        <w:rPr>
          <w:rStyle w:val="Strong"/>
          <w:b w:val="0"/>
        </w:rPr>
        <w:t>Fabré</w:t>
      </w:r>
      <w:proofErr w:type="spellEnd"/>
      <w:r w:rsidRPr="00227266">
        <w:rPr>
          <w:rStyle w:val="Strong"/>
          <w:b w:val="0"/>
        </w:rPr>
        <w:t>, N. N., Batista, V. S., Lasso, C., Taphorn, D. C., Costa, M. F., Chaves, P. T., Vieira, J. P., &amp; Corrêa, M. F. M.</w:t>
      </w:r>
      <w:r w:rsidRPr="00227266">
        <w:t xml:space="preserve"> (2010). Fish and aquatic habitat conservation in South American rivers and estuaries. </w:t>
      </w:r>
      <w:r w:rsidRPr="00227266">
        <w:rPr>
          <w:rStyle w:val="Emphasis"/>
        </w:rPr>
        <w:t>Aquatic Conservation: Marine and Freshwater Ecosystems, 20</w:t>
      </w:r>
      <w:r w:rsidRPr="00227266">
        <w:t xml:space="preserve">(5), 522–536. </w:t>
      </w:r>
    </w:p>
    <w:p w14:paraId="69D670D9" w14:textId="77777777" w:rsidR="00227266" w:rsidRPr="00227266" w:rsidRDefault="00227266" w:rsidP="00227266">
      <w:pPr>
        <w:pStyle w:val="NormalWeb"/>
        <w:numPr>
          <w:ilvl w:val="0"/>
          <w:numId w:val="31"/>
        </w:numPr>
        <w:spacing w:before="0" w:beforeAutospacing="0" w:after="120" w:afterAutospacing="0"/>
        <w:ind w:left="714" w:hanging="357"/>
        <w:jc w:val="both"/>
      </w:pPr>
      <w:r w:rsidRPr="00227266">
        <w:rPr>
          <w:rStyle w:val="Strong"/>
          <w:b w:val="0"/>
        </w:rPr>
        <w:t xml:space="preserve">Beck, M. W., Heck, K. L., Able, K. W., Childers, D. L., Eggleston, D. B., Gillanders, B. M., Halpern, B., Hays, C. G., Hoshino, K., </w:t>
      </w:r>
      <w:proofErr w:type="spellStart"/>
      <w:r w:rsidRPr="00227266">
        <w:rPr>
          <w:rStyle w:val="Strong"/>
          <w:b w:val="0"/>
        </w:rPr>
        <w:t>Minello</w:t>
      </w:r>
      <w:proofErr w:type="spellEnd"/>
      <w:r w:rsidRPr="00227266">
        <w:rPr>
          <w:rStyle w:val="Strong"/>
          <w:b w:val="0"/>
        </w:rPr>
        <w:t>, T. J., Orth, R. J., Sheridan, P. F., &amp; Weinstein, M. P.</w:t>
      </w:r>
      <w:r w:rsidRPr="00227266">
        <w:t xml:space="preserve"> (2001). The identification, conservation, and management of estuarine and marine nurseries for fish and invertebrates. </w:t>
      </w:r>
      <w:proofErr w:type="spellStart"/>
      <w:r w:rsidRPr="00227266">
        <w:rPr>
          <w:rStyle w:val="Emphasis"/>
        </w:rPr>
        <w:t>BioScience</w:t>
      </w:r>
      <w:proofErr w:type="spellEnd"/>
      <w:r w:rsidRPr="00227266">
        <w:rPr>
          <w:rStyle w:val="Emphasis"/>
        </w:rPr>
        <w:t>, 51</w:t>
      </w:r>
      <w:r w:rsidRPr="00227266">
        <w:t xml:space="preserve">(8), 633–641. </w:t>
      </w:r>
    </w:p>
    <w:p w14:paraId="62B41E1B" w14:textId="77777777" w:rsidR="00227266" w:rsidRPr="00227266" w:rsidRDefault="00227266" w:rsidP="00227266">
      <w:pPr>
        <w:pStyle w:val="NormalWeb"/>
        <w:numPr>
          <w:ilvl w:val="0"/>
          <w:numId w:val="31"/>
        </w:numPr>
        <w:spacing w:before="0" w:beforeAutospacing="0" w:after="120" w:afterAutospacing="0"/>
        <w:ind w:left="714" w:hanging="357"/>
        <w:jc w:val="both"/>
      </w:pPr>
      <w:r w:rsidRPr="00227266">
        <w:rPr>
          <w:rStyle w:val="Strong"/>
          <w:b w:val="0"/>
        </w:rPr>
        <w:t>Blaber, S. J. M.</w:t>
      </w:r>
      <w:r w:rsidRPr="00227266">
        <w:t xml:space="preserve"> (2000). </w:t>
      </w:r>
      <w:r w:rsidRPr="00227266">
        <w:rPr>
          <w:rStyle w:val="Emphasis"/>
        </w:rPr>
        <w:t>Tropical estuarine fishes: Ecology, exploitation and conservation</w:t>
      </w:r>
      <w:r w:rsidRPr="00227266">
        <w:t>. Blackwell Science.</w:t>
      </w:r>
    </w:p>
    <w:p w14:paraId="32F3D384" w14:textId="77777777" w:rsidR="00227266" w:rsidRPr="00227266" w:rsidRDefault="00227266" w:rsidP="00227266">
      <w:pPr>
        <w:pStyle w:val="NormalWeb"/>
        <w:numPr>
          <w:ilvl w:val="0"/>
          <w:numId w:val="31"/>
        </w:numPr>
        <w:spacing w:before="0" w:beforeAutospacing="0" w:after="120" w:afterAutospacing="0"/>
        <w:ind w:left="714" w:hanging="357"/>
        <w:jc w:val="both"/>
      </w:pPr>
      <w:r w:rsidRPr="00227266">
        <w:rPr>
          <w:rStyle w:val="Strong"/>
          <w:b w:val="0"/>
        </w:rPr>
        <w:t>Central Marine Fisheries Research Institute (CMFRI).</w:t>
      </w:r>
      <w:r w:rsidRPr="00227266">
        <w:t xml:space="preserve"> (2024). </w:t>
      </w:r>
      <w:r w:rsidRPr="00227266">
        <w:rPr>
          <w:rStyle w:val="Emphasis"/>
        </w:rPr>
        <w:t>Marine fish landings in India 2023–2024</w:t>
      </w:r>
      <w:r w:rsidRPr="00227266">
        <w:t>. ICAR–CMFRI Annual Report.</w:t>
      </w:r>
    </w:p>
    <w:p w14:paraId="4F064366" w14:textId="77777777" w:rsidR="00227266" w:rsidRPr="00227266" w:rsidRDefault="00227266" w:rsidP="00227266">
      <w:pPr>
        <w:pStyle w:val="NormalWeb"/>
        <w:numPr>
          <w:ilvl w:val="0"/>
          <w:numId w:val="31"/>
        </w:numPr>
        <w:spacing w:before="0" w:beforeAutospacing="0" w:after="120" w:afterAutospacing="0"/>
        <w:ind w:left="714" w:hanging="357"/>
        <w:jc w:val="both"/>
      </w:pPr>
      <w:r w:rsidRPr="00227266">
        <w:rPr>
          <w:rStyle w:val="Strong"/>
          <w:b w:val="0"/>
        </w:rPr>
        <w:t>Central Water Commission (CWC).</w:t>
      </w:r>
      <w:r w:rsidRPr="00227266">
        <w:t xml:space="preserve"> (2024). </w:t>
      </w:r>
      <w:r w:rsidRPr="00227266">
        <w:rPr>
          <w:rStyle w:val="Emphasis"/>
        </w:rPr>
        <w:t xml:space="preserve">Hydrological data report: </w:t>
      </w:r>
      <w:proofErr w:type="spellStart"/>
      <w:r w:rsidRPr="00227266">
        <w:rPr>
          <w:rStyle w:val="Emphasis"/>
        </w:rPr>
        <w:t>Vamsadhara</w:t>
      </w:r>
      <w:proofErr w:type="spellEnd"/>
      <w:r w:rsidRPr="00227266">
        <w:rPr>
          <w:rStyle w:val="Emphasis"/>
        </w:rPr>
        <w:t xml:space="preserve"> river basin discharge statistics</w:t>
      </w:r>
      <w:r w:rsidRPr="00227266">
        <w:t>. Ministry of Jal Shakti, Government of India.</w:t>
      </w:r>
    </w:p>
    <w:p w14:paraId="3E546EBB" w14:textId="77777777" w:rsidR="00227266" w:rsidRPr="00227266" w:rsidRDefault="00227266" w:rsidP="00227266">
      <w:pPr>
        <w:pStyle w:val="NormalWeb"/>
        <w:numPr>
          <w:ilvl w:val="0"/>
          <w:numId w:val="31"/>
        </w:numPr>
        <w:spacing w:before="0" w:beforeAutospacing="0" w:after="120" w:afterAutospacing="0"/>
        <w:ind w:left="714" w:hanging="357"/>
        <w:jc w:val="both"/>
      </w:pPr>
      <w:r w:rsidRPr="00227266">
        <w:rPr>
          <w:rStyle w:val="Strong"/>
          <w:b w:val="0"/>
        </w:rPr>
        <w:t>Day, J. W., Crump, B. C., Kemp, W. M., &amp; Yáñez-Arancibia, A.</w:t>
      </w:r>
      <w:r w:rsidRPr="00227266">
        <w:t xml:space="preserve"> (2012). </w:t>
      </w:r>
      <w:r w:rsidRPr="00227266">
        <w:rPr>
          <w:rStyle w:val="Emphasis"/>
        </w:rPr>
        <w:t>Estuarine ecology</w:t>
      </w:r>
      <w:r w:rsidRPr="00227266">
        <w:t xml:space="preserve"> (2nd ed.). Wiley-Blackwell.</w:t>
      </w:r>
    </w:p>
    <w:p w14:paraId="4828CB22" w14:textId="77777777" w:rsidR="00227266" w:rsidRPr="00227266" w:rsidRDefault="00227266" w:rsidP="00227266">
      <w:pPr>
        <w:pStyle w:val="NormalWeb"/>
        <w:numPr>
          <w:ilvl w:val="0"/>
          <w:numId w:val="31"/>
        </w:numPr>
        <w:spacing w:before="0" w:beforeAutospacing="0" w:after="120" w:afterAutospacing="0"/>
        <w:ind w:left="714" w:hanging="357"/>
        <w:jc w:val="both"/>
      </w:pPr>
      <w:r w:rsidRPr="00227266">
        <w:rPr>
          <w:rStyle w:val="Strong"/>
          <w:b w:val="0"/>
        </w:rPr>
        <w:t>Dixit, Y., Sharma, R., Singh, V., &amp; Mukherjee, A.</w:t>
      </w:r>
      <w:r w:rsidRPr="00227266">
        <w:t xml:space="preserve"> (2024). Monsoon-driven salinity variability and its implications for coastal estuarine ecosystems in the Bay of Bengal. </w:t>
      </w:r>
      <w:r w:rsidRPr="00227266">
        <w:rPr>
          <w:rStyle w:val="Emphasis"/>
        </w:rPr>
        <w:t>Estuarine, Coastal and Shelf Science, 292</w:t>
      </w:r>
      <w:r w:rsidRPr="00227266">
        <w:t xml:space="preserve">, 108408. </w:t>
      </w:r>
    </w:p>
    <w:p w14:paraId="6005B0F7" w14:textId="77777777" w:rsidR="00227266" w:rsidRPr="00227266" w:rsidRDefault="00227266" w:rsidP="00227266">
      <w:pPr>
        <w:pStyle w:val="NormalWeb"/>
        <w:numPr>
          <w:ilvl w:val="0"/>
          <w:numId w:val="31"/>
        </w:numPr>
        <w:spacing w:before="0" w:beforeAutospacing="0" w:after="120" w:afterAutospacing="0"/>
        <w:ind w:left="714" w:hanging="357"/>
        <w:jc w:val="both"/>
      </w:pPr>
      <w:r w:rsidRPr="00227266">
        <w:rPr>
          <w:rStyle w:val="Strong"/>
          <w:b w:val="0"/>
        </w:rPr>
        <w:t>Elliott, M., &amp; Whitfield, A. K.</w:t>
      </w:r>
      <w:r w:rsidRPr="00227266">
        <w:t xml:space="preserve"> (2011). Challenging paradigms in estuarine ecology and management. </w:t>
      </w:r>
      <w:r w:rsidRPr="00227266">
        <w:rPr>
          <w:rStyle w:val="Emphasis"/>
        </w:rPr>
        <w:t>Estuarine, Coastal and Shelf Science, 94</w:t>
      </w:r>
      <w:r w:rsidRPr="00227266">
        <w:t xml:space="preserve">(4), 306–314. </w:t>
      </w:r>
    </w:p>
    <w:p w14:paraId="5562D6DC" w14:textId="77777777" w:rsidR="00227266" w:rsidRPr="00227266" w:rsidRDefault="00227266" w:rsidP="00227266">
      <w:pPr>
        <w:pStyle w:val="NormalWeb"/>
        <w:numPr>
          <w:ilvl w:val="0"/>
          <w:numId w:val="31"/>
        </w:numPr>
        <w:spacing w:before="0" w:beforeAutospacing="0" w:after="120" w:afterAutospacing="0"/>
        <w:ind w:left="714" w:hanging="357"/>
        <w:jc w:val="both"/>
      </w:pPr>
      <w:r w:rsidRPr="00227266">
        <w:rPr>
          <w:rStyle w:val="Strong"/>
          <w:b w:val="0"/>
        </w:rPr>
        <w:t>Food and Agriculture Organization of the United Nations (FAO).</w:t>
      </w:r>
      <w:r w:rsidRPr="00227266">
        <w:t xml:space="preserve"> (2003). </w:t>
      </w:r>
      <w:r w:rsidRPr="00227266">
        <w:rPr>
          <w:rStyle w:val="Emphasis"/>
        </w:rPr>
        <w:t>Fisheries management in the Bay of Bengal region</w:t>
      </w:r>
      <w:r w:rsidRPr="00227266">
        <w:t>. FAO Fisheries Technical Paper No. 450.</w:t>
      </w:r>
    </w:p>
    <w:p w14:paraId="4BD99BAD" w14:textId="77777777" w:rsidR="00227266" w:rsidRPr="00227266" w:rsidRDefault="00227266" w:rsidP="00227266">
      <w:pPr>
        <w:pStyle w:val="NormalWeb"/>
        <w:numPr>
          <w:ilvl w:val="0"/>
          <w:numId w:val="31"/>
        </w:numPr>
        <w:spacing w:before="0" w:beforeAutospacing="0" w:after="120" w:afterAutospacing="0"/>
        <w:ind w:left="714" w:hanging="357"/>
        <w:jc w:val="both"/>
      </w:pPr>
      <w:r w:rsidRPr="00227266">
        <w:rPr>
          <w:rStyle w:val="Strong"/>
          <w:b w:val="0"/>
        </w:rPr>
        <w:lastRenderedPageBreak/>
        <w:t>Food and Agriculture Organization of the United Nations (FAO).</w:t>
      </w:r>
      <w:r w:rsidRPr="00227266">
        <w:t xml:space="preserve"> (2022). </w:t>
      </w:r>
      <w:r w:rsidRPr="00227266">
        <w:rPr>
          <w:rStyle w:val="Emphasis"/>
        </w:rPr>
        <w:t>The state of world fisheries and aquaculture 2022: Towards blue transformation</w:t>
      </w:r>
      <w:r w:rsidRPr="00227266">
        <w:t>. FAO.</w:t>
      </w:r>
    </w:p>
    <w:p w14:paraId="763608F2" w14:textId="77777777" w:rsidR="00227266" w:rsidRPr="00227266" w:rsidRDefault="00227266" w:rsidP="00227266">
      <w:pPr>
        <w:pStyle w:val="NormalWeb"/>
        <w:numPr>
          <w:ilvl w:val="0"/>
          <w:numId w:val="31"/>
        </w:numPr>
        <w:spacing w:before="0" w:beforeAutospacing="0" w:after="120" w:afterAutospacing="0"/>
        <w:ind w:left="714" w:hanging="357"/>
        <w:jc w:val="both"/>
      </w:pPr>
      <w:r w:rsidRPr="00227266">
        <w:rPr>
          <w:rStyle w:val="Strong"/>
          <w:b w:val="0"/>
        </w:rPr>
        <w:t xml:space="preserve">Gillanders, B. M., Elsdon, T. S., Halliday, I. A., Jenkins, G. P., Robins, J. B., &amp; </w:t>
      </w:r>
      <w:proofErr w:type="spellStart"/>
      <w:r w:rsidRPr="00227266">
        <w:rPr>
          <w:rStyle w:val="Strong"/>
          <w:b w:val="0"/>
        </w:rPr>
        <w:t>Valesini</w:t>
      </w:r>
      <w:proofErr w:type="spellEnd"/>
      <w:r w:rsidRPr="00227266">
        <w:rPr>
          <w:rStyle w:val="Strong"/>
          <w:b w:val="0"/>
        </w:rPr>
        <w:t>, F. J.</w:t>
      </w:r>
      <w:r w:rsidRPr="00227266">
        <w:t xml:space="preserve"> (2012). Potential effects of climate change on Australian estuaries and fish utilizing estuaries: A review. </w:t>
      </w:r>
      <w:r w:rsidRPr="00227266">
        <w:rPr>
          <w:rStyle w:val="Emphasis"/>
        </w:rPr>
        <w:t>Marine and Freshwater Research, 62</w:t>
      </w:r>
      <w:r w:rsidRPr="00227266">
        <w:t xml:space="preserve">(9), 1115–1131. </w:t>
      </w:r>
    </w:p>
    <w:p w14:paraId="12022899" w14:textId="77777777" w:rsidR="00227266" w:rsidRPr="00227266" w:rsidRDefault="00227266" w:rsidP="00227266">
      <w:pPr>
        <w:pStyle w:val="NormalWeb"/>
        <w:numPr>
          <w:ilvl w:val="0"/>
          <w:numId w:val="31"/>
        </w:numPr>
        <w:spacing w:before="0" w:beforeAutospacing="0" w:after="120" w:afterAutospacing="0"/>
        <w:ind w:left="714" w:hanging="357"/>
        <w:jc w:val="both"/>
      </w:pPr>
      <w:r w:rsidRPr="00227266">
        <w:rPr>
          <w:rStyle w:val="Strong"/>
          <w:b w:val="0"/>
        </w:rPr>
        <w:t xml:space="preserve">Hossain, M. Y., Rahman, M. M., </w:t>
      </w:r>
      <w:proofErr w:type="spellStart"/>
      <w:r w:rsidRPr="00227266">
        <w:rPr>
          <w:rStyle w:val="Strong"/>
          <w:b w:val="0"/>
        </w:rPr>
        <w:t>Fulanda</w:t>
      </w:r>
      <w:proofErr w:type="spellEnd"/>
      <w:r w:rsidRPr="00227266">
        <w:rPr>
          <w:rStyle w:val="Strong"/>
          <w:b w:val="0"/>
        </w:rPr>
        <w:t xml:space="preserve">, B., Jewel, M. A. S., Ahamed, F., &amp; </w:t>
      </w:r>
      <w:proofErr w:type="spellStart"/>
      <w:r w:rsidRPr="00227266">
        <w:rPr>
          <w:rStyle w:val="Strong"/>
          <w:b w:val="0"/>
        </w:rPr>
        <w:t>Ohtomi</w:t>
      </w:r>
      <w:proofErr w:type="spellEnd"/>
      <w:r w:rsidRPr="00227266">
        <w:rPr>
          <w:rStyle w:val="Strong"/>
          <w:b w:val="0"/>
        </w:rPr>
        <w:t>, J.</w:t>
      </w:r>
      <w:r w:rsidRPr="00227266">
        <w:t xml:space="preserve"> (2013). Effects of environmental variables on fish assemblage structure in the Meghna River estuary, Bangladesh. </w:t>
      </w:r>
      <w:r w:rsidRPr="00227266">
        <w:rPr>
          <w:rStyle w:val="Emphasis"/>
        </w:rPr>
        <w:t>Journal of Applied Ichthyology, 29</w:t>
      </w:r>
      <w:r w:rsidRPr="00227266">
        <w:t xml:space="preserve">(3), 637–644. </w:t>
      </w:r>
    </w:p>
    <w:p w14:paraId="77DC32A5" w14:textId="77777777" w:rsidR="00227266" w:rsidRPr="00227266" w:rsidRDefault="00227266" w:rsidP="00227266">
      <w:pPr>
        <w:pStyle w:val="NormalWeb"/>
        <w:numPr>
          <w:ilvl w:val="0"/>
          <w:numId w:val="31"/>
        </w:numPr>
        <w:spacing w:before="0" w:beforeAutospacing="0" w:after="120" w:afterAutospacing="0"/>
        <w:ind w:left="714" w:hanging="357"/>
        <w:jc w:val="both"/>
      </w:pPr>
      <w:r w:rsidRPr="00227266">
        <w:rPr>
          <w:rStyle w:val="Strong"/>
          <w:b w:val="0"/>
        </w:rPr>
        <w:t>Intergovernmental Panel on Climate Change (IPCC).</w:t>
      </w:r>
      <w:r w:rsidRPr="00227266">
        <w:t xml:space="preserve"> (2023). </w:t>
      </w:r>
      <w:r w:rsidRPr="00227266">
        <w:rPr>
          <w:rStyle w:val="Emphasis"/>
        </w:rPr>
        <w:t>Climate change 2022: Impacts, adaptation and vulnerability (AR6 Working Group II Report).</w:t>
      </w:r>
      <w:r w:rsidRPr="00227266">
        <w:t xml:space="preserve"> Cambridge University Press.</w:t>
      </w:r>
    </w:p>
    <w:p w14:paraId="558FE591" w14:textId="77777777" w:rsidR="00227266" w:rsidRPr="00227266" w:rsidRDefault="00227266" w:rsidP="00227266">
      <w:pPr>
        <w:pStyle w:val="NormalWeb"/>
        <w:numPr>
          <w:ilvl w:val="0"/>
          <w:numId w:val="31"/>
        </w:numPr>
        <w:spacing w:before="0" w:beforeAutospacing="0" w:after="120" w:afterAutospacing="0"/>
        <w:ind w:left="714" w:hanging="357"/>
        <w:jc w:val="both"/>
      </w:pPr>
      <w:r w:rsidRPr="00227266">
        <w:rPr>
          <w:rStyle w:val="Strong"/>
          <w:b w:val="0"/>
        </w:rPr>
        <w:t>Karri, R., &amp; Rama Rao, K.</w:t>
      </w:r>
      <w:r w:rsidRPr="00227266">
        <w:t xml:space="preserve"> (2023). Ichthyofaunal diversity in the freshwater tidal stretch of the </w:t>
      </w:r>
      <w:proofErr w:type="spellStart"/>
      <w:r w:rsidRPr="00227266">
        <w:t>Kalingapatnam</w:t>
      </w:r>
      <w:proofErr w:type="spellEnd"/>
      <w:r w:rsidRPr="00227266">
        <w:t xml:space="preserve"> estuary, Srikakulam, Andhra Pradesh, India. </w:t>
      </w:r>
      <w:r w:rsidRPr="00227266">
        <w:rPr>
          <w:rStyle w:val="Emphasis"/>
        </w:rPr>
        <w:t>Indian Journal of Advanced Zoology, 44</w:t>
      </w:r>
      <w:r w:rsidRPr="00227266">
        <w:t>(5), 167–178.</w:t>
      </w:r>
    </w:p>
    <w:p w14:paraId="0C66CECF" w14:textId="77777777" w:rsidR="00227266" w:rsidRPr="00227266" w:rsidRDefault="00227266" w:rsidP="00227266">
      <w:pPr>
        <w:pStyle w:val="NormalWeb"/>
        <w:numPr>
          <w:ilvl w:val="0"/>
          <w:numId w:val="31"/>
        </w:numPr>
        <w:spacing w:before="0" w:beforeAutospacing="0" w:after="120" w:afterAutospacing="0"/>
        <w:ind w:left="714" w:hanging="357"/>
        <w:jc w:val="both"/>
      </w:pPr>
      <w:r w:rsidRPr="00227266">
        <w:rPr>
          <w:rStyle w:val="Strong"/>
          <w:b w:val="0"/>
        </w:rPr>
        <w:t>McLusky, D. S., &amp; Elliott, M.</w:t>
      </w:r>
      <w:r w:rsidRPr="00227266">
        <w:t xml:space="preserve"> (2004). </w:t>
      </w:r>
      <w:r w:rsidRPr="00227266">
        <w:rPr>
          <w:rStyle w:val="Emphasis"/>
        </w:rPr>
        <w:t>The estuarine ecosystem: Ecology, threats and management</w:t>
      </w:r>
      <w:r w:rsidRPr="00227266">
        <w:t xml:space="preserve"> (3rd ed.). Oxford University Press.</w:t>
      </w:r>
    </w:p>
    <w:p w14:paraId="5F189A96" w14:textId="77777777" w:rsidR="00227266" w:rsidRPr="00227266" w:rsidRDefault="00227266" w:rsidP="00227266">
      <w:pPr>
        <w:pStyle w:val="NormalWeb"/>
        <w:numPr>
          <w:ilvl w:val="0"/>
          <w:numId w:val="31"/>
        </w:numPr>
        <w:spacing w:before="0" w:beforeAutospacing="0" w:after="120" w:afterAutospacing="0"/>
        <w:ind w:left="714" w:hanging="357"/>
        <w:jc w:val="both"/>
      </w:pPr>
      <w:proofErr w:type="spellStart"/>
      <w:r w:rsidRPr="00227266">
        <w:rPr>
          <w:rStyle w:val="Strong"/>
          <w:b w:val="0"/>
        </w:rPr>
        <w:t>Nagelkerken</w:t>
      </w:r>
      <w:proofErr w:type="spellEnd"/>
      <w:r w:rsidRPr="00227266">
        <w:rPr>
          <w:rStyle w:val="Strong"/>
          <w:b w:val="0"/>
        </w:rPr>
        <w:t>, I., Sheaves, M., Baker, R., &amp; Connolly, R. M.</w:t>
      </w:r>
      <w:r w:rsidRPr="00227266">
        <w:t xml:space="preserve"> (2015). The seascape nursery: A novel spatial approach to identify and manage nurseries for coastal marine fauna. </w:t>
      </w:r>
      <w:r w:rsidRPr="00227266">
        <w:rPr>
          <w:rStyle w:val="Emphasis"/>
        </w:rPr>
        <w:t>Fish and Fisheries, 16</w:t>
      </w:r>
      <w:r w:rsidRPr="00227266">
        <w:t xml:space="preserve">(2), 362–371. </w:t>
      </w:r>
    </w:p>
    <w:p w14:paraId="4DEF5FF5" w14:textId="77777777" w:rsidR="00227266" w:rsidRPr="00227266" w:rsidRDefault="00227266" w:rsidP="00227266">
      <w:pPr>
        <w:pStyle w:val="NormalWeb"/>
        <w:numPr>
          <w:ilvl w:val="0"/>
          <w:numId w:val="31"/>
        </w:numPr>
        <w:spacing w:before="0" w:beforeAutospacing="0" w:after="120" w:afterAutospacing="0"/>
        <w:ind w:left="714" w:hanging="357"/>
        <w:jc w:val="both"/>
      </w:pPr>
      <w:r w:rsidRPr="00227266">
        <w:rPr>
          <w:rStyle w:val="Strong"/>
          <w:b w:val="0"/>
        </w:rPr>
        <w:t>Ravikumar, Y., Kirankumar, P., &amp; Naidu, Y. P.</w:t>
      </w:r>
      <w:r w:rsidRPr="00227266">
        <w:t xml:space="preserve"> (2025). Checklist of fishes from the estuarine waters of River </w:t>
      </w:r>
      <w:proofErr w:type="spellStart"/>
      <w:r w:rsidRPr="00227266">
        <w:t>Vamsadhara</w:t>
      </w:r>
      <w:proofErr w:type="spellEnd"/>
      <w:r w:rsidRPr="00227266">
        <w:t xml:space="preserve"> at </w:t>
      </w:r>
      <w:proofErr w:type="spellStart"/>
      <w:r w:rsidRPr="00227266">
        <w:t>Kalingapatnam</w:t>
      </w:r>
      <w:proofErr w:type="spellEnd"/>
      <w:r w:rsidRPr="00227266">
        <w:t xml:space="preserve"> coast, Srikakulam district, Andhra Pradesh, India. </w:t>
      </w:r>
      <w:r w:rsidRPr="00227266">
        <w:rPr>
          <w:rStyle w:val="Emphasis"/>
        </w:rPr>
        <w:t>AARF Journal of Applied Research, 12</w:t>
      </w:r>
      <w:r w:rsidRPr="00227266">
        <w:t>(4), 45–59.</w:t>
      </w:r>
    </w:p>
    <w:p w14:paraId="73411052" w14:textId="77777777" w:rsidR="00227266" w:rsidRPr="00227266" w:rsidRDefault="00227266" w:rsidP="00227266">
      <w:pPr>
        <w:pStyle w:val="NormalWeb"/>
        <w:numPr>
          <w:ilvl w:val="0"/>
          <w:numId w:val="31"/>
        </w:numPr>
        <w:spacing w:before="0" w:beforeAutospacing="0" w:after="120" w:afterAutospacing="0"/>
        <w:ind w:left="714" w:hanging="357"/>
        <w:jc w:val="both"/>
      </w:pPr>
      <w:r w:rsidRPr="00227266">
        <w:rPr>
          <w:rStyle w:val="Strong"/>
          <w:b w:val="0"/>
        </w:rPr>
        <w:t>Shaha, M.</w:t>
      </w:r>
      <w:r w:rsidRPr="00227266">
        <w:t xml:space="preserve"> (2022). Influence of salinity gradients on fish assemblage patterns in tropical estuarine systems. </w:t>
      </w:r>
      <w:r w:rsidRPr="00227266">
        <w:rPr>
          <w:rStyle w:val="Emphasis"/>
        </w:rPr>
        <w:t>Earth, 2</w:t>
      </w:r>
      <w:r w:rsidRPr="00227266">
        <w:t xml:space="preserve">(3), 315–329. </w:t>
      </w:r>
    </w:p>
    <w:p w14:paraId="221BFD39" w14:textId="77777777" w:rsidR="00227266" w:rsidRPr="00227266" w:rsidRDefault="00227266" w:rsidP="00227266">
      <w:pPr>
        <w:pStyle w:val="NormalWeb"/>
        <w:numPr>
          <w:ilvl w:val="0"/>
          <w:numId w:val="31"/>
        </w:numPr>
        <w:spacing w:before="0" w:beforeAutospacing="0" w:after="120" w:afterAutospacing="0"/>
        <w:ind w:left="714" w:hanging="357"/>
        <w:jc w:val="both"/>
      </w:pPr>
      <w:r w:rsidRPr="00227266">
        <w:rPr>
          <w:rStyle w:val="Strong"/>
          <w:b w:val="0"/>
        </w:rPr>
        <w:t xml:space="preserve">Sheaves, M., Baker, R., </w:t>
      </w:r>
      <w:proofErr w:type="spellStart"/>
      <w:r w:rsidRPr="00227266">
        <w:rPr>
          <w:rStyle w:val="Strong"/>
          <w:b w:val="0"/>
        </w:rPr>
        <w:t>Nagelkerken</w:t>
      </w:r>
      <w:proofErr w:type="spellEnd"/>
      <w:r w:rsidRPr="00227266">
        <w:rPr>
          <w:rStyle w:val="Strong"/>
          <w:b w:val="0"/>
        </w:rPr>
        <w:t>, I., &amp; Connolly, R. M.</w:t>
      </w:r>
      <w:r w:rsidRPr="00227266">
        <w:t xml:space="preserve"> (2015). True value of estuarine and coastal nurseries for fish: Incorporating complexity and dynamics. </w:t>
      </w:r>
      <w:r w:rsidRPr="00227266">
        <w:rPr>
          <w:rStyle w:val="Emphasis"/>
        </w:rPr>
        <w:t>Estuaries and Coasts, 38</w:t>
      </w:r>
      <w:r w:rsidRPr="00227266">
        <w:t xml:space="preserve">(2), 401–414. </w:t>
      </w:r>
    </w:p>
    <w:p w14:paraId="26CE28AF" w14:textId="77777777" w:rsidR="00227266" w:rsidRPr="00227266" w:rsidRDefault="00227266" w:rsidP="00227266">
      <w:pPr>
        <w:pStyle w:val="NormalWeb"/>
        <w:numPr>
          <w:ilvl w:val="0"/>
          <w:numId w:val="31"/>
        </w:numPr>
        <w:spacing w:before="0" w:beforeAutospacing="0" w:after="120" w:afterAutospacing="0"/>
        <w:ind w:left="714" w:hanging="357"/>
        <w:jc w:val="both"/>
      </w:pPr>
      <w:r w:rsidRPr="00227266">
        <w:rPr>
          <w:rStyle w:val="Strong"/>
          <w:b w:val="0"/>
        </w:rPr>
        <w:t>Sreekanth, G. B.</w:t>
      </w:r>
      <w:r w:rsidRPr="00227266">
        <w:t xml:space="preserve"> (2021). Fish diversity and ecological guild structure in selected Indian estuaries. </w:t>
      </w:r>
      <w:r w:rsidRPr="00227266">
        <w:rPr>
          <w:rStyle w:val="Emphasis"/>
        </w:rPr>
        <w:t>Journal of Environmental Biology, 42</w:t>
      </w:r>
      <w:r w:rsidRPr="00227266">
        <w:t>(5), 1152–1165.</w:t>
      </w:r>
    </w:p>
    <w:p w14:paraId="4DFB8529" w14:textId="77777777" w:rsidR="00227266" w:rsidRPr="00227266" w:rsidRDefault="00227266" w:rsidP="00227266">
      <w:pPr>
        <w:pStyle w:val="NormalWeb"/>
        <w:numPr>
          <w:ilvl w:val="0"/>
          <w:numId w:val="31"/>
        </w:numPr>
        <w:spacing w:before="0" w:beforeAutospacing="0" w:after="120" w:afterAutospacing="0"/>
        <w:ind w:left="714" w:hanging="357"/>
        <w:jc w:val="both"/>
      </w:pPr>
      <w:r w:rsidRPr="00227266">
        <w:rPr>
          <w:rStyle w:val="Strong"/>
          <w:b w:val="0"/>
        </w:rPr>
        <w:t>Whitfield, A. K.</w:t>
      </w:r>
      <w:r w:rsidRPr="00227266">
        <w:t xml:space="preserve"> (2017). The role of estuaries in fish life cycles: Implications for conservation and management. </w:t>
      </w:r>
      <w:r w:rsidRPr="00227266">
        <w:rPr>
          <w:rStyle w:val="Emphasis"/>
        </w:rPr>
        <w:t>Ocean &amp; Coastal Management, 134</w:t>
      </w:r>
      <w:r w:rsidRPr="00227266">
        <w:t xml:space="preserve">, 1–12. </w:t>
      </w:r>
    </w:p>
    <w:p w14:paraId="45304997" w14:textId="77777777" w:rsidR="00227266" w:rsidRPr="00227266" w:rsidRDefault="00227266" w:rsidP="00227266">
      <w:pPr>
        <w:pStyle w:val="NormalWeb"/>
        <w:numPr>
          <w:ilvl w:val="0"/>
          <w:numId w:val="31"/>
        </w:numPr>
        <w:spacing w:before="0" w:beforeAutospacing="0" w:after="120" w:afterAutospacing="0"/>
        <w:ind w:left="714" w:hanging="357"/>
        <w:jc w:val="both"/>
      </w:pPr>
      <w:r w:rsidRPr="00227266">
        <w:rPr>
          <w:rStyle w:val="Strong"/>
          <w:b w:val="0"/>
        </w:rPr>
        <w:t>Whitfield, A. K., Elliott, M., Basset, A., Blaber, S. J. M., &amp; West, R. J.</w:t>
      </w:r>
      <w:r w:rsidRPr="00227266">
        <w:t xml:space="preserve"> (2012). Paradigms in estuarine ecology: A review of key concepts and implications for management. </w:t>
      </w:r>
      <w:r w:rsidRPr="00227266">
        <w:rPr>
          <w:rStyle w:val="Emphasis"/>
        </w:rPr>
        <w:t>Marine Ecology Progress Series, 459</w:t>
      </w:r>
      <w:r w:rsidRPr="00227266">
        <w:t xml:space="preserve">, 297–311. </w:t>
      </w:r>
    </w:p>
    <w:p w14:paraId="6883FB92" w14:textId="77777777" w:rsidR="00227266" w:rsidRPr="00227266" w:rsidRDefault="00227266" w:rsidP="00227266">
      <w:pPr>
        <w:pStyle w:val="NormalWeb"/>
        <w:numPr>
          <w:ilvl w:val="0"/>
          <w:numId w:val="31"/>
        </w:numPr>
        <w:spacing w:before="0" w:beforeAutospacing="0" w:after="120" w:afterAutospacing="0"/>
        <w:ind w:left="714" w:hanging="357"/>
        <w:jc w:val="both"/>
      </w:pPr>
      <w:r w:rsidRPr="00227266">
        <w:rPr>
          <w:rStyle w:val="Strong"/>
          <w:b w:val="0"/>
        </w:rPr>
        <w:t>Yáñez-Arancibia, A., Day, J. W., &amp; Lara-Domínguez, A. L.</w:t>
      </w:r>
      <w:r w:rsidRPr="00227266">
        <w:t xml:space="preserve"> (2013). Environmental variability and fishery production in tropical estuaries. </w:t>
      </w:r>
      <w:r w:rsidRPr="00227266">
        <w:rPr>
          <w:rStyle w:val="Emphasis"/>
        </w:rPr>
        <w:t>Environmental Biology of Fishes, 96</w:t>
      </w:r>
      <w:r w:rsidRPr="00227266">
        <w:t xml:space="preserve">(5), 653–666. </w:t>
      </w:r>
    </w:p>
    <w:p w14:paraId="67EBF9A5" w14:textId="77777777" w:rsidR="00926C93" w:rsidRPr="00172AE9" w:rsidRDefault="00926C93" w:rsidP="00926C93">
      <w:pPr>
        <w:pStyle w:val="Heading3"/>
        <w:spacing w:before="0" w:beforeAutospacing="0" w:after="0" w:afterAutospacing="0" w:line="360" w:lineRule="auto"/>
        <w:jc w:val="both"/>
        <w:rPr>
          <w:b w:val="0"/>
          <w:sz w:val="24"/>
          <w:szCs w:val="24"/>
        </w:rPr>
      </w:pPr>
    </w:p>
    <w:sectPr w:rsidR="00926C93" w:rsidRPr="00172AE9" w:rsidSect="004B5D0C">
      <w:headerReference w:type="even" r:id="rId9"/>
      <w:headerReference w:type="default" r:id="rId10"/>
      <w:footerReference w:type="even" r:id="rId11"/>
      <w:footerReference w:type="default" r:id="rId12"/>
      <w:headerReference w:type="first" r:id="rId13"/>
      <w:footerReference w:type="firs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A7D08A" w14:textId="77777777" w:rsidR="007D5FCC" w:rsidRDefault="007D5FCC" w:rsidP="0032120D">
      <w:pPr>
        <w:spacing w:after="0" w:line="240" w:lineRule="auto"/>
      </w:pPr>
      <w:r>
        <w:separator/>
      </w:r>
    </w:p>
  </w:endnote>
  <w:endnote w:type="continuationSeparator" w:id="0">
    <w:p w14:paraId="7D5DB865" w14:textId="77777777" w:rsidR="007D5FCC" w:rsidRDefault="007D5FCC" w:rsidP="003212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BCCBE0" w14:textId="77777777" w:rsidR="0032120D" w:rsidRDefault="0032120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7C06A" w14:textId="77777777" w:rsidR="0032120D" w:rsidRDefault="0032120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127226" w14:textId="77777777" w:rsidR="0032120D" w:rsidRDefault="0032120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E2DD41" w14:textId="77777777" w:rsidR="007D5FCC" w:rsidRDefault="007D5FCC" w:rsidP="0032120D">
      <w:pPr>
        <w:spacing w:after="0" w:line="240" w:lineRule="auto"/>
      </w:pPr>
      <w:r>
        <w:separator/>
      </w:r>
    </w:p>
  </w:footnote>
  <w:footnote w:type="continuationSeparator" w:id="0">
    <w:p w14:paraId="09F11DB4" w14:textId="77777777" w:rsidR="007D5FCC" w:rsidRDefault="007D5FCC" w:rsidP="0032120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4B7360" w14:textId="69F5E829" w:rsidR="0032120D" w:rsidRDefault="0032120D">
    <w:pPr>
      <w:pStyle w:val="Header"/>
    </w:pPr>
    <w:r>
      <w:rPr>
        <w:noProof/>
      </w:rPr>
      <w:pict w14:anchorId="1E66D49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65752922" o:spid="_x0000_s1026" type="#_x0000_t136" style="position:absolute;margin-left:0;margin-top:0;width:535.8pt;height:100.4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4CE750" w14:textId="6F8707FE" w:rsidR="0032120D" w:rsidRDefault="0032120D">
    <w:pPr>
      <w:pStyle w:val="Header"/>
    </w:pPr>
    <w:r>
      <w:rPr>
        <w:noProof/>
      </w:rPr>
      <w:pict w14:anchorId="022C10A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65752923" o:spid="_x0000_s1027" type="#_x0000_t136" style="position:absolute;margin-left:0;margin-top:0;width:535.8pt;height:100.4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E3B37C" w14:textId="46320C90" w:rsidR="0032120D" w:rsidRDefault="0032120D">
    <w:pPr>
      <w:pStyle w:val="Header"/>
    </w:pPr>
    <w:r>
      <w:rPr>
        <w:noProof/>
      </w:rPr>
      <w:pict w14:anchorId="11D57D3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65752921" o:spid="_x0000_s1025" type="#_x0000_t136" style="position:absolute;margin-left:0;margin-top:0;width:535.8pt;height:100.4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11419"/>
    <w:multiLevelType w:val="multilevel"/>
    <w:tmpl w:val="0F800B5C"/>
    <w:lvl w:ilvl="0">
      <w:start w:val="1"/>
      <w:numFmt w:val="bullet"/>
      <w:lvlText w:val=""/>
      <w:lvlJc w:val="left"/>
      <w:pPr>
        <w:tabs>
          <w:tab w:val="num" w:pos="720"/>
        </w:tabs>
        <w:ind w:left="720" w:hanging="360"/>
      </w:pPr>
      <w:rPr>
        <w:rFonts w:ascii="Symbol" w:hAnsi="Symbol" w:hint="default"/>
        <w:sz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9470A1"/>
    <w:multiLevelType w:val="multilevel"/>
    <w:tmpl w:val="8CEA8462"/>
    <w:lvl w:ilvl="0">
      <w:start w:val="1"/>
      <w:numFmt w:val="bullet"/>
      <w:lvlText w:val=""/>
      <w:lvlJc w:val="left"/>
      <w:pPr>
        <w:tabs>
          <w:tab w:val="num" w:pos="720"/>
        </w:tabs>
        <w:ind w:left="720" w:hanging="360"/>
      </w:pPr>
      <w:rPr>
        <w:rFonts w:ascii="Wingdings" w:hAnsi="Wingdings" w:hint="default"/>
        <w:sz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4174C6"/>
    <w:multiLevelType w:val="hybridMultilevel"/>
    <w:tmpl w:val="3AB0E906"/>
    <w:lvl w:ilvl="0" w:tplc="528C48E6">
      <w:start w:val="1"/>
      <w:numFmt w:val="decimal"/>
      <w:lvlText w:val="%1."/>
      <w:lvlJc w:val="left"/>
      <w:pPr>
        <w:ind w:left="244" w:hanging="221"/>
      </w:pPr>
      <w:rPr>
        <w:rFonts w:ascii="Times New Roman" w:eastAsia="Times New Roman" w:hAnsi="Times New Roman" w:cs="Times New Roman" w:hint="default"/>
        <w:b w:val="0"/>
        <w:bCs w:val="0"/>
        <w:i w:val="0"/>
        <w:iCs w:val="0"/>
        <w:spacing w:val="0"/>
        <w:w w:val="100"/>
        <w:sz w:val="22"/>
        <w:szCs w:val="22"/>
        <w:lang w:val="en-US" w:eastAsia="en-US" w:bidi="ar-SA"/>
      </w:rPr>
    </w:lvl>
    <w:lvl w:ilvl="1" w:tplc="15328774">
      <w:numFmt w:val="bullet"/>
      <w:lvlText w:val="•"/>
      <w:lvlJc w:val="left"/>
      <w:pPr>
        <w:ind w:left="1222" w:hanging="221"/>
      </w:pPr>
      <w:rPr>
        <w:rFonts w:hint="default"/>
        <w:lang w:val="en-US" w:eastAsia="en-US" w:bidi="ar-SA"/>
      </w:rPr>
    </w:lvl>
    <w:lvl w:ilvl="2" w:tplc="D06A1FBA">
      <w:numFmt w:val="bullet"/>
      <w:lvlText w:val="•"/>
      <w:lvlJc w:val="left"/>
      <w:pPr>
        <w:ind w:left="2204" w:hanging="221"/>
      </w:pPr>
      <w:rPr>
        <w:rFonts w:hint="default"/>
        <w:lang w:val="en-US" w:eastAsia="en-US" w:bidi="ar-SA"/>
      </w:rPr>
    </w:lvl>
    <w:lvl w:ilvl="3" w:tplc="86F4B3BA">
      <w:numFmt w:val="bullet"/>
      <w:lvlText w:val="•"/>
      <w:lvlJc w:val="left"/>
      <w:pPr>
        <w:ind w:left="3187" w:hanging="221"/>
      </w:pPr>
      <w:rPr>
        <w:rFonts w:hint="default"/>
        <w:lang w:val="en-US" w:eastAsia="en-US" w:bidi="ar-SA"/>
      </w:rPr>
    </w:lvl>
    <w:lvl w:ilvl="4" w:tplc="91A28A6A">
      <w:numFmt w:val="bullet"/>
      <w:lvlText w:val="•"/>
      <w:lvlJc w:val="left"/>
      <w:pPr>
        <w:ind w:left="4169" w:hanging="221"/>
      </w:pPr>
      <w:rPr>
        <w:rFonts w:hint="default"/>
        <w:lang w:val="en-US" w:eastAsia="en-US" w:bidi="ar-SA"/>
      </w:rPr>
    </w:lvl>
    <w:lvl w:ilvl="5" w:tplc="A93AACDA">
      <w:numFmt w:val="bullet"/>
      <w:lvlText w:val="•"/>
      <w:lvlJc w:val="left"/>
      <w:pPr>
        <w:ind w:left="5152" w:hanging="221"/>
      </w:pPr>
      <w:rPr>
        <w:rFonts w:hint="default"/>
        <w:lang w:val="en-US" w:eastAsia="en-US" w:bidi="ar-SA"/>
      </w:rPr>
    </w:lvl>
    <w:lvl w:ilvl="6" w:tplc="92A2D170">
      <w:numFmt w:val="bullet"/>
      <w:lvlText w:val="•"/>
      <w:lvlJc w:val="left"/>
      <w:pPr>
        <w:ind w:left="6134" w:hanging="221"/>
      </w:pPr>
      <w:rPr>
        <w:rFonts w:hint="default"/>
        <w:lang w:val="en-US" w:eastAsia="en-US" w:bidi="ar-SA"/>
      </w:rPr>
    </w:lvl>
    <w:lvl w:ilvl="7" w:tplc="34120DA8">
      <w:numFmt w:val="bullet"/>
      <w:lvlText w:val="•"/>
      <w:lvlJc w:val="left"/>
      <w:pPr>
        <w:ind w:left="7117" w:hanging="221"/>
      </w:pPr>
      <w:rPr>
        <w:rFonts w:hint="default"/>
        <w:lang w:val="en-US" w:eastAsia="en-US" w:bidi="ar-SA"/>
      </w:rPr>
    </w:lvl>
    <w:lvl w:ilvl="8" w:tplc="38429836">
      <w:numFmt w:val="bullet"/>
      <w:lvlText w:val="•"/>
      <w:lvlJc w:val="left"/>
      <w:pPr>
        <w:ind w:left="8099" w:hanging="221"/>
      </w:pPr>
      <w:rPr>
        <w:rFonts w:hint="default"/>
        <w:lang w:val="en-US" w:eastAsia="en-US" w:bidi="ar-SA"/>
      </w:rPr>
    </w:lvl>
  </w:abstractNum>
  <w:abstractNum w:abstractNumId="3" w15:restartNumberingAfterBreak="0">
    <w:nsid w:val="1017032A"/>
    <w:multiLevelType w:val="multilevel"/>
    <w:tmpl w:val="42C85A06"/>
    <w:lvl w:ilvl="0">
      <w:start w:val="1"/>
      <w:numFmt w:val="bullet"/>
      <w:lvlText w:val=""/>
      <w:lvlJc w:val="left"/>
      <w:pPr>
        <w:tabs>
          <w:tab w:val="num" w:pos="720"/>
        </w:tabs>
        <w:ind w:left="720" w:hanging="360"/>
      </w:pPr>
      <w:rPr>
        <w:rFonts w:ascii="Wingdings" w:hAnsi="Wingdings" w:hint="default"/>
        <w:sz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1F0620F"/>
    <w:multiLevelType w:val="multilevel"/>
    <w:tmpl w:val="FF7C01C8"/>
    <w:lvl w:ilvl="0">
      <w:start w:val="1"/>
      <w:numFmt w:val="bullet"/>
      <w:lvlText w:val=""/>
      <w:lvlJc w:val="left"/>
      <w:pPr>
        <w:tabs>
          <w:tab w:val="num" w:pos="720"/>
        </w:tabs>
        <w:ind w:left="720" w:hanging="360"/>
      </w:pPr>
      <w:rPr>
        <w:rFonts w:ascii="Symbol" w:hAnsi="Symbol" w:hint="default"/>
        <w:sz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1451AC8"/>
    <w:multiLevelType w:val="multilevel"/>
    <w:tmpl w:val="0C14AB4C"/>
    <w:lvl w:ilvl="0">
      <w:start w:val="1"/>
      <w:numFmt w:val="bullet"/>
      <w:lvlText w:val=""/>
      <w:lvlJc w:val="left"/>
      <w:pPr>
        <w:tabs>
          <w:tab w:val="num" w:pos="720"/>
        </w:tabs>
        <w:ind w:left="720" w:hanging="360"/>
      </w:pPr>
      <w:rPr>
        <w:rFonts w:ascii="Symbol" w:hAnsi="Symbol" w:hint="default"/>
        <w:sz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B355049"/>
    <w:multiLevelType w:val="multilevel"/>
    <w:tmpl w:val="2AA8C6C4"/>
    <w:lvl w:ilvl="0">
      <w:start w:val="1"/>
      <w:numFmt w:val="bullet"/>
      <w:lvlText w:val=""/>
      <w:lvlJc w:val="left"/>
      <w:pPr>
        <w:tabs>
          <w:tab w:val="num" w:pos="720"/>
        </w:tabs>
        <w:ind w:left="720" w:hanging="360"/>
      </w:pPr>
      <w:rPr>
        <w:rFonts w:ascii="Symbol" w:hAnsi="Symbol" w:hint="default"/>
        <w:sz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C3077ED"/>
    <w:multiLevelType w:val="multilevel"/>
    <w:tmpl w:val="4F526B0A"/>
    <w:lvl w:ilvl="0">
      <w:start w:val="1"/>
      <w:numFmt w:val="bullet"/>
      <w:lvlText w:val=""/>
      <w:lvlJc w:val="left"/>
      <w:pPr>
        <w:tabs>
          <w:tab w:val="num" w:pos="720"/>
        </w:tabs>
        <w:ind w:left="720" w:hanging="360"/>
      </w:pPr>
      <w:rPr>
        <w:rFonts w:ascii="Wingdings" w:hAnsi="Wingdings" w:hint="default"/>
        <w:sz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048743B"/>
    <w:multiLevelType w:val="multilevel"/>
    <w:tmpl w:val="3948F7FA"/>
    <w:lvl w:ilvl="0">
      <w:start w:val="1"/>
      <w:numFmt w:val="bullet"/>
      <w:lvlText w:val=""/>
      <w:lvlJc w:val="left"/>
      <w:pPr>
        <w:tabs>
          <w:tab w:val="num" w:pos="720"/>
        </w:tabs>
        <w:ind w:left="720" w:hanging="360"/>
      </w:pPr>
      <w:rPr>
        <w:rFonts w:ascii="Wingdings" w:hAnsi="Wingdings" w:hint="default"/>
        <w:sz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2646043"/>
    <w:multiLevelType w:val="multilevel"/>
    <w:tmpl w:val="7088A5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30B6EFB"/>
    <w:multiLevelType w:val="multilevel"/>
    <w:tmpl w:val="24CC0574"/>
    <w:lvl w:ilvl="0">
      <w:start w:val="1"/>
      <w:numFmt w:val="bullet"/>
      <w:lvlText w:val=""/>
      <w:lvlJc w:val="left"/>
      <w:pPr>
        <w:tabs>
          <w:tab w:val="num" w:pos="720"/>
        </w:tabs>
        <w:ind w:left="720" w:hanging="360"/>
      </w:pPr>
      <w:rPr>
        <w:rFonts w:ascii="Wingdings" w:hAnsi="Wingdings" w:hint="default"/>
        <w:sz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3C249F9"/>
    <w:multiLevelType w:val="multilevel"/>
    <w:tmpl w:val="C9FEBA6E"/>
    <w:lvl w:ilvl="0">
      <w:start w:val="1"/>
      <w:numFmt w:val="bullet"/>
      <w:lvlText w:val=""/>
      <w:lvlJc w:val="left"/>
      <w:pPr>
        <w:tabs>
          <w:tab w:val="num" w:pos="720"/>
        </w:tabs>
        <w:ind w:left="720" w:hanging="360"/>
      </w:pPr>
      <w:rPr>
        <w:rFonts w:ascii="Symbol" w:hAnsi="Symbol" w:hint="default"/>
        <w:sz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66865AB"/>
    <w:multiLevelType w:val="multilevel"/>
    <w:tmpl w:val="CCE038A4"/>
    <w:lvl w:ilvl="0">
      <w:start w:val="1"/>
      <w:numFmt w:val="bullet"/>
      <w:lvlText w:val=""/>
      <w:lvlJc w:val="left"/>
      <w:pPr>
        <w:tabs>
          <w:tab w:val="num" w:pos="720"/>
        </w:tabs>
        <w:ind w:left="720" w:hanging="360"/>
      </w:pPr>
      <w:rPr>
        <w:rFonts w:ascii="Symbol" w:hAnsi="Symbol" w:hint="default"/>
        <w:sz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9105600"/>
    <w:multiLevelType w:val="multilevel"/>
    <w:tmpl w:val="83C4606C"/>
    <w:lvl w:ilvl="0">
      <w:start w:val="1"/>
      <w:numFmt w:val="bullet"/>
      <w:lvlText w:val=""/>
      <w:lvlJc w:val="left"/>
      <w:pPr>
        <w:tabs>
          <w:tab w:val="num" w:pos="720"/>
        </w:tabs>
        <w:ind w:left="720" w:hanging="360"/>
      </w:pPr>
      <w:rPr>
        <w:rFonts w:ascii="Symbol" w:hAnsi="Symbol" w:hint="default"/>
        <w:sz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0D31ABC"/>
    <w:multiLevelType w:val="multilevel"/>
    <w:tmpl w:val="89228060"/>
    <w:lvl w:ilvl="0">
      <w:start w:val="1"/>
      <w:numFmt w:val="bullet"/>
      <w:lvlText w:val=""/>
      <w:lvlJc w:val="left"/>
      <w:pPr>
        <w:tabs>
          <w:tab w:val="num" w:pos="720"/>
        </w:tabs>
        <w:ind w:left="720" w:hanging="360"/>
      </w:pPr>
      <w:rPr>
        <w:rFonts w:ascii="Wingdings" w:hAnsi="Wingdings" w:hint="default"/>
        <w:sz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9311DE8"/>
    <w:multiLevelType w:val="multilevel"/>
    <w:tmpl w:val="7E389A10"/>
    <w:lvl w:ilvl="0">
      <w:start w:val="1"/>
      <w:numFmt w:val="bullet"/>
      <w:lvlText w:val=""/>
      <w:lvlJc w:val="left"/>
      <w:pPr>
        <w:tabs>
          <w:tab w:val="num" w:pos="720"/>
        </w:tabs>
        <w:ind w:left="720" w:hanging="360"/>
      </w:pPr>
      <w:rPr>
        <w:rFonts w:ascii="Symbol" w:hAnsi="Symbol" w:hint="default"/>
        <w:sz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609660C"/>
    <w:multiLevelType w:val="multilevel"/>
    <w:tmpl w:val="32A2B9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7B33842"/>
    <w:multiLevelType w:val="multilevel"/>
    <w:tmpl w:val="37B0B692"/>
    <w:lvl w:ilvl="0">
      <w:start w:val="1"/>
      <w:numFmt w:val="bullet"/>
      <w:lvlText w:val=""/>
      <w:lvlJc w:val="left"/>
      <w:pPr>
        <w:tabs>
          <w:tab w:val="num" w:pos="720"/>
        </w:tabs>
        <w:ind w:left="720" w:hanging="360"/>
      </w:pPr>
      <w:rPr>
        <w:rFonts w:ascii="Symbol" w:hAnsi="Symbol" w:hint="default"/>
        <w:sz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8F03D7F"/>
    <w:multiLevelType w:val="multilevel"/>
    <w:tmpl w:val="E168E252"/>
    <w:lvl w:ilvl="0">
      <w:start w:val="1"/>
      <w:numFmt w:val="bullet"/>
      <w:lvlText w:val=""/>
      <w:lvlJc w:val="left"/>
      <w:pPr>
        <w:tabs>
          <w:tab w:val="num" w:pos="720"/>
        </w:tabs>
        <w:ind w:left="720" w:hanging="360"/>
      </w:pPr>
      <w:rPr>
        <w:rFonts w:ascii="Symbol" w:hAnsi="Symbol" w:hint="default"/>
        <w:sz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A2C0E95"/>
    <w:multiLevelType w:val="multilevel"/>
    <w:tmpl w:val="84A2B04C"/>
    <w:lvl w:ilvl="0">
      <w:start w:val="1"/>
      <w:numFmt w:val="bullet"/>
      <w:lvlText w:val=""/>
      <w:lvlJc w:val="left"/>
      <w:pPr>
        <w:tabs>
          <w:tab w:val="num" w:pos="720"/>
        </w:tabs>
        <w:ind w:left="720" w:hanging="360"/>
      </w:pPr>
      <w:rPr>
        <w:rFonts w:ascii="Symbol" w:hAnsi="Symbol" w:hint="default"/>
        <w:sz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CE46563"/>
    <w:multiLevelType w:val="multilevel"/>
    <w:tmpl w:val="F7FC1A56"/>
    <w:lvl w:ilvl="0">
      <w:start w:val="1"/>
      <w:numFmt w:val="bullet"/>
      <w:lvlText w:val=""/>
      <w:lvlJc w:val="left"/>
      <w:pPr>
        <w:tabs>
          <w:tab w:val="num" w:pos="720"/>
        </w:tabs>
        <w:ind w:left="720" w:hanging="360"/>
      </w:pPr>
      <w:rPr>
        <w:rFonts w:ascii="Wingdings" w:hAnsi="Wingdings" w:hint="default"/>
        <w:sz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FF6380B"/>
    <w:multiLevelType w:val="multilevel"/>
    <w:tmpl w:val="6282A7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28608DB"/>
    <w:multiLevelType w:val="multilevel"/>
    <w:tmpl w:val="23D60D00"/>
    <w:lvl w:ilvl="0">
      <w:start w:val="1"/>
      <w:numFmt w:val="bullet"/>
      <w:lvlText w:val=""/>
      <w:lvlJc w:val="left"/>
      <w:pPr>
        <w:tabs>
          <w:tab w:val="num" w:pos="720"/>
        </w:tabs>
        <w:ind w:left="720" w:hanging="360"/>
      </w:pPr>
      <w:rPr>
        <w:rFonts w:ascii="Wingdings" w:hAnsi="Wingdings" w:hint="default"/>
        <w:sz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4765709"/>
    <w:multiLevelType w:val="multilevel"/>
    <w:tmpl w:val="FBAEED18"/>
    <w:lvl w:ilvl="0">
      <w:start w:val="1"/>
      <w:numFmt w:val="bullet"/>
      <w:lvlText w:val=""/>
      <w:lvlJc w:val="left"/>
      <w:pPr>
        <w:tabs>
          <w:tab w:val="num" w:pos="720"/>
        </w:tabs>
        <w:ind w:left="720" w:hanging="360"/>
      </w:pPr>
      <w:rPr>
        <w:rFonts w:ascii="Symbol" w:hAnsi="Symbol" w:hint="default"/>
        <w:sz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60F1EB4"/>
    <w:multiLevelType w:val="multilevel"/>
    <w:tmpl w:val="ED92979A"/>
    <w:lvl w:ilvl="0">
      <w:start w:val="1"/>
      <w:numFmt w:val="bullet"/>
      <w:lvlText w:val=""/>
      <w:lvlJc w:val="left"/>
      <w:pPr>
        <w:tabs>
          <w:tab w:val="num" w:pos="720"/>
        </w:tabs>
        <w:ind w:left="720" w:hanging="360"/>
      </w:pPr>
      <w:rPr>
        <w:rFonts w:ascii="Symbol" w:hAnsi="Symbol" w:hint="default"/>
        <w:sz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63B267D"/>
    <w:multiLevelType w:val="multilevel"/>
    <w:tmpl w:val="65AE3E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ED115B1"/>
    <w:multiLevelType w:val="multilevel"/>
    <w:tmpl w:val="945610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74E41F1D"/>
    <w:multiLevelType w:val="multilevel"/>
    <w:tmpl w:val="C4AA58D2"/>
    <w:lvl w:ilvl="0">
      <w:start w:val="1"/>
      <w:numFmt w:val="bullet"/>
      <w:lvlText w:val=""/>
      <w:lvlJc w:val="left"/>
      <w:pPr>
        <w:tabs>
          <w:tab w:val="num" w:pos="720"/>
        </w:tabs>
        <w:ind w:left="720" w:hanging="360"/>
      </w:pPr>
      <w:rPr>
        <w:rFonts w:ascii="Symbol" w:hAnsi="Symbol" w:hint="default"/>
        <w:sz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7182276"/>
    <w:multiLevelType w:val="multilevel"/>
    <w:tmpl w:val="5E02F648"/>
    <w:lvl w:ilvl="0">
      <w:start w:val="1"/>
      <w:numFmt w:val="bullet"/>
      <w:lvlText w:val=""/>
      <w:lvlJc w:val="left"/>
      <w:pPr>
        <w:tabs>
          <w:tab w:val="num" w:pos="720"/>
        </w:tabs>
        <w:ind w:left="720" w:hanging="360"/>
      </w:pPr>
      <w:rPr>
        <w:rFonts w:ascii="Wingdings" w:hAnsi="Wingdings" w:hint="default"/>
        <w:sz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A362DB1"/>
    <w:multiLevelType w:val="multilevel"/>
    <w:tmpl w:val="2B665D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7C7F5AD8"/>
    <w:multiLevelType w:val="multilevel"/>
    <w:tmpl w:val="FAD0A7FA"/>
    <w:lvl w:ilvl="0">
      <w:start w:val="1"/>
      <w:numFmt w:val="bullet"/>
      <w:lvlText w:val=""/>
      <w:lvlJc w:val="left"/>
      <w:pPr>
        <w:tabs>
          <w:tab w:val="num" w:pos="720"/>
        </w:tabs>
        <w:ind w:left="720" w:hanging="360"/>
      </w:pPr>
      <w:rPr>
        <w:rFonts w:ascii="Wingdings" w:hAnsi="Wingdings" w:hint="default"/>
        <w:sz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E9C6C82"/>
    <w:multiLevelType w:val="multilevel"/>
    <w:tmpl w:val="086673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749737947">
    <w:abstractNumId w:val="21"/>
  </w:num>
  <w:num w:numId="2" w16cid:durableId="1272542764">
    <w:abstractNumId w:val="7"/>
  </w:num>
  <w:num w:numId="3" w16cid:durableId="1994019833">
    <w:abstractNumId w:val="14"/>
  </w:num>
  <w:num w:numId="4" w16cid:durableId="418720766">
    <w:abstractNumId w:val="1"/>
  </w:num>
  <w:num w:numId="5" w16cid:durableId="257567553">
    <w:abstractNumId w:val="10"/>
  </w:num>
  <w:num w:numId="6" w16cid:durableId="402335532">
    <w:abstractNumId w:val="22"/>
  </w:num>
  <w:num w:numId="7" w16cid:durableId="79060482">
    <w:abstractNumId w:val="28"/>
  </w:num>
  <w:num w:numId="8" w16cid:durableId="832913230">
    <w:abstractNumId w:val="24"/>
  </w:num>
  <w:num w:numId="9" w16cid:durableId="566695849">
    <w:abstractNumId w:val="4"/>
  </w:num>
  <w:num w:numId="10" w16cid:durableId="1979676815">
    <w:abstractNumId w:val="18"/>
  </w:num>
  <w:num w:numId="11" w16cid:durableId="320083523">
    <w:abstractNumId w:val="11"/>
  </w:num>
  <w:num w:numId="12" w16cid:durableId="2115321717">
    <w:abstractNumId w:val="27"/>
  </w:num>
  <w:num w:numId="13" w16cid:durableId="1462264036">
    <w:abstractNumId w:val="13"/>
  </w:num>
  <w:num w:numId="14" w16cid:durableId="202324757">
    <w:abstractNumId w:val="0"/>
  </w:num>
  <w:num w:numId="15" w16cid:durableId="472064238">
    <w:abstractNumId w:val="12"/>
  </w:num>
  <w:num w:numId="16" w16cid:durableId="428309881">
    <w:abstractNumId w:val="6"/>
  </w:num>
  <w:num w:numId="17" w16cid:durableId="747732258">
    <w:abstractNumId w:val="19"/>
  </w:num>
  <w:num w:numId="18" w16cid:durableId="34621702">
    <w:abstractNumId w:val="23"/>
  </w:num>
  <w:num w:numId="19" w16cid:durableId="56438729">
    <w:abstractNumId w:val="15"/>
  </w:num>
  <w:num w:numId="20" w16cid:durableId="1370103072">
    <w:abstractNumId w:val="17"/>
  </w:num>
  <w:num w:numId="21" w16cid:durableId="1455292980">
    <w:abstractNumId w:val="5"/>
  </w:num>
  <w:num w:numId="22" w16cid:durableId="884027863">
    <w:abstractNumId w:val="16"/>
  </w:num>
  <w:num w:numId="23" w16cid:durableId="428892805">
    <w:abstractNumId w:val="31"/>
  </w:num>
  <w:num w:numId="24" w16cid:durableId="404307538">
    <w:abstractNumId w:val="25"/>
  </w:num>
  <w:num w:numId="25" w16cid:durableId="985747612">
    <w:abstractNumId w:val="8"/>
  </w:num>
  <w:num w:numId="26" w16cid:durableId="1577786315">
    <w:abstractNumId w:val="30"/>
  </w:num>
  <w:num w:numId="27" w16cid:durableId="1798333917">
    <w:abstractNumId w:val="3"/>
  </w:num>
  <w:num w:numId="28" w16cid:durableId="1879777826">
    <w:abstractNumId w:val="20"/>
  </w:num>
  <w:num w:numId="29" w16cid:durableId="932586686">
    <w:abstractNumId w:val="26"/>
  </w:num>
  <w:num w:numId="30" w16cid:durableId="666982491">
    <w:abstractNumId w:val="29"/>
  </w:num>
  <w:num w:numId="31" w16cid:durableId="1592162991">
    <w:abstractNumId w:val="9"/>
  </w:num>
  <w:num w:numId="32" w16cid:durableId="19550682">
    <w:abstractNumId w:val="2"/>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7"/>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A96FF1"/>
    <w:rsid w:val="0001215E"/>
    <w:rsid w:val="000347A5"/>
    <w:rsid w:val="000528B5"/>
    <w:rsid w:val="00067A05"/>
    <w:rsid w:val="000B1E75"/>
    <w:rsid w:val="000D2AB6"/>
    <w:rsid w:val="000E308B"/>
    <w:rsid w:val="000E49EF"/>
    <w:rsid w:val="001244DB"/>
    <w:rsid w:val="001524C2"/>
    <w:rsid w:val="00152589"/>
    <w:rsid w:val="0016539E"/>
    <w:rsid w:val="00172348"/>
    <w:rsid w:val="00172AE9"/>
    <w:rsid w:val="00174FEE"/>
    <w:rsid w:val="00182AAC"/>
    <w:rsid w:val="001B4446"/>
    <w:rsid w:val="001B7F13"/>
    <w:rsid w:val="001C5944"/>
    <w:rsid w:val="001D10B3"/>
    <w:rsid w:val="00202786"/>
    <w:rsid w:val="002143FF"/>
    <w:rsid w:val="00226B2A"/>
    <w:rsid w:val="00227266"/>
    <w:rsid w:val="00283EA2"/>
    <w:rsid w:val="00286473"/>
    <w:rsid w:val="00293878"/>
    <w:rsid w:val="002951AA"/>
    <w:rsid w:val="002A6AAC"/>
    <w:rsid w:val="002B0888"/>
    <w:rsid w:val="002C1A3A"/>
    <w:rsid w:val="002C1D40"/>
    <w:rsid w:val="002C359C"/>
    <w:rsid w:val="003039DB"/>
    <w:rsid w:val="0031237B"/>
    <w:rsid w:val="0032120D"/>
    <w:rsid w:val="00342218"/>
    <w:rsid w:val="00342F27"/>
    <w:rsid w:val="004241CE"/>
    <w:rsid w:val="004252EE"/>
    <w:rsid w:val="00431FC4"/>
    <w:rsid w:val="00442445"/>
    <w:rsid w:val="004443B9"/>
    <w:rsid w:val="00466200"/>
    <w:rsid w:val="00481647"/>
    <w:rsid w:val="00486CD7"/>
    <w:rsid w:val="00493454"/>
    <w:rsid w:val="004A12EB"/>
    <w:rsid w:val="004B5D0C"/>
    <w:rsid w:val="004D4529"/>
    <w:rsid w:val="004F045D"/>
    <w:rsid w:val="004F7AAB"/>
    <w:rsid w:val="00502A8B"/>
    <w:rsid w:val="00514914"/>
    <w:rsid w:val="00534866"/>
    <w:rsid w:val="00541AD2"/>
    <w:rsid w:val="00543B29"/>
    <w:rsid w:val="00544000"/>
    <w:rsid w:val="00575AE4"/>
    <w:rsid w:val="005842CB"/>
    <w:rsid w:val="00591150"/>
    <w:rsid w:val="0059345A"/>
    <w:rsid w:val="00595845"/>
    <w:rsid w:val="005C528D"/>
    <w:rsid w:val="005D6FAA"/>
    <w:rsid w:val="005D7104"/>
    <w:rsid w:val="005E2B1F"/>
    <w:rsid w:val="005F4880"/>
    <w:rsid w:val="005F6F49"/>
    <w:rsid w:val="006013A9"/>
    <w:rsid w:val="00611766"/>
    <w:rsid w:val="00611B5F"/>
    <w:rsid w:val="006126AF"/>
    <w:rsid w:val="0062466D"/>
    <w:rsid w:val="006259CC"/>
    <w:rsid w:val="006270B5"/>
    <w:rsid w:val="00640C81"/>
    <w:rsid w:val="00643A40"/>
    <w:rsid w:val="00671DCA"/>
    <w:rsid w:val="0067659A"/>
    <w:rsid w:val="00687305"/>
    <w:rsid w:val="006B71F8"/>
    <w:rsid w:val="006C6040"/>
    <w:rsid w:val="006D1A5C"/>
    <w:rsid w:val="006F4072"/>
    <w:rsid w:val="00747A66"/>
    <w:rsid w:val="00754BCC"/>
    <w:rsid w:val="007921EF"/>
    <w:rsid w:val="00796817"/>
    <w:rsid w:val="007A1A12"/>
    <w:rsid w:val="007A52BD"/>
    <w:rsid w:val="007D270B"/>
    <w:rsid w:val="007D5FCC"/>
    <w:rsid w:val="007E1FF8"/>
    <w:rsid w:val="007E5076"/>
    <w:rsid w:val="007E5666"/>
    <w:rsid w:val="007E716B"/>
    <w:rsid w:val="00804E4A"/>
    <w:rsid w:val="00806B1A"/>
    <w:rsid w:val="00821702"/>
    <w:rsid w:val="00831662"/>
    <w:rsid w:val="00842D8E"/>
    <w:rsid w:val="00844B0D"/>
    <w:rsid w:val="008456DD"/>
    <w:rsid w:val="00863013"/>
    <w:rsid w:val="00864AEF"/>
    <w:rsid w:val="00895CB8"/>
    <w:rsid w:val="008A2956"/>
    <w:rsid w:val="008B5EFE"/>
    <w:rsid w:val="008C36F8"/>
    <w:rsid w:val="008F1B77"/>
    <w:rsid w:val="009011E6"/>
    <w:rsid w:val="00917B26"/>
    <w:rsid w:val="00923283"/>
    <w:rsid w:val="00926C93"/>
    <w:rsid w:val="009434BF"/>
    <w:rsid w:val="009626DB"/>
    <w:rsid w:val="00965900"/>
    <w:rsid w:val="00967347"/>
    <w:rsid w:val="009840C3"/>
    <w:rsid w:val="00991110"/>
    <w:rsid w:val="00993361"/>
    <w:rsid w:val="009B6193"/>
    <w:rsid w:val="009D3D49"/>
    <w:rsid w:val="009D6C29"/>
    <w:rsid w:val="009F341F"/>
    <w:rsid w:val="00A20833"/>
    <w:rsid w:val="00A21FBF"/>
    <w:rsid w:val="00A5092D"/>
    <w:rsid w:val="00A550E0"/>
    <w:rsid w:val="00A64058"/>
    <w:rsid w:val="00A70371"/>
    <w:rsid w:val="00A77814"/>
    <w:rsid w:val="00A77AE7"/>
    <w:rsid w:val="00A8097B"/>
    <w:rsid w:val="00A85A2B"/>
    <w:rsid w:val="00A96FF1"/>
    <w:rsid w:val="00AB6678"/>
    <w:rsid w:val="00AD7F84"/>
    <w:rsid w:val="00B01F55"/>
    <w:rsid w:val="00B0407E"/>
    <w:rsid w:val="00B1270C"/>
    <w:rsid w:val="00B20E97"/>
    <w:rsid w:val="00B33BD5"/>
    <w:rsid w:val="00B9629F"/>
    <w:rsid w:val="00BB1B8C"/>
    <w:rsid w:val="00BB27FB"/>
    <w:rsid w:val="00BC092C"/>
    <w:rsid w:val="00BC50F7"/>
    <w:rsid w:val="00BD23A5"/>
    <w:rsid w:val="00BE51DD"/>
    <w:rsid w:val="00BF09CC"/>
    <w:rsid w:val="00BF3146"/>
    <w:rsid w:val="00C12199"/>
    <w:rsid w:val="00C1532E"/>
    <w:rsid w:val="00C2504F"/>
    <w:rsid w:val="00C33514"/>
    <w:rsid w:val="00C3635C"/>
    <w:rsid w:val="00C62C8C"/>
    <w:rsid w:val="00C72D7B"/>
    <w:rsid w:val="00C76B47"/>
    <w:rsid w:val="00C9129C"/>
    <w:rsid w:val="00CA0B47"/>
    <w:rsid w:val="00CB1E34"/>
    <w:rsid w:val="00CB737D"/>
    <w:rsid w:val="00CD0B83"/>
    <w:rsid w:val="00CD3B09"/>
    <w:rsid w:val="00CE2B29"/>
    <w:rsid w:val="00CF2287"/>
    <w:rsid w:val="00D02C33"/>
    <w:rsid w:val="00D07C45"/>
    <w:rsid w:val="00D27BF3"/>
    <w:rsid w:val="00D4519B"/>
    <w:rsid w:val="00D45207"/>
    <w:rsid w:val="00D47220"/>
    <w:rsid w:val="00D57920"/>
    <w:rsid w:val="00D66043"/>
    <w:rsid w:val="00D70F34"/>
    <w:rsid w:val="00D72FBA"/>
    <w:rsid w:val="00DA0077"/>
    <w:rsid w:val="00DA760A"/>
    <w:rsid w:val="00DB6A3B"/>
    <w:rsid w:val="00DC5D22"/>
    <w:rsid w:val="00DD6EC4"/>
    <w:rsid w:val="00DF1568"/>
    <w:rsid w:val="00DF28F8"/>
    <w:rsid w:val="00E01C55"/>
    <w:rsid w:val="00E237A7"/>
    <w:rsid w:val="00E27EB1"/>
    <w:rsid w:val="00E5727E"/>
    <w:rsid w:val="00E57E61"/>
    <w:rsid w:val="00E76400"/>
    <w:rsid w:val="00E77220"/>
    <w:rsid w:val="00E919C8"/>
    <w:rsid w:val="00EA4168"/>
    <w:rsid w:val="00EB15E8"/>
    <w:rsid w:val="00EB6ED4"/>
    <w:rsid w:val="00ED325B"/>
    <w:rsid w:val="00EF53B8"/>
    <w:rsid w:val="00F10B43"/>
    <w:rsid w:val="00F148F7"/>
    <w:rsid w:val="00F25CD3"/>
    <w:rsid w:val="00F276ED"/>
    <w:rsid w:val="00F3019C"/>
    <w:rsid w:val="00F33FF6"/>
    <w:rsid w:val="00F3546D"/>
    <w:rsid w:val="00F36DCD"/>
    <w:rsid w:val="00F375E8"/>
    <w:rsid w:val="00F464C2"/>
    <w:rsid w:val="00F465E0"/>
    <w:rsid w:val="00F47F5C"/>
    <w:rsid w:val="00F76796"/>
    <w:rsid w:val="00F818A4"/>
    <w:rsid w:val="00F92DB7"/>
    <w:rsid w:val="00FA0374"/>
    <w:rsid w:val="00FB2D41"/>
    <w:rsid w:val="00FC53AC"/>
    <w:rsid w:val="00FD393A"/>
    <w:rsid w:val="00FE61D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BDA1EA"/>
  <w15:docId w15:val="{B6D65BF8-35B3-4FD3-AE64-3D1C5B0208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B5D0C"/>
  </w:style>
  <w:style w:type="paragraph" w:styleId="Heading1">
    <w:name w:val="heading 1"/>
    <w:basedOn w:val="Normal"/>
    <w:next w:val="Normal"/>
    <w:link w:val="Heading1Char"/>
    <w:uiPriority w:val="9"/>
    <w:qFormat/>
    <w:rsid w:val="004443B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2B0888"/>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link w:val="Heading3Char"/>
    <w:uiPriority w:val="9"/>
    <w:qFormat/>
    <w:rsid w:val="00F33FF6"/>
    <w:pPr>
      <w:spacing w:before="100" w:beforeAutospacing="1" w:after="100" w:afterAutospacing="1" w:line="240" w:lineRule="auto"/>
      <w:outlineLvl w:val="2"/>
    </w:pPr>
    <w:rPr>
      <w:rFonts w:ascii="Times New Roman" w:eastAsia="Times New Roman" w:hAnsi="Times New Roman" w:cs="Times New Roman"/>
      <w:b/>
      <w:bCs/>
      <w:sz w:val="27"/>
      <w:szCs w:val="27"/>
      <w:lang w:eastAsia="en-IN"/>
    </w:rPr>
  </w:style>
  <w:style w:type="paragraph" w:styleId="Heading4">
    <w:name w:val="heading 4"/>
    <w:basedOn w:val="Normal"/>
    <w:link w:val="Heading4Char"/>
    <w:uiPriority w:val="9"/>
    <w:qFormat/>
    <w:rsid w:val="00F33FF6"/>
    <w:pPr>
      <w:spacing w:before="100" w:beforeAutospacing="1" w:after="100" w:afterAutospacing="1" w:line="240" w:lineRule="auto"/>
      <w:outlineLvl w:val="3"/>
    </w:pPr>
    <w:rPr>
      <w:rFonts w:ascii="Times New Roman" w:eastAsia="Times New Roman" w:hAnsi="Times New Roman" w:cs="Times New Roman"/>
      <w:b/>
      <w:bCs/>
      <w:sz w:val="24"/>
      <w:szCs w:val="24"/>
      <w:lang w:eastAsia="en-IN"/>
    </w:rPr>
  </w:style>
  <w:style w:type="paragraph" w:styleId="Heading5">
    <w:name w:val="heading 5"/>
    <w:basedOn w:val="Normal"/>
    <w:next w:val="Normal"/>
    <w:link w:val="Heading5Char"/>
    <w:uiPriority w:val="9"/>
    <w:semiHidden/>
    <w:unhideWhenUsed/>
    <w:qFormat/>
    <w:rsid w:val="00926C93"/>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F33FF6"/>
    <w:rPr>
      <w:rFonts w:ascii="Times New Roman" w:eastAsia="Times New Roman" w:hAnsi="Times New Roman" w:cs="Times New Roman"/>
      <w:b/>
      <w:bCs/>
      <w:sz w:val="27"/>
      <w:szCs w:val="27"/>
      <w:lang w:eastAsia="en-IN"/>
    </w:rPr>
  </w:style>
  <w:style w:type="character" w:customStyle="1" w:styleId="Heading4Char">
    <w:name w:val="Heading 4 Char"/>
    <w:basedOn w:val="DefaultParagraphFont"/>
    <w:link w:val="Heading4"/>
    <w:uiPriority w:val="9"/>
    <w:rsid w:val="00F33FF6"/>
    <w:rPr>
      <w:rFonts w:ascii="Times New Roman" w:eastAsia="Times New Roman" w:hAnsi="Times New Roman" w:cs="Times New Roman"/>
      <w:b/>
      <w:bCs/>
      <w:sz w:val="24"/>
      <w:szCs w:val="24"/>
      <w:lang w:eastAsia="en-IN"/>
    </w:rPr>
  </w:style>
  <w:style w:type="paragraph" w:styleId="NormalWeb">
    <w:name w:val="Normal (Web)"/>
    <w:basedOn w:val="Normal"/>
    <w:uiPriority w:val="99"/>
    <w:unhideWhenUsed/>
    <w:rsid w:val="00F33FF6"/>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styleId="Emphasis">
    <w:name w:val="Emphasis"/>
    <w:basedOn w:val="DefaultParagraphFont"/>
    <w:uiPriority w:val="20"/>
    <w:qFormat/>
    <w:rsid w:val="00F33FF6"/>
    <w:rPr>
      <w:i/>
      <w:iCs/>
    </w:rPr>
  </w:style>
  <w:style w:type="character" w:styleId="Strong">
    <w:name w:val="Strong"/>
    <w:basedOn w:val="DefaultParagraphFont"/>
    <w:uiPriority w:val="22"/>
    <w:qFormat/>
    <w:rsid w:val="00F33FF6"/>
    <w:rPr>
      <w:b/>
      <w:bCs/>
    </w:rPr>
  </w:style>
  <w:style w:type="paragraph" w:styleId="ListParagraph">
    <w:name w:val="List Paragraph"/>
    <w:basedOn w:val="Normal"/>
    <w:uiPriority w:val="1"/>
    <w:qFormat/>
    <w:rsid w:val="008B5EFE"/>
    <w:pPr>
      <w:ind w:left="720"/>
      <w:contextualSpacing/>
    </w:pPr>
  </w:style>
  <w:style w:type="character" w:customStyle="1" w:styleId="ms-1">
    <w:name w:val="ms-1"/>
    <w:basedOn w:val="DefaultParagraphFont"/>
    <w:rsid w:val="00991110"/>
  </w:style>
  <w:style w:type="character" w:customStyle="1" w:styleId="max-w-15ch">
    <w:name w:val="max-w-[15ch]"/>
    <w:basedOn w:val="DefaultParagraphFont"/>
    <w:rsid w:val="00991110"/>
  </w:style>
  <w:style w:type="character" w:customStyle="1" w:styleId="-me-1">
    <w:name w:val="-me-1"/>
    <w:basedOn w:val="DefaultParagraphFont"/>
    <w:rsid w:val="00991110"/>
  </w:style>
  <w:style w:type="character" w:customStyle="1" w:styleId="Heading2Char">
    <w:name w:val="Heading 2 Char"/>
    <w:basedOn w:val="DefaultParagraphFont"/>
    <w:link w:val="Heading2"/>
    <w:uiPriority w:val="9"/>
    <w:semiHidden/>
    <w:rsid w:val="002B0888"/>
    <w:rPr>
      <w:rFonts w:asciiTheme="majorHAnsi" w:eastAsiaTheme="majorEastAsia" w:hAnsiTheme="majorHAnsi" w:cstheme="majorBidi"/>
      <w:color w:val="2E74B5" w:themeColor="accent1" w:themeShade="BF"/>
      <w:sz w:val="26"/>
      <w:szCs w:val="26"/>
    </w:rPr>
  </w:style>
  <w:style w:type="character" w:styleId="Hyperlink">
    <w:name w:val="Hyperlink"/>
    <w:basedOn w:val="DefaultParagraphFont"/>
    <w:uiPriority w:val="99"/>
    <w:unhideWhenUsed/>
    <w:rsid w:val="002B0888"/>
    <w:rPr>
      <w:color w:val="0000FF"/>
      <w:u w:val="single"/>
    </w:rPr>
  </w:style>
  <w:style w:type="character" w:customStyle="1" w:styleId="Heading5Char">
    <w:name w:val="Heading 5 Char"/>
    <w:basedOn w:val="DefaultParagraphFont"/>
    <w:link w:val="Heading5"/>
    <w:uiPriority w:val="9"/>
    <w:semiHidden/>
    <w:rsid w:val="00926C93"/>
    <w:rPr>
      <w:rFonts w:asciiTheme="majorHAnsi" w:eastAsiaTheme="majorEastAsia" w:hAnsiTheme="majorHAnsi" w:cstheme="majorBidi"/>
      <w:color w:val="2E74B5" w:themeColor="accent1" w:themeShade="BF"/>
    </w:rPr>
  </w:style>
  <w:style w:type="character" w:customStyle="1" w:styleId="katex-mathml">
    <w:name w:val="katex-mathml"/>
    <w:basedOn w:val="DefaultParagraphFont"/>
    <w:rsid w:val="00286473"/>
  </w:style>
  <w:style w:type="character" w:customStyle="1" w:styleId="mord">
    <w:name w:val="mord"/>
    <w:basedOn w:val="DefaultParagraphFont"/>
    <w:rsid w:val="00286473"/>
  </w:style>
  <w:style w:type="character" w:customStyle="1" w:styleId="mrel">
    <w:name w:val="mrel"/>
    <w:basedOn w:val="DefaultParagraphFont"/>
    <w:rsid w:val="00286473"/>
  </w:style>
  <w:style w:type="character" w:customStyle="1" w:styleId="mclose">
    <w:name w:val="mclose"/>
    <w:basedOn w:val="DefaultParagraphFont"/>
    <w:rsid w:val="00286473"/>
  </w:style>
  <w:style w:type="character" w:customStyle="1" w:styleId="vlist-s">
    <w:name w:val="vlist-s"/>
    <w:basedOn w:val="DefaultParagraphFont"/>
    <w:rsid w:val="00286473"/>
  </w:style>
  <w:style w:type="character" w:customStyle="1" w:styleId="mbin">
    <w:name w:val="mbin"/>
    <w:basedOn w:val="DefaultParagraphFont"/>
    <w:rsid w:val="00286473"/>
  </w:style>
  <w:style w:type="character" w:styleId="PlaceholderText">
    <w:name w:val="Placeholder Text"/>
    <w:basedOn w:val="DefaultParagraphFont"/>
    <w:uiPriority w:val="99"/>
    <w:semiHidden/>
    <w:rsid w:val="00286473"/>
    <w:rPr>
      <w:color w:val="808080"/>
    </w:rPr>
  </w:style>
  <w:style w:type="paragraph" w:styleId="BalloonText">
    <w:name w:val="Balloon Text"/>
    <w:basedOn w:val="Normal"/>
    <w:link w:val="BalloonTextChar"/>
    <w:uiPriority w:val="99"/>
    <w:semiHidden/>
    <w:unhideWhenUsed/>
    <w:rsid w:val="00A85A2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5A2B"/>
    <w:rPr>
      <w:rFonts w:ascii="Tahoma" w:hAnsi="Tahoma" w:cs="Tahoma"/>
      <w:sz w:val="16"/>
      <w:szCs w:val="16"/>
    </w:rPr>
  </w:style>
  <w:style w:type="character" w:customStyle="1" w:styleId="Heading1Char">
    <w:name w:val="Heading 1 Char"/>
    <w:basedOn w:val="DefaultParagraphFont"/>
    <w:link w:val="Heading1"/>
    <w:uiPriority w:val="9"/>
    <w:rsid w:val="004443B9"/>
    <w:rPr>
      <w:rFonts w:asciiTheme="majorHAnsi" w:eastAsiaTheme="majorEastAsia" w:hAnsiTheme="majorHAnsi" w:cstheme="majorBidi"/>
      <w:color w:val="2E74B5" w:themeColor="accent1" w:themeShade="BF"/>
      <w:sz w:val="32"/>
      <w:szCs w:val="32"/>
    </w:rPr>
  </w:style>
  <w:style w:type="character" w:customStyle="1" w:styleId="whitespace-normal">
    <w:name w:val="whitespace-normal"/>
    <w:basedOn w:val="DefaultParagraphFont"/>
    <w:rsid w:val="00965900"/>
  </w:style>
  <w:style w:type="character" w:styleId="UnresolvedMention">
    <w:name w:val="Unresolved Mention"/>
    <w:basedOn w:val="DefaultParagraphFont"/>
    <w:uiPriority w:val="99"/>
    <w:semiHidden/>
    <w:unhideWhenUsed/>
    <w:rsid w:val="00A5092D"/>
    <w:rPr>
      <w:color w:val="605E5C"/>
      <w:shd w:val="clear" w:color="auto" w:fill="E1DFDD"/>
    </w:rPr>
  </w:style>
  <w:style w:type="paragraph" w:styleId="Header">
    <w:name w:val="header"/>
    <w:basedOn w:val="Normal"/>
    <w:link w:val="HeaderChar"/>
    <w:uiPriority w:val="99"/>
    <w:unhideWhenUsed/>
    <w:rsid w:val="0032120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2120D"/>
  </w:style>
  <w:style w:type="paragraph" w:styleId="Footer">
    <w:name w:val="footer"/>
    <w:basedOn w:val="Normal"/>
    <w:link w:val="FooterChar"/>
    <w:uiPriority w:val="99"/>
    <w:unhideWhenUsed/>
    <w:rsid w:val="0032120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2120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54666">
      <w:bodyDiv w:val="1"/>
      <w:marLeft w:val="0"/>
      <w:marRight w:val="0"/>
      <w:marTop w:val="0"/>
      <w:marBottom w:val="0"/>
      <w:divBdr>
        <w:top w:val="none" w:sz="0" w:space="0" w:color="auto"/>
        <w:left w:val="none" w:sz="0" w:space="0" w:color="auto"/>
        <w:bottom w:val="none" w:sz="0" w:space="0" w:color="auto"/>
        <w:right w:val="none" w:sz="0" w:space="0" w:color="auto"/>
      </w:divBdr>
      <w:divsChild>
        <w:div w:id="1893612841">
          <w:marLeft w:val="0"/>
          <w:marRight w:val="0"/>
          <w:marTop w:val="0"/>
          <w:marBottom w:val="0"/>
          <w:divBdr>
            <w:top w:val="none" w:sz="0" w:space="0" w:color="auto"/>
            <w:left w:val="none" w:sz="0" w:space="0" w:color="auto"/>
            <w:bottom w:val="none" w:sz="0" w:space="0" w:color="auto"/>
            <w:right w:val="none" w:sz="0" w:space="0" w:color="auto"/>
          </w:divBdr>
          <w:divsChild>
            <w:div w:id="2089573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09780">
      <w:bodyDiv w:val="1"/>
      <w:marLeft w:val="0"/>
      <w:marRight w:val="0"/>
      <w:marTop w:val="0"/>
      <w:marBottom w:val="0"/>
      <w:divBdr>
        <w:top w:val="none" w:sz="0" w:space="0" w:color="auto"/>
        <w:left w:val="none" w:sz="0" w:space="0" w:color="auto"/>
        <w:bottom w:val="none" w:sz="0" w:space="0" w:color="auto"/>
        <w:right w:val="none" w:sz="0" w:space="0" w:color="auto"/>
      </w:divBdr>
    </w:div>
    <w:div w:id="10496377">
      <w:bodyDiv w:val="1"/>
      <w:marLeft w:val="0"/>
      <w:marRight w:val="0"/>
      <w:marTop w:val="0"/>
      <w:marBottom w:val="0"/>
      <w:divBdr>
        <w:top w:val="none" w:sz="0" w:space="0" w:color="auto"/>
        <w:left w:val="none" w:sz="0" w:space="0" w:color="auto"/>
        <w:bottom w:val="none" w:sz="0" w:space="0" w:color="auto"/>
        <w:right w:val="none" w:sz="0" w:space="0" w:color="auto"/>
      </w:divBdr>
    </w:div>
    <w:div w:id="20321724">
      <w:bodyDiv w:val="1"/>
      <w:marLeft w:val="0"/>
      <w:marRight w:val="0"/>
      <w:marTop w:val="0"/>
      <w:marBottom w:val="0"/>
      <w:divBdr>
        <w:top w:val="none" w:sz="0" w:space="0" w:color="auto"/>
        <w:left w:val="none" w:sz="0" w:space="0" w:color="auto"/>
        <w:bottom w:val="none" w:sz="0" w:space="0" w:color="auto"/>
        <w:right w:val="none" w:sz="0" w:space="0" w:color="auto"/>
      </w:divBdr>
    </w:div>
    <w:div w:id="28530333">
      <w:bodyDiv w:val="1"/>
      <w:marLeft w:val="0"/>
      <w:marRight w:val="0"/>
      <w:marTop w:val="0"/>
      <w:marBottom w:val="0"/>
      <w:divBdr>
        <w:top w:val="none" w:sz="0" w:space="0" w:color="auto"/>
        <w:left w:val="none" w:sz="0" w:space="0" w:color="auto"/>
        <w:bottom w:val="none" w:sz="0" w:space="0" w:color="auto"/>
        <w:right w:val="none" w:sz="0" w:space="0" w:color="auto"/>
      </w:divBdr>
    </w:div>
    <w:div w:id="46535244">
      <w:bodyDiv w:val="1"/>
      <w:marLeft w:val="0"/>
      <w:marRight w:val="0"/>
      <w:marTop w:val="0"/>
      <w:marBottom w:val="0"/>
      <w:divBdr>
        <w:top w:val="none" w:sz="0" w:space="0" w:color="auto"/>
        <w:left w:val="none" w:sz="0" w:space="0" w:color="auto"/>
        <w:bottom w:val="none" w:sz="0" w:space="0" w:color="auto"/>
        <w:right w:val="none" w:sz="0" w:space="0" w:color="auto"/>
      </w:divBdr>
      <w:divsChild>
        <w:div w:id="166350354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7386099">
      <w:bodyDiv w:val="1"/>
      <w:marLeft w:val="0"/>
      <w:marRight w:val="0"/>
      <w:marTop w:val="0"/>
      <w:marBottom w:val="0"/>
      <w:divBdr>
        <w:top w:val="none" w:sz="0" w:space="0" w:color="auto"/>
        <w:left w:val="none" w:sz="0" w:space="0" w:color="auto"/>
        <w:bottom w:val="none" w:sz="0" w:space="0" w:color="auto"/>
        <w:right w:val="none" w:sz="0" w:space="0" w:color="auto"/>
      </w:divBdr>
    </w:div>
    <w:div w:id="59913290">
      <w:bodyDiv w:val="1"/>
      <w:marLeft w:val="0"/>
      <w:marRight w:val="0"/>
      <w:marTop w:val="0"/>
      <w:marBottom w:val="0"/>
      <w:divBdr>
        <w:top w:val="none" w:sz="0" w:space="0" w:color="auto"/>
        <w:left w:val="none" w:sz="0" w:space="0" w:color="auto"/>
        <w:bottom w:val="none" w:sz="0" w:space="0" w:color="auto"/>
        <w:right w:val="none" w:sz="0" w:space="0" w:color="auto"/>
      </w:divBdr>
    </w:div>
    <w:div w:id="72972658">
      <w:bodyDiv w:val="1"/>
      <w:marLeft w:val="0"/>
      <w:marRight w:val="0"/>
      <w:marTop w:val="0"/>
      <w:marBottom w:val="0"/>
      <w:divBdr>
        <w:top w:val="none" w:sz="0" w:space="0" w:color="auto"/>
        <w:left w:val="none" w:sz="0" w:space="0" w:color="auto"/>
        <w:bottom w:val="none" w:sz="0" w:space="0" w:color="auto"/>
        <w:right w:val="none" w:sz="0" w:space="0" w:color="auto"/>
      </w:divBdr>
    </w:div>
    <w:div w:id="74982533">
      <w:bodyDiv w:val="1"/>
      <w:marLeft w:val="0"/>
      <w:marRight w:val="0"/>
      <w:marTop w:val="0"/>
      <w:marBottom w:val="0"/>
      <w:divBdr>
        <w:top w:val="none" w:sz="0" w:space="0" w:color="auto"/>
        <w:left w:val="none" w:sz="0" w:space="0" w:color="auto"/>
        <w:bottom w:val="none" w:sz="0" w:space="0" w:color="auto"/>
        <w:right w:val="none" w:sz="0" w:space="0" w:color="auto"/>
      </w:divBdr>
    </w:div>
    <w:div w:id="80876039">
      <w:bodyDiv w:val="1"/>
      <w:marLeft w:val="0"/>
      <w:marRight w:val="0"/>
      <w:marTop w:val="0"/>
      <w:marBottom w:val="0"/>
      <w:divBdr>
        <w:top w:val="none" w:sz="0" w:space="0" w:color="auto"/>
        <w:left w:val="none" w:sz="0" w:space="0" w:color="auto"/>
        <w:bottom w:val="none" w:sz="0" w:space="0" w:color="auto"/>
        <w:right w:val="none" w:sz="0" w:space="0" w:color="auto"/>
      </w:divBdr>
    </w:div>
    <w:div w:id="101146723">
      <w:bodyDiv w:val="1"/>
      <w:marLeft w:val="0"/>
      <w:marRight w:val="0"/>
      <w:marTop w:val="0"/>
      <w:marBottom w:val="0"/>
      <w:divBdr>
        <w:top w:val="none" w:sz="0" w:space="0" w:color="auto"/>
        <w:left w:val="none" w:sz="0" w:space="0" w:color="auto"/>
        <w:bottom w:val="none" w:sz="0" w:space="0" w:color="auto"/>
        <w:right w:val="none" w:sz="0" w:space="0" w:color="auto"/>
      </w:divBdr>
    </w:div>
    <w:div w:id="116920515">
      <w:bodyDiv w:val="1"/>
      <w:marLeft w:val="0"/>
      <w:marRight w:val="0"/>
      <w:marTop w:val="0"/>
      <w:marBottom w:val="0"/>
      <w:divBdr>
        <w:top w:val="none" w:sz="0" w:space="0" w:color="auto"/>
        <w:left w:val="none" w:sz="0" w:space="0" w:color="auto"/>
        <w:bottom w:val="none" w:sz="0" w:space="0" w:color="auto"/>
        <w:right w:val="none" w:sz="0" w:space="0" w:color="auto"/>
      </w:divBdr>
    </w:div>
    <w:div w:id="129716057">
      <w:bodyDiv w:val="1"/>
      <w:marLeft w:val="0"/>
      <w:marRight w:val="0"/>
      <w:marTop w:val="0"/>
      <w:marBottom w:val="0"/>
      <w:divBdr>
        <w:top w:val="none" w:sz="0" w:space="0" w:color="auto"/>
        <w:left w:val="none" w:sz="0" w:space="0" w:color="auto"/>
        <w:bottom w:val="none" w:sz="0" w:space="0" w:color="auto"/>
        <w:right w:val="none" w:sz="0" w:space="0" w:color="auto"/>
      </w:divBdr>
    </w:div>
    <w:div w:id="162667560">
      <w:bodyDiv w:val="1"/>
      <w:marLeft w:val="0"/>
      <w:marRight w:val="0"/>
      <w:marTop w:val="0"/>
      <w:marBottom w:val="0"/>
      <w:divBdr>
        <w:top w:val="none" w:sz="0" w:space="0" w:color="auto"/>
        <w:left w:val="none" w:sz="0" w:space="0" w:color="auto"/>
        <w:bottom w:val="none" w:sz="0" w:space="0" w:color="auto"/>
        <w:right w:val="none" w:sz="0" w:space="0" w:color="auto"/>
      </w:divBdr>
    </w:div>
    <w:div w:id="173765093">
      <w:bodyDiv w:val="1"/>
      <w:marLeft w:val="0"/>
      <w:marRight w:val="0"/>
      <w:marTop w:val="0"/>
      <w:marBottom w:val="0"/>
      <w:divBdr>
        <w:top w:val="none" w:sz="0" w:space="0" w:color="auto"/>
        <w:left w:val="none" w:sz="0" w:space="0" w:color="auto"/>
        <w:bottom w:val="none" w:sz="0" w:space="0" w:color="auto"/>
        <w:right w:val="none" w:sz="0" w:space="0" w:color="auto"/>
      </w:divBdr>
    </w:div>
    <w:div w:id="175115030">
      <w:bodyDiv w:val="1"/>
      <w:marLeft w:val="0"/>
      <w:marRight w:val="0"/>
      <w:marTop w:val="0"/>
      <w:marBottom w:val="0"/>
      <w:divBdr>
        <w:top w:val="none" w:sz="0" w:space="0" w:color="auto"/>
        <w:left w:val="none" w:sz="0" w:space="0" w:color="auto"/>
        <w:bottom w:val="none" w:sz="0" w:space="0" w:color="auto"/>
        <w:right w:val="none" w:sz="0" w:space="0" w:color="auto"/>
      </w:divBdr>
    </w:div>
    <w:div w:id="182088891">
      <w:bodyDiv w:val="1"/>
      <w:marLeft w:val="0"/>
      <w:marRight w:val="0"/>
      <w:marTop w:val="0"/>
      <w:marBottom w:val="0"/>
      <w:divBdr>
        <w:top w:val="none" w:sz="0" w:space="0" w:color="auto"/>
        <w:left w:val="none" w:sz="0" w:space="0" w:color="auto"/>
        <w:bottom w:val="none" w:sz="0" w:space="0" w:color="auto"/>
        <w:right w:val="none" w:sz="0" w:space="0" w:color="auto"/>
      </w:divBdr>
    </w:div>
    <w:div w:id="187717862">
      <w:bodyDiv w:val="1"/>
      <w:marLeft w:val="0"/>
      <w:marRight w:val="0"/>
      <w:marTop w:val="0"/>
      <w:marBottom w:val="0"/>
      <w:divBdr>
        <w:top w:val="none" w:sz="0" w:space="0" w:color="auto"/>
        <w:left w:val="none" w:sz="0" w:space="0" w:color="auto"/>
        <w:bottom w:val="none" w:sz="0" w:space="0" w:color="auto"/>
        <w:right w:val="none" w:sz="0" w:space="0" w:color="auto"/>
      </w:divBdr>
    </w:div>
    <w:div w:id="247465516">
      <w:bodyDiv w:val="1"/>
      <w:marLeft w:val="0"/>
      <w:marRight w:val="0"/>
      <w:marTop w:val="0"/>
      <w:marBottom w:val="0"/>
      <w:divBdr>
        <w:top w:val="none" w:sz="0" w:space="0" w:color="auto"/>
        <w:left w:val="none" w:sz="0" w:space="0" w:color="auto"/>
        <w:bottom w:val="none" w:sz="0" w:space="0" w:color="auto"/>
        <w:right w:val="none" w:sz="0" w:space="0" w:color="auto"/>
      </w:divBdr>
    </w:div>
    <w:div w:id="257176600">
      <w:bodyDiv w:val="1"/>
      <w:marLeft w:val="0"/>
      <w:marRight w:val="0"/>
      <w:marTop w:val="0"/>
      <w:marBottom w:val="0"/>
      <w:divBdr>
        <w:top w:val="none" w:sz="0" w:space="0" w:color="auto"/>
        <w:left w:val="none" w:sz="0" w:space="0" w:color="auto"/>
        <w:bottom w:val="none" w:sz="0" w:space="0" w:color="auto"/>
        <w:right w:val="none" w:sz="0" w:space="0" w:color="auto"/>
      </w:divBdr>
    </w:div>
    <w:div w:id="272248394">
      <w:bodyDiv w:val="1"/>
      <w:marLeft w:val="0"/>
      <w:marRight w:val="0"/>
      <w:marTop w:val="0"/>
      <w:marBottom w:val="0"/>
      <w:divBdr>
        <w:top w:val="none" w:sz="0" w:space="0" w:color="auto"/>
        <w:left w:val="none" w:sz="0" w:space="0" w:color="auto"/>
        <w:bottom w:val="none" w:sz="0" w:space="0" w:color="auto"/>
        <w:right w:val="none" w:sz="0" w:space="0" w:color="auto"/>
      </w:divBdr>
    </w:div>
    <w:div w:id="305087603">
      <w:bodyDiv w:val="1"/>
      <w:marLeft w:val="0"/>
      <w:marRight w:val="0"/>
      <w:marTop w:val="0"/>
      <w:marBottom w:val="0"/>
      <w:divBdr>
        <w:top w:val="none" w:sz="0" w:space="0" w:color="auto"/>
        <w:left w:val="none" w:sz="0" w:space="0" w:color="auto"/>
        <w:bottom w:val="none" w:sz="0" w:space="0" w:color="auto"/>
        <w:right w:val="none" w:sz="0" w:space="0" w:color="auto"/>
      </w:divBdr>
    </w:div>
    <w:div w:id="305089129">
      <w:bodyDiv w:val="1"/>
      <w:marLeft w:val="0"/>
      <w:marRight w:val="0"/>
      <w:marTop w:val="0"/>
      <w:marBottom w:val="0"/>
      <w:divBdr>
        <w:top w:val="none" w:sz="0" w:space="0" w:color="auto"/>
        <w:left w:val="none" w:sz="0" w:space="0" w:color="auto"/>
        <w:bottom w:val="none" w:sz="0" w:space="0" w:color="auto"/>
        <w:right w:val="none" w:sz="0" w:space="0" w:color="auto"/>
      </w:divBdr>
    </w:div>
    <w:div w:id="338509868">
      <w:bodyDiv w:val="1"/>
      <w:marLeft w:val="0"/>
      <w:marRight w:val="0"/>
      <w:marTop w:val="0"/>
      <w:marBottom w:val="0"/>
      <w:divBdr>
        <w:top w:val="none" w:sz="0" w:space="0" w:color="auto"/>
        <w:left w:val="none" w:sz="0" w:space="0" w:color="auto"/>
        <w:bottom w:val="none" w:sz="0" w:space="0" w:color="auto"/>
        <w:right w:val="none" w:sz="0" w:space="0" w:color="auto"/>
      </w:divBdr>
    </w:div>
    <w:div w:id="345716345">
      <w:bodyDiv w:val="1"/>
      <w:marLeft w:val="0"/>
      <w:marRight w:val="0"/>
      <w:marTop w:val="0"/>
      <w:marBottom w:val="0"/>
      <w:divBdr>
        <w:top w:val="none" w:sz="0" w:space="0" w:color="auto"/>
        <w:left w:val="none" w:sz="0" w:space="0" w:color="auto"/>
        <w:bottom w:val="none" w:sz="0" w:space="0" w:color="auto"/>
        <w:right w:val="none" w:sz="0" w:space="0" w:color="auto"/>
      </w:divBdr>
    </w:div>
    <w:div w:id="353655787">
      <w:bodyDiv w:val="1"/>
      <w:marLeft w:val="0"/>
      <w:marRight w:val="0"/>
      <w:marTop w:val="0"/>
      <w:marBottom w:val="0"/>
      <w:divBdr>
        <w:top w:val="none" w:sz="0" w:space="0" w:color="auto"/>
        <w:left w:val="none" w:sz="0" w:space="0" w:color="auto"/>
        <w:bottom w:val="none" w:sz="0" w:space="0" w:color="auto"/>
        <w:right w:val="none" w:sz="0" w:space="0" w:color="auto"/>
      </w:divBdr>
    </w:div>
    <w:div w:id="356928100">
      <w:bodyDiv w:val="1"/>
      <w:marLeft w:val="0"/>
      <w:marRight w:val="0"/>
      <w:marTop w:val="0"/>
      <w:marBottom w:val="0"/>
      <w:divBdr>
        <w:top w:val="none" w:sz="0" w:space="0" w:color="auto"/>
        <w:left w:val="none" w:sz="0" w:space="0" w:color="auto"/>
        <w:bottom w:val="none" w:sz="0" w:space="0" w:color="auto"/>
        <w:right w:val="none" w:sz="0" w:space="0" w:color="auto"/>
      </w:divBdr>
      <w:divsChild>
        <w:div w:id="86923987">
          <w:marLeft w:val="0"/>
          <w:marRight w:val="0"/>
          <w:marTop w:val="0"/>
          <w:marBottom w:val="0"/>
          <w:divBdr>
            <w:top w:val="none" w:sz="0" w:space="0" w:color="auto"/>
            <w:left w:val="none" w:sz="0" w:space="0" w:color="auto"/>
            <w:bottom w:val="none" w:sz="0" w:space="0" w:color="auto"/>
            <w:right w:val="none" w:sz="0" w:space="0" w:color="auto"/>
          </w:divBdr>
          <w:divsChild>
            <w:div w:id="1272514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7531384">
      <w:bodyDiv w:val="1"/>
      <w:marLeft w:val="0"/>
      <w:marRight w:val="0"/>
      <w:marTop w:val="0"/>
      <w:marBottom w:val="0"/>
      <w:divBdr>
        <w:top w:val="none" w:sz="0" w:space="0" w:color="auto"/>
        <w:left w:val="none" w:sz="0" w:space="0" w:color="auto"/>
        <w:bottom w:val="none" w:sz="0" w:space="0" w:color="auto"/>
        <w:right w:val="none" w:sz="0" w:space="0" w:color="auto"/>
      </w:divBdr>
    </w:div>
    <w:div w:id="383334128">
      <w:bodyDiv w:val="1"/>
      <w:marLeft w:val="0"/>
      <w:marRight w:val="0"/>
      <w:marTop w:val="0"/>
      <w:marBottom w:val="0"/>
      <w:divBdr>
        <w:top w:val="none" w:sz="0" w:space="0" w:color="auto"/>
        <w:left w:val="none" w:sz="0" w:space="0" w:color="auto"/>
        <w:bottom w:val="none" w:sz="0" w:space="0" w:color="auto"/>
        <w:right w:val="none" w:sz="0" w:space="0" w:color="auto"/>
      </w:divBdr>
    </w:div>
    <w:div w:id="386341902">
      <w:bodyDiv w:val="1"/>
      <w:marLeft w:val="0"/>
      <w:marRight w:val="0"/>
      <w:marTop w:val="0"/>
      <w:marBottom w:val="0"/>
      <w:divBdr>
        <w:top w:val="none" w:sz="0" w:space="0" w:color="auto"/>
        <w:left w:val="none" w:sz="0" w:space="0" w:color="auto"/>
        <w:bottom w:val="none" w:sz="0" w:space="0" w:color="auto"/>
        <w:right w:val="none" w:sz="0" w:space="0" w:color="auto"/>
      </w:divBdr>
    </w:div>
    <w:div w:id="389696111">
      <w:bodyDiv w:val="1"/>
      <w:marLeft w:val="0"/>
      <w:marRight w:val="0"/>
      <w:marTop w:val="0"/>
      <w:marBottom w:val="0"/>
      <w:divBdr>
        <w:top w:val="none" w:sz="0" w:space="0" w:color="auto"/>
        <w:left w:val="none" w:sz="0" w:space="0" w:color="auto"/>
        <w:bottom w:val="none" w:sz="0" w:space="0" w:color="auto"/>
        <w:right w:val="none" w:sz="0" w:space="0" w:color="auto"/>
      </w:divBdr>
    </w:div>
    <w:div w:id="390273314">
      <w:bodyDiv w:val="1"/>
      <w:marLeft w:val="0"/>
      <w:marRight w:val="0"/>
      <w:marTop w:val="0"/>
      <w:marBottom w:val="0"/>
      <w:divBdr>
        <w:top w:val="none" w:sz="0" w:space="0" w:color="auto"/>
        <w:left w:val="none" w:sz="0" w:space="0" w:color="auto"/>
        <w:bottom w:val="none" w:sz="0" w:space="0" w:color="auto"/>
        <w:right w:val="none" w:sz="0" w:space="0" w:color="auto"/>
      </w:divBdr>
      <w:divsChild>
        <w:div w:id="1325671557">
          <w:marLeft w:val="0"/>
          <w:marRight w:val="0"/>
          <w:marTop w:val="0"/>
          <w:marBottom w:val="0"/>
          <w:divBdr>
            <w:top w:val="none" w:sz="0" w:space="0" w:color="auto"/>
            <w:left w:val="none" w:sz="0" w:space="0" w:color="auto"/>
            <w:bottom w:val="none" w:sz="0" w:space="0" w:color="auto"/>
            <w:right w:val="none" w:sz="0" w:space="0" w:color="auto"/>
          </w:divBdr>
          <w:divsChild>
            <w:div w:id="57483508">
              <w:marLeft w:val="0"/>
              <w:marRight w:val="0"/>
              <w:marTop w:val="0"/>
              <w:marBottom w:val="0"/>
              <w:divBdr>
                <w:top w:val="none" w:sz="0" w:space="0" w:color="auto"/>
                <w:left w:val="none" w:sz="0" w:space="0" w:color="auto"/>
                <w:bottom w:val="none" w:sz="0" w:space="0" w:color="auto"/>
                <w:right w:val="none" w:sz="0" w:space="0" w:color="auto"/>
              </w:divBdr>
            </w:div>
          </w:divsChild>
        </w:div>
        <w:div w:id="1637177772">
          <w:marLeft w:val="0"/>
          <w:marRight w:val="0"/>
          <w:marTop w:val="0"/>
          <w:marBottom w:val="0"/>
          <w:divBdr>
            <w:top w:val="none" w:sz="0" w:space="0" w:color="auto"/>
            <w:left w:val="none" w:sz="0" w:space="0" w:color="auto"/>
            <w:bottom w:val="none" w:sz="0" w:space="0" w:color="auto"/>
            <w:right w:val="none" w:sz="0" w:space="0" w:color="auto"/>
          </w:divBdr>
          <w:divsChild>
            <w:div w:id="966817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1395707">
      <w:bodyDiv w:val="1"/>
      <w:marLeft w:val="0"/>
      <w:marRight w:val="0"/>
      <w:marTop w:val="0"/>
      <w:marBottom w:val="0"/>
      <w:divBdr>
        <w:top w:val="none" w:sz="0" w:space="0" w:color="auto"/>
        <w:left w:val="none" w:sz="0" w:space="0" w:color="auto"/>
        <w:bottom w:val="none" w:sz="0" w:space="0" w:color="auto"/>
        <w:right w:val="none" w:sz="0" w:space="0" w:color="auto"/>
      </w:divBdr>
      <w:divsChild>
        <w:div w:id="97741427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69084608">
              <w:marLeft w:val="0"/>
              <w:marRight w:val="0"/>
              <w:marTop w:val="0"/>
              <w:marBottom w:val="0"/>
              <w:divBdr>
                <w:top w:val="none" w:sz="0" w:space="0" w:color="auto"/>
                <w:left w:val="none" w:sz="0" w:space="0" w:color="auto"/>
                <w:bottom w:val="none" w:sz="0" w:space="0" w:color="auto"/>
                <w:right w:val="none" w:sz="0" w:space="0" w:color="auto"/>
              </w:divBdr>
              <w:divsChild>
                <w:div w:id="622930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9020621">
          <w:blockQuote w:val="1"/>
          <w:marLeft w:val="720"/>
          <w:marRight w:val="720"/>
          <w:marTop w:val="100"/>
          <w:marBottom w:val="100"/>
          <w:divBdr>
            <w:top w:val="none" w:sz="0" w:space="0" w:color="auto"/>
            <w:left w:val="none" w:sz="0" w:space="0" w:color="auto"/>
            <w:bottom w:val="none" w:sz="0" w:space="0" w:color="auto"/>
            <w:right w:val="none" w:sz="0" w:space="0" w:color="auto"/>
          </w:divBdr>
        </w:div>
        <w:div w:id="121092329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14279405">
              <w:marLeft w:val="0"/>
              <w:marRight w:val="0"/>
              <w:marTop w:val="0"/>
              <w:marBottom w:val="0"/>
              <w:divBdr>
                <w:top w:val="none" w:sz="0" w:space="0" w:color="auto"/>
                <w:left w:val="none" w:sz="0" w:space="0" w:color="auto"/>
                <w:bottom w:val="none" w:sz="0" w:space="0" w:color="auto"/>
                <w:right w:val="none" w:sz="0" w:space="0" w:color="auto"/>
              </w:divBdr>
              <w:divsChild>
                <w:div w:id="387338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931770">
          <w:blockQuote w:val="1"/>
          <w:marLeft w:val="720"/>
          <w:marRight w:val="720"/>
          <w:marTop w:val="100"/>
          <w:marBottom w:val="100"/>
          <w:divBdr>
            <w:top w:val="none" w:sz="0" w:space="0" w:color="auto"/>
            <w:left w:val="none" w:sz="0" w:space="0" w:color="auto"/>
            <w:bottom w:val="none" w:sz="0" w:space="0" w:color="auto"/>
            <w:right w:val="none" w:sz="0" w:space="0" w:color="auto"/>
          </w:divBdr>
        </w:div>
        <w:div w:id="1812213603">
          <w:blockQuote w:val="1"/>
          <w:marLeft w:val="720"/>
          <w:marRight w:val="720"/>
          <w:marTop w:val="100"/>
          <w:marBottom w:val="100"/>
          <w:divBdr>
            <w:top w:val="none" w:sz="0" w:space="0" w:color="auto"/>
            <w:left w:val="none" w:sz="0" w:space="0" w:color="auto"/>
            <w:bottom w:val="none" w:sz="0" w:space="0" w:color="auto"/>
            <w:right w:val="none" w:sz="0" w:space="0" w:color="auto"/>
          </w:divBdr>
        </w:div>
        <w:div w:id="21150496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03454397">
      <w:bodyDiv w:val="1"/>
      <w:marLeft w:val="0"/>
      <w:marRight w:val="0"/>
      <w:marTop w:val="0"/>
      <w:marBottom w:val="0"/>
      <w:divBdr>
        <w:top w:val="none" w:sz="0" w:space="0" w:color="auto"/>
        <w:left w:val="none" w:sz="0" w:space="0" w:color="auto"/>
        <w:bottom w:val="none" w:sz="0" w:space="0" w:color="auto"/>
        <w:right w:val="none" w:sz="0" w:space="0" w:color="auto"/>
      </w:divBdr>
    </w:div>
    <w:div w:id="412051865">
      <w:bodyDiv w:val="1"/>
      <w:marLeft w:val="0"/>
      <w:marRight w:val="0"/>
      <w:marTop w:val="0"/>
      <w:marBottom w:val="0"/>
      <w:divBdr>
        <w:top w:val="none" w:sz="0" w:space="0" w:color="auto"/>
        <w:left w:val="none" w:sz="0" w:space="0" w:color="auto"/>
        <w:bottom w:val="none" w:sz="0" w:space="0" w:color="auto"/>
        <w:right w:val="none" w:sz="0" w:space="0" w:color="auto"/>
      </w:divBdr>
    </w:div>
    <w:div w:id="441609135">
      <w:bodyDiv w:val="1"/>
      <w:marLeft w:val="0"/>
      <w:marRight w:val="0"/>
      <w:marTop w:val="0"/>
      <w:marBottom w:val="0"/>
      <w:divBdr>
        <w:top w:val="none" w:sz="0" w:space="0" w:color="auto"/>
        <w:left w:val="none" w:sz="0" w:space="0" w:color="auto"/>
        <w:bottom w:val="none" w:sz="0" w:space="0" w:color="auto"/>
        <w:right w:val="none" w:sz="0" w:space="0" w:color="auto"/>
      </w:divBdr>
    </w:div>
    <w:div w:id="455757987">
      <w:bodyDiv w:val="1"/>
      <w:marLeft w:val="0"/>
      <w:marRight w:val="0"/>
      <w:marTop w:val="0"/>
      <w:marBottom w:val="0"/>
      <w:divBdr>
        <w:top w:val="none" w:sz="0" w:space="0" w:color="auto"/>
        <w:left w:val="none" w:sz="0" w:space="0" w:color="auto"/>
        <w:bottom w:val="none" w:sz="0" w:space="0" w:color="auto"/>
        <w:right w:val="none" w:sz="0" w:space="0" w:color="auto"/>
      </w:divBdr>
    </w:div>
    <w:div w:id="457190195">
      <w:bodyDiv w:val="1"/>
      <w:marLeft w:val="0"/>
      <w:marRight w:val="0"/>
      <w:marTop w:val="0"/>
      <w:marBottom w:val="0"/>
      <w:divBdr>
        <w:top w:val="none" w:sz="0" w:space="0" w:color="auto"/>
        <w:left w:val="none" w:sz="0" w:space="0" w:color="auto"/>
        <w:bottom w:val="none" w:sz="0" w:space="0" w:color="auto"/>
        <w:right w:val="none" w:sz="0" w:space="0" w:color="auto"/>
      </w:divBdr>
    </w:div>
    <w:div w:id="460534647">
      <w:bodyDiv w:val="1"/>
      <w:marLeft w:val="0"/>
      <w:marRight w:val="0"/>
      <w:marTop w:val="0"/>
      <w:marBottom w:val="0"/>
      <w:divBdr>
        <w:top w:val="none" w:sz="0" w:space="0" w:color="auto"/>
        <w:left w:val="none" w:sz="0" w:space="0" w:color="auto"/>
        <w:bottom w:val="none" w:sz="0" w:space="0" w:color="auto"/>
        <w:right w:val="none" w:sz="0" w:space="0" w:color="auto"/>
      </w:divBdr>
    </w:div>
    <w:div w:id="475151103">
      <w:bodyDiv w:val="1"/>
      <w:marLeft w:val="0"/>
      <w:marRight w:val="0"/>
      <w:marTop w:val="0"/>
      <w:marBottom w:val="0"/>
      <w:divBdr>
        <w:top w:val="none" w:sz="0" w:space="0" w:color="auto"/>
        <w:left w:val="none" w:sz="0" w:space="0" w:color="auto"/>
        <w:bottom w:val="none" w:sz="0" w:space="0" w:color="auto"/>
        <w:right w:val="none" w:sz="0" w:space="0" w:color="auto"/>
      </w:divBdr>
    </w:div>
    <w:div w:id="491407203">
      <w:bodyDiv w:val="1"/>
      <w:marLeft w:val="0"/>
      <w:marRight w:val="0"/>
      <w:marTop w:val="0"/>
      <w:marBottom w:val="0"/>
      <w:divBdr>
        <w:top w:val="none" w:sz="0" w:space="0" w:color="auto"/>
        <w:left w:val="none" w:sz="0" w:space="0" w:color="auto"/>
        <w:bottom w:val="none" w:sz="0" w:space="0" w:color="auto"/>
        <w:right w:val="none" w:sz="0" w:space="0" w:color="auto"/>
      </w:divBdr>
    </w:div>
    <w:div w:id="498039163">
      <w:bodyDiv w:val="1"/>
      <w:marLeft w:val="0"/>
      <w:marRight w:val="0"/>
      <w:marTop w:val="0"/>
      <w:marBottom w:val="0"/>
      <w:divBdr>
        <w:top w:val="none" w:sz="0" w:space="0" w:color="auto"/>
        <w:left w:val="none" w:sz="0" w:space="0" w:color="auto"/>
        <w:bottom w:val="none" w:sz="0" w:space="0" w:color="auto"/>
        <w:right w:val="none" w:sz="0" w:space="0" w:color="auto"/>
      </w:divBdr>
    </w:div>
    <w:div w:id="522089910">
      <w:bodyDiv w:val="1"/>
      <w:marLeft w:val="0"/>
      <w:marRight w:val="0"/>
      <w:marTop w:val="0"/>
      <w:marBottom w:val="0"/>
      <w:divBdr>
        <w:top w:val="none" w:sz="0" w:space="0" w:color="auto"/>
        <w:left w:val="none" w:sz="0" w:space="0" w:color="auto"/>
        <w:bottom w:val="none" w:sz="0" w:space="0" w:color="auto"/>
        <w:right w:val="none" w:sz="0" w:space="0" w:color="auto"/>
      </w:divBdr>
    </w:div>
    <w:div w:id="525170549">
      <w:bodyDiv w:val="1"/>
      <w:marLeft w:val="0"/>
      <w:marRight w:val="0"/>
      <w:marTop w:val="0"/>
      <w:marBottom w:val="0"/>
      <w:divBdr>
        <w:top w:val="none" w:sz="0" w:space="0" w:color="auto"/>
        <w:left w:val="none" w:sz="0" w:space="0" w:color="auto"/>
        <w:bottom w:val="none" w:sz="0" w:space="0" w:color="auto"/>
        <w:right w:val="none" w:sz="0" w:space="0" w:color="auto"/>
      </w:divBdr>
    </w:div>
    <w:div w:id="536814672">
      <w:bodyDiv w:val="1"/>
      <w:marLeft w:val="0"/>
      <w:marRight w:val="0"/>
      <w:marTop w:val="0"/>
      <w:marBottom w:val="0"/>
      <w:divBdr>
        <w:top w:val="none" w:sz="0" w:space="0" w:color="auto"/>
        <w:left w:val="none" w:sz="0" w:space="0" w:color="auto"/>
        <w:bottom w:val="none" w:sz="0" w:space="0" w:color="auto"/>
        <w:right w:val="none" w:sz="0" w:space="0" w:color="auto"/>
      </w:divBdr>
    </w:div>
    <w:div w:id="538396224">
      <w:bodyDiv w:val="1"/>
      <w:marLeft w:val="0"/>
      <w:marRight w:val="0"/>
      <w:marTop w:val="0"/>
      <w:marBottom w:val="0"/>
      <w:divBdr>
        <w:top w:val="none" w:sz="0" w:space="0" w:color="auto"/>
        <w:left w:val="none" w:sz="0" w:space="0" w:color="auto"/>
        <w:bottom w:val="none" w:sz="0" w:space="0" w:color="auto"/>
        <w:right w:val="none" w:sz="0" w:space="0" w:color="auto"/>
      </w:divBdr>
      <w:divsChild>
        <w:div w:id="1024675295">
          <w:marLeft w:val="0"/>
          <w:marRight w:val="0"/>
          <w:marTop w:val="0"/>
          <w:marBottom w:val="0"/>
          <w:divBdr>
            <w:top w:val="none" w:sz="0" w:space="0" w:color="auto"/>
            <w:left w:val="none" w:sz="0" w:space="0" w:color="auto"/>
            <w:bottom w:val="none" w:sz="0" w:space="0" w:color="auto"/>
            <w:right w:val="none" w:sz="0" w:space="0" w:color="auto"/>
          </w:divBdr>
          <w:divsChild>
            <w:div w:id="1585871785">
              <w:marLeft w:val="0"/>
              <w:marRight w:val="0"/>
              <w:marTop w:val="0"/>
              <w:marBottom w:val="0"/>
              <w:divBdr>
                <w:top w:val="none" w:sz="0" w:space="0" w:color="auto"/>
                <w:left w:val="none" w:sz="0" w:space="0" w:color="auto"/>
                <w:bottom w:val="none" w:sz="0" w:space="0" w:color="auto"/>
                <w:right w:val="none" w:sz="0" w:space="0" w:color="auto"/>
              </w:divBdr>
            </w:div>
          </w:divsChild>
        </w:div>
        <w:div w:id="651258762">
          <w:marLeft w:val="0"/>
          <w:marRight w:val="0"/>
          <w:marTop w:val="0"/>
          <w:marBottom w:val="0"/>
          <w:divBdr>
            <w:top w:val="none" w:sz="0" w:space="0" w:color="auto"/>
            <w:left w:val="none" w:sz="0" w:space="0" w:color="auto"/>
            <w:bottom w:val="none" w:sz="0" w:space="0" w:color="auto"/>
            <w:right w:val="none" w:sz="0" w:space="0" w:color="auto"/>
          </w:divBdr>
          <w:divsChild>
            <w:div w:id="1456604858">
              <w:marLeft w:val="0"/>
              <w:marRight w:val="0"/>
              <w:marTop w:val="0"/>
              <w:marBottom w:val="0"/>
              <w:divBdr>
                <w:top w:val="none" w:sz="0" w:space="0" w:color="auto"/>
                <w:left w:val="none" w:sz="0" w:space="0" w:color="auto"/>
                <w:bottom w:val="none" w:sz="0" w:space="0" w:color="auto"/>
                <w:right w:val="none" w:sz="0" w:space="0" w:color="auto"/>
              </w:divBdr>
            </w:div>
          </w:divsChild>
        </w:div>
        <w:div w:id="1028261263">
          <w:marLeft w:val="0"/>
          <w:marRight w:val="0"/>
          <w:marTop w:val="0"/>
          <w:marBottom w:val="0"/>
          <w:divBdr>
            <w:top w:val="none" w:sz="0" w:space="0" w:color="auto"/>
            <w:left w:val="none" w:sz="0" w:space="0" w:color="auto"/>
            <w:bottom w:val="none" w:sz="0" w:space="0" w:color="auto"/>
            <w:right w:val="none" w:sz="0" w:space="0" w:color="auto"/>
          </w:divBdr>
          <w:divsChild>
            <w:div w:id="1435855964">
              <w:marLeft w:val="0"/>
              <w:marRight w:val="0"/>
              <w:marTop w:val="0"/>
              <w:marBottom w:val="0"/>
              <w:divBdr>
                <w:top w:val="none" w:sz="0" w:space="0" w:color="auto"/>
                <w:left w:val="none" w:sz="0" w:space="0" w:color="auto"/>
                <w:bottom w:val="none" w:sz="0" w:space="0" w:color="auto"/>
                <w:right w:val="none" w:sz="0" w:space="0" w:color="auto"/>
              </w:divBdr>
            </w:div>
          </w:divsChild>
        </w:div>
        <w:div w:id="1407611082">
          <w:marLeft w:val="0"/>
          <w:marRight w:val="0"/>
          <w:marTop w:val="0"/>
          <w:marBottom w:val="0"/>
          <w:divBdr>
            <w:top w:val="none" w:sz="0" w:space="0" w:color="auto"/>
            <w:left w:val="none" w:sz="0" w:space="0" w:color="auto"/>
            <w:bottom w:val="none" w:sz="0" w:space="0" w:color="auto"/>
            <w:right w:val="none" w:sz="0" w:space="0" w:color="auto"/>
          </w:divBdr>
          <w:divsChild>
            <w:div w:id="1193884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6955882">
      <w:bodyDiv w:val="1"/>
      <w:marLeft w:val="0"/>
      <w:marRight w:val="0"/>
      <w:marTop w:val="0"/>
      <w:marBottom w:val="0"/>
      <w:divBdr>
        <w:top w:val="none" w:sz="0" w:space="0" w:color="auto"/>
        <w:left w:val="none" w:sz="0" w:space="0" w:color="auto"/>
        <w:bottom w:val="none" w:sz="0" w:space="0" w:color="auto"/>
        <w:right w:val="none" w:sz="0" w:space="0" w:color="auto"/>
      </w:divBdr>
    </w:div>
    <w:div w:id="569535680">
      <w:bodyDiv w:val="1"/>
      <w:marLeft w:val="0"/>
      <w:marRight w:val="0"/>
      <w:marTop w:val="0"/>
      <w:marBottom w:val="0"/>
      <w:divBdr>
        <w:top w:val="none" w:sz="0" w:space="0" w:color="auto"/>
        <w:left w:val="none" w:sz="0" w:space="0" w:color="auto"/>
        <w:bottom w:val="none" w:sz="0" w:space="0" w:color="auto"/>
        <w:right w:val="none" w:sz="0" w:space="0" w:color="auto"/>
      </w:divBdr>
    </w:div>
    <w:div w:id="578103836">
      <w:bodyDiv w:val="1"/>
      <w:marLeft w:val="0"/>
      <w:marRight w:val="0"/>
      <w:marTop w:val="0"/>
      <w:marBottom w:val="0"/>
      <w:divBdr>
        <w:top w:val="none" w:sz="0" w:space="0" w:color="auto"/>
        <w:left w:val="none" w:sz="0" w:space="0" w:color="auto"/>
        <w:bottom w:val="none" w:sz="0" w:space="0" w:color="auto"/>
        <w:right w:val="none" w:sz="0" w:space="0" w:color="auto"/>
      </w:divBdr>
    </w:div>
    <w:div w:id="578831741">
      <w:bodyDiv w:val="1"/>
      <w:marLeft w:val="0"/>
      <w:marRight w:val="0"/>
      <w:marTop w:val="0"/>
      <w:marBottom w:val="0"/>
      <w:divBdr>
        <w:top w:val="none" w:sz="0" w:space="0" w:color="auto"/>
        <w:left w:val="none" w:sz="0" w:space="0" w:color="auto"/>
        <w:bottom w:val="none" w:sz="0" w:space="0" w:color="auto"/>
        <w:right w:val="none" w:sz="0" w:space="0" w:color="auto"/>
      </w:divBdr>
    </w:div>
    <w:div w:id="596254670">
      <w:bodyDiv w:val="1"/>
      <w:marLeft w:val="0"/>
      <w:marRight w:val="0"/>
      <w:marTop w:val="0"/>
      <w:marBottom w:val="0"/>
      <w:divBdr>
        <w:top w:val="none" w:sz="0" w:space="0" w:color="auto"/>
        <w:left w:val="none" w:sz="0" w:space="0" w:color="auto"/>
        <w:bottom w:val="none" w:sz="0" w:space="0" w:color="auto"/>
        <w:right w:val="none" w:sz="0" w:space="0" w:color="auto"/>
      </w:divBdr>
    </w:div>
    <w:div w:id="608977008">
      <w:bodyDiv w:val="1"/>
      <w:marLeft w:val="0"/>
      <w:marRight w:val="0"/>
      <w:marTop w:val="0"/>
      <w:marBottom w:val="0"/>
      <w:divBdr>
        <w:top w:val="none" w:sz="0" w:space="0" w:color="auto"/>
        <w:left w:val="none" w:sz="0" w:space="0" w:color="auto"/>
        <w:bottom w:val="none" w:sz="0" w:space="0" w:color="auto"/>
        <w:right w:val="none" w:sz="0" w:space="0" w:color="auto"/>
      </w:divBdr>
    </w:div>
    <w:div w:id="616529700">
      <w:bodyDiv w:val="1"/>
      <w:marLeft w:val="0"/>
      <w:marRight w:val="0"/>
      <w:marTop w:val="0"/>
      <w:marBottom w:val="0"/>
      <w:divBdr>
        <w:top w:val="none" w:sz="0" w:space="0" w:color="auto"/>
        <w:left w:val="none" w:sz="0" w:space="0" w:color="auto"/>
        <w:bottom w:val="none" w:sz="0" w:space="0" w:color="auto"/>
        <w:right w:val="none" w:sz="0" w:space="0" w:color="auto"/>
      </w:divBdr>
    </w:div>
    <w:div w:id="626745175">
      <w:bodyDiv w:val="1"/>
      <w:marLeft w:val="0"/>
      <w:marRight w:val="0"/>
      <w:marTop w:val="0"/>
      <w:marBottom w:val="0"/>
      <w:divBdr>
        <w:top w:val="none" w:sz="0" w:space="0" w:color="auto"/>
        <w:left w:val="none" w:sz="0" w:space="0" w:color="auto"/>
        <w:bottom w:val="none" w:sz="0" w:space="0" w:color="auto"/>
        <w:right w:val="none" w:sz="0" w:space="0" w:color="auto"/>
      </w:divBdr>
    </w:div>
    <w:div w:id="640227728">
      <w:bodyDiv w:val="1"/>
      <w:marLeft w:val="0"/>
      <w:marRight w:val="0"/>
      <w:marTop w:val="0"/>
      <w:marBottom w:val="0"/>
      <w:divBdr>
        <w:top w:val="none" w:sz="0" w:space="0" w:color="auto"/>
        <w:left w:val="none" w:sz="0" w:space="0" w:color="auto"/>
        <w:bottom w:val="none" w:sz="0" w:space="0" w:color="auto"/>
        <w:right w:val="none" w:sz="0" w:space="0" w:color="auto"/>
      </w:divBdr>
    </w:div>
    <w:div w:id="640841762">
      <w:bodyDiv w:val="1"/>
      <w:marLeft w:val="0"/>
      <w:marRight w:val="0"/>
      <w:marTop w:val="0"/>
      <w:marBottom w:val="0"/>
      <w:divBdr>
        <w:top w:val="none" w:sz="0" w:space="0" w:color="auto"/>
        <w:left w:val="none" w:sz="0" w:space="0" w:color="auto"/>
        <w:bottom w:val="none" w:sz="0" w:space="0" w:color="auto"/>
        <w:right w:val="none" w:sz="0" w:space="0" w:color="auto"/>
      </w:divBdr>
    </w:div>
    <w:div w:id="651328381">
      <w:bodyDiv w:val="1"/>
      <w:marLeft w:val="0"/>
      <w:marRight w:val="0"/>
      <w:marTop w:val="0"/>
      <w:marBottom w:val="0"/>
      <w:divBdr>
        <w:top w:val="none" w:sz="0" w:space="0" w:color="auto"/>
        <w:left w:val="none" w:sz="0" w:space="0" w:color="auto"/>
        <w:bottom w:val="none" w:sz="0" w:space="0" w:color="auto"/>
        <w:right w:val="none" w:sz="0" w:space="0" w:color="auto"/>
      </w:divBdr>
    </w:div>
    <w:div w:id="651980762">
      <w:bodyDiv w:val="1"/>
      <w:marLeft w:val="0"/>
      <w:marRight w:val="0"/>
      <w:marTop w:val="0"/>
      <w:marBottom w:val="0"/>
      <w:divBdr>
        <w:top w:val="none" w:sz="0" w:space="0" w:color="auto"/>
        <w:left w:val="none" w:sz="0" w:space="0" w:color="auto"/>
        <w:bottom w:val="none" w:sz="0" w:space="0" w:color="auto"/>
        <w:right w:val="none" w:sz="0" w:space="0" w:color="auto"/>
      </w:divBdr>
    </w:div>
    <w:div w:id="656348717">
      <w:bodyDiv w:val="1"/>
      <w:marLeft w:val="0"/>
      <w:marRight w:val="0"/>
      <w:marTop w:val="0"/>
      <w:marBottom w:val="0"/>
      <w:divBdr>
        <w:top w:val="none" w:sz="0" w:space="0" w:color="auto"/>
        <w:left w:val="none" w:sz="0" w:space="0" w:color="auto"/>
        <w:bottom w:val="none" w:sz="0" w:space="0" w:color="auto"/>
        <w:right w:val="none" w:sz="0" w:space="0" w:color="auto"/>
      </w:divBdr>
    </w:div>
    <w:div w:id="660931720">
      <w:bodyDiv w:val="1"/>
      <w:marLeft w:val="0"/>
      <w:marRight w:val="0"/>
      <w:marTop w:val="0"/>
      <w:marBottom w:val="0"/>
      <w:divBdr>
        <w:top w:val="none" w:sz="0" w:space="0" w:color="auto"/>
        <w:left w:val="none" w:sz="0" w:space="0" w:color="auto"/>
        <w:bottom w:val="none" w:sz="0" w:space="0" w:color="auto"/>
        <w:right w:val="none" w:sz="0" w:space="0" w:color="auto"/>
      </w:divBdr>
    </w:div>
    <w:div w:id="662858388">
      <w:bodyDiv w:val="1"/>
      <w:marLeft w:val="0"/>
      <w:marRight w:val="0"/>
      <w:marTop w:val="0"/>
      <w:marBottom w:val="0"/>
      <w:divBdr>
        <w:top w:val="none" w:sz="0" w:space="0" w:color="auto"/>
        <w:left w:val="none" w:sz="0" w:space="0" w:color="auto"/>
        <w:bottom w:val="none" w:sz="0" w:space="0" w:color="auto"/>
        <w:right w:val="none" w:sz="0" w:space="0" w:color="auto"/>
      </w:divBdr>
    </w:div>
    <w:div w:id="681510841">
      <w:bodyDiv w:val="1"/>
      <w:marLeft w:val="0"/>
      <w:marRight w:val="0"/>
      <w:marTop w:val="0"/>
      <w:marBottom w:val="0"/>
      <w:divBdr>
        <w:top w:val="none" w:sz="0" w:space="0" w:color="auto"/>
        <w:left w:val="none" w:sz="0" w:space="0" w:color="auto"/>
        <w:bottom w:val="none" w:sz="0" w:space="0" w:color="auto"/>
        <w:right w:val="none" w:sz="0" w:space="0" w:color="auto"/>
      </w:divBdr>
    </w:div>
    <w:div w:id="683289037">
      <w:bodyDiv w:val="1"/>
      <w:marLeft w:val="0"/>
      <w:marRight w:val="0"/>
      <w:marTop w:val="0"/>
      <w:marBottom w:val="0"/>
      <w:divBdr>
        <w:top w:val="none" w:sz="0" w:space="0" w:color="auto"/>
        <w:left w:val="none" w:sz="0" w:space="0" w:color="auto"/>
        <w:bottom w:val="none" w:sz="0" w:space="0" w:color="auto"/>
        <w:right w:val="none" w:sz="0" w:space="0" w:color="auto"/>
      </w:divBdr>
    </w:div>
    <w:div w:id="686179503">
      <w:bodyDiv w:val="1"/>
      <w:marLeft w:val="0"/>
      <w:marRight w:val="0"/>
      <w:marTop w:val="0"/>
      <w:marBottom w:val="0"/>
      <w:divBdr>
        <w:top w:val="none" w:sz="0" w:space="0" w:color="auto"/>
        <w:left w:val="none" w:sz="0" w:space="0" w:color="auto"/>
        <w:bottom w:val="none" w:sz="0" w:space="0" w:color="auto"/>
        <w:right w:val="none" w:sz="0" w:space="0" w:color="auto"/>
      </w:divBdr>
    </w:div>
    <w:div w:id="699822266">
      <w:bodyDiv w:val="1"/>
      <w:marLeft w:val="0"/>
      <w:marRight w:val="0"/>
      <w:marTop w:val="0"/>
      <w:marBottom w:val="0"/>
      <w:divBdr>
        <w:top w:val="none" w:sz="0" w:space="0" w:color="auto"/>
        <w:left w:val="none" w:sz="0" w:space="0" w:color="auto"/>
        <w:bottom w:val="none" w:sz="0" w:space="0" w:color="auto"/>
        <w:right w:val="none" w:sz="0" w:space="0" w:color="auto"/>
      </w:divBdr>
    </w:div>
    <w:div w:id="705566102">
      <w:bodyDiv w:val="1"/>
      <w:marLeft w:val="0"/>
      <w:marRight w:val="0"/>
      <w:marTop w:val="0"/>
      <w:marBottom w:val="0"/>
      <w:divBdr>
        <w:top w:val="none" w:sz="0" w:space="0" w:color="auto"/>
        <w:left w:val="none" w:sz="0" w:space="0" w:color="auto"/>
        <w:bottom w:val="none" w:sz="0" w:space="0" w:color="auto"/>
        <w:right w:val="none" w:sz="0" w:space="0" w:color="auto"/>
      </w:divBdr>
    </w:div>
    <w:div w:id="715084839">
      <w:bodyDiv w:val="1"/>
      <w:marLeft w:val="0"/>
      <w:marRight w:val="0"/>
      <w:marTop w:val="0"/>
      <w:marBottom w:val="0"/>
      <w:divBdr>
        <w:top w:val="none" w:sz="0" w:space="0" w:color="auto"/>
        <w:left w:val="none" w:sz="0" w:space="0" w:color="auto"/>
        <w:bottom w:val="none" w:sz="0" w:space="0" w:color="auto"/>
        <w:right w:val="none" w:sz="0" w:space="0" w:color="auto"/>
      </w:divBdr>
      <w:divsChild>
        <w:div w:id="1888493613">
          <w:marLeft w:val="0"/>
          <w:marRight w:val="0"/>
          <w:marTop w:val="0"/>
          <w:marBottom w:val="0"/>
          <w:divBdr>
            <w:top w:val="none" w:sz="0" w:space="0" w:color="auto"/>
            <w:left w:val="none" w:sz="0" w:space="0" w:color="auto"/>
            <w:bottom w:val="none" w:sz="0" w:space="0" w:color="auto"/>
            <w:right w:val="none" w:sz="0" w:space="0" w:color="auto"/>
          </w:divBdr>
          <w:divsChild>
            <w:div w:id="2119333632">
              <w:marLeft w:val="0"/>
              <w:marRight w:val="0"/>
              <w:marTop w:val="0"/>
              <w:marBottom w:val="0"/>
              <w:divBdr>
                <w:top w:val="none" w:sz="0" w:space="0" w:color="auto"/>
                <w:left w:val="none" w:sz="0" w:space="0" w:color="auto"/>
                <w:bottom w:val="none" w:sz="0" w:space="0" w:color="auto"/>
                <w:right w:val="none" w:sz="0" w:space="0" w:color="auto"/>
              </w:divBdr>
            </w:div>
          </w:divsChild>
        </w:div>
        <w:div w:id="1717779239">
          <w:marLeft w:val="0"/>
          <w:marRight w:val="0"/>
          <w:marTop w:val="0"/>
          <w:marBottom w:val="0"/>
          <w:divBdr>
            <w:top w:val="none" w:sz="0" w:space="0" w:color="auto"/>
            <w:left w:val="none" w:sz="0" w:space="0" w:color="auto"/>
            <w:bottom w:val="none" w:sz="0" w:space="0" w:color="auto"/>
            <w:right w:val="none" w:sz="0" w:space="0" w:color="auto"/>
          </w:divBdr>
          <w:divsChild>
            <w:div w:id="920136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9600435">
      <w:bodyDiv w:val="1"/>
      <w:marLeft w:val="0"/>
      <w:marRight w:val="0"/>
      <w:marTop w:val="0"/>
      <w:marBottom w:val="0"/>
      <w:divBdr>
        <w:top w:val="none" w:sz="0" w:space="0" w:color="auto"/>
        <w:left w:val="none" w:sz="0" w:space="0" w:color="auto"/>
        <w:bottom w:val="none" w:sz="0" w:space="0" w:color="auto"/>
        <w:right w:val="none" w:sz="0" w:space="0" w:color="auto"/>
      </w:divBdr>
    </w:div>
    <w:div w:id="796266027">
      <w:bodyDiv w:val="1"/>
      <w:marLeft w:val="0"/>
      <w:marRight w:val="0"/>
      <w:marTop w:val="0"/>
      <w:marBottom w:val="0"/>
      <w:divBdr>
        <w:top w:val="none" w:sz="0" w:space="0" w:color="auto"/>
        <w:left w:val="none" w:sz="0" w:space="0" w:color="auto"/>
        <w:bottom w:val="none" w:sz="0" w:space="0" w:color="auto"/>
        <w:right w:val="none" w:sz="0" w:space="0" w:color="auto"/>
      </w:divBdr>
    </w:div>
    <w:div w:id="821504333">
      <w:bodyDiv w:val="1"/>
      <w:marLeft w:val="0"/>
      <w:marRight w:val="0"/>
      <w:marTop w:val="0"/>
      <w:marBottom w:val="0"/>
      <w:divBdr>
        <w:top w:val="none" w:sz="0" w:space="0" w:color="auto"/>
        <w:left w:val="none" w:sz="0" w:space="0" w:color="auto"/>
        <w:bottom w:val="none" w:sz="0" w:space="0" w:color="auto"/>
        <w:right w:val="none" w:sz="0" w:space="0" w:color="auto"/>
      </w:divBdr>
    </w:div>
    <w:div w:id="824855401">
      <w:bodyDiv w:val="1"/>
      <w:marLeft w:val="0"/>
      <w:marRight w:val="0"/>
      <w:marTop w:val="0"/>
      <w:marBottom w:val="0"/>
      <w:divBdr>
        <w:top w:val="none" w:sz="0" w:space="0" w:color="auto"/>
        <w:left w:val="none" w:sz="0" w:space="0" w:color="auto"/>
        <w:bottom w:val="none" w:sz="0" w:space="0" w:color="auto"/>
        <w:right w:val="none" w:sz="0" w:space="0" w:color="auto"/>
      </w:divBdr>
    </w:div>
    <w:div w:id="844785299">
      <w:bodyDiv w:val="1"/>
      <w:marLeft w:val="0"/>
      <w:marRight w:val="0"/>
      <w:marTop w:val="0"/>
      <w:marBottom w:val="0"/>
      <w:divBdr>
        <w:top w:val="none" w:sz="0" w:space="0" w:color="auto"/>
        <w:left w:val="none" w:sz="0" w:space="0" w:color="auto"/>
        <w:bottom w:val="none" w:sz="0" w:space="0" w:color="auto"/>
        <w:right w:val="none" w:sz="0" w:space="0" w:color="auto"/>
      </w:divBdr>
    </w:div>
    <w:div w:id="848639398">
      <w:bodyDiv w:val="1"/>
      <w:marLeft w:val="0"/>
      <w:marRight w:val="0"/>
      <w:marTop w:val="0"/>
      <w:marBottom w:val="0"/>
      <w:divBdr>
        <w:top w:val="none" w:sz="0" w:space="0" w:color="auto"/>
        <w:left w:val="none" w:sz="0" w:space="0" w:color="auto"/>
        <w:bottom w:val="none" w:sz="0" w:space="0" w:color="auto"/>
        <w:right w:val="none" w:sz="0" w:space="0" w:color="auto"/>
      </w:divBdr>
    </w:div>
    <w:div w:id="850535670">
      <w:bodyDiv w:val="1"/>
      <w:marLeft w:val="0"/>
      <w:marRight w:val="0"/>
      <w:marTop w:val="0"/>
      <w:marBottom w:val="0"/>
      <w:divBdr>
        <w:top w:val="none" w:sz="0" w:space="0" w:color="auto"/>
        <w:left w:val="none" w:sz="0" w:space="0" w:color="auto"/>
        <w:bottom w:val="none" w:sz="0" w:space="0" w:color="auto"/>
        <w:right w:val="none" w:sz="0" w:space="0" w:color="auto"/>
      </w:divBdr>
    </w:div>
    <w:div w:id="874851334">
      <w:bodyDiv w:val="1"/>
      <w:marLeft w:val="0"/>
      <w:marRight w:val="0"/>
      <w:marTop w:val="0"/>
      <w:marBottom w:val="0"/>
      <w:divBdr>
        <w:top w:val="none" w:sz="0" w:space="0" w:color="auto"/>
        <w:left w:val="none" w:sz="0" w:space="0" w:color="auto"/>
        <w:bottom w:val="none" w:sz="0" w:space="0" w:color="auto"/>
        <w:right w:val="none" w:sz="0" w:space="0" w:color="auto"/>
      </w:divBdr>
    </w:div>
    <w:div w:id="888145464">
      <w:bodyDiv w:val="1"/>
      <w:marLeft w:val="0"/>
      <w:marRight w:val="0"/>
      <w:marTop w:val="0"/>
      <w:marBottom w:val="0"/>
      <w:divBdr>
        <w:top w:val="none" w:sz="0" w:space="0" w:color="auto"/>
        <w:left w:val="none" w:sz="0" w:space="0" w:color="auto"/>
        <w:bottom w:val="none" w:sz="0" w:space="0" w:color="auto"/>
        <w:right w:val="none" w:sz="0" w:space="0" w:color="auto"/>
      </w:divBdr>
    </w:div>
    <w:div w:id="904414033">
      <w:bodyDiv w:val="1"/>
      <w:marLeft w:val="0"/>
      <w:marRight w:val="0"/>
      <w:marTop w:val="0"/>
      <w:marBottom w:val="0"/>
      <w:divBdr>
        <w:top w:val="none" w:sz="0" w:space="0" w:color="auto"/>
        <w:left w:val="none" w:sz="0" w:space="0" w:color="auto"/>
        <w:bottom w:val="none" w:sz="0" w:space="0" w:color="auto"/>
        <w:right w:val="none" w:sz="0" w:space="0" w:color="auto"/>
      </w:divBdr>
    </w:div>
    <w:div w:id="918251164">
      <w:bodyDiv w:val="1"/>
      <w:marLeft w:val="0"/>
      <w:marRight w:val="0"/>
      <w:marTop w:val="0"/>
      <w:marBottom w:val="0"/>
      <w:divBdr>
        <w:top w:val="none" w:sz="0" w:space="0" w:color="auto"/>
        <w:left w:val="none" w:sz="0" w:space="0" w:color="auto"/>
        <w:bottom w:val="none" w:sz="0" w:space="0" w:color="auto"/>
        <w:right w:val="none" w:sz="0" w:space="0" w:color="auto"/>
      </w:divBdr>
    </w:div>
    <w:div w:id="920992565">
      <w:bodyDiv w:val="1"/>
      <w:marLeft w:val="0"/>
      <w:marRight w:val="0"/>
      <w:marTop w:val="0"/>
      <w:marBottom w:val="0"/>
      <w:divBdr>
        <w:top w:val="none" w:sz="0" w:space="0" w:color="auto"/>
        <w:left w:val="none" w:sz="0" w:space="0" w:color="auto"/>
        <w:bottom w:val="none" w:sz="0" w:space="0" w:color="auto"/>
        <w:right w:val="none" w:sz="0" w:space="0" w:color="auto"/>
      </w:divBdr>
    </w:div>
    <w:div w:id="942155308">
      <w:bodyDiv w:val="1"/>
      <w:marLeft w:val="0"/>
      <w:marRight w:val="0"/>
      <w:marTop w:val="0"/>
      <w:marBottom w:val="0"/>
      <w:divBdr>
        <w:top w:val="none" w:sz="0" w:space="0" w:color="auto"/>
        <w:left w:val="none" w:sz="0" w:space="0" w:color="auto"/>
        <w:bottom w:val="none" w:sz="0" w:space="0" w:color="auto"/>
        <w:right w:val="none" w:sz="0" w:space="0" w:color="auto"/>
      </w:divBdr>
    </w:div>
    <w:div w:id="949312217">
      <w:bodyDiv w:val="1"/>
      <w:marLeft w:val="0"/>
      <w:marRight w:val="0"/>
      <w:marTop w:val="0"/>
      <w:marBottom w:val="0"/>
      <w:divBdr>
        <w:top w:val="none" w:sz="0" w:space="0" w:color="auto"/>
        <w:left w:val="none" w:sz="0" w:space="0" w:color="auto"/>
        <w:bottom w:val="none" w:sz="0" w:space="0" w:color="auto"/>
        <w:right w:val="none" w:sz="0" w:space="0" w:color="auto"/>
      </w:divBdr>
    </w:div>
    <w:div w:id="990643322">
      <w:bodyDiv w:val="1"/>
      <w:marLeft w:val="0"/>
      <w:marRight w:val="0"/>
      <w:marTop w:val="0"/>
      <w:marBottom w:val="0"/>
      <w:divBdr>
        <w:top w:val="none" w:sz="0" w:space="0" w:color="auto"/>
        <w:left w:val="none" w:sz="0" w:space="0" w:color="auto"/>
        <w:bottom w:val="none" w:sz="0" w:space="0" w:color="auto"/>
        <w:right w:val="none" w:sz="0" w:space="0" w:color="auto"/>
      </w:divBdr>
    </w:div>
    <w:div w:id="1015838628">
      <w:bodyDiv w:val="1"/>
      <w:marLeft w:val="0"/>
      <w:marRight w:val="0"/>
      <w:marTop w:val="0"/>
      <w:marBottom w:val="0"/>
      <w:divBdr>
        <w:top w:val="none" w:sz="0" w:space="0" w:color="auto"/>
        <w:left w:val="none" w:sz="0" w:space="0" w:color="auto"/>
        <w:bottom w:val="none" w:sz="0" w:space="0" w:color="auto"/>
        <w:right w:val="none" w:sz="0" w:space="0" w:color="auto"/>
      </w:divBdr>
    </w:div>
    <w:div w:id="1022052242">
      <w:bodyDiv w:val="1"/>
      <w:marLeft w:val="0"/>
      <w:marRight w:val="0"/>
      <w:marTop w:val="0"/>
      <w:marBottom w:val="0"/>
      <w:divBdr>
        <w:top w:val="none" w:sz="0" w:space="0" w:color="auto"/>
        <w:left w:val="none" w:sz="0" w:space="0" w:color="auto"/>
        <w:bottom w:val="none" w:sz="0" w:space="0" w:color="auto"/>
        <w:right w:val="none" w:sz="0" w:space="0" w:color="auto"/>
      </w:divBdr>
      <w:divsChild>
        <w:div w:id="1055006082">
          <w:marLeft w:val="0"/>
          <w:marRight w:val="0"/>
          <w:marTop w:val="0"/>
          <w:marBottom w:val="0"/>
          <w:divBdr>
            <w:top w:val="none" w:sz="0" w:space="0" w:color="auto"/>
            <w:left w:val="none" w:sz="0" w:space="0" w:color="auto"/>
            <w:bottom w:val="none" w:sz="0" w:space="0" w:color="auto"/>
            <w:right w:val="none" w:sz="0" w:space="0" w:color="auto"/>
          </w:divBdr>
          <w:divsChild>
            <w:div w:id="1288506544">
              <w:marLeft w:val="0"/>
              <w:marRight w:val="0"/>
              <w:marTop w:val="0"/>
              <w:marBottom w:val="0"/>
              <w:divBdr>
                <w:top w:val="none" w:sz="0" w:space="0" w:color="auto"/>
                <w:left w:val="none" w:sz="0" w:space="0" w:color="auto"/>
                <w:bottom w:val="none" w:sz="0" w:space="0" w:color="auto"/>
                <w:right w:val="none" w:sz="0" w:space="0" w:color="auto"/>
              </w:divBdr>
            </w:div>
          </w:divsChild>
        </w:div>
        <w:div w:id="1966547518">
          <w:marLeft w:val="0"/>
          <w:marRight w:val="0"/>
          <w:marTop w:val="0"/>
          <w:marBottom w:val="0"/>
          <w:divBdr>
            <w:top w:val="none" w:sz="0" w:space="0" w:color="auto"/>
            <w:left w:val="none" w:sz="0" w:space="0" w:color="auto"/>
            <w:bottom w:val="none" w:sz="0" w:space="0" w:color="auto"/>
            <w:right w:val="none" w:sz="0" w:space="0" w:color="auto"/>
          </w:divBdr>
          <w:divsChild>
            <w:div w:id="75857772">
              <w:marLeft w:val="0"/>
              <w:marRight w:val="0"/>
              <w:marTop w:val="0"/>
              <w:marBottom w:val="0"/>
              <w:divBdr>
                <w:top w:val="none" w:sz="0" w:space="0" w:color="auto"/>
                <w:left w:val="none" w:sz="0" w:space="0" w:color="auto"/>
                <w:bottom w:val="none" w:sz="0" w:space="0" w:color="auto"/>
                <w:right w:val="none" w:sz="0" w:space="0" w:color="auto"/>
              </w:divBdr>
            </w:div>
          </w:divsChild>
        </w:div>
        <w:div w:id="1500196954">
          <w:marLeft w:val="0"/>
          <w:marRight w:val="0"/>
          <w:marTop w:val="0"/>
          <w:marBottom w:val="0"/>
          <w:divBdr>
            <w:top w:val="none" w:sz="0" w:space="0" w:color="auto"/>
            <w:left w:val="none" w:sz="0" w:space="0" w:color="auto"/>
            <w:bottom w:val="none" w:sz="0" w:space="0" w:color="auto"/>
            <w:right w:val="none" w:sz="0" w:space="0" w:color="auto"/>
          </w:divBdr>
          <w:divsChild>
            <w:div w:id="426539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8459001">
      <w:bodyDiv w:val="1"/>
      <w:marLeft w:val="0"/>
      <w:marRight w:val="0"/>
      <w:marTop w:val="0"/>
      <w:marBottom w:val="0"/>
      <w:divBdr>
        <w:top w:val="none" w:sz="0" w:space="0" w:color="auto"/>
        <w:left w:val="none" w:sz="0" w:space="0" w:color="auto"/>
        <w:bottom w:val="none" w:sz="0" w:space="0" w:color="auto"/>
        <w:right w:val="none" w:sz="0" w:space="0" w:color="auto"/>
      </w:divBdr>
    </w:div>
    <w:div w:id="1058897519">
      <w:bodyDiv w:val="1"/>
      <w:marLeft w:val="0"/>
      <w:marRight w:val="0"/>
      <w:marTop w:val="0"/>
      <w:marBottom w:val="0"/>
      <w:divBdr>
        <w:top w:val="none" w:sz="0" w:space="0" w:color="auto"/>
        <w:left w:val="none" w:sz="0" w:space="0" w:color="auto"/>
        <w:bottom w:val="none" w:sz="0" w:space="0" w:color="auto"/>
        <w:right w:val="none" w:sz="0" w:space="0" w:color="auto"/>
      </w:divBdr>
    </w:div>
    <w:div w:id="1079672445">
      <w:bodyDiv w:val="1"/>
      <w:marLeft w:val="0"/>
      <w:marRight w:val="0"/>
      <w:marTop w:val="0"/>
      <w:marBottom w:val="0"/>
      <w:divBdr>
        <w:top w:val="none" w:sz="0" w:space="0" w:color="auto"/>
        <w:left w:val="none" w:sz="0" w:space="0" w:color="auto"/>
        <w:bottom w:val="none" w:sz="0" w:space="0" w:color="auto"/>
        <w:right w:val="none" w:sz="0" w:space="0" w:color="auto"/>
      </w:divBdr>
    </w:div>
    <w:div w:id="1082875407">
      <w:bodyDiv w:val="1"/>
      <w:marLeft w:val="0"/>
      <w:marRight w:val="0"/>
      <w:marTop w:val="0"/>
      <w:marBottom w:val="0"/>
      <w:divBdr>
        <w:top w:val="none" w:sz="0" w:space="0" w:color="auto"/>
        <w:left w:val="none" w:sz="0" w:space="0" w:color="auto"/>
        <w:bottom w:val="none" w:sz="0" w:space="0" w:color="auto"/>
        <w:right w:val="none" w:sz="0" w:space="0" w:color="auto"/>
      </w:divBdr>
      <w:divsChild>
        <w:div w:id="1204441098">
          <w:marLeft w:val="0"/>
          <w:marRight w:val="0"/>
          <w:marTop w:val="0"/>
          <w:marBottom w:val="0"/>
          <w:divBdr>
            <w:top w:val="none" w:sz="0" w:space="0" w:color="auto"/>
            <w:left w:val="none" w:sz="0" w:space="0" w:color="auto"/>
            <w:bottom w:val="none" w:sz="0" w:space="0" w:color="auto"/>
            <w:right w:val="none" w:sz="0" w:space="0" w:color="auto"/>
          </w:divBdr>
          <w:divsChild>
            <w:div w:id="502747710">
              <w:marLeft w:val="0"/>
              <w:marRight w:val="0"/>
              <w:marTop w:val="0"/>
              <w:marBottom w:val="0"/>
              <w:divBdr>
                <w:top w:val="none" w:sz="0" w:space="0" w:color="auto"/>
                <w:left w:val="none" w:sz="0" w:space="0" w:color="auto"/>
                <w:bottom w:val="none" w:sz="0" w:space="0" w:color="auto"/>
                <w:right w:val="none" w:sz="0" w:space="0" w:color="auto"/>
              </w:divBdr>
            </w:div>
          </w:divsChild>
        </w:div>
        <w:div w:id="1168709302">
          <w:marLeft w:val="0"/>
          <w:marRight w:val="0"/>
          <w:marTop w:val="0"/>
          <w:marBottom w:val="0"/>
          <w:divBdr>
            <w:top w:val="none" w:sz="0" w:space="0" w:color="auto"/>
            <w:left w:val="none" w:sz="0" w:space="0" w:color="auto"/>
            <w:bottom w:val="none" w:sz="0" w:space="0" w:color="auto"/>
            <w:right w:val="none" w:sz="0" w:space="0" w:color="auto"/>
          </w:divBdr>
          <w:divsChild>
            <w:div w:id="372847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4402062">
      <w:bodyDiv w:val="1"/>
      <w:marLeft w:val="0"/>
      <w:marRight w:val="0"/>
      <w:marTop w:val="0"/>
      <w:marBottom w:val="0"/>
      <w:divBdr>
        <w:top w:val="none" w:sz="0" w:space="0" w:color="auto"/>
        <w:left w:val="none" w:sz="0" w:space="0" w:color="auto"/>
        <w:bottom w:val="none" w:sz="0" w:space="0" w:color="auto"/>
        <w:right w:val="none" w:sz="0" w:space="0" w:color="auto"/>
      </w:divBdr>
    </w:div>
    <w:div w:id="1117024040">
      <w:bodyDiv w:val="1"/>
      <w:marLeft w:val="0"/>
      <w:marRight w:val="0"/>
      <w:marTop w:val="0"/>
      <w:marBottom w:val="0"/>
      <w:divBdr>
        <w:top w:val="none" w:sz="0" w:space="0" w:color="auto"/>
        <w:left w:val="none" w:sz="0" w:space="0" w:color="auto"/>
        <w:bottom w:val="none" w:sz="0" w:space="0" w:color="auto"/>
        <w:right w:val="none" w:sz="0" w:space="0" w:color="auto"/>
      </w:divBdr>
    </w:div>
    <w:div w:id="1132480594">
      <w:bodyDiv w:val="1"/>
      <w:marLeft w:val="0"/>
      <w:marRight w:val="0"/>
      <w:marTop w:val="0"/>
      <w:marBottom w:val="0"/>
      <w:divBdr>
        <w:top w:val="none" w:sz="0" w:space="0" w:color="auto"/>
        <w:left w:val="none" w:sz="0" w:space="0" w:color="auto"/>
        <w:bottom w:val="none" w:sz="0" w:space="0" w:color="auto"/>
        <w:right w:val="none" w:sz="0" w:space="0" w:color="auto"/>
      </w:divBdr>
    </w:div>
    <w:div w:id="1135489724">
      <w:bodyDiv w:val="1"/>
      <w:marLeft w:val="0"/>
      <w:marRight w:val="0"/>
      <w:marTop w:val="0"/>
      <w:marBottom w:val="0"/>
      <w:divBdr>
        <w:top w:val="none" w:sz="0" w:space="0" w:color="auto"/>
        <w:left w:val="none" w:sz="0" w:space="0" w:color="auto"/>
        <w:bottom w:val="none" w:sz="0" w:space="0" w:color="auto"/>
        <w:right w:val="none" w:sz="0" w:space="0" w:color="auto"/>
      </w:divBdr>
    </w:div>
    <w:div w:id="1158304886">
      <w:bodyDiv w:val="1"/>
      <w:marLeft w:val="0"/>
      <w:marRight w:val="0"/>
      <w:marTop w:val="0"/>
      <w:marBottom w:val="0"/>
      <w:divBdr>
        <w:top w:val="none" w:sz="0" w:space="0" w:color="auto"/>
        <w:left w:val="none" w:sz="0" w:space="0" w:color="auto"/>
        <w:bottom w:val="none" w:sz="0" w:space="0" w:color="auto"/>
        <w:right w:val="none" w:sz="0" w:space="0" w:color="auto"/>
      </w:divBdr>
    </w:div>
    <w:div w:id="1168013578">
      <w:bodyDiv w:val="1"/>
      <w:marLeft w:val="0"/>
      <w:marRight w:val="0"/>
      <w:marTop w:val="0"/>
      <w:marBottom w:val="0"/>
      <w:divBdr>
        <w:top w:val="none" w:sz="0" w:space="0" w:color="auto"/>
        <w:left w:val="none" w:sz="0" w:space="0" w:color="auto"/>
        <w:bottom w:val="none" w:sz="0" w:space="0" w:color="auto"/>
        <w:right w:val="none" w:sz="0" w:space="0" w:color="auto"/>
      </w:divBdr>
    </w:div>
    <w:div w:id="1179925970">
      <w:bodyDiv w:val="1"/>
      <w:marLeft w:val="0"/>
      <w:marRight w:val="0"/>
      <w:marTop w:val="0"/>
      <w:marBottom w:val="0"/>
      <w:divBdr>
        <w:top w:val="none" w:sz="0" w:space="0" w:color="auto"/>
        <w:left w:val="none" w:sz="0" w:space="0" w:color="auto"/>
        <w:bottom w:val="none" w:sz="0" w:space="0" w:color="auto"/>
        <w:right w:val="none" w:sz="0" w:space="0" w:color="auto"/>
      </w:divBdr>
      <w:divsChild>
        <w:div w:id="1826388875">
          <w:marLeft w:val="0"/>
          <w:marRight w:val="0"/>
          <w:marTop w:val="0"/>
          <w:marBottom w:val="0"/>
          <w:divBdr>
            <w:top w:val="none" w:sz="0" w:space="0" w:color="auto"/>
            <w:left w:val="none" w:sz="0" w:space="0" w:color="auto"/>
            <w:bottom w:val="none" w:sz="0" w:space="0" w:color="auto"/>
            <w:right w:val="none" w:sz="0" w:space="0" w:color="auto"/>
          </w:divBdr>
          <w:divsChild>
            <w:div w:id="374474949">
              <w:marLeft w:val="0"/>
              <w:marRight w:val="0"/>
              <w:marTop w:val="0"/>
              <w:marBottom w:val="0"/>
              <w:divBdr>
                <w:top w:val="none" w:sz="0" w:space="0" w:color="auto"/>
                <w:left w:val="none" w:sz="0" w:space="0" w:color="auto"/>
                <w:bottom w:val="none" w:sz="0" w:space="0" w:color="auto"/>
                <w:right w:val="none" w:sz="0" w:space="0" w:color="auto"/>
              </w:divBdr>
            </w:div>
          </w:divsChild>
        </w:div>
        <w:div w:id="1702168413">
          <w:marLeft w:val="0"/>
          <w:marRight w:val="0"/>
          <w:marTop w:val="0"/>
          <w:marBottom w:val="0"/>
          <w:divBdr>
            <w:top w:val="none" w:sz="0" w:space="0" w:color="auto"/>
            <w:left w:val="none" w:sz="0" w:space="0" w:color="auto"/>
            <w:bottom w:val="none" w:sz="0" w:space="0" w:color="auto"/>
            <w:right w:val="none" w:sz="0" w:space="0" w:color="auto"/>
          </w:divBdr>
          <w:divsChild>
            <w:div w:id="1036852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0503738">
      <w:bodyDiv w:val="1"/>
      <w:marLeft w:val="0"/>
      <w:marRight w:val="0"/>
      <w:marTop w:val="0"/>
      <w:marBottom w:val="0"/>
      <w:divBdr>
        <w:top w:val="none" w:sz="0" w:space="0" w:color="auto"/>
        <w:left w:val="none" w:sz="0" w:space="0" w:color="auto"/>
        <w:bottom w:val="none" w:sz="0" w:space="0" w:color="auto"/>
        <w:right w:val="none" w:sz="0" w:space="0" w:color="auto"/>
      </w:divBdr>
    </w:div>
    <w:div w:id="1197352505">
      <w:bodyDiv w:val="1"/>
      <w:marLeft w:val="0"/>
      <w:marRight w:val="0"/>
      <w:marTop w:val="0"/>
      <w:marBottom w:val="0"/>
      <w:divBdr>
        <w:top w:val="none" w:sz="0" w:space="0" w:color="auto"/>
        <w:left w:val="none" w:sz="0" w:space="0" w:color="auto"/>
        <w:bottom w:val="none" w:sz="0" w:space="0" w:color="auto"/>
        <w:right w:val="none" w:sz="0" w:space="0" w:color="auto"/>
      </w:divBdr>
    </w:div>
    <w:div w:id="1200361716">
      <w:bodyDiv w:val="1"/>
      <w:marLeft w:val="0"/>
      <w:marRight w:val="0"/>
      <w:marTop w:val="0"/>
      <w:marBottom w:val="0"/>
      <w:divBdr>
        <w:top w:val="none" w:sz="0" w:space="0" w:color="auto"/>
        <w:left w:val="none" w:sz="0" w:space="0" w:color="auto"/>
        <w:bottom w:val="none" w:sz="0" w:space="0" w:color="auto"/>
        <w:right w:val="none" w:sz="0" w:space="0" w:color="auto"/>
      </w:divBdr>
      <w:divsChild>
        <w:div w:id="240724312">
          <w:marLeft w:val="0"/>
          <w:marRight w:val="0"/>
          <w:marTop w:val="0"/>
          <w:marBottom w:val="0"/>
          <w:divBdr>
            <w:top w:val="none" w:sz="0" w:space="0" w:color="auto"/>
            <w:left w:val="none" w:sz="0" w:space="0" w:color="auto"/>
            <w:bottom w:val="none" w:sz="0" w:space="0" w:color="auto"/>
            <w:right w:val="none" w:sz="0" w:space="0" w:color="auto"/>
          </w:divBdr>
          <w:divsChild>
            <w:div w:id="178933929">
              <w:marLeft w:val="0"/>
              <w:marRight w:val="0"/>
              <w:marTop w:val="0"/>
              <w:marBottom w:val="0"/>
              <w:divBdr>
                <w:top w:val="none" w:sz="0" w:space="0" w:color="auto"/>
                <w:left w:val="none" w:sz="0" w:space="0" w:color="auto"/>
                <w:bottom w:val="none" w:sz="0" w:space="0" w:color="auto"/>
                <w:right w:val="none" w:sz="0" w:space="0" w:color="auto"/>
              </w:divBdr>
            </w:div>
          </w:divsChild>
        </w:div>
        <w:div w:id="903028380">
          <w:marLeft w:val="0"/>
          <w:marRight w:val="0"/>
          <w:marTop w:val="0"/>
          <w:marBottom w:val="0"/>
          <w:divBdr>
            <w:top w:val="none" w:sz="0" w:space="0" w:color="auto"/>
            <w:left w:val="none" w:sz="0" w:space="0" w:color="auto"/>
            <w:bottom w:val="none" w:sz="0" w:space="0" w:color="auto"/>
            <w:right w:val="none" w:sz="0" w:space="0" w:color="auto"/>
          </w:divBdr>
          <w:divsChild>
            <w:div w:id="1003818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8370777">
      <w:bodyDiv w:val="1"/>
      <w:marLeft w:val="0"/>
      <w:marRight w:val="0"/>
      <w:marTop w:val="0"/>
      <w:marBottom w:val="0"/>
      <w:divBdr>
        <w:top w:val="none" w:sz="0" w:space="0" w:color="auto"/>
        <w:left w:val="none" w:sz="0" w:space="0" w:color="auto"/>
        <w:bottom w:val="none" w:sz="0" w:space="0" w:color="auto"/>
        <w:right w:val="none" w:sz="0" w:space="0" w:color="auto"/>
      </w:divBdr>
      <w:divsChild>
        <w:div w:id="2078436745">
          <w:marLeft w:val="0"/>
          <w:marRight w:val="0"/>
          <w:marTop w:val="0"/>
          <w:marBottom w:val="0"/>
          <w:divBdr>
            <w:top w:val="none" w:sz="0" w:space="0" w:color="auto"/>
            <w:left w:val="none" w:sz="0" w:space="0" w:color="auto"/>
            <w:bottom w:val="none" w:sz="0" w:space="0" w:color="auto"/>
            <w:right w:val="none" w:sz="0" w:space="0" w:color="auto"/>
          </w:divBdr>
          <w:divsChild>
            <w:div w:id="342125535">
              <w:marLeft w:val="0"/>
              <w:marRight w:val="0"/>
              <w:marTop w:val="0"/>
              <w:marBottom w:val="0"/>
              <w:divBdr>
                <w:top w:val="none" w:sz="0" w:space="0" w:color="auto"/>
                <w:left w:val="none" w:sz="0" w:space="0" w:color="auto"/>
                <w:bottom w:val="none" w:sz="0" w:space="0" w:color="auto"/>
                <w:right w:val="none" w:sz="0" w:space="0" w:color="auto"/>
              </w:divBdr>
            </w:div>
          </w:divsChild>
        </w:div>
        <w:div w:id="181669861">
          <w:marLeft w:val="0"/>
          <w:marRight w:val="0"/>
          <w:marTop w:val="0"/>
          <w:marBottom w:val="0"/>
          <w:divBdr>
            <w:top w:val="none" w:sz="0" w:space="0" w:color="auto"/>
            <w:left w:val="none" w:sz="0" w:space="0" w:color="auto"/>
            <w:bottom w:val="none" w:sz="0" w:space="0" w:color="auto"/>
            <w:right w:val="none" w:sz="0" w:space="0" w:color="auto"/>
          </w:divBdr>
          <w:divsChild>
            <w:div w:id="1038820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5486512">
      <w:bodyDiv w:val="1"/>
      <w:marLeft w:val="0"/>
      <w:marRight w:val="0"/>
      <w:marTop w:val="0"/>
      <w:marBottom w:val="0"/>
      <w:divBdr>
        <w:top w:val="none" w:sz="0" w:space="0" w:color="auto"/>
        <w:left w:val="none" w:sz="0" w:space="0" w:color="auto"/>
        <w:bottom w:val="none" w:sz="0" w:space="0" w:color="auto"/>
        <w:right w:val="none" w:sz="0" w:space="0" w:color="auto"/>
      </w:divBdr>
    </w:div>
    <w:div w:id="1241601191">
      <w:bodyDiv w:val="1"/>
      <w:marLeft w:val="0"/>
      <w:marRight w:val="0"/>
      <w:marTop w:val="0"/>
      <w:marBottom w:val="0"/>
      <w:divBdr>
        <w:top w:val="none" w:sz="0" w:space="0" w:color="auto"/>
        <w:left w:val="none" w:sz="0" w:space="0" w:color="auto"/>
        <w:bottom w:val="none" w:sz="0" w:space="0" w:color="auto"/>
        <w:right w:val="none" w:sz="0" w:space="0" w:color="auto"/>
      </w:divBdr>
    </w:div>
    <w:div w:id="1258170288">
      <w:bodyDiv w:val="1"/>
      <w:marLeft w:val="0"/>
      <w:marRight w:val="0"/>
      <w:marTop w:val="0"/>
      <w:marBottom w:val="0"/>
      <w:divBdr>
        <w:top w:val="none" w:sz="0" w:space="0" w:color="auto"/>
        <w:left w:val="none" w:sz="0" w:space="0" w:color="auto"/>
        <w:bottom w:val="none" w:sz="0" w:space="0" w:color="auto"/>
        <w:right w:val="none" w:sz="0" w:space="0" w:color="auto"/>
      </w:divBdr>
    </w:div>
    <w:div w:id="1263997280">
      <w:bodyDiv w:val="1"/>
      <w:marLeft w:val="0"/>
      <w:marRight w:val="0"/>
      <w:marTop w:val="0"/>
      <w:marBottom w:val="0"/>
      <w:divBdr>
        <w:top w:val="none" w:sz="0" w:space="0" w:color="auto"/>
        <w:left w:val="none" w:sz="0" w:space="0" w:color="auto"/>
        <w:bottom w:val="none" w:sz="0" w:space="0" w:color="auto"/>
        <w:right w:val="none" w:sz="0" w:space="0" w:color="auto"/>
      </w:divBdr>
    </w:div>
    <w:div w:id="1267888793">
      <w:bodyDiv w:val="1"/>
      <w:marLeft w:val="0"/>
      <w:marRight w:val="0"/>
      <w:marTop w:val="0"/>
      <w:marBottom w:val="0"/>
      <w:divBdr>
        <w:top w:val="none" w:sz="0" w:space="0" w:color="auto"/>
        <w:left w:val="none" w:sz="0" w:space="0" w:color="auto"/>
        <w:bottom w:val="none" w:sz="0" w:space="0" w:color="auto"/>
        <w:right w:val="none" w:sz="0" w:space="0" w:color="auto"/>
      </w:divBdr>
    </w:div>
    <w:div w:id="1275867513">
      <w:bodyDiv w:val="1"/>
      <w:marLeft w:val="0"/>
      <w:marRight w:val="0"/>
      <w:marTop w:val="0"/>
      <w:marBottom w:val="0"/>
      <w:divBdr>
        <w:top w:val="none" w:sz="0" w:space="0" w:color="auto"/>
        <w:left w:val="none" w:sz="0" w:space="0" w:color="auto"/>
        <w:bottom w:val="none" w:sz="0" w:space="0" w:color="auto"/>
        <w:right w:val="none" w:sz="0" w:space="0" w:color="auto"/>
      </w:divBdr>
    </w:div>
    <w:div w:id="1276250862">
      <w:bodyDiv w:val="1"/>
      <w:marLeft w:val="0"/>
      <w:marRight w:val="0"/>
      <w:marTop w:val="0"/>
      <w:marBottom w:val="0"/>
      <w:divBdr>
        <w:top w:val="none" w:sz="0" w:space="0" w:color="auto"/>
        <w:left w:val="none" w:sz="0" w:space="0" w:color="auto"/>
        <w:bottom w:val="none" w:sz="0" w:space="0" w:color="auto"/>
        <w:right w:val="none" w:sz="0" w:space="0" w:color="auto"/>
      </w:divBdr>
    </w:div>
    <w:div w:id="1276523945">
      <w:bodyDiv w:val="1"/>
      <w:marLeft w:val="0"/>
      <w:marRight w:val="0"/>
      <w:marTop w:val="0"/>
      <w:marBottom w:val="0"/>
      <w:divBdr>
        <w:top w:val="none" w:sz="0" w:space="0" w:color="auto"/>
        <w:left w:val="none" w:sz="0" w:space="0" w:color="auto"/>
        <w:bottom w:val="none" w:sz="0" w:space="0" w:color="auto"/>
        <w:right w:val="none" w:sz="0" w:space="0" w:color="auto"/>
      </w:divBdr>
    </w:div>
    <w:div w:id="1304848445">
      <w:bodyDiv w:val="1"/>
      <w:marLeft w:val="0"/>
      <w:marRight w:val="0"/>
      <w:marTop w:val="0"/>
      <w:marBottom w:val="0"/>
      <w:divBdr>
        <w:top w:val="none" w:sz="0" w:space="0" w:color="auto"/>
        <w:left w:val="none" w:sz="0" w:space="0" w:color="auto"/>
        <w:bottom w:val="none" w:sz="0" w:space="0" w:color="auto"/>
        <w:right w:val="none" w:sz="0" w:space="0" w:color="auto"/>
      </w:divBdr>
    </w:div>
    <w:div w:id="1320764949">
      <w:bodyDiv w:val="1"/>
      <w:marLeft w:val="0"/>
      <w:marRight w:val="0"/>
      <w:marTop w:val="0"/>
      <w:marBottom w:val="0"/>
      <w:divBdr>
        <w:top w:val="none" w:sz="0" w:space="0" w:color="auto"/>
        <w:left w:val="none" w:sz="0" w:space="0" w:color="auto"/>
        <w:bottom w:val="none" w:sz="0" w:space="0" w:color="auto"/>
        <w:right w:val="none" w:sz="0" w:space="0" w:color="auto"/>
      </w:divBdr>
    </w:div>
    <w:div w:id="1325011212">
      <w:bodyDiv w:val="1"/>
      <w:marLeft w:val="0"/>
      <w:marRight w:val="0"/>
      <w:marTop w:val="0"/>
      <w:marBottom w:val="0"/>
      <w:divBdr>
        <w:top w:val="none" w:sz="0" w:space="0" w:color="auto"/>
        <w:left w:val="none" w:sz="0" w:space="0" w:color="auto"/>
        <w:bottom w:val="none" w:sz="0" w:space="0" w:color="auto"/>
        <w:right w:val="none" w:sz="0" w:space="0" w:color="auto"/>
      </w:divBdr>
    </w:div>
    <w:div w:id="1325474235">
      <w:bodyDiv w:val="1"/>
      <w:marLeft w:val="0"/>
      <w:marRight w:val="0"/>
      <w:marTop w:val="0"/>
      <w:marBottom w:val="0"/>
      <w:divBdr>
        <w:top w:val="none" w:sz="0" w:space="0" w:color="auto"/>
        <w:left w:val="none" w:sz="0" w:space="0" w:color="auto"/>
        <w:bottom w:val="none" w:sz="0" w:space="0" w:color="auto"/>
        <w:right w:val="none" w:sz="0" w:space="0" w:color="auto"/>
      </w:divBdr>
    </w:div>
    <w:div w:id="1340159921">
      <w:bodyDiv w:val="1"/>
      <w:marLeft w:val="0"/>
      <w:marRight w:val="0"/>
      <w:marTop w:val="0"/>
      <w:marBottom w:val="0"/>
      <w:divBdr>
        <w:top w:val="none" w:sz="0" w:space="0" w:color="auto"/>
        <w:left w:val="none" w:sz="0" w:space="0" w:color="auto"/>
        <w:bottom w:val="none" w:sz="0" w:space="0" w:color="auto"/>
        <w:right w:val="none" w:sz="0" w:space="0" w:color="auto"/>
      </w:divBdr>
      <w:divsChild>
        <w:div w:id="905607100">
          <w:marLeft w:val="0"/>
          <w:marRight w:val="0"/>
          <w:marTop w:val="0"/>
          <w:marBottom w:val="0"/>
          <w:divBdr>
            <w:top w:val="none" w:sz="0" w:space="0" w:color="auto"/>
            <w:left w:val="none" w:sz="0" w:space="0" w:color="auto"/>
            <w:bottom w:val="none" w:sz="0" w:space="0" w:color="auto"/>
            <w:right w:val="none" w:sz="0" w:space="0" w:color="auto"/>
          </w:divBdr>
          <w:divsChild>
            <w:div w:id="439422151">
              <w:marLeft w:val="0"/>
              <w:marRight w:val="0"/>
              <w:marTop w:val="0"/>
              <w:marBottom w:val="0"/>
              <w:divBdr>
                <w:top w:val="none" w:sz="0" w:space="0" w:color="auto"/>
                <w:left w:val="none" w:sz="0" w:space="0" w:color="auto"/>
                <w:bottom w:val="none" w:sz="0" w:space="0" w:color="auto"/>
                <w:right w:val="none" w:sz="0" w:space="0" w:color="auto"/>
              </w:divBdr>
            </w:div>
          </w:divsChild>
        </w:div>
        <w:div w:id="1223902992">
          <w:marLeft w:val="0"/>
          <w:marRight w:val="0"/>
          <w:marTop w:val="0"/>
          <w:marBottom w:val="0"/>
          <w:divBdr>
            <w:top w:val="none" w:sz="0" w:space="0" w:color="auto"/>
            <w:left w:val="none" w:sz="0" w:space="0" w:color="auto"/>
            <w:bottom w:val="none" w:sz="0" w:space="0" w:color="auto"/>
            <w:right w:val="none" w:sz="0" w:space="0" w:color="auto"/>
          </w:divBdr>
          <w:divsChild>
            <w:div w:id="793445668">
              <w:marLeft w:val="0"/>
              <w:marRight w:val="0"/>
              <w:marTop w:val="0"/>
              <w:marBottom w:val="0"/>
              <w:divBdr>
                <w:top w:val="none" w:sz="0" w:space="0" w:color="auto"/>
                <w:left w:val="none" w:sz="0" w:space="0" w:color="auto"/>
                <w:bottom w:val="none" w:sz="0" w:space="0" w:color="auto"/>
                <w:right w:val="none" w:sz="0" w:space="0" w:color="auto"/>
              </w:divBdr>
            </w:div>
          </w:divsChild>
        </w:div>
        <w:div w:id="1072774856">
          <w:blockQuote w:val="1"/>
          <w:marLeft w:val="720"/>
          <w:marRight w:val="720"/>
          <w:marTop w:val="100"/>
          <w:marBottom w:val="100"/>
          <w:divBdr>
            <w:top w:val="none" w:sz="0" w:space="0" w:color="auto"/>
            <w:left w:val="none" w:sz="0" w:space="0" w:color="auto"/>
            <w:bottom w:val="none" w:sz="0" w:space="0" w:color="auto"/>
            <w:right w:val="none" w:sz="0" w:space="0" w:color="auto"/>
          </w:divBdr>
        </w:div>
        <w:div w:id="121000214">
          <w:blockQuote w:val="1"/>
          <w:marLeft w:val="720"/>
          <w:marRight w:val="720"/>
          <w:marTop w:val="100"/>
          <w:marBottom w:val="100"/>
          <w:divBdr>
            <w:top w:val="none" w:sz="0" w:space="0" w:color="auto"/>
            <w:left w:val="none" w:sz="0" w:space="0" w:color="auto"/>
            <w:bottom w:val="none" w:sz="0" w:space="0" w:color="auto"/>
            <w:right w:val="none" w:sz="0" w:space="0" w:color="auto"/>
          </w:divBdr>
        </w:div>
        <w:div w:id="129868302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42127196">
      <w:bodyDiv w:val="1"/>
      <w:marLeft w:val="0"/>
      <w:marRight w:val="0"/>
      <w:marTop w:val="0"/>
      <w:marBottom w:val="0"/>
      <w:divBdr>
        <w:top w:val="none" w:sz="0" w:space="0" w:color="auto"/>
        <w:left w:val="none" w:sz="0" w:space="0" w:color="auto"/>
        <w:bottom w:val="none" w:sz="0" w:space="0" w:color="auto"/>
        <w:right w:val="none" w:sz="0" w:space="0" w:color="auto"/>
      </w:divBdr>
      <w:divsChild>
        <w:div w:id="438794052">
          <w:marLeft w:val="0"/>
          <w:marRight w:val="0"/>
          <w:marTop w:val="0"/>
          <w:marBottom w:val="0"/>
          <w:divBdr>
            <w:top w:val="none" w:sz="0" w:space="0" w:color="auto"/>
            <w:left w:val="none" w:sz="0" w:space="0" w:color="auto"/>
            <w:bottom w:val="none" w:sz="0" w:space="0" w:color="auto"/>
            <w:right w:val="none" w:sz="0" w:space="0" w:color="auto"/>
          </w:divBdr>
          <w:divsChild>
            <w:div w:id="1925798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163837">
      <w:bodyDiv w:val="1"/>
      <w:marLeft w:val="0"/>
      <w:marRight w:val="0"/>
      <w:marTop w:val="0"/>
      <w:marBottom w:val="0"/>
      <w:divBdr>
        <w:top w:val="none" w:sz="0" w:space="0" w:color="auto"/>
        <w:left w:val="none" w:sz="0" w:space="0" w:color="auto"/>
        <w:bottom w:val="none" w:sz="0" w:space="0" w:color="auto"/>
        <w:right w:val="none" w:sz="0" w:space="0" w:color="auto"/>
      </w:divBdr>
    </w:div>
    <w:div w:id="1345135212">
      <w:bodyDiv w:val="1"/>
      <w:marLeft w:val="0"/>
      <w:marRight w:val="0"/>
      <w:marTop w:val="0"/>
      <w:marBottom w:val="0"/>
      <w:divBdr>
        <w:top w:val="none" w:sz="0" w:space="0" w:color="auto"/>
        <w:left w:val="none" w:sz="0" w:space="0" w:color="auto"/>
        <w:bottom w:val="none" w:sz="0" w:space="0" w:color="auto"/>
        <w:right w:val="none" w:sz="0" w:space="0" w:color="auto"/>
      </w:divBdr>
    </w:div>
    <w:div w:id="1399474037">
      <w:bodyDiv w:val="1"/>
      <w:marLeft w:val="0"/>
      <w:marRight w:val="0"/>
      <w:marTop w:val="0"/>
      <w:marBottom w:val="0"/>
      <w:divBdr>
        <w:top w:val="none" w:sz="0" w:space="0" w:color="auto"/>
        <w:left w:val="none" w:sz="0" w:space="0" w:color="auto"/>
        <w:bottom w:val="none" w:sz="0" w:space="0" w:color="auto"/>
        <w:right w:val="none" w:sz="0" w:space="0" w:color="auto"/>
      </w:divBdr>
    </w:div>
    <w:div w:id="1402798939">
      <w:bodyDiv w:val="1"/>
      <w:marLeft w:val="0"/>
      <w:marRight w:val="0"/>
      <w:marTop w:val="0"/>
      <w:marBottom w:val="0"/>
      <w:divBdr>
        <w:top w:val="none" w:sz="0" w:space="0" w:color="auto"/>
        <w:left w:val="none" w:sz="0" w:space="0" w:color="auto"/>
        <w:bottom w:val="none" w:sz="0" w:space="0" w:color="auto"/>
        <w:right w:val="none" w:sz="0" w:space="0" w:color="auto"/>
      </w:divBdr>
    </w:div>
    <w:div w:id="1403717108">
      <w:bodyDiv w:val="1"/>
      <w:marLeft w:val="0"/>
      <w:marRight w:val="0"/>
      <w:marTop w:val="0"/>
      <w:marBottom w:val="0"/>
      <w:divBdr>
        <w:top w:val="none" w:sz="0" w:space="0" w:color="auto"/>
        <w:left w:val="none" w:sz="0" w:space="0" w:color="auto"/>
        <w:bottom w:val="none" w:sz="0" w:space="0" w:color="auto"/>
        <w:right w:val="none" w:sz="0" w:space="0" w:color="auto"/>
      </w:divBdr>
    </w:div>
    <w:div w:id="1447967721">
      <w:bodyDiv w:val="1"/>
      <w:marLeft w:val="0"/>
      <w:marRight w:val="0"/>
      <w:marTop w:val="0"/>
      <w:marBottom w:val="0"/>
      <w:divBdr>
        <w:top w:val="none" w:sz="0" w:space="0" w:color="auto"/>
        <w:left w:val="none" w:sz="0" w:space="0" w:color="auto"/>
        <w:bottom w:val="none" w:sz="0" w:space="0" w:color="auto"/>
        <w:right w:val="none" w:sz="0" w:space="0" w:color="auto"/>
      </w:divBdr>
    </w:div>
    <w:div w:id="1451044736">
      <w:bodyDiv w:val="1"/>
      <w:marLeft w:val="0"/>
      <w:marRight w:val="0"/>
      <w:marTop w:val="0"/>
      <w:marBottom w:val="0"/>
      <w:divBdr>
        <w:top w:val="none" w:sz="0" w:space="0" w:color="auto"/>
        <w:left w:val="none" w:sz="0" w:space="0" w:color="auto"/>
        <w:bottom w:val="none" w:sz="0" w:space="0" w:color="auto"/>
        <w:right w:val="none" w:sz="0" w:space="0" w:color="auto"/>
      </w:divBdr>
    </w:div>
    <w:div w:id="1452554806">
      <w:bodyDiv w:val="1"/>
      <w:marLeft w:val="0"/>
      <w:marRight w:val="0"/>
      <w:marTop w:val="0"/>
      <w:marBottom w:val="0"/>
      <w:divBdr>
        <w:top w:val="none" w:sz="0" w:space="0" w:color="auto"/>
        <w:left w:val="none" w:sz="0" w:space="0" w:color="auto"/>
        <w:bottom w:val="none" w:sz="0" w:space="0" w:color="auto"/>
        <w:right w:val="none" w:sz="0" w:space="0" w:color="auto"/>
      </w:divBdr>
      <w:divsChild>
        <w:div w:id="1807428794">
          <w:marLeft w:val="0"/>
          <w:marRight w:val="0"/>
          <w:marTop w:val="0"/>
          <w:marBottom w:val="0"/>
          <w:divBdr>
            <w:top w:val="none" w:sz="0" w:space="0" w:color="auto"/>
            <w:left w:val="none" w:sz="0" w:space="0" w:color="auto"/>
            <w:bottom w:val="none" w:sz="0" w:space="0" w:color="auto"/>
            <w:right w:val="none" w:sz="0" w:space="0" w:color="auto"/>
          </w:divBdr>
          <w:divsChild>
            <w:div w:id="748816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1437472">
      <w:bodyDiv w:val="1"/>
      <w:marLeft w:val="0"/>
      <w:marRight w:val="0"/>
      <w:marTop w:val="0"/>
      <w:marBottom w:val="0"/>
      <w:divBdr>
        <w:top w:val="none" w:sz="0" w:space="0" w:color="auto"/>
        <w:left w:val="none" w:sz="0" w:space="0" w:color="auto"/>
        <w:bottom w:val="none" w:sz="0" w:space="0" w:color="auto"/>
        <w:right w:val="none" w:sz="0" w:space="0" w:color="auto"/>
      </w:divBdr>
    </w:div>
    <w:div w:id="1485731715">
      <w:bodyDiv w:val="1"/>
      <w:marLeft w:val="0"/>
      <w:marRight w:val="0"/>
      <w:marTop w:val="0"/>
      <w:marBottom w:val="0"/>
      <w:divBdr>
        <w:top w:val="none" w:sz="0" w:space="0" w:color="auto"/>
        <w:left w:val="none" w:sz="0" w:space="0" w:color="auto"/>
        <w:bottom w:val="none" w:sz="0" w:space="0" w:color="auto"/>
        <w:right w:val="none" w:sz="0" w:space="0" w:color="auto"/>
      </w:divBdr>
    </w:div>
    <w:div w:id="1494757559">
      <w:bodyDiv w:val="1"/>
      <w:marLeft w:val="0"/>
      <w:marRight w:val="0"/>
      <w:marTop w:val="0"/>
      <w:marBottom w:val="0"/>
      <w:divBdr>
        <w:top w:val="none" w:sz="0" w:space="0" w:color="auto"/>
        <w:left w:val="none" w:sz="0" w:space="0" w:color="auto"/>
        <w:bottom w:val="none" w:sz="0" w:space="0" w:color="auto"/>
        <w:right w:val="none" w:sz="0" w:space="0" w:color="auto"/>
      </w:divBdr>
      <w:divsChild>
        <w:div w:id="841042786">
          <w:marLeft w:val="0"/>
          <w:marRight w:val="0"/>
          <w:marTop w:val="0"/>
          <w:marBottom w:val="0"/>
          <w:divBdr>
            <w:top w:val="none" w:sz="0" w:space="0" w:color="auto"/>
            <w:left w:val="none" w:sz="0" w:space="0" w:color="auto"/>
            <w:bottom w:val="none" w:sz="0" w:space="0" w:color="auto"/>
            <w:right w:val="none" w:sz="0" w:space="0" w:color="auto"/>
          </w:divBdr>
          <w:divsChild>
            <w:div w:id="1470510348">
              <w:marLeft w:val="0"/>
              <w:marRight w:val="0"/>
              <w:marTop w:val="0"/>
              <w:marBottom w:val="0"/>
              <w:divBdr>
                <w:top w:val="none" w:sz="0" w:space="0" w:color="auto"/>
                <w:left w:val="none" w:sz="0" w:space="0" w:color="auto"/>
                <w:bottom w:val="none" w:sz="0" w:space="0" w:color="auto"/>
                <w:right w:val="none" w:sz="0" w:space="0" w:color="auto"/>
              </w:divBdr>
            </w:div>
          </w:divsChild>
        </w:div>
        <w:div w:id="1249121555">
          <w:blockQuote w:val="1"/>
          <w:marLeft w:val="720"/>
          <w:marRight w:val="720"/>
          <w:marTop w:val="100"/>
          <w:marBottom w:val="100"/>
          <w:divBdr>
            <w:top w:val="none" w:sz="0" w:space="0" w:color="auto"/>
            <w:left w:val="none" w:sz="0" w:space="0" w:color="auto"/>
            <w:bottom w:val="none" w:sz="0" w:space="0" w:color="auto"/>
            <w:right w:val="none" w:sz="0" w:space="0" w:color="auto"/>
          </w:divBdr>
        </w:div>
        <w:div w:id="2058309851">
          <w:blockQuote w:val="1"/>
          <w:marLeft w:val="720"/>
          <w:marRight w:val="720"/>
          <w:marTop w:val="100"/>
          <w:marBottom w:val="100"/>
          <w:divBdr>
            <w:top w:val="none" w:sz="0" w:space="0" w:color="auto"/>
            <w:left w:val="none" w:sz="0" w:space="0" w:color="auto"/>
            <w:bottom w:val="none" w:sz="0" w:space="0" w:color="auto"/>
            <w:right w:val="none" w:sz="0" w:space="0" w:color="auto"/>
          </w:divBdr>
        </w:div>
        <w:div w:id="198581820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96607032">
      <w:bodyDiv w:val="1"/>
      <w:marLeft w:val="0"/>
      <w:marRight w:val="0"/>
      <w:marTop w:val="0"/>
      <w:marBottom w:val="0"/>
      <w:divBdr>
        <w:top w:val="none" w:sz="0" w:space="0" w:color="auto"/>
        <w:left w:val="none" w:sz="0" w:space="0" w:color="auto"/>
        <w:bottom w:val="none" w:sz="0" w:space="0" w:color="auto"/>
        <w:right w:val="none" w:sz="0" w:space="0" w:color="auto"/>
      </w:divBdr>
    </w:div>
    <w:div w:id="1504710699">
      <w:bodyDiv w:val="1"/>
      <w:marLeft w:val="0"/>
      <w:marRight w:val="0"/>
      <w:marTop w:val="0"/>
      <w:marBottom w:val="0"/>
      <w:divBdr>
        <w:top w:val="none" w:sz="0" w:space="0" w:color="auto"/>
        <w:left w:val="none" w:sz="0" w:space="0" w:color="auto"/>
        <w:bottom w:val="none" w:sz="0" w:space="0" w:color="auto"/>
        <w:right w:val="none" w:sz="0" w:space="0" w:color="auto"/>
      </w:divBdr>
    </w:div>
    <w:div w:id="1518614101">
      <w:bodyDiv w:val="1"/>
      <w:marLeft w:val="0"/>
      <w:marRight w:val="0"/>
      <w:marTop w:val="0"/>
      <w:marBottom w:val="0"/>
      <w:divBdr>
        <w:top w:val="none" w:sz="0" w:space="0" w:color="auto"/>
        <w:left w:val="none" w:sz="0" w:space="0" w:color="auto"/>
        <w:bottom w:val="none" w:sz="0" w:space="0" w:color="auto"/>
        <w:right w:val="none" w:sz="0" w:space="0" w:color="auto"/>
      </w:divBdr>
    </w:div>
    <w:div w:id="1521041694">
      <w:bodyDiv w:val="1"/>
      <w:marLeft w:val="0"/>
      <w:marRight w:val="0"/>
      <w:marTop w:val="0"/>
      <w:marBottom w:val="0"/>
      <w:divBdr>
        <w:top w:val="none" w:sz="0" w:space="0" w:color="auto"/>
        <w:left w:val="none" w:sz="0" w:space="0" w:color="auto"/>
        <w:bottom w:val="none" w:sz="0" w:space="0" w:color="auto"/>
        <w:right w:val="none" w:sz="0" w:space="0" w:color="auto"/>
      </w:divBdr>
    </w:div>
    <w:div w:id="1530993101">
      <w:bodyDiv w:val="1"/>
      <w:marLeft w:val="0"/>
      <w:marRight w:val="0"/>
      <w:marTop w:val="0"/>
      <w:marBottom w:val="0"/>
      <w:divBdr>
        <w:top w:val="none" w:sz="0" w:space="0" w:color="auto"/>
        <w:left w:val="none" w:sz="0" w:space="0" w:color="auto"/>
        <w:bottom w:val="none" w:sz="0" w:space="0" w:color="auto"/>
        <w:right w:val="none" w:sz="0" w:space="0" w:color="auto"/>
      </w:divBdr>
    </w:div>
    <w:div w:id="1538009146">
      <w:bodyDiv w:val="1"/>
      <w:marLeft w:val="0"/>
      <w:marRight w:val="0"/>
      <w:marTop w:val="0"/>
      <w:marBottom w:val="0"/>
      <w:divBdr>
        <w:top w:val="none" w:sz="0" w:space="0" w:color="auto"/>
        <w:left w:val="none" w:sz="0" w:space="0" w:color="auto"/>
        <w:bottom w:val="none" w:sz="0" w:space="0" w:color="auto"/>
        <w:right w:val="none" w:sz="0" w:space="0" w:color="auto"/>
      </w:divBdr>
      <w:divsChild>
        <w:div w:id="546261803">
          <w:marLeft w:val="0"/>
          <w:marRight w:val="0"/>
          <w:marTop w:val="0"/>
          <w:marBottom w:val="0"/>
          <w:divBdr>
            <w:top w:val="none" w:sz="0" w:space="0" w:color="auto"/>
            <w:left w:val="none" w:sz="0" w:space="0" w:color="auto"/>
            <w:bottom w:val="none" w:sz="0" w:space="0" w:color="auto"/>
            <w:right w:val="none" w:sz="0" w:space="0" w:color="auto"/>
          </w:divBdr>
          <w:divsChild>
            <w:div w:id="1227031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0169435">
      <w:bodyDiv w:val="1"/>
      <w:marLeft w:val="0"/>
      <w:marRight w:val="0"/>
      <w:marTop w:val="0"/>
      <w:marBottom w:val="0"/>
      <w:divBdr>
        <w:top w:val="none" w:sz="0" w:space="0" w:color="auto"/>
        <w:left w:val="none" w:sz="0" w:space="0" w:color="auto"/>
        <w:bottom w:val="none" w:sz="0" w:space="0" w:color="auto"/>
        <w:right w:val="none" w:sz="0" w:space="0" w:color="auto"/>
      </w:divBdr>
    </w:div>
    <w:div w:id="1584684768">
      <w:bodyDiv w:val="1"/>
      <w:marLeft w:val="0"/>
      <w:marRight w:val="0"/>
      <w:marTop w:val="0"/>
      <w:marBottom w:val="0"/>
      <w:divBdr>
        <w:top w:val="none" w:sz="0" w:space="0" w:color="auto"/>
        <w:left w:val="none" w:sz="0" w:space="0" w:color="auto"/>
        <w:bottom w:val="none" w:sz="0" w:space="0" w:color="auto"/>
        <w:right w:val="none" w:sz="0" w:space="0" w:color="auto"/>
      </w:divBdr>
    </w:div>
    <w:div w:id="1593590292">
      <w:bodyDiv w:val="1"/>
      <w:marLeft w:val="0"/>
      <w:marRight w:val="0"/>
      <w:marTop w:val="0"/>
      <w:marBottom w:val="0"/>
      <w:divBdr>
        <w:top w:val="none" w:sz="0" w:space="0" w:color="auto"/>
        <w:left w:val="none" w:sz="0" w:space="0" w:color="auto"/>
        <w:bottom w:val="none" w:sz="0" w:space="0" w:color="auto"/>
        <w:right w:val="none" w:sz="0" w:space="0" w:color="auto"/>
      </w:divBdr>
    </w:div>
    <w:div w:id="1598245724">
      <w:bodyDiv w:val="1"/>
      <w:marLeft w:val="0"/>
      <w:marRight w:val="0"/>
      <w:marTop w:val="0"/>
      <w:marBottom w:val="0"/>
      <w:divBdr>
        <w:top w:val="none" w:sz="0" w:space="0" w:color="auto"/>
        <w:left w:val="none" w:sz="0" w:space="0" w:color="auto"/>
        <w:bottom w:val="none" w:sz="0" w:space="0" w:color="auto"/>
        <w:right w:val="none" w:sz="0" w:space="0" w:color="auto"/>
      </w:divBdr>
    </w:div>
    <w:div w:id="1602227141">
      <w:bodyDiv w:val="1"/>
      <w:marLeft w:val="0"/>
      <w:marRight w:val="0"/>
      <w:marTop w:val="0"/>
      <w:marBottom w:val="0"/>
      <w:divBdr>
        <w:top w:val="none" w:sz="0" w:space="0" w:color="auto"/>
        <w:left w:val="none" w:sz="0" w:space="0" w:color="auto"/>
        <w:bottom w:val="none" w:sz="0" w:space="0" w:color="auto"/>
        <w:right w:val="none" w:sz="0" w:space="0" w:color="auto"/>
      </w:divBdr>
    </w:div>
    <w:div w:id="1638804449">
      <w:bodyDiv w:val="1"/>
      <w:marLeft w:val="0"/>
      <w:marRight w:val="0"/>
      <w:marTop w:val="0"/>
      <w:marBottom w:val="0"/>
      <w:divBdr>
        <w:top w:val="none" w:sz="0" w:space="0" w:color="auto"/>
        <w:left w:val="none" w:sz="0" w:space="0" w:color="auto"/>
        <w:bottom w:val="none" w:sz="0" w:space="0" w:color="auto"/>
        <w:right w:val="none" w:sz="0" w:space="0" w:color="auto"/>
      </w:divBdr>
    </w:div>
    <w:div w:id="1640265296">
      <w:bodyDiv w:val="1"/>
      <w:marLeft w:val="0"/>
      <w:marRight w:val="0"/>
      <w:marTop w:val="0"/>
      <w:marBottom w:val="0"/>
      <w:divBdr>
        <w:top w:val="none" w:sz="0" w:space="0" w:color="auto"/>
        <w:left w:val="none" w:sz="0" w:space="0" w:color="auto"/>
        <w:bottom w:val="none" w:sz="0" w:space="0" w:color="auto"/>
        <w:right w:val="none" w:sz="0" w:space="0" w:color="auto"/>
      </w:divBdr>
    </w:div>
    <w:div w:id="1669359261">
      <w:bodyDiv w:val="1"/>
      <w:marLeft w:val="0"/>
      <w:marRight w:val="0"/>
      <w:marTop w:val="0"/>
      <w:marBottom w:val="0"/>
      <w:divBdr>
        <w:top w:val="none" w:sz="0" w:space="0" w:color="auto"/>
        <w:left w:val="none" w:sz="0" w:space="0" w:color="auto"/>
        <w:bottom w:val="none" w:sz="0" w:space="0" w:color="auto"/>
        <w:right w:val="none" w:sz="0" w:space="0" w:color="auto"/>
      </w:divBdr>
    </w:div>
    <w:div w:id="1676574691">
      <w:bodyDiv w:val="1"/>
      <w:marLeft w:val="0"/>
      <w:marRight w:val="0"/>
      <w:marTop w:val="0"/>
      <w:marBottom w:val="0"/>
      <w:divBdr>
        <w:top w:val="none" w:sz="0" w:space="0" w:color="auto"/>
        <w:left w:val="none" w:sz="0" w:space="0" w:color="auto"/>
        <w:bottom w:val="none" w:sz="0" w:space="0" w:color="auto"/>
        <w:right w:val="none" w:sz="0" w:space="0" w:color="auto"/>
      </w:divBdr>
    </w:div>
    <w:div w:id="1688942013">
      <w:bodyDiv w:val="1"/>
      <w:marLeft w:val="0"/>
      <w:marRight w:val="0"/>
      <w:marTop w:val="0"/>
      <w:marBottom w:val="0"/>
      <w:divBdr>
        <w:top w:val="none" w:sz="0" w:space="0" w:color="auto"/>
        <w:left w:val="none" w:sz="0" w:space="0" w:color="auto"/>
        <w:bottom w:val="none" w:sz="0" w:space="0" w:color="auto"/>
        <w:right w:val="none" w:sz="0" w:space="0" w:color="auto"/>
      </w:divBdr>
    </w:div>
    <w:div w:id="1691029940">
      <w:bodyDiv w:val="1"/>
      <w:marLeft w:val="0"/>
      <w:marRight w:val="0"/>
      <w:marTop w:val="0"/>
      <w:marBottom w:val="0"/>
      <w:divBdr>
        <w:top w:val="none" w:sz="0" w:space="0" w:color="auto"/>
        <w:left w:val="none" w:sz="0" w:space="0" w:color="auto"/>
        <w:bottom w:val="none" w:sz="0" w:space="0" w:color="auto"/>
        <w:right w:val="none" w:sz="0" w:space="0" w:color="auto"/>
      </w:divBdr>
    </w:div>
    <w:div w:id="1691107340">
      <w:bodyDiv w:val="1"/>
      <w:marLeft w:val="0"/>
      <w:marRight w:val="0"/>
      <w:marTop w:val="0"/>
      <w:marBottom w:val="0"/>
      <w:divBdr>
        <w:top w:val="none" w:sz="0" w:space="0" w:color="auto"/>
        <w:left w:val="none" w:sz="0" w:space="0" w:color="auto"/>
        <w:bottom w:val="none" w:sz="0" w:space="0" w:color="auto"/>
        <w:right w:val="none" w:sz="0" w:space="0" w:color="auto"/>
      </w:divBdr>
      <w:divsChild>
        <w:div w:id="5134511">
          <w:marLeft w:val="0"/>
          <w:marRight w:val="0"/>
          <w:marTop w:val="0"/>
          <w:marBottom w:val="0"/>
          <w:divBdr>
            <w:top w:val="none" w:sz="0" w:space="0" w:color="auto"/>
            <w:left w:val="none" w:sz="0" w:space="0" w:color="auto"/>
            <w:bottom w:val="none" w:sz="0" w:space="0" w:color="auto"/>
            <w:right w:val="none" w:sz="0" w:space="0" w:color="auto"/>
          </w:divBdr>
          <w:divsChild>
            <w:div w:id="1163012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1512212">
      <w:bodyDiv w:val="1"/>
      <w:marLeft w:val="0"/>
      <w:marRight w:val="0"/>
      <w:marTop w:val="0"/>
      <w:marBottom w:val="0"/>
      <w:divBdr>
        <w:top w:val="none" w:sz="0" w:space="0" w:color="auto"/>
        <w:left w:val="none" w:sz="0" w:space="0" w:color="auto"/>
        <w:bottom w:val="none" w:sz="0" w:space="0" w:color="auto"/>
        <w:right w:val="none" w:sz="0" w:space="0" w:color="auto"/>
      </w:divBdr>
    </w:div>
    <w:div w:id="1725712445">
      <w:bodyDiv w:val="1"/>
      <w:marLeft w:val="0"/>
      <w:marRight w:val="0"/>
      <w:marTop w:val="0"/>
      <w:marBottom w:val="0"/>
      <w:divBdr>
        <w:top w:val="none" w:sz="0" w:space="0" w:color="auto"/>
        <w:left w:val="none" w:sz="0" w:space="0" w:color="auto"/>
        <w:bottom w:val="none" w:sz="0" w:space="0" w:color="auto"/>
        <w:right w:val="none" w:sz="0" w:space="0" w:color="auto"/>
      </w:divBdr>
    </w:div>
    <w:div w:id="1735860050">
      <w:bodyDiv w:val="1"/>
      <w:marLeft w:val="0"/>
      <w:marRight w:val="0"/>
      <w:marTop w:val="0"/>
      <w:marBottom w:val="0"/>
      <w:divBdr>
        <w:top w:val="none" w:sz="0" w:space="0" w:color="auto"/>
        <w:left w:val="none" w:sz="0" w:space="0" w:color="auto"/>
        <w:bottom w:val="none" w:sz="0" w:space="0" w:color="auto"/>
        <w:right w:val="none" w:sz="0" w:space="0" w:color="auto"/>
      </w:divBdr>
    </w:div>
    <w:div w:id="1756702904">
      <w:bodyDiv w:val="1"/>
      <w:marLeft w:val="0"/>
      <w:marRight w:val="0"/>
      <w:marTop w:val="0"/>
      <w:marBottom w:val="0"/>
      <w:divBdr>
        <w:top w:val="none" w:sz="0" w:space="0" w:color="auto"/>
        <w:left w:val="none" w:sz="0" w:space="0" w:color="auto"/>
        <w:bottom w:val="none" w:sz="0" w:space="0" w:color="auto"/>
        <w:right w:val="none" w:sz="0" w:space="0" w:color="auto"/>
      </w:divBdr>
    </w:div>
    <w:div w:id="1757021801">
      <w:bodyDiv w:val="1"/>
      <w:marLeft w:val="0"/>
      <w:marRight w:val="0"/>
      <w:marTop w:val="0"/>
      <w:marBottom w:val="0"/>
      <w:divBdr>
        <w:top w:val="none" w:sz="0" w:space="0" w:color="auto"/>
        <w:left w:val="none" w:sz="0" w:space="0" w:color="auto"/>
        <w:bottom w:val="none" w:sz="0" w:space="0" w:color="auto"/>
        <w:right w:val="none" w:sz="0" w:space="0" w:color="auto"/>
      </w:divBdr>
    </w:div>
    <w:div w:id="1764647191">
      <w:bodyDiv w:val="1"/>
      <w:marLeft w:val="0"/>
      <w:marRight w:val="0"/>
      <w:marTop w:val="0"/>
      <w:marBottom w:val="0"/>
      <w:divBdr>
        <w:top w:val="none" w:sz="0" w:space="0" w:color="auto"/>
        <w:left w:val="none" w:sz="0" w:space="0" w:color="auto"/>
        <w:bottom w:val="none" w:sz="0" w:space="0" w:color="auto"/>
        <w:right w:val="none" w:sz="0" w:space="0" w:color="auto"/>
      </w:divBdr>
    </w:div>
    <w:div w:id="1827285888">
      <w:bodyDiv w:val="1"/>
      <w:marLeft w:val="0"/>
      <w:marRight w:val="0"/>
      <w:marTop w:val="0"/>
      <w:marBottom w:val="0"/>
      <w:divBdr>
        <w:top w:val="none" w:sz="0" w:space="0" w:color="auto"/>
        <w:left w:val="none" w:sz="0" w:space="0" w:color="auto"/>
        <w:bottom w:val="none" w:sz="0" w:space="0" w:color="auto"/>
        <w:right w:val="none" w:sz="0" w:space="0" w:color="auto"/>
      </w:divBdr>
      <w:divsChild>
        <w:div w:id="2009357183">
          <w:marLeft w:val="0"/>
          <w:marRight w:val="0"/>
          <w:marTop w:val="0"/>
          <w:marBottom w:val="0"/>
          <w:divBdr>
            <w:top w:val="none" w:sz="0" w:space="0" w:color="auto"/>
            <w:left w:val="none" w:sz="0" w:space="0" w:color="auto"/>
            <w:bottom w:val="none" w:sz="0" w:space="0" w:color="auto"/>
            <w:right w:val="none" w:sz="0" w:space="0" w:color="auto"/>
          </w:divBdr>
          <w:divsChild>
            <w:div w:id="33311746">
              <w:marLeft w:val="0"/>
              <w:marRight w:val="0"/>
              <w:marTop w:val="0"/>
              <w:marBottom w:val="0"/>
              <w:divBdr>
                <w:top w:val="none" w:sz="0" w:space="0" w:color="auto"/>
                <w:left w:val="none" w:sz="0" w:space="0" w:color="auto"/>
                <w:bottom w:val="none" w:sz="0" w:space="0" w:color="auto"/>
                <w:right w:val="none" w:sz="0" w:space="0" w:color="auto"/>
              </w:divBdr>
            </w:div>
          </w:divsChild>
        </w:div>
        <w:div w:id="1931500679">
          <w:blockQuote w:val="1"/>
          <w:marLeft w:val="720"/>
          <w:marRight w:val="720"/>
          <w:marTop w:val="100"/>
          <w:marBottom w:val="100"/>
          <w:divBdr>
            <w:top w:val="none" w:sz="0" w:space="0" w:color="auto"/>
            <w:left w:val="none" w:sz="0" w:space="0" w:color="auto"/>
            <w:bottom w:val="none" w:sz="0" w:space="0" w:color="auto"/>
            <w:right w:val="none" w:sz="0" w:space="0" w:color="auto"/>
          </w:divBdr>
        </w:div>
        <w:div w:id="143283895">
          <w:blockQuote w:val="1"/>
          <w:marLeft w:val="720"/>
          <w:marRight w:val="720"/>
          <w:marTop w:val="100"/>
          <w:marBottom w:val="100"/>
          <w:divBdr>
            <w:top w:val="none" w:sz="0" w:space="0" w:color="auto"/>
            <w:left w:val="none" w:sz="0" w:space="0" w:color="auto"/>
            <w:bottom w:val="none" w:sz="0" w:space="0" w:color="auto"/>
            <w:right w:val="none" w:sz="0" w:space="0" w:color="auto"/>
          </w:divBdr>
        </w:div>
        <w:div w:id="37624342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43003827">
      <w:bodyDiv w:val="1"/>
      <w:marLeft w:val="0"/>
      <w:marRight w:val="0"/>
      <w:marTop w:val="0"/>
      <w:marBottom w:val="0"/>
      <w:divBdr>
        <w:top w:val="none" w:sz="0" w:space="0" w:color="auto"/>
        <w:left w:val="none" w:sz="0" w:space="0" w:color="auto"/>
        <w:bottom w:val="none" w:sz="0" w:space="0" w:color="auto"/>
        <w:right w:val="none" w:sz="0" w:space="0" w:color="auto"/>
      </w:divBdr>
    </w:div>
    <w:div w:id="1849179154">
      <w:bodyDiv w:val="1"/>
      <w:marLeft w:val="0"/>
      <w:marRight w:val="0"/>
      <w:marTop w:val="0"/>
      <w:marBottom w:val="0"/>
      <w:divBdr>
        <w:top w:val="none" w:sz="0" w:space="0" w:color="auto"/>
        <w:left w:val="none" w:sz="0" w:space="0" w:color="auto"/>
        <w:bottom w:val="none" w:sz="0" w:space="0" w:color="auto"/>
        <w:right w:val="none" w:sz="0" w:space="0" w:color="auto"/>
      </w:divBdr>
    </w:div>
    <w:div w:id="1858035754">
      <w:bodyDiv w:val="1"/>
      <w:marLeft w:val="0"/>
      <w:marRight w:val="0"/>
      <w:marTop w:val="0"/>
      <w:marBottom w:val="0"/>
      <w:divBdr>
        <w:top w:val="none" w:sz="0" w:space="0" w:color="auto"/>
        <w:left w:val="none" w:sz="0" w:space="0" w:color="auto"/>
        <w:bottom w:val="none" w:sz="0" w:space="0" w:color="auto"/>
        <w:right w:val="none" w:sz="0" w:space="0" w:color="auto"/>
      </w:divBdr>
    </w:div>
    <w:div w:id="1864202989">
      <w:bodyDiv w:val="1"/>
      <w:marLeft w:val="0"/>
      <w:marRight w:val="0"/>
      <w:marTop w:val="0"/>
      <w:marBottom w:val="0"/>
      <w:divBdr>
        <w:top w:val="none" w:sz="0" w:space="0" w:color="auto"/>
        <w:left w:val="none" w:sz="0" w:space="0" w:color="auto"/>
        <w:bottom w:val="none" w:sz="0" w:space="0" w:color="auto"/>
        <w:right w:val="none" w:sz="0" w:space="0" w:color="auto"/>
      </w:divBdr>
      <w:divsChild>
        <w:div w:id="182402499">
          <w:marLeft w:val="0"/>
          <w:marRight w:val="0"/>
          <w:marTop w:val="0"/>
          <w:marBottom w:val="0"/>
          <w:divBdr>
            <w:top w:val="none" w:sz="0" w:space="0" w:color="auto"/>
            <w:left w:val="none" w:sz="0" w:space="0" w:color="auto"/>
            <w:bottom w:val="none" w:sz="0" w:space="0" w:color="auto"/>
            <w:right w:val="none" w:sz="0" w:space="0" w:color="auto"/>
          </w:divBdr>
          <w:divsChild>
            <w:div w:id="665326116">
              <w:marLeft w:val="0"/>
              <w:marRight w:val="0"/>
              <w:marTop w:val="0"/>
              <w:marBottom w:val="0"/>
              <w:divBdr>
                <w:top w:val="none" w:sz="0" w:space="0" w:color="auto"/>
                <w:left w:val="none" w:sz="0" w:space="0" w:color="auto"/>
                <w:bottom w:val="none" w:sz="0" w:space="0" w:color="auto"/>
                <w:right w:val="none" w:sz="0" w:space="0" w:color="auto"/>
              </w:divBdr>
            </w:div>
          </w:divsChild>
        </w:div>
        <w:div w:id="94641929">
          <w:marLeft w:val="0"/>
          <w:marRight w:val="0"/>
          <w:marTop w:val="0"/>
          <w:marBottom w:val="0"/>
          <w:divBdr>
            <w:top w:val="none" w:sz="0" w:space="0" w:color="auto"/>
            <w:left w:val="none" w:sz="0" w:space="0" w:color="auto"/>
            <w:bottom w:val="none" w:sz="0" w:space="0" w:color="auto"/>
            <w:right w:val="none" w:sz="0" w:space="0" w:color="auto"/>
          </w:divBdr>
          <w:divsChild>
            <w:div w:id="962662565">
              <w:marLeft w:val="0"/>
              <w:marRight w:val="0"/>
              <w:marTop w:val="0"/>
              <w:marBottom w:val="0"/>
              <w:divBdr>
                <w:top w:val="none" w:sz="0" w:space="0" w:color="auto"/>
                <w:left w:val="none" w:sz="0" w:space="0" w:color="auto"/>
                <w:bottom w:val="none" w:sz="0" w:space="0" w:color="auto"/>
                <w:right w:val="none" w:sz="0" w:space="0" w:color="auto"/>
              </w:divBdr>
            </w:div>
          </w:divsChild>
        </w:div>
        <w:div w:id="1161581023">
          <w:marLeft w:val="0"/>
          <w:marRight w:val="0"/>
          <w:marTop w:val="0"/>
          <w:marBottom w:val="0"/>
          <w:divBdr>
            <w:top w:val="none" w:sz="0" w:space="0" w:color="auto"/>
            <w:left w:val="none" w:sz="0" w:space="0" w:color="auto"/>
            <w:bottom w:val="none" w:sz="0" w:space="0" w:color="auto"/>
            <w:right w:val="none" w:sz="0" w:space="0" w:color="auto"/>
          </w:divBdr>
          <w:divsChild>
            <w:div w:id="585965705">
              <w:marLeft w:val="0"/>
              <w:marRight w:val="0"/>
              <w:marTop w:val="0"/>
              <w:marBottom w:val="0"/>
              <w:divBdr>
                <w:top w:val="none" w:sz="0" w:space="0" w:color="auto"/>
                <w:left w:val="none" w:sz="0" w:space="0" w:color="auto"/>
                <w:bottom w:val="none" w:sz="0" w:space="0" w:color="auto"/>
                <w:right w:val="none" w:sz="0" w:space="0" w:color="auto"/>
              </w:divBdr>
            </w:div>
          </w:divsChild>
        </w:div>
        <w:div w:id="1243442660">
          <w:marLeft w:val="0"/>
          <w:marRight w:val="0"/>
          <w:marTop w:val="0"/>
          <w:marBottom w:val="0"/>
          <w:divBdr>
            <w:top w:val="none" w:sz="0" w:space="0" w:color="auto"/>
            <w:left w:val="none" w:sz="0" w:space="0" w:color="auto"/>
            <w:bottom w:val="none" w:sz="0" w:space="0" w:color="auto"/>
            <w:right w:val="none" w:sz="0" w:space="0" w:color="auto"/>
          </w:divBdr>
          <w:divsChild>
            <w:div w:id="968628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2305736">
      <w:bodyDiv w:val="1"/>
      <w:marLeft w:val="0"/>
      <w:marRight w:val="0"/>
      <w:marTop w:val="0"/>
      <w:marBottom w:val="0"/>
      <w:divBdr>
        <w:top w:val="none" w:sz="0" w:space="0" w:color="auto"/>
        <w:left w:val="none" w:sz="0" w:space="0" w:color="auto"/>
        <w:bottom w:val="none" w:sz="0" w:space="0" w:color="auto"/>
        <w:right w:val="none" w:sz="0" w:space="0" w:color="auto"/>
      </w:divBdr>
      <w:divsChild>
        <w:div w:id="670987081">
          <w:marLeft w:val="0"/>
          <w:marRight w:val="0"/>
          <w:marTop w:val="0"/>
          <w:marBottom w:val="0"/>
          <w:divBdr>
            <w:top w:val="none" w:sz="0" w:space="0" w:color="auto"/>
            <w:left w:val="none" w:sz="0" w:space="0" w:color="auto"/>
            <w:bottom w:val="none" w:sz="0" w:space="0" w:color="auto"/>
            <w:right w:val="none" w:sz="0" w:space="0" w:color="auto"/>
          </w:divBdr>
          <w:divsChild>
            <w:div w:id="1827741519">
              <w:marLeft w:val="0"/>
              <w:marRight w:val="0"/>
              <w:marTop w:val="0"/>
              <w:marBottom w:val="0"/>
              <w:divBdr>
                <w:top w:val="none" w:sz="0" w:space="0" w:color="auto"/>
                <w:left w:val="none" w:sz="0" w:space="0" w:color="auto"/>
                <w:bottom w:val="none" w:sz="0" w:space="0" w:color="auto"/>
                <w:right w:val="none" w:sz="0" w:space="0" w:color="auto"/>
              </w:divBdr>
            </w:div>
          </w:divsChild>
        </w:div>
        <w:div w:id="797456662">
          <w:marLeft w:val="0"/>
          <w:marRight w:val="0"/>
          <w:marTop w:val="0"/>
          <w:marBottom w:val="0"/>
          <w:divBdr>
            <w:top w:val="none" w:sz="0" w:space="0" w:color="auto"/>
            <w:left w:val="none" w:sz="0" w:space="0" w:color="auto"/>
            <w:bottom w:val="none" w:sz="0" w:space="0" w:color="auto"/>
            <w:right w:val="none" w:sz="0" w:space="0" w:color="auto"/>
          </w:divBdr>
          <w:divsChild>
            <w:div w:id="1997956408">
              <w:marLeft w:val="0"/>
              <w:marRight w:val="0"/>
              <w:marTop w:val="0"/>
              <w:marBottom w:val="0"/>
              <w:divBdr>
                <w:top w:val="none" w:sz="0" w:space="0" w:color="auto"/>
                <w:left w:val="none" w:sz="0" w:space="0" w:color="auto"/>
                <w:bottom w:val="none" w:sz="0" w:space="0" w:color="auto"/>
                <w:right w:val="none" w:sz="0" w:space="0" w:color="auto"/>
              </w:divBdr>
            </w:div>
          </w:divsChild>
        </w:div>
        <w:div w:id="968362805">
          <w:marLeft w:val="0"/>
          <w:marRight w:val="0"/>
          <w:marTop w:val="0"/>
          <w:marBottom w:val="0"/>
          <w:divBdr>
            <w:top w:val="none" w:sz="0" w:space="0" w:color="auto"/>
            <w:left w:val="none" w:sz="0" w:space="0" w:color="auto"/>
            <w:bottom w:val="none" w:sz="0" w:space="0" w:color="auto"/>
            <w:right w:val="none" w:sz="0" w:space="0" w:color="auto"/>
          </w:divBdr>
          <w:divsChild>
            <w:div w:id="1286958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8297147">
      <w:bodyDiv w:val="1"/>
      <w:marLeft w:val="0"/>
      <w:marRight w:val="0"/>
      <w:marTop w:val="0"/>
      <w:marBottom w:val="0"/>
      <w:divBdr>
        <w:top w:val="none" w:sz="0" w:space="0" w:color="auto"/>
        <w:left w:val="none" w:sz="0" w:space="0" w:color="auto"/>
        <w:bottom w:val="none" w:sz="0" w:space="0" w:color="auto"/>
        <w:right w:val="none" w:sz="0" w:space="0" w:color="auto"/>
      </w:divBdr>
    </w:div>
    <w:div w:id="1973435212">
      <w:bodyDiv w:val="1"/>
      <w:marLeft w:val="0"/>
      <w:marRight w:val="0"/>
      <w:marTop w:val="0"/>
      <w:marBottom w:val="0"/>
      <w:divBdr>
        <w:top w:val="none" w:sz="0" w:space="0" w:color="auto"/>
        <w:left w:val="none" w:sz="0" w:space="0" w:color="auto"/>
        <w:bottom w:val="none" w:sz="0" w:space="0" w:color="auto"/>
        <w:right w:val="none" w:sz="0" w:space="0" w:color="auto"/>
      </w:divBdr>
    </w:div>
    <w:div w:id="2004817415">
      <w:bodyDiv w:val="1"/>
      <w:marLeft w:val="0"/>
      <w:marRight w:val="0"/>
      <w:marTop w:val="0"/>
      <w:marBottom w:val="0"/>
      <w:divBdr>
        <w:top w:val="none" w:sz="0" w:space="0" w:color="auto"/>
        <w:left w:val="none" w:sz="0" w:space="0" w:color="auto"/>
        <w:bottom w:val="none" w:sz="0" w:space="0" w:color="auto"/>
        <w:right w:val="none" w:sz="0" w:space="0" w:color="auto"/>
      </w:divBdr>
    </w:div>
    <w:div w:id="2029794691">
      <w:bodyDiv w:val="1"/>
      <w:marLeft w:val="0"/>
      <w:marRight w:val="0"/>
      <w:marTop w:val="0"/>
      <w:marBottom w:val="0"/>
      <w:divBdr>
        <w:top w:val="none" w:sz="0" w:space="0" w:color="auto"/>
        <w:left w:val="none" w:sz="0" w:space="0" w:color="auto"/>
        <w:bottom w:val="none" w:sz="0" w:space="0" w:color="auto"/>
        <w:right w:val="none" w:sz="0" w:space="0" w:color="auto"/>
      </w:divBdr>
    </w:div>
    <w:div w:id="2030444707">
      <w:bodyDiv w:val="1"/>
      <w:marLeft w:val="0"/>
      <w:marRight w:val="0"/>
      <w:marTop w:val="0"/>
      <w:marBottom w:val="0"/>
      <w:divBdr>
        <w:top w:val="none" w:sz="0" w:space="0" w:color="auto"/>
        <w:left w:val="none" w:sz="0" w:space="0" w:color="auto"/>
        <w:bottom w:val="none" w:sz="0" w:space="0" w:color="auto"/>
        <w:right w:val="none" w:sz="0" w:space="0" w:color="auto"/>
      </w:divBdr>
    </w:div>
    <w:div w:id="2067557618">
      <w:bodyDiv w:val="1"/>
      <w:marLeft w:val="0"/>
      <w:marRight w:val="0"/>
      <w:marTop w:val="0"/>
      <w:marBottom w:val="0"/>
      <w:divBdr>
        <w:top w:val="none" w:sz="0" w:space="0" w:color="auto"/>
        <w:left w:val="none" w:sz="0" w:space="0" w:color="auto"/>
        <w:bottom w:val="none" w:sz="0" w:space="0" w:color="auto"/>
        <w:right w:val="none" w:sz="0" w:space="0" w:color="auto"/>
      </w:divBdr>
    </w:div>
    <w:div w:id="2074233916">
      <w:bodyDiv w:val="1"/>
      <w:marLeft w:val="0"/>
      <w:marRight w:val="0"/>
      <w:marTop w:val="0"/>
      <w:marBottom w:val="0"/>
      <w:divBdr>
        <w:top w:val="none" w:sz="0" w:space="0" w:color="auto"/>
        <w:left w:val="none" w:sz="0" w:space="0" w:color="auto"/>
        <w:bottom w:val="none" w:sz="0" w:space="0" w:color="auto"/>
        <w:right w:val="none" w:sz="0" w:space="0" w:color="auto"/>
      </w:divBdr>
    </w:div>
    <w:div w:id="2085370953">
      <w:bodyDiv w:val="1"/>
      <w:marLeft w:val="0"/>
      <w:marRight w:val="0"/>
      <w:marTop w:val="0"/>
      <w:marBottom w:val="0"/>
      <w:divBdr>
        <w:top w:val="none" w:sz="0" w:space="0" w:color="auto"/>
        <w:left w:val="none" w:sz="0" w:space="0" w:color="auto"/>
        <w:bottom w:val="none" w:sz="0" w:space="0" w:color="auto"/>
        <w:right w:val="none" w:sz="0" w:space="0" w:color="auto"/>
      </w:divBdr>
    </w:div>
    <w:div w:id="2136292117">
      <w:bodyDiv w:val="1"/>
      <w:marLeft w:val="0"/>
      <w:marRight w:val="0"/>
      <w:marTop w:val="0"/>
      <w:marBottom w:val="0"/>
      <w:divBdr>
        <w:top w:val="none" w:sz="0" w:space="0" w:color="auto"/>
        <w:left w:val="none" w:sz="0" w:space="0" w:color="auto"/>
        <w:bottom w:val="none" w:sz="0" w:space="0" w:color="auto"/>
        <w:right w:val="none" w:sz="0" w:space="0" w:color="auto"/>
      </w:divBdr>
    </w:div>
    <w:div w:id="2136479746">
      <w:bodyDiv w:val="1"/>
      <w:marLeft w:val="0"/>
      <w:marRight w:val="0"/>
      <w:marTop w:val="0"/>
      <w:marBottom w:val="0"/>
      <w:divBdr>
        <w:top w:val="none" w:sz="0" w:space="0" w:color="auto"/>
        <w:left w:val="none" w:sz="0" w:space="0" w:color="auto"/>
        <w:bottom w:val="none" w:sz="0" w:space="0" w:color="auto"/>
        <w:right w:val="none" w:sz="0" w:space="0" w:color="auto"/>
      </w:divBdr>
    </w:div>
    <w:div w:id="2143766819">
      <w:bodyDiv w:val="1"/>
      <w:marLeft w:val="0"/>
      <w:marRight w:val="0"/>
      <w:marTop w:val="0"/>
      <w:marBottom w:val="0"/>
      <w:divBdr>
        <w:top w:val="none" w:sz="0" w:space="0" w:color="auto"/>
        <w:left w:val="none" w:sz="0" w:space="0" w:color="auto"/>
        <w:bottom w:val="none" w:sz="0" w:space="0" w:color="auto"/>
        <w:right w:val="none" w:sz="0" w:space="0" w:color="auto"/>
      </w:divBdr>
    </w:div>
    <w:div w:id="21473124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22</Pages>
  <Words>7626</Words>
  <Characters>43472</Characters>
  <Application>Microsoft Office Word</Application>
  <DocSecurity>0</DocSecurity>
  <Lines>362</Lines>
  <Paragraphs>101</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50997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dc:creator>
  <cp:lastModifiedBy>SDI 1084</cp:lastModifiedBy>
  <cp:revision>9</cp:revision>
  <cp:lastPrinted>2026-02-06T05:45:00Z</cp:lastPrinted>
  <dcterms:created xsi:type="dcterms:W3CDTF">2026-09-17T17:50:00Z</dcterms:created>
  <dcterms:modified xsi:type="dcterms:W3CDTF">2026-09-21T13:08:00Z</dcterms:modified>
</cp:coreProperties>
</file>