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963923" w14:textId="497EDA7F" w:rsidR="00D23B86" w:rsidRPr="00D23B86" w:rsidRDefault="00D23B86" w:rsidP="00C72108">
      <w:pPr>
        <w:spacing w:line="360" w:lineRule="auto"/>
        <w:rPr>
          <w:rFonts w:ascii="Times New Roman" w:hAnsi="Times New Roman" w:cs="Times New Roman"/>
          <w:b/>
          <w:sz w:val="28"/>
          <w:szCs w:val="28"/>
          <w:u w:val="single"/>
        </w:rPr>
      </w:pPr>
      <w:r w:rsidRPr="00D23B86">
        <w:rPr>
          <w:rFonts w:ascii="Times New Roman" w:hAnsi="Times New Roman" w:cs="Times New Roman"/>
          <w:b/>
          <w:sz w:val="28"/>
          <w:szCs w:val="28"/>
          <w:u w:val="single"/>
        </w:rPr>
        <w:t>Review Article</w:t>
      </w:r>
    </w:p>
    <w:p w14:paraId="2455CDD2" w14:textId="55EA2B91" w:rsidR="00B7640C" w:rsidRDefault="000F5899" w:rsidP="00C72108">
      <w:pPr>
        <w:spacing w:line="360" w:lineRule="auto"/>
        <w:rPr>
          <w:rFonts w:ascii="Times New Roman" w:hAnsi="Times New Roman" w:cs="Times New Roman"/>
          <w:b/>
          <w:sz w:val="28"/>
          <w:szCs w:val="28"/>
        </w:rPr>
      </w:pPr>
      <w:r>
        <w:rPr>
          <w:rFonts w:ascii="Times New Roman" w:hAnsi="Times New Roman" w:cs="Times New Roman"/>
          <w:b/>
          <w:sz w:val="28"/>
          <w:szCs w:val="28"/>
        </w:rPr>
        <w:t>SGLT2 INHIBITORS BEYOND DIABETES: EMERGING CARDIOVASCULAR, RENAL AND NEUROPROTECTIVE APPLICATIONS</w:t>
      </w:r>
    </w:p>
    <w:p w14:paraId="7C6161AF" w14:textId="77777777" w:rsidR="00B7640C" w:rsidRDefault="00B7640C">
      <w:pPr>
        <w:spacing w:line="360" w:lineRule="auto"/>
        <w:jc w:val="both"/>
        <w:rPr>
          <w:rFonts w:ascii="Times New Roman" w:hAnsi="Times New Roman" w:cs="Times New Roman"/>
          <w:sz w:val="24"/>
          <w:szCs w:val="24"/>
        </w:rPr>
      </w:pPr>
    </w:p>
    <w:p w14:paraId="3EED7428" w14:textId="77777777" w:rsidR="00B7640C" w:rsidRDefault="000F5899">
      <w:pPr>
        <w:pStyle w:val="NormalWeb"/>
        <w:spacing w:line="360" w:lineRule="auto"/>
        <w:jc w:val="both"/>
        <w:rPr>
          <w:b/>
        </w:rPr>
      </w:pPr>
      <w:r>
        <w:rPr>
          <w:b/>
        </w:rPr>
        <w:t>ABSTRACT:</w:t>
      </w:r>
    </w:p>
    <w:p w14:paraId="368DE67E" w14:textId="77777777" w:rsidR="00B7640C" w:rsidRDefault="000F5899">
      <w:pPr>
        <w:pStyle w:val="NormalWeb"/>
        <w:spacing w:line="360" w:lineRule="auto"/>
        <w:jc w:val="both"/>
      </w:pPr>
      <w:r>
        <w:t>Sodium-glucose cotransporter-2 (SGLT2) inhibitors first entered clinical use as glucose-lowering drugs for type 2 diabetes mellitus. Their therapeutic scope has since widened considerably, driven by evidence of cardiovascular and renal benefits that go beyond glycemic control. These agents promote urinary excretion of glucose and sodium, and they produce broad systemic effects involving renal hemodynamics, plasma volume, myocardial metabolism, vascular function, inflammation, and oxidative stress. Clinical trials have confirmed meaningful benefits in heart failure and chronic kidney disease, including in patients without diabetes. Dapagliflozin and empagliflozin have reduced hospitalizations for heart failure and cardiovascular events across different heart-failure phenotypes, while canagliflozin, dapagliflozin, and empagliflozin have shown protection against progression of chronic kidney disease. Interest has also grown in possible neurological effects. Experimental studies and observational clinical data suggest that SGLT2 inhibitors may influence neuroinflammation, oxidative stress, mitochondrial dysfunction, cerebral vascular injury, and cognitive decline. However, the evidence for neuroprotection is far less mature than the cardiovascular and renal data, and causality has not been established. This review summarizes the pharmacological basis of the extra-glycemic effects of SGLT2 inhibitors, evaluates their established cardiovascular and renal applications, examines emerging neuroprotective evidence, discusses safety considerations, and identifies future research priorities. The growing body of evidence indicates that SGLT2 inhibitors have moved from conventional antihyperglycemic agents to important components of modern cardiorenal pharmacotherapy, while their potential role in neurological disease remains a key area for further study.</w:t>
      </w:r>
    </w:p>
    <w:p w14:paraId="7CD03FF1" w14:textId="77777777" w:rsidR="00B7640C" w:rsidRDefault="000F5899">
      <w:pPr>
        <w:spacing w:line="360" w:lineRule="auto"/>
        <w:jc w:val="both"/>
        <w:rPr>
          <w:rFonts w:ascii="Times New Roman" w:hAnsi="Times New Roman" w:cs="Times New Roman"/>
          <w:sz w:val="24"/>
          <w:szCs w:val="24"/>
        </w:rPr>
      </w:pPr>
      <w:r>
        <w:rPr>
          <w:rFonts w:ascii="Times New Roman" w:hAnsi="Times New Roman" w:cs="Times New Roman"/>
          <w:sz w:val="24"/>
          <w:szCs w:val="24"/>
        </w:rPr>
        <w:t>Keywords: SGLT2 inhibitors; cardiovascular protection; heart failure; chronic kidney disease; neuroprotection; Alzheimer's disease; cognitive decline; cardiorenal therapy.</w:t>
      </w:r>
    </w:p>
    <w:p w14:paraId="5C320E63" w14:textId="77777777" w:rsidR="00B7640C" w:rsidRDefault="00B7640C">
      <w:pPr>
        <w:spacing w:line="360" w:lineRule="auto"/>
        <w:jc w:val="both"/>
        <w:rPr>
          <w:rFonts w:ascii="Times New Roman" w:hAnsi="Times New Roman" w:cs="Times New Roman"/>
          <w:sz w:val="24"/>
          <w:szCs w:val="24"/>
        </w:rPr>
      </w:pPr>
    </w:p>
    <w:p w14:paraId="075EE654" w14:textId="77777777" w:rsidR="00B7640C" w:rsidRDefault="000F5899">
      <w:pPr>
        <w:spacing w:line="360" w:lineRule="auto"/>
        <w:jc w:val="both"/>
        <w:rPr>
          <w:rFonts w:ascii="Times New Roman" w:hAnsi="Times New Roman" w:cs="Times New Roman"/>
          <w:b/>
          <w:sz w:val="24"/>
          <w:szCs w:val="24"/>
        </w:rPr>
      </w:pPr>
      <w:r>
        <w:rPr>
          <w:rFonts w:ascii="Times New Roman" w:hAnsi="Times New Roman" w:cs="Times New Roman"/>
          <w:b/>
          <w:sz w:val="24"/>
          <w:szCs w:val="24"/>
        </w:rPr>
        <w:t>1.INTRODUCTION:</w:t>
      </w:r>
    </w:p>
    <w:p w14:paraId="5EB6C961" w14:textId="77777777" w:rsidR="00B7640C" w:rsidRDefault="000F5899">
      <w:pPr>
        <w:pStyle w:val="NormalWeb"/>
        <w:spacing w:line="360" w:lineRule="auto"/>
        <w:jc w:val="both"/>
      </w:pPr>
      <w:r>
        <w:t>Sodium-glucose cotransporter-2 (SGLT2) inhibitors mark an important therapeutic advance in modern pharmacotherapy. The class was originally developed to lower blood glucose in patients with type 2 diabetes mellitus (T2DM) by blocking glucose and sodium reabsorption in the proximal renal tubule. Unlike insulin secretagogues or insulin-sensitizing drugs, their glucose-lowering effect operates largely independently of pancreatic β-cell function and insulin secretion. The resulting urinary glucose excretion produces modest reductions in glycated hemoglobin, body weight, and blood pressure (DeFronzo et al., 2017; Vallon &amp; Thomson, 2017).</w:t>
      </w:r>
    </w:p>
    <w:p w14:paraId="2558762A" w14:textId="77777777" w:rsidR="00B7640C" w:rsidRDefault="000F5899">
      <w:pPr>
        <w:pStyle w:val="NormalWeb"/>
        <w:spacing w:line="360" w:lineRule="auto"/>
        <w:jc w:val="both"/>
      </w:pPr>
      <w:r>
        <w:t xml:space="preserve">The clinical relevance of SGLT2 inhibitors shifted after the emergence of cardiovascular outcome trials. Empagliflozin reduced cardiovascular mortality and hospitalization for heart failure in the EMPA-REG OUTCOME trial, while canagliflozin and dapagliflozin later showed important cardiovascular and heart-failure benefits in large randomized trials (Zinman et al., 2015; Neal et al., 2017; </w:t>
      </w:r>
      <w:proofErr w:type="spellStart"/>
      <w:r>
        <w:t>Wiviott</w:t>
      </w:r>
      <w:proofErr w:type="spellEnd"/>
      <w:r>
        <w:t xml:space="preserve"> et al., 2019). These findings carried particular weight because the magnitude and pattern of benefit could not be explained by glycemic improvement alone.</w:t>
      </w:r>
    </w:p>
    <w:p w14:paraId="4DBA00A0" w14:textId="77777777" w:rsidR="00B7640C" w:rsidRDefault="000F5899">
      <w:pPr>
        <w:pStyle w:val="NormalWeb"/>
        <w:spacing w:line="360" w:lineRule="auto"/>
        <w:jc w:val="both"/>
      </w:pPr>
      <w:r>
        <w:t>Subsequent dedicated trials extended these results to patients with heart failure and chronic kidney disease. Dapagliflozin and empagliflozin reduced worsening heart failure or cardiovascular death in patients with heart failure with reduced ejection fraction (HFrEF), irrespective of diabetes status (McMurray et al., 2019; Packer et al., 2020). Comparable benefits were later shown in heart failure with preserved or mildly reduced ejection fraction (Anker et al., 2021; Solomon et al., 2022).</w:t>
      </w:r>
    </w:p>
    <w:p w14:paraId="73B6CC05" w14:textId="77777777" w:rsidR="00B7640C" w:rsidRDefault="000F5899">
      <w:pPr>
        <w:pStyle w:val="NormalWeb"/>
        <w:spacing w:line="360" w:lineRule="auto"/>
        <w:jc w:val="both"/>
      </w:pPr>
      <w:r>
        <w:t>The renal evidence has been equally transformative. CREDENCE demonstrated renal protection with canagliflozin in diabetic kidney disease, while DAPA-CKD and EMPA-KIDNEY established kidney benefits in broader CKD populations, including patients without diabetes (Perkovic et al., 2019; Heerspink et al., 2020; Herrington et al., 2023). EMPA-KIDNEY further showed that the slowing of CKD progression occurred across a broad range of albuminuria levels, challenging the assumption that substantial albuminuria must be present before SGLT2 inhibition confers renal benefit.</w:t>
      </w:r>
    </w:p>
    <w:p w14:paraId="46BDCA1C" w14:textId="77777777" w:rsidR="00B7640C" w:rsidRDefault="000F5899">
      <w:pPr>
        <w:pStyle w:val="NormalWeb"/>
        <w:spacing w:line="360" w:lineRule="auto"/>
        <w:jc w:val="both"/>
      </w:pPr>
      <w:r>
        <w:lastRenderedPageBreak/>
        <w:t>Interest has more recently expanded beyond the cardiovascular and renal systems. Diabetes, insulin resistance, vascular dysfunction, oxidative stress, and chronic inflammation are associated with cognitive impairment and neurodegenerative disorders. Consequently, the metabolic and cellular effects of SGLT2 inhibition have generated hypotheses regarding potential neuroprotective activity. A recent scoping review identified accumulating evidence concerning dementia, mild cognitive impairment, and Alzheimer's disease, while emphasizing the need for prospective clinical studies.</w:t>
      </w:r>
    </w:p>
    <w:p w14:paraId="79FF7C65" w14:textId="77777777" w:rsidR="00B7640C" w:rsidRDefault="000F5899">
      <w:pPr>
        <w:pStyle w:val="NormalWeb"/>
        <w:spacing w:line="360" w:lineRule="auto"/>
        <w:jc w:val="both"/>
      </w:pPr>
      <w:r>
        <w:t>This review traces the evolution of SGLT2 inhibitors from glucose-lowering drugs into established cardiorenal therapies, focusing on their cardiovascular and renal benefits, which are supported by randomized clinical trials. It also critically assesses the emerging evidence on potential neurological applications, including cognitive decline, dementia, Alzheimer's disease, and other neurodegenerative disorders. The review draws a clear line between clinical applications backed by robust randomized evidence and investigational neurological effects that remain hypothesis-generating and need confirmation in prospective, adequately powered clinical trials.</w:t>
      </w:r>
    </w:p>
    <w:p w14:paraId="595421EE" w14:textId="77777777" w:rsidR="00B7640C" w:rsidRDefault="000F5899">
      <w:pPr>
        <w:spacing w:before="100" w:beforeAutospacing="1" w:after="100" w:afterAutospacing="1" w:line="360" w:lineRule="auto"/>
        <w:jc w:val="both"/>
        <w:outlineLvl w:val="0"/>
        <w:rPr>
          <w:rFonts w:ascii="Times New Roman" w:eastAsia="Times New Roman" w:hAnsi="Times New Roman" w:cs="Times New Roman"/>
          <w:b/>
          <w:bCs/>
          <w:kern w:val="36"/>
          <w:sz w:val="24"/>
          <w:szCs w:val="24"/>
        </w:rPr>
      </w:pPr>
      <w:r>
        <w:rPr>
          <w:rFonts w:ascii="Times New Roman" w:eastAsia="Times New Roman" w:hAnsi="Times New Roman" w:cs="Times New Roman"/>
          <w:b/>
          <w:bCs/>
          <w:kern w:val="36"/>
          <w:sz w:val="24"/>
          <w:szCs w:val="24"/>
        </w:rPr>
        <w:t>2. PHARMACOLOGICAL BASIS OF SGLT2 INHIBITION</w:t>
      </w:r>
    </w:p>
    <w:p w14:paraId="0BA68F3D" w14:textId="77777777" w:rsidR="00B7640C" w:rsidRDefault="000F5899">
      <w:pPr>
        <w:spacing w:before="100" w:beforeAutospacing="1" w:after="100" w:afterAutospacing="1" w:line="360" w:lineRule="auto"/>
        <w:jc w:val="both"/>
        <w:outlineLvl w:val="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2.1 Renal mechanism of action</w:t>
      </w:r>
    </w:p>
    <w:p w14:paraId="0FD1E098" w14:textId="77777777" w:rsidR="00B7640C" w:rsidRDefault="000F5899">
      <w:pPr>
        <w:pStyle w:val="NormalWeb"/>
        <w:spacing w:line="360" w:lineRule="auto"/>
        <w:jc w:val="both"/>
      </w:pPr>
      <w:r>
        <w:t>SGLT2 is a high-capacity, low-affinity sodium-glucose cotransporter predominantly expressed in the proximal renal tubule. Under physiological conditions, it is responsible for reabsorbing most of the filtered glucose together with sodium. Pharmacological inhibition decreases glucose and sodium reabsorption, resulting in glycosuria and natriuresis (Vallon &amp; Thomson, 2017).</w:t>
      </w:r>
    </w:p>
    <w:p w14:paraId="01A1DB00" w14:textId="77777777" w:rsidR="00B7640C" w:rsidRDefault="000F5899">
      <w:pPr>
        <w:pStyle w:val="NormalWeb"/>
        <w:spacing w:line="360" w:lineRule="auto"/>
        <w:jc w:val="both"/>
      </w:pPr>
      <w:r>
        <w:t xml:space="preserve">The increased delivery of sodium chloride to the macula </w:t>
      </w:r>
      <w:proofErr w:type="spellStart"/>
      <w:r>
        <w:t>densa</w:t>
      </w:r>
      <w:proofErr w:type="spellEnd"/>
      <w:r>
        <w:t xml:space="preserve"> enhances </w:t>
      </w:r>
      <w:proofErr w:type="spellStart"/>
      <w:r>
        <w:t>tubuloglomerular</w:t>
      </w:r>
      <w:proofErr w:type="spellEnd"/>
      <w:r>
        <w:t xml:space="preserve"> feedback. This promotes afferent arteriolar vasoconstriction and reduces intraglomerular pressure. The resulting reduction in glomerular hyperfiltration is considered an important mechanism underlying the </w:t>
      </w:r>
      <w:proofErr w:type="spellStart"/>
      <w:r>
        <w:t>renoprotective</w:t>
      </w:r>
      <w:proofErr w:type="spellEnd"/>
      <w:r>
        <w:t xml:space="preserve"> effects of SGLT2 inhibition (Heerspink et al., 2018).</w:t>
      </w:r>
    </w:p>
    <w:p w14:paraId="395B2FD2" w14:textId="77777777" w:rsidR="00B7640C" w:rsidRDefault="000F5899">
      <w:pPr>
        <w:pStyle w:val="NormalWeb"/>
        <w:spacing w:line="360" w:lineRule="auto"/>
        <w:jc w:val="both"/>
      </w:pPr>
      <w:r>
        <w:t xml:space="preserve">An early reduction in estimated glomerular filtration rate (eGFR) may therefore occur after treatment initiation. This initial decline is generally hemodynamic and is followed by a slower </w:t>
      </w:r>
      <w:r>
        <w:lastRenderedPageBreak/>
        <w:t>chronic decline in eGFR. In EMPA-KIDNEY, empagliflozin produced an initial eGFR reduction followed by approximately a 50% reduction in the chronic rate of eGFR decline.</w:t>
      </w:r>
    </w:p>
    <w:p w14:paraId="7A465431" w14:textId="77777777" w:rsidR="00B7640C" w:rsidRDefault="000F5899">
      <w:pPr>
        <w:spacing w:line="360" w:lineRule="auto"/>
        <w:jc w:val="both"/>
        <w:rPr>
          <w:rFonts w:ascii="Times New Roman" w:hAnsi="Times New Roman" w:cs="Times New Roman"/>
          <w:b/>
          <w:sz w:val="24"/>
          <w:szCs w:val="24"/>
        </w:rPr>
      </w:pPr>
      <w:r>
        <w:rPr>
          <w:rFonts w:ascii="Times New Roman" w:hAnsi="Times New Roman" w:cs="Times New Roman"/>
          <w:b/>
          <w:sz w:val="24"/>
          <w:szCs w:val="24"/>
        </w:rPr>
        <w:t>2.2 Hemodynamic effects</w:t>
      </w:r>
    </w:p>
    <w:p w14:paraId="7718DD59" w14:textId="77777777" w:rsidR="00B7640C" w:rsidRDefault="000F5899">
      <w:pPr>
        <w:pStyle w:val="NormalWeb"/>
        <w:spacing w:line="360" w:lineRule="auto"/>
        <w:jc w:val="both"/>
      </w:pPr>
      <w:r>
        <w:t>SGLT2 inhibition produces mild osmotic diuresis and natriuresis. These effects reduce plasma volume and venous congestion, which may explain part of the rapid reduction in heart-failure hospitalization observed in clinical trials.</w:t>
      </w:r>
    </w:p>
    <w:p w14:paraId="0FF0A1C9" w14:textId="77777777" w:rsidR="00B7640C" w:rsidRDefault="000F5899">
      <w:pPr>
        <w:pStyle w:val="NormalWeb"/>
        <w:spacing w:line="360" w:lineRule="auto"/>
        <w:jc w:val="both"/>
      </w:pPr>
      <w:r>
        <w:t xml:space="preserve">Unlike conventional loop diuretics, SGLT2 inhibitors act primarily in the proximal tubule and produce relatively modest diuresis. The combination of reduced sodium retention and improved renal sodium handling may therefore contribute to favorable cardiorenal hemodynamics without excessive electrolyte disturbance (Verma &amp; McMurray, 2018; </w:t>
      </w:r>
      <w:proofErr w:type="spellStart"/>
      <w:r>
        <w:t>Lopaschuk</w:t>
      </w:r>
      <w:proofErr w:type="spellEnd"/>
      <w:r>
        <w:t xml:space="preserve"> &amp; Verma, 2020).</w:t>
      </w:r>
    </w:p>
    <w:p w14:paraId="1D7B58A4" w14:textId="77777777" w:rsidR="00B7640C" w:rsidRDefault="000F5899">
      <w:pPr>
        <w:spacing w:line="360" w:lineRule="auto"/>
        <w:jc w:val="both"/>
        <w:rPr>
          <w:rFonts w:ascii="Times New Roman" w:hAnsi="Times New Roman" w:cs="Times New Roman"/>
          <w:b/>
          <w:sz w:val="24"/>
          <w:szCs w:val="24"/>
        </w:rPr>
      </w:pPr>
      <w:r>
        <w:rPr>
          <w:rFonts w:ascii="Times New Roman" w:hAnsi="Times New Roman" w:cs="Times New Roman"/>
          <w:b/>
          <w:sz w:val="24"/>
          <w:szCs w:val="24"/>
        </w:rPr>
        <w:t>2.3 Metabolic and cellular effects</w:t>
      </w:r>
    </w:p>
    <w:p w14:paraId="20043D08" w14:textId="77777777" w:rsidR="00B7640C" w:rsidRDefault="000F5899">
      <w:pPr>
        <w:pStyle w:val="NormalWeb"/>
        <w:spacing w:line="360" w:lineRule="auto"/>
        <w:jc w:val="both"/>
      </w:pPr>
      <w:r>
        <w:t>SGLT2 inhibitors have been associated with changes in substrate utilization, including increased reliance on fatty acids and ketone bodies. In the myocardium, ketone bodies may provide an energetically favorable substrate under certain conditions, although the importance of this mechanism for clinical heart-failure outcomes remains debated (</w:t>
      </w:r>
      <w:proofErr w:type="spellStart"/>
      <w:r>
        <w:t>Ferrannini</w:t>
      </w:r>
      <w:proofErr w:type="spellEnd"/>
      <w:r>
        <w:t xml:space="preserve"> et al., 2016; </w:t>
      </w:r>
      <w:proofErr w:type="spellStart"/>
      <w:r>
        <w:t>Lopaschuk</w:t>
      </w:r>
      <w:proofErr w:type="spellEnd"/>
      <w:r>
        <w:t xml:space="preserve"> &amp; Verma, 2020).</w:t>
      </w:r>
    </w:p>
    <w:p w14:paraId="5DA63140" w14:textId="77777777" w:rsidR="00B7640C" w:rsidRDefault="000F5899">
      <w:pPr>
        <w:pStyle w:val="NormalWeb"/>
        <w:spacing w:line="360" w:lineRule="auto"/>
        <w:jc w:val="both"/>
      </w:pPr>
      <w:r>
        <w:t>Additional proposed effects include reduction of oxidative stress, modulation of mitochondrial function, altered inflammatory signaling, and improved endothelial function. These pleiotropic effects provide a possible mechanistic link between SGLT2 inhibition and protection of multiple organs.</w:t>
      </w:r>
    </w:p>
    <w:p w14:paraId="4BBC39D1" w14:textId="77777777" w:rsidR="00B7640C" w:rsidRDefault="000F5899">
      <w:pPr>
        <w:pStyle w:val="NormalWeb"/>
        <w:spacing w:line="360" w:lineRule="auto"/>
        <w:jc w:val="both"/>
      </w:pPr>
      <w:r>
        <w:rPr>
          <w:b/>
          <w:color w:val="000000" w:themeColor="text1"/>
        </w:rPr>
        <w:t>Table 1. Major extra-glycemic effects of SGLT2 inhibitors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581"/>
        <w:gridCol w:w="3767"/>
        <w:gridCol w:w="3002"/>
      </w:tblGrid>
      <w:tr w:rsidR="00B7640C" w14:paraId="2E8E4C85" w14:textId="77777777">
        <w:trPr>
          <w:tblHeader/>
          <w:tblCellSpacing w:w="15" w:type="dxa"/>
        </w:trPr>
        <w:tc>
          <w:tcPr>
            <w:tcW w:w="0" w:type="auto"/>
            <w:vAlign w:val="center"/>
          </w:tcPr>
          <w:p w14:paraId="0F02F167" w14:textId="77777777" w:rsidR="00B7640C" w:rsidRDefault="000F5899">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Pharmacological effect</w:t>
            </w:r>
          </w:p>
        </w:tc>
        <w:tc>
          <w:tcPr>
            <w:tcW w:w="0" w:type="auto"/>
            <w:vAlign w:val="center"/>
          </w:tcPr>
          <w:p w14:paraId="7EF3B429" w14:textId="77777777" w:rsidR="00B7640C" w:rsidRDefault="000F5899">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Principal mechanism</w:t>
            </w:r>
          </w:p>
        </w:tc>
        <w:tc>
          <w:tcPr>
            <w:tcW w:w="0" w:type="auto"/>
            <w:vAlign w:val="center"/>
          </w:tcPr>
          <w:p w14:paraId="66538E7D" w14:textId="77777777" w:rsidR="00B7640C" w:rsidRDefault="000F5899">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Potential clinical consequence</w:t>
            </w:r>
          </w:p>
        </w:tc>
      </w:tr>
      <w:tr w:rsidR="00B7640C" w14:paraId="5CC1E5C8" w14:textId="77777777">
        <w:trPr>
          <w:tblCellSpacing w:w="15" w:type="dxa"/>
        </w:trPr>
        <w:tc>
          <w:tcPr>
            <w:tcW w:w="0" w:type="auto"/>
            <w:vAlign w:val="center"/>
          </w:tcPr>
          <w:p w14:paraId="241A4E81" w14:textId="77777777" w:rsidR="00B7640C" w:rsidRDefault="000F5899">
            <w:pPr>
              <w:spacing w:line="360" w:lineRule="auto"/>
              <w:jc w:val="both"/>
              <w:rPr>
                <w:rFonts w:ascii="Times New Roman" w:hAnsi="Times New Roman" w:cs="Times New Roman"/>
                <w:sz w:val="24"/>
                <w:szCs w:val="24"/>
              </w:rPr>
            </w:pPr>
            <w:r>
              <w:rPr>
                <w:rFonts w:ascii="Times New Roman" w:hAnsi="Times New Roman" w:cs="Times New Roman"/>
                <w:sz w:val="24"/>
                <w:szCs w:val="24"/>
              </w:rPr>
              <w:t>Glycosuria</w:t>
            </w:r>
          </w:p>
        </w:tc>
        <w:tc>
          <w:tcPr>
            <w:tcW w:w="0" w:type="auto"/>
            <w:vAlign w:val="center"/>
          </w:tcPr>
          <w:p w14:paraId="20426995" w14:textId="77777777" w:rsidR="00B7640C" w:rsidRDefault="000F5899">
            <w:pPr>
              <w:spacing w:line="360" w:lineRule="auto"/>
              <w:jc w:val="both"/>
              <w:rPr>
                <w:rFonts w:ascii="Times New Roman" w:hAnsi="Times New Roman" w:cs="Times New Roman"/>
                <w:sz w:val="24"/>
                <w:szCs w:val="24"/>
              </w:rPr>
            </w:pPr>
            <w:r>
              <w:rPr>
                <w:rFonts w:ascii="Times New Roman" w:hAnsi="Times New Roman" w:cs="Times New Roman"/>
                <w:sz w:val="24"/>
                <w:szCs w:val="24"/>
              </w:rPr>
              <w:t>Reduced proximal glucose reabsorption</w:t>
            </w:r>
          </w:p>
        </w:tc>
        <w:tc>
          <w:tcPr>
            <w:tcW w:w="0" w:type="auto"/>
            <w:vAlign w:val="center"/>
          </w:tcPr>
          <w:p w14:paraId="2ED92DE1" w14:textId="77777777" w:rsidR="00B7640C" w:rsidRDefault="000F5899">
            <w:pPr>
              <w:spacing w:line="360" w:lineRule="auto"/>
              <w:jc w:val="both"/>
              <w:rPr>
                <w:rFonts w:ascii="Times New Roman" w:hAnsi="Times New Roman" w:cs="Times New Roman"/>
                <w:sz w:val="24"/>
                <w:szCs w:val="24"/>
              </w:rPr>
            </w:pPr>
            <w:r>
              <w:rPr>
                <w:rFonts w:ascii="Times New Roman" w:hAnsi="Times New Roman" w:cs="Times New Roman"/>
                <w:sz w:val="24"/>
                <w:szCs w:val="24"/>
              </w:rPr>
              <w:t>Improved glycemic control</w:t>
            </w:r>
          </w:p>
        </w:tc>
      </w:tr>
      <w:tr w:rsidR="00B7640C" w14:paraId="345085E9" w14:textId="77777777">
        <w:trPr>
          <w:tblCellSpacing w:w="15" w:type="dxa"/>
        </w:trPr>
        <w:tc>
          <w:tcPr>
            <w:tcW w:w="0" w:type="auto"/>
            <w:vAlign w:val="center"/>
          </w:tcPr>
          <w:p w14:paraId="159909B8" w14:textId="77777777" w:rsidR="00B7640C" w:rsidRDefault="000F5899">
            <w:pPr>
              <w:spacing w:line="360" w:lineRule="auto"/>
              <w:jc w:val="both"/>
              <w:rPr>
                <w:rFonts w:ascii="Times New Roman" w:hAnsi="Times New Roman" w:cs="Times New Roman"/>
                <w:sz w:val="24"/>
                <w:szCs w:val="24"/>
              </w:rPr>
            </w:pPr>
            <w:r>
              <w:rPr>
                <w:rFonts w:ascii="Times New Roman" w:hAnsi="Times New Roman" w:cs="Times New Roman"/>
                <w:sz w:val="24"/>
                <w:szCs w:val="24"/>
              </w:rPr>
              <w:t>Natriuresis</w:t>
            </w:r>
          </w:p>
        </w:tc>
        <w:tc>
          <w:tcPr>
            <w:tcW w:w="0" w:type="auto"/>
            <w:vAlign w:val="center"/>
          </w:tcPr>
          <w:p w14:paraId="2B168613" w14:textId="77777777" w:rsidR="00B7640C" w:rsidRDefault="000F5899">
            <w:pPr>
              <w:spacing w:line="360" w:lineRule="auto"/>
              <w:jc w:val="both"/>
              <w:rPr>
                <w:rFonts w:ascii="Times New Roman" w:hAnsi="Times New Roman" w:cs="Times New Roman"/>
                <w:sz w:val="24"/>
                <w:szCs w:val="24"/>
              </w:rPr>
            </w:pPr>
            <w:r>
              <w:rPr>
                <w:rFonts w:ascii="Times New Roman" w:hAnsi="Times New Roman" w:cs="Times New Roman"/>
                <w:sz w:val="24"/>
                <w:szCs w:val="24"/>
              </w:rPr>
              <w:t>Reduced proximal sodium reabsorption</w:t>
            </w:r>
          </w:p>
        </w:tc>
        <w:tc>
          <w:tcPr>
            <w:tcW w:w="0" w:type="auto"/>
            <w:vAlign w:val="center"/>
          </w:tcPr>
          <w:p w14:paraId="1A226384" w14:textId="77777777" w:rsidR="00B7640C" w:rsidRDefault="000F5899">
            <w:pPr>
              <w:spacing w:line="360" w:lineRule="auto"/>
              <w:jc w:val="both"/>
              <w:rPr>
                <w:rFonts w:ascii="Times New Roman" w:hAnsi="Times New Roman" w:cs="Times New Roman"/>
                <w:sz w:val="24"/>
                <w:szCs w:val="24"/>
              </w:rPr>
            </w:pPr>
            <w:r>
              <w:rPr>
                <w:rFonts w:ascii="Times New Roman" w:hAnsi="Times New Roman" w:cs="Times New Roman"/>
                <w:sz w:val="24"/>
                <w:szCs w:val="24"/>
              </w:rPr>
              <w:t>Reduced sodium and fluid burden</w:t>
            </w:r>
          </w:p>
        </w:tc>
      </w:tr>
      <w:tr w:rsidR="00B7640C" w14:paraId="4426B871" w14:textId="77777777">
        <w:trPr>
          <w:tblCellSpacing w:w="15" w:type="dxa"/>
        </w:trPr>
        <w:tc>
          <w:tcPr>
            <w:tcW w:w="0" w:type="auto"/>
            <w:vAlign w:val="center"/>
          </w:tcPr>
          <w:p w14:paraId="102E1603" w14:textId="77777777" w:rsidR="00B7640C" w:rsidRDefault="000F5899">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Tubuloglomerular</w:t>
            </w:r>
            <w:proofErr w:type="spellEnd"/>
            <w:r>
              <w:rPr>
                <w:rFonts w:ascii="Times New Roman" w:hAnsi="Times New Roman" w:cs="Times New Roman"/>
                <w:sz w:val="24"/>
                <w:szCs w:val="24"/>
              </w:rPr>
              <w:t xml:space="preserve"> feedback</w:t>
            </w:r>
          </w:p>
        </w:tc>
        <w:tc>
          <w:tcPr>
            <w:tcW w:w="0" w:type="auto"/>
            <w:vAlign w:val="center"/>
          </w:tcPr>
          <w:p w14:paraId="530F26D0" w14:textId="77777777" w:rsidR="00B7640C" w:rsidRDefault="000F5899">
            <w:pPr>
              <w:spacing w:line="360" w:lineRule="auto"/>
              <w:jc w:val="both"/>
              <w:rPr>
                <w:rFonts w:ascii="Times New Roman" w:hAnsi="Times New Roman" w:cs="Times New Roman"/>
                <w:sz w:val="24"/>
                <w:szCs w:val="24"/>
              </w:rPr>
            </w:pPr>
            <w:r>
              <w:rPr>
                <w:rFonts w:ascii="Times New Roman" w:hAnsi="Times New Roman" w:cs="Times New Roman"/>
                <w:sz w:val="24"/>
                <w:szCs w:val="24"/>
              </w:rPr>
              <w:t>Increased distal sodium delivery</w:t>
            </w:r>
          </w:p>
        </w:tc>
        <w:tc>
          <w:tcPr>
            <w:tcW w:w="0" w:type="auto"/>
            <w:vAlign w:val="center"/>
          </w:tcPr>
          <w:p w14:paraId="0750DC79" w14:textId="77777777" w:rsidR="00B7640C" w:rsidRDefault="000F5899">
            <w:pPr>
              <w:spacing w:line="360" w:lineRule="auto"/>
              <w:jc w:val="both"/>
              <w:rPr>
                <w:rFonts w:ascii="Times New Roman" w:hAnsi="Times New Roman" w:cs="Times New Roman"/>
                <w:sz w:val="24"/>
                <w:szCs w:val="24"/>
              </w:rPr>
            </w:pPr>
            <w:r>
              <w:rPr>
                <w:rFonts w:ascii="Times New Roman" w:hAnsi="Times New Roman" w:cs="Times New Roman"/>
                <w:sz w:val="24"/>
                <w:szCs w:val="24"/>
              </w:rPr>
              <w:t>Reduced intraglomerular pressure</w:t>
            </w:r>
          </w:p>
        </w:tc>
      </w:tr>
      <w:tr w:rsidR="00B7640C" w14:paraId="0DC6EF0B" w14:textId="77777777">
        <w:trPr>
          <w:tblCellSpacing w:w="15" w:type="dxa"/>
        </w:trPr>
        <w:tc>
          <w:tcPr>
            <w:tcW w:w="0" w:type="auto"/>
            <w:vAlign w:val="center"/>
          </w:tcPr>
          <w:p w14:paraId="1C7EA085" w14:textId="77777777" w:rsidR="00B7640C" w:rsidRDefault="000F5899">
            <w:pPr>
              <w:spacing w:line="360" w:lineRule="auto"/>
              <w:jc w:val="both"/>
              <w:rPr>
                <w:rFonts w:ascii="Times New Roman" w:hAnsi="Times New Roman" w:cs="Times New Roman"/>
                <w:sz w:val="24"/>
                <w:szCs w:val="24"/>
              </w:rPr>
            </w:pPr>
            <w:r>
              <w:rPr>
                <w:rFonts w:ascii="Times New Roman" w:hAnsi="Times New Roman" w:cs="Times New Roman"/>
                <w:sz w:val="24"/>
                <w:szCs w:val="24"/>
              </w:rPr>
              <w:t>Osmotic diuresis</w:t>
            </w:r>
          </w:p>
        </w:tc>
        <w:tc>
          <w:tcPr>
            <w:tcW w:w="0" w:type="auto"/>
            <w:vAlign w:val="center"/>
          </w:tcPr>
          <w:p w14:paraId="40E0BD26" w14:textId="77777777" w:rsidR="00B7640C" w:rsidRDefault="000F5899">
            <w:pPr>
              <w:spacing w:line="360" w:lineRule="auto"/>
              <w:jc w:val="both"/>
              <w:rPr>
                <w:rFonts w:ascii="Times New Roman" w:hAnsi="Times New Roman" w:cs="Times New Roman"/>
                <w:sz w:val="24"/>
                <w:szCs w:val="24"/>
              </w:rPr>
            </w:pPr>
            <w:r>
              <w:rPr>
                <w:rFonts w:ascii="Times New Roman" w:hAnsi="Times New Roman" w:cs="Times New Roman"/>
                <w:sz w:val="24"/>
                <w:szCs w:val="24"/>
              </w:rPr>
              <w:t>Increased urinary glucose excretion</w:t>
            </w:r>
          </w:p>
        </w:tc>
        <w:tc>
          <w:tcPr>
            <w:tcW w:w="0" w:type="auto"/>
            <w:vAlign w:val="center"/>
          </w:tcPr>
          <w:p w14:paraId="08C52271" w14:textId="77777777" w:rsidR="00B7640C" w:rsidRDefault="000F5899">
            <w:pPr>
              <w:spacing w:line="360" w:lineRule="auto"/>
              <w:jc w:val="both"/>
              <w:rPr>
                <w:rFonts w:ascii="Times New Roman" w:hAnsi="Times New Roman" w:cs="Times New Roman"/>
                <w:sz w:val="24"/>
                <w:szCs w:val="24"/>
              </w:rPr>
            </w:pPr>
            <w:r>
              <w:rPr>
                <w:rFonts w:ascii="Times New Roman" w:hAnsi="Times New Roman" w:cs="Times New Roman"/>
                <w:sz w:val="24"/>
                <w:szCs w:val="24"/>
              </w:rPr>
              <w:t>Reduced congestion</w:t>
            </w:r>
          </w:p>
        </w:tc>
      </w:tr>
      <w:tr w:rsidR="00B7640C" w14:paraId="42AB5B7E" w14:textId="77777777">
        <w:trPr>
          <w:tblCellSpacing w:w="15" w:type="dxa"/>
        </w:trPr>
        <w:tc>
          <w:tcPr>
            <w:tcW w:w="0" w:type="auto"/>
            <w:vAlign w:val="center"/>
          </w:tcPr>
          <w:p w14:paraId="23CD2FFF" w14:textId="77777777" w:rsidR="00B7640C" w:rsidRDefault="000F5899">
            <w:pPr>
              <w:spacing w:line="360" w:lineRule="auto"/>
              <w:jc w:val="both"/>
              <w:rPr>
                <w:rFonts w:ascii="Times New Roman" w:hAnsi="Times New Roman" w:cs="Times New Roman"/>
                <w:sz w:val="24"/>
                <w:szCs w:val="24"/>
              </w:rPr>
            </w:pPr>
            <w:r>
              <w:rPr>
                <w:rFonts w:ascii="Times New Roman" w:hAnsi="Times New Roman" w:cs="Times New Roman"/>
                <w:sz w:val="24"/>
                <w:szCs w:val="24"/>
              </w:rPr>
              <w:t>Hemodynamic modulation</w:t>
            </w:r>
          </w:p>
        </w:tc>
        <w:tc>
          <w:tcPr>
            <w:tcW w:w="0" w:type="auto"/>
            <w:vAlign w:val="center"/>
          </w:tcPr>
          <w:p w14:paraId="11B7098E" w14:textId="77777777" w:rsidR="00B7640C" w:rsidRDefault="000F5899">
            <w:pPr>
              <w:spacing w:line="360" w:lineRule="auto"/>
              <w:jc w:val="both"/>
              <w:rPr>
                <w:rFonts w:ascii="Times New Roman" w:hAnsi="Times New Roman" w:cs="Times New Roman"/>
                <w:sz w:val="24"/>
                <w:szCs w:val="24"/>
              </w:rPr>
            </w:pPr>
            <w:r>
              <w:rPr>
                <w:rFonts w:ascii="Times New Roman" w:hAnsi="Times New Roman" w:cs="Times New Roman"/>
                <w:sz w:val="24"/>
                <w:szCs w:val="24"/>
              </w:rPr>
              <w:t>Reduced preload and afterload</w:t>
            </w:r>
          </w:p>
        </w:tc>
        <w:tc>
          <w:tcPr>
            <w:tcW w:w="0" w:type="auto"/>
            <w:vAlign w:val="center"/>
          </w:tcPr>
          <w:p w14:paraId="35F63DBD" w14:textId="77777777" w:rsidR="00B7640C" w:rsidRDefault="000F5899">
            <w:pPr>
              <w:spacing w:line="360" w:lineRule="auto"/>
              <w:jc w:val="both"/>
              <w:rPr>
                <w:rFonts w:ascii="Times New Roman" w:hAnsi="Times New Roman" w:cs="Times New Roman"/>
                <w:sz w:val="24"/>
                <w:szCs w:val="24"/>
              </w:rPr>
            </w:pPr>
            <w:r>
              <w:rPr>
                <w:rFonts w:ascii="Times New Roman" w:hAnsi="Times New Roman" w:cs="Times New Roman"/>
                <w:sz w:val="24"/>
                <w:szCs w:val="24"/>
              </w:rPr>
              <w:t>Heart-failure benefit</w:t>
            </w:r>
          </w:p>
        </w:tc>
      </w:tr>
      <w:tr w:rsidR="00B7640C" w14:paraId="7FDEE9B7" w14:textId="77777777">
        <w:trPr>
          <w:trHeight w:val="90"/>
          <w:tblCellSpacing w:w="15" w:type="dxa"/>
        </w:trPr>
        <w:tc>
          <w:tcPr>
            <w:tcW w:w="0" w:type="auto"/>
            <w:vAlign w:val="center"/>
          </w:tcPr>
          <w:p w14:paraId="42E1D6D3" w14:textId="77777777" w:rsidR="00B7640C" w:rsidRDefault="000F5899">
            <w:pPr>
              <w:spacing w:line="360" w:lineRule="auto"/>
              <w:jc w:val="both"/>
              <w:rPr>
                <w:rFonts w:ascii="Times New Roman" w:hAnsi="Times New Roman" w:cs="Times New Roman"/>
                <w:sz w:val="24"/>
                <w:szCs w:val="24"/>
              </w:rPr>
            </w:pPr>
            <w:r>
              <w:rPr>
                <w:rFonts w:ascii="Times New Roman" w:hAnsi="Times New Roman" w:cs="Times New Roman"/>
                <w:sz w:val="24"/>
                <w:szCs w:val="24"/>
              </w:rPr>
              <w:t>Metabolic remodeling</w:t>
            </w:r>
          </w:p>
        </w:tc>
        <w:tc>
          <w:tcPr>
            <w:tcW w:w="0" w:type="auto"/>
            <w:vAlign w:val="center"/>
          </w:tcPr>
          <w:p w14:paraId="6CFB45A0" w14:textId="77777777" w:rsidR="00B7640C" w:rsidRDefault="000F5899">
            <w:pPr>
              <w:spacing w:line="360" w:lineRule="auto"/>
              <w:jc w:val="both"/>
              <w:rPr>
                <w:rFonts w:ascii="Times New Roman" w:hAnsi="Times New Roman" w:cs="Times New Roman"/>
                <w:sz w:val="24"/>
                <w:szCs w:val="24"/>
              </w:rPr>
            </w:pPr>
            <w:r>
              <w:rPr>
                <w:rFonts w:ascii="Times New Roman" w:hAnsi="Times New Roman" w:cs="Times New Roman"/>
                <w:sz w:val="24"/>
                <w:szCs w:val="24"/>
              </w:rPr>
              <w:t>Increased utilization of alternative substrates</w:t>
            </w:r>
          </w:p>
        </w:tc>
        <w:tc>
          <w:tcPr>
            <w:tcW w:w="0" w:type="auto"/>
            <w:vAlign w:val="center"/>
          </w:tcPr>
          <w:p w14:paraId="7EAAF751" w14:textId="77777777" w:rsidR="00B7640C" w:rsidRDefault="000F5899">
            <w:pPr>
              <w:spacing w:line="360" w:lineRule="auto"/>
              <w:jc w:val="both"/>
              <w:rPr>
                <w:rFonts w:ascii="Times New Roman" w:hAnsi="Times New Roman" w:cs="Times New Roman"/>
                <w:sz w:val="24"/>
                <w:szCs w:val="24"/>
              </w:rPr>
            </w:pPr>
            <w:r>
              <w:rPr>
                <w:rFonts w:ascii="Times New Roman" w:hAnsi="Times New Roman" w:cs="Times New Roman"/>
                <w:sz w:val="24"/>
                <w:szCs w:val="24"/>
              </w:rPr>
              <w:t>Potential myocardial benefit</w:t>
            </w:r>
          </w:p>
        </w:tc>
      </w:tr>
      <w:tr w:rsidR="00B7640C" w14:paraId="340A13D8" w14:textId="77777777">
        <w:trPr>
          <w:tblCellSpacing w:w="15" w:type="dxa"/>
        </w:trPr>
        <w:tc>
          <w:tcPr>
            <w:tcW w:w="0" w:type="auto"/>
            <w:vAlign w:val="center"/>
          </w:tcPr>
          <w:p w14:paraId="25B90519" w14:textId="77777777" w:rsidR="00B7640C" w:rsidRDefault="000F5899">
            <w:pPr>
              <w:spacing w:line="360" w:lineRule="auto"/>
              <w:jc w:val="both"/>
              <w:rPr>
                <w:rFonts w:ascii="Times New Roman" w:hAnsi="Times New Roman" w:cs="Times New Roman"/>
                <w:sz w:val="24"/>
                <w:szCs w:val="24"/>
              </w:rPr>
            </w:pPr>
            <w:r>
              <w:rPr>
                <w:rFonts w:ascii="Times New Roman" w:hAnsi="Times New Roman" w:cs="Times New Roman"/>
                <w:sz w:val="24"/>
                <w:szCs w:val="24"/>
              </w:rPr>
              <w:t>Anti-inflammatory activity</w:t>
            </w:r>
          </w:p>
        </w:tc>
        <w:tc>
          <w:tcPr>
            <w:tcW w:w="0" w:type="auto"/>
            <w:vAlign w:val="center"/>
          </w:tcPr>
          <w:p w14:paraId="46054E0C" w14:textId="77777777" w:rsidR="00B7640C" w:rsidRDefault="000F5899">
            <w:pPr>
              <w:spacing w:line="360" w:lineRule="auto"/>
              <w:jc w:val="both"/>
              <w:rPr>
                <w:rFonts w:ascii="Times New Roman" w:hAnsi="Times New Roman" w:cs="Times New Roman"/>
                <w:sz w:val="24"/>
                <w:szCs w:val="24"/>
              </w:rPr>
            </w:pPr>
            <w:r>
              <w:rPr>
                <w:rFonts w:ascii="Times New Roman" w:hAnsi="Times New Roman" w:cs="Times New Roman"/>
                <w:sz w:val="24"/>
                <w:szCs w:val="24"/>
              </w:rPr>
              <w:t>Modulation of inflammatory pathways</w:t>
            </w:r>
          </w:p>
        </w:tc>
        <w:tc>
          <w:tcPr>
            <w:tcW w:w="0" w:type="auto"/>
            <w:vAlign w:val="center"/>
          </w:tcPr>
          <w:p w14:paraId="54900484" w14:textId="77777777" w:rsidR="00B7640C" w:rsidRDefault="000F5899">
            <w:pPr>
              <w:spacing w:line="360" w:lineRule="auto"/>
              <w:jc w:val="both"/>
              <w:rPr>
                <w:rFonts w:ascii="Times New Roman" w:hAnsi="Times New Roman" w:cs="Times New Roman"/>
                <w:sz w:val="24"/>
                <w:szCs w:val="24"/>
              </w:rPr>
            </w:pPr>
            <w:r>
              <w:rPr>
                <w:rFonts w:ascii="Times New Roman" w:hAnsi="Times New Roman" w:cs="Times New Roman"/>
                <w:sz w:val="24"/>
                <w:szCs w:val="24"/>
              </w:rPr>
              <w:t>Potential organ protection</w:t>
            </w:r>
          </w:p>
        </w:tc>
      </w:tr>
      <w:tr w:rsidR="00B7640C" w14:paraId="25DEF256" w14:textId="77777777">
        <w:trPr>
          <w:tblCellSpacing w:w="15" w:type="dxa"/>
        </w:trPr>
        <w:tc>
          <w:tcPr>
            <w:tcW w:w="0" w:type="auto"/>
            <w:vAlign w:val="center"/>
          </w:tcPr>
          <w:p w14:paraId="01A821C9" w14:textId="77777777" w:rsidR="00B7640C" w:rsidRDefault="000F5899">
            <w:pPr>
              <w:spacing w:line="360" w:lineRule="auto"/>
              <w:jc w:val="both"/>
              <w:rPr>
                <w:rFonts w:ascii="Times New Roman" w:hAnsi="Times New Roman" w:cs="Times New Roman"/>
                <w:sz w:val="24"/>
                <w:szCs w:val="24"/>
              </w:rPr>
            </w:pPr>
            <w:r>
              <w:rPr>
                <w:rFonts w:ascii="Times New Roman" w:hAnsi="Times New Roman" w:cs="Times New Roman"/>
                <w:sz w:val="24"/>
                <w:szCs w:val="24"/>
              </w:rPr>
              <w:t>Antioxidant effects</w:t>
            </w:r>
          </w:p>
        </w:tc>
        <w:tc>
          <w:tcPr>
            <w:tcW w:w="0" w:type="auto"/>
            <w:vAlign w:val="center"/>
          </w:tcPr>
          <w:p w14:paraId="2A24C71B" w14:textId="77777777" w:rsidR="00B7640C" w:rsidRDefault="000F5899">
            <w:pPr>
              <w:spacing w:line="360" w:lineRule="auto"/>
              <w:jc w:val="both"/>
              <w:rPr>
                <w:rFonts w:ascii="Times New Roman" w:hAnsi="Times New Roman" w:cs="Times New Roman"/>
                <w:sz w:val="24"/>
                <w:szCs w:val="24"/>
              </w:rPr>
            </w:pPr>
            <w:r>
              <w:rPr>
                <w:rFonts w:ascii="Times New Roman" w:hAnsi="Times New Roman" w:cs="Times New Roman"/>
                <w:sz w:val="24"/>
                <w:szCs w:val="24"/>
              </w:rPr>
              <w:t>Reduction in oxidative stress</w:t>
            </w:r>
          </w:p>
        </w:tc>
        <w:tc>
          <w:tcPr>
            <w:tcW w:w="0" w:type="auto"/>
            <w:vAlign w:val="center"/>
          </w:tcPr>
          <w:p w14:paraId="5FF71B4B" w14:textId="77777777" w:rsidR="00B7640C" w:rsidRDefault="000F5899">
            <w:pPr>
              <w:spacing w:line="360" w:lineRule="auto"/>
              <w:jc w:val="both"/>
              <w:rPr>
                <w:rFonts w:ascii="Times New Roman" w:hAnsi="Times New Roman" w:cs="Times New Roman"/>
                <w:sz w:val="24"/>
                <w:szCs w:val="24"/>
              </w:rPr>
            </w:pPr>
            <w:r>
              <w:rPr>
                <w:rFonts w:ascii="Times New Roman" w:hAnsi="Times New Roman" w:cs="Times New Roman"/>
                <w:sz w:val="24"/>
                <w:szCs w:val="24"/>
              </w:rPr>
              <w:t>Cellular protection</w:t>
            </w:r>
          </w:p>
        </w:tc>
      </w:tr>
      <w:tr w:rsidR="00B7640C" w14:paraId="15039577" w14:textId="77777777">
        <w:trPr>
          <w:tblCellSpacing w:w="15" w:type="dxa"/>
        </w:trPr>
        <w:tc>
          <w:tcPr>
            <w:tcW w:w="0" w:type="auto"/>
            <w:vAlign w:val="center"/>
          </w:tcPr>
          <w:p w14:paraId="7503A68E" w14:textId="77777777" w:rsidR="00B7640C" w:rsidRDefault="000F5899">
            <w:pPr>
              <w:spacing w:line="360" w:lineRule="auto"/>
              <w:jc w:val="both"/>
              <w:rPr>
                <w:rFonts w:ascii="Times New Roman" w:hAnsi="Times New Roman" w:cs="Times New Roman"/>
                <w:sz w:val="24"/>
                <w:szCs w:val="24"/>
              </w:rPr>
            </w:pPr>
            <w:r>
              <w:rPr>
                <w:rFonts w:ascii="Times New Roman" w:hAnsi="Times New Roman" w:cs="Times New Roman"/>
                <w:sz w:val="24"/>
                <w:szCs w:val="24"/>
              </w:rPr>
              <w:t>Mitochondrial effects</w:t>
            </w:r>
          </w:p>
        </w:tc>
        <w:tc>
          <w:tcPr>
            <w:tcW w:w="0" w:type="auto"/>
            <w:vAlign w:val="center"/>
          </w:tcPr>
          <w:p w14:paraId="28198335" w14:textId="77777777" w:rsidR="00B7640C" w:rsidRDefault="000F5899">
            <w:pPr>
              <w:spacing w:line="360" w:lineRule="auto"/>
              <w:jc w:val="both"/>
              <w:rPr>
                <w:rFonts w:ascii="Times New Roman" w:hAnsi="Times New Roman" w:cs="Times New Roman"/>
                <w:sz w:val="24"/>
                <w:szCs w:val="24"/>
              </w:rPr>
            </w:pPr>
            <w:r>
              <w:rPr>
                <w:rFonts w:ascii="Times New Roman" w:hAnsi="Times New Roman" w:cs="Times New Roman"/>
                <w:sz w:val="24"/>
                <w:szCs w:val="24"/>
              </w:rPr>
              <w:t>Altered cellular energetics</w:t>
            </w:r>
          </w:p>
        </w:tc>
        <w:tc>
          <w:tcPr>
            <w:tcW w:w="0" w:type="auto"/>
            <w:vAlign w:val="center"/>
          </w:tcPr>
          <w:p w14:paraId="75CB5833" w14:textId="77777777" w:rsidR="00B7640C" w:rsidRDefault="000F5899">
            <w:pPr>
              <w:spacing w:line="360" w:lineRule="auto"/>
              <w:jc w:val="both"/>
              <w:rPr>
                <w:rFonts w:ascii="Times New Roman" w:hAnsi="Times New Roman" w:cs="Times New Roman"/>
                <w:sz w:val="24"/>
                <w:szCs w:val="24"/>
              </w:rPr>
            </w:pPr>
            <w:r>
              <w:rPr>
                <w:rFonts w:ascii="Times New Roman" w:hAnsi="Times New Roman" w:cs="Times New Roman"/>
                <w:sz w:val="24"/>
                <w:szCs w:val="24"/>
              </w:rPr>
              <w:t>Potential cardiometabolic benefit</w:t>
            </w:r>
          </w:p>
        </w:tc>
      </w:tr>
    </w:tbl>
    <w:p w14:paraId="4589B026" w14:textId="77777777" w:rsidR="00B7640C" w:rsidRDefault="00000000">
      <w:pPr>
        <w:spacing w:line="360" w:lineRule="auto"/>
        <w:jc w:val="both"/>
        <w:rPr>
          <w:rFonts w:ascii="Times New Roman" w:hAnsi="Times New Roman" w:cs="Times New Roman"/>
          <w:sz w:val="24"/>
          <w:szCs w:val="24"/>
        </w:rPr>
      </w:pPr>
      <w:r>
        <w:rPr>
          <w:rFonts w:ascii="Times New Roman" w:hAnsi="Times New Roman" w:cs="Times New Roman"/>
          <w:noProof/>
          <w:sz w:val="24"/>
          <w:szCs w:val="24"/>
        </w:rPr>
        <w:pict w14:anchorId="75E496A2">
          <v:rect id="_x0000_i1025" style="width:0;height:1.5pt" o:hralign="center" o:hrstd="t" o:hr="t" fillcolor="#a0a0a0" stroked="f"/>
        </w:pict>
      </w:r>
    </w:p>
    <w:p w14:paraId="4E378B4E" w14:textId="77777777" w:rsidR="00B7640C" w:rsidRDefault="000F5899">
      <w:pPr>
        <w:pStyle w:val="Heading1"/>
        <w:spacing w:line="360" w:lineRule="auto"/>
        <w:jc w:val="both"/>
        <w:rPr>
          <w:sz w:val="24"/>
          <w:szCs w:val="24"/>
        </w:rPr>
      </w:pPr>
      <w:r>
        <w:rPr>
          <w:sz w:val="24"/>
          <w:szCs w:val="24"/>
        </w:rPr>
        <w:t>3. CARDIOVASCULAR APPLICATIONS</w:t>
      </w:r>
    </w:p>
    <w:p w14:paraId="43E7FF96" w14:textId="77777777" w:rsidR="00B7640C" w:rsidRDefault="000F5899">
      <w:pPr>
        <w:pStyle w:val="Heading2"/>
        <w:spacing w:line="360" w:lineRule="auto"/>
        <w:jc w:val="both"/>
        <w:rPr>
          <w:sz w:val="24"/>
          <w:szCs w:val="24"/>
        </w:rPr>
      </w:pPr>
      <w:r>
        <w:rPr>
          <w:sz w:val="24"/>
          <w:szCs w:val="24"/>
        </w:rPr>
        <w:t>3.1 Evidence from cardiovascular outcome trials</w:t>
      </w:r>
    </w:p>
    <w:p w14:paraId="3644E593" w14:textId="77777777" w:rsidR="00B7640C" w:rsidRDefault="000F5899">
      <w:pPr>
        <w:pStyle w:val="NormalWeb"/>
        <w:spacing w:line="360" w:lineRule="auto"/>
        <w:jc w:val="both"/>
      </w:pPr>
      <w:r>
        <w:t>The cardiovascular benefits of SGLT2 inhibitors were first identified in trials designed primarily to establish cardiovascular safety in patients with T2DM.</w:t>
      </w:r>
    </w:p>
    <w:p w14:paraId="0C280834" w14:textId="77777777" w:rsidR="00B7640C" w:rsidRDefault="000F5899">
      <w:pPr>
        <w:pStyle w:val="NormalWeb"/>
        <w:spacing w:line="360" w:lineRule="auto"/>
        <w:jc w:val="both"/>
      </w:pPr>
      <w:r>
        <w:lastRenderedPageBreak/>
        <w:t>The EMPA-REG OUTCOME trial enrolled patients with T2DM and established cardiovascular disease and demonstrated that empagliflozin significantly reduced cardiovascular mortality, all-cause mortality, and hospitalization for heart failure compared with placebo (Zinman et al., 2015).</w:t>
      </w:r>
    </w:p>
    <w:p w14:paraId="76CF7786" w14:textId="77777777" w:rsidR="00B7640C" w:rsidRDefault="000F5899">
      <w:pPr>
        <w:pStyle w:val="NormalWeb"/>
        <w:spacing w:line="360" w:lineRule="auto"/>
        <w:jc w:val="both"/>
      </w:pPr>
      <w:r>
        <w:t>The CANVAS Program subsequently demonstrated a reduction in the composite of cardiovascular death, nonfatal myocardial infarction, or nonfatal stroke with canagliflozin (Neal et al., 2017). However, the cardiovascular effects were not completely uniform across the individual agents or endpoints.</w:t>
      </w:r>
    </w:p>
    <w:p w14:paraId="10293835" w14:textId="77777777" w:rsidR="00B7640C" w:rsidRDefault="000F5899">
      <w:pPr>
        <w:pStyle w:val="NormalWeb"/>
        <w:spacing w:line="360" w:lineRule="auto"/>
        <w:jc w:val="both"/>
      </w:pPr>
      <w:r>
        <w:t>DECLARE-TIMI 58 evaluated dapagliflozin in a broader population of patients with T2DM, including those without established cardiovascular disease. Although a significant reduction in major adverse cardiovascular events was not demonstrated, dapagliflozin reduced the composite of cardiovascular death or hospitalization for heart failure, driven predominantly by reduction in heart-failure hospitalization (</w:t>
      </w:r>
      <w:proofErr w:type="spellStart"/>
      <w:r>
        <w:t>Wiviott</w:t>
      </w:r>
      <w:proofErr w:type="spellEnd"/>
      <w:r>
        <w:t xml:space="preserve"> et al., 2019).</w:t>
      </w:r>
    </w:p>
    <w:p w14:paraId="185E0BB8" w14:textId="77777777" w:rsidR="00B7640C" w:rsidRDefault="000F5899">
      <w:pPr>
        <w:pStyle w:val="NormalWeb"/>
        <w:spacing w:line="360" w:lineRule="auto"/>
        <w:jc w:val="both"/>
      </w:pPr>
      <w:r>
        <w:t xml:space="preserve">These findings suggested that </w:t>
      </w:r>
      <w:r>
        <w:rPr>
          <w:rStyle w:val="Strong"/>
        </w:rPr>
        <w:t>heart failure is one of the most consistent cardiovascular targets of SGLT2 inhibition</w:t>
      </w:r>
      <w:r>
        <w:t>.</w:t>
      </w:r>
    </w:p>
    <w:p w14:paraId="6AF449BD" w14:textId="77777777" w:rsidR="00B7640C" w:rsidRDefault="000F5899">
      <w:pPr>
        <w:spacing w:line="360" w:lineRule="auto"/>
        <w:jc w:val="both"/>
        <w:rPr>
          <w:rFonts w:ascii="Times New Roman" w:hAnsi="Times New Roman" w:cs="Times New Roman"/>
          <w:b/>
          <w:sz w:val="24"/>
          <w:szCs w:val="24"/>
        </w:rPr>
      </w:pPr>
      <w:r>
        <w:rPr>
          <w:rFonts w:ascii="Times New Roman" w:hAnsi="Times New Roman" w:cs="Times New Roman"/>
          <w:b/>
          <w:sz w:val="24"/>
          <w:szCs w:val="24"/>
        </w:rPr>
        <w:t>3.2 Heart failure with reduced ejection fraction</w:t>
      </w:r>
    </w:p>
    <w:p w14:paraId="38BDC4D5" w14:textId="77777777" w:rsidR="00B7640C" w:rsidRDefault="000F5899">
      <w:pPr>
        <w:pStyle w:val="NormalWeb"/>
        <w:spacing w:line="360" w:lineRule="auto"/>
        <w:jc w:val="both"/>
      </w:pPr>
      <w:r>
        <w:t>The DAPA-HF trial represented a major change in the therapeutic application of SGLT2 inhibitors. Dapagliflozin reduced the composite of worsening heart failure or cardiovascular death in patients with HFrEF, irrespective of whether diabetes was present (McMurray et al., 2019).</w:t>
      </w:r>
    </w:p>
    <w:p w14:paraId="6334EBE1" w14:textId="77777777" w:rsidR="00B7640C" w:rsidRDefault="000F5899">
      <w:pPr>
        <w:pStyle w:val="NormalWeb"/>
        <w:spacing w:line="360" w:lineRule="auto"/>
        <w:jc w:val="both"/>
      </w:pPr>
      <w:r>
        <w:t>The EMPEROR-Reduced trial produced consistent results with empagliflozin. Empagliflozin reduced the combined risk of cardiovascular death or hospitalization for heart failure and slowed deterioration in renal function among patients with HFrEF (Packer et al., 2020).</w:t>
      </w:r>
    </w:p>
    <w:p w14:paraId="004A020A" w14:textId="77777777" w:rsidR="00B7640C" w:rsidRDefault="000F5899">
      <w:pPr>
        <w:pStyle w:val="NormalWeb"/>
        <w:spacing w:line="360" w:lineRule="auto"/>
        <w:jc w:val="both"/>
      </w:pPr>
      <w:r>
        <w:t>A pooled analysis of DAPA-HF and EMPEROR-Reduced demonstrated consistent reductions in heart-failure events across the two trials, supporting a class effect (</w:t>
      </w:r>
      <w:proofErr w:type="spellStart"/>
      <w:r>
        <w:t>Zannad</w:t>
      </w:r>
      <w:proofErr w:type="spellEnd"/>
      <w:r>
        <w:t xml:space="preserve"> et al., 2020).</w:t>
      </w:r>
    </w:p>
    <w:p w14:paraId="323CF14E" w14:textId="77777777" w:rsidR="00B7640C" w:rsidRDefault="000F5899">
      <w:pPr>
        <w:pStyle w:val="NormalWeb"/>
        <w:spacing w:line="360" w:lineRule="auto"/>
        <w:jc w:val="both"/>
      </w:pPr>
      <w:r>
        <w:t>These findings support a substantial glucose-independent component of the cardiovascular benefits of SGLT2 inhibition.</w:t>
      </w:r>
    </w:p>
    <w:p w14:paraId="6702159A" w14:textId="77777777" w:rsidR="00B7640C" w:rsidRDefault="000F5899">
      <w:pPr>
        <w:spacing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3.3 Heart failure with preserved ejection fraction</w:t>
      </w:r>
    </w:p>
    <w:p w14:paraId="56039C1F" w14:textId="77777777" w:rsidR="00B7640C" w:rsidRDefault="000F5899">
      <w:pPr>
        <w:pStyle w:val="NormalWeb"/>
        <w:spacing w:line="360" w:lineRule="auto"/>
        <w:jc w:val="both"/>
      </w:pPr>
      <w:r>
        <w:t>Historically, pharmacological treatment options for heart failure with preserved ejection fraction (HFpEF) were limited. The EMPEROR-Preserved trial demonstrated that empagliflozin reduced the composite of cardiovascular death or hospitalization for heart failure in patients with HFpEF (Anker et al., 2021).</w:t>
      </w:r>
    </w:p>
    <w:p w14:paraId="63892FAB" w14:textId="77777777" w:rsidR="00B7640C" w:rsidRDefault="000F5899">
      <w:pPr>
        <w:pStyle w:val="NormalWeb"/>
        <w:spacing w:line="360" w:lineRule="auto"/>
        <w:jc w:val="both"/>
      </w:pPr>
      <w:r>
        <w:t>The DELIVER trial subsequently demonstrated that dapagliflozin reduced worsening heart failure or cardiovascular death among patients with mildly reduced or preserved ejection fraction (Solomon et al., 2022).</w:t>
      </w:r>
    </w:p>
    <w:p w14:paraId="20F6AE3B" w14:textId="77777777" w:rsidR="00B7640C" w:rsidRDefault="000F5899">
      <w:pPr>
        <w:pStyle w:val="NormalWeb"/>
        <w:spacing w:line="360" w:lineRule="auto"/>
        <w:jc w:val="both"/>
      </w:pPr>
      <w:r>
        <w:t>Together, these findings indicate that SGLT2 inhibitors have therapeutic relevance across the spectrum of left ventricular ejection fraction.</w:t>
      </w:r>
    </w:p>
    <w:p w14:paraId="3286D19F" w14:textId="77777777" w:rsidR="00B7640C" w:rsidRDefault="000F5899">
      <w:pPr>
        <w:spacing w:line="360" w:lineRule="auto"/>
        <w:jc w:val="both"/>
        <w:rPr>
          <w:rFonts w:ascii="Times New Roman" w:hAnsi="Times New Roman" w:cs="Times New Roman"/>
          <w:b/>
          <w:sz w:val="24"/>
          <w:szCs w:val="24"/>
        </w:rPr>
      </w:pPr>
      <w:r>
        <w:rPr>
          <w:rFonts w:ascii="Times New Roman" w:hAnsi="Times New Roman" w:cs="Times New Roman"/>
          <w:b/>
          <w:sz w:val="24"/>
          <w:szCs w:val="24"/>
        </w:rPr>
        <w:t>3.4 Potential mechanisms of cardiovascular protection</w:t>
      </w:r>
    </w:p>
    <w:p w14:paraId="79247F79" w14:textId="77777777" w:rsidR="00B7640C" w:rsidRDefault="000F5899">
      <w:pPr>
        <w:pStyle w:val="NormalWeb"/>
        <w:spacing w:line="360" w:lineRule="auto"/>
        <w:jc w:val="both"/>
      </w:pPr>
      <w:r>
        <w:t>Several mechanisms may contribute to cardiovascular benefit.</w:t>
      </w:r>
    </w:p>
    <w:p w14:paraId="083B4670" w14:textId="77777777" w:rsidR="00B7640C" w:rsidRDefault="000F5899">
      <w:pPr>
        <w:pStyle w:val="NormalWeb"/>
        <w:spacing w:line="360" w:lineRule="auto"/>
        <w:jc w:val="both"/>
      </w:pPr>
      <w:r>
        <w:t>First, natriuresis and osmotic diuresis decrease plasma volume and venous congestion. Second, reductions in blood pressure and arterial stiffness may reduce cardiac afterload. Third, changes in myocardial metabolism may improve energetic efficiency. Fourth, attenuation of oxidative stress and inflammation may reduce adverse remodeling.</w:t>
      </w:r>
    </w:p>
    <w:p w14:paraId="6509E55E" w14:textId="77777777" w:rsidR="00B7640C" w:rsidRDefault="000F5899">
      <w:pPr>
        <w:pStyle w:val="NormalWeb"/>
        <w:spacing w:line="360" w:lineRule="auto"/>
        <w:jc w:val="both"/>
      </w:pPr>
      <w:r>
        <w:t>SGLT2 inhibition may also improve renal function and reduce cardiorenal interactions. Because worsening renal function is strongly associated with heart-failure progression, preservation of renal function may indirectly contribute to cardiovascular benefit.</w:t>
      </w:r>
    </w:p>
    <w:p w14:paraId="47B12735" w14:textId="77777777" w:rsidR="00B7640C" w:rsidRDefault="000F5899">
      <w:pPr>
        <w:pStyle w:val="NormalWeb"/>
        <w:spacing w:line="360" w:lineRule="auto"/>
        <w:jc w:val="both"/>
      </w:pPr>
      <w:r>
        <w:t>The precise contribution of each mechanism remains uncertain. The rapid reduction in heart-failure hospitalization observed in several trials suggests that hemodynamic effects are particularly important, whereas longer-term cardiovascular benefits may additionally involve metabolic and cellular mechanisms.</w:t>
      </w:r>
    </w:p>
    <w:p w14:paraId="7239F0D8" w14:textId="77777777" w:rsidR="00B7640C" w:rsidRDefault="000F5899">
      <w:pPr>
        <w:pStyle w:val="NormalWeb"/>
        <w:spacing w:line="360" w:lineRule="auto"/>
        <w:jc w:val="both"/>
        <w:rPr>
          <w:b/>
        </w:rPr>
      </w:pPr>
      <w:r>
        <w:rPr>
          <w:b/>
        </w:rPr>
        <w:t>Table 2. Major cardiovascular outcome trials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035"/>
        <w:gridCol w:w="1453"/>
        <w:gridCol w:w="2660"/>
        <w:gridCol w:w="3202"/>
      </w:tblGrid>
      <w:tr w:rsidR="00B7640C" w14:paraId="3E181DC6" w14:textId="77777777">
        <w:trPr>
          <w:tblHeader/>
          <w:tblCellSpacing w:w="15" w:type="dxa"/>
        </w:trPr>
        <w:tc>
          <w:tcPr>
            <w:tcW w:w="0" w:type="auto"/>
            <w:vAlign w:val="center"/>
          </w:tcPr>
          <w:p w14:paraId="33D99172" w14:textId="77777777" w:rsidR="00B7640C" w:rsidRDefault="000F5899">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Trial</w:t>
            </w:r>
          </w:p>
        </w:tc>
        <w:tc>
          <w:tcPr>
            <w:tcW w:w="0" w:type="auto"/>
            <w:vAlign w:val="center"/>
          </w:tcPr>
          <w:p w14:paraId="3CAD895F" w14:textId="77777777" w:rsidR="00B7640C" w:rsidRDefault="000F5899">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Drug</w:t>
            </w:r>
          </w:p>
        </w:tc>
        <w:tc>
          <w:tcPr>
            <w:tcW w:w="0" w:type="auto"/>
            <w:vAlign w:val="center"/>
          </w:tcPr>
          <w:p w14:paraId="687BDBE0" w14:textId="77777777" w:rsidR="00B7640C" w:rsidRDefault="000F5899">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Population</w:t>
            </w:r>
          </w:p>
        </w:tc>
        <w:tc>
          <w:tcPr>
            <w:tcW w:w="0" w:type="auto"/>
            <w:vAlign w:val="center"/>
          </w:tcPr>
          <w:p w14:paraId="72AEFC76" w14:textId="77777777" w:rsidR="00B7640C" w:rsidRDefault="000F5899">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Principal finding</w:t>
            </w:r>
          </w:p>
        </w:tc>
      </w:tr>
      <w:tr w:rsidR="00B7640C" w14:paraId="493A8C32" w14:textId="77777777">
        <w:trPr>
          <w:tblCellSpacing w:w="15" w:type="dxa"/>
        </w:trPr>
        <w:tc>
          <w:tcPr>
            <w:tcW w:w="0" w:type="auto"/>
            <w:vAlign w:val="center"/>
          </w:tcPr>
          <w:p w14:paraId="3E3B05C7"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EMPA-REG OUTCOME</w:t>
            </w:r>
          </w:p>
        </w:tc>
        <w:tc>
          <w:tcPr>
            <w:tcW w:w="0" w:type="auto"/>
            <w:vAlign w:val="center"/>
          </w:tcPr>
          <w:p w14:paraId="79597CC1"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Empagliflozin</w:t>
            </w:r>
          </w:p>
        </w:tc>
        <w:tc>
          <w:tcPr>
            <w:tcW w:w="0" w:type="auto"/>
            <w:vAlign w:val="center"/>
          </w:tcPr>
          <w:p w14:paraId="7913F3AB"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T2DM + established CVD</w:t>
            </w:r>
          </w:p>
        </w:tc>
        <w:tc>
          <w:tcPr>
            <w:tcW w:w="0" w:type="auto"/>
            <w:vAlign w:val="center"/>
          </w:tcPr>
          <w:p w14:paraId="0D77D532"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Reduced CV death and HF hospitalization</w:t>
            </w:r>
          </w:p>
        </w:tc>
      </w:tr>
      <w:tr w:rsidR="00B7640C" w14:paraId="2963ACF5" w14:textId="77777777">
        <w:trPr>
          <w:tblCellSpacing w:w="15" w:type="dxa"/>
        </w:trPr>
        <w:tc>
          <w:tcPr>
            <w:tcW w:w="0" w:type="auto"/>
            <w:vAlign w:val="center"/>
          </w:tcPr>
          <w:p w14:paraId="66213A5F"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CANVAS Program</w:t>
            </w:r>
          </w:p>
        </w:tc>
        <w:tc>
          <w:tcPr>
            <w:tcW w:w="0" w:type="auto"/>
            <w:vAlign w:val="center"/>
          </w:tcPr>
          <w:p w14:paraId="23C9310B"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Canagliflozin</w:t>
            </w:r>
          </w:p>
        </w:tc>
        <w:tc>
          <w:tcPr>
            <w:tcW w:w="0" w:type="auto"/>
            <w:vAlign w:val="center"/>
          </w:tcPr>
          <w:p w14:paraId="786B475D"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T2DM + high CV risk</w:t>
            </w:r>
          </w:p>
        </w:tc>
        <w:tc>
          <w:tcPr>
            <w:tcW w:w="0" w:type="auto"/>
            <w:vAlign w:val="center"/>
          </w:tcPr>
          <w:p w14:paraId="469DA8DB"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Reduced major CV events</w:t>
            </w:r>
          </w:p>
        </w:tc>
      </w:tr>
      <w:tr w:rsidR="00B7640C" w14:paraId="57A7E25F" w14:textId="77777777">
        <w:trPr>
          <w:tblCellSpacing w:w="15" w:type="dxa"/>
        </w:trPr>
        <w:tc>
          <w:tcPr>
            <w:tcW w:w="0" w:type="auto"/>
            <w:vAlign w:val="center"/>
          </w:tcPr>
          <w:p w14:paraId="6FEEECD9"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DECLARE-TIMI 58</w:t>
            </w:r>
          </w:p>
        </w:tc>
        <w:tc>
          <w:tcPr>
            <w:tcW w:w="0" w:type="auto"/>
            <w:vAlign w:val="center"/>
          </w:tcPr>
          <w:p w14:paraId="3C01235D"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Dapagliflozin</w:t>
            </w:r>
          </w:p>
        </w:tc>
        <w:tc>
          <w:tcPr>
            <w:tcW w:w="0" w:type="auto"/>
            <w:vAlign w:val="center"/>
          </w:tcPr>
          <w:p w14:paraId="12B67B3C"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T2DM + established/high CV risk</w:t>
            </w:r>
          </w:p>
        </w:tc>
        <w:tc>
          <w:tcPr>
            <w:tcW w:w="0" w:type="auto"/>
            <w:vAlign w:val="center"/>
          </w:tcPr>
          <w:p w14:paraId="7DA2551B"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Reduced CV death/HF hospitalization</w:t>
            </w:r>
          </w:p>
        </w:tc>
      </w:tr>
      <w:tr w:rsidR="00B7640C" w14:paraId="0ED24F71" w14:textId="77777777">
        <w:trPr>
          <w:tblCellSpacing w:w="15" w:type="dxa"/>
        </w:trPr>
        <w:tc>
          <w:tcPr>
            <w:tcW w:w="0" w:type="auto"/>
            <w:vAlign w:val="center"/>
          </w:tcPr>
          <w:p w14:paraId="5EA43033"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DAPA-HF</w:t>
            </w:r>
          </w:p>
        </w:tc>
        <w:tc>
          <w:tcPr>
            <w:tcW w:w="0" w:type="auto"/>
            <w:vAlign w:val="center"/>
          </w:tcPr>
          <w:p w14:paraId="5BD9FEA0"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Dapagliflozin</w:t>
            </w:r>
          </w:p>
        </w:tc>
        <w:tc>
          <w:tcPr>
            <w:tcW w:w="0" w:type="auto"/>
            <w:vAlign w:val="center"/>
          </w:tcPr>
          <w:p w14:paraId="550A21C1"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HFrEF ± diabetes</w:t>
            </w:r>
          </w:p>
        </w:tc>
        <w:tc>
          <w:tcPr>
            <w:tcW w:w="0" w:type="auto"/>
            <w:vAlign w:val="center"/>
          </w:tcPr>
          <w:p w14:paraId="00BDDCF5"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Reduced worsening HF/CV death</w:t>
            </w:r>
          </w:p>
        </w:tc>
      </w:tr>
      <w:tr w:rsidR="00B7640C" w14:paraId="34E7DED5" w14:textId="77777777">
        <w:trPr>
          <w:tblCellSpacing w:w="15" w:type="dxa"/>
        </w:trPr>
        <w:tc>
          <w:tcPr>
            <w:tcW w:w="0" w:type="auto"/>
            <w:vAlign w:val="center"/>
          </w:tcPr>
          <w:p w14:paraId="353E4A84"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EMPEROR-Reduced</w:t>
            </w:r>
          </w:p>
        </w:tc>
        <w:tc>
          <w:tcPr>
            <w:tcW w:w="0" w:type="auto"/>
            <w:vAlign w:val="center"/>
          </w:tcPr>
          <w:p w14:paraId="31BD6C3A"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Empagliflozin</w:t>
            </w:r>
          </w:p>
        </w:tc>
        <w:tc>
          <w:tcPr>
            <w:tcW w:w="0" w:type="auto"/>
            <w:vAlign w:val="center"/>
          </w:tcPr>
          <w:p w14:paraId="4AEDCD17"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HFrEF ± diabetes</w:t>
            </w:r>
          </w:p>
        </w:tc>
        <w:tc>
          <w:tcPr>
            <w:tcW w:w="0" w:type="auto"/>
            <w:vAlign w:val="center"/>
          </w:tcPr>
          <w:p w14:paraId="1FE1CFA6"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Reduced HF hospitalization/CV death</w:t>
            </w:r>
          </w:p>
        </w:tc>
      </w:tr>
      <w:tr w:rsidR="00B7640C" w14:paraId="3A16A100" w14:textId="77777777">
        <w:trPr>
          <w:tblCellSpacing w:w="15" w:type="dxa"/>
        </w:trPr>
        <w:tc>
          <w:tcPr>
            <w:tcW w:w="0" w:type="auto"/>
            <w:vAlign w:val="center"/>
          </w:tcPr>
          <w:p w14:paraId="3E5C6ED1"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EMPEROR-Preserved</w:t>
            </w:r>
          </w:p>
        </w:tc>
        <w:tc>
          <w:tcPr>
            <w:tcW w:w="0" w:type="auto"/>
            <w:vAlign w:val="center"/>
          </w:tcPr>
          <w:p w14:paraId="7B140ECE"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Empagliflozin</w:t>
            </w:r>
          </w:p>
        </w:tc>
        <w:tc>
          <w:tcPr>
            <w:tcW w:w="0" w:type="auto"/>
            <w:vAlign w:val="center"/>
          </w:tcPr>
          <w:p w14:paraId="4B88EE98"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HFpEF</w:t>
            </w:r>
          </w:p>
        </w:tc>
        <w:tc>
          <w:tcPr>
            <w:tcW w:w="0" w:type="auto"/>
            <w:vAlign w:val="center"/>
          </w:tcPr>
          <w:p w14:paraId="5F361D80"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Reduced HF events</w:t>
            </w:r>
          </w:p>
        </w:tc>
      </w:tr>
      <w:tr w:rsidR="00B7640C" w14:paraId="329B05FF" w14:textId="77777777">
        <w:trPr>
          <w:tblCellSpacing w:w="15" w:type="dxa"/>
        </w:trPr>
        <w:tc>
          <w:tcPr>
            <w:tcW w:w="0" w:type="auto"/>
            <w:vAlign w:val="center"/>
          </w:tcPr>
          <w:p w14:paraId="112B4D40"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DELIVER</w:t>
            </w:r>
          </w:p>
        </w:tc>
        <w:tc>
          <w:tcPr>
            <w:tcW w:w="0" w:type="auto"/>
            <w:vAlign w:val="center"/>
          </w:tcPr>
          <w:p w14:paraId="453F5855"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Dapagliflozin</w:t>
            </w:r>
          </w:p>
        </w:tc>
        <w:tc>
          <w:tcPr>
            <w:tcW w:w="0" w:type="auto"/>
            <w:vAlign w:val="center"/>
          </w:tcPr>
          <w:p w14:paraId="2A2C84AE" w14:textId="77777777" w:rsidR="00B7640C" w:rsidRDefault="000F5899">
            <w:pPr>
              <w:spacing w:after="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HFmrEF</w:t>
            </w:r>
            <w:proofErr w:type="spellEnd"/>
            <w:r>
              <w:rPr>
                <w:rFonts w:ascii="Times New Roman" w:eastAsia="Times New Roman" w:hAnsi="Times New Roman" w:cs="Times New Roman"/>
                <w:sz w:val="24"/>
                <w:szCs w:val="24"/>
              </w:rPr>
              <w:t>/HFpEF</w:t>
            </w:r>
          </w:p>
        </w:tc>
        <w:tc>
          <w:tcPr>
            <w:tcW w:w="0" w:type="auto"/>
            <w:vAlign w:val="center"/>
          </w:tcPr>
          <w:p w14:paraId="08EACBD9"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Reduced worsening HF/CV death</w:t>
            </w:r>
          </w:p>
        </w:tc>
      </w:tr>
    </w:tbl>
    <w:p w14:paraId="0041CA07" w14:textId="77777777" w:rsidR="00B7640C" w:rsidRDefault="00B7640C">
      <w:pPr>
        <w:spacing w:line="360" w:lineRule="auto"/>
        <w:jc w:val="both"/>
        <w:rPr>
          <w:rFonts w:ascii="Times New Roman" w:hAnsi="Times New Roman" w:cs="Times New Roman"/>
          <w:sz w:val="24"/>
          <w:szCs w:val="24"/>
        </w:rPr>
      </w:pPr>
    </w:p>
    <w:p w14:paraId="76F01F78" w14:textId="77777777" w:rsidR="00B7640C" w:rsidRDefault="000F5899">
      <w:pPr>
        <w:pStyle w:val="Heading1"/>
        <w:spacing w:line="360" w:lineRule="auto"/>
        <w:jc w:val="both"/>
        <w:rPr>
          <w:sz w:val="24"/>
          <w:szCs w:val="24"/>
        </w:rPr>
      </w:pPr>
      <w:r>
        <w:rPr>
          <w:sz w:val="24"/>
          <w:szCs w:val="24"/>
        </w:rPr>
        <w:t>4. RENAL APPLICATIONS</w:t>
      </w:r>
    </w:p>
    <w:p w14:paraId="74F42FE2" w14:textId="77777777" w:rsidR="00B7640C" w:rsidRDefault="000F5899">
      <w:pPr>
        <w:pStyle w:val="Heading2"/>
        <w:spacing w:line="360" w:lineRule="auto"/>
        <w:jc w:val="both"/>
        <w:rPr>
          <w:sz w:val="24"/>
          <w:szCs w:val="24"/>
        </w:rPr>
      </w:pPr>
      <w:r>
        <w:rPr>
          <w:sz w:val="24"/>
          <w:szCs w:val="24"/>
        </w:rPr>
        <w:t>4.1 Diabetic kidney disease</w:t>
      </w:r>
    </w:p>
    <w:p w14:paraId="56DDF1E7" w14:textId="77777777" w:rsidR="00B7640C" w:rsidRDefault="000F5899">
      <w:pPr>
        <w:pStyle w:val="NormalWeb"/>
        <w:spacing w:line="360" w:lineRule="auto"/>
        <w:jc w:val="both"/>
      </w:pPr>
      <w:r>
        <w:t>Diabetic kidney disease is among the leading causes of chronic kidney disease (CKD) and end-stage kidney disease. Standard treatment with renin-angiotensin-aldosterone system blockade slows disease progression, yet a considerable risk of progression still remains.</w:t>
      </w:r>
    </w:p>
    <w:p w14:paraId="1B960E0D" w14:textId="77777777" w:rsidR="00B7640C" w:rsidRDefault="000F5899">
      <w:pPr>
        <w:pStyle w:val="NormalWeb"/>
        <w:spacing w:line="360" w:lineRule="auto"/>
        <w:jc w:val="both"/>
      </w:pPr>
      <w:r>
        <w:t>The CREDENCE trial showed that canagliflozin lowered the risk of kidney failure and cardiovascular events in patients with type 2 diabetes, CKD, and albuminuria who were already receiving renin-angiotensin system blockade (Perkovic et al., 2019). Alongside these renal benefits, the drug slowed the decline in eGFR and reduced albuminuria. Notably, the observed renal benefits were far greater than what would be expected from the drug's modest glucose-lowering effect alone.</w:t>
      </w:r>
    </w:p>
    <w:p w14:paraId="66A5C81C" w14:textId="77777777" w:rsidR="00B7640C" w:rsidRDefault="000F5899">
      <w:pPr>
        <w:spacing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4.2 </w:t>
      </w:r>
      <w:proofErr w:type="gramStart"/>
      <w:r>
        <w:rPr>
          <w:rFonts w:ascii="Times New Roman" w:hAnsi="Times New Roman" w:cs="Times New Roman"/>
          <w:b/>
          <w:sz w:val="24"/>
          <w:szCs w:val="24"/>
        </w:rPr>
        <w:t>Chronic kidney disease</w:t>
      </w:r>
      <w:proofErr w:type="gramEnd"/>
      <w:r>
        <w:rPr>
          <w:rFonts w:ascii="Times New Roman" w:hAnsi="Times New Roman" w:cs="Times New Roman"/>
          <w:b/>
          <w:sz w:val="24"/>
          <w:szCs w:val="24"/>
        </w:rPr>
        <w:t xml:space="preserve"> without diabetes</w:t>
      </w:r>
    </w:p>
    <w:p w14:paraId="00FACDA4" w14:textId="77777777" w:rsidR="00B7640C" w:rsidRDefault="000F5899">
      <w:pPr>
        <w:pStyle w:val="NormalWeb"/>
        <w:spacing w:line="360" w:lineRule="auto"/>
        <w:jc w:val="both"/>
      </w:pPr>
      <w:r>
        <w:t>DAPA-CKD was a landmark trial because it showed that dapagliflozin reduced the risk of kidney disease progression in patients with CKD, regardless of whether they had diabetes (Heerspink et al., 2020). This finding established that renal protection extends to patients without diabetes.</w:t>
      </w:r>
    </w:p>
    <w:p w14:paraId="30AFBC89" w14:textId="77777777" w:rsidR="00B7640C" w:rsidRDefault="000F5899">
      <w:pPr>
        <w:pStyle w:val="NormalWeb"/>
        <w:spacing w:line="360" w:lineRule="auto"/>
        <w:jc w:val="both"/>
      </w:pPr>
      <w:r>
        <w:t>EMPA-KIDNEY further expanded the evidence. The trial enrolled patients with CKD across a wide range of eGFR and albuminuria categories and showed that empagliflozin reduced the risk of kidney disease progression or cardiovascular death (Herrington et al., 2023). A prespecified analysis found that empagliflozin slowed CKD progression across different levels of baseline albuminuria, including in patients with relatively little albuminuria.</w:t>
      </w:r>
    </w:p>
    <w:p w14:paraId="60E090D6" w14:textId="77777777" w:rsidR="00B7640C" w:rsidRDefault="000F5899">
      <w:pPr>
        <w:pStyle w:val="NormalWeb"/>
        <w:spacing w:line="360" w:lineRule="auto"/>
        <w:jc w:val="both"/>
      </w:pPr>
      <w:r>
        <w:t>Long-term follow-up of EMPA-KIDNEY has further strengthened the evidence for sustained cardiorenal benefit. Of the 6,609 patients originally randomized, 4,891 entered the post-trial follow-up and were observed for an additional two years. During the combined active-treatment and post-trial periods, kidney disease progression or cardiovascular death occurred in 26.2% of participants assigned to empagliflozin compared with 30.3% assigned to placebo (HR, 0.79; 95% CI, 0.72–0.87). During the post-trial period alone, the HR for the primary outcome was 0.87 (95% CI, 0.76–0.99). These findings indicate that empagliflozin was associated with continued cardiorenal benefit during extended follow-up, although interpretation of the post-trial period should consider that open-label SGLT2 inhibitors were used by participants in both treatment groups (EMPA-KIDNEY Collaborative Group, 2025).</w:t>
      </w:r>
    </w:p>
    <w:p w14:paraId="22214882" w14:textId="77777777" w:rsidR="00B7640C" w:rsidRDefault="000F5899">
      <w:pPr>
        <w:pStyle w:val="NormalWeb"/>
        <w:spacing w:line="360" w:lineRule="auto"/>
        <w:jc w:val="both"/>
      </w:pPr>
      <w:r>
        <w:t>Taken together, current evidence supports SGLT2 inhibition as a disease-modifying strategy in a broad CKD population, rather than a treatment reserved exclusively for diabetic nephropathy.</w:t>
      </w:r>
    </w:p>
    <w:p w14:paraId="71E76E87" w14:textId="77777777" w:rsidR="00B7640C" w:rsidRDefault="000F5899">
      <w:pPr>
        <w:spacing w:line="360" w:lineRule="auto"/>
        <w:jc w:val="both"/>
        <w:rPr>
          <w:rFonts w:ascii="Times New Roman" w:hAnsi="Times New Roman" w:cs="Times New Roman"/>
          <w:b/>
          <w:sz w:val="24"/>
          <w:szCs w:val="24"/>
        </w:rPr>
      </w:pPr>
      <w:r>
        <w:rPr>
          <w:rFonts w:ascii="Times New Roman" w:hAnsi="Times New Roman" w:cs="Times New Roman"/>
          <w:b/>
          <w:sz w:val="24"/>
          <w:szCs w:val="24"/>
        </w:rPr>
        <w:t>4.3 Effects on albuminuria</w:t>
      </w:r>
    </w:p>
    <w:p w14:paraId="56881FF0" w14:textId="77777777" w:rsidR="00B7640C" w:rsidRDefault="000F5899">
      <w:pPr>
        <w:pStyle w:val="NormalWeb"/>
        <w:spacing w:line="360" w:lineRule="auto"/>
        <w:jc w:val="both"/>
      </w:pPr>
      <w:r>
        <w:t xml:space="preserve">Reduction in albuminuria is a key pharmacodynamic effect of SGLT2 inhibition. By restoring </w:t>
      </w:r>
      <w:proofErr w:type="spellStart"/>
      <w:r>
        <w:t>tubuloglomerular</w:t>
      </w:r>
      <w:proofErr w:type="spellEnd"/>
      <w:r>
        <w:t xml:space="preserve"> feedback and lowering intraglomerular pressure, these agents reduce mechanical stress on the glomerulus.</w:t>
      </w:r>
    </w:p>
    <w:p w14:paraId="3F3E0D6F" w14:textId="77777777" w:rsidR="00B7640C" w:rsidRDefault="000F5899">
      <w:pPr>
        <w:pStyle w:val="NormalWeb"/>
        <w:spacing w:line="360" w:lineRule="auto"/>
        <w:jc w:val="both"/>
      </w:pPr>
      <w:r>
        <w:lastRenderedPageBreak/>
        <w:t>However, the renal benefits appear to go beyond changes in albuminuria. EMPA-KIDNEY demonstrated a meaningful slowing of eGFR decline even among participants with low levels of albuminuria. This finding is clinically relevant because albuminuria alone may not adequately identify all patients who could benefit from SGLT2 inhibition.</w:t>
      </w:r>
    </w:p>
    <w:p w14:paraId="4A962D98" w14:textId="77777777" w:rsidR="00B7640C" w:rsidRDefault="000F5899">
      <w:pPr>
        <w:spacing w:line="360" w:lineRule="auto"/>
        <w:jc w:val="both"/>
        <w:rPr>
          <w:rFonts w:ascii="Times New Roman" w:hAnsi="Times New Roman" w:cs="Times New Roman"/>
          <w:b/>
          <w:sz w:val="24"/>
          <w:szCs w:val="24"/>
        </w:rPr>
      </w:pPr>
      <w:r>
        <w:rPr>
          <w:rFonts w:ascii="Times New Roman" w:hAnsi="Times New Roman" w:cs="Times New Roman"/>
          <w:b/>
          <w:sz w:val="24"/>
          <w:szCs w:val="24"/>
        </w:rPr>
        <w:t>4.4 Acute kidney injury</w:t>
      </w:r>
    </w:p>
    <w:p w14:paraId="7E600AFD" w14:textId="77777777" w:rsidR="00B7640C" w:rsidRDefault="000F5899">
      <w:pPr>
        <w:pStyle w:val="NormalWeb"/>
        <w:spacing w:line="360" w:lineRule="auto"/>
        <w:jc w:val="both"/>
      </w:pPr>
      <w:r>
        <w:t>There were initial concerns that SGLT2 inhibitors might cause AKI through volume depletion and osmotic diuresis. However, meta-analyses of large randomized trials have generally shown that these agents are associated with a lower rather than higher risk of AKI.</w:t>
      </w:r>
    </w:p>
    <w:p w14:paraId="459285E5" w14:textId="77777777" w:rsidR="00B7640C" w:rsidRDefault="000F5899">
      <w:pPr>
        <w:pStyle w:val="NormalWeb"/>
        <w:spacing w:line="360" w:lineRule="auto"/>
        <w:jc w:val="both"/>
      </w:pPr>
      <w:r>
        <w:t>A meta-analysis involving 71,553 participants found a reduced risk of AKI with SGLT2 inhibitors, while also confirming increased risks of genital infections, diabetic ketoacidosis, and volume depletion. As a result, SGLT2 inhibitors should not be routinely stopped simply because of theoretical concerns about AKI. Nevertheless, temporary withholding may be appropriate during severe acute illness, prolonged fasting, major surgery, or significant volume depletion.</w:t>
      </w:r>
    </w:p>
    <w:p w14:paraId="212770F1" w14:textId="77777777" w:rsidR="00B7640C" w:rsidRDefault="000F5899">
      <w:pPr>
        <w:spacing w:line="360" w:lineRule="auto"/>
        <w:jc w:val="both"/>
        <w:rPr>
          <w:rFonts w:ascii="Times New Roman" w:hAnsi="Times New Roman" w:cs="Times New Roman"/>
          <w:b/>
          <w:sz w:val="24"/>
          <w:szCs w:val="24"/>
        </w:rPr>
      </w:pPr>
      <w:r>
        <w:rPr>
          <w:rFonts w:ascii="Times New Roman" w:hAnsi="Times New Roman" w:cs="Times New Roman"/>
          <w:b/>
          <w:sz w:val="24"/>
          <w:szCs w:val="24"/>
        </w:rPr>
        <w:t>Table 3. Major renal trials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016"/>
        <w:gridCol w:w="1453"/>
        <w:gridCol w:w="1860"/>
        <w:gridCol w:w="3021"/>
      </w:tblGrid>
      <w:tr w:rsidR="00B7640C" w14:paraId="0A0BA658" w14:textId="77777777">
        <w:trPr>
          <w:tblHeader/>
          <w:tblCellSpacing w:w="15" w:type="dxa"/>
        </w:trPr>
        <w:tc>
          <w:tcPr>
            <w:tcW w:w="0" w:type="auto"/>
            <w:vAlign w:val="center"/>
          </w:tcPr>
          <w:p w14:paraId="0124A3B9" w14:textId="77777777" w:rsidR="00B7640C" w:rsidRDefault="000F5899">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Trial</w:t>
            </w:r>
          </w:p>
        </w:tc>
        <w:tc>
          <w:tcPr>
            <w:tcW w:w="0" w:type="auto"/>
            <w:vAlign w:val="center"/>
          </w:tcPr>
          <w:p w14:paraId="75A99F55" w14:textId="77777777" w:rsidR="00B7640C" w:rsidRDefault="000F5899">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Drug</w:t>
            </w:r>
          </w:p>
        </w:tc>
        <w:tc>
          <w:tcPr>
            <w:tcW w:w="0" w:type="auto"/>
            <w:vAlign w:val="center"/>
          </w:tcPr>
          <w:p w14:paraId="075289C0" w14:textId="77777777" w:rsidR="00B7640C" w:rsidRDefault="000F5899">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Population</w:t>
            </w:r>
          </w:p>
        </w:tc>
        <w:tc>
          <w:tcPr>
            <w:tcW w:w="0" w:type="auto"/>
            <w:vAlign w:val="center"/>
          </w:tcPr>
          <w:p w14:paraId="047B5229" w14:textId="77777777" w:rsidR="00B7640C" w:rsidRDefault="000F5899">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Major renal finding</w:t>
            </w:r>
          </w:p>
        </w:tc>
      </w:tr>
      <w:tr w:rsidR="00B7640C" w14:paraId="2E1CE4FF" w14:textId="77777777">
        <w:trPr>
          <w:tblCellSpacing w:w="15" w:type="dxa"/>
        </w:trPr>
        <w:tc>
          <w:tcPr>
            <w:tcW w:w="0" w:type="auto"/>
            <w:vAlign w:val="center"/>
          </w:tcPr>
          <w:p w14:paraId="7BF94153"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EMPA-REG OUTCOME renal analysis</w:t>
            </w:r>
          </w:p>
        </w:tc>
        <w:tc>
          <w:tcPr>
            <w:tcW w:w="0" w:type="auto"/>
            <w:vAlign w:val="center"/>
          </w:tcPr>
          <w:p w14:paraId="244C18AC"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Empagliflozin</w:t>
            </w:r>
          </w:p>
        </w:tc>
        <w:tc>
          <w:tcPr>
            <w:tcW w:w="0" w:type="auto"/>
            <w:vAlign w:val="center"/>
          </w:tcPr>
          <w:p w14:paraId="165B3A35"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T2DM + CVD</w:t>
            </w:r>
          </w:p>
        </w:tc>
        <w:tc>
          <w:tcPr>
            <w:tcW w:w="0" w:type="auto"/>
            <w:vAlign w:val="center"/>
          </w:tcPr>
          <w:p w14:paraId="44D4ADD0"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Reduced renal disease progression</w:t>
            </w:r>
          </w:p>
        </w:tc>
      </w:tr>
      <w:tr w:rsidR="00B7640C" w14:paraId="75927E20" w14:textId="77777777">
        <w:trPr>
          <w:tblCellSpacing w:w="15" w:type="dxa"/>
        </w:trPr>
        <w:tc>
          <w:tcPr>
            <w:tcW w:w="0" w:type="auto"/>
            <w:vAlign w:val="center"/>
          </w:tcPr>
          <w:p w14:paraId="2589DBB6"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CANVAS renal analysis</w:t>
            </w:r>
          </w:p>
        </w:tc>
        <w:tc>
          <w:tcPr>
            <w:tcW w:w="0" w:type="auto"/>
            <w:vAlign w:val="center"/>
          </w:tcPr>
          <w:p w14:paraId="34BE9D20"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Canagliflozin</w:t>
            </w:r>
          </w:p>
        </w:tc>
        <w:tc>
          <w:tcPr>
            <w:tcW w:w="0" w:type="auto"/>
            <w:vAlign w:val="center"/>
          </w:tcPr>
          <w:p w14:paraId="0F9E9D75"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T2DM + high CV risk</w:t>
            </w:r>
          </w:p>
        </w:tc>
        <w:tc>
          <w:tcPr>
            <w:tcW w:w="0" w:type="auto"/>
            <w:vAlign w:val="center"/>
          </w:tcPr>
          <w:p w14:paraId="530B5A42"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Slower renal decline</w:t>
            </w:r>
          </w:p>
        </w:tc>
      </w:tr>
      <w:tr w:rsidR="00B7640C" w14:paraId="58B130E6" w14:textId="77777777">
        <w:trPr>
          <w:tblCellSpacing w:w="15" w:type="dxa"/>
        </w:trPr>
        <w:tc>
          <w:tcPr>
            <w:tcW w:w="0" w:type="auto"/>
            <w:vAlign w:val="center"/>
          </w:tcPr>
          <w:p w14:paraId="0FFD7DE6"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CREDENCE</w:t>
            </w:r>
          </w:p>
        </w:tc>
        <w:tc>
          <w:tcPr>
            <w:tcW w:w="0" w:type="auto"/>
            <w:vAlign w:val="center"/>
          </w:tcPr>
          <w:p w14:paraId="0AD3A62B"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Canagliflozin</w:t>
            </w:r>
          </w:p>
        </w:tc>
        <w:tc>
          <w:tcPr>
            <w:tcW w:w="0" w:type="auto"/>
            <w:vAlign w:val="center"/>
          </w:tcPr>
          <w:p w14:paraId="749A6947"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T2DM + CKD</w:t>
            </w:r>
          </w:p>
        </w:tc>
        <w:tc>
          <w:tcPr>
            <w:tcW w:w="0" w:type="auto"/>
            <w:vAlign w:val="center"/>
          </w:tcPr>
          <w:p w14:paraId="62C5C8B2"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Reduced kidney failure</w:t>
            </w:r>
          </w:p>
        </w:tc>
      </w:tr>
      <w:tr w:rsidR="00B7640C" w14:paraId="01011B71" w14:textId="77777777">
        <w:trPr>
          <w:tblCellSpacing w:w="15" w:type="dxa"/>
        </w:trPr>
        <w:tc>
          <w:tcPr>
            <w:tcW w:w="0" w:type="auto"/>
            <w:vAlign w:val="center"/>
          </w:tcPr>
          <w:p w14:paraId="20ADD866"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DAPA-CKD</w:t>
            </w:r>
          </w:p>
        </w:tc>
        <w:tc>
          <w:tcPr>
            <w:tcW w:w="0" w:type="auto"/>
            <w:vAlign w:val="center"/>
          </w:tcPr>
          <w:p w14:paraId="485389A9"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Dapagliflozin</w:t>
            </w:r>
          </w:p>
        </w:tc>
        <w:tc>
          <w:tcPr>
            <w:tcW w:w="0" w:type="auto"/>
            <w:vAlign w:val="center"/>
          </w:tcPr>
          <w:p w14:paraId="47D4F29C"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CKD ± diabetes</w:t>
            </w:r>
          </w:p>
        </w:tc>
        <w:tc>
          <w:tcPr>
            <w:tcW w:w="0" w:type="auto"/>
            <w:vAlign w:val="center"/>
          </w:tcPr>
          <w:p w14:paraId="4F6C18D2"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Reduced kidney progression</w:t>
            </w:r>
          </w:p>
        </w:tc>
      </w:tr>
      <w:tr w:rsidR="00B7640C" w14:paraId="45AF6F29" w14:textId="77777777">
        <w:trPr>
          <w:tblCellSpacing w:w="15" w:type="dxa"/>
        </w:trPr>
        <w:tc>
          <w:tcPr>
            <w:tcW w:w="0" w:type="auto"/>
            <w:vAlign w:val="center"/>
          </w:tcPr>
          <w:p w14:paraId="228667CA"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EMPA-KIDNEY</w:t>
            </w:r>
          </w:p>
        </w:tc>
        <w:tc>
          <w:tcPr>
            <w:tcW w:w="0" w:type="auto"/>
            <w:vAlign w:val="center"/>
          </w:tcPr>
          <w:p w14:paraId="19486A88"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Empagliflozin</w:t>
            </w:r>
          </w:p>
        </w:tc>
        <w:tc>
          <w:tcPr>
            <w:tcW w:w="0" w:type="auto"/>
            <w:vAlign w:val="center"/>
          </w:tcPr>
          <w:p w14:paraId="0A2BA097"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CKD ± diabetes</w:t>
            </w:r>
          </w:p>
        </w:tc>
        <w:tc>
          <w:tcPr>
            <w:tcW w:w="0" w:type="auto"/>
            <w:vAlign w:val="center"/>
          </w:tcPr>
          <w:p w14:paraId="46BC6D07"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Reduced kidney progression/CV death</w:t>
            </w:r>
          </w:p>
        </w:tc>
      </w:tr>
    </w:tbl>
    <w:p w14:paraId="7648504F" w14:textId="77777777" w:rsidR="00B7640C" w:rsidRDefault="00B7640C">
      <w:pPr>
        <w:spacing w:line="360" w:lineRule="auto"/>
        <w:jc w:val="both"/>
        <w:rPr>
          <w:rFonts w:ascii="Times New Roman" w:hAnsi="Times New Roman" w:cs="Times New Roman"/>
          <w:sz w:val="24"/>
          <w:szCs w:val="24"/>
        </w:rPr>
      </w:pPr>
    </w:p>
    <w:p w14:paraId="4F3DCD6D" w14:textId="77777777" w:rsidR="00B7640C" w:rsidRDefault="000F5899">
      <w:pPr>
        <w:spacing w:line="360" w:lineRule="auto"/>
        <w:jc w:val="both"/>
        <w:rPr>
          <w:rFonts w:ascii="Times New Roman" w:hAnsi="Times New Roman" w:cs="Times New Roman"/>
          <w:b/>
          <w:sz w:val="24"/>
          <w:szCs w:val="24"/>
        </w:rPr>
      </w:pPr>
      <w:r>
        <w:rPr>
          <w:rFonts w:ascii="Times New Roman" w:hAnsi="Times New Roman" w:cs="Times New Roman"/>
          <w:b/>
          <w:sz w:val="24"/>
          <w:szCs w:val="24"/>
        </w:rPr>
        <w:t>5. SGLT2 INHIBITORS AND THE BRAIN: AN EMERGING THERAPEUTIC FRONTIER</w:t>
      </w:r>
    </w:p>
    <w:p w14:paraId="10FEA9A4" w14:textId="77777777" w:rsidR="00B7640C" w:rsidRDefault="000F5899">
      <w:pPr>
        <w:pStyle w:val="NormalWeb"/>
        <w:spacing w:line="360" w:lineRule="auto"/>
        <w:jc w:val="both"/>
      </w:pPr>
      <w:r>
        <w:lastRenderedPageBreak/>
        <w:t>The neurological effects of SGLT2 inhibitors are less well established than their cardiovascular and renal effects. Even so, growing experimental and observational evidence has raised interest in their possible role in neurodegenerative disease.</w:t>
      </w:r>
    </w:p>
    <w:p w14:paraId="14BEA04B" w14:textId="77777777" w:rsidR="00B7640C" w:rsidRDefault="000F5899">
      <w:pPr>
        <w:pStyle w:val="NormalWeb"/>
        <w:spacing w:line="360" w:lineRule="auto"/>
        <w:jc w:val="both"/>
      </w:pPr>
      <w:r>
        <w:t>Diabetes and insulin resistance are linked to chronic low-grade inflammation, oxidative stress, endothelial dysfunction, mitochondrial abnormalities, and impaired insulin signaling in the brain. These processes overlap with mechanisms implicated in Alzheimer's disease and other neurodegenerative disorders. SGLT2 inhibitors may influence several of these pathways, either indirectly through systemic metabolic improvement or potentially through direct cellular effects.</w:t>
      </w:r>
    </w:p>
    <w:p w14:paraId="70181B0F" w14:textId="77777777" w:rsidR="00B7640C" w:rsidRDefault="000F5899">
      <w:pPr>
        <w:pStyle w:val="NormalWeb"/>
        <w:spacing w:line="360" w:lineRule="auto"/>
        <w:jc w:val="both"/>
      </w:pPr>
      <w:r>
        <w:t>Importantly, neuroprotection should currently be regarded as an emerging application rather than an established indication.</w:t>
      </w:r>
    </w:p>
    <w:p w14:paraId="67D30908" w14:textId="77777777" w:rsidR="00B7640C" w:rsidRDefault="000F5899">
      <w:pPr>
        <w:pStyle w:val="NormalWeb"/>
        <w:spacing w:line="360" w:lineRule="auto"/>
        <w:jc w:val="both"/>
      </w:pPr>
      <w:r>
        <w:t>The current evidence can be considered across three levels. First, preclinical studies provide mechanistic support by demonstrating potential effects of SGLT2 inhibition on oxidative stress, neuroinflammation, mitochondrial function, vascular injury, and metabolic signaling. Second, observational and real-world studies have reported associations between SGLT2 inhibitor exposure and lower rates of Alzheimer disease and related dementias; however, these findings remain vulnerable to residual confounding, differences in patient characteristics, and treatment-selection effects (Tang et al., 2025). Third, randomized clinical trial evidence provides the most reliable assessment of causality but remains limited because most SGLT2 inhibitor trials were designed primarily to evaluate cardiovascular or renal outcomes rather than cognitive or neurodegenerative endpoints. A 2025 systematic review and meta-analysis of 26 randomized clinical trials involving 164,531 participants, including 12 trials evaluating SGLT2 inhibitors, found no statistically significant reduction in dementia or cognitive impairment with SGLT2 inhibitors (OR, 1.20; 95% CI, 0.67–2.17) (</w:t>
      </w:r>
      <w:proofErr w:type="spellStart"/>
      <w:r>
        <w:t>Seminer</w:t>
      </w:r>
      <w:proofErr w:type="spellEnd"/>
      <w:r>
        <w:t xml:space="preserve"> et al., 2025). These findings reinforce the distinction between biological plausibility, observational associations, and clinically established neuroprotection.</w:t>
      </w:r>
    </w:p>
    <w:p w14:paraId="260E580B" w14:textId="77777777" w:rsidR="00B7640C" w:rsidRDefault="000F5899">
      <w:pPr>
        <w:pStyle w:val="Heading1"/>
        <w:spacing w:line="360" w:lineRule="auto"/>
        <w:jc w:val="both"/>
        <w:rPr>
          <w:sz w:val="24"/>
          <w:szCs w:val="24"/>
        </w:rPr>
      </w:pPr>
      <w:r>
        <w:rPr>
          <w:sz w:val="24"/>
          <w:szCs w:val="24"/>
        </w:rPr>
        <w:t>6. POTENTIAL NEUROPROTECTIVE MECHANISMS</w:t>
      </w:r>
    </w:p>
    <w:p w14:paraId="0F545333" w14:textId="77777777" w:rsidR="00B7640C" w:rsidRDefault="000F5899">
      <w:pPr>
        <w:pStyle w:val="Heading2"/>
        <w:spacing w:line="360" w:lineRule="auto"/>
        <w:jc w:val="both"/>
        <w:rPr>
          <w:sz w:val="24"/>
          <w:szCs w:val="24"/>
        </w:rPr>
      </w:pPr>
      <w:r>
        <w:rPr>
          <w:sz w:val="24"/>
          <w:szCs w:val="24"/>
        </w:rPr>
        <w:t>6.1 Reduction of oxidative stress</w:t>
      </w:r>
    </w:p>
    <w:p w14:paraId="31087DA8" w14:textId="77777777" w:rsidR="00B7640C" w:rsidRDefault="000F5899">
      <w:pPr>
        <w:pStyle w:val="NormalWeb"/>
        <w:spacing w:line="360" w:lineRule="auto"/>
        <w:jc w:val="both"/>
      </w:pPr>
      <w:r>
        <w:lastRenderedPageBreak/>
        <w:t>Oxidative stress plays a significant role in neuronal injury and neurodegenerative disease. Excessive reactive oxygen species can damage lipids, proteins, mitochondrial structures, and DNA.</w:t>
      </w:r>
    </w:p>
    <w:p w14:paraId="2DC95D5D" w14:textId="77777777" w:rsidR="00B7640C" w:rsidRDefault="000F5899">
      <w:pPr>
        <w:pStyle w:val="NormalWeb"/>
        <w:spacing w:line="360" w:lineRule="auto"/>
        <w:jc w:val="both"/>
      </w:pPr>
      <w:r>
        <w:t>SGLT2 inhibition has been associated with reduced oxidative stress in experimental models. Possible mechanisms include improved metabolic flexibility, reduced glucotoxicity, and altered mitochondrial function. Whether these effects translate into clinically meaningful neuronal protection remains uncertain.</w:t>
      </w:r>
    </w:p>
    <w:p w14:paraId="210F8FA1" w14:textId="77777777" w:rsidR="00B7640C" w:rsidRDefault="000F5899">
      <w:pPr>
        <w:spacing w:line="360" w:lineRule="auto"/>
        <w:jc w:val="both"/>
        <w:rPr>
          <w:rFonts w:ascii="Times New Roman" w:hAnsi="Times New Roman" w:cs="Times New Roman"/>
          <w:b/>
          <w:sz w:val="24"/>
          <w:szCs w:val="24"/>
        </w:rPr>
      </w:pPr>
      <w:r>
        <w:rPr>
          <w:rFonts w:ascii="Times New Roman" w:hAnsi="Times New Roman" w:cs="Times New Roman"/>
          <w:b/>
          <w:sz w:val="24"/>
          <w:szCs w:val="24"/>
        </w:rPr>
        <w:t>6.2 Modulation of neuroinflammation</w:t>
      </w:r>
    </w:p>
    <w:p w14:paraId="6D05DAF8" w14:textId="77777777" w:rsidR="00B7640C" w:rsidRDefault="000F5899">
      <w:pPr>
        <w:pStyle w:val="NormalWeb"/>
        <w:spacing w:line="360" w:lineRule="auto"/>
        <w:jc w:val="both"/>
      </w:pPr>
      <w:r>
        <w:t>Neuroinflammation is increasingly recognized as a contributor to Alzheimer's disease and other neurodegenerative conditions. Persistent activation of microglia can lead to the release of inflammatory mediators and progressive neuronal injury.</w:t>
      </w:r>
    </w:p>
    <w:p w14:paraId="14AE40E0" w14:textId="77777777" w:rsidR="00B7640C" w:rsidRDefault="000F5899">
      <w:pPr>
        <w:pStyle w:val="NormalWeb"/>
        <w:spacing w:line="360" w:lineRule="auto"/>
        <w:jc w:val="both"/>
      </w:pPr>
      <w:r>
        <w:t>SGLT2 inhibitors have shown anti-inflammatory effects in experimental models. These effects may arise from systemic metabolic improvement, altered inflammatory signaling, or indirect effects on vascular and mitochondrial function.</w:t>
      </w:r>
    </w:p>
    <w:p w14:paraId="7BFB90B0" w14:textId="77777777" w:rsidR="00B7640C" w:rsidRDefault="000F5899">
      <w:pPr>
        <w:pStyle w:val="NormalWeb"/>
        <w:spacing w:line="360" w:lineRule="auto"/>
        <w:jc w:val="both"/>
      </w:pPr>
      <w:r>
        <w:t>However, evidence for direct penetration of SGLT2 inhibitors into the central nervous system and direct inhibition of neuronal inflammatory pathways remains limited. The precise relationship between SGLT2 inhibition and neuroinflammation therefore requires further investigation.</w:t>
      </w:r>
    </w:p>
    <w:p w14:paraId="7CEA9C6E" w14:textId="77777777" w:rsidR="00B7640C" w:rsidRDefault="000F5899">
      <w:pPr>
        <w:spacing w:line="360" w:lineRule="auto"/>
        <w:jc w:val="both"/>
        <w:rPr>
          <w:rFonts w:ascii="Times New Roman" w:hAnsi="Times New Roman" w:cs="Times New Roman"/>
          <w:b/>
          <w:sz w:val="24"/>
          <w:szCs w:val="24"/>
        </w:rPr>
      </w:pPr>
      <w:r>
        <w:rPr>
          <w:rFonts w:ascii="Times New Roman" w:hAnsi="Times New Roman" w:cs="Times New Roman"/>
          <w:b/>
          <w:sz w:val="24"/>
          <w:szCs w:val="24"/>
        </w:rPr>
        <w:t>6.3 Mitochondrial function</w:t>
      </w:r>
    </w:p>
    <w:p w14:paraId="4F8028C3" w14:textId="77777777" w:rsidR="00B7640C" w:rsidRDefault="000F5899">
      <w:pPr>
        <w:pStyle w:val="NormalWeb"/>
        <w:spacing w:line="360" w:lineRule="auto"/>
        <w:jc w:val="both"/>
      </w:pPr>
      <w:r>
        <w:t>Mitochondrial dysfunction contributes to neuronal vulnerability because neurons have a high energy requirement. Impaired mitochondrial ATP production can increase oxidative stress and promote neuronal degeneration.</w:t>
      </w:r>
    </w:p>
    <w:p w14:paraId="02A8A3F9" w14:textId="77777777" w:rsidR="00B7640C" w:rsidRDefault="000F5899">
      <w:pPr>
        <w:pStyle w:val="NormalWeb"/>
        <w:spacing w:line="360" w:lineRule="auto"/>
        <w:jc w:val="both"/>
      </w:pPr>
      <w:r>
        <w:t>Experimental work suggests that SGLT2 inhibitors may influence mitochondrial substrate utilization and cellular energy metabolism. This has raised interest in whether these drugs could improve neuronal metabolic resilience. At present, however, this mechanism remains largely hypothesis-generating.</w:t>
      </w:r>
    </w:p>
    <w:p w14:paraId="1AA746D9" w14:textId="77777777" w:rsidR="00B7640C" w:rsidRDefault="000F5899">
      <w:pPr>
        <w:spacing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6.4 Brain insulin resistance</w:t>
      </w:r>
    </w:p>
    <w:p w14:paraId="1E55BFF0" w14:textId="77777777" w:rsidR="00B7640C" w:rsidRDefault="000F5899">
      <w:pPr>
        <w:pStyle w:val="NormalWeb"/>
        <w:spacing w:line="360" w:lineRule="auto"/>
        <w:jc w:val="both"/>
      </w:pPr>
      <w:r>
        <w:t>Brain insulin resistance has been proposed as one contributor to Alzheimer's disease pathophysiology. Impaired insulin signaling may interfere with synaptic function, neuronal survival, and glucose metabolism.</w:t>
      </w:r>
    </w:p>
    <w:p w14:paraId="5AB12125" w14:textId="77777777" w:rsidR="00B7640C" w:rsidRDefault="000F5899">
      <w:pPr>
        <w:pStyle w:val="NormalWeb"/>
        <w:spacing w:line="360" w:lineRule="auto"/>
        <w:jc w:val="both"/>
      </w:pPr>
      <w:r>
        <w:t>Because SGLT2 inhibitors improve systemic metabolic parameters, they may indirectly improve pathways associated with insulin resistance. However, whether peripheral metabolic improvement produces clinically meaningful reversal of brain insulin resistance remains unresolved.</w:t>
      </w:r>
    </w:p>
    <w:p w14:paraId="585162CE" w14:textId="77777777" w:rsidR="00B7640C" w:rsidRDefault="000F5899">
      <w:pPr>
        <w:spacing w:line="360" w:lineRule="auto"/>
        <w:jc w:val="both"/>
        <w:rPr>
          <w:rFonts w:ascii="Times New Roman" w:hAnsi="Times New Roman" w:cs="Times New Roman"/>
          <w:b/>
          <w:sz w:val="24"/>
          <w:szCs w:val="24"/>
        </w:rPr>
      </w:pPr>
      <w:r>
        <w:rPr>
          <w:rFonts w:ascii="Times New Roman" w:hAnsi="Times New Roman" w:cs="Times New Roman"/>
          <w:b/>
          <w:sz w:val="24"/>
          <w:szCs w:val="24"/>
        </w:rPr>
        <w:t>7. ALZHEIMER'S DISEASE</w:t>
      </w:r>
    </w:p>
    <w:p w14:paraId="454854EC" w14:textId="77777777" w:rsidR="00B7640C" w:rsidRDefault="000F5899">
      <w:pPr>
        <w:pStyle w:val="NormalWeb"/>
        <w:spacing w:line="360" w:lineRule="auto"/>
        <w:jc w:val="both"/>
      </w:pPr>
      <w:r>
        <w:t>Alzheimer's disease is the most common cause of dementia and is characterized by progressive cognitive decline associated with amyloid pathology, tau abnormalities, neuroinflammation, synaptic dysfunction, oxidative stress, and neuronal loss. The link between diabetes and Alzheimer's disease has prompted interest in antidiabetic medications as potential disease-modifying therapies.</w:t>
      </w:r>
    </w:p>
    <w:p w14:paraId="02EEC4A5" w14:textId="77777777" w:rsidR="00B7640C" w:rsidRDefault="000F5899">
      <w:pPr>
        <w:pStyle w:val="NormalWeb"/>
        <w:spacing w:line="360" w:lineRule="auto"/>
        <w:jc w:val="both"/>
      </w:pPr>
      <w:r>
        <w:t>Experimental evidence has provided an initial rationale for SGLT2 inhibitors. In a mixed model of Alzheimer's disease and diabetes, empagliflozin reduced vascular damage and cognitive impairment, suggesting that vascular and metabolic mechanisms may contribute to potential neurological effects.</w:t>
      </w:r>
    </w:p>
    <w:p w14:paraId="1CFA986E" w14:textId="77777777" w:rsidR="00B7640C" w:rsidRDefault="000F5899">
      <w:pPr>
        <w:pStyle w:val="NormalWeb"/>
        <w:spacing w:line="360" w:lineRule="auto"/>
        <w:jc w:val="both"/>
      </w:pPr>
      <w:r>
        <w:t xml:space="preserve">Human evidence remains limited and heterogeneous. A 2025 target-trial emulation study in individuals with type 2 diabetes reported that those who initiated SGLT2 inhibitors had a lower incidence of Alzheimer disease and related dementias than users of other second-line glucose-lowering drugs (adjusted HR, 0.57; 95% CI, 0.43–0.75). However, because the study relied on observational electronic health-record data, residual confounding and treatment-selection effects cannot be fully excluded, and the findings do not establish a causal neuro protective effect (Tang et al., 2025). Importantly, randomized evidence remains inconclusive. A 2025 systematic review and meta-analysis of randomized clinical trials found no statistically significant reduction in dementia or cognitive impairment with SGLT2 inhibitors (OR, 1.20; 95% CI, 0.67–2.17), </w:t>
      </w:r>
      <w:r>
        <w:lastRenderedPageBreak/>
        <w:t>emphasizing that the potential neurological benefits suggested by observational studies require confirmation in dedicated randomized trials (</w:t>
      </w:r>
      <w:proofErr w:type="spellStart"/>
      <w:r>
        <w:t>Seminer</w:t>
      </w:r>
      <w:proofErr w:type="spellEnd"/>
      <w:r>
        <w:t xml:space="preserve"> et al., 2025).</w:t>
      </w:r>
    </w:p>
    <w:p w14:paraId="54B66710" w14:textId="77777777" w:rsidR="00B7640C" w:rsidRDefault="000F5899">
      <w:pPr>
        <w:pStyle w:val="NormalWeb"/>
        <w:spacing w:line="360" w:lineRule="auto"/>
        <w:jc w:val="both"/>
      </w:pPr>
      <w:r>
        <w:t>Therefore, SGLT2 inhibitors cannot currently be recommended specifically for prevention or treatment of Alzheimer's disease.</w:t>
      </w:r>
    </w:p>
    <w:p w14:paraId="749CBD02" w14:textId="77777777" w:rsidR="00B7640C" w:rsidRDefault="000F5899">
      <w:pPr>
        <w:spacing w:line="360" w:lineRule="auto"/>
        <w:jc w:val="both"/>
        <w:rPr>
          <w:rFonts w:ascii="Times New Roman" w:hAnsi="Times New Roman" w:cs="Times New Roman"/>
          <w:b/>
          <w:sz w:val="24"/>
          <w:szCs w:val="24"/>
        </w:rPr>
      </w:pPr>
      <w:r>
        <w:rPr>
          <w:rFonts w:ascii="Times New Roman" w:hAnsi="Times New Roman" w:cs="Times New Roman"/>
          <w:b/>
          <w:sz w:val="24"/>
          <w:szCs w:val="24"/>
        </w:rPr>
        <w:t>8. Cognitive decline and dementia</w:t>
      </w:r>
    </w:p>
    <w:p w14:paraId="3C0BDAA8" w14:textId="77777777" w:rsidR="00B7640C" w:rsidRDefault="000F5899">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potential association between SGLT2 inhibitors and reduced dementia risk is especially interesting because cardiovascular and cerebrovascular risk factors contribute substantially to cognitive decline.</w:t>
      </w:r>
    </w:p>
    <w:p w14:paraId="2DD02C49" w14:textId="77777777" w:rsidR="00B7640C" w:rsidRDefault="000F5899">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Potential explanations include:</w:t>
      </w:r>
    </w:p>
    <w:p w14:paraId="263FAA6A" w14:textId="77777777" w:rsidR="00B7640C" w:rsidRDefault="000F5899">
      <w:pPr>
        <w:numPr>
          <w:ilvl w:val="0"/>
          <w:numId w:val="1"/>
        </w:num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improved vascular function</w:t>
      </w:r>
    </w:p>
    <w:p w14:paraId="73795954" w14:textId="77777777" w:rsidR="00B7640C" w:rsidRDefault="000F5899">
      <w:pPr>
        <w:numPr>
          <w:ilvl w:val="0"/>
          <w:numId w:val="1"/>
        </w:num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reduction in blood pressure</w:t>
      </w:r>
    </w:p>
    <w:p w14:paraId="1164EDE5" w14:textId="77777777" w:rsidR="00B7640C" w:rsidRDefault="000F5899">
      <w:pPr>
        <w:numPr>
          <w:ilvl w:val="0"/>
          <w:numId w:val="1"/>
        </w:num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improved metabolic control</w:t>
      </w:r>
    </w:p>
    <w:p w14:paraId="68071FC3" w14:textId="77777777" w:rsidR="00B7640C" w:rsidRDefault="000F5899">
      <w:pPr>
        <w:numPr>
          <w:ilvl w:val="0"/>
          <w:numId w:val="1"/>
        </w:num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reduction in systemic inflammation</w:t>
      </w:r>
    </w:p>
    <w:p w14:paraId="745A772B" w14:textId="77777777" w:rsidR="00B7640C" w:rsidRDefault="000F5899">
      <w:pPr>
        <w:numPr>
          <w:ilvl w:val="0"/>
          <w:numId w:val="1"/>
        </w:num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reduction in oxidative stress</w:t>
      </w:r>
    </w:p>
    <w:p w14:paraId="4D9AAC13" w14:textId="77777777" w:rsidR="00B7640C" w:rsidRDefault="000F5899">
      <w:pPr>
        <w:numPr>
          <w:ilvl w:val="0"/>
          <w:numId w:val="1"/>
        </w:num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preservation of renal function</w:t>
      </w:r>
    </w:p>
    <w:p w14:paraId="41C82DB1" w14:textId="77777777" w:rsidR="00B7640C" w:rsidRDefault="000F5899">
      <w:pPr>
        <w:numPr>
          <w:ilvl w:val="0"/>
          <w:numId w:val="1"/>
        </w:num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possible direct effects on neuronal metabolism</w:t>
      </w:r>
    </w:p>
    <w:p w14:paraId="378DC282" w14:textId="77777777" w:rsidR="00B7640C" w:rsidRDefault="000F5899">
      <w:pPr>
        <w:spacing w:before="100" w:beforeAutospacing="1" w:after="100" w:afterAutospacing="1"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Evidence concerning dementia and cognitive decline remains heterogeneous. Observational studies have generally suggested a possible association between SGLT2 inhibitor exposure and lower dementia risk, potentially mediated through improved vascular, metabolic, renal, and inflammatory pathways. However, observational findings may be influenced by residual confounding, differences in patient characteristics, and treatment-selection effects (Tang et al., 2025). More importantly, randomized evidence remains inconclusive. A 2025 systematic review and meta-analysis of 26 randomized clinical trials involving 164,531 participants evaluated cardioprotective glucose-lowering therapies and dementia or cognitive impairment. Among the trials evaluating SGLT2 inhibitors, no statistically significant reduction in dementia or cognitive impairment was demonstrated (OR, 1.20; 95% CI, 0.67–2.17) (</w:t>
      </w:r>
      <w:proofErr w:type="spellStart"/>
      <w:r>
        <w:rPr>
          <w:rFonts w:ascii="Times New Roman" w:eastAsia="Times New Roman" w:hAnsi="Times New Roman" w:cs="Times New Roman"/>
          <w:sz w:val="24"/>
          <w:szCs w:val="24"/>
        </w:rPr>
        <w:t>Seminer</w:t>
      </w:r>
      <w:proofErr w:type="spellEnd"/>
      <w:r>
        <w:rPr>
          <w:rFonts w:ascii="Times New Roman" w:eastAsia="Times New Roman" w:hAnsi="Times New Roman" w:cs="Times New Roman"/>
          <w:sz w:val="24"/>
          <w:szCs w:val="24"/>
        </w:rPr>
        <w:t xml:space="preserve"> et al., 2025). In addition, most of the included trials were not primarily designed to assess cognitive outcomes, and the </w:t>
      </w:r>
      <w:r>
        <w:rPr>
          <w:rFonts w:ascii="Times New Roman" w:eastAsia="Times New Roman" w:hAnsi="Times New Roman" w:cs="Times New Roman"/>
          <w:sz w:val="24"/>
          <w:szCs w:val="24"/>
        </w:rPr>
        <w:lastRenderedPageBreak/>
        <w:t>authors highlighted the need for trials with sufficiently long follow-up to ascertain cognitive outcomes (</w:t>
      </w:r>
      <w:proofErr w:type="spellStart"/>
      <w:r>
        <w:rPr>
          <w:rFonts w:ascii="Times New Roman" w:eastAsia="Times New Roman" w:hAnsi="Times New Roman" w:cs="Times New Roman"/>
          <w:sz w:val="24"/>
          <w:szCs w:val="24"/>
        </w:rPr>
        <w:t>Seminer</w:t>
      </w:r>
      <w:proofErr w:type="spellEnd"/>
      <w:r>
        <w:rPr>
          <w:rFonts w:ascii="Times New Roman" w:eastAsia="Times New Roman" w:hAnsi="Times New Roman" w:cs="Times New Roman"/>
          <w:sz w:val="24"/>
          <w:szCs w:val="24"/>
        </w:rPr>
        <w:t xml:space="preserve"> et al., 2025). Consequently, current evidence supports continued investigation of SGLT2 inhibitors as potential modifiers of cognitive risk but does not establish them as preventive or therapeutic agents for dementia (Tang et al., 2025; </w:t>
      </w:r>
      <w:proofErr w:type="spellStart"/>
      <w:r>
        <w:rPr>
          <w:rFonts w:ascii="Times New Roman" w:eastAsia="Times New Roman" w:hAnsi="Times New Roman" w:cs="Times New Roman"/>
          <w:sz w:val="24"/>
          <w:szCs w:val="24"/>
        </w:rPr>
        <w:t>Seminer</w:t>
      </w:r>
      <w:proofErr w:type="spellEnd"/>
      <w:r>
        <w:rPr>
          <w:rFonts w:ascii="Times New Roman" w:eastAsia="Times New Roman" w:hAnsi="Times New Roman" w:cs="Times New Roman"/>
          <w:sz w:val="24"/>
          <w:szCs w:val="24"/>
        </w:rPr>
        <w:t xml:space="preserve"> et al., 2025).</w:t>
      </w:r>
    </w:p>
    <w:p w14:paraId="546BBB95" w14:textId="77777777" w:rsidR="00B7640C" w:rsidRDefault="00B7640C">
      <w:pPr>
        <w:spacing w:before="100" w:beforeAutospacing="1" w:after="100" w:afterAutospacing="1" w:line="360" w:lineRule="auto"/>
        <w:jc w:val="both"/>
        <w:rPr>
          <w:rFonts w:ascii="Times New Roman" w:eastAsia="Times New Roman" w:hAnsi="Times New Roman" w:cs="Times New Roman"/>
          <w:b/>
          <w:bCs/>
          <w:sz w:val="24"/>
          <w:szCs w:val="24"/>
        </w:rPr>
      </w:pPr>
    </w:p>
    <w:p w14:paraId="44083279" w14:textId="77777777" w:rsidR="00B7640C" w:rsidRDefault="000F5899">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9. Parkinson's Disease and Other Neurodegenerative Disorders</w:t>
      </w:r>
    </w:p>
    <w:p w14:paraId="098522A7" w14:textId="77777777" w:rsidR="00B7640C" w:rsidRDefault="000F5899">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Parkinson's disease is characterized by progressive degeneration of dopaminergic neurons, mitochondrial dysfunction, oxidative stress, impaired protein homeostasis, and neuroinflammation. These mechanisms overlap with pathways potentially influenced by SGLT2 inhibition, generating interest in the class as a possible neuroprotective strategy.</w:t>
      </w:r>
    </w:p>
    <w:p w14:paraId="538F1A36" w14:textId="77777777" w:rsidR="00B7640C" w:rsidRDefault="000F5899">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However, evidence in Parkinson's disease is considerably less developed than evidence for cardiovascular and renal outcomes. Current human data are insufficient to demonstrate that SGLT2 inhibitors prevent Parkinson's disease or slow its progression. Similarly, potential roles in other neurological disorders remain speculative. The appropriate interpretation at present is therefore that SGLT2 inhibitors represent a potential research platform for neuroprotection, rather than an established neurological treatment.</w:t>
      </w:r>
    </w:p>
    <w:p w14:paraId="33ED76A4" w14:textId="77777777" w:rsidR="00B7640C" w:rsidRDefault="000F5899">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Table 4. Evidence for emerging neurological applications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609"/>
        <w:gridCol w:w="2893"/>
        <w:gridCol w:w="3508"/>
      </w:tblGrid>
      <w:tr w:rsidR="00B7640C" w14:paraId="4A1DF2AE" w14:textId="77777777">
        <w:trPr>
          <w:tblHeader/>
          <w:tblCellSpacing w:w="15" w:type="dxa"/>
        </w:trPr>
        <w:tc>
          <w:tcPr>
            <w:tcW w:w="0" w:type="auto"/>
            <w:vAlign w:val="center"/>
          </w:tcPr>
          <w:p w14:paraId="37ED3012" w14:textId="77777777" w:rsidR="00B7640C" w:rsidRDefault="000F5899">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Neurological application</w:t>
            </w:r>
          </w:p>
        </w:tc>
        <w:tc>
          <w:tcPr>
            <w:tcW w:w="0" w:type="auto"/>
            <w:vAlign w:val="center"/>
          </w:tcPr>
          <w:p w14:paraId="2159E8C0" w14:textId="77777777" w:rsidR="00B7640C" w:rsidRDefault="000F5899">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Current evidence</w:t>
            </w:r>
          </w:p>
        </w:tc>
        <w:tc>
          <w:tcPr>
            <w:tcW w:w="0" w:type="auto"/>
            <w:vAlign w:val="center"/>
          </w:tcPr>
          <w:p w14:paraId="1142C8CC" w14:textId="77777777" w:rsidR="00B7640C" w:rsidRDefault="000F5899">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Interpretation</w:t>
            </w:r>
          </w:p>
        </w:tc>
      </w:tr>
      <w:tr w:rsidR="00B7640C" w14:paraId="7DD6B51E" w14:textId="77777777">
        <w:trPr>
          <w:tblCellSpacing w:w="15" w:type="dxa"/>
        </w:trPr>
        <w:tc>
          <w:tcPr>
            <w:tcW w:w="0" w:type="auto"/>
            <w:vAlign w:val="center"/>
          </w:tcPr>
          <w:p w14:paraId="79F3DC5E"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Alzheimer's disease</w:t>
            </w:r>
          </w:p>
        </w:tc>
        <w:tc>
          <w:tcPr>
            <w:tcW w:w="0" w:type="auto"/>
            <w:vAlign w:val="center"/>
          </w:tcPr>
          <w:p w14:paraId="1B59F637"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Preclinical + observational</w:t>
            </w:r>
          </w:p>
        </w:tc>
        <w:tc>
          <w:tcPr>
            <w:tcW w:w="0" w:type="auto"/>
            <w:vAlign w:val="center"/>
          </w:tcPr>
          <w:p w14:paraId="65475D64"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Promising but unconfirmed</w:t>
            </w:r>
          </w:p>
        </w:tc>
      </w:tr>
      <w:tr w:rsidR="00B7640C" w14:paraId="3DD376CF" w14:textId="77777777">
        <w:trPr>
          <w:tblCellSpacing w:w="15" w:type="dxa"/>
        </w:trPr>
        <w:tc>
          <w:tcPr>
            <w:tcW w:w="0" w:type="auto"/>
            <w:vAlign w:val="center"/>
          </w:tcPr>
          <w:p w14:paraId="30EF4067"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Dementia prevention</w:t>
            </w:r>
          </w:p>
        </w:tc>
        <w:tc>
          <w:tcPr>
            <w:tcW w:w="0" w:type="auto"/>
            <w:vAlign w:val="center"/>
          </w:tcPr>
          <w:p w14:paraId="658676AC"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Observational/meta-analysis</w:t>
            </w:r>
          </w:p>
        </w:tc>
        <w:tc>
          <w:tcPr>
            <w:tcW w:w="0" w:type="auto"/>
            <w:vAlign w:val="center"/>
          </w:tcPr>
          <w:p w14:paraId="72839AB8"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Hypothesis-generating</w:t>
            </w:r>
          </w:p>
        </w:tc>
      </w:tr>
      <w:tr w:rsidR="00B7640C" w14:paraId="13F83997" w14:textId="77777777">
        <w:trPr>
          <w:tblCellSpacing w:w="15" w:type="dxa"/>
        </w:trPr>
        <w:tc>
          <w:tcPr>
            <w:tcW w:w="0" w:type="auto"/>
            <w:vAlign w:val="center"/>
          </w:tcPr>
          <w:p w14:paraId="7481C7AD"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Cognitive decline</w:t>
            </w:r>
          </w:p>
        </w:tc>
        <w:tc>
          <w:tcPr>
            <w:tcW w:w="0" w:type="auto"/>
            <w:vAlign w:val="center"/>
          </w:tcPr>
          <w:p w14:paraId="31D627F1"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Limited clinical evidence</w:t>
            </w:r>
          </w:p>
        </w:tc>
        <w:tc>
          <w:tcPr>
            <w:tcW w:w="0" w:type="auto"/>
            <w:vAlign w:val="center"/>
          </w:tcPr>
          <w:p w14:paraId="7FC71832"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Requires prospective trials</w:t>
            </w:r>
          </w:p>
        </w:tc>
      </w:tr>
      <w:tr w:rsidR="00B7640C" w14:paraId="339CB04F" w14:textId="77777777">
        <w:trPr>
          <w:tblCellSpacing w:w="15" w:type="dxa"/>
        </w:trPr>
        <w:tc>
          <w:tcPr>
            <w:tcW w:w="0" w:type="auto"/>
            <w:vAlign w:val="center"/>
          </w:tcPr>
          <w:p w14:paraId="34C62043"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Neuroinflammation</w:t>
            </w:r>
          </w:p>
        </w:tc>
        <w:tc>
          <w:tcPr>
            <w:tcW w:w="0" w:type="auto"/>
            <w:vAlign w:val="center"/>
          </w:tcPr>
          <w:p w14:paraId="2FD06BFA"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Mainly experimental</w:t>
            </w:r>
          </w:p>
        </w:tc>
        <w:tc>
          <w:tcPr>
            <w:tcW w:w="0" w:type="auto"/>
            <w:vAlign w:val="center"/>
          </w:tcPr>
          <w:p w14:paraId="69CB3427"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Mechanistically promising</w:t>
            </w:r>
          </w:p>
        </w:tc>
      </w:tr>
      <w:tr w:rsidR="00B7640C" w14:paraId="4B4CDED9" w14:textId="77777777">
        <w:trPr>
          <w:tblCellSpacing w:w="15" w:type="dxa"/>
        </w:trPr>
        <w:tc>
          <w:tcPr>
            <w:tcW w:w="0" w:type="auto"/>
            <w:vAlign w:val="center"/>
          </w:tcPr>
          <w:p w14:paraId="1D248F02"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Oxidative stress</w:t>
            </w:r>
          </w:p>
        </w:tc>
        <w:tc>
          <w:tcPr>
            <w:tcW w:w="0" w:type="auto"/>
            <w:vAlign w:val="center"/>
          </w:tcPr>
          <w:p w14:paraId="1E8EFE12"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Preclinical</w:t>
            </w:r>
          </w:p>
        </w:tc>
        <w:tc>
          <w:tcPr>
            <w:tcW w:w="0" w:type="auto"/>
            <w:vAlign w:val="center"/>
          </w:tcPr>
          <w:p w14:paraId="6EB5B0CF"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Potential mechanism</w:t>
            </w:r>
          </w:p>
        </w:tc>
      </w:tr>
      <w:tr w:rsidR="00B7640C" w14:paraId="4E27DEB8" w14:textId="77777777">
        <w:trPr>
          <w:tblCellSpacing w:w="15" w:type="dxa"/>
        </w:trPr>
        <w:tc>
          <w:tcPr>
            <w:tcW w:w="0" w:type="auto"/>
            <w:vAlign w:val="center"/>
          </w:tcPr>
          <w:p w14:paraId="5F0E0904"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Mitochondrial protection</w:t>
            </w:r>
          </w:p>
        </w:tc>
        <w:tc>
          <w:tcPr>
            <w:tcW w:w="0" w:type="auto"/>
            <w:vAlign w:val="center"/>
          </w:tcPr>
          <w:p w14:paraId="387CC4A8"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Preclinical</w:t>
            </w:r>
          </w:p>
        </w:tc>
        <w:tc>
          <w:tcPr>
            <w:tcW w:w="0" w:type="auto"/>
            <w:vAlign w:val="center"/>
          </w:tcPr>
          <w:p w14:paraId="25913195"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Potential mechanism</w:t>
            </w:r>
          </w:p>
        </w:tc>
      </w:tr>
      <w:tr w:rsidR="00B7640C" w14:paraId="5D14D10E" w14:textId="77777777">
        <w:trPr>
          <w:tblCellSpacing w:w="15" w:type="dxa"/>
        </w:trPr>
        <w:tc>
          <w:tcPr>
            <w:tcW w:w="0" w:type="auto"/>
            <w:vAlign w:val="center"/>
          </w:tcPr>
          <w:p w14:paraId="6A981E85"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Parkinson's disease</w:t>
            </w:r>
          </w:p>
        </w:tc>
        <w:tc>
          <w:tcPr>
            <w:tcW w:w="0" w:type="auto"/>
            <w:vAlign w:val="center"/>
          </w:tcPr>
          <w:p w14:paraId="68D7C0CF"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Limited clinical evidence</w:t>
            </w:r>
          </w:p>
        </w:tc>
        <w:tc>
          <w:tcPr>
            <w:tcW w:w="0" w:type="auto"/>
            <w:vAlign w:val="center"/>
          </w:tcPr>
          <w:p w14:paraId="380CC600"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Not established</w:t>
            </w:r>
          </w:p>
        </w:tc>
      </w:tr>
      <w:tr w:rsidR="00B7640C" w14:paraId="385A879B" w14:textId="77777777">
        <w:trPr>
          <w:tblCellSpacing w:w="15" w:type="dxa"/>
        </w:trPr>
        <w:tc>
          <w:tcPr>
            <w:tcW w:w="0" w:type="auto"/>
            <w:vAlign w:val="center"/>
          </w:tcPr>
          <w:p w14:paraId="02A4E4E0"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Stroke protection</w:t>
            </w:r>
          </w:p>
        </w:tc>
        <w:tc>
          <w:tcPr>
            <w:tcW w:w="0" w:type="auto"/>
            <w:vAlign w:val="center"/>
          </w:tcPr>
          <w:p w14:paraId="0AED103D"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Cardiovascular trial evidence</w:t>
            </w:r>
          </w:p>
        </w:tc>
        <w:tc>
          <w:tcPr>
            <w:tcW w:w="0" w:type="auto"/>
            <w:vAlign w:val="center"/>
          </w:tcPr>
          <w:p w14:paraId="4394A3BE"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 consistent overall stroke benefit</w:t>
            </w:r>
          </w:p>
        </w:tc>
      </w:tr>
    </w:tbl>
    <w:p w14:paraId="04111CD4" w14:textId="77777777" w:rsidR="00B7640C" w:rsidRDefault="00B7640C">
      <w:pPr>
        <w:spacing w:before="100" w:beforeAutospacing="1" w:after="100" w:afterAutospacing="1" w:line="360" w:lineRule="auto"/>
        <w:jc w:val="both"/>
        <w:rPr>
          <w:rFonts w:ascii="Times New Roman" w:eastAsia="Times New Roman" w:hAnsi="Times New Roman" w:cs="Times New Roman"/>
          <w:b/>
          <w:bCs/>
          <w:sz w:val="24"/>
          <w:szCs w:val="24"/>
        </w:rPr>
      </w:pPr>
    </w:p>
    <w:p w14:paraId="1F8BAA7D" w14:textId="77777777" w:rsidR="00B7640C" w:rsidRDefault="000F5899">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10. Cardiorenal-Metabolic Interaction</w:t>
      </w:r>
    </w:p>
    <w:p w14:paraId="4C183D19" w14:textId="77777777" w:rsidR="00B7640C" w:rsidRDefault="000F5899">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One of the most important features of SGLT2 inhibitors is that cardiovascular and renal protection cannot be considered independently. The heart and kidneys interact through volume status, neurohormonal signaling, vascular function, and metabolic regulation. CKD increases cardiovascular risk, while heart failure accelerates renal dysfunction. SGLT2 inhibitors appear to interrupt several components of this cycle.</w:t>
      </w:r>
    </w:p>
    <w:p w14:paraId="58ECD10E" w14:textId="77777777" w:rsidR="00B7640C" w:rsidRDefault="000F5899">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Renal sodium handling influences cardiac preload and congestion, while preservation of renal function reduces the burden of cardiorenal syndrome. At the same time, improved cardiovascular hemodynamics may support renal perfusion. This integrated effect has contributed to the emergence of the cardiovascular-kidney-metabolic concept, in which diabetes, CKD, heart failure, and vascular disease are viewed as interconnected manifestations of systemic metabolic and vascular dysfunction. Thus, SGLT2 inhibitors may be better conceptualized as cardiorenal-metabolic therapies rather than conventional antidiabetic medications.</w:t>
      </w:r>
    </w:p>
    <w:p w14:paraId="101CF249" w14:textId="77777777" w:rsidR="00B7640C" w:rsidRDefault="000F5899">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11. Safety and Clinical Considerations</w:t>
      </w:r>
    </w:p>
    <w:p w14:paraId="41879916" w14:textId="77777777" w:rsidR="00B7640C" w:rsidRDefault="000F5899">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expansion of SGLT2 inhibitors into non-diabetic populations makes understanding their safety profile increasingly important.</w:t>
      </w:r>
    </w:p>
    <w:p w14:paraId="0A08AE2C" w14:textId="77777777" w:rsidR="00B7640C" w:rsidRDefault="000F5899">
      <w:pPr>
        <w:spacing w:before="100" w:beforeAutospacing="1" w:after="100" w:afterAutospacing="1" w:line="36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11.1 Genital infections</w:t>
      </w:r>
      <w:r>
        <w:rPr>
          <w:rFonts w:ascii="Times New Roman" w:eastAsia="Times New Roman" w:hAnsi="Times New Roman" w:cs="Times New Roman"/>
          <w:sz w:val="24"/>
          <w:szCs w:val="24"/>
        </w:rPr>
        <w:br/>
        <w:t>Genital mycotic infections are among the most consistently reported adverse effects. Increased urinary glucose creates an environment favorable to fungal growth. Meta-analysis of randomized trials demonstrated a substantially increased risk of genital infection with SGLT2 inhibitors. Most episodes are mild and treatable, but patient education regarding genital hygiene and early recognition of symptoms is important.</w:t>
      </w:r>
    </w:p>
    <w:p w14:paraId="0A0E84E9" w14:textId="77777777" w:rsidR="00B7640C" w:rsidRDefault="000F5899">
      <w:pPr>
        <w:spacing w:before="100" w:beforeAutospacing="1" w:after="100" w:afterAutospacing="1" w:line="36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11.2 Volume depletion</w:t>
      </w:r>
      <w:r>
        <w:rPr>
          <w:rFonts w:ascii="Times New Roman" w:eastAsia="Times New Roman" w:hAnsi="Times New Roman" w:cs="Times New Roman"/>
          <w:sz w:val="24"/>
          <w:szCs w:val="24"/>
        </w:rPr>
        <w:br/>
        <w:t>Osmotic diuresis and natriuresis can produce volume depletion, particularly in elderly patients, individuals receiving diuretics, and patients with reduced oral intake. Clinical assessment of volume status and appropriate adjustment of concomitant diuretic therapy may reduce this risk.</w:t>
      </w:r>
    </w:p>
    <w:p w14:paraId="6A0D9796" w14:textId="77777777" w:rsidR="00B7640C" w:rsidRDefault="000F5899">
      <w:pPr>
        <w:spacing w:before="100" w:beforeAutospacing="1" w:after="100" w:afterAutospacing="1" w:line="36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11.3 Diabetic ketoacidosis</w:t>
      </w:r>
      <w:r>
        <w:rPr>
          <w:rFonts w:ascii="Times New Roman" w:eastAsia="Times New Roman" w:hAnsi="Times New Roman" w:cs="Times New Roman"/>
          <w:sz w:val="24"/>
          <w:szCs w:val="24"/>
        </w:rPr>
        <w:br/>
        <w:t>SGLT2 inhibitor-associated diabetic ketoacidosis is uncommon but potentially serious. It may occur with relatively modest plasma glucose concentrations, sometimes referred to as euglycemic diabetic ketoacidosis. Risk is increased during prolonged fasting, severe illness, major surgery, excessive alcohol consumption, and marked insulin deficiency. A large meta-analysis demonstrated increased risk of diabetic ketoacidosis compared with placebo.</w:t>
      </w:r>
    </w:p>
    <w:p w14:paraId="267D577F" w14:textId="77777777" w:rsidR="00B7640C" w:rsidRDefault="000F5899">
      <w:pPr>
        <w:spacing w:before="100" w:beforeAutospacing="1" w:after="100" w:afterAutospacing="1" w:line="36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11.4 Acute kidney injury</w:t>
      </w:r>
      <w:r>
        <w:rPr>
          <w:rFonts w:ascii="Times New Roman" w:eastAsia="Times New Roman" w:hAnsi="Times New Roman" w:cs="Times New Roman"/>
          <w:sz w:val="24"/>
          <w:szCs w:val="24"/>
        </w:rPr>
        <w:br/>
        <w:t>Contrary to early concerns, randomized evidence generally suggests that SGLT2 inhibitors reduce AKI risk. A large meta-analysis reported an approximately 16% reduction in AKI risk. The initial eGFR decline should therefore be interpreted as an expected hemodynamic response in appropriate patients rather than automatically considered nephrotoxicity.</w:t>
      </w:r>
    </w:p>
    <w:p w14:paraId="31925C3C" w14:textId="77777777" w:rsidR="00B7640C" w:rsidRDefault="000F5899">
      <w:pPr>
        <w:spacing w:before="100" w:beforeAutospacing="1" w:after="100" w:afterAutospacing="1" w:line="36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11.5 Lower-limb amputation</w:t>
      </w:r>
      <w:r>
        <w:rPr>
          <w:rFonts w:ascii="Times New Roman" w:eastAsia="Times New Roman" w:hAnsi="Times New Roman" w:cs="Times New Roman"/>
          <w:sz w:val="24"/>
          <w:szCs w:val="24"/>
        </w:rPr>
        <w:br/>
        <w:t>An increased risk of lower-limb amputation was observed in the CANVAS program with canagliflozin, generating substantial concern. Subsequent analyses have not demonstrated a consistent class-wide effect. Nevertheless, patients with severe peripheral vascular disease, previous amputation, or active foot complications require careful clinical assessment.</w:t>
      </w:r>
    </w:p>
    <w:p w14:paraId="56E92D02" w14:textId="77777777" w:rsidR="00B7640C" w:rsidRDefault="000F5899">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Table 5. Important safety considerations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93"/>
        <w:gridCol w:w="3398"/>
        <w:gridCol w:w="3759"/>
      </w:tblGrid>
      <w:tr w:rsidR="00B7640C" w14:paraId="2B1D0A56" w14:textId="77777777">
        <w:trPr>
          <w:tblHeader/>
          <w:tblCellSpacing w:w="15" w:type="dxa"/>
        </w:trPr>
        <w:tc>
          <w:tcPr>
            <w:tcW w:w="0" w:type="auto"/>
            <w:vAlign w:val="center"/>
          </w:tcPr>
          <w:p w14:paraId="4A707CF1" w14:textId="77777777" w:rsidR="00B7640C" w:rsidRDefault="000F5899">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Adverse effect</w:t>
            </w:r>
          </w:p>
        </w:tc>
        <w:tc>
          <w:tcPr>
            <w:tcW w:w="0" w:type="auto"/>
            <w:vAlign w:val="center"/>
          </w:tcPr>
          <w:p w14:paraId="587613DF" w14:textId="77777777" w:rsidR="00B7640C" w:rsidRDefault="000F5899">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Clinical significance</w:t>
            </w:r>
          </w:p>
        </w:tc>
        <w:tc>
          <w:tcPr>
            <w:tcW w:w="0" w:type="auto"/>
            <w:vAlign w:val="center"/>
          </w:tcPr>
          <w:p w14:paraId="44E5488C" w14:textId="77777777" w:rsidR="00B7640C" w:rsidRDefault="000F5899">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Management consideration</w:t>
            </w:r>
          </w:p>
        </w:tc>
      </w:tr>
      <w:tr w:rsidR="00B7640C" w14:paraId="6AE3BEFD" w14:textId="77777777">
        <w:trPr>
          <w:tblCellSpacing w:w="15" w:type="dxa"/>
        </w:trPr>
        <w:tc>
          <w:tcPr>
            <w:tcW w:w="0" w:type="auto"/>
            <w:vAlign w:val="center"/>
          </w:tcPr>
          <w:p w14:paraId="1422592A"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Genital mycotic infection</w:t>
            </w:r>
          </w:p>
        </w:tc>
        <w:tc>
          <w:tcPr>
            <w:tcW w:w="0" w:type="auto"/>
            <w:vAlign w:val="center"/>
          </w:tcPr>
          <w:p w14:paraId="04C36485"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Common class effect</w:t>
            </w:r>
          </w:p>
        </w:tc>
        <w:tc>
          <w:tcPr>
            <w:tcW w:w="0" w:type="auto"/>
            <w:vAlign w:val="center"/>
          </w:tcPr>
          <w:p w14:paraId="56F40800"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Hygiene and prompt treatment</w:t>
            </w:r>
          </w:p>
        </w:tc>
      </w:tr>
      <w:tr w:rsidR="00B7640C" w14:paraId="59C31834" w14:textId="77777777">
        <w:trPr>
          <w:tblCellSpacing w:w="15" w:type="dxa"/>
        </w:trPr>
        <w:tc>
          <w:tcPr>
            <w:tcW w:w="0" w:type="auto"/>
            <w:vAlign w:val="center"/>
          </w:tcPr>
          <w:p w14:paraId="3E22EBB1"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Volume depletion</w:t>
            </w:r>
          </w:p>
        </w:tc>
        <w:tc>
          <w:tcPr>
            <w:tcW w:w="0" w:type="auto"/>
            <w:vAlign w:val="center"/>
          </w:tcPr>
          <w:p w14:paraId="5CB8C1D6"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Usually mild/moderate</w:t>
            </w:r>
          </w:p>
        </w:tc>
        <w:tc>
          <w:tcPr>
            <w:tcW w:w="0" w:type="auto"/>
            <w:vAlign w:val="center"/>
          </w:tcPr>
          <w:p w14:paraId="36F11518"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Assess hydration and diuretics</w:t>
            </w:r>
          </w:p>
        </w:tc>
      </w:tr>
      <w:tr w:rsidR="00B7640C" w14:paraId="21C9F853" w14:textId="77777777">
        <w:trPr>
          <w:tblCellSpacing w:w="15" w:type="dxa"/>
        </w:trPr>
        <w:tc>
          <w:tcPr>
            <w:tcW w:w="0" w:type="auto"/>
            <w:vAlign w:val="center"/>
          </w:tcPr>
          <w:p w14:paraId="2C845E9B"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Diabetic ketoacidosis</w:t>
            </w:r>
          </w:p>
        </w:tc>
        <w:tc>
          <w:tcPr>
            <w:tcW w:w="0" w:type="auto"/>
            <w:vAlign w:val="center"/>
          </w:tcPr>
          <w:p w14:paraId="6D2E205F"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Rare but serious</w:t>
            </w:r>
          </w:p>
        </w:tc>
        <w:tc>
          <w:tcPr>
            <w:tcW w:w="0" w:type="auto"/>
            <w:vAlign w:val="center"/>
          </w:tcPr>
          <w:p w14:paraId="1D9CC1F8"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Sick-day education and temporary withholding</w:t>
            </w:r>
          </w:p>
        </w:tc>
      </w:tr>
      <w:tr w:rsidR="00B7640C" w14:paraId="7E7160D2" w14:textId="77777777">
        <w:trPr>
          <w:tblCellSpacing w:w="15" w:type="dxa"/>
        </w:trPr>
        <w:tc>
          <w:tcPr>
            <w:tcW w:w="0" w:type="auto"/>
            <w:vAlign w:val="center"/>
          </w:tcPr>
          <w:p w14:paraId="5C484897"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AKI</w:t>
            </w:r>
          </w:p>
        </w:tc>
        <w:tc>
          <w:tcPr>
            <w:tcW w:w="0" w:type="auto"/>
            <w:vAlign w:val="center"/>
          </w:tcPr>
          <w:p w14:paraId="5C15AAC9"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Overall risk not increased; may be reduced</w:t>
            </w:r>
          </w:p>
        </w:tc>
        <w:tc>
          <w:tcPr>
            <w:tcW w:w="0" w:type="auto"/>
            <w:vAlign w:val="center"/>
          </w:tcPr>
          <w:p w14:paraId="4645CA5E"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Monitor high-risk patients</w:t>
            </w:r>
          </w:p>
        </w:tc>
      </w:tr>
      <w:tr w:rsidR="00B7640C" w14:paraId="095B9C50" w14:textId="77777777">
        <w:trPr>
          <w:tblCellSpacing w:w="15" w:type="dxa"/>
        </w:trPr>
        <w:tc>
          <w:tcPr>
            <w:tcW w:w="0" w:type="auto"/>
            <w:vAlign w:val="center"/>
          </w:tcPr>
          <w:p w14:paraId="5E9C4EF9"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Hypoglycemia</w:t>
            </w:r>
          </w:p>
        </w:tc>
        <w:tc>
          <w:tcPr>
            <w:tcW w:w="0" w:type="auto"/>
            <w:vAlign w:val="center"/>
          </w:tcPr>
          <w:p w14:paraId="2D8E9BDF"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Low when used alone</w:t>
            </w:r>
          </w:p>
        </w:tc>
        <w:tc>
          <w:tcPr>
            <w:tcW w:w="0" w:type="auto"/>
            <w:vAlign w:val="center"/>
          </w:tcPr>
          <w:p w14:paraId="52FE85B0"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Higher risk with insulin/sulfonylureas</w:t>
            </w:r>
          </w:p>
        </w:tc>
      </w:tr>
      <w:tr w:rsidR="00B7640C" w14:paraId="0C4B8883" w14:textId="77777777">
        <w:trPr>
          <w:tblCellSpacing w:w="15" w:type="dxa"/>
        </w:trPr>
        <w:tc>
          <w:tcPr>
            <w:tcW w:w="0" w:type="auto"/>
            <w:vAlign w:val="center"/>
          </w:tcPr>
          <w:p w14:paraId="1A8867B5"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Amputation</w:t>
            </w:r>
          </w:p>
        </w:tc>
        <w:tc>
          <w:tcPr>
            <w:tcW w:w="0" w:type="auto"/>
            <w:vAlign w:val="center"/>
          </w:tcPr>
          <w:p w14:paraId="7DFF3888"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Concern mainly from CANVAS</w:t>
            </w:r>
          </w:p>
        </w:tc>
        <w:tc>
          <w:tcPr>
            <w:tcW w:w="0" w:type="auto"/>
            <w:vAlign w:val="center"/>
          </w:tcPr>
          <w:p w14:paraId="4328B8EF"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Foot-risk assessment</w:t>
            </w:r>
          </w:p>
        </w:tc>
      </w:tr>
      <w:tr w:rsidR="00B7640C" w14:paraId="2ACE0045" w14:textId="77777777">
        <w:trPr>
          <w:tblCellSpacing w:w="15" w:type="dxa"/>
        </w:trPr>
        <w:tc>
          <w:tcPr>
            <w:tcW w:w="0" w:type="auto"/>
            <w:vAlign w:val="center"/>
          </w:tcPr>
          <w:p w14:paraId="48C0BB58"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Urinary tract infection</w:t>
            </w:r>
          </w:p>
        </w:tc>
        <w:tc>
          <w:tcPr>
            <w:tcW w:w="0" w:type="auto"/>
            <w:vAlign w:val="center"/>
          </w:tcPr>
          <w:p w14:paraId="24DFE9D3"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Small/inconsistent increase</w:t>
            </w:r>
          </w:p>
        </w:tc>
        <w:tc>
          <w:tcPr>
            <w:tcW w:w="0" w:type="auto"/>
            <w:vAlign w:val="center"/>
          </w:tcPr>
          <w:p w14:paraId="3D1A08BD"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Clinical monitoring</w:t>
            </w:r>
          </w:p>
        </w:tc>
      </w:tr>
    </w:tbl>
    <w:p w14:paraId="3BED2717" w14:textId="77777777" w:rsidR="00B7640C" w:rsidRDefault="000F5899">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12. Clinical Positioning of SGLT2 Inhibitors: </w:t>
      </w:r>
      <w:proofErr w:type="spellStart"/>
      <w:r>
        <w:rPr>
          <w:rFonts w:ascii="Times New Roman" w:eastAsia="Times New Roman" w:hAnsi="Times New Roman" w:cs="Times New Roman"/>
          <w:b/>
          <w:bCs/>
          <w:sz w:val="24"/>
          <w:szCs w:val="24"/>
        </w:rPr>
        <w:t>Estabished</w:t>
      </w:r>
      <w:proofErr w:type="spellEnd"/>
      <w:r>
        <w:rPr>
          <w:rFonts w:ascii="Times New Roman" w:eastAsia="Times New Roman" w:hAnsi="Times New Roman" w:cs="Times New Roman"/>
          <w:b/>
          <w:bCs/>
          <w:sz w:val="24"/>
          <w:szCs w:val="24"/>
        </w:rPr>
        <w:t xml:space="preserve"> and Emerging applications</w:t>
      </w:r>
    </w:p>
    <w:p w14:paraId="140176E6" w14:textId="77777777" w:rsidR="00B7640C" w:rsidRDefault="000F5899">
      <w:pPr>
        <w:pStyle w:val="NormalWeb"/>
        <w:spacing w:line="360" w:lineRule="auto"/>
        <w:jc w:val="both"/>
      </w:pPr>
      <w:r>
        <w:t>The clinical positioning of SGLT2 inhibitors should distinguish applications supported by robust randomized clinical evidence from those that remain investigational. Cardiovascular and renal benefits have been demonstrated across multiple large randomized clinical trials and have become established components of contemporary cardiorenal therapy. In contrast, potential neurological applications remain exploratory and are supported mainly by preclinical studies, observational analyses, and secondary outcomes from trials that were not primarily designed to assess neurological endpoints (</w:t>
      </w:r>
      <w:proofErr w:type="spellStart"/>
      <w:r>
        <w:t>Seminer</w:t>
      </w:r>
      <w:proofErr w:type="spellEnd"/>
      <w:r>
        <w:t xml:space="preserve"> et al., 2025; Tang et al., 2025).</w:t>
      </w:r>
    </w:p>
    <w:p w14:paraId="173B0B5B" w14:textId="77777777" w:rsidR="00B7640C" w:rsidRDefault="000F5899">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Established applications:</w:t>
      </w:r>
    </w:p>
    <w:p w14:paraId="4F2F6592" w14:textId="77777777" w:rsidR="00B7640C" w:rsidRDefault="000F5899">
      <w:pPr>
        <w:numPr>
          <w:ilvl w:val="0"/>
          <w:numId w:val="2"/>
        </w:num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heart failure with reduced ejection fraction</w:t>
      </w:r>
    </w:p>
    <w:p w14:paraId="68585EC3" w14:textId="77777777" w:rsidR="00B7640C" w:rsidRDefault="000F5899">
      <w:pPr>
        <w:numPr>
          <w:ilvl w:val="0"/>
          <w:numId w:val="2"/>
        </w:num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heart failure with preserved/mildly reduced ejection fraction</w:t>
      </w:r>
    </w:p>
    <w:p w14:paraId="21385F0B" w14:textId="77777777" w:rsidR="00B7640C" w:rsidRDefault="000F5899">
      <w:pPr>
        <w:numPr>
          <w:ilvl w:val="0"/>
          <w:numId w:val="2"/>
        </w:num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chronic kidney disease</w:t>
      </w:r>
    </w:p>
    <w:p w14:paraId="0AA2FAAC" w14:textId="77777777" w:rsidR="00B7640C" w:rsidRDefault="000F5899">
      <w:pPr>
        <w:numPr>
          <w:ilvl w:val="0"/>
          <w:numId w:val="2"/>
        </w:num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diabetic kidney disease</w:t>
      </w:r>
    </w:p>
    <w:p w14:paraId="29774B83" w14:textId="77777777" w:rsidR="00B7640C" w:rsidRDefault="000F5899">
      <w:pPr>
        <w:numPr>
          <w:ilvl w:val="0"/>
          <w:numId w:val="2"/>
        </w:num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cardiovascular risk reduction in selected patients with T2DM</w:t>
      </w:r>
    </w:p>
    <w:p w14:paraId="6098AED0" w14:textId="77777777" w:rsidR="00B7640C" w:rsidRDefault="000F5899">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Emerging applications:</w:t>
      </w:r>
    </w:p>
    <w:p w14:paraId="5C7753AD" w14:textId="77777777" w:rsidR="00B7640C" w:rsidRDefault="000F5899">
      <w:pPr>
        <w:numPr>
          <w:ilvl w:val="0"/>
          <w:numId w:val="3"/>
        </w:num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cognitive decline</w:t>
      </w:r>
    </w:p>
    <w:p w14:paraId="68D20630" w14:textId="77777777" w:rsidR="00B7640C" w:rsidRDefault="000F5899">
      <w:pPr>
        <w:numPr>
          <w:ilvl w:val="0"/>
          <w:numId w:val="3"/>
        </w:num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Potential effects on dementia risk</w:t>
      </w:r>
    </w:p>
    <w:p w14:paraId="5C444052" w14:textId="77777777" w:rsidR="00B7640C" w:rsidRDefault="000F5899">
      <w:pPr>
        <w:numPr>
          <w:ilvl w:val="0"/>
          <w:numId w:val="3"/>
        </w:num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Alzheimer's disease</w:t>
      </w:r>
    </w:p>
    <w:p w14:paraId="41645E4F" w14:textId="77777777" w:rsidR="00B7640C" w:rsidRDefault="000F5899">
      <w:pPr>
        <w:numPr>
          <w:ilvl w:val="0"/>
          <w:numId w:val="3"/>
        </w:num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neuroinflammation</w:t>
      </w:r>
    </w:p>
    <w:p w14:paraId="4282D258" w14:textId="77777777" w:rsidR="00B7640C" w:rsidRDefault="000F5899">
      <w:pPr>
        <w:numPr>
          <w:ilvl w:val="0"/>
          <w:numId w:val="3"/>
        </w:num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neurodegenerative disorders</w:t>
      </w:r>
    </w:p>
    <w:p w14:paraId="2FCC450C" w14:textId="77777777" w:rsidR="00B7640C" w:rsidRDefault="000F5899">
      <w:pPr>
        <w:numPr>
          <w:ilvl w:val="0"/>
          <w:numId w:val="3"/>
        </w:num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broader metabolic and vascular disorders</w:t>
      </w:r>
    </w:p>
    <w:p w14:paraId="4A81B759" w14:textId="77777777" w:rsidR="00B7640C" w:rsidRDefault="000F5899">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This distinction is important when communicating the evidence to clinicians. Cardiovascular and renal benefits are supported by large randomized controlled trials, whereas neurological benefits currently rely predominantly on preclinical studies, observational cohorts, and secondary analyses.</w:t>
      </w:r>
    </w:p>
    <w:p w14:paraId="6D63B0F0" w14:textId="77777777" w:rsidR="00B7640C" w:rsidRDefault="000F5899">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13. Future Research Directions</w:t>
      </w:r>
    </w:p>
    <w:p w14:paraId="2487DEB3" w14:textId="77777777" w:rsidR="00B7640C" w:rsidRDefault="000F5899">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Several questions remain unanswered.</w:t>
      </w:r>
    </w:p>
    <w:p w14:paraId="0B774815" w14:textId="77777777" w:rsidR="00B7640C" w:rsidRDefault="000F5899">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First, future trials should determine whether neuroprotective effects are independent of diabetes and glucose lowering. Most existing neurological evidence is derived from patients with diabetes, making it difficult to determine whether SGLT2 inhibition directly modifies neuronal pathology or simply reduces metabolic and vascular risk.</w:t>
      </w:r>
    </w:p>
    <w:p w14:paraId="7A14F2F1" w14:textId="77777777" w:rsidR="00B7640C" w:rsidRDefault="000F5899">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Second, randomized clinical trials should use validated cognitive outcomes rather than relying solely on administrative dementia diagnoses. Biomarkers of neuroinflammation, neurodegeneration, and cerebral vascular injury may help establish biological mechanisms.</w:t>
      </w:r>
    </w:p>
    <w:p w14:paraId="10B8F2ED" w14:textId="77777777" w:rsidR="00B7640C" w:rsidRDefault="000F5899">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Third, the possibility of synergistic effects with other cardiometabolic therapies deserves investigation. Combination treatment involving SGLT2 inhibitors, glucagon-like peptide-1 receptor agonists, and other disease-modifying agents may provide complementary cardiovascular, renal, and neurological effects.</w:t>
      </w:r>
    </w:p>
    <w:p w14:paraId="224C2CD1" w14:textId="77777777" w:rsidR="00B7640C" w:rsidRDefault="000F5899">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Fourth, precision medicine approaches may identify patients most likely to benefit. Baseline kidney function, albuminuria, heart-failure phenotype, metabolic status, inflammatory markers, and vascular risk may influence treatment response.</w:t>
      </w:r>
    </w:p>
    <w:p w14:paraId="5F6002AC" w14:textId="77777777" w:rsidR="00B7640C" w:rsidRDefault="000F5899">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Finally, longer-term studies are required to determine whether the favorable cardiovascular and renal effects translate into improved overall healthy lifespan and reduced multimorbidity.</w:t>
      </w:r>
    </w:p>
    <w:p w14:paraId="01537BE5" w14:textId="77777777" w:rsidR="00B7640C" w:rsidRDefault="000F5899">
      <w:pPr>
        <w:numPr>
          <w:ilvl w:val="0"/>
          <w:numId w:val="4"/>
        </w:numPr>
        <w:spacing w:before="100" w:beforeAutospacing="1" w:after="100" w:afterAutospacing="1"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Limitations</w:t>
      </w:r>
    </w:p>
    <w:p w14:paraId="7AC4B9E2" w14:textId="77777777" w:rsidR="00B7640C" w:rsidRDefault="000F5899">
      <w:pPr>
        <w:pStyle w:val="NormalWeb"/>
        <w:spacing w:line="360" w:lineRule="auto"/>
        <w:jc w:val="both"/>
      </w:pPr>
      <w:r>
        <w:lastRenderedPageBreak/>
        <w:t>Several limitations should be considered when interpreting the expanding evidence for SGLT2 inhibitors beyond their established cardiovascular and renal applications. First, the evidence base is substantially stronger for cardiovascular and renal outcomes than for neurological outcomes. Most major SGLT2 inhibitor trials were designed primarily to evaluate cardiovascular or renal endpoints and were not specifically powered to detect changes in cognition, dementia incidence, or neurodegenerative disease progression.</w:t>
      </w:r>
    </w:p>
    <w:p w14:paraId="681C0E0F" w14:textId="77777777" w:rsidR="00B7640C" w:rsidRDefault="000F5899">
      <w:pPr>
        <w:pStyle w:val="NormalWeb"/>
        <w:spacing w:line="360" w:lineRule="auto"/>
        <w:jc w:val="both"/>
      </w:pPr>
      <w:r>
        <w:t>Second, much of the neurological evidence is derived from preclinical studies, observational cohorts, secondary analyses, and real-world health-record data. Although these approaches provide important mechanistic and epidemiological insights, observational findings cannot establish causality and may be influenced by residual confounding, treatment-selection effects, differences in healthcare utilization, and variations in baseline cardiovascular, renal, and metabolic status (Tang et al., 2025).</w:t>
      </w:r>
    </w:p>
    <w:p w14:paraId="17543D87" w14:textId="77777777" w:rsidR="00B7640C" w:rsidRDefault="000F5899">
      <w:pPr>
        <w:pStyle w:val="NormalWeb"/>
        <w:spacing w:line="360" w:lineRule="auto"/>
        <w:jc w:val="both"/>
      </w:pPr>
      <w:r>
        <w:t>Third, neurological outcomes have been assessed using heterogeneous approaches, including diagnostic codes for dementia, adverse-event reporting, cognitive assessments, and secondary trial outcomes. This heterogeneity limits direct comparison between studies. Furthermore, dementia and neurodegenerative diseases often require prolonged follow-up before clinically meaningful differences can be detected. A 2025 systematic review and meta-analysis of randomized clinical trials found no statistically significant reduction in dementia or cognitive impairment with SGLT2 inhibitors, highlighting the need for trials specifically designed to evaluate neurological outcomes (</w:t>
      </w:r>
      <w:proofErr w:type="spellStart"/>
      <w:r>
        <w:t>Seminer</w:t>
      </w:r>
      <w:proofErr w:type="spellEnd"/>
      <w:r>
        <w:t xml:space="preserve"> et al., 2025).</w:t>
      </w:r>
    </w:p>
    <w:p w14:paraId="15C922FC" w14:textId="77777777" w:rsidR="00B7640C" w:rsidRDefault="000F5899">
      <w:pPr>
        <w:pStyle w:val="NormalWeb"/>
        <w:spacing w:line="360" w:lineRule="auto"/>
        <w:jc w:val="both"/>
      </w:pPr>
      <w:r>
        <w:t>Finally, the proposed mechanisms underlying potential neuroprotection, including effects on oxidative stress, neuroinflammation, mitochondrial function, cerebral vascular health, and metabolic signaling, remain incompletely established. It is also uncertain whether any neurological effects are direct actions of SGLT2 inhibition or are secondary to improvements in systemic metabolic, cardiovascular, and renal health. Therefore, the potential neurological applications of SGLT2 inhibitors should remain investigational until supported by adequately powered prospective clinical trials with validated cognitive and neurological endpoints.</w:t>
      </w:r>
    </w:p>
    <w:p w14:paraId="604FE733" w14:textId="77777777" w:rsidR="00B7640C" w:rsidRDefault="000F5899">
      <w:pPr>
        <w:numPr>
          <w:ilvl w:val="0"/>
          <w:numId w:val="4"/>
        </w:numPr>
        <w:spacing w:before="100" w:beforeAutospacing="1" w:after="100" w:afterAutospacing="1"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Conclusion</w:t>
      </w:r>
    </w:p>
    <w:p w14:paraId="74657E91" w14:textId="77777777" w:rsidR="00B7640C" w:rsidRDefault="000F5899">
      <w:pPr>
        <w:pStyle w:val="NormalWeb"/>
        <w:spacing w:line="360" w:lineRule="auto"/>
        <w:jc w:val="both"/>
      </w:pPr>
      <w:r>
        <w:lastRenderedPageBreak/>
        <w:t>SGLT2 inhibitors have undergone a substantial evolution in clinical pharmacotherapy, progressing from glucose-lowering agents to important components of cardiorenal and metabolic disease management. Their pharmacological effects extend beyond urinary glucose excretion and include natriuresis, hemodynamic modulation, improvement of renal tubular–glomerular interactions, and favorable cardiovascular and metabolic effects. Extensive clinical evidence has established their role in reducing heart-failure events and slowing chronic kidney disease progression, including in selected patients without diabetes. Long-term follow-up from EMPA-KIDNEY further supports the durability of their cardiorenal benefits during extended follow-up (EMPA-KIDNEY Collaborative Group, 2025).</w:t>
      </w:r>
    </w:p>
    <w:p w14:paraId="74B58838" w14:textId="77777777" w:rsidR="00B7640C" w:rsidRDefault="000F5899">
      <w:pPr>
        <w:pStyle w:val="NormalWeb"/>
        <w:spacing w:line="360" w:lineRule="auto"/>
        <w:jc w:val="both"/>
      </w:pPr>
      <w:r>
        <w:t>The broader therapeutic potential of SGLT2 inhibitors is increasingly being explored in areas such as metabolic health, inflammation, oxidative stress, mitochondrial function, and neurological disorders. Among these emerging applications, potential neuroprotective effects have attracted considerable interest. Preclinical evidence provides biological plausibility, while observational studies have reported associations between SGLT2 inhibitor use and reduced risks of dementia and Alzheimer disease-related outcomes. Nevertheless, these findings remain insufficient to establish causality. Importantly, randomized evidence has not demonstrated a statistically significant reduction in dementia or cognitive impairment with SGLT2 inhibitors, and evidence in Parkinson's disease and other neurodegenerative disorders remains limited (</w:t>
      </w:r>
      <w:proofErr w:type="spellStart"/>
      <w:r>
        <w:t>Seminer</w:t>
      </w:r>
      <w:proofErr w:type="spellEnd"/>
      <w:r>
        <w:t xml:space="preserve"> et al., 2025; Tang et al., 2025).</w:t>
      </w:r>
    </w:p>
    <w:p w14:paraId="7337BCCF" w14:textId="77777777" w:rsidR="00B7640C" w:rsidRDefault="000F5899">
      <w:pPr>
        <w:pStyle w:val="NormalWeb"/>
        <w:spacing w:line="360" w:lineRule="auto"/>
        <w:jc w:val="both"/>
        <w:rPr>
          <w:b/>
          <w:bCs/>
        </w:rPr>
      </w:pPr>
      <w:r>
        <w:t>The current evidence therefore supports a clear distinction between established and emerging applications. Cardiovascular and renal benefits represent established therapeutic roles supported by substantial randomized clinical evidence, whereas neurological and other potential pleiotropic effects should currently be regarded as investigational. Continued research, particularly well-designed prospective randomized trials with validated clinical, cognitive, imaging, and biomarker endpoints, is necessary to determine whether these emerging effects translate into meaningful patient outcomes. Overall, SGLT2 inhibitors represent an important example of how a pharmacological class initially developed for glycemic management has acquired broader therapeutic relevance, while also illustrating the importance of distinguishing established clinical benefits from promising but yet unconfirmed applications.</w:t>
      </w:r>
    </w:p>
    <w:p w14:paraId="3B6D67D5" w14:textId="77777777" w:rsidR="00B7640C" w:rsidRDefault="000F5899">
      <w:pPr>
        <w:spacing w:before="100" w:beforeAutospacing="1" w:after="100" w:afterAutospacing="1" w:line="36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Ethical Approval</w:t>
      </w:r>
      <w:r>
        <w:rPr>
          <w:rFonts w:ascii="Times New Roman" w:eastAsia="Times New Roman" w:hAnsi="Times New Roman" w:cs="Times New Roman"/>
          <w:sz w:val="24"/>
          <w:szCs w:val="24"/>
        </w:rPr>
        <w:br/>
        <w:t>Not applicable, as this article is based exclusively on previously published literature.</w:t>
      </w:r>
    </w:p>
    <w:p w14:paraId="77BCA2F3" w14:textId="77777777" w:rsidR="00D23B86" w:rsidRPr="00D23B86" w:rsidRDefault="00D23B86" w:rsidP="00D23B86">
      <w:pPr>
        <w:spacing w:after="0" w:line="240" w:lineRule="auto"/>
        <w:rPr>
          <w:rFonts w:ascii="Arial" w:eastAsia="Calibri" w:hAnsi="Arial" w:cs="Arial"/>
          <w:b/>
          <w:sz w:val="20"/>
          <w:szCs w:val="20"/>
        </w:rPr>
      </w:pPr>
      <w:r w:rsidRPr="00D23B86">
        <w:rPr>
          <w:rFonts w:ascii="Arial" w:eastAsia="Calibri" w:hAnsi="Arial" w:cs="Arial"/>
          <w:b/>
          <w:sz w:val="20"/>
          <w:szCs w:val="20"/>
        </w:rPr>
        <w:t>Declaration of AI Use</w:t>
      </w:r>
    </w:p>
    <w:p w14:paraId="1AC44C20" w14:textId="77777777" w:rsidR="00D23B86" w:rsidRPr="00D23B86" w:rsidRDefault="00D23B86" w:rsidP="00D23B86">
      <w:pPr>
        <w:spacing w:after="0" w:line="240" w:lineRule="auto"/>
        <w:rPr>
          <w:rFonts w:ascii="Arial" w:eastAsia="Calibri" w:hAnsi="Arial" w:cs="Arial"/>
          <w:sz w:val="20"/>
          <w:szCs w:val="20"/>
        </w:rPr>
      </w:pPr>
    </w:p>
    <w:p w14:paraId="77A9273C" w14:textId="77777777" w:rsidR="00D23B86" w:rsidRPr="00D23B86" w:rsidRDefault="00D23B86" w:rsidP="00D23B86">
      <w:pPr>
        <w:spacing w:after="0" w:line="240" w:lineRule="auto"/>
        <w:rPr>
          <w:rFonts w:ascii="Arial" w:eastAsia="Calibri" w:hAnsi="Arial" w:cs="Arial"/>
          <w:sz w:val="20"/>
          <w:szCs w:val="20"/>
        </w:rPr>
      </w:pPr>
      <w:r w:rsidRPr="00D23B86">
        <w:rPr>
          <w:rFonts w:ascii="Arial" w:eastAsia="Calibri"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2F53312B" w14:textId="77777777" w:rsidR="00D23B86" w:rsidRPr="00D23B86" w:rsidRDefault="00D23B86" w:rsidP="00D23B86">
      <w:pPr>
        <w:spacing w:after="0" w:line="240" w:lineRule="auto"/>
        <w:jc w:val="both"/>
        <w:rPr>
          <w:rFonts w:ascii="Times New Roman" w:eastAsia="Calibri" w:hAnsi="Times New Roman" w:cs="Times New Roman"/>
        </w:rPr>
      </w:pPr>
    </w:p>
    <w:p w14:paraId="25920894" w14:textId="77777777" w:rsidR="00D23B86" w:rsidRPr="00D23B86" w:rsidRDefault="00D23B86" w:rsidP="00D23B86">
      <w:pPr>
        <w:spacing w:after="0" w:line="240" w:lineRule="auto"/>
        <w:jc w:val="both"/>
        <w:rPr>
          <w:rFonts w:ascii="Times New Roman" w:eastAsia="Calibri" w:hAnsi="Times New Roman" w:cs="Times New Roman"/>
        </w:rPr>
      </w:pPr>
    </w:p>
    <w:p w14:paraId="6E5FD3F4" w14:textId="77777777" w:rsidR="00D23B86" w:rsidRPr="00D23B86" w:rsidRDefault="00D23B86" w:rsidP="00D23B86">
      <w:pPr>
        <w:spacing w:after="200" w:line="276" w:lineRule="auto"/>
        <w:rPr>
          <w:rFonts w:ascii="Cambria" w:eastAsia="Times New Roman" w:hAnsi="Cambria" w:cs="Arial"/>
          <w:b/>
          <w:bCs/>
          <w:lang w:val="en-GB" w:eastAsia="en-GB"/>
        </w:rPr>
      </w:pPr>
      <w:r w:rsidRPr="00D23B86">
        <w:rPr>
          <w:rFonts w:ascii="Cambria" w:eastAsia="Times New Roman" w:hAnsi="Cambria" w:cs="Arial"/>
          <w:b/>
          <w:bCs/>
          <w:lang w:val="en-GB" w:eastAsia="en-GB"/>
        </w:rPr>
        <w:t>COMPETING INTERESTS DISCLAIMER:</w:t>
      </w:r>
    </w:p>
    <w:p w14:paraId="6D532EB3" w14:textId="77777777" w:rsidR="00D23B86" w:rsidRPr="00D23B86" w:rsidRDefault="00D23B86" w:rsidP="00D23B86">
      <w:pPr>
        <w:spacing w:after="200" w:line="276" w:lineRule="auto"/>
        <w:rPr>
          <w:rFonts w:ascii="Cambria" w:eastAsia="Times New Roman" w:hAnsi="Cambria" w:cs="Times New Roman"/>
          <w:lang w:val="en-GB" w:eastAsia="en-GB"/>
        </w:rPr>
      </w:pPr>
      <w:r w:rsidRPr="00D23B86">
        <w:rPr>
          <w:rFonts w:ascii="Cambria" w:eastAsia="Times New Roman" w:hAnsi="Cambria" w:cs="Arial"/>
          <w:lang w:val="en-GB" w:eastAsia="en-GB"/>
        </w:rPr>
        <w:t>Authors have declared that they have no known competing financial interests OR non-financial interests OR personal relationships that could have appeared to influence the work reported in this paper.</w:t>
      </w:r>
    </w:p>
    <w:p w14:paraId="68425219" w14:textId="77777777" w:rsidR="00B7640C" w:rsidRDefault="00B7640C">
      <w:pPr>
        <w:spacing w:line="360" w:lineRule="auto"/>
        <w:jc w:val="both"/>
        <w:rPr>
          <w:rFonts w:ascii="Times New Roman" w:hAnsi="Times New Roman" w:cs="Times New Roman"/>
          <w:sz w:val="24"/>
          <w:szCs w:val="24"/>
        </w:rPr>
      </w:pPr>
    </w:p>
    <w:p w14:paraId="53547401" w14:textId="77777777" w:rsidR="00B7640C" w:rsidRDefault="00B7640C">
      <w:pPr>
        <w:pStyle w:val="Heading1"/>
        <w:spacing w:line="360" w:lineRule="auto"/>
        <w:jc w:val="both"/>
        <w:rPr>
          <w:sz w:val="24"/>
          <w:szCs w:val="24"/>
        </w:rPr>
      </w:pPr>
    </w:p>
    <w:p w14:paraId="69F32BEB" w14:textId="77777777" w:rsidR="00B7640C" w:rsidRDefault="000F5899">
      <w:pPr>
        <w:pStyle w:val="Heading1"/>
        <w:spacing w:line="360" w:lineRule="auto"/>
        <w:jc w:val="both"/>
        <w:rPr>
          <w:sz w:val="24"/>
          <w:szCs w:val="24"/>
        </w:rPr>
      </w:pPr>
      <w:r>
        <w:rPr>
          <w:sz w:val="24"/>
          <w:szCs w:val="24"/>
        </w:rPr>
        <w:t>REFERENCES</w:t>
      </w:r>
    </w:p>
    <w:p w14:paraId="30E8C33E" w14:textId="77777777" w:rsidR="00B7640C" w:rsidRDefault="000F5899">
      <w:pPr>
        <w:numPr>
          <w:ilvl w:val="0"/>
          <w:numId w:val="5"/>
        </w:num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DeFronzo, R. A., Norton, L., &amp; Abdul-Ghani, M. (2017). Renal, metabolic and cardiovascular considerations of SGLT2 inhibition. </w:t>
      </w:r>
      <w:r>
        <w:rPr>
          <w:rStyle w:val="Emphasis"/>
          <w:rFonts w:ascii="Times New Roman" w:hAnsi="Times New Roman" w:cs="Times New Roman"/>
          <w:sz w:val="24"/>
          <w:szCs w:val="24"/>
        </w:rPr>
        <w:t>Nature Reviews Nephrology, 13</w:t>
      </w:r>
      <w:r>
        <w:rPr>
          <w:rFonts w:ascii="Times New Roman" w:hAnsi="Times New Roman" w:cs="Times New Roman"/>
          <w:sz w:val="24"/>
          <w:szCs w:val="24"/>
        </w:rPr>
        <w:t xml:space="preserve">(1), 11–26. https://doi.org/10.1038/nrneph.2016.170 </w:t>
      </w:r>
    </w:p>
    <w:p w14:paraId="6C96F870" w14:textId="77777777" w:rsidR="00B7640C" w:rsidRDefault="000F5899">
      <w:pPr>
        <w:numPr>
          <w:ilvl w:val="0"/>
          <w:numId w:val="5"/>
        </w:num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Vallon, V., &amp; Thomson, S. C. (2017). Targeting renal glucose reabsorption to treat </w:t>
      </w:r>
      <w:proofErr w:type="spellStart"/>
      <w:r>
        <w:rPr>
          <w:rFonts w:ascii="Times New Roman" w:hAnsi="Times New Roman" w:cs="Times New Roman"/>
          <w:sz w:val="24"/>
          <w:szCs w:val="24"/>
        </w:rPr>
        <w:t>hyperglycaemia</w:t>
      </w:r>
      <w:proofErr w:type="spellEnd"/>
      <w:r>
        <w:rPr>
          <w:rFonts w:ascii="Times New Roman" w:hAnsi="Times New Roman" w:cs="Times New Roman"/>
          <w:sz w:val="24"/>
          <w:szCs w:val="24"/>
        </w:rPr>
        <w:t xml:space="preserve">: The pleiotropic effects of SGLT2 inhibition. </w:t>
      </w:r>
      <w:proofErr w:type="spellStart"/>
      <w:r>
        <w:rPr>
          <w:rStyle w:val="Emphasis"/>
          <w:rFonts w:ascii="Times New Roman" w:hAnsi="Times New Roman" w:cs="Times New Roman"/>
          <w:sz w:val="24"/>
          <w:szCs w:val="24"/>
        </w:rPr>
        <w:t>Diabetologia</w:t>
      </w:r>
      <w:proofErr w:type="spellEnd"/>
      <w:r>
        <w:rPr>
          <w:rStyle w:val="Emphasis"/>
          <w:rFonts w:ascii="Times New Roman" w:hAnsi="Times New Roman" w:cs="Times New Roman"/>
          <w:sz w:val="24"/>
          <w:szCs w:val="24"/>
        </w:rPr>
        <w:t>, 60</w:t>
      </w:r>
      <w:r>
        <w:rPr>
          <w:rFonts w:ascii="Times New Roman" w:hAnsi="Times New Roman" w:cs="Times New Roman"/>
          <w:sz w:val="24"/>
          <w:szCs w:val="24"/>
        </w:rPr>
        <w:t xml:space="preserve">(2), 215–225. https://doi.org/10.1007/s00125-016-4157-3 </w:t>
      </w:r>
    </w:p>
    <w:p w14:paraId="76C5D57F" w14:textId="77777777" w:rsidR="00B7640C" w:rsidRDefault="000F5899">
      <w:pPr>
        <w:numPr>
          <w:ilvl w:val="0"/>
          <w:numId w:val="5"/>
        </w:num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Zinman, B., Wanner, C., Lachin, J. M., Fitchett, D., Bluhmki, E., </w:t>
      </w:r>
      <w:proofErr w:type="spellStart"/>
      <w:r>
        <w:rPr>
          <w:rFonts w:ascii="Times New Roman" w:hAnsi="Times New Roman" w:cs="Times New Roman"/>
          <w:sz w:val="24"/>
          <w:szCs w:val="24"/>
        </w:rPr>
        <w:t>Hantel</w:t>
      </w:r>
      <w:proofErr w:type="spellEnd"/>
      <w:r>
        <w:rPr>
          <w:rFonts w:ascii="Times New Roman" w:hAnsi="Times New Roman" w:cs="Times New Roman"/>
          <w:sz w:val="24"/>
          <w:szCs w:val="24"/>
        </w:rPr>
        <w:t xml:space="preserve">, S., et al. (2015). Empagliflozin, cardiovascular outcomes, and mortality in type 2 diabetes. </w:t>
      </w:r>
      <w:r>
        <w:rPr>
          <w:rStyle w:val="Emphasis"/>
          <w:rFonts w:ascii="Times New Roman" w:hAnsi="Times New Roman" w:cs="Times New Roman"/>
          <w:sz w:val="24"/>
          <w:szCs w:val="24"/>
        </w:rPr>
        <w:t>New England Journal of Medicine, 373</w:t>
      </w:r>
      <w:r>
        <w:rPr>
          <w:rFonts w:ascii="Times New Roman" w:hAnsi="Times New Roman" w:cs="Times New Roman"/>
          <w:sz w:val="24"/>
          <w:szCs w:val="24"/>
        </w:rPr>
        <w:t xml:space="preserve">(22), 2117–2128. https://doi.org/10.1056/NEJMoa1504720 </w:t>
      </w:r>
    </w:p>
    <w:p w14:paraId="1E9C703C" w14:textId="77777777" w:rsidR="00B7640C" w:rsidRDefault="000F5899">
      <w:pPr>
        <w:numPr>
          <w:ilvl w:val="0"/>
          <w:numId w:val="5"/>
        </w:num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Neal, B., Perkovic, V., Mahaffey, K. W., de Zeeuw, D., Fulcher, G., </w:t>
      </w:r>
      <w:proofErr w:type="spellStart"/>
      <w:r>
        <w:rPr>
          <w:rFonts w:ascii="Times New Roman" w:hAnsi="Times New Roman" w:cs="Times New Roman"/>
          <w:sz w:val="24"/>
          <w:szCs w:val="24"/>
        </w:rPr>
        <w:t>Erondu</w:t>
      </w:r>
      <w:proofErr w:type="spellEnd"/>
      <w:r>
        <w:rPr>
          <w:rFonts w:ascii="Times New Roman" w:hAnsi="Times New Roman" w:cs="Times New Roman"/>
          <w:sz w:val="24"/>
          <w:szCs w:val="24"/>
        </w:rPr>
        <w:t xml:space="preserve">, N., et al. (2017). Canagliflozin and cardiovascular and renal events in type 2 diabetes. </w:t>
      </w:r>
      <w:r>
        <w:rPr>
          <w:rStyle w:val="Emphasis"/>
          <w:rFonts w:ascii="Times New Roman" w:hAnsi="Times New Roman" w:cs="Times New Roman"/>
          <w:sz w:val="24"/>
          <w:szCs w:val="24"/>
        </w:rPr>
        <w:t>New England Journal of Medicine, 377</w:t>
      </w:r>
      <w:r>
        <w:rPr>
          <w:rFonts w:ascii="Times New Roman" w:hAnsi="Times New Roman" w:cs="Times New Roman"/>
          <w:sz w:val="24"/>
          <w:szCs w:val="24"/>
        </w:rPr>
        <w:t xml:space="preserve">(7), 644–657. </w:t>
      </w:r>
      <w:hyperlink r:id="rId7" w:tgtFrame="_new" w:history="1">
        <w:r>
          <w:rPr>
            <w:rStyle w:val="Hyperlink"/>
            <w:rFonts w:ascii="Times New Roman" w:hAnsi="Times New Roman" w:cs="Times New Roman"/>
            <w:sz w:val="24"/>
            <w:szCs w:val="24"/>
          </w:rPr>
          <w:t>https://doi.org/10.1056/NEJMoa1611925</w:t>
        </w:r>
      </w:hyperlink>
      <w:r>
        <w:rPr>
          <w:rFonts w:ascii="Times New Roman" w:hAnsi="Times New Roman" w:cs="Times New Roman"/>
          <w:sz w:val="24"/>
          <w:szCs w:val="24"/>
        </w:rPr>
        <w:t xml:space="preserve"> </w:t>
      </w:r>
    </w:p>
    <w:p w14:paraId="728A7474" w14:textId="77777777" w:rsidR="00B7640C" w:rsidRDefault="000F5899">
      <w:pPr>
        <w:numPr>
          <w:ilvl w:val="0"/>
          <w:numId w:val="5"/>
        </w:numPr>
        <w:spacing w:before="100" w:beforeAutospacing="1" w:after="100" w:afterAutospacing="1"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Wiviott</w:t>
      </w:r>
      <w:proofErr w:type="spellEnd"/>
      <w:r>
        <w:rPr>
          <w:rFonts w:ascii="Times New Roman" w:hAnsi="Times New Roman" w:cs="Times New Roman"/>
          <w:sz w:val="24"/>
          <w:szCs w:val="24"/>
        </w:rPr>
        <w:t xml:space="preserve">, S. D., Raz, I., </w:t>
      </w:r>
      <w:proofErr w:type="spellStart"/>
      <w:r>
        <w:rPr>
          <w:rFonts w:ascii="Times New Roman" w:hAnsi="Times New Roman" w:cs="Times New Roman"/>
          <w:sz w:val="24"/>
          <w:szCs w:val="24"/>
        </w:rPr>
        <w:t>Bonaca</w:t>
      </w:r>
      <w:proofErr w:type="spellEnd"/>
      <w:r>
        <w:rPr>
          <w:rFonts w:ascii="Times New Roman" w:hAnsi="Times New Roman" w:cs="Times New Roman"/>
          <w:sz w:val="24"/>
          <w:szCs w:val="24"/>
        </w:rPr>
        <w:t xml:space="preserve">, M. P., </w:t>
      </w:r>
      <w:proofErr w:type="spellStart"/>
      <w:r>
        <w:rPr>
          <w:rFonts w:ascii="Times New Roman" w:hAnsi="Times New Roman" w:cs="Times New Roman"/>
          <w:sz w:val="24"/>
          <w:szCs w:val="24"/>
        </w:rPr>
        <w:t>Mosenzon</w:t>
      </w:r>
      <w:proofErr w:type="spellEnd"/>
      <w:r>
        <w:rPr>
          <w:rFonts w:ascii="Times New Roman" w:hAnsi="Times New Roman" w:cs="Times New Roman"/>
          <w:sz w:val="24"/>
          <w:szCs w:val="24"/>
        </w:rPr>
        <w:t xml:space="preserve">, O., Kato, E. T., Cahn, A., et al. (2019). Dapagliflozin and cardiovascular outcomes in type 2 diabetes. </w:t>
      </w:r>
      <w:r>
        <w:rPr>
          <w:rStyle w:val="Emphasis"/>
          <w:rFonts w:ascii="Times New Roman" w:hAnsi="Times New Roman" w:cs="Times New Roman"/>
          <w:sz w:val="24"/>
          <w:szCs w:val="24"/>
        </w:rPr>
        <w:t>New England Journal of Medicine, 380</w:t>
      </w:r>
      <w:r>
        <w:rPr>
          <w:rFonts w:ascii="Times New Roman" w:hAnsi="Times New Roman" w:cs="Times New Roman"/>
          <w:sz w:val="24"/>
          <w:szCs w:val="24"/>
        </w:rPr>
        <w:t xml:space="preserve">(4), 347–357. </w:t>
      </w:r>
      <w:hyperlink r:id="rId8" w:tgtFrame="_new" w:history="1">
        <w:r>
          <w:rPr>
            <w:rStyle w:val="Hyperlink"/>
            <w:rFonts w:ascii="Times New Roman" w:hAnsi="Times New Roman" w:cs="Times New Roman"/>
            <w:sz w:val="24"/>
            <w:szCs w:val="24"/>
          </w:rPr>
          <w:t>https://doi.org/10.1056/NEJMoa1812389</w:t>
        </w:r>
      </w:hyperlink>
      <w:r>
        <w:rPr>
          <w:rFonts w:ascii="Times New Roman" w:hAnsi="Times New Roman" w:cs="Times New Roman"/>
          <w:sz w:val="24"/>
          <w:szCs w:val="24"/>
        </w:rPr>
        <w:t xml:space="preserve"> </w:t>
      </w:r>
    </w:p>
    <w:p w14:paraId="44A26AFF" w14:textId="77777777" w:rsidR="00B7640C" w:rsidRDefault="000F5899">
      <w:pPr>
        <w:numPr>
          <w:ilvl w:val="0"/>
          <w:numId w:val="5"/>
        </w:num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McMurray, J. J. V., Solomon, S. D., </w:t>
      </w:r>
      <w:proofErr w:type="spellStart"/>
      <w:r>
        <w:rPr>
          <w:rFonts w:ascii="Times New Roman" w:hAnsi="Times New Roman" w:cs="Times New Roman"/>
          <w:sz w:val="24"/>
          <w:szCs w:val="24"/>
        </w:rPr>
        <w:t>Inzucchi</w:t>
      </w:r>
      <w:proofErr w:type="spellEnd"/>
      <w:r>
        <w:rPr>
          <w:rFonts w:ascii="Times New Roman" w:hAnsi="Times New Roman" w:cs="Times New Roman"/>
          <w:sz w:val="24"/>
          <w:szCs w:val="24"/>
        </w:rPr>
        <w:t xml:space="preserve">, S. E., Køber, L., </w:t>
      </w:r>
      <w:proofErr w:type="spellStart"/>
      <w:r>
        <w:rPr>
          <w:rFonts w:ascii="Times New Roman" w:hAnsi="Times New Roman" w:cs="Times New Roman"/>
          <w:sz w:val="24"/>
          <w:szCs w:val="24"/>
        </w:rPr>
        <w:t>Kosiborod</w:t>
      </w:r>
      <w:proofErr w:type="spellEnd"/>
      <w:r>
        <w:rPr>
          <w:rFonts w:ascii="Times New Roman" w:hAnsi="Times New Roman" w:cs="Times New Roman"/>
          <w:sz w:val="24"/>
          <w:szCs w:val="24"/>
        </w:rPr>
        <w:t xml:space="preserve">, M. N., Martinez, F. A., et al. (2019). Dapagliflozin in patients with heart failure and reduced ejection fraction. </w:t>
      </w:r>
      <w:r>
        <w:rPr>
          <w:rStyle w:val="Emphasis"/>
          <w:rFonts w:ascii="Times New Roman" w:hAnsi="Times New Roman" w:cs="Times New Roman"/>
          <w:sz w:val="24"/>
          <w:szCs w:val="24"/>
        </w:rPr>
        <w:t>New England Journal of Medicine, 381</w:t>
      </w:r>
      <w:r>
        <w:rPr>
          <w:rFonts w:ascii="Times New Roman" w:hAnsi="Times New Roman" w:cs="Times New Roman"/>
          <w:sz w:val="24"/>
          <w:szCs w:val="24"/>
        </w:rPr>
        <w:t xml:space="preserve">(21), 1995–2008. </w:t>
      </w:r>
      <w:hyperlink r:id="rId9" w:tgtFrame="_new" w:history="1">
        <w:r>
          <w:rPr>
            <w:rStyle w:val="Hyperlink"/>
            <w:rFonts w:ascii="Times New Roman" w:hAnsi="Times New Roman" w:cs="Times New Roman"/>
            <w:sz w:val="24"/>
            <w:szCs w:val="24"/>
          </w:rPr>
          <w:t>https://doi.org/10.1056/NEJMoa1911303</w:t>
        </w:r>
      </w:hyperlink>
      <w:r>
        <w:rPr>
          <w:rFonts w:ascii="Times New Roman" w:hAnsi="Times New Roman" w:cs="Times New Roman"/>
          <w:sz w:val="24"/>
          <w:szCs w:val="24"/>
        </w:rPr>
        <w:t xml:space="preserve"> </w:t>
      </w:r>
    </w:p>
    <w:p w14:paraId="25EF7ED9" w14:textId="77777777" w:rsidR="00B7640C" w:rsidRDefault="000F5899">
      <w:pPr>
        <w:numPr>
          <w:ilvl w:val="0"/>
          <w:numId w:val="5"/>
        </w:num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Packer, M., Anker, S. D., Butler, J., </w:t>
      </w:r>
      <w:proofErr w:type="spellStart"/>
      <w:r>
        <w:rPr>
          <w:rFonts w:ascii="Times New Roman" w:hAnsi="Times New Roman" w:cs="Times New Roman"/>
          <w:sz w:val="24"/>
          <w:szCs w:val="24"/>
        </w:rPr>
        <w:t>Filippatos</w:t>
      </w:r>
      <w:proofErr w:type="spellEnd"/>
      <w:r>
        <w:rPr>
          <w:rFonts w:ascii="Times New Roman" w:hAnsi="Times New Roman" w:cs="Times New Roman"/>
          <w:sz w:val="24"/>
          <w:szCs w:val="24"/>
        </w:rPr>
        <w:t xml:space="preserve">, G., Pocock, S. J., Carson, P., et al. (2020). Cardiovascular and renal outcomes with empagliflozin in heart failure. </w:t>
      </w:r>
      <w:r>
        <w:rPr>
          <w:rStyle w:val="Emphasis"/>
          <w:rFonts w:ascii="Times New Roman" w:hAnsi="Times New Roman" w:cs="Times New Roman"/>
          <w:sz w:val="24"/>
          <w:szCs w:val="24"/>
        </w:rPr>
        <w:t>New England Journal of Medicine, 383</w:t>
      </w:r>
      <w:r>
        <w:rPr>
          <w:rFonts w:ascii="Times New Roman" w:hAnsi="Times New Roman" w:cs="Times New Roman"/>
          <w:sz w:val="24"/>
          <w:szCs w:val="24"/>
        </w:rPr>
        <w:t xml:space="preserve">(15), 1413–1424. </w:t>
      </w:r>
      <w:hyperlink r:id="rId10" w:tgtFrame="_new" w:history="1">
        <w:r>
          <w:rPr>
            <w:rStyle w:val="Hyperlink"/>
            <w:rFonts w:ascii="Times New Roman" w:hAnsi="Times New Roman" w:cs="Times New Roman"/>
            <w:sz w:val="24"/>
            <w:szCs w:val="24"/>
          </w:rPr>
          <w:t>https://doi.org/10.1056/NEJMoa2022190</w:t>
        </w:r>
      </w:hyperlink>
      <w:r>
        <w:rPr>
          <w:rFonts w:ascii="Times New Roman" w:hAnsi="Times New Roman" w:cs="Times New Roman"/>
          <w:sz w:val="24"/>
          <w:szCs w:val="24"/>
        </w:rPr>
        <w:t xml:space="preserve"> </w:t>
      </w:r>
    </w:p>
    <w:p w14:paraId="6FE205DF" w14:textId="77777777" w:rsidR="00B7640C" w:rsidRDefault="000F5899">
      <w:pPr>
        <w:numPr>
          <w:ilvl w:val="0"/>
          <w:numId w:val="5"/>
        </w:num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Anker, S. D., Butler, J., </w:t>
      </w:r>
      <w:proofErr w:type="spellStart"/>
      <w:r>
        <w:rPr>
          <w:rFonts w:ascii="Times New Roman" w:hAnsi="Times New Roman" w:cs="Times New Roman"/>
          <w:sz w:val="24"/>
          <w:szCs w:val="24"/>
        </w:rPr>
        <w:t>Filippatos</w:t>
      </w:r>
      <w:proofErr w:type="spellEnd"/>
      <w:r>
        <w:rPr>
          <w:rFonts w:ascii="Times New Roman" w:hAnsi="Times New Roman" w:cs="Times New Roman"/>
          <w:sz w:val="24"/>
          <w:szCs w:val="24"/>
        </w:rPr>
        <w:t xml:space="preserve">, G., Ferreira, J. P., Bocchi, E., Böhm, M., et al. (2021). Empagliflozin in heart failure with a preserved ejection fraction. </w:t>
      </w:r>
      <w:r>
        <w:rPr>
          <w:rStyle w:val="Emphasis"/>
          <w:rFonts w:ascii="Times New Roman" w:hAnsi="Times New Roman" w:cs="Times New Roman"/>
          <w:sz w:val="24"/>
          <w:szCs w:val="24"/>
        </w:rPr>
        <w:t>New England Journal of Medicine, 385</w:t>
      </w:r>
      <w:r>
        <w:rPr>
          <w:rFonts w:ascii="Times New Roman" w:hAnsi="Times New Roman" w:cs="Times New Roman"/>
          <w:sz w:val="24"/>
          <w:szCs w:val="24"/>
        </w:rPr>
        <w:t xml:space="preserve">(16), 1451–1461. </w:t>
      </w:r>
      <w:hyperlink r:id="rId11" w:tgtFrame="_new" w:history="1">
        <w:r>
          <w:rPr>
            <w:rStyle w:val="Hyperlink"/>
            <w:rFonts w:ascii="Times New Roman" w:hAnsi="Times New Roman" w:cs="Times New Roman"/>
            <w:sz w:val="24"/>
            <w:szCs w:val="24"/>
          </w:rPr>
          <w:t>https://doi.org/10.1056/NEJMoa2107038</w:t>
        </w:r>
      </w:hyperlink>
      <w:r>
        <w:rPr>
          <w:rFonts w:ascii="Times New Roman" w:hAnsi="Times New Roman" w:cs="Times New Roman"/>
          <w:sz w:val="24"/>
          <w:szCs w:val="24"/>
        </w:rPr>
        <w:t xml:space="preserve"> </w:t>
      </w:r>
    </w:p>
    <w:p w14:paraId="4D08414F" w14:textId="77777777" w:rsidR="00B7640C" w:rsidRDefault="000F5899">
      <w:pPr>
        <w:numPr>
          <w:ilvl w:val="0"/>
          <w:numId w:val="5"/>
        </w:num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Solomon, S. D., McMurray, J. J. V., Claggett, B., de Boer, R. A., </w:t>
      </w:r>
      <w:proofErr w:type="spellStart"/>
      <w:r>
        <w:rPr>
          <w:rFonts w:ascii="Times New Roman" w:hAnsi="Times New Roman" w:cs="Times New Roman"/>
          <w:sz w:val="24"/>
          <w:szCs w:val="24"/>
        </w:rPr>
        <w:t>DeMets</w:t>
      </w:r>
      <w:proofErr w:type="spellEnd"/>
      <w:r>
        <w:rPr>
          <w:rFonts w:ascii="Times New Roman" w:hAnsi="Times New Roman" w:cs="Times New Roman"/>
          <w:sz w:val="24"/>
          <w:szCs w:val="24"/>
        </w:rPr>
        <w:t xml:space="preserve">, D., Hernandez, A. F., et al. (2022). Dapagliflozin in heart failure with mildly reduced or preserved ejection fraction. </w:t>
      </w:r>
      <w:r>
        <w:rPr>
          <w:rStyle w:val="Emphasis"/>
          <w:rFonts w:ascii="Times New Roman" w:hAnsi="Times New Roman" w:cs="Times New Roman"/>
          <w:sz w:val="24"/>
          <w:szCs w:val="24"/>
        </w:rPr>
        <w:t>New England Journal of Medicine, 387</w:t>
      </w:r>
      <w:r>
        <w:rPr>
          <w:rFonts w:ascii="Times New Roman" w:hAnsi="Times New Roman" w:cs="Times New Roman"/>
          <w:sz w:val="24"/>
          <w:szCs w:val="24"/>
        </w:rPr>
        <w:t xml:space="preserve">(12), 1089–1098. </w:t>
      </w:r>
      <w:hyperlink r:id="rId12" w:tgtFrame="_new" w:history="1">
        <w:r>
          <w:rPr>
            <w:rStyle w:val="Hyperlink"/>
            <w:rFonts w:ascii="Times New Roman" w:hAnsi="Times New Roman" w:cs="Times New Roman"/>
            <w:sz w:val="24"/>
            <w:szCs w:val="24"/>
          </w:rPr>
          <w:t>https://doi.org/10.1056/NEJMoa2206286</w:t>
        </w:r>
      </w:hyperlink>
      <w:r>
        <w:rPr>
          <w:rFonts w:ascii="Times New Roman" w:hAnsi="Times New Roman" w:cs="Times New Roman"/>
          <w:sz w:val="24"/>
          <w:szCs w:val="24"/>
        </w:rPr>
        <w:t xml:space="preserve"> </w:t>
      </w:r>
    </w:p>
    <w:p w14:paraId="50BE52EF" w14:textId="77777777" w:rsidR="00B7640C" w:rsidRDefault="000F5899">
      <w:pPr>
        <w:numPr>
          <w:ilvl w:val="0"/>
          <w:numId w:val="5"/>
        </w:numPr>
        <w:spacing w:before="100" w:beforeAutospacing="1" w:after="100" w:afterAutospacing="1"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Zannad</w:t>
      </w:r>
      <w:proofErr w:type="spellEnd"/>
      <w:r>
        <w:rPr>
          <w:rFonts w:ascii="Times New Roman" w:hAnsi="Times New Roman" w:cs="Times New Roman"/>
          <w:sz w:val="24"/>
          <w:szCs w:val="24"/>
        </w:rPr>
        <w:t xml:space="preserve">, F., Ferreira, J. P., Pocock, S. J., Anker, S. D., Butler, J., </w:t>
      </w:r>
      <w:proofErr w:type="spellStart"/>
      <w:r>
        <w:rPr>
          <w:rFonts w:ascii="Times New Roman" w:hAnsi="Times New Roman" w:cs="Times New Roman"/>
          <w:sz w:val="24"/>
          <w:szCs w:val="24"/>
        </w:rPr>
        <w:t>Filippatos</w:t>
      </w:r>
      <w:proofErr w:type="spellEnd"/>
      <w:r>
        <w:rPr>
          <w:rFonts w:ascii="Times New Roman" w:hAnsi="Times New Roman" w:cs="Times New Roman"/>
          <w:sz w:val="24"/>
          <w:szCs w:val="24"/>
        </w:rPr>
        <w:t xml:space="preserve">, G., et al. (2020). SGLT2 inhibitors in patients with heart failure: A comprehensive meta-analysis of the EMPEROR-Reduced and DAPA-HF trials. </w:t>
      </w:r>
      <w:r>
        <w:rPr>
          <w:rStyle w:val="Emphasis"/>
          <w:rFonts w:ascii="Times New Roman" w:hAnsi="Times New Roman" w:cs="Times New Roman"/>
          <w:sz w:val="24"/>
          <w:szCs w:val="24"/>
        </w:rPr>
        <w:t>The Lancet, 396</w:t>
      </w:r>
      <w:r>
        <w:rPr>
          <w:rFonts w:ascii="Times New Roman" w:hAnsi="Times New Roman" w:cs="Times New Roman"/>
          <w:sz w:val="24"/>
          <w:szCs w:val="24"/>
        </w:rPr>
        <w:t xml:space="preserve">(10254), 819–829. https://doi.org/10.1016/S0140-6736(20)31824-9 </w:t>
      </w:r>
    </w:p>
    <w:p w14:paraId="30806F7F" w14:textId="77777777" w:rsidR="00B7640C" w:rsidRDefault="000F5899">
      <w:pPr>
        <w:numPr>
          <w:ilvl w:val="0"/>
          <w:numId w:val="5"/>
        </w:numPr>
        <w:spacing w:before="100" w:beforeAutospacing="1" w:after="100" w:afterAutospacing="1"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Ferrannini</w:t>
      </w:r>
      <w:proofErr w:type="spellEnd"/>
      <w:r>
        <w:rPr>
          <w:rFonts w:ascii="Times New Roman" w:hAnsi="Times New Roman" w:cs="Times New Roman"/>
          <w:sz w:val="24"/>
          <w:szCs w:val="24"/>
        </w:rPr>
        <w:t xml:space="preserve">, E., Mark, M., &amp; </w:t>
      </w:r>
      <w:proofErr w:type="spellStart"/>
      <w:r>
        <w:rPr>
          <w:rFonts w:ascii="Times New Roman" w:hAnsi="Times New Roman" w:cs="Times New Roman"/>
          <w:sz w:val="24"/>
          <w:szCs w:val="24"/>
        </w:rPr>
        <w:t>Mayoux</w:t>
      </w:r>
      <w:proofErr w:type="spellEnd"/>
      <w:r>
        <w:rPr>
          <w:rFonts w:ascii="Times New Roman" w:hAnsi="Times New Roman" w:cs="Times New Roman"/>
          <w:sz w:val="24"/>
          <w:szCs w:val="24"/>
        </w:rPr>
        <w:t xml:space="preserve">, E. (2016). CV protection in the EMPA-REG OUTCOME trial: A “thrifty substrate” hypothesis. </w:t>
      </w:r>
      <w:r>
        <w:rPr>
          <w:rStyle w:val="Emphasis"/>
          <w:rFonts w:ascii="Times New Roman" w:hAnsi="Times New Roman" w:cs="Times New Roman"/>
          <w:sz w:val="24"/>
          <w:szCs w:val="24"/>
        </w:rPr>
        <w:t>Diabetes Care, 39</w:t>
      </w:r>
      <w:r>
        <w:rPr>
          <w:rFonts w:ascii="Times New Roman" w:hAnsi="Times New Roman" w:cs="Times New Roman"/>
          <w:sz w:val="24"/>
          <w:szCs w:val="24"/>
        </w:rPr>
        <w:t xml:space="preserve">(7), 1108–1114. https://doi.org/10.2337/dc16-0330 </w:t>
      </w:r>
    </w:p>
    <w:p w14:paraId="4A42185A" w14:textId="77777777" w:rsidR="00B7640C" w:rsidRDefault="000F5899">
      <w:pPr>
        <w:numPr>
          <w:ilvl w:val="0"/>
          <w:numId w:val="5"/>
        </w:num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Lopaschuk, G. D., &amp; Verma, S. (2020). Mechanisms of cardiovascular benefits of sodium glucose co-transporter 2 (SGLT2) inhibitors: A state-of-the-art review. </w:t>
      </w:r>
      <w:r>
        <w:rPr>
          <w:rStyle w:val="Emphasis"/>
          <w:rFonts w:ascii="Times New Roman" w:hAnsi="Times New Roman" w:cs="Times New Roman"/>
          <w:sz w:val="24"/>
          <w:szCs w:val="24"/>
        </w:rPr>
        <w:t>JACC: Basic to Translational Science, 5</w:t>
      </w:r>
      <w:r>
        <w:rPr>
          <w:rFonts w:ascii="Times New Roman" w:hAnsi="Times New Roman" w:cs="Times New Roman"/>
          <w:sz w:val="24"/>
          <w:szCs w:val="24"/>
        </w:rPr>
        <w:t xml:space="preserve">(6), 632–644. https://doi.org/10.1016/j.jacbts.2020.02.004 </w:t>
      </w:r>
    </w:p>
    <w:p w14:paraId="64AD1DE5" w14:textId="77777777" w:rsidR="00B7640C" w:rsidRDefault="000F5899">
      <w:pPr>
        <w:numPr>
          <w:ilvl w:val="0"/>
          <w:numId w:val="5"/>
        </w:num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Heerspink, H. J. L., Perkins, B. A., Fitchett, D. H., Husain, M., &amp; Cherney, D. Z. I. (2016). Sodium glucose cotransporter 2 inhibitors in the treatment of diabetes mellitus: Cardiovascular and kidney effects, potential mechanisms, and clinical applications. </w:t>
      </w:r>
      <w:r>
        <w:rPr>
          <w:rStyle w:val="Emphasis"/>
          <w:rFonts w:ascii="Times New Roman" w:hAnsi="Times New Roman" w:cs="Times New Roman"/>
          <w:sz w:val="24"/>
          <w:szCs w:val="24"/>
        </w:rPr>
        <w:t>Circulation, 134</w:t>
      </w:r>
      <w:r>
        <w:rPr>
          <w:rFonts w:ascii="Times New Roman" w:hAnsi="Times New Roman" w:cs="Times New Roman"/>
          <w:sz w:val="24"/>
          <w:szCs w:val="24"/>
        </w:rPr>
        <w:t xml:space="preserve">(10), 752–772. https://doi.org/10.1161/CIRCULATIONAHA.116.021887 </w:t>
      </w:r>
    </w:p>
    <w:p w14:paraId="6060B4EE" w14:textId="77777777" w:rsidR="00B7640C" w:rsidRDefault="000F5899">
      <w:pPr>
        <w:numPr>
          <w:ilvl w:val="0"/>
          <w:numId w:val="5"/>
        </w:num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Verma, S., &amp; McMurray, J. J. V. (2018). SGLT2 inhibitors and mechanisms of cardiovascular benefit: A state-of-the-art review. </w:t>
      </w:r>
      <w:proofErr w:type="spellStart"/>
      <w:r>
        <w:rPr>
          <w:rStyle w:val="Emphasis"/>
          <w:rFonts w:ascii="Times New Roman" w:hAnsi="Times New Roman" w:cs="Times New Roman"/>
          <w:sz w:val="24"/>
          <w:szCs w:val="24"/>
        </w:rPr>
        <w:t>Diabetologia</w:t>
      </w:r>
      <w:proofErr w:type="spellEnd"/>
      <w:r>
        <w:rPr>
          <w:rStyle w:val="Emphasis"/>
          <w:rFonts w:ascii="Times New Roman" w:hAnsi="Times New Roman" w:cs="Times New Roman"/>
          <w:sz w:val="24"/>
          <w:szCs w:val="24"/>
        </w:rPr>
        <w:t>, 61</w:t>
      </w:r>
      <w:r>
        <w:rPr>
          <w:rFonts w:ascii="Times New Roman" w:hAnsi="Times New Roman" w:cs="Times New Roman"/>
          <w:sz w:val="24"/>
          <w:szCs w:val="24"/>
        </w:rPr>
        <w:t xml:space="preserve">(10), 2108–2117. https://doi.org/10.1007/s00125-018-4670-7 </w:t>
      </w:r>
    </w:p>
    <w:p w14:paraId="7909E706" w14:textId="77777777" w:rsidR="00B7640C" w:rsidRDefault="000F5899">
      <w:pPr>
        <w:numPr>
          <w:ilvl w:val="0"/>
          <w:numId w:val="5"/>
        </w:num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Perkovic, V., Jardine, M. J., Neal, B., </w:t>
      </w:r>
      <w:proofErr w:type="spellStart"/>
      <w:r>
        <w:rPr>
          <w:rFonts w:ascii="Times New Roman" w:hAnsi="Times New Roman" w:cs="Times New Roman"/>
          <w:sz w:val="24"/>
          <w:szCs w:val="24"/>
        </w:rPr>
        <w:t>Bompoint</w:t>
      </w:r>
      <w:proofErr w:type="spellEnd"/>
      <w:r>
        <w:rPr>
          <w:rFonts w:ascii="Times New Roman" w:hAnsi="Times New Roman" w:cs="Times New Roman"/>
          <w:sz w:val="24"/>
          <w:szCs w:val="24"/>
        </w:rPr>
        <w:t xml:space="preserve">, S., Heerspink, H. J. L., </w:t>
      </w:r>
      <w:proofErr w:type="spellStart"/>
      <w:r>
        <w:rPr>
          <w:rFonts w:ascii="Times New Roman" w:hAnsi="Times New Roman" w:cs="Times New Roman"/>
          <w:sz w:val="24"/>
          <w:szCs w:val="24"/>
        </w:rPr>
        <w:t>Charytan</w:t>
      </w:r>
      <w:proofErr w:type="spellEnd"/>
      <w:r>
        <w:rPr>
          <w:rFonts w:ascii="Times New Roman" w:hAnsi="Times New Roman" w:cs="Times New Roman"/>
          <w:sz w:val="24"/>
          <w:szCs w:val="24"/>
        </w:rPr>
        <w:t xml:space="preserve">, D. M., et al. (2019). Canagliflozin and renal outcomes in type 2 diabetes and nephropathy. </w:t>
      </w:r>
      <w:r>
        <w:rPr>
          <w:rStyle w:val="Emphasis"/>
          <w:rFonts w:ascii="Times New Roman" w:hAnsi="Times New Roman" w:cs="Times New Roman"/>
          <w:sz w:val="24"/>
          <w:szCs w:val="24"/>
        </w:rPr>
        <w:t>New England Journal of Medicine, 380</w:t>
      </w:r>
      <w:r>
        <w:rPr>
          <w:rFonts w:ascii="Times New Roman" w:hAnsi="Times New Roman" w:cs="Times New Roman"/>
          <w:sz w:val="24"/>
          <w:szCs w:val="24"/>
        </w:rPr>
        <w:t xml:space="preserve">(24), 2295–2306. </w:t>
      </w:r>
      <w:hyperlink r:id="rId13" w:tgtFrame="_new" w:history="1">
        <w:r>
          <w:rPr>
            <w:rStyle w:val="Hyperlink"/>
            <w:rFonts w:ascii="Times New Roman" w:hAnsi="Times New Roman" w:cs="Times New Roman"/>
            <w:sz w:val="24"/>
            <w:szCs w:val="24"/>
          </w:rPr>
          <w:t>https://doi.org/10.1056/NEJMoa1811744</w:t>
        </w:r>
      </w:hyperlink>
      <w:r>
        <w:rPr>
          <w:rFonts w:ascii="Times New Roman" w:hAnsi="Times New Roman" w:cs="Times New Roman"/>
          <w:sz w:val="24"/>
          <w:szCs w:val="24"/>
        </w:rPr>
        <w:t xml:space="preserve"> </w:t>
      </w:r>
    </w:p>
    <w:p w14:paraId="0BF0C5D9" w14:textId="77777777" w:rsidR="00B7640C" w:rsidRDefault="000F5899">
      <w:pPr>
        <w:numPr>
          <w:ilvl w:val="0"/>
          <w:numId w:val="5"/>
        </w:num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Heerspink, H. J. L., Stefánsson, B. V., Correa-Rotter, R., </w:t>
      </w:r>
      <w:proofErr w:type="spellStart"/>
      <w:r>
        <w:rPr>
          <w:rFonts w:ascii="Times New Roman" w:hAnsi="Times New Roman" w:cs="Times New Roman"/>
          <w:sz w:val="24"/>
          <w:szCs w:val="24"/>
        </w:rPr>
        <w:t>Chertow</w:t>
      </w:r>
      <w:proofErr w:type="spellEnd"/>
      <w:r>
        <w:rPr>
          <w:rFonts w:ascii="Times New Roman" w:hAnsi="Times New Roman" w:cs="Times New Roman"/>
          <w:sz w:val="24"/>
          <w:szCs w:val="24"/>
        </w:rPr>
        <w:t xml:space="preserve">, G. M., Greene, T., Hou, F. F., et al. (2020). Dapagliflozin in patients with chronic kidney disease. </w:t>
      </w:r>
      <w:r>
        <w:rPr>
          <w:rStyle w:val="Emphasis"/>
          <w:rFonts w:ascii="Times New Roman" w:hAnsi="Times New Roman" w:cs="Times New Roman"/>
          <w:sz w:val="24"/>
          <w:szCs w:val="24"/>
        </w:rPr>
        <w:t>New England Journal of Medicine, 383</w:t>
      </w:r>
      <w:r>
        <w:rPr>
          <w:rFonts w:ascii="Times New Roman" w:hAnsi="Times New Roman" w:cs="Times New Roman"/>
          <w:sz w:val="24"/>
          <w:szCs w:val="24"/>
        </w:rPr>
        <w:t xml:space="preserve">(15), 1436–1446. </w:t>
      </w:r>
      <w:hyperlink r:id="rId14" w:tgtFrame="_new" w:history="1">
        <w:r>
          <w:rPr>
            <w:rStyle w:val="Hyperlink"/>
            <w:rFonts w:ascii="Times New Roman" w:hAnsi="Times New Roman" w:cs="Times New Roman"/>
            <w:sz w:val="24"/>
            <w:szCs w:val="24"/>
          </w:rPr>
          <w:t>https://doi.org/10.1056/NEJMoa2024816</w:t>
        </w:r>
      </w:hyperlink>
      <w:r>
        <w:rPr>
          <w:rFonts w:ascii="Times New Roman" w:hAnsi="Times New Roman" w:cs="Times New Roman"/>
          <w:sz w:val="24"/>
          <w:szCs w:val="24"/>
        </w:rPr>
        <w:t xml:space="preserve"> </w:t>
      </w:r>
    </w:p>
    <w:p w14:paraId="2EE2C244" w14:textId="77777777" w:rsidR="00B7640C" w:rsidRDefault="000F5899">
      <w:pPr>
        <w:numPr>
          <w:ilvl w:val="0"/>
          <w:numId w:val="5"/>
        </w:num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Herrington, W. G., </w:t>
      </w:r>
      <w:proofErr w:type="spellStart"/>
      <w:r>
        <w:rPr>
          <w:rFonts w:ascii="Times New Roman" w:hAnsi="Times New Roman" w:cs="Times New Roman"/>
          <w:sz w:val="24"/>
          <w:szCs w:val="24"/>
        </w:rPr>
        <w:t>Staplin</w:t>
      </w:r>
      <w:proofErr w:type="spellEnd"/>
      <w:r>
        <w:rPr>
          <w:rFonts w:ascii="Times New Roman" w:hAnsi="Times New Roman" w:cs="Times New Roman"/>
          <w:sz w:val="24"/>
          <w:szCs w:val="24"/>
        </w:rPr>
        <w:t xml:space="preserve">, N., Wanner, C., Green, J. B., </w:t>
      </w:r>
      <w:proofErr w:type="spellStart"/>
      <w:r>
        <w:rPr>
          <w:rFonts w:ascii="Times New Roman" w:hAnsi="Times New Roman" w:cs="Times New Roman"/>
          <w:sz w:val="24"/>
          <w:szCs w:val="24"/>
        </w:rPr>
        <w:t>Hauske</w:t>
      </w:r>
      <w:proofErr w:type="spellEnd"/>
      <w:r>
        <w:rPr>
          <w:rFonts w:ascii="Times New Roman" w:hAnsi="Times New Roman" w:cs="Times New Roman"/>
          <w:sz w:val="24"/>
          <w:szCs w:val="24"/>
        </w:rPr>
        <w:t xml:space="preserve">, S. J., Emberson, J. R., et al. (2023). Empagliflozin in patients with chronic kidney disease. </w:t>
      </w:r>
      <w:r>
        <w:rPr>
          <w:rStyle w:val="Emphasis"/>
          <w:rFonts w:ascii="Times New Roman" w:hAnsi="Times New Roman" w:cs="Times New Roman"/>
          <w:sz w:val="24"/>
          <w:szCs w:val="24"/>
        </w:rPr>
        <w:t>New England Journal of Medicine, 388</w:t>
      </w:r>
      <w:r>
        <w:rPr>
          <w:rFonts w:ascii="Times New Roman" w:hAnsi="Times New Roman" w:cs="Times New Roman"/>
          <w:sz w:val="24"/>
          <w:szCs w:val="24"/>
        </w:rPr>
        <w:t xml:space="preserve">(2), 117–127. </w:t>
      </w:r>
      <w:hyperlink r:id="rId15" w:tgtFrame="_new" w:history="1">
        <w:r>
          <w:rPr>
            <w:rStyle w:val="Hyperlink"/>
            <w:rFonts w:ascii="Times New Roman" w:hAnsi="Times New Roman" w:cs="Times New Roman"/>
            <w:sz w:val="24"/>
            <w:szCs w:val="24"/>
          </w:rPr>
          <w:t>https://doi.org/10.1056/NEJMoa2204233</w:t>
        </w:r>
      </w:hyperlink>
      <w:r>
        <w:rPr>
          <w:rFonts w:ascii="Times New Roman" w:hAnsi="Times New Roman" w:cs="Times New Roman"/>
          <w:sz w:val="24"/>
          <w:szCs w:val="24"/>
        </w:rPr>
        <w:t xml:space="preserve"> </w:t>
      </w:r>
    </w:p>
    <w:p w14:paraId="4C437987" w14:textId="77777777" w:rsidR="00B7640C" w:rsidRDefault="000F5899">
      <w:pPr>
        <w:numPr>
          <w:ilvl w:val="0"/>
          <w:numId w:val="5"/>
        </w:num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The EMPA-KIDNEY Collaborative Group. (2024). Effects of empagliflozin on progression of chronic kidney disease: A prespecified secondary analysis from the EMPA-KIDNEY trial. </w:t>
      </w:r>
      <w:r>
        <w:rPr>
          <w:rStyle w:val="Emphasis"/>
          <w:rFonts w:ascii="Times New Roman" w:hAnsi="Times New Roman" w:cs="Times New Roman"/>
          <w:sz w:val="24"/>
          <w:szCs w:val="24"/>
        </w:rPr>
        <w:t>The Lancet Diabetes &amp; Endocrinology, 12</w:t>
      </w:r>
      <w:r>
        <w:rPr>
          <w:rFonts w:ascii="Times New Roman" w:hAnsi="Times New Roman" w:cs="Times New Roman"/>
          <w:sz w:val="24"/>
          <w:szCs w:val="24"/>
        </w:rPr>
        <w:t xml:space="preserve">(1), 39–50. https://doi.org/10.1016/S2213-8587(23)00321-2 </w:t>
      </w:r>
    </w:p>
    <w:p w14:paraId="539A0D2E" w14:textId="77777777" w:rsidR="00B7640C" w:rsidRDefault="000F5899">
      <w:pPr>
        <w:numPr>
          <w:ilvl w:val="0"/>
          <w:numId w:val="5"/>
        </w:numPr>
        <w:spacing w:before="100" w:beforeAutospacing="1" w:after="100" w:afterAutospacing="1"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Neuen</w:t>
      </w:r>
      <w:proofErr w:type="spellEnd"/>
      <w:r>
        <w:rPr>
          <w:rFonts w:ascii="Times New Roman" w:hAnsi="Times New Roman" w:cs="Times New Roman"/>
          <w:sz w:val="24"/>
          <w:szCs w:val="24"/>
        </w:rPr>
        <w:t xml:space="preserve">, B. L., Young, T., Heerspink, H. J. L., Neal, B., Perkovic, V., Billot, L., et al. (2019). SGLT2 inhibitors for prevention of primary and secondary cardiovascular and renal outcomes: A systematic review and meta-analysis of randomized controlled trials. </w:t>
      </w:r>
      <w:r>
        <w:rPr>
          <w:rStyle w:val="Emphasis"/>
          <w:rFonts w:ascii="Times New Roman" w:hAnsi="Times New Roman" w:cs="Times New Roman"/>
          <w:sz w:val="24"/>
          <w:szCs w:val="24"/>
        </w:rPr>
        <w:t>The Lancet Diabetes &amp; Endocrinology, 7</w:t>
      </w:r>
      <w:r>
        <w:rPr>
          <w:rFonts w:ascii="Times New Roman" w:hAnsi="Times New Roman" w:cs="Times New Roman"/>
          <w:sz w:val="24"/>
          <w:szCs w:val="24"/>
        </w:rPr>
        <w:t xml:space="preserve">(11), 845–854. https://doi.org/10.1016/S2213-8587(19)30256-6 </w:t>
      </w:r>
    </w:p>
    <w:p w14:paraId="57F86F15" w14:textId="77777777" w:rsidR="00B7640C" w:rsidRDefault="000F5899">
      <w:pPr>
        <w:numPr>
          <w:ilvl w:val="0"/>
          <w:numId w:val="5"/>
        </w:num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Monami, M., Nardini, C., Mannucci, E. (2014). Efficacy and safety of sodium glucose co-transport-2 inhibitors in type 2 diabetes: A meta-analysis of randomized clinical trials. </w:t>
      </w:r>
      <w:r>
        <w:rPr>
          <w:rStyle w:val="Emphasis"/>
          <w:rFonts w:ascii="Times New Roman" w:hAnsi="Times New Roman" w:cs="Times New Roman"/>
          <w:sz w:val="24"/>
          <w:szCs w:val="24"/>
        </w:rPr>
        <w:t>Diabetes, Obesity and Metabolism, 16</w:t>
      </w:r>
      <w:r>
        <w:rPr>
          <w:rFonts w:ascii="Times New Roman" w:hAnsi="Times New Roman" w:cs="Times New Roman"/>
          <w:sz w:val="24"/>
          <w:szCs w:val="24"/>
        </w:rPr>
        <w:t xml:space="preserve">(5), 457–466. </w:t>
      </w:r>
      <w:hyperlink r:id="rId16" w:tgtFrame="_new" w:history="1">
        <w:r>
          <w:rPr>
            <w:rStyle w:val="Hyperlink"/>
            <w:rFonts w:ascii="Times New Roman" w:hAnsi="Times New Roman" w:cs="Times New Roman"/>
            <w:sz w:val="24"/>
            <w:szCs w:val="24"/>
          </w:rPr>
          <w:t>https://doi.org/10.1111/dom.12259</w:t>
        </w:r>
      </w:hyperlink>
      <w:r>
        <w:rPr>
          <w:rFonts w:ascii="Times New Roman" w:hAnsi="Times New Roman" w:cs="Times New Roman"/>
          <w:sz w:val="24"/>
          <w:szCs w:val="24"/>
        </w:rPr>
        <w:t xml:space="preserve"> </w:t>
      </w:r>
    </w:p>
    <w:p w14:paraId="70CA5C81" w14:textId="77777777" w:rsidR="00B7640C" w:rsidRDefault="000F5899">
      <w:pPr>
        <w:numPr>
          <w:ilvl w:val="0"/>
          <w:numId w:val="6"/>
        </w:numPr>
        <w:spacing w:before="100" w:beforeAutospacing="1" w:after="100" w:afterAutospacing="1"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Avogaro</w:t>
      </w:r>
      <w:proofErr w:type="spellEnd"/>
      <w:r>
        <w:rPr>
          <w:rFonts w:ascii="Times New Roman" w:hAnsi="Times New Roman" w:cs="Times New Roman"/>
          <w:sz w:val="24"/>
          <w:szCs w:val="24"/>
        </w:rPr>
        <w:t xml:space="preserve">, A., &amp; </w:t>
      </w:r>
      <w:proofErr w:type="spellStart"/>
      <w:r>
        <w:rPr>
          <w:rFonts w:ascii="Times New Roman" w:hAnsi="Times New Roman" w:cs="Times New Roman"/>
          <w:sz w:val="24"/>
          <w:szCs w:val="24"/>
        </w:rPr>
        <w:t>Fadini</w:t>
      </w:r>
      <w:proofErr w:type="spellEnd"/>
      <w:r>
        <w:rPr>
          <w:rFonts w:ascii="Times New Roman" w:hAnsi="Times New Roman" w:cs="Times New Roman"/>
          <w:sz w:val="24"/>
          <w:szCs w:val="24"/>
        </w:rPr>
        <w:t xml:space="preserve">, G. P. (2014). Microvascular complications in diabetes: A growing concern for SGLT2 inhibitors? </w:t>
      </w:r>
      <w:r>
        <w:rPr>
          <w:rStyle w:val="Emphasis"/>
          <w:rFonts w:ascii="Times New Roman" w:hAnsi="Times New Roman" w:cs="Times New Roman"/>
          <w:sz w:val="24"/>
          <w:szCs w:val="24"/>
        </w:rPr>
        <w:t>Diabetes Care, 37</w:t>
      </w:r>
      <w:r>
        <w:rPr>
          <w:rFonts w:ascii="Times New Roman" w:hAnsi="Times New Roman" w:cs="Times New Roman"/>
          <w:sz w:val="24"/>
          <w:szCs w:val="24"/>
        </w:rPr>
        <w:t xml:space="preserve">(6), 1677–1679. https://doi.org/10.2337/dc14-0531 </w:t>
      </w:r>
    </w:p>
    <w:p w14:paraId="1E4BC5F0" w14:textId="77777777" w:rsidR="00B7640C" w:rsidRDefault="000F5899">
      <w:pPr>
        <w:numPr>
          <w:ilvl w:val="0"/>
          <w:numId w:val="6"/>
        </w:num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Szekeres, M., Nadasy, G. L., Turu, G., Soltész-Katona, E., Offermanns, S., &amp; Szabó, G. (2021). The role of SGLT2 inhibitors in cardiovascular and cerebrovascular protection. </w:t>
      </w:r>
      <w:r>
        <w:rPr>
          <w:rStyle w:val="Emphasis"/>
          <w:rFonts w:ascii="Times New Roman" w:hAnsi="Times New Roman" w:cs="Times New Roman"/>
          <w:sz w:val="24"/>
          <w:szCs w:val="24"/>
        </w:rPr>
        <w:t>International Journal of Molecular Sciences, 22</w:t>
      </w:r>
      <w:r>
        <w:rPr>
          <w:rFonts w:ascii="Times New Roman" w:hAnsi="Times New Roman" w:cs="Times New Roman"/>
          <w:sz w:val="24"/>
          <w:szCs w:val="24"/>
        </w:rPr>
        <w:t xml:space="preserve">, 11102. </w:t>
      </w:r>
    </w:p>
    <w:p w14:paraId="5BF55271" w14:textId="77777777" w:rsidR="00B7640C" w:rsidRDefault="000F5899">
      <w:pPr>
        <w:numPr>
          <w:ilvl w:val="0"/>
          <w:numId w:val="6"/>
        </w:num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Toth, P. P., Philip, S., Hull, M., Granowitz, C., &amp; Bittner, V. (2023). SGLT2 inhibition and cognitive outcomes: Emerging evidence and potential mechanisms. </w:t>
      </w:r>
      <w:r>
        <w:rPr>
          <w:rStyle w:val="Emphasis"/>
          <w:rFonts w:ascii="Times New Roman" w:hAnsi="Times New Roman" w:cs="Times New Roman"/>
          <w:sz w:val="24"/>
          <w:szCs w:val="24"/>
        </w:rPr>
        <w:t>Cardiovascular Diabetology, 22</w:t>
      </w:r>
      <w:r>
        <w:rPr>
          <w:rFonts w:ascii="Times New Roman" w:hAnsi="Times New Roman" w:cs="Times New Roman"/>
          <w:sz w:val="24"/>
          <w:szCs w:val="24"/>
        </w:rPr>
        <w:t xml:space="preserve">, 1–14. </w:t>
      </w:r>
    </w:p>
    <w:p w14:paraId="6D68931D" w14:textId="77777777" w:rsidR="00B7640C" w:rsidRDefault="000F5899">
      <w:pPr>
        <w:numPr>
          <w:ilvl w:val="0"/>
          <w:numId w:val="6"/>
        </w:num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Zinman, B., Lachin, J. M., &amp; </w:t>
      </w:r>
      <w:proofErr w:type="spellStart"/>
      <w:r>
        <w:rPr>
          <w:rFonts w:ascii="Times New Roman" w:hAnsi="Times New Roman" w:cs="Times New Roman"/>
          <w:sz w:val="24"/>
          <w:szCs w:val="24"/>
        </w:rPr>
        <w:t>Inzucchi</w:t>
      </w:r>
      <w:proofErr w:type="spellEnd"/>
      <w:r>
        <w:rPr>
          <w:rFonts w:ascii="Times New Roman" w:hAnsi="Times New Roman" w:cs="Times New Roman"/>
          <w:sz w:val="24"/>
          <w:szCs w:val="24"/>
        </w:rPr>
        <w:t xml:space="preserve">, S. E. (2016). Empagliflozin, cardiovascular outcomes, and mortality in type 2 diabetes. </w:t>
      </w:r>
      <w:r>
        <w:rPr>
          <w:rStyle w:val="Emphasis"/>
          <w:rFonts w:ascii="Times New Roman" w:hAnsi="Times New Roman" w:cs="Times New Roman"/>
          <w:sz w:val="24"/>
          <w:szCs w:val="24"/>
        </w:rPr>
        <w:t>New England Journal of Medicine, 374</w:t>
      </w:r>
      <w:r>
        <w:rPr>
          <w:rFonts w:ascii="Times New Roman" w:hAnsi="Times New Roman" w:cs="Times New Roman"/>
          <w:sz w:val="24"/>
          <w:szCs w:val="24"/>
        </w:rPr>
        <w:t xml:space="preserve">, 1094–1095. </w:t>
      </w:r>
    </w:p>
    <w:p w14:paraId="5FE0A61C" w14:textId="77777777" w:rsidR="00B7640C" w:rsidRDefault="000F5899">
      <w:pPr>
        <w:numPr>
          <w:ilvl w:val="0"/>
          <w:numId w:val="6"/>
        </w:num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Cukierman-Yaffe, T., Bosch, J., Diaz, R., Dyal, L., Hancu, N., Hillegass, W. B., et al. (2020). Effects of dapagliflozin on cognitive function in patients with type 2 diabetes: A randomized controlled trial. </w:t>
      </w:r>
      <w:r>
        <w:rPr>
          <w:rStyle w:val="Emphasis"/>
          <w:rFonts w:ascii="Times New Roman" w:hAnsi="Times New Roman" w:cs="Times New Roman"/>
          <w:sz w:val="24"/>
          <w:szCs w:val="24"/>
        </w:rPr>
        <w:t>Diabetes Care, 43</w:t>
      </w:r>
      <w:r>
        <w:rPr>
          <w:rFonts w:ascii="Times New Roman" w:hAnsi="Times New Roman" w:cs="Times New Roman"/>
          <w:sz w:val="24"/>
          <w:szCs w:val="24"/>
        </w:rPr>
        <w:t xml:space="preserve">, 1807–1814. </w:t>
      </w:r>
    </w:p>
    <w:p w14:paraId="485173A3" w14:textId="77777777" w:rsidR="00B7640C" w:rsidRDefault="000F5899">
      <w:pPr>
        <w:numPr>
          <w:ilvl w:val="0"/>
          <w:numId w:val="6"/>
        </w:num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Tang, H., Donahoo, W. T., DeKosky, S. T., Lee, Y. A., Kotecha, P., Svensson, M., Bian, J., &amp; Guo, J. (2025). GLP-1RA and SGLT2i medications for type 2 diabetes and Alzheimer disease and related dementias. JAMA Neurology, 82(5), 439–449. </w:t>
      </w:r>
      <w:hyperlink r:id="rId17" w:history="1">
        <w:r>
          <w:rPr>
            <w:rStyle w:val="Hyperlink"/>
            <w:rFonts w:ascii="Times New Roman" w:hAnsi="Times New Roman" w:cs="Times New Roman"/>
            <w:sz w:val="24"/>
            <w:szCs w:val="24"/>
          </w:rPr>
          <w:t>https://doi.org/10.1001/jamaneurol.2025.0353⁠</w:t>
        </w:r>
      </w:hyperlink>
    </w:p>
    <w:p w14:paraId="77CE0A87" w14:textId="77777777" w:rsidR="00B7640C" w:rsidRDefault="000F5899">
      <w:pPr>
        <w:numPr>
          <w:ilvl w:val="0"/>
          <w:numId w:val="6"/>
        </w:numPr>
        <w:spacing w:before="100" w:beforeAutospacing="1" w:after="100" w:afterAutospacing="1"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Seminer</w:t>
      </w:r>
      <w:proofErr w:type="spellEnd"/>
      <w:r>
        <w:rPr>
          <w:rFonts w:ascii="Times New Roman" w:hAnsi="Times New Roman" w:cs="Times New Roman"/>
          <w:sz w:val="24"/>
          <w:szCs w:val="24"/>
        </w:rPr>
        <w:t xml:space="preserve">, A., </w:t>
      </w:r>
      <w:proofErr w:type="spellStart"/>
      <w:r>
        <w:rPr>
          <w:rFonts w:ascii="Times New Roman" w:hAnsi="Times New Roman" w:cs="Times New Roman"/>
          <w:sz w:val="24"/>
          <w:szCs w:val="24"/>
        </w:rPr>
        <w:t>Mulihano</w:t>
      </w:r>
      <w:proofErr w:type="spellEnd"/>
      <w:r>
        <w:rPr>
          <w:rFonts w:ascii="Times New Roman" w:hAnsi="Times New Roman" w:cs="Times New Roman"/>
          <w:sz w:val="24"/>
          <w:szCs w:val="24"/>
        </w:rPr>
        <w:t xml:space="preserve">, A., O'Brien, C., Krewer, F., Costello, M., Judge, C., O'Donnell, M., &amp; Reddin, C. (2025). Cardioprotective glucose-lowering agents and dementia risk: A systematic review and meta-analysis. JAMA Neurology, 82(5), 450–460. </w:t>
      </w:r>
      <w:hyperlink r:id="rId18" w:history="1">
        <w:r>
          <w:rPr>
            <w:rStyle w:val="Hyperlink"/>
            <w:rFonts w:ascii="Times New Roman" w:hAnsi="Times New Roman" w:cs="Times New Roman"/>
            <w:sz w:val="24"/>
            <w:szCs w:val="24"/>
          </w:rPr>
          <w:t>https://doi.org/10.1001/jamaneurol.2025.0360⁠</w:t>
        </w:r>
      </w:hyperlink>
    </w:p>
    <w:p w14:paraId="3676E6D6" w14:textId="77777777" w:rsidR="00B7640C" w:rsidRDefault="000F5899">
      <w:pPr>
        <w:numPr>
          <w:ilvl w:val="0"/>
          <w:numId w:val="6"/>
        </w:num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EMPA-KIDNEY Collaborative Group. (2025). Long-term effects of empagliflozin in patients with chronic kidney disease. New England Journal of Medicine, 392(8), 777–787. </w:t>
      </w:r>
      <w:hyperlink r:id="rId19" w:history="1">
        <w:r>
          <w:rPr>
            <w:rStyle w:val="Hyperlink"/>
            <w:rFonts w:ascii="Times New Roman" w:hAnsi="Times New Roman" w:cs="Times New Roman"/>
            <w:sz w:val="24"/>
            <w:szCs w:val="24"/>
          </w:rPr>
          <w:t>https://doi.org/10.1056/NEJMoa2409183.</w:t>
        </w:r>
      </w:hyperlink>
    </w:p>
    <w:p w14:paraId="0A827B15" w14:textId="77777777" w:rsidR="00B7640C" w:rsidRDefault="00B7640C" w:rsidP="00D23B86">
      <w:pPr>
        <w:spacing w:before="100" w:beforeAutospacing="1" w:after="100" w:afterAutospacing="1" w:line="360" w:lineRule="auto"/>
        <w:ind w:left="360"/>
        <w:jc w:val="both"/>
        <w:rPr>
          <w:rFonts w:ascii="Times New Roman" w:hAnsi="Times New Roman" w:cs="Times New Roman"/>
          <w:sz w:val="24"/>
          <w:szCs w:val="24"/>
        </w:rPr>
      </w:pPr>
    </w:p>
    <w:p w14:paraId="4AB89837" w14:textId="77777777" w:rsidR="00B7640C" w:rsidRDefault="000F5899">
      <w:pPr>
        <w:pStyle w:val="NormalWeb"/>
        <w:spacing w:line="360" w:lineRule="auto"/>
        <w:jc w:val="both"/>
      </w:pPr>
      <w:r>
        <w:t>.</w:t>
      </w:r>
    </w:p>
    <w:p w14:paraId="26B449AD" w14:textId="77777777" w:rsidR="00B7640C" w:rsidRDefault="00B7640C">
      <w:pPr>
        <w:spacing w:line="360" w:lineRule="auto"/>
        <w:jc w:val="both"/>
        <w:rPr>
          <w:rFonts w:ascii="Times New Roman" w:hAnsi="Times New Roman" w:cs="Times New Roman"/>
          <w:sz w:val="24"/>
          <w:szCs w:val="24"/>
        </w:rPr>
      </w:pPr>
    </w:p>
    <w:sectPr w:rsidR="00B7640C">
      <w:headerReference w:type="even" r:id="rId20"/>
      <w:headerReference w:type="default" r:id="rId21"/>
      <w:footerReference w:type="even" r:id="rId22"/>
      <w:footerReference w:type="default" r:id="rId23"/>
      <w:headerReference w:type="first" r:id="rId24"/>
      <w:footerReference w:type="first" r:id="rId2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CA8FAB" w14:textId="77777777" w:rsidR="00186660" w:rsidRDefault="00186660">
      <w:pPr>
        <w:spacing w:line="240" w:lineRule="auto"/>
      </w:pPr>
      <w:r>
        <w:separator/>
      </w:r>
    </w:p>
  </w:endnote>
  <w:endnote w:type="continuationSeparator" w:id="0">
    <w:p w14:paraId="11F96D84" w14:textId="77777777" w:rsidR="00186660" w:rsidRDefault="0018666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17D3C" w14:textId="77777777" w:rsidR="00835B53" w:rsidRDefault="00835B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0585998"/>
      <w:docPartObj>
        <w:docPartGallery w:val="AutoText"/>
      </w:docPartObj>
    </w:sdtPr>
    <w:sdtContent>
      <w:sdt>
        <w:sdtPr>
          <w:id w:val="-1769616900"/>
          <w:docPartObj>
            <w:docPartGallery w:val="AutoText"/>
          </w:docPartObj>
        </w:sdtPr>
        <w:sdtContent>
          <w:p w14:paraId="34D167D1" w14:textId="77777777" w:rsidR="00B7640C" w:rsidRDefault="000F5899">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rPr>
              <w:t>22</w:t>
            </w:r>
            <w:r>
              <w:rPr>
                <w:b/>
                <w:bCs/>
                <w:sz w:val="24"/>
                <w:szCs w:val="24"/>
              </w:rPr>
              <w:fldChar w:fldCharType="end"/>
            </w:r>
          </w:p>
        </w:sdtContent>
      </w:sdt>
    </w:sdtContent>
  </w:sdt>
  <w:p w14:paraId="60887D70" w14:textId="77777777" w:rsidR="00B7640C" w:rsidRDefault="00B7640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4BCE7" w14:textId="77777777" w:rsidR="00835B53" w:rsidRDefault="00835B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2B2AE0" w14:textId="77777777" w:rsidR="00186660" w:rsidRDefault="00186660">
      <w:pPr>
        <w:spacing w:after="0"/>
      </w:pPr>
      <w:r>
        <w:separator/>
      </w:r>
    </w:p>
  </w:footnote>
  <w:footnote w:type="continuationSeparator" w:id="0">
    <w:p w14:paraId="28DD1524" w14:textId="77777777" w:rsidR="00186660" w:rsidRDefault="0018666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4EFC1" w14:textId="565D8A35" w:rsidR="00835B53" w:rsidRDefault="00835B53">
    <w:pPr>
      <w:pStyle w:val="Header"/>
    </w:pPr>
    <w:r>
      <w:rPr>
        <w:noProof/>
      </w:rPr>
      <w:pict w14:anchorId="488CA33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150344"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CD88E" w14:textId="72F36C59" w:rsidR="00835B53" w:rsidRDefault="00835B53">
    <w:pPr>
      <w:pStyle w:val="Header"/>
    </w:pPr>
    <w:r>
      <w:rPr>
        <w:noProof/>
      </w:rPr>
      <w:pict w14:anchorId="29D5323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150345"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28F70" w14:textId="34751BEB" w:rsidR="00835B53" w:rsidRDefault="00835B53">
    <w:pPr>
      <w:pStyle w:val="Header"/>
    </w:pPr>
    <w:r>
      <w:rPr>
        <w:noProof/>
      </w:rPr>
      <w:pict w14:anchorId="20DC09E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150343"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6E197BB"/>
    <w:multiLevelType w:val="singleLevel"/>
    <w:tmpl w:val="B6E197BB"/>
    <w:lvl w:ilvl="0">
      <w:start w:val="14"/>
      <w:numFmt w:val="decimal"/>
      <w:suff w:val="space"/>
      <w:lvlText w:val="%1."/>
      <w:lvlJc w:val="left"/>
    </w:lvl>
  </w:abstractNum>
  <w:abstractNum w:abstractNumId="1" w15:restartNumberingAfterBreak="0">
    <w:nsid w:val="2687325F"/>
    <w:multiLevelType w:val="multilevel"/>
    <w:tmpl w:val="2687325F"/>
    <w:lvl w:ilvl="0">
      <w:start w:val="2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 w15:restartNumberingAfterBreak="0">
    <w:nsid w:val="461715CD"/>
    <w:multiLevelType w:val="multilevel"/>
    <w:tmpl w:val="461715C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 w15:restartNumberingAfterBreak="0">
    <w:nsid w:val="55130AE8"/>
    <w:multiLevelType w:val="multilevel"/>
    <w:tmpl w:val="55130AE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 w15:restartNumberingAfterBreak="0">
    <w:nsid w:val="5742405C"/>
    <w:multiLevelType w:val="multilevel"/>
    <w:tmpl w:val="5742405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 w15:restartNumberingAfterBreak="0">
    <w:nsid w:val="70222533"/>
    <w:multiLevelType w:val="multilevel"/>
    <w:tmpl w:val="7022253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16cid:durableId="391082408">
    <w:abstractNumId w:val="5"/>
  </w:num>
  <w:num w:numId="2" w16cid:durableId="2063290274">
    <w:abstractNumId w:val="3"/>
  </w:num>
  <w:num w:numId="3" w16cid:durableId="1849758522">
    <w:abstractNumId w:val="2"/>
  </w:num>
  <w:num w:numId="4" w16cid:durableId="787047256">
    <w:abstractNumId w:val="0"/>
  </w:num>
  <w:num w:numId="5" w16cid:durableId="2098092689">
    <w:abstractNumId w:val="4"/>
  </w:num>
  <w:num w:numId="6" w16cid:durableId="13036091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proofState w:spelling="clean" w:grammar="clean"/>
  <w:defaultTabStop w:val="72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5BED"/>
    <w:rsid w:val="00037B9B"/>
    <w:rsid w:val="000F5899"/>
    <w:rsid w:val="00151C23"/>
    <w:rsid w:val="00186660"/>
    <w:rsid w:val="001C75BB"/>
    <w:rsid w:val="00214B7B"/>
    <w:rsid w:val="005277F9"/>
    <w:rsid w:val="00665678"/>
    <w:rsid w:val="00762C81"/>
    <w:rsid w:val="00835B53"/>
    <w:rsid w:val="008E4710"/>
    <w:rsid w:val="00983885"/>
    <w:rsid w:val="00B7640C"/>
    <w:rsid w:val="00C72108"/>
    <w:rsid w:val="00D12808"/>
    <w:rsid w:val="00D23B86"/>
    <w:rsid w:val="00E65BED"/>
    <w:rsid w:val="00F72B5F"/>
    <w:rsid w:val="013B1094"/>
    <w:rsid w:val="02765598"/>
    <w:rsid w:val="0919607C"/>
    <w:rsid w:val="12517F20"/>
    <w:rsid w:val="21C969FA"/>
    <w:rsid w:val="23A52A88"/>
    <w:rsid w:val="5EB138E7"/>
    <w:rsid w:val="682C7077"/>
    <w:rsid w:val="6C6D5DF2"/>
    <w:rsid w:val="71FE57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695613"/>
  <w15:docId w15:val="{F9168658-F7D1-9F44-B9AF-44B6E3680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Theme="minorHAnsi" w:eastAsiaTheme="minorHAnsi" w:hAnsiTheme="minorHAnsi" w:cstheme="minorBidi"/>
      <w:sz w:val="22"/>
      <w:szCs w:val="22"/>
    </w:rPr>
  </w:style>
  <w:style w:type="paragraph" w:styleId="Heading1">
    <w:name w:val="heading 1"/>
    <w:basedOn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1F4E79" w:themeColor="accent1" w:themeShade="8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Pr>
      <w:i/>
      <w:iCs/>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character" w:styleId="Hyperlink">
    <w:name w:val="Hyperlink"/>
    <w:basedOn w:val="DefaultParagraphFont"/>
    <w:uiPriority w:val="99"/>
    <w:unhideWhenUsed/>
    <w:qFormat/>
    <w:rPr>
      <w:color w:val="0563C1" w:themeColor="hyperlink"/>
      <w:u w:val="single"/>
    </w:r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qFormat/>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qFormat/>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semiHidden/>
    <w:qFormat/>
    <w:rPr>
      <w:rFonts w:asciiTheme="majorHAnsi" w:eastAsiaTheme="majorEastAsia" w:hAnsiTheme="majorHAnsi" w:cstheme="majorBidi"/>
      <w:color w:val="1F4E79" w:themeColor="accent1" w:themeShade="80"/>
      <w:sz w:val="24"/>
      <w:szCs w:val="24"/>
    </w:rPr>
  </w:style>
  <w:style w:type="paragraph" w:styleId="ListParagraph">
    <w:name w:val="List Paragraph"/>
    <w:basedOn w:val="Normal"/>
    <w:uiPriority w:val="34"/>
    <w:qFormat/>
    <w:pPr>
      <w:ind w:left="720"/>
      <w:contextualSpacing/>
    </w:p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styleId="UnresolvedMention">
    <w:name w:val="Unresolved Mention"/>
    <w:basedOn w:val="DefaultParagraphFont"/>
    <w:uiPriority w:val="99"/>
    <w:semiHidden/>
    <w:unhideWhenUsed/>
    <w:rsid w:val="00C721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oi.org/10.1056/NEJMoa1812389" TargetMode="External"/><Relationship Id="rId13" Type="http://schemas.openxmlformats.org/officeDocument/2006/relationships/hyperlink" Target="https://doi.org/10.1056/NEJMoa1811744" TargetMode="External"/><Relationship Id="rId18" Type="http://schemas.openxmlformats.org/officeDocument/2006/relationships/hyperlink" Target="https://doi.org/10.1001/jamaneurol.2025.0360&#8288;"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hyperlink" Target="https://doi.org/10.1056/NEJMoa1611925" TargetMode="External"/><Relationship Id="rId12" Type="http://schemas.openxmlformats.org/officeDocument/2006/relationships/hyperlink" Target="https://doi.org/10.1056/NEJMoa2206286?utm_source=chatgpt.com" TargetMode="External"/><Relationship Id="rId17" Type="http://schemas.openxmlformats.org/officeDocument/2006/relationships/hyperlink" Target="https://doi.org/10.1001/jamaneurol.2025.0353&#8288;" TargetMode="External"/><Relationship Id="rId25" Type="http://schemas.openxmlformats.org/officeDocument/2006/relationships/footer" Target="footer3.xml"/><Relationship Id="rId2" Type="http://schemas.openxmlformats.org/officeDocument/2006/relationships/styles" Target="styles.xml"/><Relationship Id="rId16" Type="http://schemas.openxmlformats.org/officeDocument/2006/relationships/hyperlink" Target="https://doi.org/10.1111/dom.12259"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56/NEJMoa2107038?utm_source=chatgpt.com" TargetMode="External"/><Relationship Id="rId24"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https://doi.org/10.1056/NEJMoa2204233" TargetMode="External"/><Relationship Id="rId23" Type="http://schemas.openxmlformats.org/officeDocument/2006/relationships/footer" Target="footer2.xml"/><Relationship Id="rId10" Type="http://schemas.openxmlformats.org/officeDocument/2006/relationships/hyperlink" Target="https://doi.org/10.1056/NEJMoa2022190" TargetMode="External"/><Relationship Id="rId19" Type="http://schemas.openxmlformats.org/officeDocument/2006/relationships/hyperlink" Target="https://doi.org/10.1056/NEJMoa2409183." TargetMode="External"/><Relationship Id="rId4" Type="http://schemas.openxmlformats.org/officeDocument/2006/relationships/webSettings" Target="webSettings.xml"/><Relationship Id="rId9" Type="http://schemas.openxmlformats.org/officeDocument/2006/relationships/hyperlink" Target="https://doi.org/10.1056/NEJMoa1911303" TargetMode="External"/><Relationship Id="rId14" Type="http://schemas.openxmlformats.org/officeDocument/2006/relationships/hyperlink" Target="https://doi.org/10.1056/NEJMoa2024816" TargetMode="External"/><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25</Pages>
  <Words>7221</Words>
  <Characters>41162</Characters>
  <Application>Microsoft Office Word</Application>
  <DocSecurity>0</DocSecurity>
  <Lines>343</Lines>
  <Paragraphs>96</Paragraphs>
  <ScaleCrop>false</ScaleCrop>
  <Company/>
  <LinksUpToDate>false</LinksUpToDate>
  <CharactersWithSpaces>48287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SDI 1166</cp:lastModifiedBy>
  <cp:revision>5</cp:revision>
  <dcterms:created xsi:type="dcterms:W3CDTF">2026-08-27T07:12:00Z</dcterms:created>
  <dcterms:modified xsi:type="dcterms:W3CDTF">2026-08-27T12:40:00Z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eyJoZGlkIjoiZmRiMGQ3YjhkZDJlYjU3MGVmM2E4Zjg1N2U2OTU0NDYiLCJ1c2VySWQiOiI1NjcxMzM5MjI3MTQifQ==</vt:lpwstr>
  </property>
  <property fmtid="{D5CDD505-2E9C-101B-9397-08002B2CF9AE}" pid="3" name="KSOProductBuildVer">
    <vt:lpwstr>1033-12.1.0.28032</vt:lpwstr>
  </property>
  <property fmtid="{D5CDD505-2E9C-101B-9397-08002B2CF9AE}" pid="4" name="ICV">
    <vt:lpwstr>650A1F1CAF4949D5B549D305EABFB5D8_12</vt:lpwstr>
  </property>
</Properties>
</file>