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1482A" w14:textId="77777777" w:rsidR="00BC3294" w:rsidRPr="00A6483F" w:rsidRDefault="00BC3294" w:rsidP="00680DEE">
      <w:pPr>
        <w:tabs>
          <w:tab w:val="left" w:pos="8100"/>
        </w:tabs>
        <w:spacing w:after="0" w:line="360" w:lineRule="auto"/>
        <w:jc w:val="right"/>
        <w:rPr>
          <w:rFonts w:ascii="Arial" w:hAnsi="Arial" w:cs="Arial"/>
          <w:b/>
          <w:color w:val="000000" w:themeColor="text1"/>
          <w:sz w:val="36"/>
          <w:szCs w:val="36"/>
          <w:u w:val="single"/>
        </w:rPr>
      </w:pPr>
      <w:r w:rsidRPr="00A6483F">
        <w:rPr>
          <w:rFonts w:ascii="Arial" w:hAnsi="Arial" w:cs="Arial"/>
          <w:b/>
          <w:color w:val="000000" w:themeColor="text1"/>
          <w:sz w:val="36"/>
          <w:szCs w:val="36"/>
          <w:u w:val="single"/>
        </w:rPr>
        <w:t>Original Research Article</w:t>
      </w:r>
    </w:p>
    <w:p w14:paraId="0E3A472E" w14:textId="77777777" w:rsidR="009273AC" w:rsidRPr="00A6483F" w:rsidRDefault="009273AC" w:rsidP="00680DEE">
      <w:pPr>
        <w:tabs>
          <w:tab w:val="left" w:pos="8100"/>
        </w:tabs>
        <w:spacing w:after="0" w:line="360" w:lineRule="auto"/>
        <w:jc w:val="right"/>
        <w:rPr>
          <w:rFonts w:ascii="Arial" w:hAnsi="Arial" w:cs="Arial"/>
          <w:b/>
          <w:color w:val="000000" w:themeColor="text1"/>
          <w:sz w:val="36"/>
          <w:szCs w:val="36"/>
        </w:rPr>
      </w:pPr>
      <w:r w:rsidRPr="00A6483F">
        <w:rPr>
          <w:rFonts w:ascii="Arial" w:hAnsi="Arial" w:cs="Arial"/>
          <w:b/>
          <w:color w:val="000000" w:themeColor="text1"/>
          <w:sz w:val="36"/>
          <w:szCs w:val="36"/>
        </w:rPr>
        <w:t xml:space="preserve">Evaluation of antistress and neuroprotective potential of </w:t>
      </w:r>
      <w:proofErr w:type="spellStart"/>
      <w:r w:rsidRPr="00A6483F">
        <w:rPr>
          <w:rFonts w:ascii="Arial" w:hAnsi="Arial" w:cs="Arial"/>
          <w:b/>
          <w:i/>
          <w:iCs/>
          <w:color w:val="000000" w:themeColor="text1"/>
          <w:sz w:val="36"/>
          <w:szCs w:val="36"/>
        </w:rPr>
        <w:t>Ichnocarpus</w:t>
      </w:r>
      <w:proofErr w:type="spellEnd"/>
      <w:r w:rsidRPr="00A6483F">
        <w:rPr>
          <w:rFonts w:ascii="Arial" w:hAnsi="Arial" w:cs="Arial"/>
          <w:b/>
          <w:i/>
          <w:iCs/>
          <w:color w:val="000000" w:themeColor="text1"/>
          <w:sz w:val="36"/>
          <w:szCs w:val="36"/>
        </w:rPr>
        <w:t xml:space="preserve"> frutescens</w:t>
      </w:r>
      <w:r w:rsidRPr="00A6483F">
        <w:rPr>
          <w:rFonts w:ascii="Arial" w:hAnsi="Arial" w:cs="Arial"/>
          <w:b/>
          <w:color w:val="000000" w:themeColor="text1"/>
          <w:sz w:val="36"/>
          <w:szCs w:val="36"/>
        </w:rPr>
        <w:t xml:space="preserve"> </w:t>
      </w:r>
      <w:r w:rsidR="00612664" w:rsidRPr="00A6483F">
        <w:rPr>
          <w:rFonts w:ascii="Arial" w:hAnsi="Arial" w:cs="Arial"/>
          <w:b/>
          <w:color w:val="000000" w:themeColor="text1"/>
          <w:sz w:val="36"/>
          <w:szCs w:val="36"/>
        </w:rPr>
        <w:t xml:space="preserve">(L.) W. T. Aiton </w:t>
      </w:r>
      <w:r w:rsidRPr="00A6483F">
        <w:rPr>
          <w:rFonts w:ascii="Arial" w:hAnsi="Arial" w:cs="Arial"/>
          <w:b/>
          <w:color w:val="000000" w:themeColor="text1"/>
          <w:sz w:val="36"/>
          <w:szCs w:val="36"/>
        </w:rPr>
        <w:t xml:space="preserve">root extract in </w:t>
      </w:r>
      <w:r w:rsidRPr="00A6483F">
        <w:rPr>
          <w:rFonts w:ascii="Arial" w:hAnsi="Arial" w:cs="Arial"/>
          <w:b/>
          <w:i/>
          <w:iCs/>
          <w:color w:val="000000" w:themeColor="text1"/>
          <w:sz w:val="36"/>
          <w:szCs w:val="36"/>
        </w:rPr>
        <w:t>Drosophila melanogaster</w:t>
      </w:r>
    </w:p>
    <w:p w14:paraId="6CC973F8" w14:textId="77777777" w:rsidR="009273AC" w:rsidRPr="00A6483F" w:rsidRDefault="009273AC" w:rsidP="009273AC">
      <w:pPr>
        <w:tabs>
          <w:tab w:val="left" w:pos="8100"/>
        </w:tabs>
        <w:spacing w:after="0" w:line="360" w:lineRule="auto"/>
        <w:jc w:val="both"/>
        <w:rPr>
          <w:rFonts w:ascii="Arial" w:hAnsi="Arial" w:cs="Arial"/>
          <w:bCs/>
          <w:color w:val="000000" w:themeColor="text1"/>
          <w:sz w:val="36"/>
          <w:szCs w:val="36"/>
        </w:rPr>
      </w:pPr>
    </w:p>
    <w:p w14:paraId="0772DD25" w14:textId="77777777" w:rsidR="002D5611" w:rsidRPr="00A6483F" w:rsidRDefault="002D5611" w:rsidP="00F612B9">
      <w:pPr>
        <w:jc w:val="both"/>
        <w:rPr>
          <w:rFonts w:ascii="Arial" w:hAnsi="Arial" w:cs="Arial"/>
          <w:bCs/>
          <w:sz w:val="20"/>
          <w:szCs w:val="20"/>
        </w:rPr>
      </w:pPr>
      <w:r w:rsidRPr="00A6483F">
        <w:rPr>
          <w:rFonts w:ascii="Arial" w:hAnsi="Arial" w:cs="Arial"/>
          <w:noProof/>
        </w:rPr>
        <mc:AlternateContent>
          <mc:Choice Requires="wps">
            <w:drawing>
              <wp:inline distT="0" distB="0" distL="0" distR="0" wp14:anchorId="0B8DA641" wp14:editId="000945C7">
                <wp:extent cx="5303520" cy="635"/>
                <wp:effectExtent l="9525" t="9525" r="11430" b="9525"/>
                <wp:docPr id="213932899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39FD74D8" id="_x0000_t32" coordsize="21600,21600" o:spt="32" o:oned="t" path="m,l21600,21600e" filled="f">
                <v:path arrowok="t" fillok="f" o:connecttype="none"/>
                <o:lock v:ext="edit" shapetype="t"/>
              </v:shapetype>
              <v:shape id="Straight Arrow Connector 1"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p>
    <w:p w14:paraId="5C9A8538" w14:textId="77777777" w:rsidR="00F612B9" w:rsidRPr="00A6483F" w:rsidRDefault="00F612B9" w:rsidP="00F612B9">
      <w:pPr>
        <w:jc w:val="both"/>
        <w:rPr>
          <w:rFonts w:ascii="Arial" w:hAnsi="Arial" w:cs="Arial"/>
          <w:bCs/>
          <w:sz w:val="20"/>
          <w:szCs w:val="20"/>
        </w:rPr>
      </w:pPr>
    </w:p>
    <w:p w14:paraId="2EF598B3" w14:textId="77777777" w:rsidR="00874EC9" w:rsidRPr="00A6483F" w:rsidRDefault="00F612B9" w:rsidP="00F612B9">
      <w:pPr>
        <w:rPr>
          <w:rFonts w:ascii="Arial" w:hAnsi="Arial" w:cs="Arial"/>
          <w:bCs/>
        </w:rPr>
      </w:pPr>
      <w:r w:rsidRPr="00A6483F">
        <w:rPr>
          <w:rFonts w:ascii="Arial" w:hAnsi="Arial" w:cs="Arial"/>
          <w:b/>
          <w:bCs/>
          <w:lang w:val="en-US"/>
        </w:rPr>
        <w:t>ABSTRACT</w:t>
      </w:r>
    </w:p>
    <w:p w14:paraId="3AFFFA26" w14:textId="77777777" w:rsidR="005E131D" w:rsidRPr="00A6483F" w:rsidRDefault="005E131D" w:rsidP="00057006">
      <w:pPr>
        <w:spacing w:line="240" w:lineRule="auto"/>
        <w:jc w:val="both"/>
      </w:pPr>
      <w:r w:rsidRPr="00A6483F">
        <w:t xml:space="preserve">Oxidative stress contributes to cellular dysfunction and is associated with chronic and neurodegenerative disorders, prompting interest in plant-derived antioxidant agents. This study evaluated the antistress and neuroprotective potential of the ethyl acetate (EA) root extract of </w:t>
      </w:r>
      <w:proofErr w:type="spellStart"/>
      <w:r w:rsidRPr="00A6483F">
        <w:rPr>
          <w:rStyle w:val="Emphasis"/>
        </w:rPr>
        <w:t>Ichnocarpus</w:t>
      </w:r>
      <w:proofErr w:type="spellEnd"/>
      <w:r w:rsidRPr="00A6483F">
        <w:rPr>
          <w:rStyle w:val="Emphasis"/>
        </w:rPr>
        <w:t xml:space="preserve"> frutescens</w:t>
      </w:r>
      <w:r w:rsidRPr="00A6483F">
        <w:t xml:space="preserve"> using </w:t>
      </w:r>
      <w:r w:rsidRPr="00A6483F">
        <w:rPr>
          <w:rStyle w:val="Emphasis"/>
        </w:rPr>
        <w:t>Drosophila melanogaster</w:t>
      </w:r>
      <w:r w:rsidRPr="00A6483F">
        <w:t xml:space="preserve">. HPLC profiling identified rutin, kaempferol, lupeol, colchicine and quercetin, with rutin and kaempferol as the predominant detected constituents. Developmental safety was assessed through survivorship and progression from larval to pupal stages across extract concentrations of 1.0–2.5 mg mL⁻¹. No larval mortality was recorded during the observation period. Behavioural effects were assessed using larval crawling and adult climbing assays. The 2.0 mg mL⁻¹ treatment showed the highest locomotor performance, including a crawling distance of 4.3 ± 0.41 cm at 15 min. Molecular analysis of stress-related genes </w:t>
      </w:r>
      <w:proofErr w:type="spellStart"/>
      <w:r w:rsidRPr="00A6483F">
        <w:t>AChE</w:t>
      </w:r>
      <w:proofErr w:type="spellEnd"/>
      <w:r w:rsidRPr="00A6483F">
        <w:t xml:space="preserve"> and GstD1 and antioxidant genes Cu/Zn-SOD and Mn-SOD showed reduced expression in extract-treated flies relative to controls. Taken together, the findings indicate that the EA root extract of </w:t>
      </w:r>
      <w:r w:rsidRPr="00A6483F">
        <w:rPr>
          <w:rStyle w:val="Emphasis"/>
        </w:rPr>
        <w:t>I. frutescens</w:t>
      </w:r>
      <w:r w:rsidRPr="00A6483F">
        <w:t xml:space="preserve"> was associated with preserved developmental viability, improved locomotor performance and reduced expression of selected stress- and antioxidant-related genes under the conditions of this study. The observed effects are consistent with the antioxidant phytochemical profile of the extract and support further evaluation of its antistress and neuroprotective potential.</w:t>
      </w:r>
    </w:p>
    <w:p w14:paraId="06731038" w14:textId="77777777" w:rsidR="005E131D" w:rsidRPr="00A6483F" w:rsidRDefault="005E131D" w:rsidP="00057006">
      <w:pPr>
        <w:spacing w:line="240" w:lineRule="auto"/>
        <w:jc w:val="both"/>
      </w:pPr>
    </w:p>
    <w:p w14:paraId="735733E3" w14:textId="092C6032" w:rsidR="00D45A98" w:rsidRPr="00A6483F" w:rsidRDefault="00D45A98" w:rsidP="00057006">
      <w:pPr>
        <w:spacing w:line="240" w:lineRule="auto"/>
        <w:jc w:val="both"/>
        <w:rPr>
          <w:rFonts w:ascii="Arial" w:hAnsi="Arial" w:cs="Arial"/>
          <w:i/>
          <w:iCs/>
          <w:sz w:val="20"/>
          <w:szCs w:val="20"/>
          <w:lang w:val="en-US"/>
        </w:rPr>
      </w:pPr>
      <w:r w:rsidRPr="00A6483F">
        <w:rPr>
          <w:rFonts w:ascii="Arial" w:hAnsi="Arial" w:cs="Arial"/>
          <w:b/>
          <w:bCs/>
          <w:i/>
          <w:iCs/>
          <w:sz w:val="20"/>
          <w:szCs w:val="20"/>
          <w:lang w:val="en-US"/>
        </w:rPr>
        <w:t>Key words</w:t>
      </w:r>
      <w:r w:rsidRPr="00A6483F">
        <w:rPr>
          <w:rFonts w:ascii="Arial" w:hAnsi="Arial" w:cs="Arial"/>
          <w:sz w:val="20"/>
          <w:szCs w:val="20"/>
          <w:lang w:val="en-US"/>
        </w:rPr>
        <w:t xml:space="preserve">: </w:t>
      </w:r>
      <w:r w:rsidRPr="00A6483F">
        <w:rPr>
          <w:rFonts w:ascii="Arial" w:hAnsi="Arial" w:cs="Arial"/>
          <w:i/>
          <w:iCs/>
          <w:sz w:val="20"/>
          <w:szCs w:val="20"/>
          <w:lang w:val="en-US"/>
        </w:rPr>
        <w:t>Drosophila melanogaster</w:t>
      </w:r>
      <w:r w:rsidRPr="00A6483F">
        <w:rPr>
          <w:rFonts w:ascii="Arial" w:hAnsi="Arial" w:cs="Arial"/>
          <w:sz w:val="20"/>
          <w:szCs w:val="20"/>
          <w:lang w:val="en-US"/>
        </w:rPr>
        <w:t xml:space="preserve">, </w:t>
      </w:r>
      <w:r w:rsidRPr="00A6483F">
        <w:rPr>
          <w:rFonts w:ascii="Arial" w:hAnsi="Arial" w:cs="Arial"/>
          <w:i/>
          <w:iCs/>
          <w:sz w:val="20"/>
          <w:szCs w:val="20"/>
          <w:lang w:val="en-US"/>
        </w:rPr>
        <w:t xml:space="preserve">Oxidative stress, </w:t>
      </w:r>
      <w:proofErr w:type="spellStart"/>
      <w:r w:rsidRPr="00A6483F">
        <w:rPr>
          <w:rFonts w:ascii="Arial" w:hAnsi="Arial" w:cs="Arial"/>
          <w:i/>
          <w:iCs/>
          <w:sz w:val="20"/>
          <w:szCs w:val="20"/>
          <w:lang w:val="en-US"/>
        </w:rPr>
        <w:t>Ichnocarpus</w:t>
      </w:r>
      <w:proofErr w:type="spellEnd"/>
      <w:r w:rsidRPr="00A6483F">
        <w:rPr>
          <w:rFonts w:ascii="Arial" w:hAnsi="Arial" w:cs="Arial"/>
          <w:i/>
          <w:iCs/>
          <w:sz w:val="20"/>
          <w:szCs w:val="20"/>
          <w:lang w:val="en-US"/>
        </w:rPr>
        <w:t xml:space="preserve"> frutescens, HPLC, </w:t>
      </w:r>
      <w:r w:rsidR="0090618E" w:rsidRPr="00A6483F">
        <w:rPr>
          <w:rFonts w:ascii="Arial" w:hAnsi="Arial" w:cs="Arial"/>
          <w:i/>
          <w:iCs/>
          <w:sz w:val="20"/>
          <w:szCs w:val="20"/>
          <w:lang w:val="en-US"/>
        </w:rPr>
        <w:t>Crawling, negative geotaxis</w:t>
      </w:r>
      <w:r w:rsidR="00E423A9" w:rsidRPr="00A6483F">
        <w:rPr>
          <w:rFonts w:ascii="Arial" w:hAnsi="Arial" w:cs="Arial"/>
          <w:i/>
          <w:iCs/>
          <w:sz w:val="20"/>
          <w:szCs w:val="20"/>
          <w:lang w:val="en-US"/>
        </w:rPr>
        <w:t>, RT-</w:t>
      </w:r>
      <w:r w:rsidR="001C73BF" w:rsidRPr="00A6483F">
        <w:rPr>
          <w:rFonts w:ascii="Arial" w:hAnsi="Arial" w:cs="Arial"/>
          <w:i/>
          <w:iCs/>
          <w:sz w:val="20"/>
          <w:szCs w:val="20"/>
          <w:lang w:val="en-US"/>
        </w:rPr>
        <w:t>q</w:t>
      </w:r>
      <w:r w:rsidR="00E423A9" w:rsidRPr="00A6483F">
        <w:rPr>
          <w:rFonts w:ascii="Arial" w:hAnsi="Arial" w:cs="Arial"/>
          <w:i/>
          <w:iCs/>
          <w:sz w:val="20"/>
          <w:szCs w:val="20"/>
          <w:lang w:val="en-US"/>
        </w:rPr>
        <w:t>PCR</w:t>
      </w:r>
    </w:p>
    <w:p w14:paraId="736E8944" w14:textId="77777777" w:rsidR="00584652" w:rsidRPr="00A6483F" w:rsidRDefault="00AD374E" w:rsidP="00057006">
      <w:pPr>
        <w:spacing w:line="240" w:lineRule="auto"/>
        <w:jc w:val="both"/>
        <w:rPr>
          <w:rFonts w:ascii="Arial" w:hAnsi="Arial" w:cs="Arial"/>
          <w:b/>
          <w:bCs/>
          <w:lang w:val="en-US"/>
        </w:rPr>
      </w:pPr>
      <w:r w:rsidRPr="00A6483F">
        <w:rPr>
          <w:rFonts w:ascii="Arial" w:hAnsi="Arial" w:cs="Arial"/>
          <w:b/>
          <w:bCs/>
          <w:lang w:val="en-US"/>
        </w:rPr>
        <w:t>1. INTRODUCTION</w:t>
      </w:r>
    </w:p>
    <w:p w14:paraId="7294F501" w14:textId="77777777" w:rsidR="00ED3056" w:rsidRPr="00A6483F" w:rsidRDefault="00ED3056" w:rsidP="006F5D3B">
      <w:pPr>
        <w:spacing w:line="240" w:lineRule="auto"/>
        <w:ind w:firstLine="720"/>
        <w:jc w:val="both"/>
        <w:rPr>
          <w:rFonts w:ascii="Arial" w:hAnsi="Arial" w:cs="Arial"/>
          <w:sz w:val="20"/>
          <w:szCs w:val="20"/>
          <w:lang w:val="en-US"/>
        </w:rPr>
      </w:pPr>
      <w:r w:rsidRPr="00A6483F">
        <w:rPr>
          <w:rFonts w:ascii="Arial" w:hAnsi="Arial" w:cs="Arial"/>
          <w:sz w:val="20"/>
          <w:szCs w:val="20"/>
          <w:lang w:val="en-US"/>
        </w:rPr>
        <w:t>Stress has become an unavoidable part of modern life, arising from environmental pressures, lifestyle changes and psychological burdens. When the body is exposed to prolonged stress, it disrupts normal physiological balance and triggers excessive production of reactive oxygen species (ROS). This condition, known as oxidative stress, is a major contributor to ageing and the development of several chronic diseases, including neurodegenerative disorders, diabetes, cardiovascular disease and cancer, and it damages vital biomolecules such as lipids, proteins and DNA (Premnath &amp; Veerappapillai, 2026). Because of its wide-ranging impact on health, there is growing interest in identifying safe and effective agents that can help the body cope with stress and restore redox balance.</w:t>
      </w:r>
    </w:p>
    <w:p w14:paraId="57881894" w14:textId="4FC278FC" w:rsidR="000138D1" w:rsidRPr="00A6483F" w:rsidRDefault="00ED3056" w:rsidP="006C7543">
      <w:pPr>
        <w:spacing w:line="240" w:lineRule="auto"/>
        <w:ind w:firstLine="720"/>
        <w:jc w:val="both"/>
        <w:rPr>
          <w:rFonts w:ascii="Arial" w:hAnsi="Arial" w:cs="Arial"/>
          <w:sz w:val="20"/>
          <w:szCs w:val="20"/>
          <w:lang w:val="en-US"/>
        </w:rPr>
      </w:pPr>
      <w:r w:rsidRPr="00A6483F">
        <w:rPr>
          <w:rFonts w:ascii="Arial" w:hAnsi="Arial" w:cs="Arial"/>
          <w:sz w:val="20"/>
          <w:szCs w:val="20"/>
          <w:lang w:val="en-US"/>
        </w:rPr>
        <w:t xml:space="preserve">In this context, medicinal plants have long been recognised as a natural source of healing and resilience. Traditional medicine systems continue to play a crucial role in disease prevention and primary healthcare, with nearly 80% of the global population relying on plant-based medicine in the form of crude drugs, extracts or herbal formulations (Latif &amp; Nawaz, 2026). More than fifty thousand plant species are used worldwide in traditional medicine, and many of these have also contributed to the development of modern allopathic medicines (Kumar et al., 2026). Among the various medicinal plant families, Apocynaceae holds a special place because of its abundance of pharmacologically active </w:t>
      </w:r>
      <w:r w:rsidRPr="00A6483F">
        <w:rPr>
          <w:rFonts w:ascii="Arial" w:hAnsi="Arial" w:cs="Arial"/>
          <w:sz w:val="20"/>
          <w:szCs w:val="20"/>
          <w:lang w:val="en-US"/>
        </w:rPr>
        <w:lastRenderedPageBreak/>
        <w:t xml:space="preserve">compounds. This family has also been widely reported to exhibit antioxidant, antidiabetic, anti-inflammatory, antimicrobial, anticancer and neuroprotective properties, making it valuable in both traditional and modern medicine (Naik, 2026; </w:t>
      </w:r>
      <w:r w:rsidR="0060385C" w:rsidRPr="0060385C">
        <w:rPr>
          <w:rFonts w:ascii="Arial" w:hAnsi="Arial" w:cs="Arial"/>
          <w:sz w:val="20"/>
          <w:szCs w:val="20"/>
          <w:lang w:val="en-US"/>
        </w:rPr>
        <w:t>Ghodke</w:t>
      </w:r>
      <w:r w:rsidRPr="00A6483F">
        <w:rPr>
          <w:rFonts w:ascii="Arial" w:hAnsi="Arial" w:cs="Arial"/>
          <w:sz w:val="20"/>
          <w:szCs w:val="20"/>
          <w:lang w:val="en-US"/>
        </w:rPr>
        <w:t xml:space="preserve"> &amp; Sharma, 2026). One such important medicinal plant is </w:t>
      </w:r>
      <w:r w:rsidRPr="00A6483F">
        <w:rPr>
          <w:rFonts w:ascii="Arial" w:hAnsi="Arial" w:cs="Arial"/>
          <w:i/>
          <w:sz w:val="20"/>
          <w:szCs w:val="20"/>
          <w:lang w:val="en-US"/>
        </w:rPr>
        <w:t>Ichnocarpus frutescens</w:t>
      </w:r>
      <w:r w:rsidRPr="00A6483F">
        <w:rPr>
          <w:rFonts w:ascii="Arial" w:hAnsi="Arial" w:cs="Arial"/>
          <w:sz w:val="20"/>
          <w:szCs w:val="20"/>
          <w:lang w:val="en-US"/>
        </w:rPr>
        <w:t xml:space="preserve"> (L.) W. T. Aiton, commonly known as black creeper, belonging to the family Apocynaceae. In Ayurvedic medicine, it is recognised as Sariva and has been widely used since ancient times for its therapeutic properties. In Ayurveda, it is regarded as a substitute for </w:t>
      </w:r>
      <w:r w:rsidRPr="00A6483F">
        <w:rPr>
          <w:rFonts w:ascii="Arial" w:hAnsi="Arial" w:cs="Arial"/>
          <w:i/>
          <w:sz w:val="20"/>
          <w:szCs w:val="20"/>
          <w:lang w:val="en-US"/>
        </w:rPr>
        <w:t>Hemidesmus indicus</w:t>
      </w:r>
      <w:r w:rsidRPr="00A6483F">
        <w:rPr>
          <w:rFonts w:ascii="Arial" w:hAnsi="Arial" w:cs="Arial"/>
          <w:sz w:val="20"/>
          <w:szCs w:val="20"/>
          <w:lang w:val="en-US"/>
        </w:rPr>
        <w:t xml:space="preserve"> (Kumarappan et al., 2015). The roots of </w:t>
      </w:r>
      <w:r w:rsidRPr="00A6483F">
        <w:rPr>
          <w:rFonts w:ascii="Arial" w:hAnsi="Arial" w:cs="Arial"/>
          <w:i/>
          <w:sz w:val="20"/>
          <w:szCs w:val="20"/>
          <w:lang w:val="en-US"/>
        </w:rPr>
        <w:t>I. frutescens</w:t>
      </w:r>
      <w:r w:rsidRPr="00A6483F">
        <w:rPr>
          <w:rFonts w:ascii="Arial" w:hAnsi="Arial" w:cs="Arial"/>
          <w:sz w:val="20"/>
          <w:szCs w:val="20"/>
          <w:lang w:val="en-US"/>
        </w:rPr>
        <w:t xml:space="preserve"> contain a wide range of bioactive compounds, including phenols, flavonoids, sterols, coumarins, saponins, glycosides and triterpenoids. These phytoconstituents exhibit a wide range of pharmacological activities, including hepatoprotective, analgesic, antidiabetic and antitumorigenic activities (Dwivedi et al., 2025). Moreover, they have shown potential in managing complex conditions such as cancer, cardiovascular disease and neurological disorders (Mohsina et al., 2022). Among these biological properties, antioxidants play a crucial role in protecting cells from oxidative stress. Natural antioxidants derived from medicinal plants can reduce oxidative stress by scavenging reactive oxygen species and enhancing endogenous defence mechanisms. Consequently, plant-derived antioxidant compounds have gained increasing attention as potential anti-ageing and antistress agents (Nowak-Perlak et al., 2025).</w:t>
      </w:r>
    </w:p>
    <w:p w14:paraId="1B23D14A" w14:textId="77777777" w:rsidR="00DC3452" w:rsidRPr="00A6483F" w:rsidRDefault="00000000">
      <w:pPr>
        <w:spacing w:line="240" w:lineRule="auto"/>
        <w:ind w:firstLine="720"/>
        <w:jc w:val="both"/>
        <w:rPr>
          <w:rFonts w:ascii="Arial" w:hAnsi="Arial" w:cs="Arial"/>
          <w:sz w:val="20"/>
          <w:szCs w:val="20"/>
          <w:lang w:val="en-US"/>
        </w:rPr>
      </w:pPr>
      <w:r w:rsidRPr="00A6483F">
        <w:rPr>
          <w:rFonts w:ascii="Arial" w:hAnsi="Arial"/>
          <w:sz w:val="20"/>
        </w:rPr>
        <w:t xml:space="preserve">Recent studies using </w:t>
      </w:r>
      <w:r w:rsidRPr="00A6483F">
        <w:rPr>
          <w:rFonts w:ascii="Arial" w:hAnsi="Arial"/>
          <w:i/>
          <w:sz w:val="20"/>
        </w:rPr>
        <w:t>D. melanogaster</w:t>
      </w:r>
      <w:r w:rsidRPr="00A6483F">
        <w:rPr>
          <w:rFonts w:ascii="Arial" w:hAnsi="Arial"/>
          <w:sz w:val="20"/>
        </w:rPr>
        <w:t xml:space="preserve"> have shown that plant-derived preparations and phytochemicals can modify oxidative-stress responses and locomotor performance under experimentally induced stress, supporting the use of this model for evaluating antioxidant and neuroprotective effects (Iorjiim et al., 2025; Adedara et al., 2024; Kalra et al., 2024). Dietary white tea extract has likewise been reported to improve oxidative-stress resistance, climbing performance and antioxidant-related gene responses in </w:t>
      </w:r>
      <w:r w:rsidRPr="00A6483F">
        <w:rPr>
          <w:rFonts w:ascii="Arial" w:hAnsi="Arial"/>
          <w:i/>
          <w:sz w:val="20"/>
        </w:rPr>
        <w:t>D. melanogaster</w:t>
      </w:r>
      <w:r w:rsidRPr="00A6483F">
        <w:rPr>
          <w:rFonts w:ascii="Arial" w:hAnsi="Arial"/>
          <w:sz w:val="20"/>
        </w:rPr>
        <w:t xml:space="preserve"> (Yang et al., 2025).</w:t>
      </w:r>
    </w:p>
    <w:p w14:paraId="4820D076" w14:textId="77777777" w:rsidR="00DC3452" w:rsidRPr="00A6483F" w:rsidRDefault="00000000">
      <w:pPr>
        <w:spacing w:line="240" w:lineRule="auto"/>
        <w:ind w:firstLine="720"/>
        <w:jc w:val="both"/>
        <w:rPr>
          <w:rFonts w:ascii="Arial" w:hAnsi="Arial" w:cs="Arial"/>
          <w:sz w:val="20"/>
          <w:szCs w:val="20"/>
          <w:lang w:val="en-US"/>
        </w:rPr>
      </w:pPr>
      <w:r w:rsidRPr="00A6483F">
        <w:rPr>
          <w:rFonts w:ascii="Arial" w:hAnsi="Arial"/>
          <w:sz w:val="20"/>
        </w:rPr>
        <w:t xml:space="preserve">Despite the reported pharmacological activities of </w:t>
      </w:r>
      <w:r w:rsidRPr="00A6483F">
        <w:rPr>
          <w:rFonts w:ascii="Arial" w:hAnsi="Arial"/>
          <w:i/>
          <w:sz w:val="20"/>
        </w:rPr>
        <w:t>I. frutescens</w:t>
      </w:r>
      <w:r w:rsidRPr="00A6483F">
        <w:rPr>
          <w:rFonts w:ascii="Arial" w:hAnsi="Arial"/>
          <w:sz w:val="20"/>
        </w:rPr>
        <w:t xml:space="preserve">, its antistress potential remains insufficiently explored, particularly in relation to developmental safety, locomotor behaviour, and stress- and antioxidant-related gene expression within a single experimental framework. Evidence specifically addressing the ethyl acetate root extract across these complementary endpoints in </w:t>
      </w:r>
      <w:r w:rsidRPr="00A6483F">
        <w:rPr>
          <w:rFonts w:ascii="Arial" w:hAnsi="Arial"/>
          <w:i/>
          <w:sz w:val="20"/>
        </w:rPr>
        <w:t>D. melanogaster</w:t>
      </w:r>
      <w:r w:rsidRPr="00A6483F">
        <w:rPr>
          <w:rFonts w:ascii="Arial" w:hAnsi="Arial"/>
          <w:sz w:val="20"/>
        </w:rPr>
        <w:t xml:space="preserve"> remains limited.</w:t>
      </w:r>
    </w:p>
    <w:p w14:paraId="2DEA0AC5" w14:textId="77777777" w:rsidR="00844EE8" w:rsidRPr="00A6483F" w:rsidRDefault="000138D1" w:rsidP="006C7543">
      <w:pPr>
        <w:spacing w:line="240" w:lineRule="auto"/>
        <w:ind w:firstLine="720"/>
        <w:jc w:val="both"/>
        <w:rPr>
          <w:rFonts w:ascii="Arial" w:hAnsi="Arial" w:cs="Arial"/>
          <w:sz w:val="20"/>
          <w:szCs w:val="20"/>
          <w:lang w:val="en-US"/>
        </w:rPr>
      </w:pPr>
      <w:r w:rsidRPr="00A6483F">
        <w:rPr>
          <w:rFonts w:ascii="Arial" w:hAnsi="Arial" w:cs="Arial"/>
          <w:sz w:val="20"/>
          <w:szCs w:val="20"/>
          <w:lang w:val="en-US"/>
        </w:rPr>
        <w:t xml:space="preserve">To evaluate such biological effects, </w:t>
      </w:r>
      <w:r w:rsidRPr="00A6483F">
        <w:rPr>
          <w:rFonts w:ascii="Arial" w:hAnsi="Arial" w:cs="Arial"/>
          <w:i/>
          <w:sz w:val="20"/>
          <w:szCs w:val="20"/>
          <w:lang w:val="en-US"/>
        </w:rPr>
        <w:t>Drosophila melanogaster</w:t>
      </w:r>
      <w:r w:rsidRPr="00A6483F">
        <w:rPr>
          <w:rFonts w:ascii="Arial" w:hAnsi="Arial" w:cs="Arial"/>
          <w:sz w:val="20"/>
          <w:szCs w:val="20"/>
          <w:lang w:val="en-US"/>
        </w:rPr>
        <w:t xml:space="preserve"> (common fruit fly) has emerged as a powerful and reliable experimental model for evaluating the biological effects of natural products because of its strong genetic similarity to humans. Approximately 60% of the </w:t>
      </w:r>
      <w:r w:rsidRPr="00A6483F">
        <w:rPr>
          <w:rFonts w:ascii="Arial" w:hAnsi="Arial" w:cs="Arial"/>
          <w:i/>
          <w:sz w:val="20"/>
          <w:szCs w:val="20"/>
          <w:lang w:val="en-US"/>
        </w:rPr>
        <w:t>Drosophila</w:t>
      </w:r>
      <w:r w:rsidRPr="00A6483F">
        <w:rPr>
          <w:rFonts w:ascii="Arial" w:hAnsi="Arial" w:cs="Arial"/>
          <w:sz w:val="20"/>
          <w:szCs w:val="20"/>
          <w:lang w:val="en-US"/>
        </w:rPr>
        <w:t xml:space="preserve"> genome is homologous to the human genome, and nearly 77% of human disease-related genes have homologues in </w:t>
      </w:r>
      <w:r w:rsidRPr="00A6483F">
        <w:rPr>
          <w:rFonts w:ascii="Arial" w:hAnsi="Arial" w:cs="Arial"/>
          <w:i/>
          <w:sz w:val="20"/>
          <w:szCs w:val="20"/>
          <w:lang w:val="en-US"/>
        </w:rPr>
        <w:t>D. melanogaster</w:t>
      </w:r>
      <w:r w:rsidRPr="00A6483F">
        <w:rPr>
          <w:rFonts w:ascii="Arial" w:hAnsi="Arial" w:cs="Arial"/>
          <w:sz w:val="20"/>
          <w:szCs w:val="20"/>
          <w:lang w:val="en-US"/>
        </w:rPr>
        <w:t xml:space="preserve">. The fly also possesses a short life cycle, a high reproductive rate, ease of maintenance and well-characterised genetics (Mirzoyan et al., 2019; Adhikary &amp; Deb, 2022). These features make </w:t>
      </w:r>
      <w:r w:rsidRPr="00A6483F">
        <w:rPr>
          <w:rFonts w:ascii="Arial" w:hAnsi="Arial" w:cs="Arial"/>
          <w:i/>
          <w:sz w:val="20"/>
          <w:szCs w:val="20"/>
          <w:lang w:val="en-US"/>
        </w:rPr>
        <w:t>D. melanogaster</w:t>
      </w:r>
      <w:r w:rsidRPr="00A6483F">
        <w:rPr>
          <w:rFonts w:ascii="Arial" w:hAnsi="Arial" w:cs="Arial"/>
          <w:sz w:val="20"/>
          <w:szCs w:val="20"/>
          <w:lang w:val="en-US"/>
        </w:rPr>
        <w:t xml:space="preserve"> particularly suitable for lifespan, stress-resistance, developmental-toxicity and behavioural studies. Therefore, the present study aimed to characterise the phytochemical constituents of the ethyl acetate (EA) root extract of </w:t>
      </w:r>
      <w:r w:rsidRPr="00A6483F">
        <w:rPr>
          <w:rFonts w:ascii="Arial" w:hAnsi="Arial" w:cs="Arial"/>
          <w:i/>
          <w:sz w:val="20"/>
          <w:szCs w:val="20"/>
          <w:lang w:val="en-US"/>
        </w:rPr>
        <w:t>I. frutescens</w:t>
      </w:r>
      <w:r w:rsidRPr="00A6483F">
        <w:rPr>
          <w:rFonts w:ascii="Arial" w:hAnsi="Arial" w:cs="Arial"/>
          <w:sz w:val="20"/>
          <w:szCs w:val="20"/>
          <w:lang w:val="en-US"/>
        </w:rPr>
        <w:t xml:space="preserve"> and evaluate its antistress potential using </w:t>
      </w:r>
      <w:r w:rsidRPr="00A6483F">
        <w:rPr>
          <w:rFonts w:ascii="Arial" w:hAnsi="Arial" w:cs="Arial"/>
          <w:i/>
          <w:sz w:val="20"/>
          <w:szCs w:val="20"/>
          <w:lang w:val="en-US"/>
        </w:rPr>
        <w:t>D. melanogaster</w:t>
      </w:r>
      <w:r w:rsidRPr="00A6483F">
        <w:rPr>
          <w:rFonts w:ascii="Arial" w:hAnsi="Arial" w:cs="Arial"/>
          <w:sz w:val="20"/>
          <w:szCs w:val="20"/>
          <w:lang w:val="en-US"/>
        </w:rPr>
        <w:t xml:space="preserve"> as an experimental model through developmental, behavioural and stress-related gene-expression analyses.</w:t>
      </w:r>
    </w:p>
    <w:p w14:paraId="06AC017C" w14:textId="77777777" w:rsidR="006C7543" w:rsidRPr="00A6483F" w:rsidRDefault="006C7543" w:rsidP="006C7543">
      <w:pPr>
        <w:spacing w:line="240" w:lineRule="auto"/>
        <w:ind w:firstLine="720"/>
        <w:jc w:val="both"/>
        <w:rPr>
          <w:rFonts w:ascii="Arial" w:hAnsi="Arial" w:cs="Arial"/>
          <w:lang w:val="en-US"/>
        </w:rPr>
      </w:pPr>
    </w:p>
    <w:p w14:paraId="0FC1A454" w14:textId="77777777" w:rsidR="00FA3CE6" w:rsidRPr="00A6483F" w:rsidRDefault="00AD374E" w:rsidP="00057006">
      <w:pPr>
        <w:spacing w:line="240" w:lineRule="auto"/>
        <w:jc w:val="both"/>
        <w:rPr>
          <w:rFonts w:ascii="Arial" w:hAnsi="Arial" w:cs="Arial"/>
          <w:b/>
          <w:bCs/>
          <w:lang w:val="en-US"/>
        </w:rPr>
      </w:pPr>
      <w:r w:rsidRPr="00A6483F">
        <w:rPr>
          <w:rFonts w:ascii="Arial" w:hAnsi="Arial" w:cs="Arial"/>
          <w:b/>
          <w:bCs/>
          <w:lang w:val="en-US"/>
        </w:rPr>
        <w:t xml:space="preserve">2. </w:t>
      </w:r>
      <w:r w:rsidR="00437486" w:rsidRPr="00A6483F">
        <w:rPr>
          <w:rFonts w:ascii="Arial" w:hAnsi="Arial" w:cs="Arial"/>
          <w:b/>
          <w:bCs/>
          <w:lang w:val="en-US"/>
        </w:rPr>
        <w:t>MATERIALS AND METHODS</w:t>
      </w:r>
    </w:p>
    <w:p w14:paraId="12C9D96C" w14:textId="77777777" w:rsidR="00D45A98" w:rsidRPr="00A6483F" w:rsidRDefault="00D45A98" w:rsidP="00205B24">
      <w:pPr>
        <w:spacing w:line="240" w:lineRule="auto"/>
        <w:rPr>
          <w:rFonts w:ascii="Arial" w:hAnsi="Arial" w:cs="Arial"/>
          <w:b/>
          <w:bCs/>
          <w:sz w:val="20"/>
          <w:szCs w:val="20"/>
          <w:lang w:val="en-US"/>
        </w:rPr>
      </w:pPr>
      <w:r w:rsidRPr="00A6483F">
        <w:rPr>
          <w:rFonts w:ascii="Arial" w:hAnsi="Arial" w:cs="Arial"/>
          <w:b/>
          <w:bCs/>
          <w:sz w:val="20"/>
          <w:szCs w:val="20"/>
          <w:lang w:val="en-US"/>
        </w:rPr>
        <w:t>2.1 Quantification of phytocompounds</w:t>
      </w:r>
    </w:p>
    <w:p w14:paraId="64A6D2D5" w14:textId="77777777" w:rsidR="00EF6FA2" w:rsidRPr="00A6483F" w:rsidRDefault="003C1367" w:rsidP="00205B24">
      <w:pPr>
        <w:spacing w:line="240" w:lineRule="auto"/>
        <w:rPr>
          <w:rFonts w:ascii="Arial" w:hAnsi="Arial" w:cs="Arial"/>
          <w:b/>
          <w:bCs/>
          <w:sz w:val="20"/>
          <w:szCs w:val="20"/>
          <w:lang w:val="en-US"/>
        </w:rPr>
      </w:pPr>
      <w:r w:rsidRPr="00A6483F">
        <w:rPr>
          <w:rFonts w:ascii="Arial" w:hAnsi="Arial" w:cs="Arial"/>
          <w:b/>
          <w:bCs/>
          <w:sz w:val="20"/>
          <w:szCs w:val="20"/>
          <w:lang w:val="en-US"/>
        </w:rPr>
        <w:t>2.1</w:t>
      </w:r>
      <w:r w:rsidR="00D45A98" w:rsidRPr="00A6483F">
        <w:rPr>
          <w:rFonts w:ascii="Arial" w:hAnsi="Arial" w:cs="Arial"/>
          <w:b/>
          <w:bCs/>
          <w:sz w:val="20"/>
          <w:szCs w:val="20"/>
          <w:lang w:val="en-US"/>
        </w:rPr>
        <w:t>.1</w:t>
      </w:r>
      <w:r w:rsidRPr="00A6483F">
        <w:rPr>
          <w:rFonts w:ascii="Arial" w:hAnsi="Arial" w:cs="Arial"/>
          <w:b/>
          <w:bCs/>
          <w:sz w:val="20"/>
          <w:szCs w:val="20"/>
          <w:lang w:val="en-US"/>
        </w:rPr>
        <w:t xml:space="preserve"> </w:t>
      </w:r>
      <w:r w:rsidR="00EF6FA2" w:rsidRPr="00A6483F">
        <w:rPr>
          <w:rFonts w:ascii="Arial" w:hAnsi="Arial" w:cs="Arial"/>
          <w:b/>
          <w:bCs/>
          <w:sz w:val="20"/>
          <w:szCs w:val="20"/>
          <w:lang w:val="en-US"/>
        </w:rPr>
        <w:t>Extraction method</w:t>
      </w:r>
    </w:p>
    <w:p w14:paraId="6EF323F8" w14:textId="77777777" w:rsidR="00EF6FA2" w:rsidRPr="00A6483F" w:rsidRDefault="003C1367" w:rsidP="00D45A98">
      <w:pPr>
        <w:spacing w:line="240" w:lineRule="auto"/>
        <w:ind w:firstLine="720"/>
        <w:jc w:val="both"/>
        <w:rPr>
          <w:rFonts w:ascii="Arial" w:hAnsi="Arial" w:cs="Arial"/>
          <w:sz w:val="20"/>
          <w:szCs w:val="20"/>
          <w:lang w:val="en-US"/>
        </w:rPr>
      </w:pPr>
      <w:r w:rsidRPr="00A6483F">
        <w:rPr>
          <w:rFonts w:ascii="Arial" w:hAnsi="Arial" w:cs="Arial"/>
          <w:sz w:val="20"/>
          <w:szCs w:val="20"/>
          <w:lang w:val="en-US"/>
        </w:rPr>
        <w:t xml:space="preserve">The root extract of </w:t>
      </w:r>
      <w:r w:rsidRPr="00A6483F">
        <w:rPr>
          <w:rFonts w:ascii="Arial" w:hAnsi="Arial" w:cs="Arial"/>
          <w:i/>
          <w:sz w:val="20"/>
          <w:szCs w:val="20"/>
          <w:lang w:val="en-US"/>
        </w:rPr>
        <w:t>Ichnocarpus frutescens</w:t>
      </w:r>
      <w:r w:rsidRPr="00A6483F">
        <w:rPr>
          <w:rFonts w:ascii="Arial" w:hAnsi="Arial" w:cs="Arial"/>
          <w:sz w:val="20"/>
          <w:szCs w:val="20"/>
          <w:lang w:val="en-US"/>
        </w:rPr>
        <w:t xml:space="preserve"> was prepared following the successive solvent-extraction procedure described in our previous study (Kattilaparambil et al., 2025). In that study, the root extracts were subjected to phytochemical quantification to determine the secondary metabolite content, and their antioxidant activity was evaluated using DPPH and ABTS radical-scavenging assays. Based on the phytochemical composition and antioxidant activity results, the ethyl acetate (EA) root extract exhibited the highest antioxidant potential and was therefore selected for the present study to evaluate its antistress activity in </w:t>
      </w:r>
      <w:r w:rsidRPr="00A6483F">
        <w:rPr>
          <w:rFonts w:ascii="Arial" w:hAnsi="Arial" w:cs="Arial"/>
          <w:i/>
          <w:sz w:val="20"/>
          <w:szCs w:val="20"/>
          <w:lang w:val="en-US"/>
        </w:rPr>
        <w:t>Drosophila melanogaster</w:t>
      </w:r>
      <w:r w:rsidRPr="00A6483F">
        <w:rPr>
          <w:rFonts w:ascii="Arial" w:hAnsi="Arial" w:cs="Arial"/>
          <w:sz w:val="20"/>
          <w:szCs w:val="20"/>
          <w:lang w:val="en-US"/>
        </w:rPr>
        <w:t>.</w:t>
      </w:r>
    </w:p>
    <w:p w14:paraId="00B7E532" w14:textId="77777777" w:rsidR="00264E2A"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t>2.1.2 High-Performance Liquid Chromatography (HPLC) Analysis</w:t>
      </w:r>
    </w:p>
    <w:p w14:paraId="29E06BA2" w14:textId="77777777" w:rsidR="00264E2A" w:rsidRPr="00A6483F" w:rsidRDefault="00264E2A" w:rsidP="00550669">
      <w:pPr>
        <w:spacing w:line="240" w:lineRule="auto"/>
        <w:ind w:firstLine="720"/>
        <w:jc w:val="both"/>
        <w:rPr>
          <w:rFonts w:ascii="Arial" w:hAnsi="Arial" w:cs="Arial"/>
          <w:sz w:val="20"/>
          <w:szCs w:val="20"/>
          <w:lang w:val="en-US"/>
        </w:rPr>
      </w:pPr>
      <w:r w:rsidRPr="00A6483F">
        <w:rPr>
          <w:rFonts w:ascii="Arial" w:hAnsi="Arial" w:cs="Arial"/>
          <w:sz w:val="20"/>
          <w:szCs w:val="20"/>
          <w:lang w:val="en-US"/>
        </w:rPr>
        <w:t xml:space="preserve">The EA root extract of </w:t>
      </w:r>
      <w:r w:rsidRPr="00A6483F">
        <w:rPr>
          <w:rFonts w:ascii="Arial" w:hAnsi="Arial" w:cs="Arial"/>
          <w:i/>
          <w:sz w:val="20"/>
          <w:szCs w:val="20"/>
          <w:lang w:val="en-US"/>
        </w:rPr>
        <w:t>I. frutescens</w:t>
      </w:r>
      <w:r w:rsidRPr="00A6483F">
        <w:rPr>
          <w:rFonts w:ascii="Arial" w:hAnsi="Arial" w:cs="Arial"/>
          <w:sz w:val="20"/>
          <w:szCs w:val="20"/>
          <w:lang w:val="en-US"/>
        </w:rPr>
        <w:t xml:space="preserve"> was analysed using high-performance liquid chromatography (HPLC; Shimadzu, Japan). Separation was carried out on a C18 column (4.6 × 250 mm, 5 µm particle size). The mobile phase consisted of solvent A (water: formic acid, 99.9:0.1 v/v) and </w:t>
      </w:r>
      <w:r w:rsidRPr="00A6483F">
        <w:rPr>
          <w:rFonts w:ascii="Arial" w:hAnsi="Arial" w:cs="Arial"/>
          <w:sz w:val="20"/>
          <w:szCs w:val="20"/>
          <w:lang w:val="en-US"/>
        </w:rPr>
        <w:lastRenderedPageBreak/>
        <w:t>solvent B (methanol: acetonitrile, 45:40 v/v). The gradient programme was initiated with 95% solvent A and 5% solvent B and maintained for the first 2 min. The proportion of solvent B was then gradually increased to 25%, 40%, 50%, 60%, 70% and 80% at 10, 20, 30, 40, 0 and 80 min, respectively, following the method described by Das et al. (2018), with slight modifications. The flow rate was maintained at 0.8 mL min</w:t>
      </w:r>
      <w:r w:rsidRPr="00A6483F">
        <w:rPr>
          <w:rFonts w:ascii="Arial" w:hAnsi="Arial" w:cs="Arial"/>
          <w:sz w:val="20"/>
          <w:szCs w:val="20"/>
          <w:vertAlign w:val="superscript"/>
          <w:lang w:val="en-US"/>
        </w:rPr>
        <w:t>-1</w:t>
      </w:r>
      <w:r w:rsidRPr="00A6483F">
        <w:rPr>
          <w:rFonts w:ascii="Arial" w:hAnsi="Arial" w:cs="Arial"/>
          <w:sz w:val="20"/>
          <w:szCs w:val="20"/>
          <w:lang w:val="en-US"/>
        </w:rPr>
        <w:t>, and the injection volume was 20 µL. Detection was performed using a diode-array detector (DAD) at a wavelength of 210 nm, as used for the standards (Fig. 1).</w:t>
      </w:r>
    </w:p>
    <w:p w14:paraId="218DEFBC" w14:textId="77777777" w:rsidR="005F76C6"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t>2.2</w:t>
      </w:r>
      <w:r w:rsidR="0072733C" w:rsidRPr="00A6483F">
        <w:rPr>
          <w:rFonts w:ascii="Arial" w:hAnsi="Arial" w:cs="Arial"/>
          <w:b/>
          <w:bCs/>
          <w:sz w:val="20"/>
          <w:szCs w:val="20"/>
          <w:lang w:val="en-US"/>
        </w:rPr>
        <w:t xml:space="preserve"> </w:t>
      </w:r>
      <w:r w:rsidR="005F76C6" w:rsidRPr="00A6483F">
        <w:rPr>
          <w:rFonts w:ascii="Arial" w:hAnsi="Arial" w:cs="Arial"/>
          <w:b/>
          <w:bCs/>
          <w:i/>
          <w:iCs/>
          <w:sz w:val="20"/>
          <w:szCs w:val="20"/>
          <w:lang w:val="en-US"/>
        </w:rPr>
        <w:t xml:space="preserve">Drosophila </w:t>
      </w:r>
      <w:r w:rsidR="005F76C6" w:rsidRPr="00A6483F">
        <w:rPr>
          <w:rFonts w:ascii="Arial" w:hAnsi="Arial" w:cs="Arial"/>
          <w:b/>
          <w:bCs/>
          <w:sz w:val="20"/>
          <w:szCs w:val="20"/>
          <w:lang w:val="en-US"/>
        </w:rPr>
        <w:t>Toxicity study</w:t>
      </w:r>
    </w:p>
    <w:p w14:paraId="5D32C205" w14:textId="77777777" w:rsidR="005F76C6"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t>2.2.1</w:t>
      </w:r>
      <w:r w:rsidR="0072733C" w:rsidRPr="00A6483F">
        <w:rPr>
          <w:rFonts w:ascii="Arial" w:hAnsi="Arial" w:cs="Arial"/>
          <w:b/>
          <w:bCs/>
          <w:sz w:val="20"/>
          <w:szCs w:val="20"/>
          <w:lang w:val="en-US"/>
        </w:rPr>
        <w:t xml:space="preserve"> </w:t>
      </w:r>
      <w:r w:rsidR="005F76C6" w:rsidRPr="00A6483F">
        <w:rPr>
          <w:rFonts w:ascii="Arial" w:hAnsi="Arial" w:cs="Arial"/>
          <w:b/>
          <w:bCs/>
          <w:i/>
          <w:iCs/>
          <w:sz w:val="20"/>
          <w:szCs w:val="20"/>
          <w:lang w:val="en-US"/>
        </w:rPr>
        <w:t>Drosophila melanogaster</w:t>
      </w:r>
      <w:r w:rsidR="005F76C6" w:rsidRPr="00A6483F">
        <w:rPr>
          <w:rFonts w:ascii="Arial" w:hAnsi="Arial" w:cs="Arial"/>
          <w:b/>
          <w:bCs/>
          <w:sz w:val="20"/>
          <w:szCs w:val="20"/>
          <w:lang w:val="en-US"/>
        </w:rPr>
        <w:t xml:space="preserve"> media preparation</w:t>
      </w:r>
    </w:p>
    <w:p w14:paraId="7F4A1D48" w14:textId="77777777" w:rsidR="005F76C6" w:rsidRPr="00A6483F" w:rsidRDefault="005F76C6" w:rsidP="0062237A">
      <w:pPr>
        <w:spacing w:line="240" w:lineRule="auto"/>
        <w:ind w:firstLine="720"/>
        <w:jc w:val="both"/>
        <w:rPr>
          <w:rFonts w:ascii="Arial" w:hAnsi="Arial" w:cs="Arial"/>
          <w:sz w:val="20"/>
          <w:szCs w:val="20"/>
          <w:lang w:val="en-US"/>
        </w:rPr>
      </w:pPr>
      <w:r w:rsidRPr="00A6483F">
        <w:rPr>
          <w:rFonts w:ascii="Arial" w:hAnsi="Arial" w:cs="Arial"/>
          <w:sz w:val="20"/>
          <w:szCs w:val="20"/>
          <w:lang w:val="en-US"/>
        </w:rPr>
        <w:t xml:space="preserve">An agar-yeast medium was used for the culture and maintenance of </w:t>
      </w:r>
      <w:r w:rsidRPr="00A6483F">
        <w:rPr>
          <w:rFonts w:ascii="Arial" w:hAnsi="Arial" w:cs="Arial"/>
          <w:i/>
          <w:sz w:val="20"/>
          <w:szCs w:val="20"/>
          <w:lang w:val="en-US"/>
        </w:rPr>
        <w:t>Drosophila melanogaster</w:t>
      </w:r>
      <w:r w:rsidRPr="00A6483F">
        <w:rPr>
          <w:rFonts w:ascii="Arial" w:hAnsi="Arial" w:cs="Arial"/>
          <w:sz w:val="20"/>
          <w:szCs w:val="20"/>
          <w:lang w:val="en-US"/>
        </w:rPr>
        <w:t>. The medium was prepared by dissolving 800 mg agar, 1.5 g malt extract, 8 g corn flour, 4 g sucrose, 1.5 g yeast and 70 mg methyl paraben in 100 mL of distilled water. The mixture was heated with continuous stirring until all the components were completely dissolved and thoroughly blended. After cooling slightly, propionic acid and orthophosphoric acid were added, and the final volume was adjusted appropriately. Approximately 15 mL of the prepared medium was dispensed into each of seven culture vials. The medium was allowed to solidify completely, after which the vials were plugged with sterile cotton and used for the experimental studies.</w:t>
      </w:r>
    </w:p>
    <w:p w14:paraId="5952450C" w14:textId="77777777" w:rsidR="00932AED" w:rsidRPr="00A6483F" w:rsidRDefault="00AD374E" w:rsidP="00057006">
      <w:pPr>
        <w:spacing w:line="240" w:lineRule="auto"/>
        <w:jc w:val="both"/>
        <w:rPr>
          <w:rFonts w:ascii="Arial" w:hAnsi="Arial" w:cs="Arial"/>
          <w:b/>
          <w:bCs/>
          <w:sz w:val="20"/>
          <w:szCs w:val="20"/>
          <w:lang w:val="en-US"/>
        </w:rPr>
      </w:pPr>
      <w:r w:rsidRPr="00A6483F">
        <w:rPr>
          <w:rFonts w:ascii="Arial" w:hAnsi="Arial" w:cs="Arial"/>
          <w:b/>
          <w:bCs/>
          <w:sz w:val="20"/>
          <w:szCs w:val="20"/>
          <w:lang w:val="en-US"/>
        </w:rPr>
        <w:t>2.2.</w:t>
      </w:r>
      <w:r w:rsidR="00BE6B25" w:rsidRPr="00A6483F">
        <w:rPr>
          <w:rFonts w:ascii="Arial" w:hAnsi="Arial" w:cs="Arial"/>
          <w:b/>
          <w:bCs/>
          <w:sz w:val="20"/>
          <w:szCs w:val="20"/>
          <w:lang w:val="en-US"/>
        </w:rPr>
        <w:t>2</w:t>
      </w:r>
      <w:r w:rsidRPr="00A6483F">
        <w:rPr>
          <w:rFonts w:ascii="Arial" w:hAnsi="Arial" w:cs="Arial"/>
          <w:b/>
          <w:bCs/>
          <w:sz w:val="20"/>
          <w:szCs w:val="20"/>
          <w:lang w:val="en-US"/>
        </w:rPr>
        <w:t xml:space="preserve"> </w:t>
      </w:r>
      <w:r w:rsidR="00932AED" w:rsidRPr="00A6483F">
        <w:rPr>
          <w:rFonts w:ascii="Arial" w:hAnsi="Arial" w:cs="Arial"/>
          <w:b/>
          <w:bCs/>
          <w:sz w:val="20"/>
          <w:szCs w:val="20"/>
          <w:lang w:val="en-US"/>
        </w:rPr>
        <w:t>Fly collection</w:t>
      </w:r>
    </w:p>
    <w:p w14:paraId="442FBACC" w14:textId="77777777" w:rsidR="00932AED" w:rsidRPr="00A6483F" w:rsidRDefault="00932AED" w:rsidP="00057006">
      <w:pPr>
        <w:spacing w:line="240" w:lineRule="auto"/>
        <w:jc w:val="both"/>
        <w:rPr>
          <w:rFonts w:ascii="Arial" w:hAnsi="Arial" w:cs="Arial"/>
          <w:sz w:val="20"/>
          <w:szCs w:val="20"/>
          <w:lang w:val="en-US"/>
        </w:rPr>
      </w:pPr>
      <w:r w:rsidRPr="00A6483F">
        <w:rPr>
          <w:rFonts w:ascii="Arial" w:hAnsi="Arial" w:cs="Arial"/>
          <w:sz w:val="20"/>
          <w:szCs w:val="20"/>
          <w:lang w:val="en-US"/>
        </w:rPr>
        <w:t xml:space="preserve">A ripe banana and a tomato were peeled and placed in an uncovered container, which was kept in an open environment to attract fruit flies. After 2-3 h, adult </w:t>
      </w:r>
      <w:r w:rsidRPr="00A6483F">
        <w:rPr>
          <w:rFonts w:ascii="Arial" w:hAnsi="Arial" w:cs="Arial"/>
          <w:i/>
          <w:sz w:val="20"/>
          <w:szCs w:val="20"/>
          <w:lang w:val="en-US"/>
        </w:rPr>
        <w:t>Drosophila</w:t>
      </w:r>
      <w:r w:rsidRPr="00A6483F">
        <w:rPr>
          <w:rFonts w:ascii="Arial" w:hAnsi="Arial" w:cs="Arial"/>
          <w:sz w:val="20"/>
          <w:szCs w:val="20"/>
          <w:lang w:val="en-US"/>
        </w:rPr>
        <w:t xml:space="preserve"> were observed around the fruits. The flies were carefully collected using an aspirator or a suitable collection method and transferred into a culture container. The container was then covered with a paper towel secured with a rubber band and maintained until use in the experiments.</w:t>
      </w:r>
    </w:p>
    <w:p w14:paraId="761DEAFD" w14:textId="77777777" w:rsidR="00BE6B25" w:rsidRPr="00A6483F" w:rsidRDefault="00BE6B25"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2.2.3 Experimental design and treatment for larval </w:t>
      </w:r>
      <w:r w:rsidRPr="00A6483F">
        <w:rPr>
          <w:rFonts w:ascii="Arial" w:hAnsi="Arial" w:cs="Arial"/>
          <w:b/>
          <w:bCs/>
          <w:i/>
          <w:sz w:val="20"/>
          <w:szCs w:val="20"/>
          <w:lang w:val="en-US"/>
        </w:rPr>
        <w:t>D. melanogaster</w:t>
      </w:r>
    </w:p>
    <w:p w14:paraId="74CCE5AA" w14:textId="77777777" w:rsidR="00BE6B25" w:rsidRPr="00A6483F" w:rsidRDefault="00BE6B25" w:rsidP="00057006">
      <w:pPr>
        <w:spacing w:line="240" w:lineRule="auto"/>
        <w:jc w:val="both"/>
        <w:rPr>
          <w:rFonts w:ascii="Arial" w:hAnsi="Arial" w:cs="Arial"/>
          <w:sz w:val="20"/>
          <w:szCs w:val="20"/>
          <w:lang w:val="en-US"/>
        </w:rPr>
      </w:pPr>
      <w:r w:rsidRPr="00A6483F">
        <w:rPr>
          <w:rFonts w:ascii="Arial" w:hAnsi="Arial" w:cs="Arial"/>
          <w:sz w:val="20"/>
          <w:szCs w:val="20"/>
          <w:lang w:val="en-US"/>
        </w:rPr>
        <w:t xml:space="preserve">The studies were carried out using wild-type </w:t>
      </w:r>
      <w:r w:rsidRPr="00A6483F">
        <w:rPr>
          <w:rFonts w:ascii="Arial" w:hAnsi="Arial" w:cs="Arial"/>
          <w:i/>
          <w:sz w:val="20"/>
          <w:szCs w:val="20"/>
          <w:lang w:val="en-US"/>
        </w:rPr>
        <w:t>D. melanogaster</w:t>
      </w:r>
      <w:r w:rsidRPr="00A6483F">
        <w:rPr>
          <w:rFonts w:ascii="Arial" w:hAnsi="Arial" w:cs="Arial"/>
          <w:sz w:val="20"/>
          <w:szCs w:val="20"/>
          <w:lang w:val="en-US"/>
        </w:rPr>
        <w:t xml:space="preserve"> at the larval stage. Larvae were maintained on a standard artificial diet prepared with agar-yeast medium. The test compound used in this study was the EA root extract of </w:t>
      </w:r>
      <w:r w:rsidRPr="00A6483F">
        <w:rPr>
          <w:rFonts w:ascii="Arial" w:hAnsi="Arial" w:cs="Arial"/>
          <w:i/>
          <w:sz w:val="20"/>
          <w:szCs w:val="20"/>
          <w:lang w:val="en-US"/>
        </w:rPr>
        <w:t>Ichnocarpus frutescens</w:t>
      </w:r>
      <w:r w:rsidRPr="00A6483F">
        <w:rPr>
          <w:rFonts w:ascii="Arial" w:hAnsi="Arial" w:cs="Arial"/>
          <w:sz w:val="20"/>
          <w:szCs w:val="20"/>
          <w:lang w:val="en-US"/>
        </w:rPr>
        <w:t>. The extract was incorporated into the diet at four concentrations: 1.0, 1.5, 2.0 and 2.5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per vial. A total of six experimental groups were established: four treatment groups receiving </w:t>
      </w:r>
      <w:r w:rsidRPr="00A6483F">
        <w:rPr>
          <w:rFonts w:ascii="Arial" w:hAnsi="Arial" w:cs="Arial"/>
          <w:i/>
          <w:sz w:val="20"/>
          <w:szCs w:val="20"/>
          <w:lang w:val="en-US"/>
        </w:rPr>
        <w:t>I. frutescens</w:t>
      </w:r>
      <w:r w:rsidRPr="00A6483F">
        <w:rPr>
          <w:rFonts w:ascii="Arial" w:hAnsi="Arial" w:cs="Arial"/>
          <w:sz w:val="20"/>
          <w:szCs w:val="20"/>
          <w:lang w:val="en-US"/>
        </w:rPr>
        <w:t xml:space="preserve"> EA extract, a solvent-control group containing EA solvent, and an untreated control group receiving the standard diet only. Each concentration was tested in a single replicate, with ten larvae introduced into each vial.</w:t>
      </w:r>
    </w:p>
    <w:p w14:paraId="7393B167" w14:textId="77777777" w:rsidR="00A160F0"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2.3 </w:t>
      </w:r>
      <w:proofErr w:type="spellStart"/>
      <w:r w:rsidR="00A160F0" w:rsidRPr="00A6483F">
        <w:rPr>
          <w:rFonts w:ascii="Arial" w:hAnsi="Arial" w:cs="Arial"/>
          <w:b/>
          <w:bCs/>
          <w:sz w:val="20"/>
          <w:szCs w:val="20"/>
          <w:lang w:val="en-US"/>
        </w:rPr>
        <w:t>Behavioural</w:t>
      </w:r>
      <w:proofErr w:type="spellEnd"/>
      <w:r w:rsidR="00A160F0" w:rsidRPr="00A6483F">
        <w:rPr>
          <w:rFonts w:ascii="Arial" w:hAnsi="Arial" w:cs="Arial"/>
          <w:b/>
          <w:bCs/>
          <w:sz w:val="20"/>
          <w:szCs w:val="20"/>
          <w:lang w:val="en-US"/>
        </w:rPr>
        <w:t xml:space="preserve"> assays</w:t>
      </w:r>
    </w:p>
    <w:p w14:paraId="0409A5FF" w14:textId="77777777" w:rsidR="00A160F0"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2.3.1 </w:t>
      </w:r>
      <w:r w:rsidR="00A160F0" w:rsidRPr="00A6483F">
        <w:rPr>
          <w:rFonts w:ascii="Arial" w:hAnsi="Arial" w:cs="Arial"/>
          <w:b/>
          <w:bCs/>
          <w:sz w:val="20"/>
          <w:szCs w:val="20"/>
          <w:lang w:val="en-US"/>
        </w:rPr>
        <w:t xml:space="preserve">Crawling assay </w:t>
      </w:r>
    </w:p>
    <w:p w14:paraId="0131D892" w14:textId="77777777" w:rsidR="00A160F0" w:rsidRPr="00A6483F" w:rsidRDefault="00A160F0" w:rsidP="00057006">
      <w:pPr>
        <w:spacing w:line="240" w:lineRule="auto"/>
        <w:jc w:val="both"/>
        <w:rPr>
          <w:rFonts w:ascii="Arial" w:hAnsi="Arial" w:cs="Arial"/>
          <w:sz w:val="20"/>
          <w:szCs w:val="20"/>
          <w:lang w:val="en-US"/>
        </w:rPr>
      </w:pPr>
      <w:r w:rsidRPr="00A6483F">
        <w:rPr>
          <w:rFonts w:ascii="Arial" w:hAnsi="Arial" w:cs="Arial"/>
          <w:sz w:val="20"/>
          <w:szCs w:val="20"/>
          <w:lang w:val="en-US"/>
        </w:rPr>
        <w:t>Larvae were gently collected using fine forceps and transferred to a Petri dish containing distilled water for washing. The cleaned larvae were then placed individually on a Petri dish containing 2% agarose positioned over graph paper. The number of grid lines crossed by each larva within 1 min was recorded. Peristaltic contractions, defined as one complete anterior-to-posterior body movement, were also counted for 1 min under a dissecting microscope. To ensure accuracy, larvae were washed thoroughly after selection or treatment to remove any residual food and were allowed to acclimatise on the agar surface for 1 min before recording. The agar plates were maintained at room temperature for at least 1 h prior to the assays, as low temperatures may influence larval locomotor activity (Nichols et al., 2012).</w:t>
      </w:r>
    </w:p>
    <w:p w14:paraId="704DFD9A" w14:textId="77777777" w:rsidR="00793901"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t>2.3.2</w:t>
      </w:r>
      <w:r w:rsidR="0072733C" w:rsidRPr="00A6483F">
        <w:rPr>
          <w:rFonts w:ascii="Arial" w:hAnsi="Arial" w:cs="Arial"/>
          <w:b/>
          <w:bCs/>
          <w:sz w:val="20"/>
          <w:szCs w:val="20"/>
          <w:lang w:val="en-US"/>
        </w:rPr>
        <w:t xml:space="preserve"> </w:t>
      </w:r>
      <w:r w:rsidR="00793901" w:rsidRPr="00A6483F">
        <w:rPr>
          <w:rFonts w:ascii="Arial" w:hAnsi="Arial" w:cs="Arial"/>
          <w:b/>
          <w:bCs/>
          <w:sz w:val="20"/>
          <w:szCs w:val="20"/>
          <w:lang w:val="en-US"/>
        </w:rPr>
        <w:t>Climbing assay</w:t>
      </w:r>
      <w:r w:rsidR="0090618E" w:rsidRPr="00A6483F">
        <w:rPr>
          <w:rFonts w:ascii="Arial" w:hAnsi="Arial" w:cs="Arial"/>
          <w:b/>
          <w:bCs/>
          <w:sz w:val="20"/>
          <w:szCs w:val="20"/>
          <w:lang w:val="en-US"/>
        </w:rPr>
        <w:t xml:space="preserve"> (Negative Geotaxis)</w:t>
      </w:r>
    </w:p>
    <w:p w14:paraId="7B06EF5C" w14:textId="77777777" w:rsidR="00793901" w:rsidRPr="00A6483F" w:rsidRDefault="00793901" w:rsidP="00057006">
      <w:pPr>
        <w:spacing w:line="240" w:lineRule="auto"/>
        <w:jc w:val="both"/>
        <w:rPr>
          <w:rFonts w:ascii="Arial" w:hAnsi="Arial" w:cs="Arial"/>
          <w:sz w:val="20"/>
          <w:szCs w:val="20"/>
          <w:lang w:val="en-US"/>
        </w:rPr>
      </w:pPr>
      <w:r w:rsidRPr="00A6483F">
        <w:rPr>
          <w:rFonts w:ascii="Arial" w:hAnsi="Arial" w:cs="Arial"/>
          <w:sz w:val="20"/>
          <w:szCs w:val="20"/>
          <w:lang w:val="en-US"/>
        </w:rPr>
        <w:t xml:space="preserve">The climbing assay was performed using </w:t>
      </w:r>
      <w:r w:rsidRPr="00A6483F">
        <w:rPr>
          <w:rFonts w:ascii="Arial" w:hAnsi="Arial" w:cs="Arial"/>
          <w:i/>
          <w:sz w:val="20"/>
          <w:szCs w:val="20"/>
          <w:lang w:val="en-US"/>
        </w:rPr>
        <w:t>Drosophila</w:t>
      </w:r>
      <w:r w:rsidRPr="00A6483F">
        <w:rPr>
          <w:rFonts w:ascii="Arial" w:hAnsi="Arial" w:cs="Arial"/>
          <w:sz w:val="20"/>
          <w:szCs w:val="20"/>
          <w:lang w:val="en-US"/>
        </w:rPr>
        <w:t xml:space="preserve"> flies to assess locomotor behaviour. A group of flies from each treatment was transferred into a graduated measuring cylinder. The cylinder was gently tapped 2-4 times to bring all flies to the bottom simultaneously. Immediately after tapping, the climbing activity of the flies was recorded using a mobile-phone camera for 10</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5 s (Manjila &amp; Hasan, 2018). The measuring cylinder was divided into five equal sections based on 10 mL graduations and numbered from 0 to 5. The number of flies present in each section at the end of the observation period was recorded. A climbing score was calculated based on the distribution of flies across the sections. This assay was used to evaluate the effect of </w:t>
      </w:r>
      <w:r w:rsidRPr="00A6483F">
        <w:rPr>
          <w:rFonts w:ascii="Arial" w:hAnsi="Arial" w:cs="Arial"/>
          <w:i/>
          <w:sz w:val="20"/>
          <w:szCs w:val="20"/>
          <w:lang w:val="en-US"/>
        </w:rPr>
        <w:t>I. frutescens</w:t>
      </w:r>
      <w:r w:rsidRPr="00A6483F">
        <w:rPr>
          <w:rFonts w:ascii="Arial" w:hAnsi="Arial" w:cs="Arial"/>
          <w:sz w:val="20"/>
          <w:szCs w:val="20"/>
          <w:lang w:val="en-US"/>
        </w:rPr>
        <w:t xml:space="preserve"> root EA extract on the locomotor performance of </w:t>
      </w:r>
      <w:r w:rsidRPr="00A6483F">
        <w:rPr>
          <w:rFonts w:ascii="Arial" w:hAnsi="Arial" w:cs="Arial"/>
          <w:i/>
          <w:sz w:val="20"/>
          <w:szCs w:val="20"/>
          <w:lang w:val="en-US"/>
        </w:rPr>
        <w:t>D. melanogaster</w:t>
      </w:r>
      <w:r w:rsidRPr="00A6483F">
        <w:rPr>
          <w:rFonts w:ascii="Arial" w:hAnsi="Arial" w:cs="Arial"/>
          <w:sz w:val="20"/>
          <w:szCs w:val="20"/>
          <w:lang w:val="en-US"/>
        </w:rPr>
        <w:t>.</w:t>
      </w:r>
    </w:p>
    <w:p w14:paraId="54198FE3" w14:textId="77777777" w:rsidR="00793901"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2.4 </w:t>
      </w:r>
      <w:r w:rsidR="00D76855" w:rsidRPr="00A6483F">
        <w:rPr>
          <w:rFonts w:ascii="Arial" w:hAnsi="Arial" w:cs="Arial"/>
          <w:b/>
          <w:bCs/>
          <w:sz w:val="20"/>
          <w:szCs w:val="20"/>
          <w:lang w:val="en-US"/>
        </w:rPr>
        <w:t>Molecular analysis</w:t>
      </w:r>
    </w:p>
    <w:p w14:paraId="73B1CDDB" w14:textId="77777777" w:rsidR="00D76855"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lastRenderedPageBreak/>
        <w:t>2.4.1</w:t>
      </w:r>
      <w:r w:rsidR="0072733C" w:rsidRPr="00A6483F">
        <w:rPr>
          <w:rFonts w:ascii="Arial" w:hAnsi="Arial" w:cs="Arial"/>
          <w:b/>
          <w:bCs/>
          <w:sz w:val="20"/>
          <w:szCs w:val="20"/>
          <w:lang w:val="en-US"/>
        </w:rPr>
        <w:t xml:space="preserve"> </w:t>
      </w:r>
      <w:r w:rsidR="00D76855" w:rsidRPr="00A6483F">
        <w:rPr>
          <w:rFonts w:ascii="Arial" w:hAnsi="Arial" w:cs="Arial"/>
          <w:b/>
          <w:bCs/>
          <w:sz w:val="20"/>
          <w:szCs w:val="20"/>
          <w:lang w:val="en-US"/>
        </w:rPr>
        <w:t>RNA isolation</w:t>
      </w:r>
    </w:p>
    <w:p w14:paraId="073334F6" w14:textId="77777777" w:rsidR="00D76855" w:rsidRPr="00A6483F" w:rsidRDefault="00D76855" w:rsidP="004C3CC8">
      <w:pPr>
        <w:spacing w:line="240" w:lineRule="auto"/>
        <w:ind w:firstLine="720"/>
        <w:jc w:val="both"/>
        <w:rPr>
          <w:rFonts w:ascii="Arial" w:hAnsi="Arial" w:cs="Arial"/>
          <w:sz w:val="20"/>
          <w:szCs w:val="20"/>
          <w:lang w:val="en-US"/>
        </w:rPr>
      </w:pPr>
      <w:r w:rsidRPr="00A6483F">
        <w:rPr>
          <w:rFonts w:ascii="Arial" w:hAnsi="Arial" w:cs="Arial"/>
          <w:sz w:val="20"/>
          <w:szCs w:val="20"/>
          <w:lang w:val="en-US"/>
        </w:rPr>
        <w:t xml:space="preserve">Total RNA was isolated from </w:t>
      </w:r>
      <w:r w:rsidRPr="00A6483F">
        <w:rPr>
          <w:rFonts w:ascii="Arial" w:hAnsi="Arial" w:cs="Arial"/>
          <w:i/>
          <w:sz w:val="20"/>
          <w:szCs w:val="20"/>
          <w:lang w:val="en-US"/>
        </w:rPr>
        <w:t>D. melanogaster</w:t>
      </w:r>
      <w:r w:rsidRPr="00A6483F">
        <w:rPr>
          <w:rFonts w:ascii="Arial" w:hAnsi="Arial" w:cs="Arial"/>
          <w:sz w:val="20"/>
          <w:szCs w:val="20"/>
          <w:lang w:val="en-US"/>
        </w:rPr>
        <w:t xml:space="preserve"> collected from the 2.5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extract-treated group and the untreated control group. Ten flies from each group were homogenised in 1 mL of RDP trio reagent using a sterile mortar and pestle. The homogenate was mixed with an additional 300 µL of RDP reagent and 200 µL of chloroform, followed by vigorous vortexing to ensure thorough mixing. The mixture was allowed to stand at room temperature for 10 min. The samples were then transferred to fresh microcentrifuge tubes and centrifuged at 12000 rpm for 10 min at 4 ⁰C. After centrifugation, the upper aqueous phase containing RNA was carefully transferred to new tubes, while the interphase was retained separately for subsequent DNA isolation. To precipitate the RNA, 0.5 mL of isopropanol was added to each sample and mixed gently. The samples were incubated at room temperature for 10 min and centrifuged again at 12000 rpm for 10 min at 4 ⁰C. The supernatant was discarded, and the resulting RNA pellet was washed with 75% ethanol. After centrifugation at 10,000 rpm for 10 min at room temperature, the ethanol was removed, and the RNA pellets were briefly air-dried. Finally, the purified RNA was resuspended in 100 µL of RNase-free water and stored for further analysis (Allen, 2016).</w:t>
      </w:r>
    </w:p>
    <w:p w14:paraId="52837225" w14:textId="77777777" w:rsidR="00FA5BD2"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2.4.2 </w:t>
      </w:r>
      <w:r w:rsidR="00FA5BD2" w:rsidRPr="00A6483F">
        <w:rPr>
          <w:rFonts w:ascii="Arial" w:hAnsi="Arial" w:cs="Arial"/>
          <w:b/>
          <w:bCs/>
          <w:sz w:val="20"/>
          <w:szCs w:val="20"/>
          <w:lang w:val="en-US"/>
        </w:rPr>
        <w:t>cDNA synthesis</w:t>
      </w:r>
    </w:p>
    <w:p w14:paraId="17BED8CD" w14:textId="444CF8AC" w:rsidR="00FA5BD2" w:rsidRPr="00A6483F" w:rsidRDefault="00FA5BD2" w:rsidP="00057006">
      <w:pPr>
        <w:spacing w:line="240" w:lineRule="auto"/>
        <w:jc w:val="both"/>
        <w:rPr>
          <w:rFonts w:ascii="Arial" w:hAnsi="Arial" w:cs="Arial"/>
          <w:sz w:val="20"/>
          <w:szCs w:val="20"/>
          <w:lang w:val="en-US"/>
        </w:rPr>
      </w:pPr>
      <w:r w:rsidRPr="00A6483F">
        <w:rPr>
          <w:rFonts w:ascii="Arial" w:hAnsi="Arial" w:cs="Arial"/>
          <w:sz w:val="20"/>
          <w:szCs w:val="20"/>
          <w:lang w:val="en-US"/>
        </w:rPr>
        <w:t>Complementary DNA (cDNA) was synthesised from the isolated RNA using a reverse-transcription reaction. Initially, 2 µL of random hexamer primer was added to 8 µL of the RNA sample, and the mixture was incubated at 70 ⁰C for 4 min in a thermal cycler. The tubes were immediately placed on ice for 2 min and briefly centrifuged to collect the condensed liquid. The reverse-transcription reaction mixture was then prepared by adding the required reverse-transcription reagents according to the manufacturer’s protocol. The reaction was carried out under appropriate thermal conditions, followed by incubation at 95 ⁰C for 5</w:t>
      </w:r>
      <w:r w:rsidRPr="00A6483F">
        <w:rPr>
          <w:rFonts w:ascii="Arial" w:hAnsi="Arial" w:cs="Arial"/>
          <w:sz w:val="20"/>
          <w:szCs w:val="20"/>
          <w:vertAlign w:val="superscript"/>
          <w:lang w:val="en-US"/>
        </w:rPr>
        <w:t>-1</w:t>
      </w:r>
      <w:r w:rsidRPr="00A6483F">
        <w:rPr>
          <w:rFonts w:ascii="Arial" w:hAnsi="Arial" w:cs="Arial"/>
          <w:sz w:val="20"/>
          <w:szCs w:val="20"/>
          <w:lang w:val="en-US"/>
        </w:rPr>
        <w:t>0 min to inactivate the reverse-transcriptase enzyme. The synthesised cDNA was either stored at 20 ⁰C or used immediately for PCR amplification (</w:t>
      </w:r>
      <w:r w:rsidR="0060385C" w:rsidRPr="0060385C">
        <w:rPr>
          <w:rFonts w:ascii="Arial" w:hAnsi="Arial" w:cs="Arial"/>
          <w:sz w:val="20"/>
          <w:szCs w:val="20"/>
          <w:lang w:val="en-US"/>
        </w:rPr>
        <w:t>Ståhlberg</w:t>
      </w:r>
      <w:r w:rsidRPr="00A6483F">
        <w:rPr>
          <w:rFonts w:ascii="Arial" w:hAnsi="Arial" w:cs="Arial"/>
          <w:sz w:val="20"/>
          <w:szCs w:val="20"/>
          <w:lang w:val="en-US"/>
        </w:rPr>
        <w:t xml:space="preserve"> et al., 2004).</w:t>
      </w:r>
    </w:p>
    <w:p w14:paraId="0F8FDE68" w14:textId="77777777" w:rsidR="00184036"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2.4.3 </w:t>
      </w:r>
      <w:r w:rsidR="00DC0AB9" w:rsidRPr="00A6483F">
        <w:rPr>
          <w:rFonts w:ascii="Arial" w:hAnsi="Arial" w:cs="Arial"/>
          <w:b/>
          <w:bCs/>
          <w:sz w:val="20"/>
          <w:szCs w:val="20"/>
          <w:lang w:val="en-US"/>
        </w:rPr>
        <w:t>RT-q</w:t>
      </w:r>
      <w:r w:rsidR="00184036" w:rsidRPr="00A6483F">
        <w:rPr>
          <w:rFonts w:ascii="Arial" w:hAnsi="Arial" w:cs="Arial"/>
          <w:b/>
          <w:bCs/>
          <w:sz w:val="20"/>
          <w:szCs w:val="20"/>
          <w:lang w:val="en-US"/>
        </w:rPr>
        <w:t>PCR amplification</w:t>
      </w:r>
    </w:p>
    <w:p w14:paraId="1D53FC86" w14:textId="77777777" w:rsidR="00BA00BD" w:rsidRPr="00A6483F" w:rsidRDefault="006D3611" w:rsidP="00753545">
      <w:pPr>
        <w:spacing w:line="240" w:lineRule="auto"/>
        <w:ind w:firstLine="720"/>
        <w:jc w:val="both"/>
        <w:rPr>
          <w:rFonts w:ascii="Arial" w:hAnsi="Arial" w:cs="Arial"/>
          <w:sz w:val="20"/>
          <w:szCs w:val="20"/>
          <w:lang w:val="en-US"/>
        </w:rPr>
      </w:pPr>
      <w:r w:rsidRPr="00A6483F">
        <w:rPr>
          <w:rFonts w:ascii="Arial" w:hAnsi="Arial" w:cs="Arial"/>
          <w:sz w:val="20"/>
          <w:szCs w:val="20"/>
          <w:lang w:val="en-US"/>
        </w:rPr>
        <w:t xml:space="preserve">Reverse-transcription quantitative PCR (RT-qPCR) was performed according to the method described by Pfaffl (2001), with slight modifications, to assess the expression of stress-related and antioxidant genes in </w:t>
      </w:r>
      <w:r w:rsidRPr="00A6483F">
        <w:rPr>
          <w:rFonts w:ascii="Arial" w:hAnsi="Arial" w:cs="Arial"/>
          <w:i/>
          <w:sz w:val="20"/>
          <w:szCs w:val="20"/>
          <w:lang w:val="en-US"/>
        </w:rPr>
        <w:t>D. melanogaster</w:t>
      </w:r>
      <w:r w:rsidRPr="00A6483F">
        <w:rPr>
          <w:rFonts w:ascii="Arial" w:hAnsi="Arial" w:cs="Arial"/>
          <w:sz w:val="20"/>
          <w:szCs w:val="20"/>
          <w:lang w:val="en-US"/>
        </w:rPr>
        <w:t>. Total RNA was extracted and converted to cDNA, which served as the template for RT-qPCR analysis. Gene-specific primers were used to amplify target genes, including the stress-related genes acetylcholinesterase (AChE) and glutathione S-transferase D1 (GstD1), as well as the antioxidant genes Cu-Zn superoxide dismutase (Cu-Zn SOD) and Mn-superoxide dismutase (Mn-SOD) (Table 1). The PCR reaction mixture was prepared in a total volume of 50 µL containing 5.0 µL of 10x PCR buffer with 15 mM Mgcl</w:t>
      </w:r>
      <w:r w:rsidRPr="00A6483F">
        <w:rPr>
          <w:rFonts w:ascii="Arial" w:hAnsi="Arial" w:cs="Arial"/>
          <w:sz w:val="20"/>
          <w:szCs w:val="20"/>
          <w:vertAlign w:val="subscript"/>
          <w:lang w:val="en-US"/>
        </w:rPr>
        <w:t>2</w:t>
      </w:r>
      <w:r w:rsidRPr="00A6483F">
        <w:rPr>
          <w:rFonts w:ascii="Arial" w:hAnsi="Arial" w:cs="Arial"/>
          <w:sz w:val="20"/>
          <w:szCs w:val="20"/>
          <w:lang w:val="en-US"/>
        </w:rPr>
        <w:t>, 0.5 µL each of forward and reverse primers, 1.0 µL of dNTP mixture, template DNA/cDNA with nuclease-free water, and 0.10 µL of Taq DNA polymerase (5 U µL</w:t>
      </w:r>
      <w:r w:rsidRPr="00A6483F">
        <w:rPr>
          <w:rFonts w:ascii="Arial" w:hAnsi="Arial" w:cs="Arial"/>
          <w:sz w:val="20"/>
          <w:szCs w:val="20"/>
          <w:vertAlign w:val="superscript"/>
          <w:lang w:val="en-US"/>
        </w:rPr>
        <w:t>-1</w:t>
      </w:r>
      <w:r w:rsidRPr="00A6483F">
        <w:rPr>
          <w:rFonts w:ascii="Arial" w:hAnsi="Arial" w:cs="Arial"/>
          <w:sz w:val="20"/>
          <w:szCs w:val="20"/>
          <w:lang w:val="en-US"/>
        </w:rPr>
        <w:t>). The reaction mixture was mixed thoroughly and centrifuged, then subjected to amplification in a thermal cycler. The PCR programme consisted of an initial denaturation at 94 ⁰C for 1 min, followed by 30 cycles of denaturation at 94 ⁰C for 1 min, annealing at 55 ⁰C for 1 min and extension at 72 ⁰C for 1 min for products less than 500 bp or 3 min for products greater than 500 bp. A final extension was carried out at 72 ⁰C for 7 min. After amplification, 2.5 µL of loading dye was added to each PCR sample, and the amplified fragments were analysed by agarose gel electrophoresis using an appropriate agarose concentration. The PCR products were either analysed immediately or stored at 4 ⁰C for subsequent use.</w:t>
      </w:r>
    </w:p>
    <w:p w14:paraId="3A0B51C2" w14:textId="77777777" w:rsidR="00E969AA" w:rsidRPr="00A6483F" w:rsidRDefault="00E969AA" w:rsidP="00E969AA">
      <w:pPr>
        <w:spacing w:line="240" w:lineRule="auto"/>
        <w:jc w:val="both"/>
        <w:rPr>
          <w:rFonts w:ascii="Arial" w:hAnsi="Arial" w:cs="Arial"/>
          <w:sz w:val="20"/>
          <w:szCs w:val="20"/>
          <w:lang w:val="en-US"/>
        </w:rPr>
      </w:pPr>
      <w:r w:rsidRPr="00A6483F">
        <w:rPr>
          <w:rFonts w:ascii="Arial" w:hAnsi="Arial" w:cs="Arial"/>
          <w:b/>
          <w:bCs/>
          <w:sz w:val="20"/>
          <w:szCs w:val="20"/>
          <w:lang w:val="en-US"/>
        </w:rPr>
        <w:t>Table :1</w:t>
      </w:r>
      <w:r w:rsidRPr="00A6483F">
        <w:rPr>
          <w:rFonts w:ascii="Arial" w:hAnsi="Arial" w:cs="Arial"/>
          <w:sz w:val="20"/>
          <w:szCs w:val="20"/>
          <w:lang w:val="en-US"/>
        </w:rPr>
        <w:t xml:space="preserve"> </w:t>
      </w:r>
      <w:r w:rsidRPr="00A6483F">
        <w:rPr>
          <w:rFonts w:ascii="Arial" w:hAnsi="Arial" w:cs="Arial"/>
          <w:b/>
          <w:bCs/>
          <w:sz w:val="20"/>
          <w:szCs w:val="20"/>
          <w:lang w:val="en-US"/>
        </w:rPr>
        <w:t>Gene specific primer sequence used for quantitative PC</w:t>
      </w:r>
      <w:r w:rsidR="00DC0AB9" w:rsidRPr="00A6483F">
        <w:rPr>
          <w:rFonts w:ascii="Arial" w:hAnsi="Arial" w:cs="Arial"/>
          <w:b/>
          <w:bCs/>
          <w:sz w:val="20"/>
          <w:szCs w:val="20"/>
          <w:lang w:val="en-US"/>
        </w:rPr>
        <w:t xml:space="preserve">R </w:t>
      </w:r>
      <w:r w:rsidRPr="00A6483F">
        <w:rPr>
          <w:rFonts w:ascii="Arial" w:hAnsi="Arial" w:cs="Arial"/>
          <w:b/>
          <w:bCs/>
          <w:sz w:val="20"/>
          <w:szCs w:val="20"/>
          <w:lang w:val="en-US"/>
        </w:rPr>
        <w:t>(</w:t>
      </w:r>
      <w:r w:rsidR="00DC0AB9" w:rsidRPr="00A6483F">
        <w:rPr>
          <w:rFonts w:ascii="Arial" w:hAnsi="Arial" w:cs="Arial"/>
          <w:b/>
          <w:bCs/>
          <w:sz w:val="20"/>
          <w:szCs w:val="20"/>
          <w:lang w:val="en-US"/>
        </w:rPr>
        <w:t>q</w:t>
      </w:r>
      <w:r w:rsidRPr="00A6483F">
        <w:rPr>
          <w:rFonts w:ascii="Arial" w:hAnsi="Arial" w:cs="Arial"/>
          <w:b/>
          <w:bCs/>
          <w:sz w:val="20"/>
          <w:szCs w:val="20"/>
          <w:lang w:val="en-US"/>
        </w:rPr>
        <w:t xml:space="preserve">PCR) analysis of stress related and antioxidant genes in </w:t>
      </w:r>
      <w:r w:rsidRPr="00A6483F">
        <w:rPr>
          <w:rFonts w:ascii="Arial" w:hAnsi="Arial" w:cs="Arial"/>
          <w:b/>
          <w:bCs/>
          <w:i/>
          <w:iCs/>
          <w:sz w:val="20"/>
          <w:szCs w:val="20"/>
          <w:lang w:val="en-US"/>
        </w:rPr>
        <w:t>Drosophila melanogaster</w:t>
      </w:r>
    </w:p>
    <w:tbl>
      <w:tblPr>
        <w:tblW w:w="0" w:type="auto"/>
        <w:tblInd w:w="115"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4072"/>
        <w:gridCol w:w="5762"/>
      </w:tblGrid>
      <w:tr w:rsidR="00E969AA" w:rsidRPr="00A6483F" w14:paraId="259319E5" w14:textId="77777777" w:rsidTr="007E4FCF">
        <w:trPr>
          <w:trHeight w:val="368"/>
        </w:trPr>
        <w:tc>
          <w:tcPr>
            <w:tcW w:w="4072" w:type="dxa"/>
            <w:tcBorders>
              <w:top w:val="single" w:sz="4" w:space="0" w:color="auto"/>
              <w:bottom w:val="single" w:sz="4" w:space="0" w:color="auto"/>
            </w:tcBorders>
          </w:tcPr>
          <w:p w14:paraId="5F4C5857" w14:textId="77777777" w:rsidR="00E969AA" w:rsidRPr="00A6483F" w:rsidRDefault="00E969AA" w:rsidP="007E4FCF">
            <w:pPr>
              <w:pStyle w:val="TableParagraph"/>
              <w:spacing w:before="2"/>
              <w:ind w:left="1056" w:right="1056"/>
              <w:jc w:val="center"/>
              <w:rPr>
                <w:rFonts w:ascii="Arial" w:hAnsi="Arial" w:cs="Arial"/>
                <w:b/>
                <w:sz w:val="20"/>
                <w:szCs w:val="20"/>
              </w:rPr>
            </w:pPr>
            <w:r w:rsidRPr="00A6483F">
              <w:rPr>
                <w:rFonts w:ascii="Arial" w:hAnsi="Arial" w:cs="Arial"/>
                <w:b/>
                <w:sz w:val="20"/>
                <w:szCs w:val="20"/>
              </w:rPr>
              <w:t>Name</w:t>
            </w:r>
            <w:r w:rsidRPr="00A6483F">
              <w:rPr>
                <w:rFonts w:ascii="Arial" w:hAnsi="Arial" w:cs="Arial"/>
                <w:b/>
                <w:spacing w:val="2"/>
                <w:sz w:val="20"/>
                <w:szCs w:val="20"/>
              </w:rPr>
              <w:t xml:space="preserve"> </w:t>
            </w:r>
            <w:r w:rsidRPr="00A6483F">
              <w:rPr>
                <w:rFonts w:ascii="Arial" w:hAnsi="Arial" w:cs="Arial"/>
                <w:b/>
                <w:sz w:val="20"/>
                <w:szCs w:val="20"/>
              </w:rPr>
              <w:t>of</w:t>
            </w:r>
            <w:r w:rsidRPr="00A6483F">
              <w:rPr>
                <w:rFonts w:ascii="Arial" w:hAnsi="Arial" w:cs="Arial"/>
                <w:b/>
                <w:spacing w:val="-6"/>
                <w:sz w:val="20"/>
                <w:szCs w:val="20"/>
              </w:rPr>
              <w:t xml:space="preserve"> </w:t>
            </w:r>
            <w:r w:rsidRPr="00A6483F">
              <w:rPr>
                <w:rFonts w:ascii="Arial" w:hAnsi="Arial" w:cs="Arial"/>
                <w:b/>
                <w:sz w:val="20"/>
                <w:szCs w:val="20"/>
              </w:rPr>
              <w:t>the</w:t>
            </w:r>
            <w:r w:rsidRPr="00A6483F">
              <w:rPr>
                <w:rFonts w:ascii="Arial" w:hAnsi="Arial" w:cs="Arial"/>
                <w:b/>
                <w:spacing w:val="-1"/>
                <w:sz w:val="20"/>
                <w:szCs w:val="20"/>
              </w:rPr>
              <w:t xml:space="preserve"> </w:t>
            </w:r>
            <w:r w:rsidRPr="00A6483F">
              <w:rPr>
                <w:rFonts w:ascii="Arial" w:hAnsi="Arial" w:cs="Arial"/>
                <w:b/>
                <w:sz w:val="20"/>
                <w:szCs w:val="20"/>
              </w:rPr>
              <w:t>gene</w:t>
            </w:r>
          </w:p>
        </w:tc>
        <w:tc>
          <w:tcPr>
            <w:tcW w:w="5762" w:type="dxa"/>
            <w:tcBorders>
              <w:top w:val="single" w:sz="4" w:space="0" w:color="auto"/>
              <w:bottom w:val="single" w:sz="4" w:space="0" w:color="auto"/>
            </w:tcBorders>
          </w:tcPr>
          <w:p w14:paraId="0EE5EBC8" w14:textId="77777777" w:rsidR="00E969AA" w:rsidRPr="00A6483F" w:rsidRDefault="00E969AA" w:rsidP="007E4FCF">
            <w:pPr>
              <w:pStyle w:val="TableParagraph"/>
              <w:spacing w:before="2"/>
              <w:ind w:left="1906" w:right="1910"/>
              <w:jc w:val="center"/>
              <w:rPr>
                <w:rFonts w:ascii="Arial" w:hAnsi="Arial" w:cs="Arial"/>
                <w:b/>
                <w:sz w:val="20"/>
                <w:szCs w:val="20"/>
              </w:rPr>
            </w:pPr>
            <w:r w:rsidRPr="00A6483F">
              <w:rPr>
                <w:rFonts w:ascii="Arial" w:hAnsi="Arial" w:cs="Arial"/>
                <w:b/>
                <w:sz w:val="20"/>
                <w:szCs w:val="20"/>
              </w:rPr>
              <w:t>Primer</w:t>
            </w:r>
            <w:r w:rsidRPr="00A6483F">
              <w:rPr>
                <w:rFonts w:ascii="Arial" w:hAnsi="Arial" w:cs="Arial"/>
                <w:b/>
                <w:spacing w:val="-3"/>
                <w:sz w:val="20"/>
                <w:szCs w:val="20"/>
              </w:rPr>
              <w:t xml:space="preserve"> </w:t>
            </w:r>
            <w:r w:rsidRPr="00A6483F">
              <w:rPr>
                <w:rFonts w:ascii="Arial" w:hAnsi="Arial" w:cs="Arial"/>
                <w:b/>
                <w:sz w:val="20"/>
                <w:szCs w:val="20"/>
              </w:rPr>
              <w:t>Sequence</w:t>
            </w:r>
          </w:p>
        </w:tc>
      </w:tr>
      <w:tr w:rsidR="00E969AA" w:rsidRPr="00A6483F" w14:paraId="0C77B80E" w14:textId="77777777" w:rsidTr="007E4FCF">
        <w:trPr>
          <w:trHeight w:val="1219"/>
        </w:trPr>
        <w:tc>
          <w:tcPr>
            <w:tcW w:w="4072" w:type="dxa"/>
            <w:tcBorders>
              <w:top w:val="single" w:sz="4" w:space="0" w:color="auto"/>
            </w:tcBorders>
          </w:tcPr>
          <w:p w14:paraId="17552F8D" w14:textId="77777777" w:rsidR="00E969AA" w:rsidRPr="00A6483F" w:rsidRDefault="00E969AA" w:rsidP="007E4FCF">
            <w:pPr>
              <w:pStyle w:val="TableParagraph"/>
              <w:ind w:left="1056" w:right="1056"/>
              <w:jc w:val="center"/>
              <w:rPr>
                <w:rFonts w:ascii="Arial" w:hAnsi="Arial" w:cs="Arial"/>
                <w:sz w:val="20"/>
                <w:szCs w:val="20"/>
              </w:rPr>
            </w:pPr>
            <w:r w:rsidRPr="00A6483F">
              <w:rPr>
                <w:rFonts w:ascii="Arial" w:hAnsi="Arial" w:cs="Arial"/>
                <w:sz w:val="20"/>
                <w:szCs w:val="20"/>
              </w:rPr>
              <w:t>GstD1</w:t>
            </w:r>
          </w:p>
        </w:tc>
        <w:tc>
          <w:tcPr>
            <w:tcW w:w="5762" w:type="dxa"/>
            <w:tcBorders>
              <w:top w:val="single" w:sz="4" w:space="0" w:color="auto"/>
            </w:tcBorders>
          </w:tcPr>
          <w:p w14:paraId="3A0DE108" w14:textId="77777777" w:rsidR="00E969AA" w:rsidRPr="00A6483F" w:rsidRDefault="00E969AA" w:rsidP="007E4FCF">
            <w:pPr>
              <w:pStyle w:val="TableParagraph"/>
              <w:ind w:left="105"/>
              <w:rPr>
                <w:rFonts w:ascii="Arial" w:hAnsi="Arial" w:cs="Arial"/>
                <w:sz w:val="20"/>
                <w:szCs w:val="20"/>
              </w:rPr>
            </w:pPr>
            <w:r w:rsidRPr="00A6483F">
              <w:rPr>
                <w:rFonts w:ascii="Arial" w:hAnsi="Arial" w:cs="Arial"/>
                <w:sz w:val="20"/>
                <w:szCs w:val="20"/>
              </w:rPr>
              <w:t>Forward5’</w:t>
            </w:r>
            <w:r w:rsidRPr="00A6483F">
              <w:rPr>
                <w:rFonts w:ascii="Arial" w:hAnsi="Arial" w:cs="Arial"/>
                <w:spacing w:val="-7"/>
                <w:sz w:val="20"/>
                <w:szCs w:val="20"/>
              </w:rPr>
              <w:t xml:space="preserve"> </w:t>
            </w:r>
            <w:r w:rsidRPr="00A6483F">
              <w:rPr>
                <w:rFonts w:ascii="Arial" w:hAnsi="Arial" w:cs="Arial"/>
                <w:sz w:val="20"/>
                <w:szCs w:val="20"/>
              </w:rPr>
              <w:t>GACTCCCTGTACCCTAAGTGC</w:t>
            </w:r>
            <w:r w:rsidRPr="00A6483F">
              <w:rPr>
                <w:rFonts w:ascii="Arial" w:hAnsi="Arial" w:cs="Arial"/>
                <w:spacing w:val="-2"/>
                <w:sz w:val="20"/>
                <w:szCs w:val="20"/>
              </w:rPr>
              <w:t xml:space="preserve"> </w:t>
            </w:r>
            <w:r w:rsidRPr="00A6483F">
              <w:rPr>
                <w:rFonts w:ascii="Arial" w:hAnsi="Arial" w:cs="Arial"/>
                <w:sz w:val="20"/>
                <w:szCs w:val="20"/>
              </w:rPr>
              <w:t>3’</w:t>
            </w:r>
          </w:p>
          <w:p w14:paraId="417EBB36" w14:textId="77777777" w:rsidR="00E969AA" w:rsidRPr="00A6483F" w:rsidRDefault="00E969AA" w:rsidP="007E4FCF">
            <w:pPr>
              <w:pStyle w:val="TableParagraph"/>
              <w:rPr>
                <w:rFonts w:ascii="Arial" w:hAnsi="Arial" w:cs="Arial"/>
                <w:sz w:val="20"/>
                <w:szCs w:val="20"/>
              </w:rPr>
            </w:pPr>
          </w:p>
          <w:p w14:paraId="35E0CF26" w14:textId="77777777" w:rsidR="00E969AA" w:rsidRPr="00A6483F" w:rsidRDefault="00E969AA" w:rsidP="007E4FCF">
            <w:pPr>
              <w:pStyle w:val="TableParagraph"/>
              <w:ind w:left="105"/>
              <w:rPr>
                <w:rFonts w:ascii="Arial" w:hAnsi="Arial" w:cs="Arial"/>
                <w:sz w:val="20"/>
                <w:szCs w:val="20"/>
              </w:rPr>
            </w:pPr>
            <w:r w:rsidRPr="00A6483F">
              <w:rPr>
                <w:rFonts w:ascii="Arial" w:hAnsi="Arial" w:cs="Arial"/>
                <w:sz w:val="20"/>
                <w:szCs w:val="20"/>
              </w:rPr>
              <w:t>Reverse5’</w:t>
            </w:r>
            <w:r w:rsidRPr="00A6483F">
              <w:rPr>
                <w:rFonts w:ascii="Arial" w:hAnsi="Arial" w:cs="Arial"/>
                <w:spacing w:val="-4"/>
                <w:sz w:val="20"/>
                <w:szCs w:val="20"/>
              </w:rPr>
              <w:t xml:space="preserve"> </w:t>
            </w:r>
            <w:r w:rsidRPr="00A6483F">
              <w:rPr>
                <w:rFonts w:ascii="Arial" w:hAnsi="Arial" w:cs="Arial"/>
                <w:sz w:val="20"/>
                <w:szCs w:val="20"/>
              </w:rPr>
              <w:t>TCGGCTACGGTAAGGGAGTCA</w:t>
            </w:r>
            <w:r w:rsidRPr="00A6483F">
              <w:rPr>
                <w:rFonts w:ascii="Arial" w:hAnsi="Arial" w:cs="Arial"/>
                <w:spacing w:val="-3"/>
                <w:sz w:val="20"/>
                <w:szCs w:val="20"/>
              </w:rPr>
              <w:t xml:space="preserve"> </w:t>
            </w:r>
            <w:r w:rsidRPr="00A6483F">
              <w:rPr>
                <w:rFonts w:ascii="Arial" w:hAnsi="Arial" w:cs="Arial"/>
                <w:sz w:val="20"/>
                <w:szCs w:val="20"/>
              </w:rPr>
              <w:t>3’</w:t>
            </w:r>
          </w:p>
        </w:tc>
      </w:tr>
      <w:tr w:rsidR="00E969AA" w:rsidRPr="00A6483F" w14:paraId="6E379FFD" w14:textId="77777777" w:rsidTr="007E4FCF">
        <w:trPr>
          <w:trHeight w:val="1214"/>
        </w:trPr>
        <w:tc>
          <w:tcPr>
            <w:tcW w:w="4072" w:type="dxa"/>
          </w:tcPr>
          <w:p w14:paraId="67DC9CFE" w14:textId="77777777" w:rsidR="00E969AA" w:rsidRPr="00A6483F" w:rsidRDefault="00E969AA" w:rsidP="007E4FCF">
            <w:pPr>
              <w:pStyle w:val="TableParagraph"/>
              <w:ind w:left="1056" w:right="1056"/>
              <w:jc w:val="center"/>
              <w:rPr>
                <w:rFonts w:ascii="Arial" w:hAnsi="Arial" w:cs="Arial"/>
                <w:sz w:val="20"/>
                <w:szCs w:val="20"/>
              </w:rPr>
            </w:pPr>
            <w:proofErr w:type="spellStart"/>
            <w:r w:rsidRPr="00A6483F">
              <w:rPr>
                <w:rFonts w:ascii="Arial" w:hAnsi="Arial" w:cs="Arial"/>
                <w:sz w:val="20"/>
                <w:szCs w:val="20"/>
              </w:rPr>
              <w:t>AChE</w:t>
            </w:r>
            <w:proofErr w:type="spellEnd"/>
          </w:p>
        </w:tc>
        <w:tc>
          <w:tcPr>
            <w:tcW w:w="5762" w:type="dxa"/>
          </w:tcPr>
          <w:p w14:paraId="157FA70D" w14:textId="77777777" w:rsidR="00E969AA" w:rsidRPr="00A6483F" w:rsidRDefault="00E969AA" w:rsidP="007E4FCF">
            <w:pPr>
              <w:pStyle w:val="TableParagraph"/>
              <w:ind w:left="172"/>
              <w:rPr>
                <w:rFonts w:ascii="Arial" w:hAnsi="Arial" w:cs="Arial"/>
                <w:sz w:val="20"/>
                <w:szCs w:val="20"/>
              </w:rPr>
            </w:pPr>
            <w:r w:rsidRPr="00A6483F">
              <w:rPr>
                <w:rFonts w:ascii="Arial" w:hAnsi="Arial" w:cs="Arial"/>
                <w:sz w:val="20"/>
                <w:szCs w:val="20"/>
              </w:rPr>
              <w:t>Forward</w:t>
            </w:r>
            <w:r w:rsidRPr="00A6483F">
              <w:rPr>
                <w:rFonts w:ascii="Arial" w:hAnsi="Arial" w:cs="Arial"/>
                <w:spacing w:val="-5"/>
                <w:sz w:val="20"/>
                <w:szCs w:val="20"/>
              </w:rPr>
              <w:t xml:space="preserve"> </w:t>
            </w:r>
            <w:r w:rsidRPr="00A6483F">
              <w:rPr>
                <w:rFonts w:ascii="Arial" w:hAnsi="Arial" w:cs="Arial"/>
                <w:sz w:val="20"/>
                <w:szCs w:val="20"/>
              </w:rPr>
              <w:t>5’</w:t>
            </w:r>
            <w:r w:rsidRPr="00A6483F">
              <w:rPr>
                <w:rFonts w:ascii="Arial" w:hAnsi="Arial" w:cs="Arial"/>
                <w:spacing w:val="-5"/>
                <w:sz w:val="20"/>
                <w:szCs w:val="20"/>
              </w:rPr>
              <w:t xml:space="preserve"> </w:t>
            </w:r>
            <w:r w:rsidRPr="00A6483F">
              <w:rPr>
                <w:rFonts w:ascii="Arial" w:hAnsi="Arial" w:cs="Arial"/>
                <w:sz w:val="20"/>
                <w:szCs w:val="20"/>
              </w:rPr>
              <w:t>GTGGAAAACCAGGATTGGAA</w:t>
            </w:r>
            <w:r w:rsidRPr="00A6483F">
              <w:rPr>
                <w:rFonts w:ascii="Arial" w:hAnsi="Arial" w:cs="Arial"/>
                <w:spacing w:val="-10"/>
                <w:sz w:val="20"/>
                <w:szCs w:val="20"/>
              </w:rPr>
              <w:t xml:space="preserve"> </w:t>
            </w:r>
            <w:r w:rsidRPr="00A6483F">
              <w:rPr>
                <w:rFonts w:ascii="Arial" w:hAnsi="Arial" w:cs="Arial"/>
                <w:sz w:val="20"/>
                <w:szCs w:val="20"/>
              </w:rPr>
              <w:t>3’</w:t>
            </w:r>
          </w:p>
          <w:p w14:paraId="5D384AFA" w14:textId="77777777" w:rsidR="00E969AA" w:rsidRPr="00A6483F" w:rsidRDefault="00E969AA" w:rsidP="007E4FCF">
            <w:pPr>
              <w:pStyle w:val="TableParagraph"/>
              <w:rPr>
                <w:rFonts w:ascii="Arial" w:hAnsi="Arial" w:cs="Arial"/>
                <w:sz w:val="20"/>
                <w:szCs w:val="20"/>
              </w:rPr>
            </w:pPr>
          </w:p>
          <w:p w14:paraId="53A14DEF" w14:textId="77777777" w:rsidR="00E969AA" w:rsidRPr="00A6483F" w:rsidRDefault="00E969AA" w:rsidP="007E4FCF">
            <w:pPr>
              <w:pStyle w:val="TableParagraph"/>
              <w:ind w:left="105"/>
              <w:rPr>
                <w:rFonts w:ascii="Arial" w:hAnsi="Arial" w:cs="Arial"/>
                <w:sz w:val="20"/>
                <w:szCs w:val="20"/>
              </w:rPr>
            </w:pPr>
            <w:r w:rsidRPr="00A6483F">
              <w:rPr>
                <w:rFonts w:ascii="Arial" w:hAnsi="Arial" w:cs="Arial"/>
                <w:sz w:val="20"/>
                <w:szCs w:val="20"/>
              </w:rPr>
              <w:t>Reverse</w:t>
            </w:r>
            <w:r w:rsidRPr="00A6483F">
              <w:rPr>
                <w:rFonts w:ascii="Arial" w:hAnsi="Arial" w:cs="Arial"/>
                <w:spacing w:val="-4"/>
                <w:sz w:val="20"/>
                <w:szCs w:val="20"/>
              </w:rPr>
              <w:t xml:space="preserve"> </w:t>
            </w:r>
            <w:r w:rsidRPr="00A6483F">
              <w:rPr>
                <w:rFonts w:ascii="Arial" w:hAnsi="Arial" w:cs="Arial"/>
                <w:sz w:val="20"/>
                <w:szCs w:val="20"/>
              </w:rPr>
              <w:t>5’</w:t>
            </w:r>
            <w:r w:rsidRPr="00A6483F">
              <w:rPr>
                <w:rFonts w:ascii="Arial" w:hAnsi="Arial" w:cs="Arial"/>
                <w:spacing w:val="-4"/>
                <w:sz w:val="20"/>
                <w:szCs w:val="20"/>
              </w:rPr>
              <w:t xml:space="preserve"> </w:t>
            </w:r>
            <w:r w:rsidRPr="00A6483F">
              <w:rPr>
                <w:rFonts w:ascii="Arial" w:hAnsi="Arial" w:cs="Arial"/>
                <w:sz w:val="20"/>
                <w:szCs w:val="20"/>
              </w:rPr>
              <w:t>TGCGCAAAGTTCTGAATGTC</w:t>
            </w:r>
            <w:r w:rsidRPr="00A6483F">
              <w:rPr>
                <w:rFonts w:ascii="Arial" w:hAnsi="Arial" w:cs="Arial"/>
                <w:spacing w:val="-4"/>
                <w:sz w:val="20"/>
                <w:szCs w:val="20"/>
              </w:rPr>
              <w:t xml:space="preserve"> </w:t>
            </w:r>
            <w:r w:rsidRPr="00A6483F">
              <w:rPr>
                <w:rFonts w:ascii="Arial" w:hAnsi="Arial" w:cs="Arial"/>
                <w:sz w:val="20"/>
                <w:szCs w:val="20"/>
              </w:rPr>
              <w:t>3’</w:t>
            </w:r>
          </w:p>
        </w:tc>
      </w:tr>
      <w:tr w:rsidR="00E969AA" w:rsidRPr="00A6483F" w14:paraId="5254D32C" w14:textId="77777777" w:rsidTr="007E4FCF">
        <w:trPr>
          <w:trHeight w:val="1218"/>
        </w:trPr>
        <w:tc>
          <w:tcPr>
            <w:tcW w:w="4072" w:type="dxa"/>
          </w:tcPr>
          <w:p w14:paraId="6701A8C4" w14:textId="77777777" w:rsidR="00E969AA" w:rsidRPr="00A6483F" w:rsidRDefault="00E969AA" w:rsidP="007E4FCF">
            <w:pPr>
              <w:pStyle w:val="TableParagraph"/>
              <w:spacing w:before="2"/>
              <w:ind w:left="1056" w:right="1056"/>
              <w:jc w:val="center"/>
              <w:rPr>
                <w:rFonts w:ascii="Arial" w:hAnsi="Arial" w:cs="Arial"/>
                <w:sz w:val="20"/>
                <w:szCs w:val="20"/>
              </w:rPr>
            </w:pPr>
            <w:r w:rsidRPr="00A6483F">
              <w:rPr>
                <w:rFonts w:ascii="Arial" w:hAnsi="Arial" w:cs="Arial"/>
                <w:sz w:val="20"/>
                <w:szCs w:val="20"/>
              </w:rPr>
              <w:lastRenderedPageBreak/>
              <w:t>Cu-Zn</w:t>
            </w:r>
            <w:r w:rsidRPr="00A6483F">
              <w:rPr>
                <w:rFonts w:ascii="Arial" w:hAnsi="Arial" w:cs="Arial"/>
                <w:spacing w:val="-4"/>
                <w:sz w:val="20"/>
                <w:szCs w:val="20"/>
              </w:rPr>
              <w:t xml:space="preserve"> </w:t>
            </w:r>
            <w:r w:rsidRPr="00A6483F">
              <w:rPr>
                <w:rFonts w:ascii="Arial" w:hAnsi="Arial" w:cs="Arial"/>
                <w:sz w:val="20"/>
                <w:szCs w:val="20"/>
              </w:rPr>
              <w:t>SOD</w:t>
            </w:r>
          </w:p>
        </w:tc>
        <w:tc>
          <w:tcPr>
            <w:tcW w:w="5762" w:type="dxa"/>
          </w:tcPr>
          <w:p w14:paraId="45B44AC8" w14:textId="77777777" w:rsidR="00E969AA" w:rsidRPr="00A6483F" w:rsidRDefault="00E969AA" w:rsidP="007E4FCF">
            <w:pPr>
              <w:pStyle w:val="TableParagraph"/>
              <w:spacing w:before="2"/>
              <w:ind w:left="105"/>
              <w:rPr>
                <w:rFonts w:ascii="Arial" w:hAnsi="Arial" w:cs="Arial"/>
                <w:sz w:val="20"/>
                <w:szCs w:val="20"/>
              </w:rPr>
            </w:pPr>
            <w:r w:rsidRPr="00A6483F">
              <w:rPr>
                <w:rFonts w:ascii="Arial" w:hAnsi="Arial" w:cs="Arial"/>
                <w:sz w:val="20"/>
                <w:szCs w:val="20"/>
              </w:rPr>
              <w:t>Forward</w:t>
            </w:r>
            <w:r w:rsidRPr="00A6483F">
              <w:rPr>
                <w:rFonts w:ascii="Arial" w:hAnsi="Arial" w:cs="Arial"/>
                <w:spacing w:val="-4"/>
                <w:sz w:val="20"/>
                <w:szCs w:val="20"/>
              </w:rPr>
              <w:t xml:space="preserve"> </w:t>
            </w:r>
            <w:r w:rsidRPr="00A6483F">
              <w:rPr>
                <w:rFonts w:ascii="Arial" w:hAnsi="Arial" w:cs="Arial"/>
                <w:sz w:val="20"/>
                <w:szCs w:val="20"/>
              </w:rPr>
              <w:t>3’</w:t>
            </w:r>
            <w:r w:rsidRPr="00A6483F">
              <w:rPr>
                <w:rFonts w:ascii="Arial" w:hAnsi="Arial" w:cs="Arial"/>
                <w:spacing w:val="-4"/>
                <w:sz w:val="20"/>
                <w:szCs w:val="20"/>
              </w:rPr>
              <w:t xml:space="preserve"> </w:t>
            </w:r>
            <w:r w:rsidRPr="00A6483F">
              <w:rPr>
                <w:rFonts w:ascii="Arial" w:hAnsi="Arial" w:cs="Arial"/>
                <w:sz w:val="20"/>
                <w:szCs w:val="20"/>
              </w:rPr>
              <w:t>GCGGCGTTATTGGCATTG</w:t>
            </w:r>
            <w:r w:rsidRPr="00A6483F">
              <w:rPr>
                <w:rFonts w:ascii="Arial" w:hAnsi="Arial" w:cs="Arial"/>
                <w:spacing w:val="-5"/>
                <w:sz w:val="20"/>
                <w:szCs w:val="20"/>
              </w:rPr>
              <w:t xml:space="preserve"> </w:t>
            </w:r>
            <w:r w:rsidRPr="00A6483F">
              <w:rPr>
                <w:rFonts w:ascii="Arial" w:hAnsi="Arial" w:cs="Arial"/>
                <w:sz w:val="20"/>
                <w:szCs w:val="20"/>
              </w:rPr>
              <w:t>5’</w:t>
            </w:r>
          </w:p>
          <w:p w14:paraId="30A5C3DB" w14:textId="77777777" w:rsidR="00E969AA" w:rsidRPr="00A6483F" w:rsidRDefault="00E969AA" w:rsidP="007E4FCF">
            <w:pPr>
              <w:pStyle w:val="TableParagraph"/>
              <w:spacing w:before="6"/>
              <w:rPr>
                <w:rFonts w:ascii="Arial" w:hAnsi="Arial" w:cs="Arial"/>
                <w:sz w:val="20"/>
                <w:szCs w:val="20"/>
              </w:rPr>
            </w:pPr>
          </w:p>
          <w:p w14:paraId="6257834C" w14:textId="77777777" w:rsidR="00E969AA" w:rsidRPr="00A6483F" w:rsidRDefault="00E969AA" w:rsidP="007E4FCF">
            <w:pPr>
              <w:pStyle w:val="TableParagraph"/>
              <w:ind w:left="105"/>
              <w:rPr>
                <w:rFonts w:ascii="Arial" w:hAnsi="Arial" w:cs="Arial"/>
                <w:sz w:val="20"/>
                <w:szCs w:val="20"/>
              </w:rPr>
            </w:pPr>
            <w:r w:rsidRPr="00A6483F">
              <w:rPr>
                <w:rFonts w:ascii="Arial" w:hAnsi="Arial" w:cs="Arial"/>
                <w:sz w:val="20"/>
                <w:szCs w:val="20"/>
              </w:rPr>
              <w:t>Reverse</w:t>
            </w:r>
            <w:r w:rsidRPr="00A6483F">
              <w:rPr>
                <w:rFonts w:ascii="Arial" w:hAnsi="Arial" w:cs="Arial"/>
                <w:spacing w:val="-3"/>
                <w:sz w:val="20"/>
                <w:szCs w:val="20"/>
              </w:rPr>
              <w:t xml:space="preserve"> </w:t>
            </w:r>
            <w:r w:rsidRPr="00A6483F">
              <w:rPr>
                <w:rFonts w:ascii="Arial" w:hAnsi="Arial" w:cs="Arial"/>
                <w:sz w:val="20"/>
                <w:szCs w:val="20"/>
              </w:rPr>
              <w:t>3’ ACTAACAGACCACAGGCTATG</w:t>
            </w:r>
            <w:r w:rsidRPr="00A6483F">
              <w:rPr>
                <w:rFonts w:ascii="Arial" w:hAnsi="Arial" w:cs="Arial"/>
                <w:spacing w:val="-4"/>
                <w:sz w:val="20"/>
                <w:szCs w:val="20"/>
              </w:rPr>
              <w:t xml:space="preserve"> </w:t>
            </w:r>
            <w:r w:rsidRPr="00A6483F">
              <w:rPr>
                <w:rFonts w:ascii="Arial" w:hAnsi="Arial" w:cs="Arial"/>
                <w:sz w:val="20"/>
                <w:szCs w:val="20"/>
              </w:rPr>
              <w:t>5’</w:t>
            </w:r>
          </w:p>
        </w:tc>
      </w:tr>
      <w:tr w:rsidR="00E969AA" w:rsidRPr="00A6483F" w14:paraId="2C48A636" w14:textId="77777777" w:rsidTr="007E4FCF">
        <w:trPr>
          <w:trHeight w:val="1219"/>
        </w:trPr>
        <w:tc>
          <w:tcPr>
            <w:tcW w:w="4072" w:type="dxa"/>
          </w:tcPr>
          <w:p w14:paraId="1B3633A6" w14:textId="77777777" w:rsidR="00E969AA" w:rsidRPr="00A6483F" w:rsidRDefault="00E969AA" w:rsidP="007E4FCF">
            <w:pPr>
              <w:pStyle w:val="TableParagraph"/>
              <w:ind w:left="1056" w:right="1056"/>
              <w:jc w:val="center"/>
              <w:rPr>
                <w:rFonts w:ascii="Arial" w:hAnsi="Arial" w:cs="Arial"/>
                <w:sz w:val="20"/>
                <w:szCs w:val="20"/>
              </w:rPr>
            </w:pPr>
            <w:r w:rsidRPr="00A6483F">
              <w:rPr>
                <w:rFonts w:ascii="Arial" w:hAnsi="Arial" w:cs="Arial"/>
                <w:sz w:val="20"/>
                <w:szCs w:val="20"/>
              </w:rPr>
              <w:t>Mn-</w:t>
            </w:r>
            <w:r w:rsidRPr="00A6483F">
              <w:rPr>
                <w:rFonts w:ascii="Arial" w:hAnsi="Arial" w:cs="Arial"/>
                <w:spacing w:val="-2"/>
                <w:sz w:val="20"/>
                <w:szCs w:val="20"/>
              </w:rPr>
              <w:t xml:space="preserve"> </w:t>
            </w:r>
            <w:r w:rsidRPr="00A6483F">
              <w:rPr>
                <w:rFonts w:ascii="Arial" w:hAnsi="Arial" w:cs="Arial"/>
                <w:sz w:val="20"/>
                <w:szCs w:val="20"/>
              </w:rPr>
              <w:t>SOD</w:t>
            </w:r>
          </w:p>
        </w:tc>
        <w:tc>
          <w:tcPr>
            <w:tcW w:w="5762" w:type="dxa"/>
          </w:tcPr>
          <w:p w14:paraId="09683A07" w14:textId="77777777" w:rsidR="00E969AA" w:rsidRPr="00A6483F" w:rsidRDefault="00E969AA" w:rsidP="007E4FCF">
            <w:pPr>
              <w:pStyle w:val="TableParagraph"/>
              <w:ind w:left="105"/>
              <w:rPr>
                <w:rFonts w:ascii="Arial" w:hAnsi="Arial" w:cs="Arial"/>
                <w:sz w:val="20"/>
                <w:szCs w:val="20"/>
              </w:rPr>
            </w:pPr>
            <w:r w:rsidRPr="00A6483F">
              <w:rPr>
                <w:rFonts w:ascii="Arial" w:hAnsi="Arial" w:cs="Arial"/>
                <w:sz w:val="20"/>
                <w:szCs w:val="20"/>
              </w:rPr>
              <w:t>Forward</w:t>
            </w:r>
            <w:r w:rsidRPr="00A6483F">
              <w:rPr>
                <w:rFonts w:ascii="Arial" w:hAnsi="Arial" w:cs="Arial"/>
                <w:spacing w:val="-5"/>
                <w:sz w:val="20"/>
                <w:szCs w:val="20"/>
              </w:rPr>
              <w:t xml:space="preserve"> </w:t>
            </w:r>
            <w:r w:rsidRPr="00A6483F">
              <w:rPr>
                <w:rFonts w:ascii="Arial" w:hAnsi="Arial" w:cs="Arial"/>
                <w:sz w:val="20"/>
                <w:szCs w:val="20"/>
              </w:rPr>
              <w:t>3’</w:t>
            </w:r>
            <w:r w:rsidRPr="00A6483F">
              <w:rPr>
                <w:rFonts w:ascii="Arial" w:hAnsi="Arial" w:cs="Arial"/>
                <w:spacing w:val="-5"/>
                <w:sz w:val="20"/>
                <w:szCs w:val="20"/>
              </w:rPr>
              <w:t xml:space="preserve"> </w:t>
            </w:r>
            <w:r w:rsidRPr="00A6483F">
              <w:rPr>
                <w:rFonts w:ascii="Arial" w:hAnsi="Arial" w:cs="Arial"/>
                <w:sz w:val="20"/>
                <w:szCs w:val="20"/>
              </w:rPr>
              <w:t>CACATCAACCACACCATCTTC</w:t>
            </w:r>
            <w:r w:rsidRPr="00A6483F">
              <w:rPr>
                <w:rFonts w:ascii="Arial" w:hAnsi="Arial" w:cs="Arial"/>
                <w:spacing w:val="-1"/>
                <w:sz w:val="20"/>
                <w:szCs w:val="20"/>
              </w:rPr>
              <w:t xml:space="preserve"> </w:t>
            </w:r>
            <w:r w:rsidRPr="00A6483F">
              <w:rPr>
                <w:rFonts w:ascii="Arial" w:hAnsi="Arial" w:cs="Arial"/>
                <w:sz w:val="20"/>
                <w:szCs w:val="20"/>
              </w:rPr>
              <w:t>5’</w:t>
            </w:r>
          </w:p>
          <w:p w14:paraId="7E86E665" w14:textId="77777777" w:rsidR="00E969AA" w:rsidRPr="00A6483F" w:rsidRDefault="00E969AA" w:rsidP="007E4FCF">
            <w:pPr>
              <w:pStyle w:val="TableParagraph"/>
              <w:rPr>
                <w:rFonts w:ascii="Arial" w:hAnsi="Arial" w:cs="Arial"/>
                <w:sz w:val="20"/>
                <w:szCs w:val="20"/>
              </w:rPr>
            </w:pPr>
          </w:p>
          <w:p w14:paraId="1841B850" w14:textId="77777777" w:rsidR="00E969AA" w:rsidRPr="00A6483F" w:rsidRDefault="00E969AA" w:rsidP="007E4FCF">
            <w:pPr>
              <w:pStyle w:val="TableParagraph"/>
              <w:ind w:left="105"/>
              <w:rPr>
                <w:rFonts w:ascii="Arial" w:hAnsi="Arial" w:cs="Arial"/>
                <w:sz w:val="20"/>
                <w:szCs w:val="20"/>
              </w:rPr>
            </w:pPr>
            <w:r w:rsidRPr="00A6483F">
              <w:rPr>
                <w:rFonts w:ascii="Arial" w:hAnsi="Arial" w:cs="Arial"/>
                <w:sz w:val="20"/>
                <w:szCs w:val="20"/>
              </w:rPr>
              <w:t>Reverse</w:t>
            </w:r>
            <w:r w:rsidRPr="00A6483F">
              <w:rPr>
                <w:rFonts w:ascii="Arial" w:hAnsi="Arial" w:cs="Arial"/>
                <w:spacing w:val="-2"/>
                <w:sz w:val="20"/>
                <w:szCs w:val="20"/>
              </w:rPr>
              <w:t xml:space="preserve"> </w:t>
            </w:r>
            <w:r w:rsidRPr="00A6483F">
              <w:rPr>
                <w:rFonts w:ascii="Arial" w:hAnsi="Arial" w:cs="Arial"/>
                <w:sz w:val="20"/>
                <w:szCs w:val="20"/>
              </w:rPr>
              <w:t>3’</w:t>
            </w:r>
            <w:r w:rsidRPr="00A6483F">
              <w:rPr>
                <w:rFonts w:ascii="Arial" w:hAnsi="Arial" w:cs="Arial"/>
                <w:spacing w:val="-2"/>
                <w:sz w:val="20"/>
                <w:szCs w:val="20"/>
              </w:rPr>
              <w:t xml:space="preserve"> </w:t>
            </w:r>
            <w:r w:rsidRPr="00A6483F">
              <w:rPr>
                <w:rFonts w:ascii="Arial" w:hAnsi="Arial" w:cs="Arial"/>
                <w:sz w:val="20"/>
                <w:szCs w:val="20"/>
              </w:rPr>
              <w:t>CGTCTTCCACTGCGACTC</w:t>
            </w:r>
            <w:r w:rsidRPr="00A6483F">
              <w:rPr>
                <w:rFonts w:ascii="Arial" w:hAnsi="Arial" w:cs="Arial"/>
                <w:spacing w:val="-3"/>
                <w:sz w:val="20"/>
                <w:szCs w:val="20"/>
              </w:rPr>
              <w:t xml:space="preserve"> </w:t>
            </w:r>
            <w:r w:rsidRPr="00A6483F">
              <w:rPr>
                <w:rFonts w:ascii="Arial" w:hAnsi="Arial" w:cs="Arial"/>
                <w:sz w:val="20"/>
                <w:szCs w:val="20"/>
              </w:rPr>
              <w:t>5’</w:t>
            </w:r>
          </w:p>
        </w:tc>
      </w:tr>
    </w:tbl>
    <w:p w14:paraId="7A1D3497" w14:textId="77777777" w:rsidR="00E969AA" w:rsidRPr="00A6483F" w:rsidRDefault="00E969AA" w:rsidP="00753545">
      <w:pPr>
        <w:spacing w:line="240" w:lineRule="auto"/>
        <w:ind w:firstLine="720"/>
        <w:jc w:val="both"/>
        <w:rPr>
          <w:rFonts w:ascii="Arial" w:hAnsi="Arial" w:cs="Arial"/>
          <w:sz w:val="20"/>
          <w:szCs w:val="20"/>
          <w:lang w:val="en-US"/>
        </w:rPr>
      </w:pPr>
    </w:p>
    <w:p w14:paraId="4D776FED" w14:textId="77777777" w:rsidR="00AF01D5" w:rsidRPr="00A6483F" w:rsidRDefault="00AD374E" w:rsidP="00205B24">
      <w:pPr>
        <w:spacing w:line="240" w:lineRule="auto"/>
        <w:rPr>
          <w:rFonts w:ascii="Arial" w:hAnsi="Arial" w:cs="Arial"/>
          <w:b/>
          <w:bCs/>
          <w:sz w:val="20"/>
          <w:szCs w:val="20"/>
          <w:lang w:val="en-US"/>
        </w:rPr>
      </w:pPr>
      <w:r w:rsidRPr="00A6483F">
        <w:rPr>
          <w:rFonts w:ascii="Arial" w:hAnsi="Arial" w:cs="Arial"/>
          <w:b/>
          <w:bCs/>
          <w:sz w:val="20"/>
          <w:szCs w:val="20"/>
          <w:lang w:val="en-US"/>
        </w:rPr>
        <w:t>2.4.4 Agarose gel Electrophoresis</w:t>
      </w:r>
    </w:p>
    <w:p w14:paraId="7A0DC6AA" w14:textId="77777777" w:rsidR="00AF01D5" w:rsidRPr="00A6483F" w:rsidRDefault="00AF01D5" w:rsidP="00057006">
      <w:pPr>
        <w:spacing w:line="240" w:lineRule="auto"/>
        <w:jc w:val="both"/>
        <w:rPr>
          <w:rFonts w:ascii="Arial" w:hAnsi="Arial" w:cs="Arial"/>
          <w:sz w:val="20"/>
          <w:szCs w:val="20"/>
          <w:lang w:val="en-US"/>
        </w:rPr>
      </w:pPr>
      <w:r w:rsidRPr="00A6483F">
        <w:rPr>
          <w:rFonts w:ascii="Arial" w:hAnsi="Arial" w:cs="Arial"/>
          <w:sz w:val="20"/>
          <w:szCs w:val="20"/>
          <w:lang w:val="en-US"/>
        </w:rPr>
        <w:t>Agarose gel electrophoresis was performed to analyse the PCR-amplified products. A 1 x TAE (Tris acetate EDTA) buffer was prepared by diluting 0.4 mL of 50 x TAE stock solution to a final volume of 200 mL with distilled or demineralised water. A 1% agarose gel was prepared by dissolving 0.5 g of agarose in 50 mL of 1 x TAE buffer. The mixture was heated until the agarose dissolved completely and a clear solution was obtained. The gel-casting tray was assembled, and the comb was positioned approximately 2 cm from the cathode end of the tray. Ethidium bromide (EtBr) was added to the molten agarose to obtain a final concentration of 0.5 µg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from a 10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stock solution. The solution was mixed gently and allowed to cool to approximately 60 ⁰C before being poured into the casting tray. The gel was allowed to solidify at room temperature, resulting in a gel thickness of approximately 0.5-0.9 cm. After solidification, the gel was placed in the electrophoresis tank and submerged in 1 x TAE buffer until the buffer level was approximately 0.5-0.8 cm above the gel surface. The comb was carefully removed to create intact sample wells. The electrophoresis unit was connected to the power supply, with the red lead connected to the anode and the black lead connected to the cathode. PCR samples were mixed with 6 x Tri track loading dye and loaded into the wells in the desired order, which was recorded for reference. Electrophoresis was carried out at 50 V until the tracking dye migrated approximately three-fourths of the length of the gel. After electrophoresis, the DNA bands were visualised under a UV transilluminator, where the ethidium bromide-stained DNA appeared as fluorescent bands.</w:t>
      </w:r>
    </w:p>
    <w:p w14:paraId="7D8B535A" w14:textId="77777777" w:rsidR="00336FB3" w:rsidRPr="00A6483F" w:rsidRDefault="0072733C" w:rsidP="00057006">
      <w:pPr>
        <w:spacing w:line="240" w:lineRule="auto"/>
        <w:jc w:val="both"/>
        <w:rPr>
          <w:rFonts w:ascii="Arial" w:hAnsi="Arial" w:cs="Arial"/>
          <w:b/>
          <w:bCs/>
          <w:sz w:val="20"/>
          <w:szCs w:val="20"/>
          <w:lang w:val="en-US"/>
        </w:rPr>
      </w:pPr>
      <w:r w:rsidRPr="00A6483F">
        <w:rPr>
          <w:rFonts w:ascii="Arial" w:hAnsi="Arial" w:cs="Arial"/>
          <w:b/>
          <w:bCs/>
          <w:sz w:val="20"/>
          <w:szCs w:val="20"/>
          <w:lang w:val="en-US"/>
        </w:rPr>
        <w:t xml:space="preserve">2.5 </w:t>
      </w:r>
      <w:r w:rsidR="00AB4291" w:rsidRPr="00A6483F">
        <w:rPr>
          <w:rFonts w:ascii="Arial" w:hAnsi="Arial" w:cs="Arial"/>
          <w:b/>
          <w:bCs/>
          <w:sz w:val="20"/>
          <w:szCs w:val="20"/>
          <w:lang w:val="en-US"/>
        </w:rPr>
        <w:t>Statistical analysi</w:t>
      </w:r>
      <w:r w:rsidR="00C26AB6" w:rsidRPr="00A6483F">
        <w:rPr>
          <w:rFonts w:ascii="Arial" w:hAnsi="Arial" w:cs="Arial"/>
          <w:b/>
          <w:bCs/>
          <w:sz w:val="20"/>
          <w:szCs w:val="20"/>
          <w:lang w:val="en-US"/>
        </w:rPr>
        <w:t>s</w:t>
      </w:r>
    </w:p>
    <w:p w14:paraId="65099D9A" w14:textId="77777777" w:rsidR="00C26AB6" w:rsidRPr="00A6483F" w:rsidRDefault="00437BB1" w:rsidP="00057006">
      <w:pPr>
        <w:spacing w:line="240" w:lineRule="auto"/>
        <w:jc w:val="both"/>
        <w:rPr>
          <w:rFonts w:ascii="Arial" w:hAnsi="Arial" w:cs="Arial"/>
          <w:b/>
          <w:bCs/>
          <w:sz w:val="20"/>
          <w:szCs w:val="20"/>
          <w:lang w:val="en-US"/>
        </w:rPr>
      </w:pPr>
      <w:r w:rsidRPr="00A6483F">
        <w:rPr>
          <w:rFonts w:ascii="Arial" w:hAnsi="Arial" w:cs="Arial"/>
          <w:color w:val="000000" w:themeColor="text1"/>
          <w:sz w:val="20"/>
          <w:szCs w:val="20"/>
        </w:rPr>
        <w:t>All experiments were carried out in triplicate (n=3), and data were expressed as mean ± standard deviation (SD).</w:t>
      </w:r>
    </w:p>
    <w:p w14:paraId="3CF00B2A" w14:textId="77777777" w:rsidR="004412FB" w:rsidRPr="00A6483F" w:rsidRDefault="00AD374E" w:rsidP="00205B24">
      <w:pPr>
        <w:spacing w:line="240" w:lineRule="auto"/>
        <w:rPr>
          <w:rFonts w:ascii="Arial" w:hAnsi="Arial" w:cs="Arial"/>
          <w:b/>
          <w:bCs/>
          <w:lang w:val="en-US"/>
        </w:rPr>
      </w:pPr>
      <w:r w:rsidRPr="00A6483F">
        <w:rPr>
          <w:rFonts w:ascii="Arial" w:hAnsi="Arial" w:cs="Arial"/>
          <w:b/>
          <w:bCs/>
          <w:lang w:val="en-US"/>
        </w:rPr>
        <w:t xml:space="preserve">3. RESULTS AND DISCUSSION </w:t>
      </w:r>
    </w:p>
    <w:p w14:paraId="5FE92B83" w14:textId="77777777" w:rsidR="00844EE8" w:rsidRPr="00A6483F" w:rsidRDefault="0072733C" w:rsidP="00205B24">
      <w:pPr>
        <w:spacing w:line="240" w:lineRule="auto"/>
        <w:rPr>
          <w:rFonts w:ascii="Arial" w:eastAsia="Times New Roman" w:hAnsi="Arial" w:cs="Arial"/>
          <w:b/>
          <w:bCs/>
          <w:color w:val="000000" w:themeColor="text1"/>
          <w:sz w:val="20"/>
          <w:szCs w:val="20"/>
        </w:rPr>
      </w:pPr>
      <w:r w:rsidRPr="00A6483F">
        <w:rPr>
          <w:rFonts w:ascii="Arial" w:eastAsia="Times New Roman" w:hAnsi="Arial" w:cs="Arial"/>
          <w:b/>
          <w:bCs/>
          <w:color w:val="000000" w:themeColor="text1"/>
          <w:sz w:val="20"/>
          <w:szCs w:val="20"/>
        </w:rPr>
        <w:t xml:space="preserve">3.1 </w:t>
      </w:r>
      <w:r w:rsidR="00844EE8" w:rsidRPr="00A6483F">
        <w:rPr>
          <w:rFonts w:ascii="Arial" w:eastAsia="Times New Roman" w:hAnsi="Arial" w:cs="Arial"/>
          <w:b/>
          <w:bCs/>
          <w:color w:val="000000" w:themeColor="text1"/>
          <w:sz w:val="20"/>
          <w:szCs w:val="20"/>
        </w:rPr>
        <w:t>Phytocompound characterization by HPLC analysis</w:t>
      </w:r>
    </w:p>
    <w:p w14:paraId="0F3737F4" w14:textId="77777777" w:rsidR="00844EE8" w:rsidRPr="00A6483F" w:rsidRDefault="00844EE8" w:rsidP="00057006">
      <w:pPr>
        <w:spacing w:line="240" w:lineRule="auto"/>
        <w:jc w:val="both"/>
        <w:rPr>
          <w:rFonts w:ascii="Arial" w:hAnsi="Arial" w:cs="Arial"/>
          <w:color w:val="000000" w:themeColor="text1"/>
          <w:sz w:val="20"/>
          <w:szCs w:val="20"/>
        </w:rPr>
      </w:pPr>
      <w:r w:rsidRPr="00A6483F">
        <w:rPr>
          <w:rFonts w:ascii="Arial" w:hAnsi="Arial" w:cs="Arial"/>
          <w:color w:val="000000" w:themeColor="text1"/>
          <w:sz w:val="20"/>
          <w:szCs w:val="20"/>
        </w:rPr>
        <w:t>In the root EA extract, five bioactive compounds were detected, including rutin, colchicine, quercetin, kaempferol and lupeol (Fig. 2). Rutin exhibited the highest concentration, 9.230 mg g</w:t>
      </w:r>
      <w:r w:rsidRPr="00A6483F">
        <w:rPr>
          <w:rFonts w:ascii="Arial" w:hAnsi="Arial" w:cs="Arial"/>
          <w:color w:val="000000" w:themeColor="text1"/>
          <w:sz w:val="20"/>
          <w:szCs w:val="20"/>
          <w:vertAlign w:val="superscript"/>
        </w:rPr>
        <w:t>-1</w:t>
      </w:r>
      <w:r w:rsidRPr="00A6483F">
        <w:rPr>
          <w:rFonts w:ascii="Arial" w:hAnsi="Arial" w:cs="Arial"/>
          <w:color w:val="000000" w:themeColor="text1"/>
          <w:sz w:val="20"/>
          <w:szCs w:val="20"/>
        </w:rPr>
        <w:t>, among all compounds analysed, indicating that it is a major phenolic constituent of the root extract. Kaempferol was the second most abundant compound, at 3.1765 mg g</w:t>
      </w:r>
      <w:r w:rsidRPr="00A6483F">
        <w:rPr>
          <w:rFonts w:ascii="Arial" w:hAnsi="Arial" w:cs="Arial"/>
          <w:color w:val="000000" w:themeColor="text1"/>
          <w:sz w:val="20"/>
          <w:szCs w:val="20"/>
          <w:vertAlign w:val="superscript"/>
        </w:rPr>
        <w:t>-1</w:t>
      </w:r>
      <w:r w:rsidRPr="00A6483F">
        <w:rPr>
          <w:rFonts w:ascii="Arial" w:hAnsi="Arial" w:cs="Arial"/>
          <w:color w:val="000000" w:themeColor="text1"/>
          <w:sz w:val="20"/>
          <w:szCs w:val="20"/>
        </w:rPr>
        <w:t>. Lupeol was present at a concentration of 0.3480 mg g</w:t>
      </w:r>
      <w:r w:rsidRPr="00A6483F">
        <w:rPr>
          <w:rFonts w:ascii="Arial" w:hAnsi="Arial" w:cs="Arial"/>
          <w:color w:val="000000" w:themeColor="text1"/>
          <w:sz w:val="20"/>
          <w:szCs w:val="20"/>
          <w:vertAlign w:val="superscript"/>
        </w:rPr>
        <w:t>-1</w:t>
      </w:r>
      <w:r w:rsidRPr="00A6483F">
        <w:rPr>
          <w:rFonts w:ascii="Arial" w:hAnsi="Arial" w:cs="Arial"/>
          <w:color w:val="000000" w:themeColor="text1"/>
          <w:sz w:val="20"/>
          <w:szCs w:val="20"/>
        </w:rPr>
        <w:t>, while colchicine and quercetin were present in comparatively lower amounts, with concentrations of 0.1127 mg g</w:t>
      </w:r>
      <w:r w:rsidRPr="00A6483F">
        <w:rPr>
          <w:rFonts w:ascii="Arial" w:hAnsi="Arial" w:cs="Arial"/>
          <w:color w:val="000000" w:themeColor="text1"/>
          <w:sz w:val="20"/>
          <w:szCs w:val="20"/>
          <w:vertAlign w:val="superscript"/>
        </w:rPr>
        <w:t>-1</w:t>
      </w:r>
      <w:r w:rsidRPr="00A6483F">
        <w:rPr>
          <w:rFonts w:ascii="Arial" w:hAnsi="Arial" w:cs="Arial"/>
          <w:color w:val="000000" w:themeColor="text1"/>
          <w:sz w:val="20"/>
          <w:szCs w:val="20"/>
        </w:rPr>
        <w:t xml:space="preserve"> and 0.0530 mg g</w:t>
      </w:r>
      <w:r w:rsidRPr="00A6483F">
        <w:rPr>
          <w:rFonts w:ascii="Arial" w:hAnsi="Arial" w:cs="Arial"/>
          <w:color w:val="000000" w:themeColor="text1"/>
          <w:sz w:val="20"/>
          <w:szCs w:val="20"/>
          <w:vertAlign w:val="superscript"/>
        </w:rPr>
        <w:t>-1</w:t>
      </w:r>
      <w:r w:rsidRPr="00A6483F">
        <w:rPr>
          <w:rFonts w:ascii="Arial" w:hAnsi="Arial" w:cs="Arial"/>
          <w:color w:val="000000" w:themeColor="text1"/>
          <w:sz w:val="20"/>
          <w:szCs w:val="20"/>
        </w:rPr>
        <w:t xml:space="preserve">, respectively (Table 2). Overall, HPLC profiling revealed marked differences in the phytochemical composition of the root EA extract of </w:t>
      </w:r>
      <w:r w:rsidRPr="00A6483F">
        <w:rPr>
          <w:rFonts w:ascii="Arial" w:hAnsi="Arial" w:cs="Arial"/>
          <w:i/>
          <w:color w:val="000000" w:themeColor="text1"/>
          <w:sz w:val="20"/>
          <w:szCs w:val="20"/>
        </w:rPr>
        <w:t>I. frutescens</w:t>
      </w:r>
      <w:r w:rsidRPr="00A6483F">
        <w:rPr>
          <w:rFonts w:ascii="Arial" w:hAnsi="Arial" w:cs="Arial"/>
          <w:color w:val="000000" w:themeColor="text1"/>
          <w:sz w:val="20"/>
          <w:szCs w:val="20"/>
        </w:rPr>
        <w:t>. The predominance of rutin suggests that the root is a rich source of flavonoids. Rutin, lupeol and kaempferol have been extensively reported to possess antioxidant, anti-inflammatory and antistress activities (Alrumaihi et al., 2024; Al Hoque et al., 2025), while quercetin is recognised for its strong free-radical-scavenging and neuroprotective potential (Adnan et al., 2025).</w:t>
      </w:r>
    </w:p>
    <w:p w14:paraId="546A4CAD" w14:textId="77777777" w:rsidR="00D77A23" w:rsidRPr="00A6483F" w:rsidRDefault="00D77A23" w:rsidP="00D77A23">
      <w:pPr>
        <w:jc w:val="center"/>
        <w:rPr>
          <w:rFonts w:ascii="Arial" w:hAnsi="Arial" w:cs="Arial"/>
          <w:b/>
          <w:bCs/>
          <w:noProof/>
          <w:sz w:val="20"/>
          <w:szCs w:val="20"/>
        </w:rPr>
      </w:pPr>
      <w:r w:rsidRPr="00A6483F">
        <w:rPr>
          <w:rFonts w:ascii="Arial" w:hAnsi="Arial" w:cs="Arial"/>
          <w:b/>
          <w:bCs/>
          <w:noProof/>
          <w:sz w:val="20"/>
          <w:szCs w:val="20"/>
        </w:rPr>
        <w:t xml:space="preserve">Table 2: HPLC quantification of bioactive compounds in </w:t>
      </w:r>
      <w:r w:rsidRPr="00A6483F">
        <w:rPr>
          <w:rFonts w:ascii="Arial" w:hAnsi="Arial" w:cs="Arial"/>
          <w:b/>
          <w:bCs/>
          <w:i/>
          <w:iCs/>
          <w:noProof/>
          <w:sz w:val="20"/>
          <w:szCs w:val="20"/>
        </w:rPr>
        <w:t>I. frutescens</w:t>
      </w:r>
      <w:r w:rsidRPr="00A6483F">
        <w:rPr>
          <w:rFonts w:ascii="Arial" w:hAnsi="Arial" w:cs="Arial"/>
          <w:b/>
          <w:bCs/>
          <w:noProof/>
          <w:sz w:val="20"/>
          <w:szCs w:val="20"/>
        </w:rPr>
        <w:t xml:space="preserve"> root EA extract</w:t>
      </w:r>
    </w:p>
    <w:tbl>
      <w:tblPr>
        <w:tblStyle w:val="TableGrid"/>
        <w:tblW w:w="5000" w:type="pct"/>
        <w:tblBorders>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884"/>
        <w:gridCol w:w="1931"/>
        <w:gridCol w:w="1441"/>
        <w:gridCol w:w="1885"/>
        <w:gridCol w:w="1885"/>
      </w:tblGrid>
      <w:tr w:rsidR="00D77A23" w:rsidRPr="00A6483F" w14:paraId="75BD6E21" w14:textId="77777777" w:rsidTr="007E4FCF">
        <w:trPr>
          <w:trHeight w:val="432"/>
        </w:trPr>
        <w:tc>
          <w:tcPr>
            <w:tcW w:w="1044" w:type="pct"/>
            <w:tcBorders>
              <w:top w:val="single" w:sz="4" w:space="0" w:color="auto"/>
              <w:bottom w:val="single" w:sz="4" w:space="0" w:color="auto"/>
            </w:tcBorders>
            <w:hideMark/>
          </w:tcPr>
          <w:p w14:paraId="0D0C7C2A"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b/>
                <w:bCs/>
                <w:sz w:val="20"/>
                <w:szCs w:val="20"/>
              </w:rPr>
              <w:t>Bioactive compounds</w:t>
            </w:r>
          </w:p>
        </w:tc>
        <w:tc>
          <w:tcPr>
            <w:tcW w:w="1070" w:type="pct"/>
            <w:tcBorders>
              <w:top w:val="single" w:sz="4" w:space="0" w:color="auto"/>
              <w:bottom w:val="single" w:sz="4" w:space="0" w:color="auto"/>
            </w:tcBorders>
            <w:hideMark/>
          </w:tcPr>
          <w:p w14:paraId="33041FA4"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b/>
                <w:bCs/>
                <w:sz w:val="20"/>
                <w:szCs w:val="20"/>
              </w:rPr>
              <w:t>Retention Time (RT)</w:t>
            </w:r>
          </w:p>
        </w:tc>
        <w:tc>
          <w:tcPr>
            <w:tcW w:w="798" w:type="pct"/>
            <w:tcBorders>
              <w:top w:val="single" w:sz="4" w:space="0" w:color="auto"/>
              <w:bottom w:val="single" w:sz="4" w:space="0" w:color="auto"/>
            </w:tcBorders>
            <w:hideMark/>
          </w:tcPr>
          <w:p w14:paraId="403E9BE3"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b/>
                <w:bCs/>
                <w:sz w:val="20"/>
                <w:szCs w:val="20"/>
              </w:rPr>
              <w:t>Area</w:t>
            </w:r>
          </w:p>
        </w:tc>
        <w:tc>
          <w:tcPr>
            <w:tcW w:w="1044" w:type="pct"/>
            <w:tcBorders>
              <w:top w:val="single" w:sz="4" w:space="0" w:color="auto"/>
              <w:bottom w:val="single" w:sz="4" w:space="0" w:color="auto"/>
            </w:tcBorders>
            <w:hideMark/>
          </w:tcPr>
          <w:p w14:paraId="3CEF2DFB"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b/>
                <w:bCs/>
                <w:sz w:val="20"/>
                <w:szCs w:val="20"/>
              </w:rPr>
              <w:t>Height</w:t>
            </w:r>
          </w:p>
        </w:tc>
        <w:tc>
          <w:tcPr>
            <w:tcW w:w="1044" w:type="pct"/>
            <w:tcBorders>
              <w:top w:val="single" w:sz="4" w:space="0" w:color="auto"/>
              <w:bottom w:val="single" w:sz="4" w:space="0" w:color="auto"/>
            </w:tcBorders>
            <w:hideMark/>
          </w:tcPr>
          <w:p w14:paraId="3EC3B9D8"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b/>
                <w:bCs/>
                <w:sz w:val="20"/>
                <w:szCs w:val="20"/>
              </w:rPr>
              <w:t>Mg g</w:t>
            </w:r>
            <w:r w:rsidRPr="00A6483F">
              <w:rPr>
                <w:rFonts w:ascii="Arial" w:hAnsi="Arial" w:cs="Arial"/>
                <w:b/>
                <w:bCs/>
                <w:sz w:val="20"/>
                <w:szCs w:val="20"/>
                <w:vertAlign w:val="superscript"/>
              </w:rPr>
              <w:t>-1</w:t>
            </w:r>
          </w:p>
        </w:tc>
      </w:tr>
      <w:tr w:rsidR="00D77A23" w:rsidRPr="00A6483F" w14:paraId="1445B820" w14:textId="77777777" w:rsidTr="007E4FCF">
        <w:trPr>
          <w:trHeight w:val="432"/>
        </w:trPr>
        <w:tc>
          <w:tcPr>
            <w:tcW w:w="1044" w:type="pct"/>
            <w:tcBorders>
              <w:top w:val="single" w:sz="4" w:space="0" w:color="auto"/>
            </w:tcBorders>
            <w:hideMark/>
          </w:tcPr>
          <w:p w14:paraId="7F36DFF2"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Rutin</w:t>
            </w:r>
          </w:p>
        </w:tc>
        <w:tc>
          <w:tcPr>
            <w:tcW w:w="1070" w:type="pct"/>
            <w:tcBorders>
              <w:top w:val="single" w:sz="4" w:space="0" w:color="auto"/>
            </w:tcBorders>
            <w:hideMark/>
          </w:tcPr>
          <w:p w14:paraId="773A3FC5"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4.088</w:t>
            </w:r>
          </w:p>
        </w:tc>
        <w:tc>
          <w:tcPr>
            <w:tcW w:w="798" w:type="pct"/>
            <w:tcBorders>
              <w:top w:val="single" w:sz="4" w:space="0" w:color="auto"/>
            </w:tcBorders>
            <w:hideMark/>
          </w:tcPr>
          <w:p w14:paraId="10AD6853"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147454</w:t>
            </w:r>
          </w:p>
        </w:tc>
        <w:tc>
          <w:tcPr>
            <w:tcW w:w="1044" w:type="pct"/>
            <w:tcBorders>
              <w:top w:val="single" w:sz="4" w:space="0" w:color="auto"/>
            </w:tcBorders>
            <w:hideMark/>
          </w:tcPr>
          <w:p w14:paraId="6787E016"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41799</w:t>
            </w:r>
          </w:p>
        </w:tc>
        <w:tc>
          <w:tcPr>
            <w:tcW w:w="1044" w:type="pct"/>
            <w:tcBorders>
              <w:top w:val="single" w:sz="4" w:space="0" w:color="auto"/>
            </w:tcBorders>
            <w:hideMark/>
          </w:tcPr>
          <w:p w14:paraId="62ACA513"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b/>
                <w:bCs/>
                <w:sz w:val="20"/>
                <w:szCs w:val="20"/>
              </w:rPr>
              <w:t>9.230037</w:t>
            </w:r>
          </w:p>
        </w:tc>
      </w:tr>
      <w:tr w:rsidR="00D77A23" w:rsidRPr="00A6483F" w14:paraId="7B6CA6D0" w14:textId="77777777" w:rsidTr="007E4FCF">
        <w:trPr>
          <w:trHeight w:val="432"/>
        </w:trPr>
        <w:tc>
          <w:tcPr>
            <w:tcW w:w="1044" w:type="pct"/>
            <w:hideMark/>
          </w:tcPr>
          <w:p w14:paraId="51B55E85"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lastRenderedPageBreak/>
              <w:t>Colchicine</w:t>
            </w:r>
          </w:p>
        </w:tc>
        <w:tc>
          <w:tcPr>
            <w:tcW w:w="1070" w:type="pct"/>
            <w:hideMark/>
          </w:tcPr>
          <w:p w14:paraId="35F7E551"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4.519</w:t>
            </w:r>
          </w:p>
        </w:tc>
        <w:tc>
          <w:tcPr>
            <w:tcW w:w="798" w:type="pct"/>
            <w:hideMark/>
          </w:tcPr>
          <w:p w14:paraId="02251578"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68239</w:t>
            </w:r>
          </w:p>
        </w:tc>
        <w:tc>
          <w:tcPr>
            <w:tcW w:w="1044" w:type="pct"/>
            <w:hideMark/>
          </w:tcPr>
          <w:p w14:paraId="63B5432E"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10297</w:t>
            </w:r>
          </w:p>
        </w:tc>
        <w:tc>
          <w:tcPr>
            <w:tcW w:w="1044" w:type="pct"/>
            <w:hideMark/>
          </w:tcPr>
          <w:p w14:paraId="3BDF2A75"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0.112672</w:t>
            </w:r>
          </w:p>
        </w:tc>
      </w:tr>
      <w:tr w:rsidR="00D77A23" w:rsidRPr="00A6483F" w14:paraId="67241879" w14:textId="77777777" w:rsidTr="007E4FCF">
        <w:trPr>
          <w:trHeight w:val="432"/>
        </w:trPr>
        <w:tc>
          <w:tcPr>
            <w:tcW w:w="1044" w:type="pct"/>
            <w:hideMark/>
          </w:tcPr>
          <w:p w14:paraId="12487160"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Quercetin</w:t>
            </w:r>
          </w:p>
        </w:tc>
        <w:tc>
          <w:tcPr>
            <w:tcW w:w="1070" w:type="pct"/>
            <w:hideMark/>
          </w:tcPr>
          <w:p w14:paraId="00323470"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5.284</w:t>
            </w:r>
          </w:p>
        </w:tc>
        <w:tc>
          <w:tcPr>
            <w:tcW w:w="798" w:type="pct"/>
            <w:hideMark/>
          </w:tcPr>
          <w:p w14:paraId="211267E2"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39802</w:t>
            </w:r>
          </w:p>
        </w:tc>
        <w:tc>
          <w:tcPr>
            <w:tcW w:w="1044" w:type="pct"/>
            <w:hideMark/>
          </w:tcPr>
          <w:p w14:paraId="5A280F9C"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12461</w:t>
            </w:r>
          </w:p>
        </w:tc>
        <w:tc>
          <w:tcPr>
            <w:tcW w:w="1044" w:type="pct"/>
            <w:hideMark/>
          </w:tcPr>
          <w:p w14:paraId="4DEBB8F9"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0.053047</w:t>
            </w:r>
          </w:p>
        </w:tc>
      </w:tr>
      <w:tr w:rsidR="00D77A23" w:rsidRPr="00A6483F" w14:paraId="14FB7F98" w14:textId="77777777" w:rsidTr="007E4FCF">
        <w:trPr>
          <w:trHeight w:val="432"/>
        </w:trPr>
        <w:tc>
          <w:tcPr>
            <w:tcW w:w="1044" w:type="pct"/>
            <w:hideMark/>
          </w:tcPr>
          <w:p w14:paraId="6ECBC900"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Kaempferol</w:t>
            </w:r>
          </w:p>
        </w:tc>
        <w:tc>
          <w:tcPr>
            <w:tcW w:w="1070" w:type="pct"/>
            <w:hideMark/>
          </w:tcPr>
          <w:p w14:paraId="1AEAE62F"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21.302</w:t>
            </w:r>
          </w:p>
        </w:tc>
        <w:tc>
          <w:tcPr>
            <w:tcW w:w="798" w:type="pct"/>
            <w:hideMark/>
          </w:tcPr>
          <w:p w14:paraId="408D632E"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499448</w:t>
            </w:r>
          </w:p>
        </w:tc>
        <w:tc>
          <w:tcPr>
            <w:tcW w:w="1044" w:type="pct"/>
            <w:hideMark/>
          </w:tcPr>
          <w:p w14:paraId="0B22A7D7"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48100</w:t>
            </w:r>
          </w:p>
        </w:tc>
        <w:tc>
          <w:tcPr>
            <w:tcW w:w="1044" w:type="pct"/>
            <w:hideMark/>
          </w:tcPr>
          <w:p w14:paraId="4B8DAB90"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b/>
                <w:bCs/>
                <w:sz w:val="20"/>
                <w:szCs w:val="20"/>
              </w:rPr>
              <w:t>3.17648</w:t>
            </w:r>
          </w:p>
        </w:tc>
      </w:tr>
      <w:tr w:rsidR="00D77A23" w:rsidRPr="00A6483F" w14:paraId="7EAAA518" w14:textId="77777777" w:rsidTr="007E4FCF">
        <w:trPr>
          <w:trHeight w:val="432"/>
        </w:trPr>
        <w:tc>
          <w:tcPr>
            <w:tcW w:w="1044" w:type="pct"/>
            <w:hideMark/>
          </w:tcPr>
          <w:p w14:paraId="0F5A9A40"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Lupeol</w:t>
            </w:r>
          </w:p>
        </w:tc>
        <w:tc>
          <w:tcPr>
            <w:tcW w:w="1070" w:type="pct"/>
            <w:hideMark/>
          </w:tcPr>
          <w:p w14:paraId="21DC4D49"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42.647</w:t>
            </w:r>
          </w:p>
        </w:tc>
        <w:tc>
          <w:tcPr>
            <w:tcW w:w="798" w:type="pct"/>
            <w:hideMark/>
          </w:tcPr>
          <w:p w14:paraId="1B8DC0AA"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21209</w:t>
            </w:r>
          </w:p>
        </w:tc>
        <w:tc>
          <w:tcPr>
            <w:tcW w:w="1044" w:type="pct"/>
            <w:hideMark/>
          </w:tcPr>
          <w:p w14:paraId="2824F6C0"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sz w:val="20"/>
                <w:szCs w:val="20"/>
              </w:rPr>
              <w:t>20359</w:t>
            </w:r>
          </w:p>
        </w:tc>
        <w:tc>
          <w:tcPr>
            <w:tcW w:w="1044" w:type="pct"/>
            <w:hideMark/>
          </w:tcPr>
          <w:p w14:paraId="2D1AF80C" w14:textId="77777777" w:rsidR="00D77A23" w:rsidRPr="00A6483F" w:rsidRDefault="00D77A23" w:rsidP="007E4FCF">
            <w:pPr>
              <w:spacing w:after="160" w:line="278" w:lineRule="auto"/>
              <w:jc w:val="center"/>
              <w:rPr>
                <w:rFonts w:ascii="Arial" w:hAnsi="Arial" w:cs="Arial"/>
                <w:sz w:val="20"/>
                <w:szCs w:val="20"/>
              </w:rPr>
            </w:pPr>
            <w:r w:rsidRPr="00A6483F">
              <w:rPr>
                <w:rFonts w:ascii="Arial" w:hAnsi="Arial" w:cs="Arial"/>
                <w:b/>
                <w:bCs/>
                <w:sz w:val="20"/>
                <w:szCs w:val="20"/>
              </w:rPr>
              <w:t>0.348029</w:t>
            </w:r>
          </w:p>
        </w:tc>
      </w:tr>
    </w:tbl>
    <w:p w14:paraId="738C8785" w14:textId="77777777" w:rsidR="00D77A23" w:rsidRPr="00A6483F" w:rsidRDefault="00D77A23" w:rsidP="00057006">
      <w:pPr>
        <w:spacing w:line="240" w:lineRule="auto"/>
        <w:jc w:val="both"/>
        <w:rPr>
          <w:rFonts w:ascii="Arial" w:hAnsi="Arial" w:cs="Arial"/>
          <w:b/>
          <w:bCs/>
          <w:sz w:val="20"/>
          <w:szCs w:val="20"/>
          <w:lang w:val="en-US"/>
        </w:rPr>
      </w:pPr>
    </w:p>
    <w:p w14:paraId="7137F89E" w14:textId="77777777" w:rsidR="00D77A23" w:rsidRPr="00A6483F" w:rsidRDefault="00D77A23" w:rsidP="00D77A23">
      <w:pPr>
        <w:spacing w:line="240" w:lineRule="auto"/>
        <w:jc w:val="both"/>
        <w:rPr>
          <w:rFonts w:ascii="Arial" w:hAnsi="Arial" w:cs="Arial"/>
          <w:sz w:val="20"/>
          <w:szCs w:val="20"/>
          <w:lang w:val="en-US"/>
        </w:rPr>
      </w:pPr>
      <w:r w:rsidRPr="00A6483F">
        <w:rPr>
          <w:rFonts w:ascii="Arial" w:hAnsi="Arial" w:cs="Arial"/>
          <w:noProof/>
          <w:sz w:val="20"/>
          <w:szCs w:val="20"/>
          <w:lang w:bidi="ml-IN"/>
        </w:rPr>
        <w:drawing>
          <wp:inline distT="0" distB="0" distL="0" distR="0" wp14:anchorId="7B7E8E51" wp14:editId="2DD2CC10">
            <wp:extent cx="5731510" cy="4056758"/>
            <wp:effectExtent l="0" t="0" r="2540" b="1270"/>
            <wp:docPr id="3" name="Picture 3" descr="C:\Users\Admin\Documents\final hplc leaf 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cuments\final hplc leaf st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056758"/>
                    </a:xfrm>
                    <a:prstGeom prst="rect">
                      <a:avLst/>
                    </a:prstGeom>
                    <a:noFill/>
                    <a:ln>
                      <a:noFill/>
                    </a:ln>
                  </pic:spPr>
                </pic:pic>
              </a:graphicData>
            </a:graphic>
          </wp:inline>
        </w:drawing>
      </w:r>
    </w:p>
    <w:p w14:paraId="0B49B69E" w14:textId="77777777" w:rsidR="00D77A23" w:rsidRPr="00A6483F" w:rsidRDefault="00D77A23" w:rsidP="00D77A23">
      <w:pPr>
        <w:spacing w:before="86"/>
        <w:ind w:left="220"/>
        <w:rPr>
          <w:rFonts w:ascii="Arial" w:hAnsi="Arial" w:cs="Arial"/>
          <w:b/>
          <w:bCs/>
          <w:sz w:val="20"/>
          <w:szCs w:val="20"/>
        </w:rPr>
      </w:pPr>
      <w:r w:rsidRPr="00A6483F">
        <w:rPr>
          <w:rFonts w:ascii="Arial" w:hAnsi="Arial" w:cs="Arial"/>
          <w:b/>
          <w:bCs/>
          <w:sz w:val="20"/>
          <w:szCs w:val="20"/>
        </w:rPr>
        <w:t xml:space="preserve">Fig. 1. HPLC chromatogram </w:t>
      </w:r>
      <w:r w:rsidRPr="00A6483F">
        <w:rPr>
          <w:rFonts w:ascii="Arial" w:hAnsi="Arial" w:cs="Arial"/>
          <w:b/>
          <w:bCs/>
          <w:i/>
          <w:sz w:val="20"/>
          <w:szCs w:val="20"/>
        </w:rPr>
        <w:t>of s</w:t>
      </w:r>
      <w:r w:rsidRPr="00A6483F">
        <w:rPr>
          <w:rFonts w:ascii="Arial" w:hAnsi="Arial" w:cs="Arial"/>
          <w:b/>
          <w:bCs/>
          <w:sz w:val="20"/>
          <w:szCs w:val="20"/>
        </w:rPr>
        <w:t>tandards. (a) Colchicine (b) Rutin (c) Kaempferol (d) Quercetin (e) Lupeol</w:t>
      </w:r>
    </w:p>
    <w:p w14:paraId="25EF908F" w14:textId="77777777" w:rsidR="00D77A23" w:rsidRPr="00A6483F" w:rsidRDefault="00D77A23" w:rsidP="00D77A23">
      <w:pPr>
        <w:pStyle w:val="BodyText"/>
        <w:rPr>
          <w:rFonts w:ascii="Arial" w:hAnsi="Arial" w:cs="Arial"/>
          <w:sz w:val="20"/>
          <w:szCs w:val="20"/>
        </w:rPr>
      </w:pPr>
      <w:r w:rsidRPr="00A6483F">
        <w:rPr>
          <w:rFonts w:ascii="Arial" w:hAnsi="Arial" w:cs="Arial"/>
          <w:noProof/>
          <w:sz w:val="20"/>
          <w:szCs w:val="20"/>
        </w:rPr>
        <w:drawing>
          <wp:anchor distT="0" distB="0" distL="114300" distR="114300" simplePos="0" relativeHeight="251661312" behindDoc="1" locked="0" layoutInCell="1" allowOverlap="1" wp14:anchorId="0311453E" wp14:editId="489A1285">
            <wp:simplePos x="0" y="0"/>
            <wp:positionH relativeFrom="column">
              <wp:posOffset>0</wp:posOffset>
            </wp:positionH>
            <wp:positionV relativeFrom="paragraph">
              <wp:posOffset>144780</wp:posOffset>
            </wp:positionV>
            <wp:extent cx="5043805" cy="2543175"/>
            <wp:effectExtent l="0" t="0" r="4445" b="9525"/>
            <wp:wrapThrough wrapText="bothSides">
              <wp:wrapPolygon edited="0">
                <wp:start x="0" y="0"/>
                <wp:lineTo x="0" y="21519"/>
                <wp:lineTo x="21537" y="21519"/>
                <wp:lineTo x="21537" y="0"/>
                <wp:lineTo x="0" y="0"/>
              </wp:wrapPolygon>
            </wp:wrapThrough>
            <wp:docPr id="69804986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3805" cy="2543175"/>
                    </a:xfrm>
                    <a:prstGeom prst="rect">
                      <a:avLst/>
                    </a:prstGeom>
                    <a:noFill/>
                  </pic:spPr>
                </pic:pic>
              </a:graphicData>
            </a:graphic>
          </wp:anchor>
        </w:drawing>
      </w:r>
    </w:p>
    <w:p w14:paraId="72898A86" w14:textId="77777777" w:rsidR="00D77A23" w:rsidRPr="00A6483F" w:rsidRDefault="00D77A23" w:rsidP="00D77A23">
      <w:pPr>
        <w:spacing w:line="240" w:lineRule="auto"/>
        <w:jc w:val="both"/>
        <w:rPr>
          <w:rFonts w:ascii="Arial" w:hAnsi="Arial" w:cs="Arial"/>
          <w:sz w:val="20"/>
          <w:szCs w:val="20"/>
          <w:lang w:val="en-US"/>
        </w:rPr>
      </w:pPr>
    </w:p>
    <w:p w14:paraId="219428F3" w14:textId="77777777" w:rsidR="00D77A23" w:rsidRPr="00A6483F" w:rsidRDefault="00D77A23" w:rsidP="00D77A23">
      <w:pPr>
        <w:rPr>
          <w:rFonts w:ascii="Arial" w:hAnsi="Arial" w:cs="Arial"/>
          <w:sz w:val="20"/>
          <w:szCs w:val="20"/>
          <w:lang w:val="en-US"/>
        </w:rPr>
      </w:pPr>
    </w:p>
    <w:p w14:paraId="4BF3A5E7" w14:textId="77777777" w:rsidR="00D77A23" w:rsidRPr="00A6483F" w:rsidRDefault="00D77A23" w:rsidP="00D77A23">
      <w:pPr>
        <w:rPr>
          <w:rFonts w:ascii="Arial" w:hAnsi="Arial" w:cs="Arial"/>
          <w:sz w:val="20"/>
          <w:szCs w:val="20"/>
          <w:lang w:val="en-US"/>
        </w:rPr>
      </w:pPr>
    </w:p>
    <w:p w14:paraId="5D306E86" w14:textId="77777777" w:rsidR="00D77A23" w:rsidRPr="00A6483F" w:rsidRDefault="00D77A23" w:rsidP="00D77A23">
      <w:pPr>
        <w:rPr>
          <w:rFonts w:ascii="Arial" w:hAnsi="Arial" w:cs="Arial"/>
          <w:sz w:val="20"/>
          <w:szCs w:val="20"/>
          <w:lang w:val="en-US"/>
        </w:rPr>
      </w:pPr>
    </w:p>
    <w:p w14:paraId="260D0231" w14:textId="77777777" w:rsidR="00D77A23" w:rsidRPr="00A6483F" w:rsidRDefault="00D77A23" w:rsidP="00D77A23">
      <w:pPr>
        <w:rPr>
          <w:rFonts w:ascii="Arial" w:hAnsi="Arial" w:cs="Arial"/>
          <w:sz w:val="20"/>
          <w:szCs w:val="20"/>
          <w:lang w:val="en-US"/>
        </w:rPr>
      </w:pPr>
    </w:p>
    <w:p w14:paraId="5C19E0C6" w14:textId="77777777" w:rsidR="00D77A23" w:rsidRPr="00A6483F" w:rsidRDefault="00D77A23" w:rsidP="00D77A23">
      <w:pPr>
        <w:rPr>
          <w:rFonts w:ascii="Arial" w:hAnsi="Arial" w:cs="Arial"/>
          <w:sz w:val="20"/>
          <w:szCs w:val="20"/>
          <w:lang w:val="en-US"/>
        </w:rPr>
      </w:pPr>
    </w:p>
    <w:p w14:paraId="67D0F700" w14:textId="77777777" w:rsidR="00D77A23" w:rsidRPr="00A6483F" w:rsidRDefault="00D77A23" w:rsidP="00D77A23">
      <w:pPr>
        <w:rPr>
          <w:rFonts w:ascii="Arial" w:hAnsi="Arial" w:cs="Arial"/>
          <w:sz w:val="20"/>
          <w:szCs w:val="20"/>
          <w:lang w:val="en-US"/>
        </w:rPr>
      </w:pPr>
    </w:p>
    <w:p w14:paraId="56A0AA7E" w14:textId="77777777" w:rsidR="00D77A23" w:rsidRPr="00A6483F" w:rsidRDefault="00D77A23" w:rsidP="00D77A23">
      <w:pPr>
        <w:rPr>
          <w:rFonts w:ascii="Arial" w:hAnsi="Arial" w:cs="Arial"/>
          <w:sz w:val="20"/>
          <w:szCs w:val="20"/>
          <w:lang w:val="en-US"/>
        </w:rPr>
      </w:pPr>
    </w:p>
    <w:p w14:paraId="6CB98866" w14:textId="77777777" w:rsidR="00D77A23" w:rsidRPr="00A6483F" w:rsidRDefault="00D77A23" w:rsidP="00D77A23">
      <w:pPr>
        <w:rPr>
          <w:rFonts w:ascii="Arial" w:hAnsi="Arial" w:cs="Arial"/>
          <w:sz w:val="20"/>
          <w:szCs w:val="20"/>
          <w:lang w:val="en-US"/>
        </w:rPr>
      </w:pPr>
    </w:p>
    <w:p w14:paraId="24B2AF16" w14:textId="77777777" w:rsidR="00D77A23" w:rsidRPr="00A6483F" w:rsidRDefault="00D77A23" w:rsidP="00D77A23">
      <w:pPr>
        <w:rPr>
          <w:rFonts w:ascii="Arial" w:hAnsi="Arial" w:cs="Arial"/>
          <w:b/>
          <w:sz w:val="20"/>
          <w:szCs w:val="20"/>
        </w:rPr>
      </w:pPr>
    </w:p>
    <w:p w14:paraId="75F3A68C" w14:textId="77777777" w:rsidR="00D77A23" w:rsidRPr="00A6483F" w:rsidRDefault="00D77A23" w:rsidP="00D77A23">
      <w:pPr>
        <w:rPr>
          <w:rFonts w:ascii="Arial" w:hAnsi="Arial" w:cs="Arial"/>
          <w:b/>
          <w:sz w:val="20"/>
          <w:szCs w:val="20"/>
          <w:lang w:val="en-US"/>
        </w:rPr>
      </w:pPr>
      <w:r w:rsidRPr="00A6483F">
        <w:rPr>
          <w:rFonts w:ascii="Arial" w:hAnsi="Arial" w:cs="Arial"/>
          <w:b/>
          <w:sz w:val="20"/>
          <w:szCs w:val="20"/>
        </w:rPr>
        <w:t>Fig.</w:t>
      </w:r>
      <w:r w:rsidRPr="00A6483F">
        <w:rPr>
          <w:rFonts w:ascii="Arial" w:hAnsi="Arial" w:cs="Arial"/>
          <w:b/>
          <w:spacing w:val="-2"/>
          <w:sz w:val="20"/>
          <w:szCs w:val="20"/>
        </w:rPr>
        <w:t xml:space="preserve"> </w:t>
      </w:r>
      <w:r w:rsidRPr="00A6483F">
        <w:rPr>
          <w:rFonts w:ascii="Arial" w:hAnsi="Arial" w:cs="Arial"/>
          <w:b/>
          <w:sz w:val="20"/>
          <w:szCs w:val="20"/>
        </w:rPr>
        <w:t>2. HPLC</w:t>
      </w:r>
      <w:r w:rsidRPr="00A6483F">
        <w:rPr>
          <w:rFonts w:ascii="Arial" w:hAnsi="Arial" w:cs="Arial"/>
          <w:b/>
          <w:spacing w:val="-2"/>
          <w:sz w:val="20"/>
          <w:szCs w:val="20"/>
        </w:rPr>
        <w:t xml:space="preserve"> </w:t>
      </w:r>
      <w:r w:rsidRPr="00A6483F">
        <w:rPr>
          <w:rFonts w:ascii="Arial" w:hAnsi="Arial" w:cs="Arial"/>
          <w:b/>
          <w:sz w:val="20"/>
          <w:szCs w:val="20"/>
        </w:rPr>
        <w:t>chromatogram</w:t>
      </w:r>
      <w:r w:rsidRPr="00A6483F">
        <w:rPr>
          <w:rFonts w:ascii="Arial" w:hAnsi="Arial" w:cs="Arial"/>
          <w:b/>
          <w:spacing w:val="-12"/>
          <w:sz w:val="20"/>
          <w:szCs w:val="20"/>
        </w:rPr>
        <w:t xml:space="preserve"> </w:t>
      </w:r>
      <w:r w:rsidRPr="00A6483F">
        <w:rPr>
          <w:rFonts w:ascii="Arial" w:hAnsi="Arial" w:cs="Arial"/>
          <w:b/>
          <w:sz w:val="20"/>
          <w:szCs w:val="20"/>
        </w:rPr>
        <w:t>of</w:t>
      </w:r>
      <w:r w:rsidRPr="00A6483F">
        <w:rPr>
          <w:rFonts w:ascii="Arial" w:hAnsi="Arial" w:cs="Arial"/>
          <w:b/>
          <w:spacing w:val="-8"/>
          <w:sz w:val="20"/>
          <w:szCs w:val="20"/>
        </w:rPr>
        <w:t xml:space="preserve"> </w:t>
      </w:r>
      <w:r w:rsidRPr="00A6483F">
        <w:rPr>
          <w:rFonts w:ascii="Arial" w:hAnsi="Arial" w:cs="Arial"/>
          <w:b/>
          <w:sz w:val="20"/>
          <w:szCs w:val="20"/>
        </w:rPr>
        <w:t>ethyl</w:t>
      </w:r>
      <w:r w:rsidRPr="00A6483F">
        <w:rPr>
          <w:rFonts w:ascii="Arial" w:hAnsi="Arial" w:cs="Arial"/>
          <w:b/>
          <w:spacing w:val="-7"/>
          <w:sz w:val="20"/>
          <w:szCs w:val="20"/>
        </w:rPr>
        <w:t xml:space="preserve"> </w:t>
      </w:r>
      <w:r w:rsidRPr="00A6483F">
        <w:rPr>
          <w:rFonts w:ascii="Arial" w:hAnsi="Arial" w:cs="Arial"/>
          <w:b/>
          <w:sz w:val="20"/>
          <w:szCs w:val="20"/>
        </w:rPr>
        <w:t>acetate</w:t>
      </w:r>
      <w:r w:rsidRPr="00A6483F">
        <w:rPr>
          <w:rFonts w:ascii="Arial" w:hAnsi="Arial" w:cs="Arial"/>
          <w:b/>
          <w:spacing w:val="-1"/>
          <w:sz w:val="20"/>
          <w:szCs w:val="20"/>
        </w:rPr>
        <w:t xml:space="preserve"> </w:t>
      </w:r>
      <w:r w:rsidRPr="00A6483F">
        <w:rPr>
          <w:rFonts w:ascii="Arial" w:hAnsi="Arial" w:cs="Arial"/>
          <w:b/>
          <w:sz w:val="20"/>
          <w:szCs w:val="20"/>
        </w:rPr>
        <w:t>extract</w:t>
      </w:r>
      <w:r w:rsidRPr="00A6483F">
        <w:rPr>
          <w:rFonts w:ascii="Arial" w:hAnsi="Arial" w:cs="Arial"/>
          <w:b/>
          <w:spacing w:val="-2"/>
          <w:sz w:val="20"/>
          <w:szCs w:val="20"/>
        </w:rPr>
        <w:t xml:space="preserve"> </w:t>
      </w:r>
      <w:r w:rsidRPr="00A6483F">
        <w:rPr>
          <w:rFonts w:ascii="Arial" w:hAnsi="Arial" w:cs="Arial"/>
          <w:b/>
          <w:sz w:val="20"/>
          <w:szCs w:val="20"/>
        </w:rPr>
        <w:t>of</w:t>
      </w:r>
      <w:r w:rsidRPr="00A6483F">
        <w:rPr>
          <w:rFonts w:ascii="Arial" w:hAnsi="Arial" w:cs="Arial"/>
          <w:b/>
          <w:spacing w:val="1"/>
          <w:sz w:val="20"/>
          <w:szCs w:val="20"/>
        </w:rPr>
        <w:t xml:space="preserve"> </w:t>
      </w:r>
      <w:r w:rsidRPr="00A6483F">
        <w:rPr>
          <w:rFonts w:ascii="Arial" w:hAnsi="Arial" w:cs="Arial"/>
          <w:b/>
          <w:i/>
          <w:sz w:val="20"/>
          <w:szCs w:val="20"/>
        </w:rPr>
        <w:t xml:space="preserve">I.  frutescens </w:t>
      </w:r>
      <w:r w:rsidRPr="00A6483F">
        <w:rPr>
          <w:rFonts w:ascii="Arial" w:hAnsi="Arial" w:cs="Arial"/>
          <w:b/>
          <w:sz w:val="20"/>
          <w:szCs w:val="20"/>
        </w:rPr>
        <w:t>root</w:t>
      </w:r>
    </w:p>
    <w:p w14:paraId="1F49349C" w14:textId="77777777" w:rsidR="00D77A23" w:rsidRPr="00A6483F" w:rsidRDefault="00D77A23" w:rsidP="00205B24">
      <w:pPr>
        <w:spacing w:line="240" w:lineRule="auto"/>
        <w:rPr>
          <w:rFonts w:ascii="Arial" w:hAnsi="Arial" w:cs="Arial"/>
          <w:b/>
          <w:bCs/>
          <w:sz w:val="20"/>
          <w:szCs w:val="20"/>
          <w:lang w:val="en-US"/>
        </w:rPr>
      </w:pPr>
    </w:p>
    <w:p w14:paraId="5673FFF0" w14:textId="77777777" w:rsidR="00641F93" w:rsidRPr="00A6483F" w:rsidRDefault="008D28AD"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3.2 </w:t>
      </w:r>
      <w:r w:rsidR="00336FB3" w:rsidRPr="00A6483F">
        <w:rPr>
          <w:rFonts w:ascii="Arial" w:hAnsi="Arial" w:cs="Arial"/>
          <w:b/>
          <w:bCs/>
          <w:sz w:val="20"/>
          <w:szCs w:val="20"/>
          <w:lang w:val="en-US"/>
        </w:rPr>
        <w:t xml:space="preserve">Effect of EA root extract of </w:t>
      </w:r>
      <w:r w:rsidR="00336FB3" w:rsidRPr="00A6483F">
        <w:rPr>
          <w:rFonts w:ascii="Arial" w:hAnsi="Arial" w:cs="Arial"/>
          <w:b/>
          <w:bCs/>
          <w:i/>
          <w:iCs/>
          <w:sz w:val="20"/>
          <w:szCs w:val="20"/>
          <w:lang w:val="en-US"/>
        </w:rPr>
        <w:t>I. frutescens</w:t>
      </w:r>
      <w:r w:rsidR="00336FB3" w:rsidRPr="00A6483F">
        <w:rPr>
          <w:rFonts w:ascii="Arial" w:hAnsi="Arial" w:cs="Arial"/>
          <w:b/>
          <w:bCs/>
          <w:sz w:val="20"/>
          <w:szCs w:val="20"/>
          <w:lang w:val="en-US"/>
        </w:rPr>
        <w:t xml:space="preserve"> on the viability and survival of </w:t>
      </w:r>
      <w:r w:rsidR="00336FB3" w:rsidRPr="00A6483F">
        <w:rPr>
          <w:rFonts w:ascii="Arial" w:hAnsi="Arial" w:cs="Arial"/>
          <w:b/>
          <w:bCs/>
          <w:i/>
          <w:iCs/>
          <w:sz w:val="20"/>
          <w:szCs w:val="20"/>
          <w:lang w:val="en-US"/>
        </w:rPr>
        <w:t>D. melanogaster</w:t>
      </w:r>
    </w:p>
    <w:p w14:paraId="3B2E8E07" w14:textId="77777777" w:rsidR="00641F93" w:rsidRPr="00A6483F" w:rsidRDefault="00641F93" w:rsidP="00874ABD">
      <w:pPr>
        <w:spacing w:line="240" w:lineRule="auto"/>
        <w:ind w:firstLine="720"/>
        <w:jc w:val="both"/>
        <w:rPr>
          <w:rFonts w:ascii="Arial" w:hAnsi="Arial" w:cs="Arial"/>
          <w:sz w:val="20"/>
          <w:szCs w:val="20"/>
          <w:lang w:val="en-US"/>
        </w:rPr>
      </w:pPr>
      <w:r w:rsidRPr="00A6483F">
        <w:rPr>
          <w:rFonts w:ascii="Arial" w:hAnsi="Arial" w:cs="Arial"/>
          <w:sz w:val="20"/>
          <w:szCs w:val="20"/>
          <w:lang w:val="en-US"/>
        </w:rPr>
        <w:t xml:space="preserve">The survivorship and development of </w:t>
      </w:r>
      <w:r w:rsidRPr="00A6483F">
        <w:rPr>
          <w:rFonts w:ascii="Arial" w:hAnsi="Arial" w:cs="Arial"/>
          <w:i/>
          <w:sz w:val="20"/>
          <w:szCs w:val="20"/>
          <w:lang w:val="en-US"/>
        </w:rPr>
        <w:t>D. melanogaster</w:t>
      </w:r>
      <w:r w:rsidRPr="00A6483F">
        <w:rPr>
          <w:rFonts w:ascii="Arial" w:hAnsi="Arial" w:cs="Arial"/>
          <w:sz w:val="20"/>
          <w:szCs w:val="20"/>
          <w:lang w:val="en-US"/>
        </w:rPr>
        <w:t xml:space="preserve"> were evaluated over an 8-day period in larvae and pupae fed different concentrations of </w:t>
      </w:r>
      <w:r w:rsidRPr="00A6483F">
        <w:rPr>
          <w:rFonts w:ascii="Arial" w:hAnsi="Arial" w:cs="Arial"/>
          <w:i/>
          <w:sz w:val="20"/>
          <w:szCs w:val="20"/>
          <w:lang w:val="en-US"/>
        </w:rPr>
        <w:t>I. frutescens</w:t>
      </w:r>
      <w:r w:rsidRPr="00A6483F">
        <w:rPr>
          <w:rFonts w:ascii="Arial" w:hAnsi="Arial" w:cs="Arial"/>
          <w:sz w:val="20"/>
          <w:szCs w:val="20"/>
          <w:lang w:val="en-US"/>
        </w:rPr>
        <w:t xml:space="preserve"> root EA extract. Survivorship in the untreated control and solvent control (EA) groups was also recorded. The percentage survival of larvae and pupae is presented in Table 3, and representative developmental stages are shown in Fig. 3. Ten larvae were introduced into each vial containing different concentrations of the EA extract (1.0, 1.5, 2.0 and 2.5 mg mL</w:t>
      </w:r>
      <w:r w:rsidRPr="00A6483F">
        <w:rPr>
          <w:rFonts w:ascii="Arial" w:hAnsi="Arial" w:cs="Arial"/>
          <w:sz w:val="20"/>
          <w:szCs w:val="20"/>
          <w:vertAlign w:val="superscript"/>
          <w:lang w:val="en-US"/>
        </w:rPr>
        <w:t>-1</w:t>
      </w:r>
      <w:r w:rsidRPr="00A6483F">
        <w:rPr>
          <w:rFonts w:ascii="Arial" w:hAnsi="Arial" w:cs="Arial"/>
          <w:sz w:val="20"/>
          <w:szCs w:val="20"/>
          <w:lang w:val="en-US"/>
        </w:rPr>
        <w:t>). Throughout the first six days of observation, all larvae remained viable in every treatment and control group, indicating that none of the tested extract concentrations caused larval mortality. From day 7 onwards, the onset of metamorphosis was observed in all groups, with a gradual transition from larval to pupal stages. In the 1.0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and 1.5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treatments, 9 larvae and 1 pupa were recorded, while the 2.0 and 2.5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treatments showed a slightly higher rate of pupation, with 8 larvae and 2 pupae each. The EA control group remained largely unaffected, showing 10 larvae with no significant developmental shift, whereas the untreated control exhibited 9 larvae and 1 pupa. By day 8, a marked progression towards pupation was evident in all experimental groups. The 1.0 mg mL</w:t>
      </w:r>
      <w:r w:rsidRPr="00A6483F">
        <w:rPr>
          <w:rFonts w:ascii="Arial" w:hAnsi="Arial" w:cs="Arial"/>
          <w:sz w:val="20"/>
          <w:szCs w:val="20"/>
          <w:vertAlign w:val="superscript"/>
          <w:lang w:val="en-US"/>
        </w:rPr>
        <w:t>-1</w:t>
      </w:r>
      <w:r w:rsidRPr="00A6483F">
        <w:rPr>
          <w:rFonts w:ascii="Arial" w:hAnsi="Arial" w:cs="Arial"/>
          <w:sz w:val="20"/>
          <w:szCs w:val="20"/>
          <w:lang w:val="en-US"/>
        </w:rPr>
        <w:t>, 1.5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and 2.0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treatments each showed an equal distribution of 5 larvae and 5 pupae, indicating synchronised developmental advancement. Importantly, no larval mortality was recorded in any treatment or control vial throughout the experimental period. The findings demonstrate that the EA root extract of </w:t>
      </w:r>
      <w:r w:rsidRPr="00A6483F">
        <w:rPr>
          <w:rFonts w:ascii="Arial" w:hAnsi="Arial" w:cs="Arial"/>
          <w:i/>
          <w:sz w:val="20"/>
          <w:szCs w:val="20"/>
          <w:lang w:val="en-US"/>
        </w:rPr>
        <w:t>I. frutescens</w:t>
      </w:r>
      <w:r w:rsidRPr="00A6483F">
        <w:rPr>
          <w:rFonts w:ascii="Arial" w:hAnsi="Arial" w:cs="Arial"/>
          <w:sz w:val="20"/>
          <w:szCs w:val="20"/>
          <w:lang w:val="en-US"/>
        </w:rPr>
        <w:t xml:space="preserve"> did not exhibit toxic effects on </w:t>
      </w:r>
      <w:r w:rsidRPr="00A6483F">
        <w:rPr>
          <w:rFonts w:ascii="Arial" w:hAnsi="Arial" w:cs="Arial"/>
          <w:i/>
          <w:sz w:val="20"/>
          <w:szCs w:val="20"/>
          <w:lang w:val="en-US"/>
        </w:rPr>
        <w:t>D. melanogaster</w:t>
      </w:r>
      <w:r w:rsidRPr="00A6483F">
        <w:rPr>
          <w:rFonts w:ascii="Arial" w:hAnsi="Arial" w:cs="Arial"/>
          <w:sz w:val="20"/>
          <w:szCs w:val="20"/>
          <w:lang w:val="en-US"/>
        </w:rPr>
        <w:t>. Larvae treated with the highest concentration (2.5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exhibited developmental progression comparable to that of the untreated control, whereas the solvent control showed relatively delayed pupation. Since developmental progression in </w:t>
      </w:r>
      <w:r w:rsidRPr="00A6483F">
        <w:rPr>
          <w:rFonts w:ascii="Arial" w:hAnsi="Arial" w:cs="Arial"/>
          <w:i/>
          <w:sz w:val="20"/>
          <w:szCs w:val="20"/>
          <w:lang w:val="en-US"/>
        </w:rPr>
        <w:t>Drosophila</w:t>
      </w:r>
      <w:r w:rsidRPr="00A6483F">
        <w:rPr>
          <w:rFonts w:ascii="Arial" w:hAnsi="Arial" w:cs="Arial"/>
          <w:sz w:val="20"/>
          <w:szCs w:val="20"/>
          <w:lang w:val="en-US"/>
        </w:rPr>
        <w:t xml:space="preserve"> is highly sensitive to oxidative stress and metabolic disturbances, the maintenance of normal pupation rates suggests that the extract does not disrupt cellular homeostasis. The absence of developmental toxicity in the present study establishes the safety of the root extract and supports its suitability for further behavioural and molecular investigations.</w:t>
      </w:r>
    </w:p>
    <w:p w14:paraId="040B7558" w14:textId="77777777" w:rsidR="00D77A23" w:rsidRPr="00A6483F" w:rsidRDefault="00D77A23" w:rsidP="00D77A23">
      <w:pPr>
        <w:spacing w:line="240" w:lineRule="auto"/>
        <w:jc w:val="both"/>
        <w:rPr>
          <w:rFonts w:ascii="Arial" w:hAnsi="Arial" w:cs="Arial"/>
          <w:b/>
          <w:bCs/>
          <w:sz w:val="20"/>
          <w:szCs w:val="20"/>
          <w:lang w:val="en-US"/>
        </w:rPr>
      </w:pPr>
      <w:r w:rsidRPr="00A6483F">
        <w:rPr>
          <w:rFonts w:ascii="Arial" w:hAnsi="Arial" w:cs="Arial"/>
          <w:b/>
          <w:bCs/>
          <w:sz w:val="20"/>
          <w:szCs w:val="20"/>
          <w:lang w:val="en-US"/>
        </w:rPr>
        <w:t xml:space="preserve">Table 3: Survival and developmental progression of </w:t>
      </w:r>
      <w:r w:rsidRPr="00A6483F">
        <w:rPr>
          <w:rFonts w:ascii="Arial" w:hAnsi="Arial" w:cs="Arial"/>
          <w:b/>
          <w:bCs/>
          <w:i/>
          <w:iCs/>
          <w:sz w:val="20"/>
          <w:szCs w:val="20"/>
          <w:lang w:val="en-US"/>
        </w:rPr>
        <w:t>Drosophila melanogaster</w:t>
      </w:r>
      <w:r w:rsidRPr="00A6483F">
        <w:rPr>
          <w:rFonts w:ascii="Arial" w:hAnsi="Arial" w:cs="Arial"/>
          <w:b/>
          <w:bCs/>
          <w:sz w:val="20"/>
          <w:szCs w:val="20"/>
          <w:lang w:val="en-US"/>
        </w:rPr>
        <w:t xml:space="preserve"> larvae treated with EA root extract of </w:t>
      </w:r>
      <w:proofErr w:type="spellStart"/>
      <w:r w:rsidRPr="00A6483F">
        <w:rPr>
          <w:rFonts w:ascii="Arial" w:hAnsi="Arial" w:cs="Arial"/>
          <w:b/>
          <w:bCs/>
          <w:i/>
          <w:iCs/>
          <w:sz w:val="20"/>
          <w:szCs w:val="20"/>
          <w:lang w:val="en-US"/>
        </w:rPr>
        <w:t>Ichnocarpus</w:t>
      </w:r>
      <w:proofErr w:type="spellEnd"/>
      <w:r w:rsidRPr="00A6483F">
        <w:rPr>
          <w:rFonts w:ascii="Arial" w:hAnsi="Arial" w:cs="Arial"/>
          <w:b/>
          <w:bCs/>
          <w:i/>
          <w:iCs/>
          <w:sz w:val="20"/>
          <w:szCs w:val="20"/>
          <w:lang w:val="en-US"/>
        </w:rPr>
        <w:t xml:space="preserve"> frutescens</w:t>
      </w:r>
      <w:r w:rsidRPr="00A6483F">
        <w:rPr>
          <w:rFonts w:ascii="Arial" w:hAnsi="Arial" w:cs="Arial"/>
          <w:b/>
          <w:bCs/>
          <w:sz w:val="20"/>
          <w:szCs w:val="20"/>
          <w:lang w:val="en-US"/>
        </w:rPr>
        <w:t xml:space="preserve"> over a </w:t>
      </w:r>
      <w:r w:rsidR="00544902" w:rsidRPr="00A6483F">
        <w:rPr>
          <w:rFonts w:ascii="Arial" w:hAnsi="Arial" w:cs="Arial"/>
          <w:b/>
          <w:bCs/>
          <w:sz w:val="20"/>
          <w:szCs w:val="20"/>
          <w:lang w:val="en-US"/>
        </w:rPr>
        <w:t>one-week</w:t>
      </w:r>
      <w:r w:rsidRPr="00A6483F">
        <w:rPr>
          <w:rFonts w:ascii="Arial" w:hAnsi="Arial" w:cs="Arial"/>
          <w:b/>
          <w:bCs/>
          <w:sz w:val="20"/>
          <w:szCs w:val="20"/>
          <w:lang w:val="en-US"/>
        </w:rPr>
        <w:t xml:space="preserve"> observation period </w:t>
      </w:r>
    </w:p>
    <w:tbl>
      <w:tblPr>
        <w:tblW w:w="9039"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25"/>
        <w:gridCol w:w="1143"/>
        <w:gridCol w:w="1234"/>
        <w:gridCol w:w="1234"/>
        <w:gridCol w:w="1329"/>
        <w:gridCol w:w="1505"/>
        <w:gridCol w:w="1369"/>
      </w:tblGrid>
      <w:tr w:rsidR="00BA5A99" w:rsidRPr="00A6483F" w14:paraId="36F0AE19" w14:textId="77777777" w:rsidTr="007E4FCF">
        <w:trPr>
          <w:trHeight w:val="287"/>
        </w:trPr>
        <w:tc>
          <w:tcPr>
            <w:tcW w:w="9039" w:type="dxa"/>
            <w:gridSpan w:val="7"/>
          </w:tcPr>
          <w:p w14:paraId="46A1596E" w14:textId="77777777" w:rsidR="00BA5A99" w:rsidRPr="00A6483F" w:rsidRDefault="00BA5A99" w:rsidP="007E4FCF">
            <w:pPr>
              <w:pStyle w:val="TableParagraph"/>
              <w:spacing w:line="276" w:lineRule="auto"/>
              <w:ind w:left="585"/>
              <w:jc w:val="center"/>
              <w:rPr>
                <w:rFonts w:ascii="Arial" w:hAnsi="Arial" w:cs="Arial"/>
                <w:b/>
                <w:sz w:val="20"/>
                <w:szCs w:val="20"/>
              </w:rPr>
            </w:pPr>
            <w:r w:rsidRPr="00A6483F">
              <w:rPr>
                <w:rFonts w:ascii="Arial" w:hAnsi="Arial" w:cs="Arial"/>
                <w:b/>
                <w:sz w:val="20"/>
                <w:szCs w:val="20"/>
              </w:rPr>
              <w:t>Survival</w:t>
            </w:r>
            <w:r w:rsidRPr="00A6483F">
              <w:rPr>
                <w:rFonts w:ascii="Arial" w:hAnsi="Arial" w:cs="Arial"/>
                <w:b/>
                <w:spacing w:val="-3"/>
                <w:sz w:val="20"/>
                <w:szCs w:val="20"/>
              </w:rPr>
              <w:t xml:space="preserve"> </w:t>
            </w:r>
            <w:r w:rsidRPr="00A6483F">
              <w:rPr>
                <w:rFonts w:ascii="Arial" w:hAnsi="Arial" w:cs="Arial"/>
                <w:b/>
                <w:sz w:val="20"/>
                <w:szCs w:val="20"/>
              </w:rPr>
              <w:t>and</w:t>
            </w:r>
            <w:r w:rsidRPr="00A6483F">
              <w:rPr>
                <w:rFonts w:ascii="Arial" w:hAnsi="Arial" w:cs="Arial"/>
                <w:b/>
                <w:spacing w:val="-5"/>
                <w:sz w:val="20"/>
                <w:szCs w:val="20"/>
              </w:rPr>
              <w:t xml:space="preserve"> </w:t>
            </w:r>
            <w:r w:rsidRPr="00A6483F">
              <w:rPr>
                <w:rFonts w:ascii="Arial" w:hAnsi="Arial" w:cs="Arial"/>
                <w:b/>
                <w:sz w:val="20"/>
                <w:szCs w:val="20"/>
              </w:rPr>
              <w:t>Development</w:t>
            </w:r>
            <w:r w:rsidRPr="00A6483F">
              <w:rPr>
                <w:rFonts w:ascii="Arial" w:hAnsi="Arial" w:cs="Arial"/>
                <w:b/>
                <w:spacing w:val="-2"/>
                <w:sz w:val="20"/>
                <w:szCs w:val="20"/>
              </w:rPr>
              <w:t xml:space="preserve"> </w:t>
            </w:r>
            <w:r w:rsidRPr="00A6483F">
              <w:rPr>
                <w:rFonts w:ascii="Arial" w:hAnsi="Arial" w:cs="Arial"/>
                <w:b/>
                <w:sz w:val="20"/>
                <w:szCs w:val="20"/>
              </w:rPr>
              <w:t>Data</w:t>
            </w:r>
            <w:r w:rsidRPr="00A6483F">
              <w:rPr>
                <w:rFonts w:ascii="Arial" w:hAnsi="Arial" w:cs="Arial"/>
                <w:b/>
                <w:spacing w:val="-1"/>
                <w:sz w:val="20"/>
                <w:szCs w:val="20"/>
              </w:rPr>
              <w:t xml:space="preserve"> </w:t>
            </w:r>
            <w:r w:rsidRPr="00A6483F">
              <w:rPr>
                <w:rFonts w:ascii="Arial" w:hAnsi="Arial" w:cs="Arial"/>
                <w:b/>
                <w:sz w:val="20"/>
                <w:szCs w:val="20"/>
              </w:rPr>
              <w:t>(10</w:t>
            </w:r>
            <w:r w:rsidRPr="00A6483F">
              <w:rPr>
                <w:rFonts w:ascii="Arial" w:hAnsi="Arial" w:cs="Arial"/>
                <w:b/>
                <w:spacing w:val="-2"/>
                <w:sz w:val="20"/>
                <w:szCs w:val="20"/>
              </w:rPr>
              <w:t xml:space="preserve"> </w:t>
            </w:r>
            <w:r w:rsidRPr="00A6483F">
              <w:rPr>
                <w:rFonts w:ascii="Arial" w:hAnsi="Arial" w:cs="Arial"/>
                <w:b/>
                <w:sz w:val="20"/>
                <w:szCs w:val="20"/>
              </w:rPr>
              <w:t>Larvae</w:t>
            </w:r>
            <w:r w:rsidRPr="00A6483F">
              <w:rPr>
                <w:rFonts w:ascii="Arial" w:hAnsi="Arial" w:cs="Arial"/>
                <w:b/>
                <w:spacing w:val="-1"/>
                <w:sz w:val="20"/>
                <w:szCs w:val="20"/>
              </w:rPr>
              <w:t xml:space="preserve"> </w:t>
            </w:r>
            <w:r w:rsidRPr="00A6483F">
              <w:rPr>
                <w:rFonts w:ascii="Arial" w:hAnsi="Arial" w:cs="Arial"/>
                <w:b/>
                <w:sz w:val="20"/>
                <w:szCs w:val="20"/>
              </w:rPr>
              <w:t>introduced into each treatment vial)</w:t>
            </w:r>
          </w:p>
        </w:tc>
      </w:tr>
      <w:tr w:rsidR="00BA5A99" w:rsidRPr="00A6483F" w14:paraId="39AF69C1" w14:textId="77777777" w:rsidTr="00544902">
        <w:trPr>
          <w:trHeight w:val="1194"/>
        </w:trPr>
        <w:tc>
          <w:tcPr>
            <w:tcW w:w="1225" w:type="dxa"/>
          </w:tcPr>
          <w:p w14:paraId="4A53C674" w14:textId="77777777" w:rsidR="00BA5A99" w:rsidRPr="00A6483F" w:rsidRDefault="00BA5A99" w:rsidP="007E4FCF">
            <w:pPr>
              <w:pStyle w:val="TableParagraph"/>
              <w:spacing w:line="276" w:lineRule="auto"/>
              <w:ind w:left="4"/>
              <w:jc w:val="center"/>
              <w:rPr>
                <w:rFonts w:ascii="Arial" w:hAnsi="Arial" w:cs="Arial"/>
                <w:b/>
                <w:bCs/>
                <w:sz w:val="20"/>
                <w:szCs w:val="20"/>
              </w:rPr>
            </w:pPr>
            <w:r w:rsidRPr="00A6483F">
              <w:rPr>
                <w:rFonts w:ascii="Arial" w:hAnsi="Arial" w:cs="Arial"/>
                <w:b/>
                <w:bCs/>
                <w:sz w:val="20"/>
                <w:szCs w:val="20"/>
              </w:rPr>
              <w:t>Days</w:t>
            </w:r>
          </w:p>
        </w:tc>
        <w:tc>
          <w:tcPr>
            <w:tcW w:w="1143" w:type="dxa"/>
          </w:tcPr>
          <w:p w14:paraId="0AF13406" w14:textId="77777777" w:rsidR="00BA5A99" w:rsidRPr="00A6483F" w:rsidRDefault="00BA5A99" w:rsidP="007E4FCF">
            <w:pPr>
              <w:pStyle w:val="TableParagraph"/>
              <w:spacing w:line="276" w:lineRule="auto"/>
              <w:ind w:left="220" w:right="594" w:hanging="164"/>
              <w:jc w:val="center"/>
              <w:rPr>
                <w:rFonts w:ascii="Arial" w:hAnsi="Arial" w:cs="Arial"/>
                <w:b/>
                <w:sz w:val="20"/>
                <w:szCs w:val="20"/>
              </w:rPr>
            </w:pPr>
            <w:r w:rsidRPr="00A6483F">
              <w:rPr>
                <w:rFonts w:ascii="Arial" w:hAnsi="Arial" w:cs="Arial"/>
                <w:b/>
                <w:sz w:val="20"/>
                <w:szCs w:val="20"/>
              </w:rPr>
              <w:t>Vial</w:t>
            </w:r>
            <w:r w:rsidRPr="00A6483F">
              <w:rPr>
                <w:rFonts w:ascii="Arial" w:hAnsi="Arial" w:cs="Arial"/>
                <w:b/>
                <w:w w:val="99"/>
                <w:sz w:val="20"/>
                <w:szCs w:val="20"/>
              </w:rPr>
              <w:t xml:space="preserve"> </w:t>
            </w:r>
            <w:r w:rsidRPr="00A6483F">
              <w:rPr>
                <w:rFonts w:ascii="Arial" w:hAnsi="Arial" w:cs="Arial"/>
                <w:b/>
                <w:sz w:val="20"/>
                <w:szCs w:val="20"/>
              </w:rPr>
              <w:t>1</w:t>
            </w:r>
          </w:p>
          <w:p w14:paraId="62658286" w14:textId="77777777" w:rsidR="00BA5A99" w:rsidRPr="00A6483F" w:rsidRDefault="00BA5A99" w:rsidP="007E4FCF">
            <w:pPr>
              <w:pStyle w:val="TableParagraph"/>
              <w:spacing w:line="276" w:lineRule="auto"/>
              <w:ind w:left="47"/>
              <w:jc w:val="center"/>
              <w:rPr>
                <w:rFonts w:ascii="Arial" w:hAnsi="Arial" w:cs="Arial"/>
                <w:b/>
                <w:sz w:val="20"/>
                <w:szCs w:val="20"/>
              </w:rPr>
            </w:pPr>
            <w:r w:rsidRPr="00A6483F">
              <w:rPr>
                <w:rFonts w:ascii="Arial" w:hAnsi="Arial" w:cs="Arial"/>
                <w:b/>
                <w:sz w:val="20"/>
                <w:szCs w:val="20"/>
              </w:rPr>
              <w:t>1mg</w:t>
            </w:r>
          </w:p>
        </w:tc>
        <w:tc>
          <w:tcPr>
            <w:tcW w:w="1234" w:type="dxa"/>
          </w:tcPr>
          <w:p w14:paraId="6B4D3F4B" w14:textId="77777777" w:rsidR="00BA5A99" w:rsidRPr="00A6483F" w:rsidRDefault="00BA5A99" w:rsidP="007E4FCF">
            <w:pPr>
              <w:pStyle w:val="TableParagraph"/>
              <w:spacing w:line="276" w:lineRule="auto"/>
              <w:ind w:left="27" w:right="510" w:firstLine="43"/>
              <w:jc w:val="center"/>
              <w:rPr>
                <w:rFonts w:ascii="Arial" w:hAnsi="Arial" w:cs="Arial"/>
                <w:b/>
                <w:sz w:val="20"/>
                <w:szCs w:val="20"/>
              </w:rPr>
            </w:pPr>
            <w:r w:rsidRPr="00A6483F">
              <w:rPr>
                <w:rFonts w:ascii="Arial" w:hAnsi="Arial" w:cs="Arial"/>
                <w:b/>
                <w:sz w:val="20"/>
                <w:szCs w:val="20"/>
              </w:rPr>
              <w:t>Vial2</w:t>
            </w:r>
            <w:r w:rsidRPr="00A6483F">
              <w:rPr>
                <w:rFonts w:ascii="Arial" w:hAnsi="Arial" w:cs="Arial"/>
                <w:b/>
                <w:spacing w:val="-62"/>
                <w:sz w:val="20"/>
                <w:szCs w:val="20"/>
              </w:rPr>
              <w:t xml:space="preserve"> </w:t>
            </w:r>
            <w:r w:rsidRPr="00A6483F">
              <w:rPr>
                <w:rFonts w:ascii="Arial" w:hAnsi="Arial" w:cs="Arial"/>
                <w:b/>
                <w:spacing w:val="-1"/>
                <w:sz w:val="20"/>
                <w:szCs w:val="20"/>
              </w:rPr>
              <w:t>1.5mg mL</w:t>
            </w:r>
            <w:r w:rsidRPr="00A6483F">
              <w:rPr>
                <w:rFonts w:ascii="Arial" w:hAnsi="Arial" w:cs="Arial"/>
                <w:b/>
                <w:spacing w:val="-1"/>
                <w:sz w:val="20"/>
                <w:szCs w:val="20"/>
                <w:vertAlign w:val="superscript"/>
              </w:rPr>
              <w:t>-1</w:t>
            </w:r>
          </w:p>
        </w:tc>
        <w:tc>
          <w:tcPr>
            <w:tcW w:w="1234" w:type="dxa"/>
          </w:tcPr>
          <w:p w14:paraId="0D8220AD" w14:textId="77777777" w:rsidR="00BA5A99" w:rsidRPr="00A6483F" w:rsidRDefault="00BA5A99" w:rsidP="007E4FCF">
            <w:pPr>
              <w:pStyle w:val="TableParagraph"/>
              <w:spacing w:line="276" w:lineRule="auto"/>
              <w:ind w:right="407"/>
              <w:jc w:val="center"/>
              <w:rPr>
                <w:rFonts w:ascii="Arial" w:hAnsi="Arial" w:cs="Arial"/>
                <w:b/>
                <w:sz w:val="20"/>
                <w:szCs w:val="20"/>
              </w:rPr>
            </w:pPr>
            <w:r w:rsidRPr="00A6483F">
              <w:rPr>
                <w:rFonts w:ascii="Arial" w:hAnsi="Arial" w:cs="Arial"/>
                <w:b/>
                <w:sz w:val="20"/>
                <w:szCs w:val="20"/>
              </w:rPr>
              <w:t>Vial 3</w:t>
            </w:r>
          </w:p>
          <w:p w14:paraId="542C4D36" w14:textId="77777777" w:rsidR="00BA5A99" w:rsidRPr="00A6483F" w:rsidRDefault="00BA5A99" w:rsidP="007E4FCF">
            <w:pPr>
              <w:pStyle w:val="TableParagraph"/>
              <w:spacing w:before="3" w:line="276" w:lineRule="auto"/>
              <w:ind w:right="339"/>
              <w:jc w:val="center"/>
              <w:rPr>
                <w:rFonts w:ascii="Arial" w:hAnsi="Arial" w:cs="Arial"/>
                <w:b/>
                <w:sz w:val="20"/>
                <w:szCs w:val="20"/>
              </w:rPr>
            </w:pPr>
            <w:r w:rsidRPr="00A6483F">
              <w:rPr>
                <w:rFonts w:ascii="Arial" w:hAnsi="Arial" w:cs="Arial"/>
                <w:b/>
                <w:sz w:val="20"/>
                <w:szCs w:val="20"/>
              </w:rPr>
              <w:t xml:space="preserve">2 mg </w:t>
            </w:r>
            <w:r w:rsidRPr="00A6483F">
              <w:rPr>
                <w:rFonts w:ascii="Arial" w:hAnsi="Arial" w:cs="Arial"/>
                <w:b/>
                <w:spacing w:val="-1"/>
                <w:sz w:val="20"/>
                <w:szCs w:val="20"/>
              </w:rPr>
              <w:t>mL</w:t>
            </w:r>
            <w:r w:rsidRPr="00A6483F">
              <w:rPr>
                <w:rFonts w:ascii="Arial" w:hAnsi="Arial" w:cs="Arial"/>
                <w:b/>
                <w:spacing w:val="-1"/>
                <w:sz w:val="20"/>
                <w:szCs w:val="20"/>
                <w:vertAlign w:val="superscript"/>
              </w:rPr>
              <w:t>-1</w:t>
            </w:r>
          </w:p>
        </w:tc>
        <w:tc>
          <w:tcPr>
            <w:tcW w:w="1329" w:type="dxa"/>
          </w:tcPr>
          <w:p w14:paraId="429AEB95" w14:textId="77777777" w:rsidR="00BA5A99" w:rsidRPr="00A6483F" w:rsidRDefault="00BA5A99" w:rsidP="007E4FCF">
            <w:pPr>
              <w:pStyle w:val="TableParagraph"/>
              <w:spacing w:line="276" w:lineRule="auto"/>
              <w:ind w:left="133" w:right="366" w:firstLine="4"/>
              <w:jc w:val="center"/>
              <w:rPr>
                <w:rFonts w:ascii="Arial" w:hAnsi="Arial" w:cs="Arial"/>
                <w:b/>
                <w:sz w:val="20"/>
                <w:szCs w:val="20"/>
              </w:rPr>
            </w:pPr>
            <w:r w:rsidRPr="00A6483F">
              <w:rPr>
                <w:rFonts w:ascii="Arial" w:hAnsi="Arial" w:cs="Arial"/>
                <w:b/>
                <w:sz w:val="20"/>
                <w:szCs w:val="20"/>
              </w:rPr>
              <w:t>Vial 4</w:t>
            </w:r>
            <w:r w:rsidRPr="00A6483F">
              <w:rPr>
                <w:rFonts w:ascii="Arial" w:hAnsi="Arial" w:cs="Arial"/>
                <w:b/>
                <w:spacing w:val="-62"/>
                <w:sz w:val="20"/>
                <w:szCs w:val="20"/>
              </w:rPr>
              <w:t xml:space="preserve"> </w:t>
            </w:r>
            <w:r w:rsidRPr="00A6483F">
              <w:rPr>
                <w:rFonts w:ascii="Arial" w:hAnsi="Arial" w:cs="Arial"/>
                <w:b/>
                <w:spacing w:val="-1"/>
                <w:sz w:val="20"/>
                <w:szCs w:val="20"/>
              </w:rPr>
              <w:t>2.5mg mL</w:t>
            </w:r>
            <w:r w:rsidRPr="00A6483F">
              <w:rPr>
                <w:rFonts w:ascii="Arial" w:hAnsi="Arial" w:cs="Arial"/>
                <w:b/>
                <w:spacing w:val="-1"/>
                <w:sz w:val="20"/>
                <w:szCs w:val="20"/>
                <w:vertAlign w:val="superscript"/>
              </w:rPr>
              <w:t>-1</w:t>
            </w:r>
          </w:p>
        </w:tc>
        <w:tc>
          <w:tcPr>
            <w:tcW w:w="1505" w:type="dxa"/>
          </w:tcPr>
          <w:p w14:paraId="4C4C7A3C" w14:textId="77777777" w:rsidR="00BA5A99" w:rsidRPr="00A6483F" w:rsidRDefault="00BA5A99" w:rsidP="007E4FCF">
            <w:pPr>
              <w:pStyle w:val="TableParagraph"/>
              <w:spacing w:line="276" w:lineRule="auto"/>
              <w:ind w:left="3" w:right="128"/>
              <w:jc w:val="center"/>
              <w:rPr>
                <w:rFonts w:ascii="Arial" w:hAnsi="Arial" w:cs="Arial"/>
                <w:b/>
                <w:sz w:val="20"/>
                <w:szCs w:val="20"/>
              </w:rPr>
            </w:pPr>
            <w:r w:rsidRPr="00A6483F">
              <w:rPr>
                <w:rFonts w:ascii="Arial" w:hAnsi="Arial" w:cs="Arial"/>
                <w:b/>
                <w:w w:val="95"/>
                <w:sz w:val="20"/>
                <w:szCs w:val="20"/>
              </w:rPr>
              <w:t>Negative</w:t>
            </w:r>
            <w:r w:rsidRPr="00A6483F">
              <w:rPr>
                <w:rFonts w:ascii="Arial" w:hAnsi="Arial" w:cs="Arial"/>
                <w:b/>
                <w:spacing w:val="-59"/>
                <w:w w:val="95"/>
                <w:sz w:val="20"/>
                <w:szCs w:val="20"/>
              </w:rPr>
              <w:t xml:space="preserve"> </w:t>
            </w:r>
            <w:r w:rsidRPr="00A6483F">
              <w:rPr>
                <w:rFonts w:ascii="Arial" w:hAnsi="Arial" w:cs="Arial"/>
                <w:b/>
                <w:sz w:val="20"/>
                <w:szCs w:val="20"/>
              </w:rPr>
              <w:t>control</w:t>
            </w:r>
          </w:p>
          <w:p w14:paraId="2CFA3819" w14:textId="77777777" w:rsidR="00BA5A99" w:rsidRPr="00A6483F" w:rsidRDefault="00BA5A99" w:rsidP="007E4FCF">
            <w:pPr>
              <w:pStyle w:val="TableParagraph"/>
              <w:spacing w:line="276" w:lineRule="auto"/>
              <w:ind w:left="3" w:right="128"/>
              <w:jc w:val="center"/>
              <w:rPr>
                <w:rFonts w:ascii="Arial" w:hAnsi="Arial" w:cs="Arial"/>
                <w:b/>
                <w:sz w:val="20"/>
                <w:szCs w:val="20"/>
              </w:rPr>
            </w:pPr>
            <w:r w:rsidRPr="00A6483F">
              <w:rPr>
                <w:rFonts w:ascii="Arial" w:hAnsi="Arial" w:cs="Arial"/>
                <w:b/>
                <w:sz w:val="20"/>
                <w:szCs w:val="20"/>
              </w:rPr>
              <w:t>(Ethyl</w:t>
            </w:r>
            <w:r w:rsidRPr="00A6483F">
              <w:rPr>
                <w:rFonts w:ascii="Arial" w:hAnsi="Arial" w:cs="Arial"/>
                <w:b/>
                <w:spacing w:val="1"/>
                <w:sz w:val="20"/>
                <w:szCs w:val="20"/>
              </w:rPr>
              <w:t xml:space="preserve"> </w:t>
            </w:r>
            <w:r w:rsidRPr="00A6483F">
              <w:rPr>
                <w:rFonts w:ascii="Arial" w:hAnsi="Arial" w:cs="Arial"/>
                <w:b/>
                <w:w w:val="95"/>
                <w:sz w:val="20"/>
                <w:szCs w:val="20"/>
              </w:rPr>
              <w:t>acetate)</w:t>
            </w:r>
          </w:p>
        </w:tc>
        <w:tc>
          <w:tcPr>
            <w:tcW w:w="1369" w:type="dxa"/>
          </w:tcPr>
          <w:p w14:paraId="1646EAEE" w14:textId="77777777" w:rsidR="00BA5A99" w:rsidRPr="00A6483F" w:rsidRDefault="00BA5A99" w:rsidP="007E4FCF">
            <w:pPr>
              <w:pStyle w:val="TableParagraph"/>
              <w:spacing w:before="131" w:line="276" w:lineRule="auto"/>
              <w:ind w:right="486"/>
              <w:jc w:val="center"/>
              <w:rPr>
                <w:rFonts w:ascii="Arial" w:hAnsi="Arial" w:cs="Arial"/>
                <w:b/>
                <w:sz w:val="20"/>
                <w:szCs w:val="20"/>
              </w:rPr>
            </w:pPr>
            <w:r w:rsidRPr="00A6483F">
              <w:rPr>
                <w:rFonts w:ascii="Arial" w:hAnsi="Arial" w:cs="Arial"/>
                <w:b/>
                <w:sz w:val="20"/>
                <w:szCs w:val="20"/>
              </w:rPr>
              <w:t>Control</w:t>
            </w:r>
          </w:p>
        </w:tc>
      </w:tr>
      <w:tr w:rsidR="00BA5A99" w:rsidRPr="00A6483F" w14:paraId="16DAD249" w14:textId="77777777" w:rsidTr="00544902">
        <w:trPr>
          <w:trHeight w:val="460"/>
        </w:trPr>
        <w:tc>
          <w:tcPr>
            <w:tcW w:w="1225" w:type="dxa"/>
          </w:tcPr>
          <w:p w14:paraId="1978DAEC" w14:textId="77777777" w:rsidR="00BA5A99" w:rsidRPr="00A6483F" w:rsidRDefault="00BA5A99" w:rsidP="007E4FCF">
            <w:pPr>
              <w:pStyle w:val="TableParagraph"/>
              <w:spacing w:line="276" w:lineRule="auto"/>
              <w:ind w:right="296"/>
              <w:jc w:val="right"/>
              <w:rPr>
                <w:rFonts w:ascii="Arial" w:hAnsi="Arial" w:cs="Arial"/>
                <w:b/>
                <w:sz w:val="20"/>
                <w:szCs w:val="20"/>
              </w:rPr>
            </w:pPr>
            <w:r w:rsidRPr="00A6483F">
              <w:rPr>
                <w:rFonts w:ascii="Arial" w:hAnsi="Arial" w:cs="Arial"/>
                <w:b/>
                <w:sz w:val="20"/>
                <w:szCs w:val="20"/>
              </w:rPr>
              <w:t>Day 1</w:t>
            </w:r>
          </w:p>
        </w:tc>
        <w:tc>
          <w:tcPr>
            <w:tcW w:w="1143" w:type="dxa"/>
          </w:tcPr>
          <w:p w14:paraId="4C733FFD" w14:textId="77777777" w:rsidR="00BA5A99" w:rsidRPr="00A6483F" w:rsidRDefault="00BA5A99" w:rsidP="007E4FCF">
            <w:pPr>
              <w:pStyle w:val="TableParagraph"/>
              <w:spacing w:line="276" w:lineRule="auto"/>
              <w:ind w:left="56"/>
              <w:jc w:val="center"/>
              <w:rPr>
                <w:rFonts w:ascii="Arial" w:hAnsi="Arial" w:cs="Arial"/>
                <w:sz w:val="20"/>
                <w:szCs w:val="20"/>
              </w:rPr>
            </w:pPr>
            <w:r w:rsidRPr="00A6483F">
              <w:rPr>
                <w:rFonts w:ascii="Arial" w:hAnsi="Arial" w:cs="Arial"/>
                <w:sz w:val="20"/>
                <w:szCs w:val="20"/>
              </w:rPr>
              <w:t>10</w:t>
            </w:r>
          </w:p>
        </w:tc>
        <w:tc>
          <w:tcPr>
            <w:tcW w:w="1234" w:type="dxa"/>
          </w:tcPr>
          <w:p w14:paraId="7C6AA5D9"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234" w:type="dxa"/>
          </w:tcPr>
          <w:p w14:paraId="226966FA" w14:textId="77777777" w:rsidR="00BA5A99" w:rsidRPr="00A6483F" w:rsidRDefault="00BA5A99" w:rsidP="007E4FCF">
            <w:pPr>
              <w:pStyle w:val="TableParagraph"/>
              <w:spacing w:line="276" w:lineRule="auto"/>
              <w:ind w:right="13"/>
              <w:jc w:val="center"/>
              <w:rPr>
                <w:rFonts w:ascii="Arial" w:hAnsi="Arial" w:cs="Arial"/>
                <w:sz w:val="20"/>
                <w:szCs w:val="20"/>
              </w:rPr>
            </w:pPr>
            <w:r w:rsidRPr="00A6483F">
              <w:rPr>
                <w:rFonts w:ascii="Arial" w:hAnsi="Arial" w:cs="Arial"/>
                <w:sz w:val="20"/>
                <w:szCs w:val="20"/>
              </w:rPr>
              <w:t>10</w:t>
            </w:r>
          </w:p>
        </w:tc>
        <w:tc>
          <w:tcPr>
            <w:tcW w:w="1329" w:type="dxa"/>
          </w:tcPr>
          <w:p w14:paraId="40A04316" w14:textId="77777777" w:rsidR="00BA5A99" w:rsidRPr="00A6483F" w:rsidRDefault="00BA5A99" w:rsidP="007E4FCF">
            <w:pPr>
              <w:pStyle w:val="TableParagraph"/>
              <w:spacing w:line="276" w:lineRule="auto"/>
              <w:ind w:left="263"/>
              <w:jc w:val="center"/>
              <w:rPr>
                <w:rFonts w:ascii="Arial" w:hAnsi="Arial" w:cs="Arial"/>
                <w:sz w:val="20"/>
                <w:szCs w:val="20"/>
              </w:rPr>
            </w:pPr>
            <w:r w:rsidRPr="00A6483F">
              <w:rPr>
                <w:rFonts w:ascii="Arial" w:hAnsi="Arial" w:cs="Arial"/>
                <w:sz w:val="20"/>
                <w:szCs w:val="20"/>
              </w:rPr>
              <w:t>10</w:t>
            </w:r>
          </w:p>
        </w:tc>
        <w:tc>
          <w:tcPr>
            <w:tcW w:w="1505" w:type="dxa"/>
          </w:tcPr>
          <w:p w14:paraId="5F3A7AA8"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369" w:type="dxa"/>
          </w:tcPr>
          <w:p w14:paraId="61806CCD"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r>
      <w:tr w:rsidR="00BA5A99" w:rsidRPr="00A6483F" w14:paraId="60C59805" w14:textId="77777777" w:rsidTr="00544902">
        <w:trPr>
          <w:trHeight w:val="465"/>
        </w:trPr>
        <w:tc>
          <w:tcPr>
            <w:tcW w:w="1225" w:type="dxa"/>
          </w:tcPr>
          <w:p w14:paraId="63C1FDE1" w14:textId="77777777" w:rsidR="00BA5A99" w:rsidRPr="00A6483F" w:rsidRDefault="00BA5A99" w:rsidP="007E4FCF">
            <w:pPr>
              <w:pStyle w:val="TableParagraph"/>
              <w:spacing w:line="276" w:lineRule="auto"/>
              <w:ind w:right="296"/>
              <w:jc w:val="right"/>
              <w:rPr>
                <w:rFonts w:ascii="Arial" w:hAnsi="Arial" w:cs="Arial"/>
                <w:b/>
                <w:sz w:val="20"/>
                <w:szCs w:val="20"/>
              </w:rPr>
            </w:pPr>
            <w:r w:rsidRPr="00A6483F">
              <w:rPr>
                <w:rFonts w:ascii="Arial" w:hAnsi="Arial" w:cs="Arial"/>
                <w:b/>
                <w:sz w:val="20"/>
                <w:szCs w:val="20"/>
              </w:rPr>
              <w:t>Day 2</w:t>
            </w:r>
          </w:p>
        </w:tc>
        <w:tc>
          <w:tcPr>
            <w:tcW w:w="1143" w:type="dxa"/>
          </w:tcPr>
          <w:p w14:paraId="243585E5" w14:textId="77777777" w:rsidR="00BA5A99" w:rsidRPr="00A6483F" w:rsidRDefault="00BA5A99" w:rsidP="007E4FCF">
            <w:pPr>
              <w:pStyle w:val="TableParagraph"/>
              <w:spacing w:line="276" w:lineRule="auto"/>
              <w:ind w:left="56"/>
              <w:jc w:val="center"/>
              <w:rPr>
                <w:rFonts w:ascii="Arial" w:hAnsi="Arial" w:cs="Arial"/>
                <w:sz w:val="20"/>
                <w:szCs w:val="20"/>
              </w:rPr>
            </w:pPr>
            <w:r w:rsidRPr="00A6483F">
              <w:rPr>
                <w:rFonts w:ascii="Arial" w:hAnsi="Arial" w:cs="Arial"/>
                <w:sz w:val="20"/>
                <w:szCs w:val="20"/>
              </w:rPr>
              <w:t>10</w:t>
            </w:r>
          </w:p>
        </w:tc>
        <w:tc>
          <w:tcPr>
            <w:tcW w:w="1234" w:type="dxa"/>
          </w:tcPr>
          <w:p w14:paraId="345E5DE9"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234" w:type="dxa"/>
          </w:tcPr>
          <w:p w14:paraId="23458492" w14:textId="77777777" w:rsidR="00BA5A99" w:rsidRPr="00A6483F" w:rsidRDefault="00BA5A99" w:rsidP="007E4FCF">
            <w:pPr>
              <w:pStyle w:val="TableParagraph"/>
              <w:spacing w:line="276" w:lineRule="auto"/>
              <w:ind w:right="13"/>
              <w:jc w:val="center"/>
              <w:rPr>
                <w:rFonts w:ascii="Arial" w:hAnsi="Arial" w:cs="Arial"/>
                <w:sz w:val="20"/>
                <w:szCs w:val="20"/>
              </w:rPr>
            </w:pPr>
            <w:r w:rsidRPr="00A6483F">
              <w:rPr>
                <w:rFonts w:ascii="Arial" w:hAnsi="Arial" w:cs="Arial"/>
                <w:sz w:val="20"/>
                <w:szCs w:val="20"/>
              </w:rPr>
              <w:t>10</w:t>
            </w:r>
          </w:p>
        </w:tc>
        <w:tc>
          <w:tcPr>
            <w:tcW w:w="1329" w:type="dxa"/>
          </w:tcPr>
          <w:p w14:paraId="3CFB8F1C" w14:textId="77777777" w:rsidR="00BA5A99" w:rsidRPr="00A6483F" w:rsidRDefault="00BA5A99" w:rsidP="007E4FCF">
            <w:pPr>
              <w:pStyle w:val="TableParagraph"/>
              <w:spacing w:line="276" w:lineRule="auto"/>
              <w:ind w:left="263"/>
              <w:jc w:val="center"/>
              <w:rPr>
                <w:rFonts w:ascii="Arial" w:hAnsi="Arial" w:cs="Arial"/>
                <w:sz w:val="20"/>
                <w:szCs w:val="20"/>
              </w:rPr>
            </w:pPr>
            <w:r w:rsidRPr="00A6483F">
              <w:rPr>
                <w:rFonts w:ascii="Arial" w:hAnsi="Arial" w:cs="Arial"/>
                <w:sz w:val="20"/>
                <w:szCs w:val="20"/>
              </w:rPr>
              <w:t>10</w:t>
            </w:r>
          </w:p>
        </w:tc>
        <w:tc>
          <w:tcPr>
            <w:tcW w:w="1505" w:type="dxa"/>
          </w:tcPr>
          <w:p w14:paraId="19ADF63F"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369" w:type="dxa"/>
          </w:tcPr>
          <w:p w14:paraId="41CC96E5"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r>
      <w:tr w:rsidR="00BA5A99" w:rsidRPr="00A6483F" w14:paraId="32610E59" w14:textId="77777777" w:rsidTr="00544902">
        <w:trPr>
          <w:trHeight w:val="460"/>
        </w:trPr>
        <w:tc>
          <w:tcPr>
            <w:tcW w:w="1225" w:type="dxa"/>
          </w:tcPr>
          <w:p w14:paraId="1765E6F0" w14:textId="77777777" w:rsidR="00BA5A99" w:rsidRPr="00A6483F" w:rsidRDefault="00BA5A99" w:rsidP="007E4FCF">
            <w:pPr>
              <w:pStyle w:val="TableParagraph"/>
              <w:spacing w:line="276" w:lineRule="auto"/>
              <w:ind w:right="296"/>
              <w:jc w:val="right"/>
              <w:rPr>
                <w:rFonts w:ascii="Arial" w:hAnsi="Arial" w:cs="Arial"/>
                <w:b/>
                <w:sz w:val="20"/>
                <w:szCs w:val="20"/>
              </w:rPr>
            </w:pPr>
            <w:r w:rsidRPr="00A6483F">
              <w:rPr>
                <w:rFonts w:ascii="Arial" w:hAnsi="Arial" w:cs="Arial"/>
                <w:b/>
                <w:sz w:val="20"/>
                <w:szCs w:val="20"/>
              </w:rPr>
              <w:t>Day 3</w:t>
            </w:r>
          </w:p>
        </w:tc>
        <w:tc>
          <w:tcPr>
            <w:tcW w:w="1143" w:type="dxa"/>
          </w:tcPr>
          <w:p w14:paraId="3B5946FA" w14:textId="77777777" w:rsidR="00BA5A99" w:rsidRPr="00A6483F" w:rsidRDefault="00BA5A99" w:rsidP="007E4FCF">
            <w:pPr>
              <w:pStyle w:val="TableParagraph"/>
              <w:spacing w:line="276" w:lineRule="auto"/>
              <w:ind w:left="56"/>
              <w:jc w:val="center"/>
              <w:rPr>
                <w:rFonts w:ascii="Arial" w:hAnsi="Arial" w:cs="Arial"/>
                <w:sz w:val="20"/>
                <w:szCs w:val="20"/>
              </w:rPr>
            </w:pPr>
            <w:r w:rsidRPr="00A6483F">
              <w:rPr>
                <w:rFonts w:ascii="Arial" w:hAnsi="Arial" w:cs="Arial"/>
                <w:sz w:val="20"/>
                <w:szCs w:val="20"/>
              </w:rPr>
              <w:t>10</w:t>
            </w:r>
          </w:p>
        </w:tc>
        <w:tc>
          <w:tcPr>
            <w:tcW w:w="1234" w:type="dxa"/>
          </w:tcPr>
          <w:p w14:paraId="6B04AABA"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234" w:type="dxa"/>
          </w:tcPr>
          <w:p w14:paraId="2D168D78" w14:textId="77777777" w:rsidR="00BA5A99" w:rsidRPr="00A6483F" w:rsidRDefault="00BA5A99" w:rsidP="007E4FCF">
            <w:pPr>
              <w:pStyle w:val="TableParagraph"/>
              <w:spacing w:line="276" w:lineRule="auto"/>
              <w:ind w:right="13"/>
              <w:jc w:val="center"/>
              <w:rPr>
                <w:rFonts w:ascii="Arial" w:hAnsi="Arial" w:cs="Arial"/>
                <w:sz w:val="20"/>
                <w:szCs w:val="20"/>
              </w:rPr>
            </w:pPr>
            <w:r w:rsidRPr="00A6483F">
              <w:rPr>
                <w:rFonts w:ascii="Arial" w:hAnsi="Arial" w:cs="Arial"/>
                <w:sz w:val="20"/>
                <w:szCs w:val="20"/>
              </w:rPr>
              <w:t>10</w:t>
            </w:r>
          </w:p>
        </w:tc>
        <w:tc>
          <w:tcPr>
            <w:tcW w:w="1329" w:type="dxa"/>
          </w:tcPr>
          <w:p w14:paraId="553DFDA6" w14:textId="77777777" w:rsidR="00BA5A99" w:rsidRPr="00A6483F" w:rsidRDefault="00BA5A99" w:rsidP="007E4FCF">
            <w:pPr>
              <w:pStyle w:val="TableParagraph"/>
              <w:spacing w:line="276" w:lineRule="auto"/>
              <w:ind w:left="263"/>
              <w:jc w:val="center"/>
              <w:rPr>
                <w:rFonts w:ascii="Arial" w:hAnsi="Arial" w:cs="Arial"/>
                <w:sz w:val="20"/>
                <w:szCs w:val="20"/>
              </w:rPr>
            </w:pPr>
            <w:r w:rsidRPr="00A6483F">
              <w:rPr>
                <w:rFonts w:ascii="Arial" w:hAnsi="Arial" w:cs="Arial"/>
                <w:sz w:val="20"/>
                <w:szCs w:val="20"/>
              </w:rPr>
              <w:t>10</w:t>
            </w:r>
          </w:p>
        </w:tc>
        <w:tc>
          <w:tcPr>
            <w:tcW w:w="1505" w:type="dxa"/>
          </w:tcPr>
          <w:p w14:paraId="4638A6F7"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369" w:type="dxa"/>
          </w:tcPr>
          <w:p w14:paraId="066A2D85"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r>
      <w:tr w:rsidR="00BA5A99" w:rsidRPr="00A6483F" w14:paraId="138DE6B3" w14:textId="77777777" w:rsidTr="00544902">
        <w:trPr>
          <w:trHeight w:val="461"/>
        </w:trPr>
        <w:tc>
          <w:tcPr>
            <w:tcW w:w="1225" w:type="dxa"/>
          </w:tcPr>
          <w:p w14:paraId="50704DAA" w14:textId="77777777" w:rsidR="00BA5A99" w:rsidRPr="00A6483F" w:rsidRDefault="00BA5A99" w:rsidP="007E4FCF">
            <w:pPr>
              <w:pStyle w:val="TableParagraph"/>
              <w:spacing w:line="276" w:lineRule="auto"/>
              <w:ind w:right="296"/>
              <w:jc w:val="right"/>
              <w:rPr>
                <w:rFonts w:ascii="Arial" w:hAnsi="Arial" w:cs="Arial"/>
                <w:b/>
                <w:sz w:val="20"/>
                <w:szCs w:val="20"/>
              </w:rPr>
            </w:pPr>
            <w:r w:rsidRPr="00A6483F">
              <w:rPr>
                <w:rFonts w:ascii="Arial" w:hAnsi="Arial" w:cs="Arial"/>
                <w:b/>
                <w:sz w:val="20"/>
                <w:szCs w:val="20"/>
              </w:rPr>
              <w:t>Day 4</w:t>
            </w:r>
          </w:p>
        </w:tc>
        <w:tc>
          <w:tcPr>
            <w:tcW w:w="1143" w:type="dxa"/>
          </w:tcPr>
          <w:p w14:paraId="7F604AB8" w14:textId="77777777" w:rsidR="00BA5A99" w:rsidRPr="00A6483F" w:rsidRDefault="00BA5A99" w:rsidP="007E4FCF">
            <w:pPr>
              <w:pStyle w:val="TableParagraph"/>
              <w:spacing w:line="276" w:lineRule="auto"/>
              <w:ind w:left="56"/>
              <w:jc w:val="center"/>
              <w:rPr>
                <w:rFonts w:ascii="Arial" w:hAnsi="Arial" w:cs="Arial"/>
                <w:sz w:val="20"/>
                <w:szCs w:val="20"/>
              </w:rPr>
            </w:pPr>
            <w:r w:rsidRPr="00A6483F">
              <w:rPr>
                <w:rFonts w:ascii="Arial" w:hAnsi="Arial" w:cs="Arial"/>
                <w:sz w:val="20"/>
                <w:szCs w:val="20"/>
              </w:rPr>
              <w:t>10</w:t>
            </w:r>
          </w:p>
        </w:tc>
        <w:tc>
          <w:tcPr>
            <w:tcW w:w="1234" w:type="dxa"/>
          </w:tcPr>
          <w:p w14:paraId="2C1F7E7D"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234" w:type="dxa"/>
          </w:tcPr>
          <w:p w14:paraId="4F444ECF" w14:textId="77777777" w:rsidR="00BA5A99" w:rsidRPr="00A6483F" w:rsidRDefault="00BA5A99" w:rsidP="007E4FCF">
            <w:pPr>
              <w:pStyle w:val="TableParagraph"/>
              <w:spacing w:line="276" w:lineRule="auto"/>
              <w:ind w:right="13"/>
              <w:jc w:val="center"/>
              <w:rPr>
                <w:rFonts w:ascii="Arial" w:hAnsi="Arial" w:cs="Arial"/>
                <w:sz w:val="20"/>
                <w:szCs w:val="20"/>
              </w:rPr>
            </w:pPr>
            <w:r w:rsidRPr="00A6483F">
              <w:rPr>
                <w:rFonts w:ascii="Arial" w:hAnsi="Arial" w:cs="Arial"/>
                <w:sz w:val="20"/>
                <w:szCs w:val="20"/>
              </w:rPr>
              <w:t>10</w:t>
            </w:r>
          </w:p>
        </w:tc>
        <w:tc>
          <w:tcPr>
            <w:tcW w:w="1329" w:type="dxa"/>
          </w:tcPr>
          <w:p w14:paraId="0A904D65" w14:textId="77777777" w:rsidR="00BA5A99" w:rsidRPr="00A6483F" w:rsidRDefault="00BA5A99" w:rsidP="007E4FCF">
            <w:pPr>
              <w:pStyle w:val="TableParagraph"/>
              <w:spacing w:line="276" w:lineRule="auto"/>
              <w:ind w:left="263"/>
              <w:jc w:val="center"/>
              <w:rPr>
                <w:rFonts w:ascii="Arial" w:hAnsi="Arial" w:cs="Arial"/>
                <w:sz w:val="20"/>
                <w:szCs w:val="20"/>
              </w:rPr>
            </w:pPr>
            <w:r w:rsidRPr="00A6483F">
              <w:rPr>
                <w:rFonts w:ascii="Arial" w:hAnsi="Arial" w:cs="Arial"/>
                <w:sz w:val="20"/>
                <w:szCs w:val="20"/>
              </w:rPr>
              <w:t>10</w:t>
            </w:r>
          </w:p>
        </w:tc>
        <w:tc>
          <w:tcPr>
            <w:tcW w:w="1505" w:type="dxa"/>
          </w:tcPr>
          <w:p w14:paraId="5CF5C846"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369" w:type="dxa"/>
          </w:tcPr>
          <w:p w14:paraId="5C110231"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r>
      <w:tr w:rsidR="00BA5A99" w:rsidRPr="00A6483F" w14:paraId="792F17E8" w14:textId="77777777" w:rsidTr="00544902">
        <w:trPr>
          <w:trHeight w:val="465"/>
        </w:trPr>
        <w:tc>
          <w:tcPr>
            <w:tcW w:w="1225" w:type="dxa"/>
          </w:tcPr>
          <w:p w14:paraId="45D80CC9" w14:textId="77777777" w:rsidR="00BA5A99" w:rsidRPr="00A6483F" w:rsidRDefault="00BA5A99" w:rsidP="007E4FCF">
            <w:pPr>
              <w:pStyle w:val="TableParagraph"/>
              <w:spacing w:before="2" w:line="276" w:lineRule="auto"/>
              <w:ind w:right="296"/>
              <w:jc w:val="right"/>
              <w:rPr>
                <w:rFonts w:ascii="Arial" w:hAnsi="Arial" w:cs="Arial"/>
                <w:b/>
                <w:sz w:val="20"/>
                <w:szCs w:val="20"/>
              </w:rPr>
            </w:pPr>
            <w:r w:rsidRPr="00A6483F">
              <w:rPr>
                <w:rFonts w:ascii="Arial" w:hAnsi="Arial" w:cs="Arial"/>
                <w:b/>
                <w:sz w:val="20"/>
                <w:szCs w:val="20"/>
              </w:rPr>
              <w:t>Day 5</w:t>
            </w:r>
          </w:p>
        </w:tc>
        <w:tc>
          <w:tcPr>
            <w:tcW w:w="1143" w:type="dxa"/>
          </w:tcPr>
          <w:p w14:paraId="0C6F57DC" w14:textId="77777777" w:rsidR="00BA5A99" w:rsidRPr="00A6483F" w:rsidRDefault="00BA5A99" w:rsidP="007E4FCF">
            <w:pPr>
              <w:pStyle w:val="TableParagraph"/>
              <w:spacing w:line="276" w:lineRule="auto"/>
              <w:ind w:left="56"/>
              <w:jc w:val="center"/>
              <w:rPr>
                <w:rFonts w:ascii="Arial" w:hAnsi="Arial" w:cs="Arial"/>
                <w:sz w:val="20"/>
                <w:szCs w:val="20"/>
              </w:rPr>
            </w:pPr>
            <w:r w:rsidRPr="00A6483F">
              <w:rPr>
                <w:rFonts w:ascii="Arial" w:hAnsi="Arial" w:cs="Arial"/>
                <w:sz w:val="20"/>
                <w:szCs w:val="20"/>
              </w:rPr>
              <w:t>10</w:t>
            </w:r>
          </w:p>
        </w:tc>
        <w:tc>
          <w:tcPr>
            <w:tcW w:w="1234" w:type="dxa"/>
          </w:tcPr>
          <w:p w14:paraId="268A486C"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234" w:type="dxa"/>
          </w:tcPr>
          <w:p w14:paraId="2209253D" w14:textId="77777777" w:rsidR="00BA5A99" w:rsidRPr="00A6483F" w:rsidRDefault="00BA5A99" w:rsidP="007E4FCF">
            <w:pPr>
              <w:pStyle w:val="TableParagraph"/>
              <w:spacing w:line="276" w:lineRule="auto"/>
              <w:ind w:right="13"/>
              <w:jc w:val="center"/>
              <w:rPr>
                <w:rFonts w:ascii="Arial" w:hAnsi="Arial" w:cs="Arial"/>
                <w:sz w:val="20"/>
                <w:szCs w:val="20"/>
              </w:rPr>
            </w:pPr>
            <w:r w:rsidRPr="00A6483F">
              <w:rPr>
                <w:rFonts w:ascii="Arial" w:hAnsi="Arial" w:cs="Arial"/>
                <w:sz w:val="20"/>
                <w:szCs w:val="20"/>
              </w:rPr>
              <w:t>10</w:t>
            </w:r>
          </w:p>
        </w:tc>
        <w:tc>
          <w:tcPr>
            <w:tcW w:w="1329" w:type="dxa"/>
          </w:tcPr>
          <w:p w14:paraId="53E64C02" w14:textId="77777777" w:rsidR="00BA5A99" w:rsidRPr="00A6483F" w:rsidRDefault="00BA5A99" w:rsidP="007E4FCF">
            <w:pPr>
              <w:pStyle w:val="TableParagraph"/>
              <w:spacing w:line="276" w:lineRule="auto"/>
              <w:ind w:left="263"/>
              <w:jc w:val="center"/>
              <w:rPr>
                <w:rFonts w:ascii="Arial" w:hAnsi="Arial" w:cs="Arial"/>
                <w:sz w:val="20"/>
                <w:szCs w:val="20"/>
              </w:rPr>
            </w:pPr>
            <w:r w:rsidRPr="00A6483F">
              <w:rPr>
                <w:rFonts w:ascii="Arial" w:hAnsi="Arial" w:cs="Arial"/>
                <w:sz w:val="20"/>
                <w:szCs w:val="20"/>
              </w:rPr>
              <w:t>10</w:t>
            </w:r>
          </w:p>
        </w:tc>
        <w:tc>
          <w:tcPr>
            <w:tcW w:w="1505" w:type="dxa"/>
          </w:tcPr>
          <w:p w14:paraId="44FEC111"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369" w:type="dxa"/>
          </w:tcPr>
          <w:p w14:paraId="7C4188EE"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r>
      <w:tr w:rsidR="00BA5A99" w:rsidRPr="00A6483F" w14:paraId="5F0A3443" w14:textId="77777777" w:rsidTr="00544902">
        <w:trPr>
          <w:trHeight w:val="460"/>
        </w:trPr>
        <w:tc>
          <w:tcPr>
            <w:tcW w:w="1225" w:type="dxa"/>
          </w:tcPr>
          <w:p w14:paraId="1EB50C74" w14:textId="77777777" w:rsidR="00BA5A99" w:rsidRPr="00A6483F" w:rsidRDefault="00BA5A99" w:rsidP="007E4FCF">
            <w:pPr>
              <w:pStyle w:val="TableParagraph"/>
              <w:spacing w:line="276" w:lineRule="auto"/>
              <w:ind w:right="296"/>
              <w:jc w:val="right"/>
              <w:rPr>
                <w:rFonts w:ascii="Arial" w:hAnsi="Arial" w:cs="Arial"/>
                <w:b/>
                <w:sz w:val="20"/>
                <w:szCs w:val="20"/>
              </w:rPr>
            </w:pPr>
            <w:r w:rsidRPr="00A6483F">
              <w:rPr>
                <w:rFonts w:ascii="Arial" w:hAnsi="Arial" w:cs="Arial"/>
                <w:b/>
                <w:sz w:val="20"/>
                <w:szCs w:val="20"/>
              </w:rPr>
              <w:t>Day 6</w:t>
            </w:r>
          </w:p>
        </w:tc>
        <w:tc>
          <w:tcPr>
            <w:tcW w:w="1143" w:type="dxa"/>
          </w:tcPr>
          <w:p w14:paraId="22AB8AA5" w14:textId="77777777" w:rsidR="00BA5A99" w:rsidRPr="00A6483F" w:rsidRDefault="00BA5A99" w:rsidP="007E4FCF">
            <w:pPr>
              <w:pStyle w:val="TableParagraph"/>
              <w:spacing w:line="276" w:lineRule="auto"/>
              <w:ind w:left="56"/>
              <w:jc w:val="center"/>
              <w:rPr>
                <w:rFonts w:ascii="Arial" w:hAnsi="Arial" w:cs="Arial"/>
                <w:sz w:val="20"/>
                <w:szCs w:val="20"/>
              </w:rPr>
            </w:pPr>
            <w:r w:rsidRPr="00A6483F">
              <w:rPr>
                <w:rFonts w:ascii="Arial" w:hAnsi="Arial" w:cs="Arial"/>
                <w:sz w:val="20"/>
                <w:szCs w:val="20"/>
              </w:rPr>
              <w:t>10</w:t>
            </w:r>
          </w:p>
        </w:tc>
        <w:tc>
          <w:tcPr>
            <w:tcW w:w="1234" w:type="dxa"/>
          </w:tcPr>
          <w:p w14:paraId="29F2A0E1"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234" w:type="dxa"/>
          </w:tcPr>
          <w:p w14:paraId="5C128F69" w14:textId="77777777" w:rsidR="00BA5A99" w:rsidRPr="00A6483F" w:rsidRDefault="00BA5A99" w:rsidP="007E4FCF">
            <w:pPr>
              <w:pStyle w:val="TableParagraph"/>
              <w:spacing w:line="276" w:lineRule="auto"/>
              <w:ind w:right="13"/>
              <w:jc w:val="center"/>
              <w:rPr>
                <w:rFonts w:ascii="Arial" w:hAnsi="Arial" w:cs="Arial"/>
                <w:sz w:val="20"/>
                <w:szCs w:val="20"/>
              </w:rPr>
            </w:pPr>
            <w:r w:rsidRPr="00A6483F">
              <w:rPr>
                <w:rFonts w:ascii="Arial" w:hAnsi="Arial" w:cs="Arial"/>
                <w:sz w:val="20"/>
                <w:szCs w:val="20"/>
              </w:rPr>
              <w:t>10</w:t>
            </w:r>
          </w:p>
        </w:tc>
        <w:tc>
          <w:tcPr>
            <w:tcW w:w="1329" w:type="dxa"/>
          </w:tcPr>
          <w:p w14:paraId="4F148769" w14:textId="77777777" w:rsidR="00BA5A99" w:rsidRPr="00A6483F" w:rsidRDefault="00BA5A99" w:rsidP="007E4FCF">
            <w:pPr>
              <w:pStyle w:val="TableParagraph"/>
              <w:spacing w:line="276" w:lineRule="auto"/>
              <w:ind w:left="263"/>
              <w:jc w:val="center"/>
              <w:rPr>
                <w:rFonts w:ascii="Arial" w:hAnsi="Arial" w:cs="Arial"/>
                <w:sz w:val="20"/>
                <w:szCs w:val="20"/>
              </w:rPr>
            </w:pPr>
            <w:r w:rsidRPr="00A6483F">
              <w:rPr>
                <w:rFonts w:ascii="Arial" w:hAnsi="Arial" w:cs="Arial"/>
                <w:sz w:val="20"/>
                <w:szCs w:val="20"/>
              </w:rPr>
              <w:t>10</w:t>
            </w:r>
          </w:p>
        </w:tc>
        <w:tc>
          <w:tcPr>
            <w:tcW w:w="1505" w:type="dxa"/>
          </w:tcPr>
          <w:p w14:paraId="619B9FEF"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c>
          <w:tcPr>
            <w:tcW w:w="1369" w:type="dxa"/>
          </w:tcPr>
          <w:p w14:paraId="2A537708" w14:textId="77777777" w:rsidR="00BA5A99" w:rsidRPr="00A6483F" w:rsidRDefault="00BA5A99" w:rsidP="007E4FCF">
            <w:pPr>
              <w:pStyle w:val="TableParagraph"/>
              <w:spacing w:line="276" w:lineRule="auto"/>
              <w:jc w:val="center"/>
              <w:rPr>
                <w:rFonts w:ascii="Arial" w:hAnsi="Arial" w:cs="Arial"/>
                <w:sz w:val="20"/>
                <w:szCs w:val="20"/>
              </w:rPr>
            </w:pPr>
            <w:r w:rsidRPr="00A6483F">
              <w:rPr>
                <w:rFonts w:ascii="Arial" w:hAnsi="Arial" w:cs="Arial"/>
                <w:sz w:val="20"/>
                <w:szCs w:val="20"/>
              </w:rPr>
              <w:t>10</w:t>
            </w:r>
          </w:p>
        </w:tc>
      </w:tr>
      <w:tr w:rsidR="00BA5A99" w:rsidRPr="00A6483F" w14:paraId="54207B25" w14:textId="77777777" w:rsidTr="00544902">
        <w:trPr>
          <w:trHeight w:val="599"/>
        </w:trPr>
        <w:tc>
          <w:tcPr>
            <w:tcW w:w="1225" w:type="dxa"/>
          </w:tcPr>
          <w:p w14:paraId="2583DDAF" w14:textId="77777777" w:rsidR="00BA5A99" w:rsidRPr="00A6483F" w:rsidRDefault="00BA5A99" w:rsidP="007E4FCF">
            <w:pPr>
              <w:pStyle w:val="TableParagraph"/>
              <w:spacing w:line="276" w:lineRule="auto"/>
              <w:ind w:right="311"/>
              <w:jc w:val="right"/>
              <w:rPr>
                <w:rFonts w:ascii="Arial" w:hAnsi="Arial" w:cs="Arial"/>
                <w:b/>
                <w:bCs/>
                <w:sz w:val="20"/>
                <w:szCs w:val="20"/>
              </w:rPr>
            </w:pPr>
            <w:r w:rsidRPr="00A6483F">
              <w:rPr>
                <w:rFonts w:ascii="Arial" w:hAnsi="Arial" w:cs="Arial"/>
                <w:b/>
                <w:bCs/>
                <w:sz w:val="20"/>
                <w:szCs w:val="20"/>
              </w:rPr>
              <w:t>Day</w:t>
            </w:r>
            <w:r w:rsidRPr="00A6483F">
              <w:rPr>
                <w:rFonts w:ascii="Arial" w:hAnsi="Arial" w:cs="Arial"/>
                <w:b/>
                <w:bCs/>
                <w:spacing w:val="1"/>
                <w:sz w:val="20"/>
                <w:szCs w:val="20"/>
              </w:rPr>
              <w:t xml:space="preserve"> </w:t>
            </w:r>
            <w:r w:rsidRPr="00A6483F">
              <w:rPr>
                <w:rFonts w:ascii="Arial" w:hAnsi="Arial" w:cs="Arial"/>
                <w:b/>
                <w:bCs/>
                <w:sz w:val="20"/>
                <w:szCs w:val="20"/>
              </w:rPr>
              <w:t>7</w:t>
            </w:r>
          </w:p>
        </w:tc>
        <w:tc>
          <w:tcPr>
            <w:tcW w:w="1143" w:type="dxa"/>
          </w:tcPr>
          <w:p w14:paraId="4EDC5944" w14:textId="77777777" w:rsidR="00BA5A99" w:rsidRPr="00A6483F" w:rsidRDefault="00BA5A99" w:rsidP="007E4FCF">
            <w:pPr>
              <w:pStyle w:val="TableParagraph"/>
              <w:ind w:left="76"/>
              <w:jc w:val="center"/>
              <w:rPr>
                <w:rFonts w:ascii="Arial" w:hAnsi="Arial" w:cs="Arial"/>
                <w:sz w:val="20"/>
                <w:szCs w:val="20"/>
              </w:rPr>
            </w:pPr>
            <w:r w:rsidRPr="00A6483F">
              <w:rPr>
                <w:rFonts w:ascii="Arial" w:hAnsi="Arial" w:cs="Arial"/>
                <w:sz w:val="20"/>
                <w:szCs w:val="20"/>
              </w:rPr>
              <w:t>9</w:t>
            </w:r>
            <w:r w:rsidRPr="00A6483F">
              <w:rPr>
                <w:rFonts w:ascii="Arial" w:hAnsi="Arial" w:cs="Arial"/>
                <w:spacing w:val="-4"/>
                <w:sz w:val="20"/>
                <w:szCs w:val="20"/>
              </w:rPr>
              <w:t xml:space="preserve"> </w:t>
            </w:r>
            <w:r w:rsidRPr="00A6483F">
              <w:rPr>
                <w:rFonts w:ascii="Arial" w:hAnsi="Arial" w:cs="Arial"/>
                <w:sz w:val="20"/>
                <w:szCs w:val="20"/>
              </w:rPr>
              <w:t>Larvae;</w:t>
            </w:r>
          </w:p>
          <w:p w14:paraId="7659659C" w14:textId="77777777" w:rsidR="00BA5A99" w:rsidRPr="00A6483F" w:rsidRDefault="00BA5A99" w:rsidP="007E4FCF">
            <w:pPr>
              <w:pStyle w:val="TableParagraph"/>
              <w:spacing w:line="276" w:lineRule="auto"/>
              <w:ind w:left="210"/>
              <w:jc w:val="center"/>
              <w:rPr>
                <w:rFonts w:ascii="Arial" w:hAnsi="Arial" w:cs="Arial"/>
                <w:sz w:val="24"/>
                <w:szCs w:val="24"/>
              </w:rPr>
            </w:pPr>
            <w:r w:rsidRPr="00A6483F">
              <w:rPr>
                <w:rFonts w:ascii="Arial" w:hAnsi="Arial" w:cs="Arial"/>
                <w:sz w:val="20"/>
                <w:szCs w:val="20"/>
              </w:rPr>
              <w:t>1 Pupa</w:t>
            </w:r>
          </w:p>
        </w:tc>
        <w:tc>
          <w:tcPr>
            <w:tcW w:w="1234" w:type="dxa"/>
          </w:tcPr>
          <w:p w14:paraId="5E9BFEB1" w14:textId="77777777" w:rsidR="00BA5A99" w:rsidRPr="00A6483F" w:rsidRDefault="00BA5A99" w:rsidP="007E4FCF">
            <w:pPr>
              <w:pStyle w:val="TableParagraph"/>
              <w:ind w:left="3"/>
              <w:rPr>
                <w:rFonts w:ascii="Arial" w:hAnsi="Arial" w:cs="Arial"/>
                <w:sz w:val="20"/>
                <w:szCs w:val="20"/>
              </w:rPr>
            </w:pPr>
            <w:r w:rsidRPr="00A6483F">
              <w:rPr>
                <w:rFonts w:ascii="Arial" w:hAnsi="Arial" w:cs="Arial"/>
                <w:sz w:val="20"/>
                <w:szCs w:val="20"/>
              </w:rPr>
              <w:t>9</w:t>
            </w:r>
            <w:r w:rsidRPr="00A6483F">
              <w:rPr>
                <w:rFonts w:ascii="Arial" w:hAnsi="Arial" w:cs="Arial"/>
                <w:spacing w:val="-3"/>
                <w:sz w:val="20"/>
                <w:szCs w:val="20"/>
              </w:rPr>
              <w:t xml:space="preserve"> </w:t>
            </w:r>
            <w:r w:rsidRPr="00A6483F">
              <w:rPr>
                <w:rFonts w:ascii="Arial" w:hAnsi="Arial" w:cs="Arial"/>
                <w:sz w:val="20"/>
                <w:szCs w:val="20"/>
              </w:rPr>
              <w:t>Larvae;</w:t>
            </w:r>
            <w:r w:rsidRPr="00A6483F">
              <w:rPr>
                <w:rFonts w:ascii="Arial" w:hAnsi="Arial" w:cs="Arial"/>
                <w:spacing w:val="-1"/>
                <w:sz w:val="20"/>
                <w:szCs w:val="20"/>
              </w:rPr>
              <w:t xml:space="preserve"> </w:t>
            </w:r>
            <w:r w:rsidRPr="00A6483F">
              <w:rPr>
                <w:rFonts w:ascii="Arial" w:hAnsi="Arial" w:cs="Arial"/>
                <w:sz w:val="20"/>
                <w:szCs w:val="20"/>
              </w:rPr>
              <w:t>1</w:t>
            </w:r>
          </w:p>
          <w:p w14:paraId="2186B13B" w14:textId="77777777" w:rsidR="00BA5A99" w:rsidRPr="00A6483F" w:rsidRDefault="00BA5A99" w:rsidP="007E4FCF">
            <w:pPr>
              <w:pStyle w:val="TableParagraph"/>
              <w:spacing w:line="276" w:lineRule="auto"/>
              <w:ind w:left="3"/>
              <w:jc w:val="center"/>
              <w:rPr>
                <w:rFonts w:ascii="Arial" w:hAnsi="Arial" w:cs="Arial"/>
                <w:sz w:val="24"/>
                <w:szCs w:val="24"/>
              </w:rPr>
            </w:pPr>
            <w:r w:rsidRPr="00A6483F">
              <w:rPr>
                <w:rFonts w:ascii="Arial" w:hAnsi="Arial" w:cs="Arial"/>
                <w:sz w:val="20"/>
                <w:szCs w:val="20"/>
              </w:rPr>
              <w:t>Pupa</w:t>
            </w:r>
          </w:p>
        </w:tc>
        <w:tc>
          <w:tcPr>
            <w:tcW w:w="1234" w:type="dxa"/>
          </w:tcPr>
          <w:p w14:paraId="4749F19C" w14:textId="77777777" w:rsidR="00BA5A99" w:rsidRPr="00A6483F" w:rsidRDefault="00BA5A99" w:rsidP="007E4FCF">
            <w:pPr>
              <w:pStyle w:val="TableParagraph"/>
              <w:ind w:left="263"/>
              <w:rPr>
                <w:rFonts w:ascii="Arial" w:hAnsi="Arial" w:cs="Arial"/>
                <w:sz w:val="20"/>
                <w:szCs w:val="20"/>
              </w:rPr>
            </w:pPr>
            <w:r w:rsidRPr="00A6483F">
              <w:rPr>
                <w:rFonts w:ascii="Arial" w:hAnsi="Arial" w:cs="Arial"/>
                <w:sz w:val="20"/>
                <w:szCs w:val="20"/>
              </w:rPr>
              <w:t xml:space="preserve">8 Larvae; </w:t>
            </w:r>
          </w:p>
          <w:p w14:paraId="7AC6CAF4" w14:textId="77777777" w:rsidR="00BA5A99" w:rsidRPr="00A6483F" w:rsidRDefault="00BA5A99" w:rsidP="007E4FCF">
            <w:pPr>
              <w:pStyle w:val="TableParagraph"/>
              <w:spacing w:line="276" w:lineRule="auto"/>
              <w:jc w:val="center"/>
              <w:rPr>
                <w:rFonts w:ascii="Arial" w:hAnsi="Arial" w:cs="Arial"/>
                <w:sz w:val="24"/>
                <w:szCs w:val="24"/>
              </w:rPr>
            </w:pPr>
            <w:r w:rsidRPr="00A6483F">
              <w:rPr>
                <w:rFonts w:ascii="Arial" w:hAnsi="Arial" w:cs="Arial"/>
                <w:sz w:val="20"/>
                <w:szCs w:val="20"/>
              </w:rPr>
              <w:t>2 Pupa</w:t>
            </w:r>
            <w:r w:rsidR="00F62FDE" w:rsidRPr="00A6483F">
              <w:rPr>
                <w:rFonts w:ascii="Arial" w:hAnsi="Arial" w:cs="Arial"/>
                <w:sz w:val="20"/>
                <w:szCs w:val="20"/>
              </w:rPr>
              <w:t>e</w:t>
            </w:r>
          </w:p>
        </w:tc>
        <w:tc>
          <w:tcPr>
            <w:tcW w:w="1329" w:type="dxa"/>
          </w:tcPr>
          <w:p w14:paraId="3764F850" w14:textId="77777777" w:rsidR="00BA5A99" w:rsidRPr="00A6483F" w:rsidRDefault="00BA5A99" w:rsidP="007E4FCF">
            <w:pPr>
              <w:pStyle w:val="TableParagraph"/>
              <w:ind w:left="263"/>
              <w:rPr>
                <w:rFonts w:ascii="Arial" w:hAnsi="Arial" w:cs="Arial"/>
                <w:sz w:val="20"/>
                <w:szCs w:val="20"/>
              </w:rPr>
            </w:pPr>
            <w:r w:rsidRPr="00A6483F">
              <w:rPr>
                <w:rFonts w:ascii="Arial" w:hAnsi="Arial" w:cs="Arial"/>
                <w:sz w:val="20"/>
                <w:szCs w:val="20"/>
              </w:rPr>
              <w:t xml:space="preserve">8 Larvae; </w:t>
            </w:r>
          </w:p>
          <w:p w14:paraId="3796F0B3" w14:textId="77777777" w:rsidR="00BA5A99" w:rsidRPr="00A6483F" w:rsidRDefault="00BA5A99" w:rsidP="007E4FCF">
            <w:pPr>
              <w:pStyle w:val="TableParagraph"/>
              <w:spacing w:line="276" w:lineRule="auto"/>
              <w:ind w:left="263"/>
              <w:jc w:val="center"/>
              <w:rPr>
                <w:rFonts w:ascii="Arial" w:hAnsi="Arial" w:cs="Arial"/>
                <w:sz w:val="24"/>
                <w:szCs w:val="24"/>
              </w:rPr>
            </w:pPr>
            <w:r w:rsidRPr="00A6483F">
              <w:rPr>
                <w:rFonts w:ascii="Arial" w:hAnsi="Arial" w:cs="Arial"/>
                <w:sz w:val="20"/>
                <w:szCs w:val="20"/>
              </w:rPr>
              <w:t>2 Pupa</w:t>
            </w:r>
            <w:r w:rsidR="003B0AA6" w:rsidRPr="00A6483F">
              <w:rPr>
                <w:rFonts w:ascii="Arial" w:hAnsi="Arial" w:cs="Arial"/>
                <w:sz w:val="20"/>
                <w:szCs w:val="20"/>
              </w:rPr>
              <w:t>e</w:t>
            </w:r>
          </w:p>
        </w:tc>
        <w:tc>
          <w:tcPr>
            <w:tcW w:w="1505" w:type="dxa"/>
          </w:tcPr>
          <w:p w14:paraId="349CE27D" w14:textId="77777777" w:rsidR="00BA5A99" w:rsidRPr="00A6483F" w:rsidRDefault="00BA5A99" w:rsidP="007E4FCF">
            <w:pPr>
              <w:pStyle w:val="TableParagraph"/>
              <w:spacing w:line="276" w:lineRule="auto"/>
              <w:ind w:left="3"/>
              <w:jc w:val="center"/>
              <w:rPr>
                <w:rFonts w:ascii="Arial" w:hAnsi="Arial" w:cs="Arial"/>
                <w:sz w:val="24"/>
                <w:szCs w:val="24"/>
              </w:rPr>
            </w:pPr>
            <w:r w:rsidRPr="00A6483F">
              <w:rPr>
                <w:rFonts w:ascii="Arial" w:hAnsi="Arial" w:cs="Arial"/>
                <w:sz w:val="20"/>
                <w:szCs w:val="20"/>
              </w:rPr>
              <w:t xml:space="preserve">  10</w:t>
            </w:r>
          </w:p>
        </w:tc>
        <w:tc>
          <w:tcPr>
            <w:tcW w:w="1369" w:type="dxa"/>
          </w:tcPr>
          <w:p w14:paraId="01A998A0" w14:textId="77777777" w:rsidR="00BA5A99" w:rsidRPr="00A6483F" w:rsidRDefault="00BA5A99" w:rsidP="007E4FCF">
            <w:pPr>
              <w:pStyle w:val="TableParagraph"/>
              <w:ind w:left="3"/>
              <w:rPr>
                <w:rFonts w:ascii="Arial" w:hAnsi="Arial" w:cs="Arial"/>
                <w:sz w:val="20"/>
                <w:szCs w:val="20"/>
              </w:rPr>
            </w:pPr>
            <w:r w:rsidRPr="00A6483F">
              <w:rPr>
                <w:rFonts w:ascii="Arial" w:hAnsi="Arial" w:cs="Arial"/>
                <w:sz w:val="20"/>
                <w:szCs w:val="20"/>
              </w:rPr>
              <w:t>9</w:t>
            </w:r>
            <w:r w:rsidRPr="00A6483F">
              <w:rPr>
                <w:rFonts w:ascii="Arial" w:hAnsi="Arial" w:cs="Arial"/>
                <w:spacing w:val="-3"/>
                <w:sz w:val="20"/>
                <w:szCs w:val="20"/>
              </w:rPr>
              <w:t xml:space="preserve"> </w:t>
            </w:r>
            <w:r w:rsidRPr="00A6483F">
              <w:rPr>
                <w:rFonts w:ascii="Arial" w:hAnsi="Arial" w:cs="Arial"/>
                <w:sz w:val="20"/>
                <w:szCs w:val="20"/>
              </w:rPr>
              <w:t>Larvae;1</w:t>
            </w:r>
          </w:p>
          <w:p w14:paraId="6250E2FA" w14:textId="77777777" w:rsidR="00BA5A99" w:rsidRPr="00A6483F" w:rsidRDefault="00BA5A99" w:rsidP="007E4FCF">
            <w:pPr>
              <w:pStyle w:val="TableParagraph"/>
              <w:spacing w:line="276" w:lineRule="auto"/>
              <w:ind w:left="3"/>
              <w:jc w:val="center"/>
              <w:rPr>
                <w:rFonts w:ascii="Arial" w:hAnsi="Arial" w:cs="Arial"/>
                <w:sz w:val="24"/>
                <w:szCs w:val="24"/>
              </w:rPr>
            </w:pPr>
            <w:r w:rsidRPr="00A6483F">
              <w:rPr>
                <w:rFonts w:ascii="Arial" w:hAnsi="Arial" w:cs="Arial"/>
                <w:sz w:val="20"/>
                <w:szCs w:val="20"/>
              </w:rPr>
              <w:t>Pupa</w:t>
            </w:r>
          </w:p>
        </w:tc>
      </w:tr>
      <w:tr w:rsidR="00BA5A99" w:rsidRPr="00A6483F" w14:paraId="4E1A2202" w14:textId="77777777" w:rsidTr="00544902">
        <w:trPr>
          <w:trHeight w:val="600"/>
        </w:trPr>
        <w:tc>
          <w:tcPr>
            <w:tcW w:w="1225" w:type="dxa"/>
          </w:tcPr>
          <w:p w14:paraId="7D211613" w14:textId="77777777" w:rsidR="00BA5A99" w:rsidRPr="00A6483F" w:rsidRDefault="00BA5A99" w:rsidP="007E4FCF">
            <w:pPr>
              <w:pStyle w:val="TableParagraph"/>
              <w:spacing w:line="276" w:lineRule="auto"/>
              <w:ind w:right="311"/>
              <w:jc w:val="right"/>
              <w:rPr>
                <w:rFonts w:ascii="Arial" w:hAnsi="Arial" w:cs="Arial"/>
                <w:b/>
                <w:bCs/>
                <w:sz w:val="20"/>
                <w:szCs w:val="20"/>
              </w:rPr>
            </w:pPr>
            <w:r w:rsidRPr="00A6483F">
              <w:rPr>
                <w:rFonts w:ascii="Arial" w:hAnsi="Arial" w:cs="Arial"/>
                <w:b/>
                <w:bCs/>
                <w:sz w:val="20"/>
                <w:szCs w:val="20"/>
              </w:rPr>
              <w:t>Day</w:t>
            </w:r>
            <w:r w:rsidRPr="00A6483F">
              <w:rPr>
                <w:rFonts w:ascii="Arial" w:hAnsi="Arial" w:cs="Arial"/>
                <w:b/>
                <w:bCs/>
                <w:spacing w:val="1"/>
                <w:sz w:val="20"/>
                <w:szCs w:val="20"/>
              </w:rPr>
              <w:t xml:space="preserve"> </w:t>
            </w:r>
            <w:r w:rsidRPr="00A6483F">
              <w:rPr>
                <w:rFonts w:ascii="Arial" w:hAnsi="Arial" w:cs="Arial"/>
                <w:b/>
                <w:bCs/>
                <w:sz w:val="20"/>
                <w:szCs w:val="20"/>
              </w:rPr>
              <w:t>8</w:t>
            </w:r>
          </w:p>
        </w:tc>
        <w:tc>
          <w:tcPr>
            <w:tcW w:w="1143" w:type="dxa"/>
          </w:tcPr>
          <w:p w14:paraId="7958DCB9" w14:textId="77777777" w:rsidR="00BA5A99" w:rsidRPr="00A6483F" w:rsidRDefault="00BA5A99" w:rsidP="007E4FCF">
            <w:pPr>
              <w:pStyle w:val="TableParagraph"/>
              <w:ind w:left="76"/>
              <w:jc w:val="center"/>
              <w:rPr>
                <w:rFonts w:ascii="Arial" w:hAnsi="Arial" w:cs="Arial"/>
                <w:sz w:val="20"/>
                <w:szCs w:val="20"/>
              </w:rPr>
            </w:pPr>
            <w:r w:rsidRPr="00A6483F">
              <w:rPr>
                <w:rFonts w:ascii="Arial" w:hAnsi="Arial" w:cs="Arial"/>
                <w:sz w:val="20"/>
                <w:szCs w:val="20"/>
              </w:rPr>
              <w:t>5</w:t>
            </w:r>
            <w:r w:rsidRPr="00A6483F">
              <w:rPr>
                <w:rFonts w:ascii="Arial" w:hAnsi="Arial" w:cs="Arial"/>
                <w:spacing w:val="-4"/>
                <w:sz w:val="20"/>
                <w:szCs w:val="20"/>
              </w:rPr>
              <w:t xml:space="preserve"> </w:t>
            </w:r>
            <w:r w:rsidRPr="00A6483F">
              <w:rPr>
                <w:rFonts w:ascii="Arial" w:hAnsi="Arial" w:cs="Arial"/>
                <w:sz w:val="20"/>
                <w:szCs w:val="20"/>
              </w:rPr>
              <w:t>Larvae;</w:t>
            </w:r>
          </w:p>
          <w:p w14:paraId="61188EEE" w14:textId="77777777" w:rsidR="00BA5A99" w:rsidRPr="00A6483F" w:rsidRDefault="00BA5A99" w:rsidP="007E4FCF">
            <w:pPr>
              <w:pStyle w:val="TableParagraph"/>
              <w:spacing w:line="276" w:lineRule="auto"/>
              <w:ind w:left="210"/>
              <w:jc w:val="center"/>
              <w:rPr>
                <w:rFonts w:ascii="Arial" w:hAnsi="Arial" w:cs="Arial"/>
                <w:sz w:val="24"/>
                <w:szCs w:val="24"/>
              </w:rPr>
            </w:pPr>
            <w:r w:rsidRPr="00A6483F">
              <w:rPr>
                <w:rFonts w:ascii="Arial" w:hAnsi="Arial" w:cs="Arial"/>
                <w:sz w:val="20"/>
                <w:szCs w:val="20"/>
              </w:rPr>
              <w:t>5 Pupa</w:t>
            </w:r>
            <w:r w:rsidR="00F62FDE" w:rsidRPr="00A6483F">
              <w:rPr>
                <w:rFonts w:ascii="Arial" w:hAnsi="Arial" w:cs="Arial"/>
                <w:sz w:val="20"/>
                <w:szCs w:val="20"/>
              </w:rPr>
              <w:t>e</w:t>
            </w:r>
          </w:p>
        </w:tc>
        <w:tc>
          <w:tcPr>
            <w:tcW w:w="1234" w:type="dxa"/>
          </w:tcPr>
          <w:p w14:paraId="063025B1" w14:textId="77777777" w:rsidR="00BA5A99" w:rsidRPr="00A6483F" w:rsidRDefault="00BA5A99" w:rsidP="007E4FCF">
            <w:pPr>
              <w:pStyle w:val="TableParagraph"/>
              <w:ind w:left="3"/>
              <w:rPr>
                <w:rFonts w:ascii="Arial" w:hAnsi="Arial" w:cs="Arial"/>
                <w:sz w:val="20"/>
                <w:szCs w:val="20"/>
              </w:rPr>
            </w:pPr>
            <w:r w:rsidRPr="00A6483F">
              <w:rPr>
                <w:rFonts w:ascii="Arial" w:hAnsi="Arial" w:cs="Arial"/>
                <w:sz w:val="20"/>
                <w:szCs w:val="20"/>
              </w:rPr>
              <w:t>5</w:t>
            </w:r>
            <w:r w:rsidRPr="00A6483F">
              <w:rPr>
                <w:rFonts w:ascii="Arial" w:hAnsi="Arial" w:cs="Arial"/>
                <w:spacing w:val="-3"/>
                <w:sz w:val="20"/>
                <w:szCs w:val="20"/>
              </w:rPr>
              <w:t xml:space="preserve"> </w:t>
            </w:r>
            <w:r w:rsidRPr="00A6483F">
              <w:rPr>
                <w:rFonts w:ascii="Arial" w:hAnsi="Arial" w:cs="Arial"/>
                <w:sz w:val="20"/>
                <w:szCs w:val="20"/>
              </w:rPr>
              <w:t>Larvae;</w:t>
            </w:r>
            <w:r w:rsidRPr="00A6483F">
              <w:rPr>
                <w:rFonts w:ascii="Arial" w:hAnsi="Arial" w:cs="Arial"/>
                <w:spacing w:val="-1"/>
                <w:sz w:val="20"/>
                <w:szCs w:val="20"/>
              </w:rPr>
              <w:t xml:space="preserve"> </w:t>
            </w:r>
            <w:r w:rsidRPr="00A6483F">
              <w:rPr>
                <w:rFonts w:ascii="Arial" w:hAnsi="Arial" w:cs="Arial"/>
                <w:sz w:val="20"/>
                <w:szCs w:val="20"/>
              </w:rPr>
              <w:t>5</w:t>
            </w:r>
          </w:p>
          <w:p w14:paraId="0022B9FE" w14:textId="77777777" w:rsidR="00BA5A99" w:rsidRPr="00A6483F" w:rsidRDefault="00BA5A99" w:rsidP="007E4FCF">
            <w:pPr>
              <w:pStyle w:val="TableParagraph"/>
              <w:spacing w:line="276" w:lineRule="auto"/>
              <w:ind w:left="3"/>
              <w:jc w:val="center"/>
              <w:rPr>
                <w:rFonts w:ascii="Arial" w:hAnsi="Arial" w:cs="Arial"/>
                <w:sz w:val="24"/>
                <w:szCs w:val="24"/>
              </w:rPr>
            </w:pPr>
            <w:r w:rsidRPr="00A6483F">
              <w:rPr>
                <w:rFonts w:ascii="Arial" w:hAnsi="Arial" w:cs="Arial"/>
                <w:sz w:val="20"/>
                <w:szCs w:val="20"/>
              </w:rPr>
              <w:t>Pupa</w:t>
            </w:r>
            <w:r w:rsidR="00F62FDE" w:rsidRPr="00A6483F">
              <w:rPr>
                <w:rFonts w:ascii="Arial" w:hAnsi="Arial" w:cs="Arial"/>
                <w:sz w:val="20"/>
                <w:szCs w:val="20"/>
              </w:rPr>
              <w:t>e</w:t>
            </w:r>
          </w:p>
        </w:tc>
        <w:tc>
          <w:tcPr>
            <w:tcW w:w="1234" w:type="dxa"/>
          </w:tcPr>
          <w:p w14:paraId="4F45EBB6" w14:textId="77777777" w:rsidR="00BA5A99" w:rsidRPr="00A6483F" w:rsidRDefault="00BA5A99" w:rsidP="007E4FCF">
            <w:pPr>
              <w:pStyle w:val="TableParagraph"/>
              <w:ind w:left="4"/>
              <w:rPr>
                <w:rFonts w:ascii="Arial" w:hAnsi="Arial" w:cs="Arial"/>
                <w:sz w:val="20"/>
                <w:szCs w:val="20"/>
              </w:rPr>
            </w:pPr>
            <w:r w:rsidRPr="00A6483F">
              <w:rPr>
                <w:rFonts w:ascii="Arial" w:hAnsi="Arial" w:cs="Arial"/>
                <w:sz w:val="20"/>
                <w:szCs w:val="20"/>
              </w:rPr>
              <w:t>5</w:t>
            </w:r>
            <w:r w:rsidRPr="00A6483F">
              <w:rPr>
                <w:rFonts w:ascii="Arial" w:hAnsi="Arial" w:cs="Arial"/>
                <w:spacing w:val="-3"/>
                <w:sz w:val="20"/>
                <w:szCs w:val="20"/>
              </w:rPr>
              <w:t xml:space="preserve"> </w:t>
            </w:r>
            <w:r w:rsidRPr="00A6483F">
              <w:rPr>
                <w:rFonts w:ascii="Arial" w:hAnsi="Arial" w:cs="Arial"/>
                <w:sz w:val="20"/>
                <w:szCs w:val="20"/>
              </w:rPr>
              <w:t>Larvae;</w:t>
            </w:r>
            <w:r w:rsidRPr="00A6483F">
              <w:rPr>
                <w:rFonts w:ascii="Arial" w:hAnsi="Arial" w:cs="Arial"/>
                <w:spacing w:val="-2"/>
                <w:sz w:val="20"/>
                <w:szCs w:val="20"/>
              </w:rPr>
              <w:t xml:space="preserve"> 5</w:t>
            </w:r>
          </w:p>
          <w:p w14:paraId="487085ED" w14:textId="77777777" w:rsidR="00BA5A99" w:rsidRPr="00A6483F" w:rsidRDefault="00BA5A99" w:rsidP="007E4FCF">
            <w:pPr>
              <w:pStyle w:val="TableParagraph"/>
              <w:spacing w:line="276" w:lineRule="auto"/>
              <w:ind w:left="4"/>
              <w:jc w:val="center"/>
              <w:rPr>
                <w:rFonts w:ascii="Arial" w:hAnsi="Arial" w:cs="Arial"/>
                <w:sz w:val="24"/>
                <w:szCs w:val="24"/>
              </w:rPr>
            </w:pPr>
            <w:r w:rsidRPr="00A6483F">
              <w:rPr>
                <w:rFonts w:ascii="Arial" w:hAnsi="Arial" w:cs="Arial"/>
                <w:sz w:val="20"/>
                <w:szCs w:val="20"/>
              </w:rPr>
              <w:t>Pupa</w:t>
            </w:r>
            <w:r w:rsidR="00F62FDE" w:rsidRPr="00A6483F">
              <w:rPr>
                <w:rFonts w:ascii="Arial" w:hAnsi="Arial" w:cs="Arial"/>
                <w:sz w:val="20"/>
                <w:szCs w:val="20"/>
              </w:rPr>
              <w:t>e</w:t>
            </w:r>
          </w:p>
        </w:tc>
        <w:tc>
          <w:tcPr>
            <w:tcW w:w="1329" w:type="dxa"/>
          </w:tcPr>
          <w:p w14:paraId="1FCEB109" w14:textId="77777777" w:rsidR="00BA5A99" w:rsidRPr="00A6483F" w:rsidRDefault="00BA5A99" w:rsidP="007E4FCF">
            <w:pPr>
              <w:pStyle w:val="TableParagraph"/>
              <w:ind w:left="4"/>
              <w:rPr>
                <w:rFonts w:ascii="Arial" w:hAnsi="Arial" w:cs="Arial"/>
                <w:sz w:val="20"/>
                <w:szCs w:val="20"/>
              </w:rPr>
            </w:pPr>
            <w:r w:rsidRPr="00A6483F">
              <w:rPr>
                <w:rFonts w:ascii="Arial" w:hAnsi="Arial" w:cs="Arial"/>
                <w:sz w:val="20"/>
                <w:szCs w:val="20"/>
              </w:rPr>
              <w:t>4</w:t>
            </w:r>
            <w:r w:rsidRPr="00A6483F">
              <w:rPr>
                <w:rFonts w:ascii="Arial" w:hAnsi="Arial" w:cs="Arial"/>
                <w:spacing w:val="-10"/>
                <w:sz w:val="20"/>
                <w:szCs w:val="20"/>
              </w:rPr>
              <w:t xml:space="preserve"> </w:t>
            </w:r>
            <w:r w:rsidRPr="00A6483F">
              <w:rPr>
                <w:rFonts w:ascii="Arial" w:hAnsi="Arial" w:cs="Arial"/>
                <w:sz w:val="20"/>
                <w:szCs w:val="20"/>
              </w:rPr>
              <w:t>Larvae;</w:t>
            </w:r>
            <w:r w:rsidRPr="00A6483F">
              <w:rPr>
                <w:rFonts w:ascii="Arial" w:hAnsi="Arial" w:cs="Arial"/>
                <w:spacing w:val="-9"/>
                <w:sz w:val="20"/>
                <w:szCs w:val="20"/>
              </w:rPr>
              <w:t xml:space="preserve"> </w:t>
            </w:r>
            <w:r w:rsidRPr="00A6483F">
              <w:rPr>
                <w:rFonts w:ascii="Arial" w:hAnsi="Arial" w:cs="Arial"/>
                <w:sz w:val="20"/>
                <w:szCs w:val="20"/>
              </w:rPr>
              <w:t>6</w:t>
            </w:r>
          </w:p>
          <w:p w14:paraId="576A7B3D" w14:textId="77777777" w:rsidR="00BA5A99" w:rsidRPr="00A6483F" w:rsidRDefault="00BA5A99" w:rsidP="007E4FCF">
            <w:pPr>
              <w:pStyle w:val="TableParagraph"/>
              <w:spacing w:line="276" w:lineRule="auto"/>
              <w:ind w:left="4"/>
              <w:jc w:val="center"/>
              <w:rPr>
                <w:rFonts w:ascii="Arial" w:hAnsi="Arial" w:cs="Arial"/>
                <w:sz w:val="24"/>
                <w:szCs w:val="24"/>
              </w:rPr>
            </w:pPr>
            <w:r w:rsidRPr="00A6483F">
              <w:rPr>
                <w:rFonts w:ascii="Arial" w:hAnsi="Arial" w:cs="Arial"/>
                <w:sz w:val="20"/>
                <w:szCs w:val="20"/>
              </w:rPr>
              <w:t>Pupa</w:t>
            </w:r>
            <w:r w:rsidR="00F62FDE" w:rsidRPr="00A6483F">
              <w:rPr>
                <w:rFonts w:ascii="Arial" w:hAnsi="Arial" w:cs="Arial"/>
                <w:sz w:val="20"/>
                <w:szCs w:val="20"/>
              </w:rPr>
              <w:t>e</w:t>
            </w:r>
          </w:p>
        </w:tc>
        <w:tc>
          <w:tcPr>
            <w:tcW w:w="1505" w:type="dxa"/>
          </w:tcPr>
          <w:p w14:paraId="2B06AC40" w14:textId="77777777" w:rsidR="00BA5A99" w:rsidRPr="00A6483F" w:rsidRDefault="00BA5A99" w:rsidP="007E4FCF">
            <w:pPr>
              <w:pStyle w:val="TableParagraph"/>
              <w:ind w:left="3"/>
              <w:rPr>
                <w:rFonts w:ascii="Arial" w:hAnsi="Arial" w:cs="Arial"/>
                <w:sz w:val="20"/>
                <w:szCs w:val="20"/>
              </w:rPr>
            </w:pPr>
            <w:r w:rsidRPr="00A6483F">
              <w:rPr>
                <w:rFonts w:ascii="Arial" w:hAnsi="Arial" w:cs="Arial"/>
                <w:sz w:val="20"/>
                <w:szCs w:val="20"/>
              </w:rPr>
              <w:t>9 Larvae;</w:t>
            </w:r>
            <w:r w:rsidRPr="00A6483F">
              <w:rPr>
                <w:rFonts w:ascii="Arial" w:hAnsi="Arial" w:cs="Arial"/>
                <w:spacing w:val="-1"/>
                <w:sz w:val="20"/>
                <w:szCs w:val="20"/>
              </w:rPr>
              <w:t xml:space="preserve"> </w:t>
            </w:r>
            <w:r w:rsidRPr="00A6483F">
              <w:rPr>
                <w:rFonts w:ascii="Arial" w:hAnsi="Arial" w:cs="Arial"/>
                <w:sz w:val="20"/>
                <w:szCs w:val="20"/>
              </w:rPr>
              <w:t>1</w:t>
            </w:r>
          </w:p>
          <w:p w14:paraId="3A0AEBF7" w14:textId="77777777" w:rsidR="00BA5A99" w:rsidRPr="00A6483F" w:rsidRDefault="00BA5A99" w:rsidP="007E4FCF">
            <w:pPr>
              <w:pStyle w:val="TableParagraph"/>
              <w:spacing w:line="276" w:lineRule="auto"/>
              <w:ind w:left="3"/>
              <w:jc w:val="center"/>
              <w:rPr>
                <w:rFonts w:ascii="Arial" w:hAnsi="Arial" w:cs="Arial"/>
                <w:sz w:val="24"/>
                <w:szCs w:val="24"/>
              </w:rPr>
            </w:pPr>
            <w:r w:rsidRPr="00A6483F">
              <w:rPr>
                <w:rFonts w:ascii="Arial" w:hAnsi="Arial" w:cs="Arial"/>
                <w:sz w:val="20"/>
                <w:szCs w:val="20"/>
              </w:rPr>
              <w:t>Pupa</w:t>
            </w:r>
          </w:p>
        </w:tc>
        <w:tc>
          <w:tcPr>
            <w:tcW w:w="1369" w:type="dxa"/>
          </w:tcPr>
          <w:p w14:paraId="500B3EF7" w14:textId="77777777" w:rsidR="00BA5A99" w:rsidRPr="00A6483F" w:rsidRDefault="00BA5A99" w:rsidP="007E4FCF">
            <w:pPr>
              <w:pStyle w:val="TableParagraph"/>
              <w:ind w:left="3"/>
              <w:rPr>
                <w:rFonts w:ascii="Arial" w:hAnsi="Arial" w:cs="Arial"/>
                <w:sz w:val="20"/>
                <w:szCs w:val="20"/>
              </w:rPr>
            </w:pPr>
            <w:r w:rsidRPr="00A6483F">
              <w:rPr>
                <w:rFonts w:ascii="Arial" w:hAnsi="Arial" w:cs="Arial"/>
                <w:sz w:val="20"/>
                <w:szCs w:val="20"/>
              </w:rPr>
              <w:t>4</w:t>
            </w:r>
            <w:r w:rsidRPr="00A6483F">
              <w:rPr>
                <w:rFonts w:ascii="Arial" w:hAnsi="Arial" w:cs="Arial"/>
                <w:spacing w:val="-3"/>
                <w:sz w:val="20"/>
                <w:szCs w:val="20"/>
              </w:rPr>
              <w:t xml:space="preserve"> </w:t>
            </w:r>
            <w:r w:rsidRPr="00A6483F">
              <w:rPr>
                <w:rFonts w:ascii="Arial" w:hAnsi="Arial" w:cs="Arial"/>
                <w:sz w:val="20"/>
                <w:szCs w:val="20"/>
              </w:rPr>
              <w:t>Larvae;6</w:t>
            </w:r>
          </w:p>
          <w:p w14:paraId="5A7B7A92" w14:textId="77777777" w:rsidR="00BA5A99" w:rsidRPr="00A6483F" w:rsidRDefault="00BA5A99" w:rsidP="007E4FCF">
            <w:pPr>
              <w:pStyle w:val="TableParagraph"/>
              <w:spacing w:line="276" w:lineRule="auto"/>
              <w:ind w:left="3"/>
              <w:jc w:val="center"/>
              <w:rPr>
                <w:rFonts w:ascii="Arial" w:hAnsi="Arial" w:cs="Arial"/>
                <w:sz w:val="24"/>
                <w:szCs w:val="24"/>
              </w:rPr>
            </w:pPr>
            <w:r w:rsidRPr="00A6483F">
              <w:rPr>
                <w:rFonts w:ascii="Arial" w:hAnsi="Arial" w:cs="Arial"/>
                <w:sz w:val="20"/>
                <w:szCs w:val="20"/>
              </w:rPr>
              <w:t>Pupa</w:t>
            </w:r>
            <w:r w:rsidR="00F62FDE" w:rsidRPr="00A6483F">
              <w:rPr>
                <w:rFonts w:ascii="Arial" w:hAnsi="Arial" w:cs="Arial"/>
                <w:sz w:val="20"/>
                <w:szCs w:val="20"/>
              </w:rPr>
              <w:t>e</w:t>
            </w:r>
          </w:p>
        </w:tc>
      </w:tr>
    </w:tbl>
    <w:p w14:paraId="5B9780F0" w14:textId="77777777" w:rsidR="00D77A23" w:rsidRPr="00A6483F" w:rsidRDefault="00D77A23" w:rsidP="00D77A23">
      <w:pPr>
        <w:spacing w:line="240" w:lineRule="auto"/>
        <w:jc w:val="both"/>
        <w:rPr>
          <w:rFonts w:ascii="Arial" w:hAnsi="Arial" w:cs="Arial"/>
          <w:sz w:val="20"/>
          <w:szCs w:val="20"/>
          <w:lang w:val="en-US"/>
        </w:rPr>
      </w:pPr>
      <w:r w:rsidRPr="00A6483F">
        <w:rPr>
          <w:rFonts w:ascii="Arial" w:hAnsi="Arial" w:cs="Arial"/>
          <w:sz w:val="20"/>
          <w:szCs w:val="20"/>
          <w:lang w:val="en-US"/>
        </w:rPr>
        <w:t xml:space="preserve">Values represent the number of surviving larvae and pupae observed on each day of the experiment. Negative control: EA (Ethyl acetate solvent); Control: Standard culture medium without extract or solvent. </w:t>
      </w:r>
    </w:p>
    <w:p w14:paraId="5E3A6BB3" w14:textId="77777777" w:rsidR="00D77A23" w:rsidRPr="00A6483F" w:rsidRDefault="00D77A23" w:rsidP="00D77A23">
      <w:pPr>
        <w:spacing w:line="240" w:lineRule="auto"/>
        <w:jc w:val="center"/>
        <w:rPr>
          <w:rFonts w:ascii="Arial" w:hAnsi="Arial" w:cs="Arial"/>
          <w:b/>
          <w:bCs/>
          <w:sz w:val="20"/>
          <w:szCs w:val="20"/>
          <w:lang w:val="en-US"/>
        </w:rPr>
      </w:pPr>
      <w:r w:rsidRPr="00A6483F">
        <w:rPr>
          <w:rFonts w:ascii="Arial" w:hAnsi="Arial" w:cs="Arial"/>
          <w:b/>
          <w:bCs/>
          <w:noProof/>
          <w:sz w:val="20"/>
          <w:szCs w:val="20"/>
        </w:rPr>
        <w:lastRenderedPageBreak/>
        <w:drawing>
          <wp:inline distT="0" distB="0" distL="0" distR="0" wp14:anchorId="5CB313FC" wp14:editId="5D1285CF">
            <wp:extent cx="4648200" cy="3223260"/>
            <wp:effectExtent l="0" t="0" r="0" b="0"/>
            <wp:docPr id="831044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0" cy="3223260"/>
                    </a:xfrm>
                    <a:prstGeom prst="rect">
                      <a:avLst/>
                    </a:prstGeom>
                    <a:noFill/>
                    <a:ln>
                      <a:noFill/>
                    </a:ln>
                  </pic:spPr>
                </pic:pic>
              </a:graphicData>
            </a:graphic>
          </wp:inline>
        </w:drawing>
      </w:r>
    </w:p>
    <w:p w14:paraId="02429D2E" w14:textId="77777777" w:rsidR="00D77A23" w:rsidRPr="00A6483F" w:rsidRDefault="00D77A23" w:rsidP="00D77A23">
      <w:pPr>
        <w:spacing w:line="240" w:lineRule="auto"/>
        <w:rPr>
          <w:rFonts w:ascii="Arial" w:hAnsi="Arial" w:cs="Arial"/>
          <w:b/>
          <w:bCs/>
          <w:sz w:val="20"/>
          <w:szCs w:val="20"/>
          <w:lang w:val="en-US"/>
        </w:rPr>
      </w:pPr>
      <w:r w:rsidRPr="00A6483F">
        <w:rPr>
          <w:rFonts w:ascii="Arial" w:hAnsi="Arial" w:cs="Arial"/>
          <w:b/>
          <w:bCs/>
          <w:sz w:val="20"/>
          <w:szCs w:val="20"/>
          <w:lang w:val="en-US"/>
        </w:rPr>
        <w:t xml:space="preserve">Fig. 3. Developmental stages of </w:t>
      </w:r>
      <w:r w:rsidRPr="00A6483F">
        <w:rPr>
          <w:rFonts w:ascii="Arial" w:hAnsi="Arial" w:cs="Arial"/>
          <w:b/>
          <w:bCs/>
          <w:i/>
          <w:iCs/>
          <w:sz w:val="20"/>
          <w:szCs w:val="20"/>
          <w:lang w:val="en-US"/>
        </w:rPr>
        <w:t>Drosophila melanogaster</w:t>
      </w:r>
      <w:r w:rsidRPr="00A6483F">
        <w:rPr>
          <w:rFonts w:ascii="Arial" w:hAnsi="Arial" w:cs="Arial"/>
          <w:b/>
          <w:bCs/>
          <w:sz w:val="20"/>
          <w:szCs w:val="20"/>
          <w:lang w:val="en-US"/>
        </w:rPr>
        <w:t xml:space="preserve">. (a) Larval stage, (b) Pupal stage, (c) Adult stage. </w:t>
      </w:r>
    </w:p>
    <w:p w14:paraId="50949772" w14:textId="77777777" w:rsidR="00D77A23" w:rsidRPr="00A6483F" w:rsidRDefault="00D77A23" w:rsidP="00D77A23">
      <w:pPr>
        <w:spacing w:line="240" w:lineRule="auto"/>
        <w:jc w:val="both"/>
        <w:rPr>
          <w:rFonts w:ascii="Arial" w:hAnsi="Arial" w:cs="Arial"/>
          <w:sz w:val="20"/>
          <w:szCs w:val="20"/>
          <w:lang w:val="en-US"/>
        </w:rPr>
      </w:pPr>
    </w:p>
    <w:p w14:paraId="6F82D0EC" w14:textId="77777777" w:rsidR="00932AED" w:rsidRPr="00A6483F" w:rsidRDefault="008D28AD"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3.3 </w:t>
      </w:r>
      <w:proofErr w:type="spellStart"/>
      <w:r w:rsidR="00451B73" w:rsidRPr="00A6483F">
        <w:rPr>
          <w:rFonts w:ascii="Arial" w:hAnsi="Arial" w:cs="Arial"/>
          <w:b/>
          <w:bCs/>
          <w:sz w:val="20"/>
          <w:szCs w:val="20"/>
          <w:lang w:val="en-US"/>
        </w:rPr>
        <w:t>Behavioural</w:t>
      </w:r>
      <w:proofErr w:type="spellEnd"/>
      <w:r w:rsidR="00451B73" w:rsidRPr="00A6483F">
        <w:rPr>
          <w:rFonts w:ascii="Arial" w:hAnsi="Arial" w:cs="Arial"/>
          <w:b/>
          <w:bCs/>
          <w:sz w:val="20"/>
          <w:szCs w:val="20"/>
          <w:lang w:val="en-US"/>
        </w:rPr>
        <w:t xml:space="preserve"> assay</w:t>
      </w:r>
    </w:p>
    <w:p w14:paraId="0895DCC8" w14:textId="77777777" w:rsidR="005E3E17" w:rsidRPr="00A6483F" w:rsidRDefault="008D28AD"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3.3.1 </w:t>
      </w:r>
      <w:r w:rsidR="00451B73" w:rsidRPr="00A6483F">
        <w:rPr>
          <w:rFonts w:ascii="Arial" w:hAnsi="Arial" w:cs="Arial"/>
          <w:b/>
          <w:bCs/>
          <w:sz w:val="20"/>
          <w:szCs w:val="20"/>
          <w:lang w:val="en-US"/>
        </w:rPr>
        <w:t>Crawling assay</w:t>
      </w:r>
    </w:p>
    <w:p w14:paraId="78439F9F" w14:textId="77777777" w:rsidR="00D77A23" w:rsidRPr="00A6483F" w:rsidRDefault="005E3E17" w:rsidP="00057006">
      <w:pPr>
        <w:spacing w:line="240" w:lineRule="auto"/>
        <w:jc w:val="both"/>
        <w:rPr>
          <w:rFonts w:ascii="Arial" w:hAnsi="Arial" w:cs="Arial"/>
          <w:sz w:val="20"/>
          <w:szCs w:val="20"/>
          <w:lang w:val="en-US"/>
        </w:rPr>
      </w:pPr>
      <w:r w:rsidRPr="00A6483F">
        <w:rPr>
          <w:rFonts w:ascii="Arial" w:hAnsi="Arial" w:cs="Arial"/>
          <w:sz w:val="20"/>
          <w:szCs w:val="20"/>
          <w:lang w:val="en-US"/>
        </w:rPr>
        <w:t xml:space="preserve">In the present study, </w:t>
      </w:r>
      <w:r w:rsidRPr="00A6483F">
        <w:rPr>
          <w:rFonts w:ascii="Arial" w:hAnsi="Arial" w:cs="Arial"/>
          <w:i/>
          <w:sz w:val="20"/>
          <w:szCs w:val="20"/>
          <w:lang w:val="en-US"/>
        </w:rPr>
        <w:t>D. melanogaster</w:t>
      </w:r>
      <w:r w:rsidRPr="00A6483F">
        <w:rPr>
          <w:rFonts w:ascii="Arial" w:hAnsi="Arial" w:cs="Arial"/>
          <w:sz w:val="20"/>
          <w:szCs w:val="20"/>
          <w:lang w:val="en-US"/>
        </w:rPr>
        <w:t xml:space="preserve"> larvae were reared on culture media supplemented with different concentrations of </w:t>
      </w:r>
      <w:r w:rsidRPr="00A6483F">
        <w:rPr>
          <w:rFonts w:ascii="Arial" w:hAnsi="Arial" w:cs="Arial"/>
          <w:i/>
          <w:sz w:val="20"/>
          <w:szCs w:val="20"/>
          <w:lang w:val="en-US"/>
        </w:rPr>
        <w:t>I. frutescens</w:t>
      </w:r>
      <w:r w:rsidRPr="00A6483F">
        <w:rPr>
          <w:rFonts w:ascii="Arial" w:hAnsi="Arial" w:cs="Arial"/>
          <w:sz w:val="20"/>
          <w:szCs w:val="20"/>
          <w:lang w:val="en-US"/>
        </w:rPr>
        <w:t xml:space="preserve"> root extract. The crawling activity of the larvae was assessed after treatment, and the results are presented in Table 4. Crawling activity increased progressively with time in all treatment groups. Among the tested concentrations, the 2.0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extract treatment exhibited the highest crawling performance throughout the observation period (Fig. 4a). At 5 min, larvae treated with 2.0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showed a crawling distance of 1.2 ±0.30 cm, which increased to 2.3 ±0.17 cm at 10 min and reached 4.3± 0.41 cm at 15 min. This was markedly higher than the untreated control, which recorded 0.8 ± 0.25cm, 1.4 ±0.26 cm and 2.6 ±0.10 cm at the corresponding time intervals. The increase in crawling activity indicates improved larval locomotion following treatment with the extract. Overall, the results indicate that treatment with 2.0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of </w:t>
      </w:r>
      <w:r w:rsidRPr="00A6483F">
        <w:rPr>
          <w:rFonts w:ascii="Arial" w:hAnsi="Arial" w:cs="Arial"/>
          <w:i/>
          <w:sz w:val="20"/>
          <w:szCs w:val="20"/>
          <w:lang w:val="en-US"/>
        </w:rPr>
        <w:t>I. frutescens</w:t>
      </w:r>
      <w:r w:rsidRPr="00A6483F">
        <w:rPr>
          <w:rFonts w:ascii="Arial" w:hAnsi="Arial" w:cs="Arial"/>
          <w:sz w:val="20"/>
          <w:szCs w:val="20"/>
          <w:lang w:val="en-US"/>
        </w:rPr>
        <w:t xml:space="preserve"> root EA extract significantly enhanced larval crawling performance compared with the control and solvent-control groups, suggesting a positive effect of the extract on larval locomotor activity. This improvement in locomotor behaviour is likely associated with the antioxidant flavonoids identified in the root extract, particularly rutin, kaempferol and quercetin. These compounds have been reported to reduce oxidative damage in neuronal tissues, preserve mitochondrial function and improve cellular energy metabolism, thereby supporting normal neuromuscular activity (Debnath et al., 2025; Shadman et al., 2025).</w:t>
      </w:r>
    </w:p>
    <w:p w14:paraId="554F9517" w14:textId="77777777" w:rsidR="00D77A23" w:rsidRPr="00A6483F" w:rsidRDefault="00D77A23" w:rsidP="00D77A23">
      <w:pPr>
        <w:spacing w:line="240" w:lineRule="auto"/>
        <w:jc w:val="both"/>
        <w:rPr>
          <w:rFonts w:ascii="Arial" w:hAnsi="Arial" w:cs="Arial"/>
          <w:sz w:val="20"/>
          <w:szCs w:val="20"/>
          <w:lang w:val="en-US"/>
        </w:rPr>
      </w:pPr>
      <w:r w:rsidRPr="00A6483F">
        <w:rPr>
          <w:rFonts w:ascii="Arial" w:hAnsi="Arial" w:cs="Arial"/>
          <w:b/>
          <w:bCs/>
          <w:sz w:val="20"/>
          <w:szCs w:val="20"/>
          <w:lang w:val="en-US"/>
        </w:rPr>
        <w:t>Table 4: Crawling performance of</w:t>
      </w:r>
      <w:r w:rsidRPr="00A6483F">
        <w:rPr>
          <w:rFonts w:ascii="Arial" w:hAnsi="Arial" w:cs="Arial"/>
          <w:sz w:val="20"/>
          <w:szCs w:val="20"/>
          <w:lang w:val="en-US"/>
        </w:rPr>
        <w:t xml:space="preserve"> </w:t>
      </w:r>
      <w:r w:rsidRPr="00A6483F">
        <w:rPr>
          <w:rFonts w:ascii="Arial" w:hAnsi="Arial" w:cs="Arial"/>
          <w:b/>
          <w:bCs/>
          <w:i/>
          <w:iCs/>
          <w:sz w:val="20"/>
          <w:szCs w:val="20"/>
          <w:lang w:val="en-US"/>
        </w:rPr>
        <w:t>Drosophila melanogaster</w:t>
      </w:r>
      <w:r w:rsidRPr="00A6483F">
        <w:rPr>
          <w:rFonts w:ascii="Arial" w:hAnsi="Arial" w:cs="Arial"/>
          <w:b/>
          <w:bCs/>
          <w:sz w:val="20"/>
          <w:szCs w:val="20"/>
          <w:lang w:val="en-US"/>
        </w:rPr>
        <w:t xml:space="preserve"> larvae treated with EA root extract of </w:t>
      </w:r>
      <w:proofErr w:type="spellStart"/>
      <w:r w:rsidRPr="00A6483F">
        <w:rPr>
          <w:rFonts w:ascii="Arial" w:hAnsi="Arial" w:cs="Arial"/>
          <w:b/>
          <w:bCs/>
          <w:i/>
          <w:iCs/>
          <w:sz w:val="20"/>
          <w:szCs w:val="20"/>
          <w:lang w:val="en-US"/>
        </w:rPr>
        <w:t>Ichnocarpus</w:t>
      </w:r>
      <w:proofErr w:type="spellEnd"/>
      <w:r w:rsidRPr="00A6483F">
        <w:rPr>
          <w:rFonts w:ascii="Arial" w:hAnsi="Arial" w:cs="Arial"/>
          <w:b/>
          <w:bCs/>
          <w:i/>
          <w:iCs/>
          <w:sz w:val="20"/>
          <w:szCs w:val="20"/>
          <w:lang w:val="en-US"/>
        </w:rPr>
        <w:t xml:space="preserve"> frutescens</w:t>
      </w:r>
    </w:p>
    <w:tbl>
      <w:tblPr>
        <w:tblW w:w="98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1"/>
        <w:gridCol w:w="1325"/>
        <w:gridCol w:w="1498"/>
        <w:gridCol w:w="1325"/>
        <w:gridCol w:w="1498"/>
        <w:gridCol w:w="1181"/>
        <w:gridCol w:w="1186"/>
      </w:tblGrid>
      <w:tr w:rsidR="00D77A23" w:rsidRPr="00A6483F" w14:paraId="3A5A2523" w14:textId="77777777" w:rsidTr="00591FDA">
        <w:trPr>
          <w:trHeight w:val="476"/>
          <w:jc w:val="center"/>
        </w:trPr>
        <w:tc>
          <w:tcPr>
            <w:tcW w:w="1791" w:type="dxa"/>
            <w:vMerge w:val="restart"/>
            <w:vAlign w:val="center"/>
          </w:tcPr>
          <w:p w14:paraId="691776C8" w14:textId="77777777" w:rsidR="00D77A23" w:rsidRPr="00A6483F" w:rsidRDefault="00D77A23" w:rsidP="00591FDA">
            <w:pPr>
              <w:pStyle w:val="TableParagraph"/>
              <w:ind w:left="88" w:right="78"/>
              <w:jc w:val="center"/>
              <w:rPr>
                <w:rFonts w:ascii="Arial" w:hAnsi="Arial" w:cs="Arial"/>
                <w:b/>
                <w:sz w:val="20"/>
                <w:szCs w:val="20"/>
              </w:rPr>
            </w:pPr>
            <w:r w:rsidRPr="00A6483F">
              <w:rPr>
                <w:rFonts w:ascii="Arial" w:hAnsi="Arial" w:cs="Arial"/>
                <w:b/>
                <w:sz w:val="20"/>
                <w:szCs w:val="20"/>
              </w:rPr>
              <w:t>Time</w:t>
            </w:r>
            <w:r w:rsidRPr="00A6483F">
              <w:rPr>
                <w:rFonts w:ascii="Arial" w:hAnsi="Arial" w:cs="Arial"/>
                <w:b/>
                <w:spacing w:val="1"/>
                <w:sz w:val="20"/>
                <w:szCs w:val="20"/>
              </w:rPr>
              <w:t xml:space="preserve"> </w:t>
            </w:r>
            <w:r w:rsidRPr="00A6483F">
              <w:rPr>
                <w:rFonts w:ascii="Arial" w:hAnsi="Arial" w:cs="Arial"/>
                <w:b/>
                <w:spacing w:val="-1"/>
                <w:sz w:val="20"/>
                <w:szCs w:val="20"/>
              </w:rPr>
              <w:t>(cm/minutes)</w:t>
            </w:r>
          </w:p>
        </w:tc>
        <w:tc>
          <w:tcPr>
            <w:tcW w:w="8013" w:type="dxa"/>
            <w:gridSpan w:val="6"/>
            <w:vAlign w:val="center"/>
          </w:tcPr>
          <w:p w14:paraId="4434D848" w14:textId="77777777" w:rsidR="00D77A23" w:rsidRPr="00A6483F" w:rsidRDefault="00D77A23" w:rsidP="006F5D3B">
            <w:pPr>
              <w:pStyle w:val="TableParagraph"/>
              <w:ind w:left="188"/>
              <w:jc w:val="center"/>
              <w:rPr>
                <w:rFonts w:ascii="Arial" w:hAnsi="Arial" w:cs="Arial"/>
                <w:b/>
                <w:sz w:val="20"/>
                <w:szCs w:val="20"/>
              </w:rPr>
            </w:pPr>
            <w:r w:rsidRPr="00A6483F">
              <w:rPr>
                <w:rFonts w:ascii="Arial" w:hAnsi="Arial" w:cs="Arial"/>
                <w:b/>
                <w:sz w:val="20"/>
                <w:szCs w:val="20"/>
              </w:rPr>
              <w:t>Concentrations</w:t>
            </w:r>
          </w:p>
        </w:tc>
      </w:tr>
      <w:tr w:rsidR="00D77A23" w:rsidRPr="00A6483F" w14:paraId="648E5B68" w14:textId="77777777" w:rsidTr="00591FDA">
        <w:trPr>
          <w:trHeight w:val="539"/>
          <w:jc w:val="center"/>
        </w:trPr>
        <w:tc>
          <w:tcPr>
            <w:tcW w:w="1791" w:type="dxa"/>
            <w:vMerge/>
            <w:vAlign w:val="center"/>
          </w:tcPr>
          <w:p w14:paraId="2F4F8788" w14:textId="77777777" w:rsidR="00D77A23" w:rsidRPr="00A6483F" w:rsidRDefault="00D77A23" w:rsidP="00591FDA">
            <w:pPr>
              <w:pStyle w:val="TableParagraph"/>
              <w:ind w:left="88" w:right="78"/>
              <w:jc w:val="center"/>
              <w:rPr>
                <w:rFonts w:ascii="Arial" w:hAnsi="Arial" w:cs="Arial"/>
                <w:b/>
                <w:sz w:val="20"/>
                <w:szCs w:val="20"/>
              </w:rPr>
            </w:pPr>
          </w:p>
        </w:tc>
        <w:tc>
          <w:tcPr>
            <w:tcW w:w="1325" w:type="dxa"/>
            <w:vAlign w:val="center"/>
          </w:tcPr>
          <w:p w14:paraId="190F41C1" w14:textId="77777777" w:rsidR="00D77A23" w:rsidRPr="00A6483F" w:rsidRDefault="00D77A23" w:rsidP="006F5D3B">
            <w:pPr>
              <w:pStyle w:val="TableParagraph"/>
              <w:jc w:val="center"/>
              <w:rPr>
                <w:rFonts w:ascii="Arial" w:hAnsi="Arial" w:cs="Arial"/>
                <w:b/>
                <w:sz w:val="20"/>
                <w:szCs w:val="20"/>
              </w:rPr>
            </w:pPr>
            <w:r w:rsidRPr="00A6483F">
              <w:rPr>
                <w:rFonts w:ascii="Arial" w:hAnsi="Arial" w:cs="Arial"/>
                <w:b/>
                <w:sz w:val="20"/>
                <w:szCs w:val="20"/>
              </w:rPr>
              <w:t>1(mg/mL)</w:t>
            </w:r>
          </w:p>
        </w:tc>
        <w:tc>
          <w:tcPr>
            <w:tcW w:w="1498" w:type="dxa"/>
            <w:vAlign w:val="center"/>
          </w:tcPr>
          <w:p w14:paraId="795A3851" w14:textId="77777777" w:rsidR="00D77A23" w:rsidRPr="00A6483F" w:rsidRDefault="00D77A23" w:rsidP="006F5D3B">
            <w:pPr>
              <w:pStyle w:val="TableParagraph"/>
              <w:jc w:val="center"/>
              <w:rPr>
                <w:rFonts w:ascii="Arial" w:hAnsi="Arial" w:cs="Arial"/>
                <w:b/>
                <w:sz w:val="20"/>
                <w:szCs w:val="20"/>
              </w:rPr>
            </w:pPr>
            <w:r w:rsidRPr="00A6483F">
              <w:rPr>
                <w:rFonts w:ascii="Arial" w:hAnsi="Arial" w:cs="Arial"/>
                <w:b/>
                <w:sz w:val="20"/>
                <w:szCs w:val="20"/>
              </w:rPr>
              <w:t>1.5(mg mL</w:t>
            </w:r>
            <w:r w:rsidRPr="00A6483F">
              <w:rPr>
                <w:rFonts w:ascii="Arial" w:hAnsi="Arial" w:cs="Arial"/>
                <w:color w:val="000000" w:themeColor="text1"/>
                <w:sz w:val="20"/>
                <w:szCs w:val="20"/>
                <w:vertAlign w:val="superscript"/>
              </w:rPr>
              <w:t>-1</w:t>
            </w:r>
            <w:r w:rsidRPr="00A6483F">
              <w:rPr>
                <w:rFonts w:ascii="Arial" w:hAnsi="Arial" w:cs="Arial"/>
                <w:b/>
                <w:sz w:val="20"/>
                <w:szCs w:val="20"/>
              </w:rPr>
              <w:t>)</w:t>
            </w:r>
          </w:p>
        </w:tc>
        <w:tc>
          <w:tcPr>
            <w:tcW w:w="1325" w:type="dxa"/>
            <w:vAlign w:val="center"/>
          </w:tcPr>
          <w:p w14:paraId="152F65E7" w14:textId="77777777" w:rsidR="00D77A23" w:rsidRPr="00A6483F" w:rsidRDefault="00D77A23" w:rsidP="006F5D3B">
            <w:pPr>
              <w:pStyle w:val="TableParagraph"/>
              <w:jc w:val="center"/>
              <w:rPr>
                <w:rFonts w:ascii="Arial" w:hAnsi="Arial" w:cs="Arial"/>
                <w:b/>
                <w:sz w:val="20"/>
                <w:szCs w:val="20"/>
              </w:rPr>
            </w:pPr>
            <w:r w:rsidRPr="00A6483F">
              <w:rPr>
                <w:rFonts w:ascii="Arial" w:hAnsi="Arial" w:cs="Arial"/>
                <w:b/>
                <w:sz w:val="20"/>
                <w:szCs w:val="20"/>
              </w:rPr>
              <w:t>2(mg mL</w:t>
            </w:r>
            <w:r w:rsidRPr="00A6483F">
              <w:rPr>
                <w:rFonts w:ascii="Arial" w:hAnsi="Arial" w:cs="Arial"/>
                <w:color w:val="000000" w:themeColor="text1"/>
                <w:sz w:val="20"/>
                <w:szCs w:val="20"/>
                <w:vertAlign w:val="superscript"/>
              </w:rPr>
              <w:t>-1</w:t>
            </w:r>
            <w:r w:rsidRPr="00A6483F">
              <w:rPr>
                <w:rFonts w:ascii="Arial" w:hAnsi="Arial" w:cs="Arial"/>
                <w:b/>
                <w:sz w:val="20"/>
                <w:szCs w:val="20"/>
              </w:rPr>
              <w:t>)</w:t>
            </w:r>
          </w:p>
        </w:tc>
        <w:tc>
          <w:tcPr>
            <w:tcW w:w="1498" w:type="dxa"/>
            <w:vAlign w:val="center"/>
          </w:tcPr>
          <w:p w14:paraId="566506BD" w14:textId="77777777" w:rsidR="00D77A23" w:rsidRPr="00A6483F" w:rsidRDefault="00D77A23" w:rsidP="006F5D3B">
            <w:pPr>
              <w:pStyle w:val="TableParagraph"/>
              <w:jc w:val="center"/>
              <w:rPr>
                <w:rFonts w:ascii="Arial" w:hAnsi="Arial" w:cs="Arial"/>
                <w:b/>
                <w:sz w:val="20"/>
                <w:szCs w:val="20"/>
              </w:rPr>
            </w:pPr>
            <w:r w:rsidRPr="00A6483F">
              <w:rPr>
                <w:rFonts w:ascii="Arial" w:hAnsi="Arial" w:cs="Arial"/>
                <w:b/>
                <w:sz w:val="20"/>
                <w:szCs w:val="20"/>
              </w:rPr>
              <w:t>2.5(mg mL</w:t>
            </w:r>
            <w:r w:rsidRPr="00A6483F">
              <w:rPr>
                <w:rFonts w:ascii="Arial" w:hAnsi="Arial" w:cs="Arial"/>
                <w:color w:val="000000" w:themeColor="text1"/>
                <w:sz w:val="20"/>
                <w:szCs w:val="20"/>
                <w:vertAlign w:val="superscript"/>
              </w:rPr>
              <w:t>-1</w:t>
            </w:r>
            <w:r w:rsidRPr="00A6483F">
              <w:rPr>
                <w:rFonts w:ascii="Arial" w:hAnsi="Arial" w:cs="Arial"/>
                <w:b/>
                <w:sz w:val="20"/>
                <w:szCs w:val="20"/>
              </w:rPr>
              <w:t>)</w:t>
            </w:r>
          </w:p>
        </w:tc>
        <w:tc>
          <w:tcPr>
            <w:tcW w:w="1181" w:type="dxa"/>
            <w:vAlign w:val="center"/>
          </w:tcPr>
          <w:p w14:paraId="7CC066DC" w14:textId="77777777" w:rsidR="00D77A23" w:rsidRPr="00A6483F" w:rsidRDefault="00D77A23" w:rsidP="006F5D3B">
            <w:pPr>
              <w:pStyle w:val="TableParagraph"/>
              <w:ind w:right="185"/>
              <w:jc w:val="center"/>
              <w:rPr>
                <w:rFonts w:ascii="Arial" w:hAnsi="Arial" w:cs="Arial"/>
                <w:b/>
                <w:sz w:val="20"/>
                <w:szCs w:val="20"/>
              </w:rPr>
            </w:pPr>
            <w:r w:rsidRPr="00A6483F">
              <w:rPr>
                <w:rFonts w:ascii="Arial" w:hAnsi="Arial" w:cs="Arial"/>
                <w:b/>
                <w:sz w:val="20"/>
                <w:szCs w:val="20"/>
              </w:rPr>
              <w:t>EA</w:t>
            </w:r>
            <w:r w:rsidRPr="00A6483F">
              <w:rPr>
                <w:rFonts w:ascii="Arial" w:hAnsi="Arial" w:cs="Arial"/>
                <w:b/>
                <w:spacing w:val="1"/>
                <w:sz w:val="20"/>
                <w:szCs w:val="20"/>
              </w:rPr>
              <w:t xml:space="preserve"> </w:t>
            </w:r>
            <w:r w:rsidRPr="00A6483F">
              <w:rPr>
                <w:rFonts w:ascii="Arial" w:hAnsi="Arial" w:cs="Arial"/>
                <w:b/>
                <w:spacing w:val="-1"/>
                <w:sz w:val="20"/>
                <w:szCs w:val="20"/>
              </w:rPr>
              <w:t>(100%)</w:t>
            </w:r>
          </w:p>
        </w:tc>
        <w:tc>
          <w:tcPr>
            <w:tcW w:w="1186" w:type="dxa"/>
            <w:vAlign w:val="center"/>
          </w:tcPr>
          <w:p w14:paraId="7C36FCD4" w14:textId="77777777" w:rsidR="00D77A23" w:rsidRPr="00A6483F" w:rsidRDefault="00D77A23" w:rsidP="006F5D3B">
            <w:pPr>
              <w:pStyle w:val="TableParagraph"/>
              <w:jc w:val="center"/>
              <w:rPr>
                <w:rFonts w:ascii="Arial" w:hAnsi="Arial" w:cs="Arial"/>
                <w:b/>
                <w:sz w:val="20"/>
                <w:szCs w:val="20"/>
              </w:rPr>
            </w:pPr>
            <w:r w:rsidRPr="00A6483F">
              <w:rPr>
                <w:rFonts w:ascii="Arial" w:hAnsi="Arial" w:cs="Arial"/>
                <w:b/>
                <w:sz w:val="20"/>
                <w:szCs w:val="20"/>
              </w:rPr>
              <w:t>Control</w:t>
            </w:r>
          </w:p>
        </w:tc>
      </w:tr>
      <w:tr w:rsidR="00D77A23" w:rsidRPr="00A6483F" w14:paraId="00F4DA13" w14:textId="77777777" w:rsidTr="00591FDA">
        <w:trPr>
          <w:trHeight w:val="518"/>
          <w:jc w:val="center"/>
        </w:trPr>
        <w:tc>
          <w:tcPr>
            <w:tcW w:w="1791" w:type="dxa"/>
            <w:vAlign w:val="center"/>
          </w:tcPr>
          <w:p w14:paraId="44559181" w14:textId="77777777" w:rsidR="00D77A23" w:rsidRPr="00A6483F" w:rsidRDefault="00D77A23" w:rsidP="00591FDA">
            <w:pPr>
              <w:pStyle w:val="TableParagraph"/>
              <w:ind w:left="10"/>
              <w:jc w:val="center"/>
              <w:rPr>
                <w:rFonts w:ascii="Arial" w:hAnsi="Arial" w:cs="Arial"/>
                <w:sz w:val="20"/>
                <w:szCs w:val="20"/>
              </w:rPr>
            </w:pPr>
            <w:r w:rsidRPr="00A6483F">
              <w:rPr>
                <w:rFonts w:ascii="Arial" w:hAnsi="Arial" w:cs="Arial"/>
                <w:sz w:val="20"/>
                <w:szCs w:val="20"/>
              </w:rPr>
              <w:t>5</w:t>
            </w:r>
          </w:p>
        </w:tc>
        <w:tc>
          <w:tcPr>
            <w:tcW w:w="1325" w:type="dxa"/>
            <w:vAlign w:val="center"/>
          </w:tcPr>
          <w:p w14:paraId="21BBCAD8"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0.6±0.05</w:t>
            </w:r>
          </w:p>
        </w:tc>
        <w:tc>
          <w:tcPr>
            <w:tcW w:w="1498" w:type="dxa"/>
            <w:vAlign w:val="center"/>
          </w:tcPr>
          <w:p w14:paraId="3C619729"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0.8±0.35</w:t>
            </w:r>
          </w:p>
        </w:tc>
        <w:tc>
          <w:tcPr>
            <w:tcW w:w="1325" w:type="dxa"/>
            <w:vAlign w:val="center"/>
          </w:tcPr>
          <w:p w14:paraId="06F0DFCE"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1.2±0.30</w:t>
            </w:r>
          </w:p>
        </w:tc>
        <w:tc>
          <w:tcPr>
            <w:tcW w:w="1498" w:type="dxa"/>
            <w:vAlign w:val="center"/>
          </w:tcPr>
          <w:p w14:paraId="61C6A87E" w14:textId="77777777" w:rsidR="00D77A23" w:rsidRPr="00A6483F" w:rsidRDefault="00D77A23" w:rsidP="00687FFC">
            <w:pPr>
              <w:pStyle w:val="TableParagraph"/>
              <w:ind w:left="106"/>
              <w:jc w:val="center"/>
              <w:rPr>
                <w:rFonts w:ascii="Arial" w:hAnsi="Arial" w:cs="Arial"/>
                <w:sz w:val="20"/>
                <w:szCs w:val="20"/>
              </w:rPr>
            </w:pPr>
            <w:r w:rsidRPr="00A6483F">
              <w:rPr>
                <w:rFonts w:ascii="Arial" w:hAnsi="Arial" w:cs="Arial"/>
                <w:sz w:val="20"/>
                <w:szCs w:val="20"/>
              </w:rPr>
              <w:t>0.6±0.15</w:t>
            </w:r>
          </w:p>
        </w:tc>
        <w:tc>
          <w:tcPr>
            <w:tcW w:w="1181" w:type="dxa"/>
            <w:vAlign w:val="center"/>
          </w:tcPr>
          <w:p w14:paraId="1D3ACEA1" w14:textId="77777777" w:rsidR="00D77A23" w:rsidRPr="00A6483F" w:rsidRDefault="00D77A23" w:rsidP="00687FFC">
            <w:pPr>
              <w:pStyle w:val="TableParagraph"/>
              <w:ind w:left="111"/>
              <w:jc w:val="center"/>
              <w:rPr>
                <w:rFonts w:ascii="Arial" w:hAnsi="Arial" w:cs="Arial"/>
                <w:sz w:val="20"/>
                <w:szCs w:val="20"/>
              </w:rPr>
            </w:pPr>
            <w:r w:rsidRPr="00A6483F">
              <w:rPr>
                <w:rFonts w:ascii="Arial" w:hAnsi="Arial" w:cs="Arial"/>
                <w:sz w:val="20"/>
                <w:szCs w:val="20"/>
              </w:rPr>
              <w:t>0.3±0.57</w:t>
            </w:r>
          </w:p>
        </w:tc>
        <w:tc>
          <w:tcPr>
            <w:tcW w:w="1186" w:type="dxa"/>
            <w:vAlign w:val="center"/>
          </w:tcPr>
          <w:p w14:paraId="7415BCB1" w14:textId="77777777" w:rsidR="00D77A23" w:rsidRPr="00A6483F" w:rsidRDefault="00D77A23" w:rsidP="00687FFC">
            <w:pPr>
              <w:pStyle w:val="TableParagraph"/>
              <w:ind w:left="106"/>
              <w:jc w:val="center"/>
              <w:rPr>
                <w:rFonts w:ascii="Arial" w:hAnsi="Arial" w:cs="Arial"/>
                <w:sz w:val="20"/>
                <w:szCs w:val="20"/>
              </w:rPr>
            </w:pPr>
            <w:r w:rsidRPr="00A6483F">
              <w:rPr>
                <w:rFonts w:ascii="Arial" w:hAnsi="Arial" w:cs="Arial"/>
                <w:sz w:val="20"/>
                <w:szCs w:val="20"/>
              </w:rPr>
              <w:t>0.8±0.25</w:t>
            </w:r>
          </w:p>
        </w:tc>
      </w:tr>
      <w:tr w:rsidR="00D77A23" w:rsidRPr="00A6483F" w14:paraId="4C89F606" w14:textId="77777777" w:rsidTr="00591FDA">
        <w:trPr>
          <w:trHeight w:val="517"/>
          <w:jc w:val="center"/>
        </w:trPr>
        <w:tc>
          <w:tcPr>
            <w:tcW w:w="1791" w:type="dxa"/>
            <w:vAlign w:val="center"/>
          </w:tcPr>
          <w:p w14:paraId="4C5EC379" w14:textId="77777777" w:rsidR="00D77A23" w:rsidRPr="00A6483F" w:rsidRDefault="00D77A23" w:rsidP="00591FDA">
            <w:pPr>
              <w:pStyle w:val="TableParagraph"/>
              <w:ind w:left="88" w:right="74"/>
              <w:jc w:val="center"/>
              <w:rPr>
                <w:rFonts w:ascii="Arial" w:hAnsi="Arial" w:cs="Arial"/>
                <w:sz w:val="20"/>
                <w:szCs w:val="20"/>
              </w:rPr>
            </w:pPr>
            <w:r w:rsidRPr="00A6483F">
              <w:rPr>
                <w:rFonts w:ascii="Arial" w:hAnsi="Arial" w:cs="Arial"/>
                <w:sz w:val="20"/>
                <w:szCs w:val="20"/>
              </w:rPr>
              <w:t>10</w:t>
            </w:r>
          </w:p>
        </w:tc>
        <w:tc>
          <w:tcPr>
            <w:tcW w:w="1325" w:type="dxa"/>
            <w:vAlign w:val="center"/>
          </w:tcPr>
          <w:p w14:paraId="6A7DD81D"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1.5±0.26</w:t>
            </w:r>
          </w:p>
        </w:tc>
        <w:tc>
          <w:tcPr>
            <w:tcW w:w="1498" w:type="dxa"/>
            <w:vAlign w:val="center"/>
          </w:tcPr>
          <w:p w14:paraId="78D8D00F"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2.6±0.20</w:t>
            </w:r>
          </w:p>
        </w:tc>
        <w:tc>
          <w:tcPr>
            <w:tcW w:w="1325" w:type="dxa"/>
            <w:vAlign w:val="center"/>
          </w:tcPr>
          <w:p w14:paraId="30B2D57F"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2.3±0.17</w:t>
            </w:r>
          </w:p>
        </w:tc>
        <w:tc>
          <w:tcPr>
            <w:tcW w:w="1498" w:type="dxa"/>
            <w:vAlign w:val="center"/>
          </w:tcPr>
          <w:p w14:paraId="57B54154" w14:textId="77777777" w:rsidR="00D77A23" w:rsidRPr="00A6483F" w:rsidRDefault="00D77A23" w:rsidP="00687FFC">
            <w:pPr>
              <w:pStyle w:val="TableParagraph"/>
              <w:ind w:left="106"/>
              <w:jc w:val="center"/>
              <w:rPr>
                <w:rFonts w:ascii="Arial" w:hAnsi="Arial" w:cs="Arial"/>
                <w:sz w:val="20"/>
                <w:szCs w:val="20"/>
              </w:rPr>
            </w:pPr>
            <w:r w:rsidRPr="00A6483F">
              <w:rPr>
                <w:rFonts w:ascii="Arial" w:hAnsi="Arial" w:cs="Arial"/>
                <w:sz w:val="20"/>
                <w:szCs w:val="20"/>
              </w:rPr>
              <w:t>2.2±0.20</w:t>
            </w:r>
          </w:p>
        </w:tc>
        <w:tc>
          <w:tcPr>
            <w:tcW w:w="1181" w:type="dxa"/>
            <w:vAlign w:val="center"/>
          </w:tcPr>
          <w:p w14:paraId="5F980556" w14:textId="77777777" w:rsidR="00D77A23" w:rsidRPr="00A6483F" w:rsidRDefault="00D77A23" w:rsidP="00687FFC">
            <w:pPr>
              <w:pStyle w:val="TableParagraph"/>
              <w:ind w:left="111"/>
              <w:jc w:val="center"/>
              <w:rPr>
                <w:rFonts w:ascii="Arial" w:hAnsi="Arial" w:cs="Arial"/>
                <w:sz w:val="20"/>
                <w:szCs w:val="20"/>
              </w:rPr>
            </w:pPr>
            <w:r w:rsidRPr="00A6483F">
              <w:rPr>
                <w:rFonts w:ascii="Arial" w:hAnsi="Arial" w:cs="Arial"/>
                <w:sz w:val="20"/>
                <w:szCs w:val="20"/>
              </w:rPr>
              <w:t>0.7±0.15</w:t>
            </w:r>
          </w:p>
        </w:tc>
        <w:tc>
          <w:tcPr>
            <w:tcW w:w="1186" w:type="dxa"/>
            <w:vAlign w:val="center"/>
          </w:tcPr>
          <w:p w14:paraId="66119B91" w14:textId="77777777" w:rsidR="00D77A23" w:rsidRPr="00A6483F" w:rsidRDefault="00D77A23" w:rsidP="00687FFC">
            <w:pPr>
              <w:pStyle w:val="TableParagraph"/>
              <w:ind w:left="106"/>
              <w:jc w:val="center"/>
              <w:rPr>
                <w:rFonts w:ascii="Arial" w:hAnsi="Arial" w:cs="Arial"/>
                <w:sz w:val="20"/>
                <w:szCs w:val="20"/>
              </w:rPr>
            </w:pPr>
            <w:r w:rsidRPr="00A6483F">
              <w:rPr>
                <w:rFonts w:ascii="Arial" w:hAnsi="Arial" w:cs="Arial"/>
                <w:sz w:val="20"/>
                <w:szCs w:val="20"/>
              </w:rPr>
              <w:t>1.4±0.26</w:t>
            </w:r>
          </w:p>
        </w:tc>
      </w:tr>
      <w:tr w:rsidR="00D77A23" w:rsidRPr="00A6483F" w14:paraId="0932D9D2" w14:textId="77777777" w:rsidTr="00591FDA">
        <w:trPr>
          <w:trHeight w:val="517"/>
          <w:jc w:val="center"/>
        </w:trPr>
        <w:tc>
          <w:tcPr>
            <w:tcW w:w="1791" w:type="dxa"/>
            <w:vAlign w:val="center"/>
          </w:tcPr>
          <w:p w14:paraId="63B010AE" w14:textId="77777777" w:rsidR="00D77A23" w:rsidRPr="00A6483F" w:rsidRDefault="00D77A23" w:rsidP="00591FDA">
            <w:pPr>
              <w:pStyle w:val="TableParagraph"/>
              <w:ind w:left="88" w:right="74"/>
              <w:jc w:val="center"/>
              <w:rPr>
                <w:rFonts w:ascii="Arial" w:hAnsi="Arial" w:cs="Arial"/>
                <w:sz w:val="20"/>
                <w:szCs w:val="20"/>
              </w:rPr>
            </w:pPr>
            <w:r w:rsidRPr="00A6483F">
              <w:rPr>
                <w:rFonts w:ascii="Arial" w:hAnsi="Arial" w:cs="Arial"/>
                <w:sz w:val="20"/>
                <w:szCs w:val="20"/>
              </w:rPr>
              <w:lastRenderedPageBreak/>
              <w:t>15</w:t>
            </w:r>
          </w:p>
        </w:tc>
        <w:tc>
          <w:tcPr>
            <w:tcW w:w="1325" w:type="dxa"/>
            <w:vAlign w:val="center"/>
          </w:tcPr>
          <w:p w14:paraId="747CCE81"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2.1±0.3</w:t>
            </w:r>
          </w:p>
        </w:tc>
        <w:tc>
          <w:tcPr>
            <w:tcW w:w="1498" w:type="dxa"/>
            <w:vAlign w:val="center"/>
          </w:tcPr>
          <w:p w14:paraId="730B2F42"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2.4±0.25</w:t>
            </w:r>
          </w:p>
        </w:tc>
        <w:tc>
          <w:tcPr>
            <w:tcW w:w="1325" w:type="dxa"/>
            <w:vAlign w:val="center"/>
          </w:tcPr>
          <w:p w14:paraId="0F20F5AF" w14:textId="77777777" w:rsidR="00D77A23" w:rsidRPr="00A6483F" w:rsidRDefault="00D77A23" w:rsidP="00687FFC">
            <w:pPr>
              <w:pStyle w:val="TableParagraph"/>
              <w:ind w:left="110"/>
              <w:jc w:val="center"/>
              <w:rPr>
                <w:rFonts w:ascii="Arial" w:hAnsi="Arial" w:cs="Arial"/>
                <w:b/>
                <w:sz w:val="20"/>
                <w:szCs w:val="20"/>
              </w:rPr>
            </w:pPr>
            <w:r w:rsidRPr="00A6483F">
              <w:rPr>
                <w:rFonts w:ascii="Arial" w:hAnsi="Arial" w:cs="Arial"/>
                <w:b/>
                <w:sz w:val="20"/>
                <w:szCs w:val="20"/>
              </w:rPr>
              <w:t>4.3±0.41</w:t>
            </w:r>
          </w:p>
        </w:tc>
        <w:tc>
          <w:tcPr>
            <w:tcW w:w="1498" w:type="dxa"/>
            <w:vAlign w:val="center"/>
          </w:tcPr>
          <w:p w14:paraId="7E7DF40A" w14:textId="77777777" w:rsidR="00D77A23" w:rsidRPr="00A6483F" w:rsidRDefault="00D77A23" w:rsidP="00687FFC">
            <w:pPr>
              <w:pStyle w:val="TableParagraph"/>
              <w:ind w:left="106"/>
              <w:jc w:val="center"/>
              <w:rPr>
                <w:rFonts w:ascii="Arial" w:hAnsi="Arial" w:cs="Arial"/>
                <w:sz w:val="20"/>
                <w:szCs w:val="20"/>
              </w:rPr>
            </w:pPr>
            <w:r w:rsidRPr="00A6483F">
              <w:rPr>
                <w:rFonts w:ascii="Arial" w:hAnsi="Arial" w:cs="Arial"/>
                <w:sz w:val="20"/>
                <w:szCs w:val="20"/>
              </w:rPr>
              <w:t>3.5±0.25</w:t>
            </w:r>
          </w:p>
        </w:tc>
        <w:tc>
          <w:tcPr>
            <w:tcW w:w="1181" w:type="dxa"/>
            <w:vAlign w:val="center"/>
          </w:tcPr>
          <w:p w14:paraId="4108300C" w14:textId="77777777" w:rsidR="00D77A23" w:rsidRPr="00A6483F" w:rsidRDefault="00D77A23" w:rsidP="00687FFC">
            <w:pPr>
              <w:pStyle w:val="TableParagraph"/>
              <w:ind w:left="111"/>
              <w:jc w:val="center"/>
              <w:rPr>
                <w:rFonts w:ascii="Arial" w:hAnsi="Arial" w:cs="Arial"/>
                <w:sz w:val="20"/>
                <w:szCs w:val="20"/>
              </w:rPr>
            </w:pPr>
            <w:r w:rsidRPr="00A6483F">
              <w:rPr>
                <w:rFonts w:ascii="Arial" w:hAnsi="Arial" w:cs="Arial"/>
                <w:sz w:val="20"/>
                <w:szCs w:val="20"/>
              </w:rPr>
              <w:t>1.3±0.20</w:t>
            </w:r>
          </w:p>
        </w:tc>
        <w:tc>
          <w:tcPr>
            <w:tcW w:w="1186" w:type="dxa"/>
            <w:vAlign w:val="center"/>
          </w:tcPr>
          <w:p w14:paraId="7228257B" w14:textId="77777777" w:rsidR="00D77A23" w:rsidRPr="00A6483F" w:rsidRDefault="00D77A23" w:rsidP="00687FFC">
            <w:pPr>
              <w:pStyle w:val="TableParagraph"/>
              <w:ind w:left="106"/>
              <w:jc w:val="center"/>
              <w:rPr>
                <w:rFonts w:ascii="Arial" w:hAnsi="Arial" w:cs="Arial"/>
                <w:sz w:val="20"/>
                <w:szCs w:val="20"/>
              </w:rPr>
            </w:pPr>
            <w:r w:rsidRPr="00A6483F">
              <w:rPr>
                <w:rFonts w:ascii="Arial" w:hAnsi="Arial" w:cs="Arial"/>
                <w:sz w:val="20"/>
                <w:szCs w:val="20"/>
              </w:rPr>
              <w:t>2.6±0.1</w:t>
            </w:r>
          </w:p>
        </w:tc>
      </w:tr>
    </w:tbl>
    <w:p w14:paraId="7EDB03C2" w14:textId="77777777" w:rsidR="005E3E17" w:rsidRPr="00A6483F" w:rsidRDefault="00D77A23" w:rsidP="00057006">
      <w:pPr>
        <w:spacing w:line="240" w:lineRule="auto"/>
        <w:jc w:val="both"/>
        <w:rPr>
          <w:rFonts w:ascii="Arial" w:hAnsi="Arial" w:cs="Arial"/>
          <w:sz w:val="20"/>
          <w:szCs w:val="20"/>
          <w:lang w:val="en-US"/>
        </w:rPr>
      </w:pPr>
      <w:r w:rsidRPr="00A6483F">
        <w:rPr>
          <w:rFonts w:ascii="Arial" w:eastAsia="Times New Roman" w:hAnsi="Arial" w:cs="Arial"/>
          <w:color w:val="000000" w:themeColor="text1"/>
          <w:sz w:val="20"/>
          <w:szCs w:val="20"/>
        </w:rPr>
        <w:t xml:space="preserve">Values are expressed as </w:t>
      </w:r>
      <w:proofErr w:type="spellStart"/>
      <w:r w:rsidRPr="00A6483F">
        <w:rPr>
          <w:rFonts w:ascii="Arial" w:eastAsia="Times New Roman" w:hAnsi="Arial" w:cs="Arial"/>
          <w:color w:val="000000" w:themeColor="text1"/>
          <w:sz w:val="20"/>
          <w:szCs w:val="20"/>
        </w:rPr>
        <w:t>mean±SD</w:t>
      </w:r>
      <w:proofErr w:type="spellEnd"/>
      <w:r w:rsidRPr="00A6483F">
        <w:rPr>
          <w:rFonts w:ascii="Arial" w:eastAsia="Times New Roman" w:hAnsi="Arial" w:cs="Arial"/>
          <w:color w:val="000000" w:themeColor="text1"/>
          <w:sz w:val="20"/>
          <w:szCs w:val="20"/>
        </w:rPr>
        <w:t xml:space="preserve"> (n=3)</w:t>
      </w:r>
      <w:r w:rsidRPr="00A6483F">
        <w:rPr>
          <w:rFonts w:ascii="Arial" w:hAnsi="Arial" w:cs="Arial"/>
          <w:color w:val="000000" w:themeColor="text1"/>
          <w:sz w:val="20"/>
          <w:szCs w:val="20"/>
          <w:lang w:val="en-US"/>
        </w:rPr>
        <w:t xml:space="preserve">. </w:t>
      </w:r>
      <w:r w:rsidRPr="00A6483F">
        <w:rPr>
          <w:rFonts w:ascii="Arial" w:hAnsi="Arial" w:cs="Arial"/>
          <w:sz w:val="20"/>
          <w:szCs w:val="20"/>
          <w:lang w:val="en-US"/>
        </w:rPr>
        <w:t xml:space="preserve">Crawling distance was measured in centimeters (cm) at 5,10 and 15 minutes. Negative control: EA (Ethyl acetate solvent); Control: Standard culture medium without extract or solvent. </w:t>
      </w:r>
      <w:r w:rsidR="000B3451" w:rsidRPr="00A6483F">
        <w:rPr>
          <w:rFonts w:ascii="Arial" w:hAnsi="Arial" w:cs="Arial"/>
          <w:sz w:val="20"/>
          <w:szCs w:val="20"/>
          <w:lang w:val="en-US"/>
        </w:rPr>
        <w:t xml:space="preserve"> </w:t>
      </w:r>
    </w:p>
    <w:p w14:paraId="332C2BB4" w14:textId="77777777" w:rsidR="00337EAF" w:rsidRPr="00A6483F" w:rsidRDefault="008D28AD"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3.3.2 </w:t>
      </w:r>
      <w:r w:rsidR="00337EAF" w:rsidRPr="00A6483F">
        <w:rPr>
          <w:rFonts w:ascii="Arial" w:hAnsi="Arial" w:cs="Arial"/>
          <w:b/>
          <w:bCs/>
          <w:sz w:val="20"/>
          <w:szCs w:val="20"/>
          <w:lang w:val="en-US"/>
        </w:rPr>
        <w:t>Climbing assay</w:t>
      </w:r>
    </w:p>
    <w:p w14:paraId="4095668B" w14:textId="77777777" w:rsidR="00337EAF" w:rsidRPr="00A6483F" w:rsidRDefault="00E73E7E" w:rsidP="00057006">
      <w:pPr>
        <w:spacing w:line="240" w:lineRule="auto"/>
        <w:jc w:val="both"/>
        <w:rPr>
          <w:rFonts w:ascii="Arial" w:hAnsi="Arial" w:cs="Arial"/>
          <w:sz w:val="20"/>
          <w:szCs w:val="20"/>
          <w:lang w:val="en-US"/>
        </w:rPr>
      </w:pPr>
      <w:r w:rsidRPr="00A6483F">
        <w:rPr>
          <w:rFonts w:ascii="Arial" w:hAnsi="Arial" w:cs="Arial"/>
          <w:sz w:val="20"/>
          <w:szCs w:val="20"/>
          <w:lang w:val="en-US"/>
        </w:rPr>
        <w:t xml:space="preserve">The climbing ability of adult </w:t>
      </w:r>
      <w:r w:rsidRPr="00A6483F">
        <w:rPr>
          <w:rFonts w:ascii="Arial" w:hAnsi="Arial" w:cs="Arial"/>
          <w:i/>
          <w:sz w:val="20"/>
          <w:szCs w:val="20"/>
          <w:lang w:val="en-US"/>
        </w:rPr>
        <w:t>D. melanogaster</w:t>
      </w:r>
      <w:r w:rsidRPr="00A6483F">
        <w:rPr>
          <w:rFonts w:ascii="Arial" w:hAnsi="Arial" w:cs="Arial"/>
          <w:sz w:val="20"/>
          <w:szCs w:val="20"/>
          <w:lang w:val="en-US"/>
        </w:rPr>
        <w:t xml:space="preserve"> flies was evaluated approximately one week after adult emergence. The locomotor performance of the flies was recorded by observing the height reached within a graduated measuring cylinder (Fig. 4b), and the results are presented in Table 5. Among all the treatment groups, flies treated with 2.0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of </w:t>
      </w:r>
      <w:r w:rsidRPr="00A6483F">
        <w:rPr>
          <w:rFonts w:ascii="Arial" w:hAnsi="Arial" w:cs="Arial"/>
          <w:i/>
          <w:sz w:val="20"/>
          <w:szCs w:val="20"/>
          <w:lang w:val="en-US"/>
        </w:rPr>
        <w:t>I. frutescens</w:t>
      </w:r>
      <w:r w:rsidRPr="00A6483F">
        <w:rPr>
          <w:rFonts w:ascii="Arial" w:hAnsi="Arial" w:cs="Arial"/>
          <w:sz w:val="20"/>
          <w:szCs w:val="20"/>
          <w:lang w:val="en-US"/>
        </w:rPr>
        <w:t xml:space="preserve"> root extract showed the highest climbing activity (5.2 ± 0.64 cm) compared with both the untreated control and the solvent-control groups. The solvent control exhibited the poorest climbing activity, with the highest number of flies remaining in the 0</w:t>
      </w:r>
      <w:r w:rsidRPr="00A6483F">
        <w:rPr>
          <w:rFonts w:ascii="Arial" w:hAnsi="Arial" w:cs="Arial"/>
          <w:sz w:val="20"/>
          <w:szCs w:val="20"/>
          <w:vertAlign w:val="superscript"/>
          <w:lang w:val="en-US"/>
        </w:rPr>
        <w:t>-1</w:t>
      </w:r>
      <w:r w:rsidRPr="00A6483F">
        <w:rPr>
          <w:rFonts w:ascii="Arial" w:hAnsi="Arial" w:cs="Arial"/>
          <w:sz w:val="20"/>
          <w:szCs w:val="20"/>
          <w:lang w:val="en-US"/>
        </w:rPr>
        <w:t>0 mL level (3.6 ± 0.57). The untreated control group showed intermediate climbing ability, with a small proportion of flies reaching the upper level. Overall, the results demonstrated that treatment with 2.0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of </w:t>
      </w:r>
      <w:r w:rsidRPr="00A6483F">
        <w:rPr>
          <w:rFonts w:ascii="Arial" w:hAnsi="Arial" w:cs="Arial"/>
          <w:i/>
          <w:sz w:val="20"/>
          <w:szCs w:val="20"/>
          <w:lang w:val="en-US"/>
        </w:rPr>
        <w:t>I. frutescens</w:t>
      </w:r>
      <w:r w:rsidRPr="00A6483F">
        <w:rPr>
          <w:rFonts w:ascii="Arial" w:hAnsi="Arial" w:cs="Arial"/>
          <w:sz w:val="20"/>
          <w:szCs w:val="20"/>
          <w:lang w:val="en-US"/>
        </w:rPr>
        <w:t xml:space="preserve"> root EA extract significantly improved the climbing performance of </w:t>
      </w:r>
      <w:r w:rsidRPr="00A6483F">
        <w:rPr>
          <w:rFonts w:ascii="Arial" w:hAnsi="Arial" w:cs="Arial"/>
          <w:i/>
          <w:sz w:val="20"/>
          <w:szCs w:val="20"/>
          <w:lang w:val="en-US"/>
        </w:rPr>
        <w:t>D. melanogaster</w:t>
      </w:r>
      <w:r w:rsidRPr="00A6483F">
        <w:rPr>
          <w:rFonts w:ascii="Arial" w:hAnsi="Arial" w:cs="Arial"/>
          <w:sz w:val="20"/>
          <w:szCs w:val="20"/>
          <w:lang w:val="en-US"/>
        </w:rPr>
        <w:t xml:space="preserve"> compared with the controls. Improved climbing behaviour reflects enhanced locomotor function and better preservation of neuronal integrity. Oxidative stress is a major contributor to locomotor impairment in </w:t>
      </w:r>
      <w:r w:rsidRPr="00A6483F">
        <w:rPr>
          <w:rFonts w:ascii="Arial" w:hAnsi="Arial" w:cs="Arial"/>
          <w:i/>
          <w:sz w:val="20"/>
          <w:szCs w:val="20"/>
          <w:lang w:val="en-US"/>
        </w:rPr>
        <w:t>Drosophila</w:t>
      </w:r>
      <w:r w:rsidRPr="00A6483F">
        <w:rPr>
          <w:rFonts w:ascii="Arial" w:hAnsi="Arial" w:cs="Arial"/>
          <w:sz w:val="20"/>
          <w:szCs w:val="20"/>
          <w:lang w:val="en-US"/>
        </w:rPr>
        <w:t xml:space="preserve"> (Patel &amp; Nagda, 2026). The flavonoids and triterpenoids detected in the root extract are capable of scavenging reactive oxygen species, reducing lipid peroxidation and protecting neuronal cells from oxidative damage.</w:t>
      </w:r>
    </w:p>
    <w:p w14:paraId="3E8BA748" w14:textId="77777777" w:rsidR="00D77A23" w:rsidRPr="00A6483F" w:rsidRDefault="00D77A23" w:rsidP="00D77A23">
      <w:pPr>
        <w:spacing w:line="240" w:lineRule="auto"/>
        <w:jc w:val="both"/>
        <w:rPr>
          <w:rFonts w:ascii="Arial" w:hAnsi="Arial" w:cs="Arial"/>
          <w:b/>
          <w:bCs/>
          <w:sz w:val="20"/>
          <w:szCs w:val="20"/>
          <w:lang w:val="en-US"/>
        </w:rPr>
      </w:pPr>
      <w:r w:rsidRPr="00A6483F">
        <w:rPr>
          <w:rFonts w:ascii="Arial" w:hAnsi="Arial" w:cs="Arial"/>
          <w:b/>
          <w:bCs/>
          <w:sz w:val="20"/>
          <w:szCs w:val="20"/>
          <w:lang w:val="en-US"/>
        </w:rPr>
        <w:t>Table 5: Climbing performance of</w:t>
      </w:r>
      <w:r w:rsidRPr="00A6483F">
        <w:rPr>
          <w:rFonts w:ascii="Arial" w:hAnsi="Arial" w:cs="Arial"/>
          <w:sz w:val="20"/>
          <w:szCs w:val="20"/>
          <w:lang w:val="en-US"/>
        </w:rPr>
        <w:t xml:space="preserve"> </w:t>
      </w:r>
      <w:r w:rsidRPr="00A6483F">
        <w:rPr>
          <w:rFonts w:ascii="Arial" w:hAnsi="Arial" w:cs="Arial"/>
          <w:b/>
          <w:bCs/>
          <w:i/>
          <w:iCs/>
          <w:sz w:val="20"/>
          <w:szCs w:val="20"/>
          <w:lang w:val="en-US"/>
        </w:rPr>
        <w:t>Drosophila melanogaster</w:t>
      </w:r>
      <w:r w:rsidRPr="00A6483F">
        <w:rPr>
          <w:rFonts w:ascii="Arial" w:hAnsi="Arial" w:cs="Arial"/>
          <w:b/>
          <w:bCs/>
          <w:sz w:val="20"/>
          <w:szCs w:val="20"/>
          <w:lang w:val="en-US"/>
        </w:rPr>
        <w:t xml:space="preserve"> larvae treated with EA root extract of </w:t>
      </w:r>
      <w:proofErr w:type="spellStart"/>
      <w:r w:rsidRPr="00A6483F">
        <w:rPr>
          <w:rFonts w:ascii="Arial" w:hAnsi="Arial" w:cs="Arial"/>
          <w:b/>
          <w:bCs/>
          <w:i/>
          <w:iCs/>
          <w:sz w:val="20"/>
          <w:szCs w:val="20"/>
          <w:lang w:val="en-US"/>
        </w:rPr>
        <w:t>Ichnocarpus</w:t>
      </w:r>
      <w:proofErr w:type="spellEnd"/>
      <w:r w:rsidRPr="00A6483F">
        <w:rPr>
          <w:rFonts w:ascii="Arial" w:hAnsi="Arial" w:cs="Arial"/>
          <w:b/>
          <w:bCs/>
          <w:i/>
          <w:iCs/>
          <w:sz w:val="20"/>
          <w:szCs w:val="20"/>
          <w:lang w:val="en-US"/>
        </w:rPr>
        <w:t xml:space="preserve"> frutescens</w:t>
      </w:r>
    </w:p>
    <w:tbl>
      <w:tblPr>
        <w:tblW w:w="100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9"/>
        <w:gridCol w:w="1292"/>
        <w:gridCol w:w="1421"/>
        <w:gridCol w:w="1253"/>
        <w:gridCol w:w="1421"/>
        <w:gridCol w:w="1460"/>
        <w:gridCol w:w="1258"/>
      </w:tblGrid>
      <w:tr w:rsidR="00D77A23" w:rsidRPr="00A6483F" w14:paraId="5E29104D" w14:textId="77777777" w:rsidTr="006F5D3B">
        <w:trPr>
          <w:trHeight w:val="467"/>
          <w:jc w:val="center"/>
        </w:trPr>
        <w:tc>
          <w:tcPr>
            <w:tcW w:w="1979" w:type="dxa"/>
            <w:vMerge w:val="restart"/>
          </w:tcPr>
          <w:p w14:paraId="0E9D4542" w14:textId="77777777" w:rsidR="00D77A23" w:rsidRPr="00A6483F" w:rsidRDefault="00D77A23" w:rsidP="007E4FCF">
            <w:pPr>
              <w:pStyle w:val="TableParagraph"/>
              <w:ind w:left="110" w:right="768"/>
              <w:jc w:val="both"/>
              <w:rPr>
                <w:rFonts w:ascii="Arial" w:hAnsi="Arial" w:cs="Arial"/>
                <w:b/>
                <w:sz w:val="20"/>
                <w:szCs w:val="20"/>
              </w:rPr>
            </w:pPr>
            <w:r w:rsidRPr="00A6483F">
              <w:rPr>
                <w:rFonts w:ascii="Arial" w:hAnsi="Arial" w:cs="Arial"/>
                <w:b/>
                <w:sz w:val="20"/>
                <w:szCs w:val="20"/>
              </w:rPr>
              <w:t>Level of</w:t>
            </w:r>
            <w:r w:rsidRPr="00A6483F">
              <w:rPr>
                <w:rFonts w:ascii="Arial" w:hAnsi="Arial" w:cs="Arial"/>
                <w:b/>
                <w:spacing w:val="1"/>
                <w:sz w:val="20"/>
                <w:szCs w:val="20"/>
              </w:rPr>
              <w:t xml:space="preserve"> </w:t>
            </w:r>
            <w:r w:rsidRPr="00A6483F">
              <w:rPr>
                <w:rFonts w:ascii="Arial" w:hAnsi="Arial" w:cs="Arial"/>
                <w:b/>
                <w:spacing w:val="-1"/>
                <w:sz w:val="20"/>
                <w:szCs w:val="20"/>
              </w:rPr>
              <w:t>measuring</w:t>
            </w:r>
            <w:r w:rsidRPr="00A6483F">
              <w:rPr>
                <w:rFonts w:ascii="Arial" w:hAnsi="Arial" w:cs="Arial"/>
                <w:b/>
                <w:spacing w:val="-57"/>
                <w:sz w:val="20"/>
                <w:szCs w:val="20"/>
              </w:rPr>
              <w:t xml:space="preserve"> </w:t>
            </w:r>
            <w:r w:rsidRPr="00A6483F">
              <w:rPr>
                <w:rFonts w:ascii="Arial" w:hAnsi="Arial" w:cs="Arial"/>
                <w:b/>
                <w:sz w:val="20"/>
                <w:szCs w:val="20"/>
              </w:rPr>
              <w:t>cylinder (cm)</w:t>
            </w:r>
          </w:p>
        </w:tc>
        <w:tc>
          <w:tcPr>
            <w:tcW w:w="8105" w:type="dxa"/>
            <w:gridSpan w:val="6"/>
            <w:vAlign w:val="center"/>
          </w:tcPr>
          <w:p w14:paraId="4276AF1F" w14:textId="77777777" w:rsidR="00D77A23" w:rsidRPr="00A6483F" w:rsidRDefault="00D77A23" w:rsidP="006F5D3B">
            <w:pPr>
              <w:pStyle w:val="TableParagraph"/>
              <w:spacing w:before="1"/>
              <w:jc w:val="center"/>
              <w:rPr>
                <w:rFonts w:ascii="Arial" w:hAnsi="Arial" w:cs="Arial"/>
                <w:b/>
                <w:sz w:val="20"/>
                <w:szCs w:val="20"/>
              </w:rPr>
            </w:pPr>
            <w:r w:rsidRPr="00A6483F">
              <w:rPr>
                <w:rFonts w:ascii="Arial" w:hAnsi="Arial" w:cs="Arial"/>
                <w:b/>
                <w:sz w:val="20"/>
                <w:szCs w:val="20"/>
              </w:rPr>
              <w:t>Concentrations</w:t>
            </w:r>
          </w:p>
        </w:tc>
      </w:tr>
      <w:tr w:rsidR="00D77A23" w:rsidRPr="00A6483F" w14:paraId="75798BA0" w14:textId="77777777" w:rsidTr="006F5D3B">
        <w:trPr>
          <w:trHeight w:val="539"/>
          <w:jc w:val="center"/>
        </w:trPr>
        <w:tc>
          <w:tcPr>
            <w:tcW w:w="1979" w:type="dxa"/>
            <w:vMerge/>
            <w:tcBorders>
              <w:bottom w:val="single" w:sz="4" w:space="0" w:color="000000"/>
            </w:tcBorders>
          </w:tcPr>
          <w:p w14:paraId="68634438" w14:textId="77777777" w:rsidR="00D77A23" w:rsidRPr="00A6483F" w:rsidRDefault="00D77A23" w:rsidP="007E4FCF">
            <w:pPr>
              <w:pStyle w:val="TableParagraph"/>
              <w:ind w:left="110" w:right="768"/>
              <w:rPr>
                <w:rFonts w:ascii="Arial" w:hAnsi="Arial" w:cs="Arial"/>
                <w:b/>
                <w:sz w:val="20"/>
                <w:szCs w:val="20"/>
              </w:rPr>
            </w:pPr>
          </w:p>
        </w:tc>
        <w:tc>
          <w:tcPr>
            <w:tcW w:w="1292" w:type="dxa"/>
            <w:tcBorders>
              <w:bottom w:val="single" w:sz="4" w:space="0" w:color="000000"/>
            </w:tcBorders>
            <w:vAlign w:val="center"/>
          </w:tcPr>
          <w:p w14:paraId="433D07E9" w14:textId="77777777" w:rsidR="00D77A23" w:rsidRPr="00A6483F" w:rsidRDefault="00D77A23" w:rsidP="006F5D3B">
            <w:pPr>
              <w:pStyle w:val="TableParagraph"/>
              <w:spacing w:before="1"/>
              <w:jc w:val="center"/>
              <w:rPr>
                <w:rFonts w:ascii="Arial" w:hAnsi="Arial" w:cs="Arial"/>
                <w:b/>
                <w:sz w:val="20"/>
                <w:szCs w:val="20"/>
              </w:rPr>
            </w:pPr>
            <w:r w:rsidRPr="00A6483F">
              <w:rPr>
                <w:rFonts w:ascii="Arial" w:hAnsi="Arial" w:cs="Arial"/>
                <w:b/>
                <w:sz w:val="20"/>
                <w:szCs w:val="20"/>
              </w:rPr>
              <w:t>1(mg mL</w:t>
            </w:r>
            <w:r w:rsidRPr="00A6483F">
              <w:rPr>
                <w:rFonts w:ascii="Arial" w:hAnsi="Arial" w:cs="Arial"/>
                <w:color w:val="000000" w:themeColor="text1"/>
                <w:sz w:val="20"/>
                <w:szCs w:val="20"/>
                <w:vertAlign w:val="superscript"/>
              </w:rPr>
              <w:t>-1</w:t>
            </w:r>
            <w:r w:rsidRPr="00A6483F">
              <w:rPr>
                <w:rFonts w:ascii="Arial" w:hAnsi="Arial" w:cs="Arial"/>
                <w:b/>
                <w:sz w:val="20"/>
                <w:szCs w:val="20"/>
              </w:rPr>
              <w:t>)</w:t>
            </w:r>
          </w:p>
        </w:tc>
        <w:tc>
          <w:tcPr>
            <w:tcW w:w="1421" w:type="dxa"/>
            <w:tcBorders>
              <w:bottom w:val="single" w:sz="4" w:space="0" w:color="000000"/>
            </w:tcBorders>
            <w:vAlign w:val="center"/>
          </w:tcPr>
          <w:p w14:paraId="1765613F" w14:textId="77777777" w:rsidR="00D77A23" w:rsidRPr="00A6483F" w:rsidRDefault="00D77A23" w:rsidP="006F5D3B">
            <w:pPr>
              <w:pStyle w:val="TableParagraph"/>
              <w:spacing w:before="1"/>
              <w:jc w:val="center"/>
              <w:rPr>
                <w:rFonts w:ascii="Arial" w:hAnsi="Arial" w:cs="Arial"/>
                <w:b/>
                <w:sz w:val="20"/>
                <w:szCs w:val="20"/>
              </w:rPr>
            </w:pPr>
            <w:r w:rsidRPr="00A6483F">
              <w:rPr>
                <w:rFonts w:ascii="Arial" w:hAnsi="Arial" w:cs="Arial"/>
                <w:b/>
                <w:sz w:val="20"/>
                <w:szCs w:val="20"/>
              </w:rPr>
              <w:t>1.5(mg mL</w:t>
            </w:r>
            <w:r w:rsidRPr="00A6483F">
              <w:rPr>
                <w:rFonts w:ascii="Arial" w:hAnsi="Arial" w:cs="Arial"/>
                <w:color w:val="000000" w:themeColor="text1"/>
                <w:sz w:val="20"/>
                <w:szCs w:val="20"/>
                <w:vertAlign w:val="superscript"/>
              </w:rPr>
              <w:t>-1</w:t>
            </w:r>
            <w:r w:rsidRPr="00A6483F">
              <w:rPr>
                <w:rFonts w:ascii="Arial" w:hAnsi="Arial" w:cs="Arial"/>
                <w:b/>
                <w:sz w:val="20"/>
                <w:szCs w:val="20"/>
              </w:rPr>
              <w:t>)</w:t>
            </w:r>
          </w:p>
        </w:tc>
        <w:tc>
          <w:tcPr>
            <w:tcW w:w="1253" w:type="dxa"/>
            <w:tcBorders>
              <w:bottom w:val="single" w:sz="4" w:space="0" w:color="000000"/>
            </w:tcBorders>
            <w:vAlign w:val="center"/>
          </w:tcPr>
          <w:p w14:paraId="27505B12" w14:textId="77777777" w:rsidR="00D77A23" w:rsidRPr="00A6483F" w:rsidRDefault="00D77A23" w:rsidP="006F5D3B">
            <w:pPr>
              <w:pStyle w:val="TableParagraph"/>
              <w:spacing w:before="1"/>
              <w:jc w:val="center"/>
              <w:rPr>
                <w:rFonts w:ascii="Arial" w:hAnsi="Arial" w:cs="Arial"/>
                <w:b/>
                <w:sz w:val="20"/>
                <w:szCs w:val="20"/>
              </w:rPr>
            </w:pPr>
            <w:r w:rsidRPr="00A6483F">
              <w:rPr>
                <w:rFonts w:ascii="Arial" w:hAnsi="Arial" w:cs="Arial"/>
                <w:b/>
                <w:sz w:val="20"/>
                <w:szCs w:val="20"/>
              </w:rPr>
              <w:t>2(mg mL</w:t>
            </w:r>
            <w:r w:rsidRPr="00A6483F">
              <w:rPr>
                <w:rFonts w:ascii="Arial" w:hAnsi="Arial" w:cs="Arial"/>
                <w:color w:val="000000" w:themeColor="text1"/>
                <w:sz w:val="20"/>
                <w:szCs w:val="20"/>
                <w:vertAlign w:val="superscript"/>
              </w:rPr>
              <w:t>-1</w:t>
            </w:r>
            <w:r w:rsidRPr="00A6483F">
              <w:rPr>
                <w:rFonts w:ascii="Arial" w:hAnsi="Arial" w:cs="Arial"/>
                <w:b/>
                <w:sz w:val="20"/>
                <w:szCs w:val="20"/>
              </w:rPr>
              <w:t>)</w:t>
            </w:r>
          </w:p>
        </w:tc>
        <w:tc>
          <w:tcPr>
            <w:tcW w:w="1421" w:type="dxa"/>
            <w:tcBorders>
              <w:bottom w:val="single" w:sz="4" w:space="0" w:color="000000"/>
            </w:tcBorders>
            <w:vAlign w:val="center"/>
          </w:tcPr>
          <w:p w14:paraId="50C28952" w14:textId="77777777" w:rsidR="00D77A23" w:rsidRPr="00A6483F" w:rsidRDefault="00D77A23" w:rsidP="006F5D3B">
            <w:pPr>
              <w:pStyle w:val="TableParagraph"/>
              <w:spacing w:before="1"/>
              <w:jc w:val="center"/>
              <w:rPr>
                <w:rFonts w:ascii="Arial" w:hAnsi="Arial" w:cs="Arial"/>
                <w:b/>
                <w:sz w:val="20"/>
                <w:szCs w:val="20"/>
              </w:rPr>
            </w:pPr>
            <w:r w:rsidRPr="00A6483F">
              <w:rPr>
                <w:rFonts w:ascii="Arial" w:hAnsi="Arial" w:cs="Arial"/>
                <w:b/>
                <w:sz w:val="20"/>
                <w:szCs w:val="20"/>
              </w:rPr>
              <w:t>2.5(mg mL</w:t>
            </w:r>
            <w:r w:rsidRPr="00A6483F">
              <w:rPr>
                <w:rFonts w:ascii="Arial" w:hAnsi="Arial" w:cs="Arial"/>
                <w:color w:val="000000" w:themeColor="text1"/>
                <w:sz w:val="20"/>
                <w:szCs w:val="20"/>
                <w:vertAlign w:val="superscript"/>
              </w:rPr>
              <w:t>-1</w:t>
            </w:r>
            <w:r w:rsidRPr="00A6483F">
              <w:rPr>
                <w:rFonts w:ascii="Arial" w:hAnsi="Arial" w:cs="Arial"/>
                <w:b/>
                <w:sz w:val="20"/>
                <w:szCs w:val="20"/>
              </w:rPr>
              <w:t>)</w:t>
            </w:r>
          </w:p>
        </w:tc>
        <w:tc>
          <w:tcPr>
            <w:tcW w:w="1460" w:type="dxa"/>
            <w:tcBorders>
              <w:bottom w:val="single" w:sz="4" w:space="0" w:color="000000"/>
            </w:tcBorders>
            <w:vAlign w:val="center"/>
          </w:tcPr>
          <w:p w14:paraId="521AE914" w14:textId="77777777" w:rsidR="00D77A23" w:rsidRPr="00A6483F" w:rsidRDefault="00D77A23" w:rsidP="006F5D3B">
            <w:pPr>
              <w:pStyle w:val="TableParagraph"/>
              <w:spacing w:before="1"/>
              <w:jc w:val="center"/>
              <w:rPr>
                <w:rFonts w:ascii="Arial" w:hAnsi="Arial" w:cs="Arial"/>
                <w:b/>
                <w:sz w:val="20"/>
                <w:szCs w:val="20"/>
              </w:rPr>
            </w:pPr>
            <w:r w:rsidRPr="00A6483F">
              <w:rPr>
                <w:rFonts w:ascii="Arial" w:hAnsi="Arial" w:cs="Arial"/>
                <w:b/>
                <w:sz w:val="20"/>
                <w:szCs w:val="20"/>
              </w:rPr>
              <w:t>EA (100%)</w:t>
            </w:r>
          </w:p>
        </w:tc>
        <w:tc>
          <w:tcPr>
            <w:tcW w:w="1258" w:type="dxa"/>
            <w:tcBorders>
              <w:bottom w:val="single" w:sz="4" w:space="0" w:color="000000"/>
            </w:tcBorders>
            <w:vAlign w:val="center"/>
          </w:tcPr>
          <w:p w14:paraId="6D6C7962" w14:textId="77777777" w:rsidR="00D77A23" w:rsidRPr="00A6483F" w:rsidRDefault="00D77A23" w:rsidP="006F5D3B">
            <w:pPr>
              <w:pStyle w:val="TableParagraph"/>
              <w:spacing w:before="1"/>
              <w:jc w:val="center"/>
              <w:rPr>
                <w:rFonts w:ascii="Arial" w:hAnsi="Arial" w:cs="Arial"/>
                <w:b/>
                <w:sz w:val="20"/>
                <w:szCs w:val="20"/>
              </w:rPr>
            </w:pPr>
            <w:r w:rsidRPr="00A6483F">
              <w:rPr>
                <w:rFonts w:ascii="Arial" w:hAnsi="Arial" w:cs="Arial"/>
                <w:b/>
                <w:sz w:val="20"/>
                <w:szCs w:val="20"/>
              </w:rPr>
              <w:t>Control</w:t>
            </w:r>
          </w:p>
        </w:tc>
      </w:tr>
      <w:tr w:rsidR="00D77A23" w:rsidRPr="00A6483F" w14:paraId="24A8503F" w14:textId="77777777" w:rsidTr="00CB1587">
        <w:trPr>
          <w:trHeight w:val="652"/>
          <w:jc w:val="center"/>
        </w:trPr>
        <w:tc>
          <w:tcPr>
            <w:tcW w:w="1979" w:type="dxa"/>
            <w:vAlign w:val="center"/>
          </w:tcPr>
          <w:p w14:paraId="52EE7009" w14:textId="77777777" w:rsidR="00D77A23" w:rsidRPr="00A6483F" w:rsidRDefault="00D77A23" w:rsidP="00CB1587">
            <w:pPr>
              <w:pStyle w:val="TableParagraph"/>
              <w:ind w:left="686" w:right="677"/>
              <w:jc w:val="center"/>
              <w:rPr>
                <w:rFonts w:ascii="Arial" w:hAnsi="Arial" w:cs="Arial"/>
                <w:sz w:val="20"/>
                <w:szCs w:val="20"/>
              </w:rPr>
            </w:pPr>
            <w:r w:rsidRPr="00A6483F">
              <w:rPr>
                <w:rFonts w:ascii="Arial" w:hAnsi="Arial" w:cs="Arial"/>
                <w:sz w:val="20"/>
                <w:szCs w:val="20"/>
              </w:rPr>
              <w:t>0-10</w:t>
            </w:r>
          </w:p>
        </w:tc>
        <w:tc>
          <w:tcPr>
            <w:tcW w:w="1292" w:type="dxa"/>
            <w:vAlign w:val="center"/>
          </w:tcPr>
          <w:p w14:paraId="204CED4D" w14:textId="77777777" w:rsidR="00D77A23" w:rsidRPr="00A6483F" w:rsidRDefault="00D77A23" w:rsidP="00687FFC">
            <w:pPr>
              <w:pStyle w:val="TableParagraph"/>
              <w:ind w:left="104"/>
              <w:jc w:val="center"/>
              <w:rPr>
                <w:rFonts w:ascii="Arial" w:hAnsi="Arial" w:cs="Arial"/>
                <w:sz w:val="20"/>
                <w:szCs w:val="20"/>
              </w:rPr>
            </w:pPr>
            <w:r w:rsidRPr="00A6483F">
              <w:rPr>
                <w:rFonts w:ascii="Arial" w:hAnsi="Arial" w:cs="Arial"/>
                <w:sz w:val="20"/>
                <w:szCs w:val="20"/>
              </w:rPr>
              <w:t>4.0±0.57</w:t>
            </w:r>
          </w:p>
        </w:tc>
        <w:tc>
          <w:tcPr>
            <w:tcW w:w="1421" w:type="dxa"/>
            <w:vAlign w:val="center"/>
          </w:tcPr>
          <w:p w14:paraId="42386941" w14:textId="77777777" w:rsidR="00D77A23" w:rsidRPr="00A6483F" w:rsidRDefault="00D77A23" w:rsidP="00687FFC">
            <w:pPr>
              <w:pStyle w:val="TableParagraph"/>
              <w:ind w:left="104"/>
              <w:jc w:val="center"/>
              <w:rPr>
                <w:rFonts w:ascii="Arial" w:hAnsi="Arial" w:cs="Arial"/>
                <w:sz w:val="20"/>
                <w:szCs w:val="20"/>
              </w:rPr>
            </w:pPr>
            <w:r w:rsidRPr="00A6483F">
              <w:rPr>
                <w:rFonts w:ascii="Arial" w:hAnsi="Arial" w:cs="Arial"/>
                <w:sz w:val="20"/>
                <w:szCs w:val="20"/>
              </w:rPr>
              <w:t>4.3±0.23</w:t>
            </w:r>
          </w:p>
        </w:tc>
        <w:tc>
          <w:tcPr>
            <w:tcW w:w="1253" w:type="dxa"/>
            <w:vAlign w:val="center"/>
          </w:tcPr>
          <w:p w14:paraId="092ACAFE" w14:textId="77777777" w:rsidR="00D77A23" w:rsidRPr="00A6483F" w:rsidRDefault="00D77A23" w:rsidP="00687FFC">
            <w:pPr>
              <w:pStyle w:val="TableParagraph"/>
              <w:ind w:left="109"/>
              <w:jc w:val="center"/>
              <w:rPr>
                <w:rFonts w:ascii="Arial" w:hAnsi="Arial" w:cs="Arial"/>
                <w:b/>
                <w:sz w:val="20"/>
                <w:szCs w:val="20"/>
              </w:rPr>
            </w:pPr>
            <w:r w:rsidRPr="00A6483F">
              <w:rPr>
                <w:rFonts w:ascii="Arial" w:hAnsi="Arial" w:cs="Arial"/>
                <w:b/>
                <w:sz w:val="20"/>
                <w:szCs w:val="20"/>
              </w:rPr>
              <w:t>5.2±0.64</w:t>
            </w:r>
          </w:p>
          <w:p w14:paraId="49BA26B9" w14:textId="77777777" w:rsidR="00D77A23" w:rsidRPr="00A6483F" w:rsidRDefault="00D77A23" w:rsidP="00687FFC">
            <w:pPr>
              <w:pStyle w:val="TableParagraph"/>
              <w:ind w:left="109"/>
              <w:jc w:val="center"/>
              <w:rPr>
                <w:rFonts w:ascii="Arial" w:hAnsi="Arial" w:cs="Arial"/>
                <w:sz w:val="20"/>
                <w:szCs w:val="20"/>
              </w:rPr>
            </w:pPr>
          </w:p>
        </w:tc>
        <w:tc>
          <w:tcPr>
            <w:tcW w:w="1421" w:type="dxa"/>
            <w:vAlign w:val="center"/>
          </w:tcPr>
          <w:p w14:paraId="056C66BF" w14:textId="77777777" w:rsidR="00D77A23" w:rsidRPr="00A6483F" w:rsidRDefault="00D77A23" w:rsidP="00687FFC">
            <w:pPr>
              <w:pStyle w:val="TableParagraph"/>
              <w:ind w:left="109"/>
              <w:jc w:val="center"/>
              <w:rPr>
                <w:rFonts w:ascii="Arial" w:hAnsi="Arial" w:cs="Arial"/>
                <w:sz w:val="20"/>
                <w:szCs w:val="20"/>
              </w:rPr>
            </w:pPr>
            <w:r w:rsidRPr="00A6483F">
              <w:rPr>
                <w:rFonts w:ascii="Arial" w:hAnsi="Arial" w:cs="Arial"/>
                <w:sz w:val="20"/>
                <w:szCs w:val="20"/>
              </w:rPr>
              <w:t>5.11±0.21</w:t>
            </w:r>
          </w:p>
        </w:tc>
        <w:tc>
          <w:tcPr>
            <w:tcW w:w="1460" w:type="dxa"/>
            <w:vAlign w:val="center"/>
          </w:tcPr>
          <w:p w14:paraId="2AAE5134"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3.6±0.57</w:t>
            </w:r>
          </w:p>
        </w:tc>
        <w:tc>
          <w:tcPr>
            <w:tcW w:w="1258" w:type="dxa"/>
            <w:vAlign w:val="center"/>
          </w:tcPr>
          <w:p w14:paraId="7C6E0AFC" w14:textId="77777777" w:rsidR="00D77A23" w:rsidRPr="00A6483F" w:rsidRDefault="00D77A23" w:rsidP="00687FFC">
            <w:pPr>
              <w:pStyle w:val="TableParagraph"/>
              <w:ind w:left="105"/>
              <w:jc w:val="center"/>
              <w:rPr>
                <w:rFonts w:ascii="Arial" w:hAnsi="Arial" w:cs="Arial"/>
                <w:sz w:val="20"/>
                <w:szCs w:val="20"/>
              </w:rPr>
            </w:pPr>
            <w:r w:rsidRPr="00A6483F">
              <w:rPr>
                <w:rFonts w:ascii="Arial" w:hAnsi="Arial" w:cs="Arial"/>
                <w:sz w:val="20"/>
                <w:szCs w:val="20"/>
              </w:rPr>
              <w:t>4.6±0.57</w:t>
            </w:r>
          </w:p>
        </w:tc>
      </w:tr>
      <w:tr w:rsidR="00D77A23" w:rsidRPr="00A6483F" w14:paraId="6807F990" w14:textId="77777777" w:rsidTr="00CB1587">
        <w:trPr>
          <w:trHeight w:val="691"/>
          <w:jc w:val="center"/>
        </w:trPr>
        <w:tc>
          <w:tcPr>
            <w:tcW w:w="1979" w:type="dxa"/>
            <w:vAlign w:val="center"/>
          </w:tcPr>
          <w:p w14:paraId="681B4D89" w14:textId="77777777" w:rsidR="00D77A23" w:rsidRPr="00A6483F" w:rsidRDefault="00D77A23" w:rsidP="00CB1587">
            <w:pPr>
              <w:pStyle w:val="TableParagraph"/>
              <w:ind w:left="686" w:right="682"/>
              <w:jc w:val="center"/>
              <w:rPr>
                <w:rFonts w:ascii="Arial" w:hAnsi="Arial" w:cs="Arial"/>
                <w:sz w:val="20"/>
                <w:szCs w:val="20"/>
              </w:rPr>
            </w:pPr>
            <w:r w:rsidRPr="00A6483F">
              <w:rPr>
                <w:rFonts w:ascii="Arial" w:hAnsi="Arial" w:cs="Arial"/>
                <w:sz w:val="20"/>
                <w:szCs w:val="20"/>
              </w:rPr>
              <w:t>10-20</w:t>
            </w:r>
          </w:p>
        </w:tc>
        <w:tc>
          <w:tcPr>
            <w:tcW w:w="1292" w:type="dxa"/>
            <w:vAlign w:val="center"/>
          </w:tcPr>
          <w:p w14:paraId="7A7A7A00" w14:textId="77777777" w:rsidR="00D77A23" w:rsidRPr="00A6483F" w:rsidRDefault="00D77A23" w:rsidP="00687FFC">
            <w:pPr>
              <w:pStyle w:val="TableParagraph"/>
              <w:ind w:left="104"/>
              <w:jc w:val="center"/>
              <w:rPr>
                <w:rFonts w:ascii="Arial" w:hAnsi="Arial" w:cs="Arial"/>
                <w:sz w:val="20"/>
                <w:szCs w:val="20"/>
              </w:rPr>
            </w:pPr>
            <w:r w:rsidRPr="00A6483F">
              <w:rPr>
                <w:rFonts w:ascii="Arial" w:hAnsi="Arial" w:cs="Arial"/>
                <w:sz w:val="20"/>
                <w:szCs w:val="20"/>
              </w:rPr>
              <w:t>3.3±0.57</w:t>
            </w:r>
          </w:p>
        </w:tc>
        <w:tc>
          <w:tcPr>
            <w:tcW w:w="1421" w:type="dxa"/>
            <w:vAlign w:val="center"/>
          </w:tcPr>
          <w:p w14:paraId="47A74E28" w14:textId="77777777" w:rsidR="00D77A23" w:rsidRPr="00A6483F" w:rsidRDefault="00D77A23" w:rsidP="00687FFC">
            <w:pPr>
              <w:pStyle w:val="TableParagraph"/>
              <w:ind w:left="104"/>
              <w:jc w:val="center"/>
              <w:rPr>
                <w:rFonts w:ascii="Arial" w:hAnsi="Arial" w:cs="Arial"/>
                <w:sz w:val="20"/>
                <w:szCs w:val="20"/>
              </w:rPr>
            </w:pPr>
            <w:r w:rsidRPr="00A6483F">
              <w:rPr>
                <w:rFonts w:ascii="Arial" w:hAnsi="Arial" w:cs="Arial"/>
                <w:sz w:val="20"/>
                <w:szCs w:val="20"/>
              </w:rPr>
              <w:t>3.3±0.57</w:t>
            </w:r>
          </w:p>
        </w:tc>
        <w:tc>
          <w:tcPr>
            <w:tcW w:w="1253" w:type="dxa"/>
            <w:vAlign w:val="center"/>
          </w:tcPr>
          <w:p w14:paraId="786E2D9E" w14:textId="77777777" w:rsidR="00D77A23" w:rsidRPr="00A6483F" w:rsidRDefault="00D77A23" w:rsidP="00687FFC">
            <w:pPr>
              <w:pStyle w:val="TableParagraph"/>
              <w:ind w:left="109"/>
              <w:jc w:val="center"/>
              <w:rPr>
                <w:rFonts w:ascii="Arial" w:hAnsi="Arial" w:cs="Arial"/>
                <w:sz w:val="20"/>
                <w:szCs w:val="20"/>
              </w:rPr>
            </w:pPr>
            <w:r w:rsidRPr="00A6483F">
              <w:rPr>
                <w:rFonts w:ascii="Arial" w:hAnsi="Arial" w:cs="Arial"/>
                <w:sz w:val="20"/>
                <w:szCs w:val="20"/>
              </w:rPr>
              <w:t>3.3±0.08</w:t>
            </w:r>
          </w:p>
        </w:tc>
        <w:tc>
          <w:tcPr>
            <w:tcW w:w="1421" w:type="dxa"/>
            <w:vAlign w:val="center"/>
          </w:tcPr>
          <w:p w14:paraId="35D9057A" w14:textId="77777777" w:rsidR="00D77A23" w:rsidRPr="00A6483F" w:rsidRDefault="00D77A23" w:rsidP="00687FFC">
            <w:pPr>
              <w:pStyle w:val="TableParagraph"/>
              <w:ind w:left="109"/>
              <w:jc w:val="center"/>
              <w:rPr>
                <w:rFonts w:ascii="Arial" w:hAnsi="Arial" w:cs="Arial"/>
                <w:sz w:val="20"/>
                <w:szCs w:val="20"/>
              </w:rPr>
            </w:pPr>
            <w:r w:rsidRPr="00A6483F">
              <w:rPr>
                <w:rFonts w:ascii="Arial" w:hAnsi="Arial" w:cs="Arial"/>
                <w:sz w:val="20"/>
                <w:szCs w:val="20"/>
              </w:rPr>
              <w:t>2.6±0.57</w:t>
            </w:r>
          </w:p>
        </w:tc>
        <w:tc>
          <w:tcPr>
            <w:tcW w:w="1460" w:type="dxa"/>
            <w:vAlign w:val="center"/>
          </w:tcPr>
          <w:p w14:paraId="61B3F58E"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2.6±0.57</w:t>
            </w:r>
          </w:p>
        </w:tc>
        <w:tc>
          <w:tcPr>
            <w:tcW w:w="1258" w:type="dxa"/>
            <w:vAlign w:val="center"/>
          </w:tcPr>
          <w:p w14:paraId="4FE0396D" w14:textId="77777777" w:rsidR="00D77A23" w:rsidRPr="00A6483F" w:rsidRDefault="00D77A23" w:rsidP="00687FFC">
            <w:pPr>
              <w:pStyle w:val="TableParagraph"/>
              <w:ind w:left="105"/>
              <w:jc w:val="center"/>
              <w:rPr>
                <w:rFonts w:ascii="Arial" w:hAnsi="Arial" w:cs="Arial"/>
                <w:sz w:val="20"/>
                <w:szCs w:val="20"/>
              </w:rPr>
            </w:pPr>
            <w:r w:rsidRPr="00A6483F">
              <w:rPr>
                <w:rFonts w:ascii="Arial" w:hAnsi="Arial" w:cs="Arial"/>
                <w:sz w:val="20"/>
                <w:szCs w:val="20"/>
              </w:rPr>
              <w:t>2.6±0.52</w:t>
            </w:r>
          </w:p>
        </w:tc>
      </w:tr>
      <w:tr w:rsidR="00D77A23" w:rsidRPr="00A6483F" w14:paraId="6249A075" w14:textId="77777777" w:rsidTr="00CB1587">
        <w:trPr>
          <w:trHeight w:val="690"/>
          <w:jc w:val="center"/>
        </w:trPr>
        <w:tc>
          <w:tcPr>
            <w:tcW w:w="1979" w:type="dxa"/>
            <w:vAlign w:val="center"/>
          </w:tcPr>
          <w:p w14:paraId="14FE09E4" w14:textId="77777777" w:rsidR="00D77A23" w:rsidRPr="00A6483F" w:rsidRDefault="00D77A23" w:rsidP="00CB1587">
            <w:pPr>
              <w:pStyle w:val="TableParagraph"/>
              <w:ind w:left="686" w:right="682"/>
              <w:jc w:val="center"/>
              <w:rPr>
                <w:rFonts w:ascii="Arial" w:hAnsi="Arial" w:cs="Arial"/>
                <w:sz w:val="20"/>
                <w:szCs w:val="20"/>
              </w:rPr>
            </w:pPr>
            <w:r w:rsidRPr="00A6483F">
              <w:rPr>
                <w:rFonts w:ascii="Arial" w:hAnsi="Arial" w:cs="Arial"/>
                <w:sz w:val="20"/>
                <w:szCs w:val="20"/>
              </w:rPr>
              <w:t>20-30</w:t>
            </w:r>
          </w:p>
        </w:tc>
        <w:tc>
          <w:tcPr>
            <w:tcW w:w="1292" w:type="dxa"/>
            <w:vAlign w:val="center"/>
          </w:tcPr>
          <w:p w14:paraId="70CE3DFA" w14:textId="77777777" w:rsidR="00D77A23" w:rsidRPr="00A6483F" w:rsidRDefault="00D77A23" w:rsidP="00687FFC">
            <w:pPr>
              <w:pStyle w:val="TableParagraph"/>
              <w:ind w:left="104"/>
              <w:jc w:val="center"/>
              <w:rPr>
                <w:rFonts w:ascii="Arial" w:hAnsi="Arial" w:cs="Arial"/>
                <w:sz w:val="20"/>
                <w:szCs w:val="20"/>
              </w:rPr>
            </w:pPr>
            <w:r w:rsidRPr="00A6483F">
              <w:rPr>
                <w:rFonts w:ascii="Arial" w:hAnsi="Arial" w:cs="Arial"/>
                <w:sz w:val="20"/>
                <w:szCs w:val="20"/>
              </w:rPr>
              <w:t>2.3±0.57</w:t>
            </w:r>
          </w:p>
        </w:tc>
        <w:tc>
          <w:tcPr>
            <w:tcW w:w="1421" w:type="dxa"/>
            <w:vAlign w:val="center"/>
          </w:tcPr>
          <w:p w14:paraId="332C8AF8" w14:textId="77777777" w:rsidR="00D77A23" w:rsidRPr="00A6483F" w:rsidRDefault="00D77A23" w:rsidP="00687FFC">
            <w:pPr>
              <w:pStyle w:val="TableParagraph"/>
              <w:ind w:left="104"/>
              <w:jc w:val="center"/>
              <w:rPr>
                <w:rFonts w:ascii="Arial" w:hAnsi="Arial" w:cs="Arial"/>
                <w:sz w:val="20"/>
                <w:szCs w:val="20"/>
              </w:rPr>
            </w:pPr>
            <w:r w:rsidRPr="00A6483F">
              <w:rPr>
                <w:rFonts w:ascii="Arial" w:hAnsi="Arial" w:cs="Arial"/>
                <w:sz w:val="20"/>
                <w:szCs w:val="20"/>
              </w:rPr>
              <w:t>2.6±0.57</w:t>
            </w:r>
          </w:p>
        </w:tc>
        <w:tc>
          <w:tcPr>
            <w:tcW w:w="1253" w:type="dxa"/>
            <w:vAlign w:val="center"/>
          </w:tcPr>
          <w:p w14:paraId="4EDC1C57" w14:textId="77777777" w:rsidR="00D77A23" w:rsidRPr="00A6483F" w:rsidRDefault="00D77A23" w:rsidP="00687FFC">
            <w:pPr>
              <w:pStyle w:val="TableParagraph"/>
              <w:ind w:left="109"/>
              <w:jc w:val="center"/>
              <w:rPr>
                <w:rFonts w:ascii="Arial" w:hAnsi="Arial" w:cs="Arial"/>
                <w:sz w:val="20"/>
                <w:szCs w:val="20"/>
              </w:rPr>
            </w:pPr>
            <w:r w:rsidRPr="00A6483F">
              <w:rPr>
                <w:rFonts w:ascii="Arial" w:hAnsi="Arial" w:cs="Arial"/>
                <w:sz w:val="20"/>
                <w:szCs w:val="20"/>
              </w:rPr>
              <w:t>2.5±0.57</w:t>
            </w:r>
          </w:p>
        </w:tc>
        <w:tc>
          <w:tcPr>
            <w:tcW w:w="1421" w:type="dxa"/>
            <w:vAlign w:val="center"/>
          </w:tcPr>
          <w:p w14:paraId="6D38240C" w14:textId="77777777" w:rsidR="00D77A23" w:rsidRPr="00A6483F" w:rsidRDefault="00D77A23" w:rsidP="00687FFC">
            <w:pPr>
              <w:pStyle w:val="TableParagraph"/>
              <w:ind w:left="109"/>
              <w:jc w:val="center"/>
              <w:rPr>
                <w:rFonts w:ascii="Arial" w:hAnsi="Arial" w:cs="Arial"/>
                <w:sz w:val="20"/>
                <w:szCs w:val="20"/>
              </w:rPr>
            </w:pPr>
            <w:r w:rsidRPr="00A6483F">
              <w:rPr>
                <w:rFonts w:ascii="Arial" w:hAnsi="Arial" w:cs="Arial"/>
                <w:sz w:val="20"/>
                <w:szCs w:val="20"/>
              </w:rPr>
              <w:t>2.3±0.57</w:t>
            </w:r>
          </w:p>
        </w:tc>
        <w:tc>
          <w:tcPr>
            <w:tcW w:w="1460" w:type="dxa"/>
            <w:vAlign w:val="center"/>
          </w:tcPr>
          <w:p w14:paraId="1DCBD686"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1.0±0.01</w:t>
            </w:r>
          </w:p>
        </w:tc>
        <w:tc>
          <w:tcPr>
            <w:tcW w:w="1258" w:type="dxa"/>
            <w:vAlign w:val="center"/>
          </w:tcPr>
          <w:p w14:paraId="2FF19764" w14:textId="77777777" w:rsidR="00D77A23" w:rsidRPr="00A6483F" w:rsidRDefault="00D77A23" w:rsidP="00687FFC">
            <w:pPr>
              <w:pStyle w:val="TableParagraph"/>
              <w:ind w:left="105"/>
              <w:jc w:val="center"/>
              <w:rPr>
                <w:rFonts w:ascii="Arial" w:hAnsi="Arial" w:cs="Arial"/>
                <w:sz w:val="20"/>
                <w:szCs w:val="20"/>
              </w:rPr>
            </w:pPr>
            <w:r w:rsidRPr="00A6483F">
              <w:rPr>
                <w:rFonts w:ascii="Arial" w:hAnsi="Arial" w:cs="Arial"/>
                <w:sz w:val="20"/>
                <w:szCs w:val="20"/>
              </w:rPr>
              <w:t>2.3±0.57</w:t>
            </w:r>
          </w:p>
        </w:tc>
      </w:tr>
      <w:tr w:rsidR="00D77A23" w:rsidRPr="00A6483F" w14:paraId="019E17C5" w14:textId="77777777" w:rsidTr="00CB1587">
        <w:trPr>
          <w:trHeight w:val="652"/>
          <w:jc w:val="center"/>
        </w:trPr>
        <w:tc>
          <w:tcPr>
            <w:tcW w:w="1979" w:type="dxa"/>
            <w:vAlign w:val="center"/>
          </w:tcPr>
          <w:p w14:paraId="3D9D8D22" w14:textId="77777777" w:rsidR="00D77A23" w:rsidRPr="00A6483F" w:rsidRDefault="00D77A23" w:rsidP="00CB1587">
            <w:pPr>
              <w:pStyle w:val="TableParagraph"/>
              <w:ind w:left="686" w:right="682"/>
              <w:jc w:val="center"/>
              <w:rPr>
                <w:rFonts w:ascii="Arial" w:hAnsi="Arial" w:cs="Arial"/>
                <w:sz w:val="20"/>
                <w:szCs w:val="20"/>
              </w:rPr>
            </w:pPr>
            <w:r w:rsidRPr="00A6483F">
              <w:rPr>
                <w:rFonts w:ascii="Arial" w:hAnsi="Arial" w:cs="Arial"/>
                <w:sz w:val="20"/>
                <w:szCs w:val="20"/>
              </w:rPr>
              <w:t>30-40</w:t>
            </w:r>
          </w:p>
        </w:tc>
        <w:tc>
          <w:tcPr>
            <w:tcW w:w="1292" w:type="dxa"/>
            <w:vAlign w:val="center"/>
          </w:tcPr>
          <w:p w14:paraId="603C2904" w14:textId="77777777" w:rsidR="00D77A23" w:rsidRPr="00A6483F" w:rsidRDefault="00D77A23" w:rsidP="00687FFC">
            <w:pPr>
              <w:pStyle w:val="TableParagraph"/>
              <w:ind w:left="104"/>
              <w:jc w:val="center"/>
              <w:rPr>
                <w:rFonts w:ascii="Arial" w:hAnsi="Arial" w:cs="Arial"/>
                <w:sz w:val="20"/>
                <w:szCs w:val="20"/>
              </w:rPr>
            </w:pPr>
            <w:r w:rsidRPr="00A6483F">
              <w:rPr>
                <w:rFonts w:ascii="Arial" w:hAnsi="Arial" w:cs="Arial"/>
                <w:sz w:val="20"/>
                <w:szCs w:val="20"/>
              </w:rPr>
              <w:t>1.0±0.11</w:t>
            </w:r>
          </w:p>
        </w:tc>
        <w:tc>
          <w:tcPr>
            <w:tcW w:w="1421" w:type="dxa"/>
            <w:vAlign w:val="center"/>
          </w:tcPr>
          <w:p w14:paraId="7EFE6C38" w14:textId="77777777" w:rsidR="00D77A23" w:rsidRPr="00A6483F" w:rsidRDefault="00D77A23" w:rsidP="00687FFC">
            <w:pPr>
              <w:pStyle w:val="TableParagraph"/>
              <w:ind w:left="104"/>
              <w:jc w:val="center"/>
              <w:rPr>
                <w:rFonts w:ascii="Arial" w:hAnsi="Arial" w:cs="Arial"/>
                <w:sz w:val="20"/>
                <w:szCs w:val="20"/>
              </w:rPr>
            </w:pPr>
            <w:r w:rsidRPr="00A6483F">
              <w:rPr>
                <w:rFonts w:ascii="Arial" w:hAnsi="Arial" w:cs="Arial"/>
                <w:sz w:val="20"/>
                <w:szCs w:val="20"/>
              </w:rPr>
              <w:t>2.2±0.13</w:t>
            </w:r>
          </w:p>
        </w:tc>
        <w:tc>
          <w:tcPr>
            <w:tcW w:w="1253" w:type="dxa"/>
            <w:vAlign w:val="center"/>
          </w:tcPr>
          <w:p w14:paraId="018AA485" w14:textId="77777777" w:rsidR="00D77A23" w:rsidRPr="00A6483F" w:rsidRDefault="00D77A23" w:rsidP="00687FFC">
            <w:pPr>
              <w:pStyle w:val="TableParagraph"/>
              <w:ind w:left="109"/>
              <w:jc w:val="center"/>
              <w:rPr>
                <w:rFonts w:ascii="Arial" w:hAnsi="Arial" w:cs="Arial"/>
                <w:sz w:val="20"/>
                <w:szCs w:val="20"/>
              </w:rPr>
            </w:pPr>
            <w:r w:rsidRPr="00A6483F">
              <w:rPr>
                <w:rFonts w:ascii="Arial" w:hAnsi="Arial" w:cs="Arial"/>
                <w:sz w:val="20"/>
                <w:szCs w:val="20"/>
              </w:rPr>
              <w:t>1.1±0.73</w:t>
            </w:r>
          </w:p>
        </w:tc>
        <w:tc>
          <w:tcPr>
            <w:tcW w:w="1421" w:type="dxa"/>
            <w:vAlign w:val="center"/>
          </w:tcPr>
          <w:p w14:paraId="3ED645AD" w14:textId="77777777" w:rsidR="00D77A23" w:rsidRPr="00A6483F" w:rsidRDefault="00D77A23" w:rsidP="00687FFC">
            <w:pPr>
              <w:pStyle w:val="TableParagraph"/>
              <w:ind w:left="109"/>
              <w:jc w:val="center"/>
              <w:rPr>
                <w:rFonts w:ascii="Arial" w:hAnsi="Arial" w:cs="Arial"/>
                <w:sz w:val="20"/>
                <w:szCs w:val="20"/>
              </w:rPr>
            </w:pPr>
            <w:r w:rsidRPr="00A6483F">
              <w:rPr>
                <w:rFonts w:ascii="Arial" w:hAnsi="Arial" w:cs="Arial"/>
                <w:sz w:val="20"/>
                <w:szCs w:val="20"/>
              </w:rPr>
              <w:t>1.36±0.57</w:t>
            </w:r>
          </w:p>
        </w:tc>
        <w:tc>
          <w:tcPr>
            <w:tcW w:w="1460" w:type="dxa"/>
            <w:vAlign w:val="center"/>
          </w:tcPr>
          <w:p w14:paraId="3D3BE301"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0±0.00</w:t>
            </w:r>
          </w:p>
        </w:tc>
        <w:tc>
          <w:tcPr>
            <w:tcW w:w="1258" w:type="dxa"/>
            <w:vAlign w:val="center"/>
          </w:tcPr>
          <w:p w14:paraId="3D80648C" w14:textId="77777777" w:rsidR="00D77A23" w:rsidRPr="00A6483F" w:rsidRDefault="00D77A23" w:rsidP="00687FFC">
            <w:pPr>
              <w:pStyle w:val="TableParagraph"/>
              <w:ind w:left="105"/>
              <w:jc w:val="center"/>
              <w:rPr>
                <w:rFonts w:ascii="Arial" w:hAnsi="Arial" w:cs="Arial"/>
                <w:sz w:val="20"/>
                <w:szCs w:val="20"/>
              </w:rPr>
            </w:pPr>
            <w:r w:rsidRPr="00A6483F">
              <w:rPr>
                <w:rFonts w:ascii="Arial" w:hAnsi="Arial" w:cs="Arial"/>
                <w:sz w:val="20"/>
                <w:szCs w:val="20"/>
              </w:rPr>
              <w:t>0.6±0.57</w:t>
            </w:r>
          </w:p>
        </w:tc>
      </w:tr>
      <w:tr w:rsidR="00D77A23" w:rsidRPr="00A6483F" w14:paraId="0A58A330" w14:textId="77777777" w:rsidTr="00CB1587">
        <w:trPr>
          <w:trHeight w:val="652"/>
          <w:jc w:val="center"/>
        </w:trPr>
        <w:tc>
          <w:tcPr>
            <w:tcW w:w="1979" w:type="dxa"/>
            <w:vAlign w:val="center"/>
          </w:tcPr>
          <w:p w14:paraId="290289EE" w14:textId="77777777" w:rsidR="00D77A23" w:rsidRPr="00A6483F" w:rsidRDefault="00D77A23" w:rsidP="00CB1587">
            <w:pPr>
              <w:pStyle w:val="TableParagraph"/>
              <w:ind w:left="686" w:right="682"/>
              <w:jc w:val="center"/>
              <w:rPr>
                <w:rFonts w:ascii="Arial" w:hAnsi="Arial" w:cs="Arial"/>
                <w:sz w:val="20"/>
                <w:szCs w:val="20"/>
              </w:rPr>
            </w:pPr>
            <w:r w:rsidRPr="00A6483F">
              <w:rPr>
                <w:rFonts w:ascii="Arial" w:hAnsi="Arial" w:cs="Arial"/>
                <w:sz w:val="20"/>
                <w:szCs w:val="20"/>
              </w:rPr>
              <w:t>40-50</w:t>
            </w:r>
          </w:p>
        </w:tc>
        <w:tc>
          <w:tcPr>
            <w:tcW w:w="1292" w:type="dxa"/>
            <w:vAlign w:val="center"/>
          </w:tcPr>
          <w:p w14:paraId="61722D20" w14:textId="77777777" w:rsidR="00D77A23" w:rsidRPr="00A6483F" w:rsidRDefault="00D77A23" w:rsidP="00687FFC">
            <w:pPr>
              <w:pStyle w:val="TableParagraph"/>
              <w:ind w:left="104"/>
              <w:jc w:val="center"/>
              <w:rPr>
                <w:rFonts w:ascii="Arial" w:hAnsi="Arial" w:cs="Arial"/>
                <w:sz w:val="20"/>
                <w:szCs w:val="20"/>
              </w:rPr>
            </w:pPr>
            <w:r w:rsidRPr="00A6483F">
              <w:rPr>
                <w:rFonts w:ascii="Arial" w:hAnsi="Arial" w:cs="Arial"/>
                <w:sz w:val="20"/>
                <w:szCs w:val="20"/>
              </w:rPr>
              <w:t>0±0.00</w:t>
            </w:r>
          </w:p>
        </w:tc>
        <w:tc>
          <w:tcPr>
            <w:tcW w:w="1421" w:type="dxa"/>
            <w:vAlign w:val="center"/>
          </w:tcPr>
          <w:p w14:paraId="743A1CC5" w14:textId="77777777" w:rsidR="00D77A23" w:rsidRPr="00A6483F" w:rsidRDefault="00D77A23" w:rsidP="00687FFC">
            <w:pPr>
              <w:pStyle w:val="TableParagraph"/>
              <w:ind w:left="104"/>
              <w:jc w:val="center"/>
              <w:rPr>
                <w:rFonts w:ascii="Arial" w:hAnsi="Arial" w:cs="Arial"/>
                <w:sz w:val="20"/>
                <w:szCs w:val="20"/>
              </w:rPr>
            </w:pPr>
            <w:r w:rsidRPr="00A6483F">
              <w:rPr>
                <w:rFonts w:ascii="Arial" w:hAnsi="Arial" w:cs="Arial"/>
                <w:sz w:val="20"/>
                <w:szCs w:val="20"/>
              </w:rPr>
              <w:t>0.3±0.57</w:t>
            </w:r>
          </w:p>
        </w:tc>
        <w:tc>
          <w:tcPr>
            <w:tcW w:w="1253" w:type="dxa"/>
            <w:vAlign w:val="center"/>
          </w:tcPr>
          <w:p w14:paraId="746EA88D" w14:textId="77777777" w:rsidR="00D77A23" w:rsidRPr="00A6483F" w:rsidRDefault="00D77A23" w:rsidP="00687FFC">
            <w:pPr>
              <w:pStyle w:val="TableParagraph"/>
              <w:ind w:left="109"/>
              <w:jc w:val="center"/>
              <w:rPr>
                <w:rFonts w:ascii="Arial" w:hAnsi="Arial" w:cs="Arial"/>
                <w:b/>
                <w:sz w:val="20"/>
                <w:szCs w:val="20"/>
              </w:rPr>
            </w:pPr>
            <w:r w:rsidRPr="00A6483F">
              <w:rPr>
                <w:rFonts w:ascii="Arial" w:hAnsi="Arial" w:cs="Arial"/>
                <w:sz w:val="20"/>
                <w:szCs w:val="20"/>
              </w:rPr>
              <w:t>1.6±0.15</w:t>
            </w:r>
          </w:p>
        </w:tc>
        <w:tc>
          <w:tcPr>
            <w:tcW w:w="1421" w:type="dxa"/>
            <w:vAlign w:val="center"/>
          </w:tcPr>
          <w:p w14:paraId="54451425" w14:textId="77777777" w:rsidR="00D77A23" w:rsidRPr="00A6483F" w:rsidRDefault="00D77A23" w:rsidP="00687FFC">
            <w:pPr>
              <w:pStyle w:val="TableParagraph"/>
              <w:ind w:left="109"/>
              <w:jc w:val="center"/>
              <w:rPr>
                <w:rFonts w:ascii="Arial" w:hAnsi="Arial" w:cs="Arial"/>
                <w:sz w:val="20"/>
                <w:szCs w:val="20"/>
              </w:rPr>
            </w:pPr>
            <w:r w:rsidRPr="00A6483F">
              <w:rPr>
                <w:rFonts w:ascii="Arial" w:hAnsi="Arial" w:cs="Arial"/>
                <w:sz w:val="20"/>
                <w:szCs w:val="20"/>
              </w:rPr>
              <w:t>0.5±0.00</w:t>
            </w:r>
          </w:p>
        </w:tc>
        <w:tc>
          <w:tcPr>
            <w:tcW w:w="1460" w:type="dxa"/>
            <w:vAlign w:val="center"/>
          </w:tcPr>
          <w:p w14:paraId="7922B112" w14:textId="77777777" w:rsidR="00D77A23" w:rsidRPr="00A6483F" w:rsidRDefault="00D77A23" w:rsidP="00687FFC">
            <w:pPr>
              <w:pStyle w:val="TableParagraph"/>
              <w:ind w:left="110"/>
              <w:jc w:val="center"/>
              <w:rPr>
                <w:rFonts w:ascii="Arial" w:hAnsi="Arial" w:cs="Arial"/>
                <w:sz w:val="20"/>
                <w:szCs w:val="20"/>
              </w:rPr>
            </w:pPr>
            <w:r w:rsidRPr="00A6483F">
              <w:rPr>
                <w:rFonts w:ascii="Arial" w:hAnsi="Arial" w:cs="Arial"/>
                <w:sz w:val="20"/>
                <w:szCs w:val="20"/>
              </w:rPr>
              <w:t>0±0.00</w:t>
            </w:r>
          </w:p>
        </w:tc>
        <w:tc>
          <w:tcPr>
            <w:tcW w:w="1258" w:type="dxa"/>
            <w:vAlign w:val="center"/>
          </w:tcPr>
          <w:p w14:paraId="42EFF361" w14:textId="77777777" w:rsidR="00D77A23" w:rsidRPr="00A6483F" w:rsidRDefault="00D77A23" w:rsidP="00687FFC">
            <w:pPr>
              <w:pStyle w:val="TableParagraph"/>
              <w:ind w:left="105"/>
              <w:jc w:val="center"/>
              <w:rPr>
                <w:rFonts w:ascii="Arial" w:hAnsi="Arial" w:cs="Arial"/>
                <w:sz w:val="20"/>
                <w:szCs w:val="20"/>
              </w:rPr>
            </w:pPr>
            <w:r w:rsidRPr="00A6483F">
              <w:rPr>
                <w:rFonts w:ascii="Arial" w:hAnsi="Arial" w:cs="Arial"/>
                <w:sz w:val="20"/>
                <w:szCs w:val="20"/>
              </w:rPr>
              <w:t>0.6±0.15</w:t>
            </w:r>
          </w:p>
        </w:tc>
      </w:tr>
    </w:tbl>
    <w:p w14:paraId="05791ED7" w14:textId="77777777" w:rsidR="00D77A23" w:rsidRPr="00A6483F" w:rsidRDefault="00D77A23" w:rsidP="00D77A23">
      <w:pPr>
        <w:spacing w:line="240" w:lineRule="auto"/>
        <w:jc w:val="both"/>
        <w:rPr>
          <w:rFonts w:ascii="Arial" w:hAnsi="Arial" w:cs="Arial"/>
          <w:sz w:val="20"/>
          <w:szCs w:val="20"/>
          <w:lang w:val="en-US"/>
        </w:rPr>
      </w:pPr>
      <w:r w:rsidRPr="00A6483F">
        <w:rPr>
          <w:rFonts w:ascii="Arial" w:eastAsia="Times New Roman" w:hAnsi="Arial" w:cs="Arial"/>
          <w:color w:val="000000" w:themeColor="text1"/>
          <w:sz w:val="20"/>
          <w:szCs w:val="20"/>
        </w:rPr>
        <w:t xml:space="preserve">Values are expressed as </w:t>
      </w:r>
      <w:proofErr w:type="spellStart"/>
      <w:r w:rsidRPr="00A6483F">
        <w:rPr>
          <w:rFonts w:ascii="Arial" w:eastAsia="Times New Roman" w:hAnsi="Arial" w:cs="Arial"/>
          <w:color w:val="000000" w:themeColor="text1"/>
          <w:sz w:val="20"/>
          <w:szCs w:val="20"/>
        </w:rPr>
        <w:t>mean±SD</w:t>
      </w:r>
      <w:proofErr w:type="spellEnd"/>
      <w:r w:rsidRPr="00A6483F">
        <w:rPr>
          <w:rFonts w:ascii="Arial" w:eastAsia="Times New Roman" w:hAnsi="Arial" w:cs="Arial"/>
          <w:color w:val="000000" w:themeColor="text1"/>
          <w:sz w:val="20"/>
          <w:szCs w:val="20"/>
        </w:rPr>
        <w:t xml:space="preserve"> (n=3)</w:t>
      </w:r>
      <w:r w:rsidRPr="00A6483F">
        <w:rPr>
          <w:rFonts w:ascii="Arial" w:hAnsi="Arial" w:cs="Arial"/>
          <w:color w:val="000000" w:themeColor="text1"/>
          <w:sz w:val="20"/>
          <w:szCs w:val="20"/>
          <w:lang w:val="en-US"/>
        </w:rPr>
        <w:t xml:space="preserve">. </w:t>
      </w:r>
      <w:r w:rsidRPr="00A6483F">
        <w:rPr>
          <w:rFonts w:ascii="Arial" w:hAnsi="Arial" w:cs="Arial"/>
          <w:sz w:val="20"/>
          <w:szCs w:val="20"/>
          <w:lang w:val="en-US"/>
        </w:rPr>
        <w:t xml:space="preserve">Negative control: EA (Ethyl acetate solvent); Control: Standard culture medium without extract or solvent. </w:t>
      </w:r>
    </w:p>
    <w:p w14:paraId="12A0CCA4" w14:textId="77777777" w:rsidR="00D77A23" w:rsidRPr="00A6483F" w:rsidRDefault="00D77A23" w:rsidP="00D77A23">
      <w:pPr>
        <w:spacing w:line="240" w:lineRule="auto"/>
        <w:rPr>
          <w:rFonts w:ascii="Arial" w:hAnsi="Arial" w:cs="Arial"/>
          <w:sz w:val="20"/>
          <w:szCs w:val="20"/>
          <w:lang w:val="en-US"/>
        </w:rPr>
      </w:pPr>
    </w:p>
    <w:p w14:paraId="3DD75B56" w14:textId="77777777" w:rsidR="00D77A23" w:rsidRPr="00A6483F" w:rsidRDefault="00D77A23" w:rsidP="00D77A23">
      <w:pPr>
        <w:spacing w:line="240" w:lineRule="auto"/>
        <w:ind w:firstLine="720"/>
        <w:rPr>
          <w:rFonts w:ascii="Arial" w:hAnsi="Arial" w:cs="Arial"/>
          <w:b/>
          <w:bCs/>
          <w:sz w:val="20"/>
          <w:szCs w:val="20"/>
          <w:lang w:val="en-US"/>
        </w:rPr>
      </w:pPr>
      <w:r w:rsidRPr="00A6483F">
        <w:rPr>
          <w:rFonts w:ascii="Arial" w:hAnsi="Arial" w:cs="Arial"/>
          <w:noProof/>
          <w:sz w:val="20"/>
          <w:szCs w:val="20"/>
        </w:rPr>
        <w:lastRenderedPageBreak/>
        <w:drawing>
          <wp:anchor distT="0" distB="0" distL="0" distR="0" simplePos="0" relativeHeight="251663360" behindDoc="1" locked="0" layoutInCell="1" allowOverlap="1" wp14:anchorId="4B771E61" wp14:editId="33D5475B">
            <wp:simplePos x="0" y="0"/>
            <wp:positionH relativeFrom="page">
              <wp:posOffset>1336964</wp:posOffset>
            </wp:positionH>
            <wp:positionV relativeFrom="paragraph">
              <wp:posOffset>110721</wp:posOffset>
            </wp:positionV>
            <wp:extent cx="5354955" cy="3114675"/>
            <wp:effectExtent l="0" t="0" r="0" b="9525"/>
            <wp:wrapTight wrapText="bothSides">
              <wp:wrapPolygon edited="0">
                <wp:start x="0" y="0"/>
                <wp:lineTo x="0" y="21534"/>
                <wp:lineTo x="21515" y="21534"/>
                <wp:lineTo x="21515" y="0"/>
                <wp:lineTo x="0" y="0"/>
              </wp:wrapPolygon>
            </wp:wrapTight>
            <wp:docPr id="1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jpeg"/>
                    <pic:cNvPicPr/>
                  </pic:nvPicPr>
                  <pic:blipFill>
                    <a:blip r:embed="rId10" cstate="print"/>
                    <a:stretch>
                      <a:fillRect/>
                    </a:stretch>
                  </pic:blipFill>
                  <pic:spPr>
                    <a:xfrm>
                      <a:off x="0" y="0"/>
                      <a:ext cx="5354955" cy="3114675"/>
                    </a:xfrm>
                    <a:prstGeom prst="rect">
                      <a:avLst/>
                    </a:prstGeom>
                  </pic:spPr>
                </pic:pic>
              </a:graphicData>
            </a:graphic>
            <wp14:sizeRelH relativeFrom="margin">
              <wp14:pctWidth>0</wp14:pctWidth>
            </wp14:sizeRelH>
            <wp14:sizeRelV relativeFrom="margin">
              <wp14:pctHeight>0</wp14:pctHeight>
            </wp14:sizeRelV>
          </wp:anchor>
        </w:drawing>
      </w:r>
    </w:p>
    <w:p w14:paraId="09D7CF15" w14:textId="77777777" w:rsidR="00D77A23" w:rsidRPr="00A6483F" w:rsidRDefault="00D77A23" w:rsidP="00D77A23">
      <w:pPr>
        <w:spacing w:line="240" w:lineRule="auto"/>
        <w:rPr>
          <w:rFonts w:ascii="Arial" w:hAnsi="Arial" w:cs="Arial"/>
          <w:b/>
          <w:bCs/>
          <w:sz w:val="20"/>
          <w:szCs w:val="20"/>
          <w:lang w:val="en-US"/>
        </w:rPr>
      </w:pPr>
      <w:r w:rsidRPr="00A6483F">
        <w:rPr>
          <w:rFonts w:ascii="Arial" w:hAnsi="Arial" w:cs="Arial"/>
          <w:b/>
          <w:bCs/>
          <w:sz w:val="20"/>
          <w:szCs w:val="20"/>
          <w:lang w:val="en-US"/>
        </w:rPr>
        <w:t xml:space="preserve">Fig. 4. </w:t>
      </w:r>
      <w:proofErr w:type="spellStart"/>
      <w:r w:rsidRPr="00A6483F">
        <w:rPr>
          <w:rFonts w:ascii="Arial" w:hAnsi="Arial" w:cs="Arial"/>
          <w:b/>
          <w:bCs/>
          <w:sz w:val="20"/>
          <w:szCs w:val="20"/>
          <w:lang w:val="en-US"/>
        </w:rPr>
        <w:t>Behavioural</w:t>
      </w:r>
      <w:proofErr w:type="spellEnd"/>
      <w:r w:rsidRPr="00A6483F">
        <w:rPr>
          <w:rFonts w:ascii="Arial" w:hAnsi="Arial" w:cs="Arial"/>
          <w:b/>
          <w:bCs/>
          <w:sz w:val="20"/>
          <w:szCs w:val="20"/>
          <w:lang w:val="en-US"/>
        </w:rPr>
        <w:t xml:space="preserve"> assays of </w:t>
      </w:r>
      <w:r w:rsidRPr="00A6483F">
        <w:rPr>
          <w:rFonts w:ascii="Arial" w:hAnsi="Arial" w:cs="Arial"/>
          <w:b/>
          <w:bCs/>
          <w:i/>
          <w:iCs/>
          <w:sz w:val="20"/>
          <w:szCs w:val="20"/>
          <w:lang w:val="en-US"/>
        </w:rPr>
        <w:t xml:space="preserve">Drosophila melanogaster </w:t>
      </w:r>
      <w:r w:rsidRPr="00A6483F">
        <w:rPr>
          <w:rFonts w:ascii="Arial" w:hAnsi="Arial" w:cs="Arial"/>
          <w:b/>
          <w:bCs/>
          <w:sz w:val="20"/>
          <w:szCs w:val="20"/>
          <w:lang w:val="en-US"/>
        </w:rPr>
        <w:t xml:space="preserve">treated with the EA root extract of </w:t>
      </w:r>
      <w:proofErr w:type="spellStart"/>
      <w:r w:rsidRPr="00A6483F">
        <w:rPr>
          <w:rFonts w:ascii="Arial" w:hAnsi="Arial" w:cs="Arial"/>
          <w:b/>
          <w:bCs/>
          <w:i/>
          <w:iCs/>
          <w:sz w:val="20"/>
          <w:szCs w:val="20"/>
          <w:lang w:val="en-US"/>
        </w:rPr>
        <w:t>Ichnocarpus</w:t>
      </w:r>
      <w:proofErr w:type="spellEnd"/>
      <w:r w:rsidRPr="00A6483F">
        <w:rPr>
          <w:rFonts w:ascii="Arial" w:hAnsi="Arial" w:cs="Arial"/>
          <w:b/>
          <w:bCs/>
          <w:i/>
          <w:iCs/>
          <w:sz w:val="20"/>
          <w:szCs w:val="20"/>
          <w:lang w:val="en-US"/>
        </w:rPr>
        <w:t xml:space="preserve"> frutescens</w:t>
      </w:r>
      <w:r w:rsidRPr="00A6483F">
        <w:rPr>
          <w:rFonts w:ascii="Arial" w:hAnsi="Arial" w:cs="Arial"/>
          <w:b/>
          <w:bCs/>
          <w:sz w:val="20"/>
          <w:szCs w:val="20"/>
          <w:lang w:val="en-US"/>
        </w:rPr>
        <w:t>. (a) Crawling assay, (b) Climbing assay.</w:t>
      </w:r>
    </w:p>
    <w:p w14:paraId="37300E21" w14:textId="77777777" w:rsidR="00D77A23" w:rsidRPr="00A6483F" w:rsidRDefault="00D77A23" w:rsidP="00D77A23">
      <w:pPr>
        <w:spacing w:line="240" w:lineRule="auto"/>
        <w:rPr>
          <w:rFonts w:ascii="Arial" w:hAnsi="Arial" w:cs="Arial"/>
          <w:b/>
          <w:bCs/>
          <w:sz w:val="20"/>
          <w:szCs w:val="20"/>
          <w:lang w:val="en-US"/>
        </w:rPr>
      </w:pPr>
    </w:p>
    <w:p w14:paraId="499AD5FD" w14:textId="77777777" w:rsidR="00E73E7E" w:rsidRPr="00A6483F" w:rsidRDefault="008D28AD" w:rsidP="00205B24">
      <w:pPr>
        <w:spacing w:line="240" w:lineRule="auto"/>
        <w:rPr>
          <w:rFonts w:ascii="Arial" w:hAnsi="Arial" w:cs="Arial"/>
          <w:b/>
          <w:bCs/>
          <w:sz w:val="20"/>
          <w:szCs w:val="20"/>
          <w:lang w:val="en-US"/>
        </w:rPr>
      </w:pPr>
      <w:r w:rsidRPr="00A6483F">
        <w:rPr>
          <w:rFonts w:ascii="Arial" w:hAnsi="Arial" w:cs="Arial"/>
          <w:b/>
          <w:bCs/>
          <w:sz w:val="20"/>
          <w:szCs w:val="20"/>
          <w:lang w:val="en-US"/>
        </w:rPr>
        <w:t xml:space="preserve">3.4 </w:t>
      </w:r>
      <w:r w:rsidR="00E73E7E" w:rsidRPr="00A6483F">
        <w:rPr>
          <w:rFonts w:ascii="Arial" w:hAnsi="Arial" w:cs="Arial"/>
          <w:b/>
          <w:bCs/>
          <w:sz w:val="20"/>
          <w:szCs w:val="20"/>
          <w:lang w:val="en-US"/>
        </w:rPr>
        <w:t>cDNA synthesis and stress gene expression analysis</w:t>
      </w:r>
    </w:p>
    <w:p w14:paraId="5410281F" w14:textId="77777777" w:rsidR="009E060F" w:rsidRPr="00A6483F" w:rsidRDefault="00E73E7E" w:rsidP="00057006">
      <w:pPr>
        <w:spacing w:line="240" w:lineRule="auto"/>
        <w:jc w:val="both"/>
        <w:rPr>
          <w:rFonts w:ascii="Arial" w:hAnsi="Arial" w:cs="Arial"/>
          <w:sz w:val="20"/>
          <w:szCs w:val="20"/>
          <w:lang w:val="en-US"/>
        </w:rPr>
      </w:pPr>
      <w:r w:rsidRPr="00A6483F">
        <w:rPr>
          <w:rFonts w:ascii="Arial" w:hAnsi="Arial" w:cs="Arial"/>
          <w:sz w:val="20"/>
          <w:szCs w:val="20"/>
          <w:lang w:val="en-US"/>
        </w:rPr>
        <w:t>The stress-related genes AChE and GstD1 showed strong expression in the control flies, whereas their expression was markedly reduced or absent in flies treated with 2.0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of </w:t>
      </w:r>
      <w:r w:rsidRPr="00A6483F">
        <w:rPr>
          <w:rFonts w:ascii="Arial" w:hAnsi="Arial" w:cs="Arial"/>
          <w:i/>
          <w:sz w:val="20"/>
          <w:szCs w:val="20"/>
          <w:lang w:val="en-US"/>
        </w:rPr>
        <w:t>I. frutescens</w:t>
      </w:r>
      <w:r w:rsidRPr="00A6483F">
        <w:rPr>
          <w:rFonts w:ascii="Arial" w:hAnsi="Arial" w:cs="Arial"/>
          <w:sz w:val="20"/>
          <w:szCs w:val="20"/>
          <w:lang w:val="en-US"/>
        </w:rPr>
        <w:t xml:space="preserve"> root extract. PCR analysis revealed distinct bands at 147 bp for AChE and 172 bp for GstD1 in the control group, while these bands were faint or undetectable in the treated flies. The reduced expression of these stress-responsive genes suggests that the phytoconstituents present in the root extract may suppress or modulate stress-related gene activity. Similarly, the antioxidant genes Cu/Zn-SOD and Mn-SOD exhibited higher expression in the control flies than in the extract-treated group (Fig. 5). Superoxide dismutase genes are typically upregulated when intracellular reactive oxygen species accumulate. Therefore, their reduced expression following treatment indicates that the extract likely diminished oxidative stress either through direct free-radical scavenging or by limiting reactive oxygen species generation. The lower expression of these genes in treated flies may indicate that the phytochemicals present in the root extract reduced oxidative stress, thereby decreasing the requirement for elevated antioxidant enzyme expression (Sanni et al., 2024). This interpretation is consistent with the HPLC results, which identified potent antioxidant compounds, including rutin, kaempferol and quercetin. Previous studies have shown that flavonoid-rich plant extracts can regulate antioxidant gene expression by maintaining intracellular redox balance and reducing oxidative stress (Sarkar et al., 2022; Bas, 2026).</w:t>
      </w:r>
    </w:p>
    <w:p w14:paraId="0AE0059B" w14:textId="77777777" w:rsidR="00D77A23" w:rsidRPr="00A6483F" w:rsidRDefault="00D77A23" w:rsidP="00D77A23">
      <w:pPr>
        <w:spacing w:line="240" w:lineRule="auto"/>
        <w:ind w:firstLine="720"/>
        <w:jc w:val="center"/>
        <w:rPr>
          <w:rFonts w:ascii="Arial" w:hAnsi="Arial" w:cs="Arial"/>
          <w:sz w:val="20"/>
          <w:szCs w:val="20"/>
          <w:lang w:val="en-US"/>
        </w:rPr>
      </w:pPr>
      <w:r w:rsidRPr="00A6483F">
        <w:rPr>
          <w:rFonts w:ascii="Arial" w:hAnsi="Arial" w:cs="Arial"/>
          <w:noProof/>
          <w:sz w:val="20"/>
          <w:szCs w:val="20"/>
        </w:rPr>
        <w:lastRenderedPageBreak/>
        <w:drawing>
          <wp:inline distT="0" distB="0" distL="0" distR="0" wp14:anchorId="6623C2CC" wp14:editId="04F4EC9F">
            <wp:extent cx="5578278" cy="3160776"/>
            <wp:effectExtent l="0" t="0" r="0" b="0"/>
            <wp:docPr id="1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jpeg"/>
                    <pic:cNvPicPr/>
                  </pic:nvPicPr>
                  <pic:blipFill>
                    <a:blip r:embed="rId11" cstate="print"/>
                    <a:stretch>
                      <a:fillRect/>
                    </a:stretch>
                  </pic:blipFill>
                  <pic:spPr>
                    <a:xfrm>
                      <a:off x="0" y="0"/>
                      <a:ext cx="5578278" cy="3160776"/>
                    </a:xfrm>
                    <a:prstGeom prst="rect">
                      <a:avLst/>
                    </a:prstGeom>
                  </pic:spPr>
                </pic:pic>
              </a:graphicData>
            </a:graphic>
          </wp:inline>
        </w:drawing>
      </w:r>
    </w:p>
    <w:p w14:paraId="4F43C4B4" w14:textId="77777777" w:rsidR="00D77A23" w:rsidRPr="00A6483F" w:rsidRDefault="00D77A23" w:rsidP="00D77A23">
      <w:pPr>
        <w:spacing w:line="240" w:lineRule="auto"/>
        <w:rPr>
          <w:rFonts w:ascii="Arial" w:hAnsi="Arial" w:cs="Arial"/>
          <w:b/>
          <w:bCs/>
          <w:sz w:val="20"/>
          <w:szCs w:val="20"/>
          <w:lang w:val="en-US"/>
        </w:rPr>
      </w:pPr>
      <w:r w:rsidRPr="00A6483F">
        <w:rPr>
          <w:rFonts w:ascii="Arial" w:hAnsi="Arial" w:cs="Arial"/>
          <w:b/>
          <w:bCs/>
          <w:sz w:val="20"/>
          <w:szCs w:val="20"/>
          <w:lang w:val="en-US"/>
        </w:rPr>
        <w:t xml:space="preserve">Fig. 5. Agarose gel electrophoresis of stress and antioxidant gene amplification in </w:t>
      </w:r>
      <w:r w:rsidRPr="00A6483F">
        <w:rPr>
          <w:rFonts w:ascii="Arial" w:hAnsi="Arial" w:cs="Arial"/>
          <w:b/>
          <w:bCs/>
          <w:i/>
          <w:iCs/>
          <w:sz w:val="20"/>
          <w:szCs w:val="20"/>
          <w:lang w:val="en-US"/>
        </w:rPr>
        <w:t>Drosophila melanogaster</w:t>
      </w:r>
      <w:r w:rsidRPr="00A6483F">
        <w:rPr>
          <w:rFonts w:ascii="Arial" w:hAnsi="Arial" w:cs="Arial"/>
          <w:b/>
          <w:bCs/>
          <w:sz w:val="20"/>
          <w:szCs w:val="20"/>
          <w:lang w:val="en-US"/>
        </w:rPr>
        <w:t xml:space="preserve"> treated with </w:t>
      </w:r>
      <w:proofErr w:type="spellStart"/>
      <w:r w:rsidRPr="00A6483F">
        <w:rPr>
          <w:rFonts w:ascii="Arial" w:hAnsi="Arial" w:cs="Arial"/>
          <w:b/>
          <w:bCs/>
          <w:i/>
          <w:iCs/>
          <w:sz w:val="20"/>
          <w:szCs w:val="20"/>
          <w:lang w:val="en-US"/>
        </w:rPr>
        <w:t>Ichnocarpus</w:t>
      </w:r>
      <w:proofErr w:type="spellEnd"/>
      <w:r w:rsidRPr="00A6483F">
        <w:rPr>
          <w:rFonts w:ascii="Arial" w:hAnsi="Arial" w:cs="Arial"/>
          <w:b/>
          <w:bCs/>
          <w:i/>
          <w:iCs/>
          <w:sz w:val="20"/>
          <w:szCs w:val="20"/>
          <w:lang w:val="en-US"/>
        </w:rPr>
        <w:t xml:space="preserve"> frutescens</w:t>
      </w:r>
      <w:r w:rsidRPr="00A6483F">
        <w:rPr>
          <w:rFonts w:ascii="Arial" w:hAnsi="Arial" w:cs="Arial"/>
          <w:b/>
          <w:bCs/>
          <w:sz w:val="20"/>
          <w:szCs w:val="20"/>
          <w:lang w:val="en-US"/>
        </w:rPr>
        <w:t xml:space="preserve"> root extract.</w:t>
      </w:r>
    </w:p>
    <w:p w14:paraId="75DE0C79" w14:textId="77777777" w:rsidR="00D77A23" w:rsidRPr="00A6483F" w:rsidRDefault="00D77A23" w:rsidP="00D77A23">
      <w:pPr>
        <w:spacing w:line="240" w:lineRule="auto"/>
        <w:ind w:left="360"/>
        <w:rPr>
          <w:rFonts w:ascii="Arial" w:hAnsi="Arial" w:cs="Arial"/>
          <w:sz w:val="20"/>
          <w:szCs w:val="20"/>
          <w:lang w:val="en-US"/>
        </w:rPr>
      </w:pPr>
      <w:r w:rsidRPr="00A6483F">
        <w:rPr>
          <w:rFonts w:ascii="Arial" w:hAnsi="Arial" w:cs="Arial"/>
          <w:sz w:val="20"/>
          <w:szCs w:val="20"/>
          <w:lang w:val="en-US"/>
        </w:rPr>
        <w:t>(a) Amplification of stress related gens, acetylcholinesterase (</w:t>
      </w:r>
      <w:proofErr w:type="spellStart"/>
      <w:r w:rsidRPr="00A6483F">
        <w:rPr>
          <w:rFonts w:ascii="Arial" w:hAnsi="Arial" w:cs="Arial"/>
          <w:sz w:val="20"/>
          <w:szCs w:val="20"/>
          <w:lang w:val="en-US"/>
        </w:rPr>
        <w:t>AchE</w:t>
      </w:r>
      <w:proofErr w:type="spellEnd"/>
      <w:r w:rsidRPr="00A6483F">
        <w:rPr>
          <w:rFonts w:ascii="Arial" w:hAnsi="Arial" w:cs="Arial"/>
          <w:sz w:val="20"/>
          <w:szCs w:val="20"/>
          <w:lang w:val="en-US"/>
        </w:rPr>
        <w:t>) and glutathione S-transferase D1 (GstD-1). (b)Amplification of antioxidant genes, Cu-Zn superoxide dismutase (Cu-Zn SOD); and Mn superoxide dismutase (Mn- SOD). C- Control; T- 2.0 mg mL</w:t>
      </w:r>
      <w:r w:rsidRPr="00A6483F">
        <w:rPr>
          <w:rFonts w:ascii="Arial" w:hAnsi="Arial" w:cs="Arial"/>
          <w:sz w:val="20"/>
          <w:szCs w:val="20"/>
          <w:vertAlign w:val="superscript"/>
          <w:lang w:val="en-US"/>
        </w:rPr>
        <w:t>-1</w:t>
      </w:r>
      <w:r w:rsidRPr="00A6483F">
        <w:rPr>
          <w:rFonts w:ascii="Arial" w:hAnsi="Arial" w:cs="Arial"/>
          <w:sz w:val="20"/>
          <w:szCs w:val="20"/>
          <w:lang w:val="en-US"/>
        </w:rPr>
        <w:t xml:space="preserve"> EA root treated.</w:t>
      </w:r>
    </w:p>
    <w:p w14:paraId="62916B0D" w14:textId="77777777" w:rsidR="00D77A23" w:rsidRPr="00A6483F" w:rsidRDefault="00D77A23" w:rsidP="00057006">
      <w:pPr>
        <w:spacing w:line="240" w:lineRule="auto"/>
        <w:jc w:val="both"/>
        <w:rPr>
          <w:rFonts w:ascii="Arial" w:hAnsi="Arial" w:cs="Arial"/>
          <w:sz w:val="20"/>
          <w:szCs w:val="20"/>
          <w:lang w:val="en-US"/>
        </w:rPr>
      </w:pPr>
    </w:p>
    <w:p w14:paraId="7FC4BD8A" w14:textId="77777777" w:rsidR="005C7C85" w:rsidRPr="00A6483F" w:rsidRDefault="003D4D2A" w:rsidP="00057006">
      <w:pPr>
        <w:spacing w:line="240" w:lineRule="auto"/>
        <w:rPr>
          <w:rFonts w:ascii="Arial" w:hAnsi="Arial" w:cs="Arial"/>
          <w:b/>
          <w:bCs/>
          <w:lang w:val="en-US"/>
        </w:rPr>
      </w:pPr>
      <w:r w:rsidRPr="00A6483F">
        <w:rPr>
          <w:rFonts w:ascii="Arial" w:hAnsi="Arial" w:cs="Arial"/>
          <w:b/>
          <w:bCs/>
          <w:lang w:val="en-US"/>
        </w:rPr>
        <w:t xml:space="preserve">4. </w:t>
      </w:r>
      <w:r w:rsidR="00512664" w:rsidRPr="00A6483F">
        <w:rPr>
          <w:rFonts w:ascii="Arial" w:hAnsi="Arial" w:cs="Arial"/>
          <w:b/>
          <w:bCs/>
          <w:lang w:val="en-US"/>
        </w:rPr>
        <w:t>CONCLUSION</w:t>
      </w:r>
      <w:r w:rsidR="009B0A4B" w:rsidRPr="00A6483F">
        <w:rPr>
          <w:rFonts w:ascii="Arial" w:hAnsi="Arial" w:cs="Arial"/>
          <w:b/>
          <w:bCs/>
          <w:lang w:val="en-US"/>
        </w:rPr>
        <w:t xml:space="preserve"> </w:t>
      </w:r>
    </w:p>
    <w:p w14:paraId="7E833BB8" w14:textId="77777777" w:rsidR="005E131D" w:rsidRPr="00A6483F" w:rsidRDefault="005E131D" w:rsidP="005E131D">
      <w:pPr>
        <w:pStyle w:val="pdq2pgselectionanchorcontainer"/>
        <w:jc w:val="both"/>
      </w:pPr>
      <w:r w:rsidRPr="00A6483F">
        <w:t xml:space="preserve">The present study indicates that the ethyl acetate root extract of </w:t>
      </w:r>
      <w:proofErr w:type="spellStart"/>
      <w:r w:rsidRPr="00A6483F">
        <w:rPr>
          <w:rStyle w:val="Emphasis"/>
        </w:rPr>
        <w:t>Ichnocarpus</w:t>
      </w:r>
      <w:proofErr w:type="spellEnd"/>
      <w:r w:rsidRPr="00A6483F">
        <w:rPr>
          <w:rStyle w:val="Emphasis"/>
        </w:rPr>
        <w:t xml:space="preserve"> frutescens</w:t>
      </w:r>
      <w:r w:rsidRPr="00A6483F">
        <w:t xml:space="preserve"> contains several antioxidant-associated phytoconstituents, with rutin and kaempferol occurring at the highest detected concentrations. Across the tested concentration range, the extract did not cause larval mortality during the developmental observation period and supported progression from larval to pupal stages. </w:t>
      </w:r>
      <w:proofErr w:type="spellStart"/>
      <w:r w:rsidRPr="00A6483F">
        <w:t>Behavioural</w:t>
      </w:r>
      <w:proofErr w:type="spellEnd"/>
      <w:r w:rsidRPr="00A6483F">
        <w:t xml:space="preserve"> assays showed improved locomotor performance, with the 2.0 mg mL⁻¹ treatment producing the strongest crawling and climbing responses among the tested groups. In addition, reduced expression of </w:t>
      </w:r>
      <w:proofErr w:type="spellStart"/>
      <w:r w:rsidRPr="00A6483F">
        <w:t>AChE</w:t>
      </w:r>
      <w:proofErr w:type="spellEnd"/>
      <w:r w:rsidRPr="00A6483F">
        <w:t xml:space="preserve">, GstD1, Cu/Zn-SOD and Mn-SOD in extract-treated flies was consistent with a lower stress-associated molecular response under the experimental conditions. Collectively, the developmental, </w:t>
      </w:r>
      <w:proofErr w:type="spellStart"/>
      <w:r w:rsidRPr="00A6483F">
        <w:t>behavioural</w:t>
      </w:r>
      <w:proofErr w:type="spellEnd"/>
      <w:r w:rsidRPr="00A6483F">
        <w:t xml:space="preserve"> and molecular findings suggest that the EA root extract of </w:t>
      </w:r>
      <w:r w:rsidRPr="00A6483F">
        <w:rPr>
          <w:rStyle w:val="Emphasis"/>
        </w:rPr>
        <w:t>I. frutescens</w:t>
      </w:r>
      <w:r w:rsidRPr="00A6483F">
        <w:t xml:space="preserve"> has antistress and neuroprotective potential in </w:t>
      </w:r>
      <w:r w:rsidRPr="00A6483F">
        <w:rPr>
          <w:rStyle w:val="Emphasis"/>
        </w:rPr>
        <w:t>Drosophila melanogaster</w:t>
      </w:r>
      <w:r w:rsidRPr="00A6483F">
        <w:t>. These results provide a basis for further investigation of the identified phytoconstituents and their contribution to the observed biological effects. Further evaluation in complementary experimental systems would help define the relevance and reproducibility of these observed effects.</w:t>
      </w:r>
    </w:p>
    <w:p w14:paraId="0C5BD6D9" w14:textId="6D07E723" w:rsidR="00512664" w:rsidRPr="00A6483F" w:rsidRDefault="00A6483F" w:rsidP="009B0A4B">
      <w:pPr>
        <w:spacing w:line="240" w:lineRule="auto"/>
        <w:jc w:val="both"/>
        <w:rPr>
          <w:rFonts w:ascii="Arial" w:hAnsi="Arial" w:cs="Arial"/>
          <w:b/>
          <w:bCs/>
          <w:sz w:val="20"/>
          <w:szCs w:val="20"/>
          <w:lang w:val="en-US"/>
        </w:rPr>
      </w:pPr>
      <w:r w:rsidRPr="00A6483F">
        <w:rPr>
          <w:rFonts w:ascii="Arial" w:hAnsi="Arial" w:cs="Arial"/>
          <w:b/>
          <w:bCs/>
          <w:sz w:val="20"/>
          <w:szCs w:val="20"/>
          <w:lang w:val="en-US"/>
        </w:rPr>
        <w:t>Limitations</w:t>
      </w:r>
    </w:p>
    <w:p w14:paraId="6DA7866E" w14:textId="0C5A9128" w:rsidR="00A6483F" w:rsidRPr="00A6483F" w:rsidRDefault="00A6483F" w:rsidP="009B0A4B">
      <w:pPr>
        <w:spacing w:line="240" w:lineRule="auto"/>
        <w:jc w:val="both"/>
        <w:rPr>
          <w:rFonts w:ascii="Arial" w:hAnsi="Arial" w:cs="Arial"/>
          <w:sz w:val="20"/>
          <w:szCs w:val="20"/>
          <w:lang w:val="en-US"/>
        </w:rPr>
      </w:pPr>
      <w:r w:rsidRPr="00A6483F">
        <w:t xml:space="preserve">This study was conducted in </w:t>
      </w:r>
      <w:r w:rsidRPr="00A6483F">
        <w:rPr>
          <w:rStyle w:val="Emphasis"/>
        </w:rPr>
        <w:t>Drosophila melanogaster</w:t>
      </w:r>
      <w:r w:rsidRPr="00A6483F">
        <w:t xml:space="preserve"> and evaluated a defined concentration range of the EA root extract; therefore, the findings should be interpreted within this experimental model. Molecular assessment was limited to selected stress- and antioxidant-related genes, while HPLC profiling focused on the detected phytoconstituents reported in the manuscript. Further studies using complementary molecular and biochemical endpoints would help clarify the relationship between the extract’s phytochemical profile and the observed developmental and locomotor responses.</w:t>
      </w:r>
    </w:p>
    <w:p w14:paraId="3A4E05D2" w14:textId="77777777" w:rsidR="00C36709" w:rsidRPr="00A6483F" w:rsidRDefault="00C36709" w:rsidP="009B0A4B">
      <w:pPr>
        <w:spacing w:line="240" w:lineRule="auto"/>
        <w:jc w:val="both"/>
        <w:rPr>
          <w:rFonts w:ascii="Arial" w:hAnsi="Arial" w:cs="Arial"/>
          <w:bCs/>
          <w:color w:val="000000" w:themeColor="text1"/>
          <w:sz w:val="20"/>
          <w:szCs w:val="20"/>
        </w:rPr>
      </w:pPr>
    </w:p>
    <w:p w14:paraId="5E420B99" w14:textId="77777777" w:rsidR="00C36709" w:rsidRPr="00A6483F" w:rsidRDefault="00C36709" w:rsidP="00C36709">
      <w:pPr>
        <w:spacing w:after="0" w:line="240" w:lineRule="auto"/>
        <w:rPr>
          <w:rFonts w:ascii="Arial" w:eastAsia="Calibri" w:hAnsi="Arial" w:cs="Arial"/>
          <w:b/>
          <w:kern w:val="0"/>
          <w:sz w:val="20"/>
          <w:szCs w:val="20"/>
          <w:lang w:val="en-US"/>
          <w14:ligatures w14:val="none"/>
        </w:rPr>
      </w:pPr>
      <w:r w:rsidRPr="00A6483F">
        <w:rPr>
          <w:rFonts w:ascii="Arial" w:eastAsia="Calibri" w:hAnsi="Arial" w:cs="Arial"/>
          <w:b/>
          <w:kern w:val="0"/>
          <w:sz w:val="20"/>
          <w:szCs w:val="20"/>
          <w:lang w:val="en-US"/>
          <w14:ligatures w14:val="none"/>
        </w:rPr>
        <w:t>Declaration of AI Use</w:t>
      </w:r>
    </w:p>
    <w:p w14:paraId="26C3E345" w14:textId="77777777" w:rsidR="00C36709" w:rsidRPr="00A6483F" w:rsidRDefault="00C36709" w:rsidP="00C36709">
      <w:pPr>
        <w:spacing w:after="0" w:line="240" w:lineRule="auto"/>
        <w:rPr>
          <w:rFonts w:ascii="Arial" w:eastAsia="Calibri" w:hAnsi="Arial" w:cs="Arial"/>
          <w:kern w:val="0"/>
          <w:sz w:val="20"/>
          <w:szCs w:val="20"/>
          <w:lang w:val="en-US"/>
          <w14:ligatures w14:val="none"/>
        </w:rPr>
      </w:pPr>
    </w:p>
    <w:p w14:paraId="43F29D1E" w14:textId="77777777" w:rsidR="00C36709" w:rsidRPr="00A6483F" w:rsidRDefault="00C36709" w:rsidP="00C36709">
      <w:pPr>
        <w:spacing w:after="0" w:line="240" w:lineRule="auto"/>
        <w:rPr>
          <w:rFonts w:ascii="Arial" w:eastAsia="Calibri" w:hAnsi="Arial" w:cs="Arial"/>
          <w:kern w:val="0"/>
          <w:sz w:val="20"/>
          <w:szCs w:val="20"/>
          <w:lang w:val="en-US"/>
          <w14:ligatures w14:val="none"/>
        </w:rPr>
      </w:pPr>
      <w:r w:rsidRPr="00A6483F">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D825393" w14:textId="77777777" w:rsidR="00C36709" w:rsidRPr="00A6483F" w:rsidRDefault="00C36709" w:rsidP="00C36709">
      <w:pPr>
        <w:spacing w:after="0" w:line="240" w:lineRule="auto"/>
        <w:jc w:val="both"/>
        <w:rPr>
          <w:rFonts w:ascii="Times New Roman" w:eastAsia="Calibri" w:hAnsi="Times New Roman" w:cs="Times New Roman"/>
          <w:kern w:val="0"/>
          <w:lang w:val="en-US"/>
          <w14:ligatures w14:val="none"/>
        </w:rPr>
      </w:pPr>
    </w:p>
    <w:p w14:paraId="1BCD19C7" w14:textId="77777777" w:rsidR="00C36709" w:rsidRPr="00A6483F" w:rsidRDefault="00C36709" w:rsidP="00C36709">
      <w:pPr>
        <w:spacing w:after="0" w:line="240" w:lineRule="auto"/>
        <w:jc w:val="both"/>
        <w:rPr>
          <w:rFonts w:ascii="Times New Roman" w:eastAsia="Calibri" w:hAnsi="Times New Roman" w:cs="Times New Roman"/>
          <w:kern w:val="0"/>
          <w:lang w:val="en-US"/>
          <w14:ligatures w14:val="none"/>
        </w:rPr>
      </w:pPr>
    </w:p>
    <w:p w14:paraId="2662A5EF" w14:textId="77777777" w:rsidR="00C36709" w:rsidRPr="00A6483F" w:rsidRDefault="00C36709" w:rsidP="00C36709">
      <w:pPr>
        <w:spacing w:after="200" w:line="276" w:lineRule="auto"/>
        <w:rPr>
          <w:rFonts w:ascii="Cambria" w:eastAsia="Times New Roman" w:hAnsi="Cambria" w:cs="Arial"/>
          <w:b/>
          <w:bCs/>
          <w:kern w:val="0"/>
          <w:lang w:val="en-GB" w:eastAsia="en-GB"/>
          <w14:ligatures w14:val="none"/>
        </w:rPr>
      </w:pPr>
      <w:r w:rsidRPr="00A6483F">
        <w:rPr>
          <w:rFonts w:ascii="Cambria" w:eastAsia="Times New Roman" w:hAnsi="Cambria" w:cs="Arial"/>
          <w:b/>
          <w:bCs/>
          <w:kern w:val="0"/>
          <w:lang w:val="en-GB" w:eastAsia="en-GB"/>
          <w14:ligatures w14:val="none"/>
        </w:rPr>
        <w:t>COMPETING INTERESTS DISCLAIMER:</w:t>
      </w:r>
    </w:p>
    <w:p w14:paraId="318495F8" w14:textId="77777777" w:rsidR="00C36709" w:rsidRPr="00A6483F" w:rsidRDefault="00C36709" w:rsidP="00C36709">
      <w:pPr>
        <w:spacing w:after="200" w:line="276" w:lineRule="auto"/>
        <w:rPr>
          <w:rFonts w:ascii="Cambria" w:eastAsia="Times New Roman" w:hAnsi="Cambria" w:cs="Times New Roman"/>
          <w:kern w:val="0"/>
          <w:lang w:val="en-GB" w:eastAsia="en-GB"/>
          <w14:ligatures w14:val="none"/>
        </w:rPr>
      </w:pPr>
      <w:r w:rsidRPr="00A6483F">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467A2442" w14:textId="77777777" w:rsidR="00C36709" w:rsidRPr="00A6483F" w:rsidRDefault="00C36709" w:rsidP="009B0A4B">
      <w:pPr>
        <w:spacing w:line="240" w:lineRule="auto"/>
        <w:jc w:val="both"/>
        <w:rPr>
          <w:rFonts w:ascii="Arial" w:hAnsi="Arial" w:cs="Arial"/>
          <w:sz w:val="20"/>
          <w:szCs w:val="20"/>
          <w:lang w:val="en-US"/>
        </w:rPr>
      </w:pPr>
    </w:p>
    <w:p w14:paraId="56CDD7A9" w14:textId="77777777" w:rsidR="00C04436" w:rsidRPr="00A6483F" w:rsidRDefault="00C04436" w:rsidP="009B0A4B">
      <w:pPr>
        <w:spacing w:line="240" w:lineRule="auto"/>
        <w:jc w:val="both"/>
        <w:rPr>
          <w:rFonts w:ascii="Arial" w:hAnsi="Arial" w:cs="Arial"/>
          <w:b/>
          <w:bCs/>
          <w:lang w:val="en-US"/>
        </w:rPr>
      </w:pPr>
      <w:r w:rsidRPr="00A6483F">
        <w:rPr>
          <w:rFonts w:ascii="Arial" w:hAnsi="Arial" w:cs="Arial"/>
          <w:b/>
          <w:bCs/>
          <w:lang w:val="en-US"/>
        </w:rPr>
        <w:t>REFE</w:t>
      </w:r>
      <w:r w:rsidR="003D4D2A" w:rsidRPr="00A6483F">
        <w:rPr>
          <w:rFonts w:ascii="Arial" w:hAnsi="Arial" w:cs="Arial"/>
          <w:b/>
          <w:bCs/>
          <w:lang w:val="en-US"/>
        </w:rPr>
        <w:t>R</w:t>
      </w:r>
      <w:r w:rsidRPr="00A6483F">
        <w:rPr>
          <w:rFonts w:ascii="Arial" w:hAnsi="Arial" w:cs="Arial"/>
          <w:b/>
          <w:bCs/>
          <w:lang w:val="en-US"/>
        </w:rPr>
        <w:t>ENCES</w:t>
      </w:r>
    </w:p>
    <w:p w14:paraId="2ABCD855" w14:textId="77777777" w:rsidR="005A019D" w:rsidRDefault="005A019D" w:rsidP="005A019D">
      <w:pPr>
        <w:jc w:val="both"/>
        <w:rPr>
          <w:rFonts w:ascii="Arial" w:hAnsi="Arial" w:cs="Arial"/>
          <w:bCs/>
          <w:sz w:val="20"/>
          <w:szCs w:val="20"/>
        </w:rPr>
      </w:pPr>
    </w:p>
    <w:p w14:paraId="0C4BA828"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0385C">
        <w:rPr>
          <w:rFonts w:ascii="Times New Roman" w:eastAsia="Times New Roman" w:hAnsi="Times New Roman" w:cs="Times New Roman"/>
          <w:kern w:val="0"/>
          <w:sz w:val="24"/>
          <w:szCs w:val="24"/>
          <w:lang w:val="en-US"/>
          <w14:ligatures w14:val="none"/>
        </w:rPr>
        <w:t>Adedara</w:t>
      </w:r>
      <w:proofErr w:type="spellEnd"/>
      <w:r w:rsidRPr="0060385C">
        <w:rPr>
          <w:rFonts w:ascii="Times New Roman" w:eastAsia="Times New Roman" w:hAnsi="Times New Roman" w:cs="Times New Roman"/>
          <w:kern w:val="0"/>
          <w:sz w:val="24"/>
          <w:szCs w:val="24"/>
          <w:lang w:val="en-US"/>
          <w14:ligatures w14:val="none"/>
        </w:rPr>
        <w:t xml:space="preserve">, A. O., Bressan, G. N., Dos Santos, M. M., </w:t>
      </w:r>
      <w:proofErr w:type="spellStart"/>
      <w:r w:rsidRPr="0060385C">
        <w:rPr>
          <w:rFonts w:ascii="Times New Roman" w:eastAsia="Times New Roman" w:hAnsi="Times New Roman" w:cs="Times New Roman"/>
          <w:kern w:val="0"/>
          <w:sz w:val="24"/>
          <w:szCs w:val="24"/>
          <w:lang w:val="en-US"/>
          <w14:ligatures w14:val="none"/>
        </w:rPr>
        <w:t>Fachinetto</w:t>
      </w:r>
      <w:proofErr w:type="spellEnd"/>
      <w:r w:rsidRPr="0060385C">
        <w:rPr>
          <w:rFonts w:ascii="Times New Roman" w:eastAsia="Times New Roman" w:hAnsi="Times New Roman" w:cs="Times New Roman"/>
          <w:kern w:val="0"/>
          <w:sz w:val="24"/>
          <w:szCs w:val="24"/>
          <w:lang w:val="en-US"/>
          <w14:ligatures w14:val="none"/>
        </w:rPr>
        <w:t xml:space="preserve">, R., </w:t>
      </w:r>
      <w:proofErr w:type="spellStart"/>
      <w:r w:rsidRPr="0060385C">
        <w:rPr>
          <w:rFonts w:ascii="Times New Roman" w:eastAsia="Times New Roman" w:hAnsi="Times New Roman" w:cs="Times New Roman"/>
          <w:kern w:val="0"/>
          <w:sz w:val="24"/>
          <w:szCs w:val="24"/>
          <w:lang w:val="en-US"/>
          <w14:ligatures w14:val="none"/>
        </w:rPr>
        <w:t>Abolaji</w:t>
      </w:r>
      <w:proofErr w:type="spellEnd"/>
      <w:r w:rsidRPr="0060385C">
        <w:rPr>
          <w:rFonts w:ascii="Times New Roman" w:eastAsia="Times New Roman" w:hAnsi="Times New Roman" w:cs="Times New Roman"/>
          <w:kern w:val="0"/>
          <w:sz w:val="24"/>
          <w:szCs w:val="24"/>
          <w:lang w:val="en-US"/>
          <w14:ligatures w14:val="none"/>
        </w:rPr>
        <w:t xml:space="preserve">, A. O., &amp; Barbosa, N. V. (2024). Antioxidant responses driven by </w:t>
      </w:r>
      <w:proofErr w:type="spellStart"/>
      <w:r w:rsidRPr="0060385C">
        <w:rPr>
          <w:rFonts w:ascii="Times New Roman" w:eastAsia="Times New Roman" w:hAnsi="Times New Roman" w:cs="Times New Roman"/>
          <w:kern w:val="0"/>
          <w:sz w:val="24"/>
          <w:szCs w:val="24"/>
          <w:lang w:val="en-US"/>
          <w14:ligatures w14:val="none"/>
        </w:rPr>
        <w:t>hesperetin</w:t>
      </w:r>
      <w:proofErr w:type="spellEnd"/>
      <w:r w:rsidRPr="0060385C">
        <w:rPr>
          <w:rFonts w:ascii="Times New Roman" w:eastAsia="Times New Roman" w:hAnsi="Times New Roman" w:cs="Times New Roman"/>
          <w:kern w:val="0"/>
          <w:sz w:val="24"/>
          <w:szCs w:val="24"/>
          <w:lang w:val="en-US"/>
          <w14:ligatures w14:val="none"/>
        </w:rPr>
        <w:t xml:space="preserve"> and hesperidin counteract Parkinson's disease-like phenotypes in </w:t>
      </w:r>
      <w:r w:rsidRPr="0060385C">
        <w:rPr>
          <w:rFonts w:ascii="Times New Roman" w:eastAsia="Times New Roman" w:hAnsi="Times New Roman" w:cs="Times New Roman"/>
          <w:i/>
          <w:iCs/>
          <w:kern w:val="0"/>
          <w:sz w:val="24"/>
          <w:szCs w:val="24"/>
          <w:lang w:val="en-US"/>
          <w14:ligatures w14:val="none"/>
        </w:rPr>
        <w:t>Drosophila melanogaster</w:t>
      </w:r>
      <w:r w:rsidRPr="0060385C">
        <w:rPr>
          <w:rFonts w:ascii="Times New Roman" w:eastAsia="Times New Roman" w:hAnsi="Times New Roman" w:cs="Times New Roman"/>
          <w:kern w:val="0"/>
          <w:sz w:val="24"/>
          <w:szCs w:val="24"/>
          <w:lang w:val="en-US"/>
          <w14:ligatures w14:val="none"/>
        </w:rPr>
        <w:t xml:space="preserve">. </w:t>
      </w:r>
      <w:proofErr w:type="spellStart"/>
      <w:r w:rsidRPr="0060385C">
        <w:rPr>
          <w:rFonts w:ascii="Times New Roman" w:eastAsia="Times New Roman" w:hAnsi="Times New Roman" w:cs="Times New Roman"/>
          <w:i/>
          <w:iCs/>
          <w:kern w:val="0"/>
          <w:sz w:val="24"/>
          <w:szCs w:val="24"/>
          <w:lang w:val="en-US"/>
          <w14:ligatures w14:val="none"/>
        </w:rPr>
        <w:t>NeuroToxicology</w:t>
      </w:r>
      <w:proofErr w:type="spellEnd"/>
      <w:r w:rsidRPr="0060385C">
        <w:rPr>
          <w:rFonts w:ascii="Times New Roman" w:eastAsia="Times New Roman" w:hAnsi="Times New Roman" w:cs="Times New Roman"/>
          <w:i/>
          <w:iCs/>
          <w:kern w:val="0"/>
          <w:sz w:val="24"/>
          <w:szCs w:val="24"/>
          <w:lang w:val="en-US"/>
          <w14:ligatures w14:val="none"/>
        </w:rPr>
        <w:t>, 101</w:t>
      </w:r>
      <w:r w:rsidRPr="0060385C">
        <w:rPr>
          <w:rFonts w:ascii="Times New Roman" w:eastAsia="Times New Roman" w:hAnsi="Times New Roman" w:cs="Times New Roman"/>
          <w:kern w:val="0"/>
          <w:sz w:val="24"/>
          <w:szCs w:val="24"/>
          <w:lang w:val="en-US"/>
          <w14:ligatures w14:val="none"/>
        </w:rPr>
        <w:t xml:space="preserve">, 117–127. </w:t>
      </w:r>
      <w:hyperlink r:id="rId12" w:tgtFrame="_blank" w:history="1">
        <w:r w:rsidRPr="0060385C">
          <w:rPr>
            <w:rFonts w:ascii="Times New Roman" w:eastAsia="Times New Roman" w:hAnsi="Times New Roman" w:cs="Times New Roman"/>
            <w:color w:val="0000FF"/>
            <w:kern w:val="0"/>
            <w:sz w:val="24"/>
            <w:szCs w:val="24"/>
            <w:u w:val="single"/>
            <w:lang w:val="en-US"/>
            <w14:ligatures w14:val="none"/>
          </w:rPr>
          <w:t>https://doi.org/10.1016/j.neuro.2024.02.006</w:t>
        </w:r>
      </w:hyperlink>
    </w:p>
    <w:p w14:paraId="4D7EB5E3"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Adhikary, A., &amp; Deb, D. (2022). A preliminary study on the </w:t>
      </w:r>
      <w:proofErr w:type="spellStart"/>
      <w:r w:rsidRPr="0060385C">
        <w:rPr>
          <w:rFonts w:ascii="Times New Roman" w:eastAsia="Times New Roman" w:hAnsi="Times New Roman" w:cs="Times New Roman"/>
          <w:kern w:val="0"/>
          <w:sz w:val="24"/>
          <w:szCs w:val="24"/>
          <w:lang w:val="en-US"/>
          <w14:ligatures w14:val="none"/>
        </w:rPr>
        <w:t>behaviour</w:t>
      </w:r>
      <w:proofErr w:type="spellEnd"/>
      <w:r w:rsidRPr="0060385C">
        <w:rPr>
          <w:rFonts w:ascii="Times New Roman" w:eastAsia="Times New Roman" w:hAnsi="Times New Roman" w:cs="Times New Roman"/>
          <w:kern w:val="0"/>
          <w:sz w:val="24"/>
          <w:szCs w:val="24"/>
          <w:lang w:val="en-US"/>
          <w14:ligatures w14:val="none"/>
        </w:rPr>
        <w:t xml:space="preserve"> of </w:t>
      </w:r>
      <w:r w:rsidRPr="0060385C">
        <w:rPr>
          <w:rFonts w:ascii="Times New Roman" w:eastAsia="Times New Roman" w:hAnsi="Times New Roman" w:cs="Times New Roman"/>
          <w:i/>
          <w:iCs/>
          <w:kern w:val="0"/>
          <w:sz w:val="24"/>
          <w:szCs w:val="24"/>
          <w:lang w:val="en-US"/>
          <w14:ligatures w14:val="none"/>
        </w:rPr>
        <w:t>Drosophila melanogaster</w:t>
      </w:r>
      <w:r w:rsidRPr="0060385C">
        <w:rPr>
          <w:rFonts w:ascii="Times New Roman" w:eastAsia="Times New Roman" w:hAnsi="Times New Roman" w:cs="Times New Roman"/>
          <w:kern w:val="0"/>
          <w:sz w:val="24"/>
          <w:szCs w:val="24"/>
          <w:lang w:val="en-US"/>
          <w14:ligatures w14:val="none"/>
        </w:rPr>
        <w:t xml:space="preserve"> larva to different oil samples. </w:t>
      </w:r>
      <w:r w:rsidRPr="0060385C">
        <w:rPr>
          <w:rFonts w:ascii="Times New Roman" w:eastAsia="Times New Roman" w:hAnsi="Times New Roman" w:cs="Times New Roman"/>
          <w:i/>
          <w:iCs/>
          <w:kern w:val="0"/>
          <w:sz w:val="24"/>
          <w:szCs w:val="24"/>
          <w:lang w:val="en-US"/>
          <w14:ligatures w14:val="none"/>
        </w:rPr>
        <w:t>Uttar Pradesh Journal of Zoology, 43</w:t>
      </w:r>
      <w:r w:rsidRPr="0060385C">
        <w:rPr>
          <w:rFonts w:ascii="Times New Roman" w:eastAsia="Times New Roman" w:hAnsi="Times New Roman" w:cs="Times New Roman"/>
          <w:kern w:val="0"/>
          <w:sz w:val="24"/>
          <w:szCs w:val="24"/>
          <w:lang w:val="en-US"/>
          <w14:ligatures w14:val="none"/>
        </w:rPr>
        <w:t xml:space="preserve">(24), 311–315. </w:t>
      </w:r>
      <w:hyperlink r:id="rId13" w:tgtFrame="_blank" w:history="1">
        <w:r w:rsidRPr="0060385C">
          <w:rPr>
            <w:rFonts w:ascii="Times New Roman" w:eastAsia="Times New Roman" w:hAnsi="Times New Roman" w:cs="Times New Roman"/>
            <w:color w:val="0000FF"/>
            <w:kern w:val="0"/>
            <w:sz w:val="24"/>
            <w:szCs w:val="24"/>
            <w:u w:val="single"/>
            <w:lang w:val="en-US"/>
            <w14:ligatures w14:val="none"/>
          </w:rPr>
          <w:t>https://doi.org/10.56557/upjoz/2022/v43i243326</w:t>
        </w:r>
      </w:hyperlink>
    </w:p>
    <w:p w14:paraId="11149784"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Adnan, M., Siddiqui, A. J., </w:t>
      </w:r>
      <w:proofErr w:type="spellStart"/>
      <w:r w:rsidRPr="0060385C">
        <w:rPr>
          <w:rFonts w:ascii="Times New Roman" w:eastAsia="Times New Roman" w:hAnsi="Times New Roman" w:cs="Times New Roman"/>
          <w:kern w:val="0"/>
          <w:sz w:val="24"/>
          <w:szCs w:val="24"/>
          <w:lang w:val="en-US"/>
          <w14:ligatures w14:val="none"/>
        </w:rPr>
        <w:t>Bardakci</w:t>
      </w:r>
      <w:proofErr w:type="spellEnd"/>
      <w:r w:rsidRPr="0060385C">
        <w:rPr>
          <w:rFonts w:ascii="Times New Roman" w:eastAsia="Times New Roman" w:hAnsi="Times New Roman" w:cs="Times New Roman"/>
          <w:kern w:val="0"/>
          <w:sz w:val="24"/>
          <w:szCs w:val="24"/>
          <w:lang w:val="en-US"/>
          <w14:ligatures w14:val="none"/>
        </w:rPr>
        <w:t xml:space="preserve">, F., Surti, M., Badraoui, R., &amp; Patel, M. (2025). Neuroprotective potential of quercetin in Alzheimer’s disease: Targeting oxidative stress, mitochondrial dysfunction, and amyloid-β aggregation. </w:t>
      </w:r>
      <w:r w:rsidRPr="0060385C">
        <w:rPr>
          <w:rFonts w:ascii="Times New Roman" w:eastAsia="Times New Roman" w:hAnsi="Times New Roman" w:cs="Times New Roman"/>
          <w:i/>
          <w:iCs/>
          <w:kern w:val="0"/>
          <w:sz w:val="24"/>
          <w:szCs w:val="24"/>
          <w:lang w:val="en-US"/>
          <w14:ligatures w14:val="none"/>
        </w:rPr>
        <w:t>Frontiers in Pharmacology, 16</w:t>
      </w:r>
      <w:r w:rsidRPr="0060385C">
        <w:rPr>
          <w:rFonts w:ascii="Times New Roman" w:eastAsia="Times New Roman" w:hAnsi="Times New Roman" w:cs="Times New Roman"/>
          <w:kern w:val="0"/>
          <w:sz w:val="24"/>
          <w:szCs w:val="24"/>
          <w:lang w:val="en-US"/>
          <w14:ligatures w14:val="none"/>
        </w:rPr>
        <w:t xml:space="preserve">, 1593264. </w:t>
      </w:r>
      <w:hyperlink r:id="rId14" w:tgtFrame="_blank" w:history="1">
        <w:r w:rsidRPr="0060385C">
          <w:rPr>
            <w:rFonts w:ascii="Times New Roman" w:eastAsia="Times New Roman" w:hAnsi="Times New Roman" w:cs="Times New Roman"/>
            <w:color w:val="0000FF"/>
            <w:kern w:val="0"/>
            <w:sz w:val="24"/>
            <w:szCs w:val="24"/>
            <w:u w:val="single"/>
            <w:lang w:val="en-US"/>
            <w14:ligatures w14:val="none"/>
          </w:rPr>
          <w:t>https://doi.org/10.3389/fphar.2025.1593264</w:t>
        </w:r>
      </w:hyperlink>
    </w:p>
    <w:p w14:paraId="5E055275"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Allen, E. (2016). RNA extraction from </w:t>
      </w:r>
      <w:r w:rsidRPr="0060385C">
        <w:rPr>
          <w:rFonts w:ascii="Times New Roman" w:eastAsia="Times New Roman" w:hAnsi="Times New Roman" w:cs="Times New Roman"/>
          <w:i/>
          <w:iCs/>
          <w:kern w:val="0"/>
          <w:sz w:val="24"/>
          <w:szCs w:val="24"/>
          <w:lang w:val="en-US"/>
          <w14:ligatures w14:val="none"/>
        </w:rPr>
        <w:t>Drosophila</w:t>
      </w:r>
      <w:r w:rsidRPr="0060385C">
        <w:rPr>
          <w:rFonts w:ascii="Times New Roman" w:eastAsia="Times New Roman" w:hAnsi="Times New Roman" w:cs="Times New Roman"/>
          <w:kern w:val="0"/>
          <w:sz w:val="24"/>
          <w:szCs w:val="24"/>
          <w:lang w:val="en-US"/>
          <w14:ligatures w14:val="none"/>
        </w:rPr>
        <w:t xml:space="preserve"> tissues using </w:t>
      </w:r>
      <w:proofErr w:type="spellStart"/>
      <w:r w:rsidRPr="0060385C">
        <w:rPr>
          <w:rFonts w:ascii="Times New Roman" w:eastAsia="Times New Roman" w:hAnsi="Times New Roman" w:cs="Times New Roman"/>
          <w:kern w:val="0"/>
          <w:sz w:val="24"/>
          <w:szCs w:val="24"/>
          <w:lang w:val="en-US"/>
          <w14:ligatures w14:val="none"/>
        </w:rPr>
        <w:t>TRIzol</w:t>
      </w:r>
      <w:proofErr w:type="spellEnd"/>
      <w:r w:rsidRPr="0060385C">
        <w:rPr>
          <w:rFonts w:ascii="Times New Roman" w:eastAsia="Times New Roman" w:hAnsi="Times New Roman" w:cs="Times New Roman"/>
          <w:kern w:val="0"/>
          <w:sz w:val="24"/>
          <w:szCs w:val="24"/>
          <w:lang w:val="en-US"/>
          <w14:ligatures w14:val="none"/>
        </w:rPr>
        <w:t xml:space="preserve"> reagent. </w:t>
      </w:r>
      <w:r w:rsidRPr="0060385C">
        <w:rPr>
          <w:rFonts w:ascii="Times New Roman" w:eastAsia="Times New Roman" w:hAnsi="Times New Roman" w:cs="Times New Roman"/>
          <w:i/>
          <w:iCs/>
          <w:kern w:val="0"/>
          <w:sz w:val="24"/>
          <w:szCs w:val="24"/>
          <w:lang w:val="en-US"/>
          <w14:ligatures w14:val="none"/>
        </w:rPr>
        <w:t>protocols.io</w:t>
      </w:r>
      <w:r w:rsidRPr="0060385C">
        <w:rPr>
          <w:rFonts w:ascii="Times New Roman" w:eastAsia="Times New Roman" w:hAnsi="Times New Roman" w:cs="Times New Roman"/>
          <w:kern w:val="0"/>
          <w:sz w:val="24"/>
          <w:szCs w:val="24"/>
          <w:lang w:val="en-US"/>
          <w14:ligatures w14:val="none"/>
        </w:rPr>
        <w:t xml:space="preserve">. </w:t>
      </w:r>
      <w:hyperlink r:id="rId15" w:tgtFrame="_blank" w:history="1">
        <w:r w:rsidRPr="0060385C">
          <w:rPr>
            <w:rFonts w:ascii="Times New Roman" w:eastAsia="Times New Roman" w:hAnsi="Times New Roman" w:cs="Times New Roman"/>
            <w:color w:val="0000FF"/>
            <w:kern w:val="0"/>
            <w:sz w:val="24"/>
            <w:szCs w:val="24"/>
            <w:u w:val="single"/>
            <w:lang w:val="en-US"/>
            <w14:ligatures w14:val="none"/>
          </w:rPr>
          <w:t>https://doi.org/10.17504/protocols.io.fgrbjv6</w:t>
        </w:r>
      </w:hyperlink>
    </w:p>
    <w:p w14:paraId="0D39327E"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Al Hoque, A., Begum, S., &amp; Dutta, D. (2025). Occurrence, chemical nature, and medicinal benefits of flavonoids: Rutin, kaempferol, quercetin, anthocyanidins, catechins, and flavones. In B. Mukherjee (Ed.), </w:t>
      </w:r>
      <w:r w:rsidRPr="0060385C">
        <w:rPr>
          <w:rFonts w:ascii="Times New Roman" w:eastAsia="Times New Roman" w:hAnsi="Times New Roman" w:cs="Times New Roman"/>
          <w:i/>
          <w:iCs/>
          <w:kern w:val="0"/>
          <w:sz w:val="24"/>
          <w:szCs w:val="24"/>
          <w:lang w:val="en-US"/>
          <w14:ligatures w14:val="none"/>
        </w:rPr>
        <w:t>Dietary supplements and nutraceuticals</w:t>
      </w:r>
      <w:r w:rsidRPr="0060385C">
        <w:rPr>
          <w:rFonts w:ascii="Times New Roman" w:eastAsia="Times New Roman" w:hAnsi="Times New Roman" w:cs="Times New Roman"/>
          <w:kern w:val="0"/>
          <w:sz w:val="24"/>
          <w:szCs w:val="24"/>
          <w:lang w:val="en-US"/>
          <w14:ligatures w14:val="none"/>
        </w:rPr>
        <w:t xml:space="preserve"> (pp. 185–208). Springer. </w:t>
      </w:r>
      <w:hyperlink r:id="rId16" w:tgtFrame="_blank" w:history="1">
        <w:r w:rsidRPr="0060385C">
          <w:rPr>
            <w:rFonts w:ascii="Times New Roman" w:eastAsia="Times New Roman" w:hAnsi="Times New Roman" w:cs="Times New Roman"/>
            <w:color w:val="0000FF"/>
            <w:kern w:val="0"/>
            <w:sz w:val="24"/>
            <w:szCs w:val="24"/>
            <w:u w:val="single"/>
            <w:lang w:val="en-US"/>
            <w14:ligatures w14:val="none"/>
          </w:rPr>
          <w:t>https://doi.org/10.1007/978-981-96-8622-3_5</w:t>
        </w:r>
      </w:hyperlink>
    </w:p>
    <w:p w14:paraId="6652B309"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0385C">
        <w:rPr>
          <w:rFonts w:ascii="Times New Roman" w:eastAsia="Times New Roman" w:hAnsi="Times New Roman" w:cs="Times New Roman"/>
          <w:kern w:val="0"/>
          <w:sz w:val="24"/>
          <w:szCs w:val="24"/>
          <w:lang w:val="en-US"/>
          <w14:ligatures w14:val="none"/>
        </w:rPr>
        <w:t>Alrumaihi</w:t>
      </w:r>
      <w:proofErr w:type="spellEnd"/>
      <w:r w:rsidRPr="0060385C">
        <w:rPr>
          <w:rFonts w:ascii="Times New Roman" w:eastAsia="Times New Roman" w:hAnsi="Times New Roman" w:cs="Times New Roman"/>
          <w:kern w:val="0"/>
          <w:sz w:val="24"/>
          <w:szCs w:val="24"/>
          <w:lang w:val="en-US"/>
          <w14:ligatures w14:val="none"/>
        </w:rPr>
        <w:t xml:space="preserve">, F., </w:t>
      </w:r>
      <w:proofErr w:type="spellStart"/>
      <w:r w:rsidRPr="0060385C">
        <w:rPr>
          <w:rFonts w:ascii="Times New Roman" w:eastAsia="Times New Roman" w:hAnsi="Times New Roman" w:cs="Times New Roman"/>
          <w:kern w:val="0"/>
          <w:sz w:val="24"/>
          <w:szCs w:val="24"/>
          <w:lang w:val="en-US"/>
          <w14:ligatures w14:val="none"/>
        </w:rPr>
        <w:t>Almatroodi</w:t>
      </w:r>
      <w:proofErr w:type="spellEnd"/>
      <w:r w:rsidRPr="0060385C">
        <w:rPr>
          <w:rFonts w:ascii="Times New Roman" w:eastAsia="Times New Roman" w:hAnsi="Times New Roman" w:cs="Times New Roman"/>
          <w:kern w:val="0"/>
          <w:sz w:val="24"/>
          <w:szCs w:val="24"/>
          <w:lang w:val="en-US"/>
          <w14:ligatures w14:val="none"/>
        </w:rPr>
        <w:t xml:space="preserve">, S. A., Alharbi, H. O. A., </w:t>
      </w:r>
      <w:proofErr w:type="spellStart"/>
      <w:r w:rsidRPr="0060385C">
        <w:rPr>
          <w:rFonts w:ascii="Times New Roman" w:eastAsia="Times New Roman" w:hAnsi="Times New Roman" w:cs="Times New Roman"/>
          <w:kern w:val="0"/>
          <w:sz w:val="24"/>
          <w:szCs w:val="24"/>
          <w:lang w:val="en-US"/>
          <w14:ligatures w14:val="none"/>
        </w:rPr>
        <w:t>Alwanian</w:t>
      </w:r>
      <w:proofErr w:type="spellEnd"/>
      <w:r w:rsidRPr="0060385C">
        <w:rPr>
          <w:rFonts w:ascii="Times New Roman" w:eastAsia="Times New Roman" w:hAnsi="Times New Roman" w:cs="Times New Roman"/>
          <w:kern w:val="0"/>
          <w:sz w:val="24"/>
          <w:szCs w:val="24"/>
          <w:lang w:val="en-US"/>
          <w14:ligatures w14:val="none"/>
        </w:rPr>
        <w:t xml:space="preserve">, W. M., Alharbi, F. A., </w:t>
      </w:r>
      <w:proofErr w:type="spellStart"/>
      <w:r w:rsidRPr="0060385C">
        <w:rPr>
          <w:rFonts w:ascii="Times New Roman" w:eastAsia="Times New Roman" w:hAnsi="Times New Roman" w:cs="Times New Roman"/>
          <w:kern w:val="0"/>
          <w:sz w:val="24"/>
          <w:szCs w:val="24"/>
          <w:lang w:val="en-US"/>
          <w14:ligatures w14:val="none"/>
        </w:rPr>
        <w:t>Almatroudi</w:t>
      </w:r>
      <w:proofErr w:type="spellEnd"/>
      <w:r w:rsidRPr="0060385C">
        <w:rPr>
          <w:rFonts w:ascii="Times New Roman" w:eastAsia="Times New Roman" w:hAnsi="Times New Roman" w:cs="Times New Roman"/>
          <w:kern w:val="0"/>
          <w:sz w:val="24"/>
          <w:szCs w:val="24"/>
          <w:lang w:val="en-US"/>
          <w14:ligatures w14:val="none"/>
        </w:rPr>
        <w:t xml:space="preserve">, A., &amp; Rahmani, A. H. (2024). Pharmacological potential of kaempferol, a flavonoid in the management of pathogenesis via modulation of inflammation and other biological activities. </w:t>
      </w:r>
      <w:r w:rsidRPr="0060385C">
        <w:rPr>
          <w:rFonts w:ascii="Times New Roman" w:eastAsia="Times New Roman" w:hAnsi="Times New Roman" w:cs="Times New Roman"/>
          <w:i/>
          <w:iCs/>
          <w:kern w:val="0"/>
          <w:sz w:val="24"/>
          <w:szCs w:val="24"/>
          <w:lang w:val="en-US"/>
          <w14:ligatures w14:val="none"/>
        </w:rPr>
        <w:t>Molecules, 29</w:t>
      </w:r>
      <w:r w:rsidRPr="0060385C">
        <w:rPr>
          <w:rFonts w:ascii="Times New Roman" w:eastAsia="Times New Roman" w:hAnsi="Times New Roman" w:cs="Times New Roman"/>
          <w:kern w:val="0"/>
          <w:sz w:val="24"/>
          <w:szCs w:val="24"/>
          <w:lang w:val="en-US"/>
          <w14:ligatures w14:val="none"/>
        </w:rPr>
        <w:t xml:space="preserve">(9), 2007. </w:t>
      </w:r>
      <w:hyperlink r:id="rId17" w:tgtFrame="_blank" w:history="1">
        <w:r w:rsidRPr="0060385C">
          <w:rPr>
            <w:rFonts w:ascii="Times New Roman" w:eastAsia="Times New Roman" w:hAnsi="Times New Roman" w:cs="Times New Roman"/>
            <w:color w:val="0000FF"/>
            <w:kern w:val="0"/>
            <w:sz w:val="24"/>
            <w:szCs w:val="24"/>
            <w:u w:val="single"/>
            <w:lang w:val="en-US"/>
            <w14:ligatures w14:val="none"/>
          </w:rPr>
          <w:t>https://doi.org/10.3390/molecules29092007</w:t>
        </w:r>
      </w:hyperlink>
    </w:p>
    <w:p w14:paraId="0DAB4101"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Bas, T. G. (2026). Dietary polyphenols (flavonoids) derived from plants for use in therapeutic health: Antioxidant performance, ROS, molecular mechanisms, and bioavailability </w:t>
      </w:r>
      <w:r w:rsidRPr="0060385C">
        <w:rPr>
          <w:rFonts w:ascii="Times New Roman" w:eastAsia="Times New Roman" w:hAnsi="Times New Roman" w:cs="Times New Roman"/>
          <w:kern w:val="0"/>
          <w:sz w:val="24"/>
          <w:szCs w:val="24"/>
          <w:lang w:val="en-US"/>
          <w14:ligatures w14:val="none"/>
        </w:rPr>
        <w:lastRenderedPageBreak/>
        <w:t xml:space="preserve">limitations. </w:t>
      </w:r>
      <w:r w:rsidRPr="0060385C">
        <w:rPr>
          <w:rFonts w:ascii="Times New Roman" w:eastAsia="Times New Roman" w:hAnsi="Times New Roman" w:cs="Times New Roman"/>
          <w:i/>
          <w:iCs/>
          <w:kern w:val="0"/>
          <w:sz w:val="24"/>
          <w:szCs w:val="24"/>
          <w:lang w:val="en-US"/>
          <w14:ligatures w14:val="none"/>
        </w:rPr>
        <w:t>International Journal of Molecular Sciences, 27</w:t>
      </w:r>
      <w:r w:rsidRPr="0060385C">
        <w:rPr>
          <w:rFonts w:ascii="Times New Roman" w:eastAsia="Times New Roman" w:hAnsi="Times New Roman" w:cs="Times New Roman"/>
          <w:kern w:val="0"/>
          <w:sz w:val="24"/>
          <w:szCs w:val="24"/>
          <w:lang w:val="en-US"/>
          <w14:ligatures w14:val="none"/>
        </w:rPr>
        <w:t xml:space="preserve">(3), 1404. </w:t>
      </w:r>
      <w:hyperlink r:id="rId18" w:tgtFrame="_blank" w:history="1">
        <w:r w:rsidRPr="0060385C">
          <w:rPr>
            <w:rFonts w:ascii="Times New Roman" w:eastAsia="Times New Roman" w:hAnsi="Times New Roman" w:cs="Times New Roman"/>
            <w:color w:val="0000FF"/>
            <w:kern w:val="0"/>
            <w:sz w:val="24"/>
            <w:szCs w:val="24"/>
            <w:u w:val="single"/>
            <w:lang w:val="en-US"/>
            <w14:ligatures w14:val="none"/>
          </w:rPr>
          <w:t>https://doi.org/10.3390/ijms27031404</w:t>
        </w:r>
      </w:hyperlink>
    </w:p>
    <w:p w14:paraId="7DE989F1"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Das, N., Bhattacharya, A., Mandal, S. K., Debnath, U., Dinda, B., Mandal, S. C., </w:t>
      </w:r>
      <w:proofErr w:type="spellStart"/>
      <w:r w:rsidRPr="0060385C">
        <w:rPr>
          <w:rFonts w:ascii="Times New Roman" w:eastAsia="Times New Roman" w:hAnsi="Times New Roman" w:cs="Times New Roman"/>
          <w:kern w:val="0"/>
          <w:sz w:val="24"/>
          <w:szCs w:val="24"/>
          <w:lang w:val="en-US"/>
          <w14:ligatures w14:val="none"/>
        </w:rPr>
        <w:t>Sinhamahapatra</w:t>
      </w:r>
      <w:proofErr w:type="spellEnd"/>
      <w:r w:rsidRPr="0060385C">
        <w:rPr>
          <w:rFonts w:ascii="Times New Roman" w:eastAsia="Times New Roman" w:hAnsi="Times New Roman" w:cs="Times New Roman"/>
          <w:kern w:val="0"/>
          <w:sz w:val="24"/>
          <w:szCs w:val="24"/>
          <w:lang w:val="en-US"/>
          <w14:ligatures w14:val="none"/>
        </w:rPr>
        <w:t xml:space="preserve">, P. K., Kumar, A., Dutta Choudhury, M., Maiti, S., &amp; Palit, P. (2018). </w:t>
      </w:r>
      <w:proofErr w:type="spellStart"/>
      <w:r w:rsidRPr="0060385C">
        <w:rPr>
          <w:rFonts w:ascii="Times New Roman" w:eastAsia="Times New Roman" w:hAnsi="Times New Roman" w:cs="Times New Roman"/>
          <w:i/>
          <w:iCs/>
          <w:kern w:val="0"/>
          <w:sz w:val="24"/>
          <w:szCs w:val="24"/>
          <w:lang w:val="en-US"/>
          <w14:ligatures w14:val="none"/>
        </w:rPr>
        <w:t>Ichnocarpus</w:t>
      </w:r>
      <w:proofErr w:type="spellEnd"/>
      <w:r w:rsidRPr="0060385C">
        <w:rPr>
          <w:rFonts w:ascii="Times New Roman" w:eastAsia="Times New Roman" w:hAnsi="Times New Roman" w:cs="Times New Roman"/>
          <w:i/>
          <w:iCs/>
          <w:kern w:val="0"/>
          <w:sz w:val="24"/>
          <w:szCs w:val="24"/>
          <w:lang w:val="en-US"/>
          <w14:ligatures w14:val="none"/>
        </w:rPr>
        <w:t xml:space="preserve"> frutescens</w:t>
      </w:r>
      <w:r w:rsidRPr="0060385C">
        <w:rPr>
          <w:rFonts w:ascii="Times New Roman" w:eastAsia="Times New Roman" w:hAnsi="Times New Roman" w:cs="Times New Roman"/>
          <w:kern w:val="0"/>
          <w:sz w:val="24"/>
          <w:szCs w:val="24"/>
          <w:lang w:val="en-US"/>
          <w14:ligatures w14:val="none"/>
        </w:rPr>
        <w:t xml:space="preserve"> (L.) R. Br. root derived </w:t>
      </w:r>
      <w:proofErr w:type="spellStart"/>
      <w:r w:rsidRPr="0060385C">
        <w:rPr>
          <w:rFonts w:ascii="Times New Roman" w:eastAsia="Times New Roman" w:hAnsi="Times New Roman" w:cs="Times New Roman"/>
          <w:kern w:val="0"/>
          <w:sz w:val="24"/>
          <w:szCs w:val="24"/>
          <w:lang w:val="en-US"/>
          <w14:ligatures w14:val="none"/>
        </w:rPr>
        <w:t>phyto</w:t>
      </w:r>
      <w:proofErr w:type="spellEnd"/>
      <w:r w:rsidRPr="0060385C">
        <w:rPr>
          <w:rFonts w:ascii="Times New Roman" w:eastAsia="Times New Roman" w:hAnsi="Times New Roman" w:cs="Times New Roman"/>
          <w:kern w:val="0"/>
          <w:sz w:val="24"/>
          <w:szCs w:val="24"/>
          <w:lang w:val="en-US"/>
          <w14:ligatures w14:val="none"/>
        </w:rPr>
        <w:t xml:space="preserve">-steroids defends inflammation and algesia by pulling down the pro-inflammatory and nociceptive pain mediators: An in-vitro and in-vivo appraisal. </w:t>
      </w:r>
      <w:r w:rsidRPr="0060385C">
        <w:rPr>
          <w:rFonts w:ascii="Times New Roman" w:eastAsia="Times New Roman" w:hAnsi="Times New Roman" w:cs="Times New Roman"/>
          <w:i/>
          <w:iCs/>
          <w:kern w:val="0"/>
          <w:sz w:val="24"/>
          <w:szCs w:val="24"/>
          <w:lang w:val="en-US"/>
          <w14:ligatures w14:val="none"/>
        </w:rPr>
        <w:t>Steroids, 139</w:t>
      </w:r>
      <w:r w:rsidRPr="0060385C">
        <w:rPr>
          <w:rFonts w:ascii="Times New Roman" w:eastAsia="Times New Roman" w:hAnsi="Times New Roman" w:cs="Times New Roman"/>
          <w:kern w:val="0"/>
          <w:sz w:val="24"/>
          <w:szCs w:val="24"/>
          <w:lang w:val="en-US"/>
          <w14:ligatures w14:val="none"/>
        </w:rPr>
        <w:t xml:space="preserve">, 18–27. </w:t>
      </w:r>
      <w:hyperlink r:id="rId19" w:tgtFrame="_blank" w:history="1">
        <w:r w:rsidRPr="0060385C">
          <w:rPr>
            <w:rFonts w:ascii="Times New Roman" w:eastAsia="Times New Roman" w:hAnsi="Times New Roman" w:cs="Times New Roman"/>
            <w:color w:val="0000FF"/>
            <w:kern w:val="0"/>
            <w:sz w:val="24"/>
            <w:szCs w:val="24"/>
            <w:u w:val="single"/>
            <w:lang w:val="en-US"/>
            <w14:ligatures w14:val="none"/>
          </w:rPr>
          <w:t>https://doi.org/10.1016/j.steroids.2018.09.005</w:t>
        </w:r>
      </w:hyperlink>
    </w:p>
    <w:p w14:paraId="035DE6CE"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Debnath, I., Ghosh, S., Jha, S. K., Bhunia, S., Nayak, A., Basak, S., Nandi, S., &amp; Bhattacharjee, S. (2025). Mechanistic insights and therapeutic potential of quercetin in neuroprotection: A comprehensive review of pathways and clinical perspectives. </w:t>
      </w:r>
      <w:r w:rsidRPr="0060385C">
        <w:rPr>
          <w:rFonts w:ascii="Times New Roman" w:eastAsia="Times New Roman" w:hAnsi="Times New Roman" w:cs="Times New Roman"/>
          <w:i/>
          <w:iCs/>
          <w:kern w:val="0"/>
          <w:sz w:val="24"/>
          <w:szCs w:val="24"/>
          <w:lang w:val="en-US"/>
          <w14:ligatures w14:val="none"/>
        </w:rPr>
        <w:t>BIO Integration, 6</w:t>
      </w:r>
      <w:r w:rsidRPr="0060385C">
        <w:rPr>
          <w:rFonts w:ascii="Times New Roman" w:eastAsia="Times New Roman" w:hAnsi="Times New Roman" w:cs="Times New Roman"/>
          <w:kern w:val="0"/>
          <w:sz w:val="24"/>
          <w:szCs w:val="24"/>
          <w:lang w:val="en-US"/>
          <w14:ligatures w14:val="none"/>
        </w:rPr>
        <w:t xml:space="preserve">(1), 1–31. </w:t>
      </w:r>
      <w:hyperlink r:id="rId20" w:tgtFrame="_blank" w:history="1">
        <w:r w:rsidRPr="0060385C">
          <w:rPr>
            <w:rFonts w:ascii="Times New Roman" w:eastAsia="Times New Roman" w:hAnsi="Times New Roman" w:cs="Times New Roman"/>
            <w:color w:val="0000FF"/>
            <w:kern w:val="0"/>
            <w:sz w:val="24"/>
            <w:szCs w:val="24"/>
            <w:u w:val="single"/>
            <w:lang w:val="en-US"/>
            <w14:ligatures w14:val="none"/>
          </w:rPr>
          <w:t>https://doi.org/10.15212/bioi-2025-0073</w:t>
        </w:r>
      </w:hyperlink>
    </w:p>
    <w:p w14:paraId="446C10E0"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Dwivedi, J., Wal, P., Gupta, A., </w:t>
      </w:r>
      <w:proofErr w:type="spellStart"/>
      <w:r w:rsidRPr="0060385C">
        <w:rPr>
          <w:rFonts w:ascii="Times New Roman" w:eastAsia="Times New Roman" w:hAnsi="Times New Roman" w:cs="Times New Roman"/>
          <w:kern w:val="0"/>
          <w:sz w:val="24"/>
          <w:szCs w:val="24"/>
          <w:lang w:val="en-US"/>
          <w14:ligatures w14:val="none"/>
        </w:rPr>
        <w:t>Chakraborthy</w:t>
      </w:r>
      <w:proofErr w:type="spellEnd"/>
      <w:r w:rsidRPr="0060385C">
        <w:rPr>
          <w:rFonts w:ascii="Times New Roman" w:eastAsia="Times New Roman" w:hAnsi="Times New Roman" w:cs="Times New Roman"/>
          <w:kern w:val="0"/>
          <w:sz w:val="24"/>
          <w:szCs w:val="24"/>
          <w:lang w:val="en-US"/>
          <w14:ligatures w14:val="none"/>
        </w:rPr>
        <w:t xml:space="preserve">, G., Srivastava, A., Sharma, M. C., &amp; </w:t>
      </w:r>
      <w:proofErr w:type="spellStart"/>
      <w:r w:rsidRPr="0060385C">
        <w:rPr>
          <w:rFonts w:ascii="Times New Roman" w:eastAsia="Times New Roman" w:hAnsi="Times New Roman" w:cs="Times New Roman"/>
          <w:kern w:val="0"/>
          <w:sz w:val="24"/>
          <w:szCs w:val="24"/>
          <w:lang w:val="en-US"/>
          <w14:ligatures w14:val="none"/>
        </w:rPr>
        <w:t>Gunjal</w:t>
      </w:r>
      <w:proofErr w:type="spellEnd"/>
      <w:r w:rsidRPr="0060385C">
        <w:rPr>
          <w:rFonts w:ascii="Times New Roman" w:eastAsia="Times New Roman" w:hAnsi="Times New Roman" w:cs="Times New Roman"/>
          <w:kern w:val="0"/>
          <w:sz w:val="24"/>
          <w:szCs w:val="24"/>
          <w:lang w:val="en-US"/>
          <w14:ligatures w14:val="none"/>
        </w:rPr>
        <w:t xml:space="preserve">, S. D. (2025). A delve into the chemical diversity, pharmacological targets, and biological mechanisms of </w:t>
      </w:r>
      <w:proofErr w:type="spellStart"/>
      <w:r w:rsidRPr="0060385C">
        <w:rPr>
          <w:rFonts w:ascii="Times New Roman" w:eastAsia="Times New Roman" w:hAnsi="Times New Roman" w:cs="Times New Roman"/>
          <w:i/>
          <w:iCs/>
          <w:kern w:val="0"/>
          <w:sz w:val="24"/>
          <w:szCs w:val="24"/>
          <w:lang w:val="en-US"/>
          <w14:ligatures w14:val="none"/>
        </w:rPr>
        <w:t>Ichnocarpous</w:t>
      </w:r>
      <w:proofErr w:type="spellEnd"/>
      <w:r w:rsidRPr="0060385C">
        <w:rPr>
          <w:rFonts w:ascii="Times New Roman" w:eastAsia="Times New Roman" w:hAnsi="Times New Roman" w:cs="Times New Roman"/>
          <w:i/>
          <w:iCs/>
          <w:kern w:val="0"/>
          <w:sz w:val="24"/>
          <w:szCs w:val="24"/>
          <w:lang w:val="en-US"/>
          <w14:ligatures w14:val="none"/>
        </w:rPr>
        <w:t xml:space="preserve"> frutescens</w:t>
      </w:r>
      <w:r w:rsidRPr="0060385C">
        <w:rPr>
          <w:rFonts w:ascii="Times New Roman" w:eastAsia="Times New Roman" w:hAnsi="Times New Roman" w:cs="Times New Roman"/>
          <w:kern w:val="0"/>
          <w:sz w:val="24"/>
          <w:szCs w:val="24"/>
          <w:lang w:val="en-US"/>
          <w14:ligatures w14:val="none"/>
        </w:rPr>
        <w:t xml:space="preserve"> Linn R. Br.: A review on the current status of knowledge. </w:t>
      </w:r>
      <w:r w:rsidRPr="0060385C">
        <w:rPr>
          <w:rFonts w:ascii="Times New Roman" w:eastAsia="Times New Roman" w:hAnsi="Times New Roman" w:cs="Times New Roman"/>
          <w:i/>
          <w:iCs/>
          <w:kern w:val="0"/>
          <w:sz w:val="24"/>
          <w:szCs w:val="24"/>
          <w:lang w:val="en-US"/>
          <w14:ligatures w14:val="none"/>
        </w:rPr>
        <w:t>Current Organic Chemistry, 29</w:t>
      </w:r>
      <w:r w:rsidRPr="0060385C">
        <w:rPr>
          <w:rFonts w:ascii="Times New Roman" w:eastAsia="Times New Roman" w:hAnsi="Times New Roman" w:cs="Times New Roman"/>
          <w:kern w:val="0"/>
          <w:sz w:val="24"/>
          <w:szCs w:val="24"/>
          <w:lang w:val="en-US"/>
          <w14:ligatures w14:val="none"/>
        </w:rPr>
        <w:t xml:space="preserve">(14), 1092–1106. </w:t>
      </w:r>
      <w:hyperlink r:id="rId21" w:tgtFrame="_blank" w:history="1">
        <w:r w:rsidRPr="0060385C">
          <w:rPr>
            <w:rFonts w:ascii="Times New Roman" w:eastAsia="Times New Roman" w:hAnsi="Times New Roman" w:cs="Times New Roman"/>
            <w:color w:val="0000FF"/>
            <w:kern w:val="0"/>
            <w:sz w:val="24"/>
            <w:szCs w:val="24"/>
            <w:u w:val="single"/>
            <w:lang w:val="en-US"/>
            <w14:ligatures w14:val="none"/>
          </w:rPr>
          <w:t>https://doi.org/10.2174/0113852728337563241202080158</w:t>
        </w:r>
      </w:hyperlink>
    </w:p>
    <w:p w14:paraId="00D04961"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0385C">
        <w:rPr>
          <w:rFonts w:ascii="Times New Roman" w:eastAsia="Times New Roman" w:hAnsi="Times New Roman" w:cs="Times New Roman"/>
          <w:kern w:val="0"/>
          <w:sz w:val="24"/>
          <w:szCs w:val="24"/>
          <w:lang w:val="en-US"/>
          <w14:ligatures w14:val="none"/>
        </w:rPr>
        <w:t>Iorjiim</w:t>
      </w:r>
      <w:proofErr w:type="spellEnd"/>
      <w:r w:rsidRPr="0060385C">
        <w:rPr>
          <w:rFonts w:ascii="Times New Roman" w:eastAsia="Times New Roman" w:hAnsi="Times New Roman" w:cs="Times New Roman"/>
          <w:kern w:val="0"/>
          <w:sz w:val="24"/>
          <w:szCs w:val="24"/>
          <w:lang w:val="en-US"/>
          <w14:ligatures w14:val="none"/>
        </w:rPr>
        <w:t xml:space="preserve">, W. M., Omale, S., &amp; Alemika, E. T. (2025). </w:t>
      </w:r>
      <w:r w:rsidRPr="0060385C">
        <w:rPr>
          <w:rFonts w:ascii="Times New Roman" w:eastAsia="Times New Roman" w:hAnsi="Times New Roman" w:cs="Times New Roman"/>
          <w:i/>
          <w:iCs/>
          <w:kern w:val="0"/>
          <w:sz w:val="24"/>
          <w:szCs w:val="24"/>
          <w:lang w:val="en-US"/>
          <w14:ligatures w14:val="none"/>
        </w:rPr>
        <w:t>Moringa oleifera</w:t>
      </w:r>
      <w:r w:rsidRPr="0060385C">
        <w:rPr>
          <w:rFonts w:ascii="Times New Roman" w:eastAsia="Times New Roman" w:hAnsi="Times New Roman" w:cs="Times New Roman"/>
          <w:kern w:val="0"/>
          <w:sz w:val="24"/>
          <w:szCs w:val="24"/>
          <w:lang w:val="en-US"/>
          <w14:ligatures w14:val="none"/>
        </w:rPr>
        <w:t xml:space="preserve"> L. leaf fractions improve survival and ameliorate antiretroviral drug-induced toxicities in the Canton-S </w:t>
      </w:r>
      <w:r w:rsidRPr="0060385C">
        <w:rPr>
          <w:rFonts w:ascii="Times New Roman" w:eastAsia="Times New Roman" w:hAnsi="Times New Roman" w:cs="Times New Roman"/>
          <w:i/>
          <w:iCs/>
          <w:kern w:val="0"/>
          <w:sz w:val="24"/>
          <w:szCs w:val="24"/>
          <w:lang w:val="en-US"/>
          <w14:ligatures w14:val="none"/>
        </w:rPr>
        <w:t>Drosophila melanogaster</w:t>
      </w:r>
      <w:r w:rsidRPr="0060385C">
        <w:rPr>
          <w:rFonts w:ascii="Times New Roman" w:eastAsia="Times New Roman" w:hAnsi="Times New Roman" w:cs="Times New Roman"/>
          <w:kern w:val="0"/>
          <w:sz w:val="24"/>
          <w:szCs w:val="24"/>
          <w:lang w:val="en-US"/>
          <w14:ligatures w14:val="none"/>
        </w:rPr>
        <w:t xml:space="preserve">. </w:t>
      </w:r>
      <w:r w:rsidRPr="0060385C">
        <w:rPr>
          <w:rFonts w:ascii="Times New Roman" w:eastAsia="Times New Roman" w:hAnsi="Times New Roman" w:cs="Times New Roman"/>
          <w:i/>
          <w:iCs/>
          <w:kern w:val="0"/>
          <w:sz w:val="24"/>
          <w:szCs w:val="24"/>
          <w:lang w:val="en-US"/>
          <w14:ligatures w14:val="none"/>
        </w:rPr>
        <w:t>European Journal of Medicinal Plants, 36</w:t>
      </w:r>
      <w:r w:rsidRPr="0060385C">
        <w:rPr>
          <w:rFonts w:ascii="Times New Roman" w:eastAsia="Times New Roman" w:hAnsi="Times New Roman" w:cs="Times New Roman"/>
          <w:kern w:val="0"/>
          <w:sz w:val="24"/>
          <w:szCs w:val="24"/>
          <w:lang w:val="en-US"/>
          <w14:ligatures w14:val="none"/>
        </w:rPr>
        <w:t xml:space="preserve">(4), 140–153. </w:t>
      </w:r>
      <w:hyperlink r:id="rId22" w:tgtFrame="_blank" w:history="1">
        <w:r w:rsidRPr="0060385C">
          <w:rPr>
            <w:rFonts w:ascii="Times New Roman" w:eastAsia="Times New Roman" w:hAnsi="Times New Roman" w:cs="Times New Roman"/>
            <w:color w:val="0000FF"/>
            <w:kern w:val="0"/>
            <w:sz w:val="24"/>
            <w:szCs w:val="24"/>
            <w:u w:val="single"/>
            <w:lang w:val="en-US"/>
            <w14:ligatures w14:val="none"/>
          </w:rPr>
          <w:t>https://doi.org/10.9734/ejmp/2025/v36i41287</w:t>
        </w:r>
      </w:hyperlink>
    </w:p>
    <w:p w14:paraId="519BC635"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Kalra, S., Sachdeva, H., Pant, A. B., &amp; Singh, G. (2024). </w:t>
      </w:r>
      <w:r w:rsidRPr="0060385C">
        <w:rPr>
          <w:rFonts w:ascii="Times New Roman" w:eastAsia="Times New Roman" w:hAnsi="Times New Roman" w:cs="Times New Roman"/>
          <w:i/>
          <w:iCs/>
          <w:kern w:val="0"/>
          <w:sz w:val="24"/>
          <w:szCs w:val="24"/>
          <w:lang w:val="en-US"/>
          <w14:ligatures w14:val="none"/>
        </w:rPr>
        <w:t>Acorus calamus</w:t>
      </w:r>
      <w:r w:rsidRPr="0060385C">
        <w:rPr>
          <w:rFonts w:ascii="Times New Roman" w:eastAsia="Times New Roman" w:hAnsi="Times New Roman" w:cs="Times New Roman"/>
          <w:kern w:val="0"/>
          <w:sz w:val="24"/>
          <w:szCs w:val="24"/>
          <w:lang w:val="en-US"/>
          <w14:ligatures w14:val="none"/>
        </w:rPr>
        <w:t xml:space="preserve"> Linn.: A novel neuroprotective approach for traumatic brain injury in </w:t>
      </w:r>
      <w:r w:rsidRPr="0060385C">
        <w:rPr>
          <w:rFonts w:ascii="Times New Roman" w:eastAsia="Times New Roman" w:hAnsi="Times New Roman" w:cs="Times New Roman"/>
          <w:i/>
          <w:iCs/>
          <w:kern w:val="0"/>
          <w:sz w:val="24"/>
          <w:szCs w:val="24"/>
          <w:lang w:val="en-US"/>
          <w14:ligatures w14:val="none"/>
        </w:rPr>
        <w:t>Drosophila melanogaster</w:t>
      </w:r>
      <w:r w:rsidRPr="0060385C">
        <w:rPr>
          <w:rFonts w:ascii="Times New Roman" w:eastAsia="Times New Roman" w:hAnsi="Times New Roman" w:cs="Times New Roman"/>
          <w:kern w:val="0"/>
          <w:sz w:val="24"/>
          <w:szCs w:val="24"/>
          <w:lang w:val="en-US"/>
          <w14:ligatures w14:val="none"/>
        </w:rPr>
        <w:t xml:space="preserve">. </w:t>
      </w:r>
      <w:r w:rsidRPr="0060385C">
        <w:rPr>
          <w:rFonts w:ascii="Times New Roman" w:eastAsia="Times New Roman" w:hAnsi="Times New Roman" w:cs="Times New Roman"/>
          <w:i/>
          <w:iCs/>
          <w:kern w:val="0"/>
          <w:sz w:val="24"/>
          <w:szCs w:val="24"/>
          <w:lang w:val="en-US"/>
          <w14:ligatures w14:val="none"/>
        </w:rPr>
        <w:t>Brain Research, 1836</w:t>
      </w:r>
      <w:r w:rsidRPr="0060385C">
        <w:rPr>
          <w:rFonts w:ascii="Times New Roman" w:eastAsia="Times New Roman" w:hAnsi="Times New Roman" w:cs="Times New Roman"/>
          <w:kern w:val="0"/>
          <w:sz w:val="24"/>
          <w:szCs w:val="24"/>
          <w:lang w:val="en-US"/>
          <w14:ligatures w14:val="none"/>
        </w:rPr>
        <w:t xml:space="preserve">, 148953. </w:t>
      </w:r>
      <w:hyperlink r:id="rId23" w:tgtFrame="_blank" w:history="1">
        <w:r w:rsidRPr="0060385C">
          <w:rPr>
            <w:rFonts w:ascii="Times New Roman" w:eastAsia="Times New Roman" w:hAnsi="Times New Roman" w:cs="Times New Roman"/>
            <w:color w:val="0000FF"/>
            <w:kern w:val="0"/>
            <w:sz w:val="24"/>
            <w:szCs w:val="24"/>
            <w:u w:val="single"/>
            <w:lang w:val="en-US"/>
            <w14:ligatures w14:val="none"/>
          </w:rPr>
          <w:t>https://doi.org/10.1016/j.brainres.2024.148953</w:t>
        </w:r>
      </w:hyperlink>
    </w:p>
    <w:p w14:paraId="600FD364"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0385C">
        <w:rPr>
          <w:rFonts w:ascii="Times New Roman" w:eastAsia="Times New Roman" w:hAnsi="Times New Roman" w:cs="Times New Roman"/>
          <w:kern w:val="0"/>
          <w:sz w:val="24"/>
          <w:szCs w:val="24"/>
          <w:lang w:val="en-US"/>
          <w14:ligatures w14:val="none"/>
        </w:rPr>
        <w:t>Kattilaparambil</w:t>
      </w:r>
      <w:proofErr w:type="spellEnd"/>
      <w:r w:rsidRPr="0060385C">
        <w:rPr>
          <w:rFonts w:ascii="Times New Roman" w:eastAsia="Times New Roman" w:hAnsi="Times New Roman" w:cs="Times New Roman"/>
          <w:kern w:val="0"/>
          <w:sz w:val="24"/>
          <w:szCs w:val="24"/>
          <w:lang w:val="en-US"/>
          <w14:ligatures w14:val="none"/>
        </w:rPr>
        <w:t xml:space="preserve">, R., Sathasivam, V., Muthukrishnan, S., </w:t>
      </w:r>
      <w:proofErr w:type="spellStart"/>
      <w:r w:rsidRPr="0060385C">
        <w:rPr>
          <w:rFonts w:ascii="Times New Roman" w:eastAsia="Times New Roman" w:hAnsi="Times New Roman" w:cs="Times New Roman"/>
          <w:kern w:val="0"/>
          <w:sz w:val="24"/>
          <w:szCs w:val="24"/>
          <w:lang w:val="en-US"/>
          <w14:ligatures w14:val="none"/>
        </w:rPr>
        <w:t>Vedagiri</w:t>
      </w:r>
      <w:proofErr w:type="spellEnd"/>
      <w:r w:rsidRPr="0060385C">
        <w:rPr>
          <w:rFonts w:ascii="Times New Roman" w:eastAsia="Times New Roman" w:hAnsi="Times New Roman" w:cs="Times New Roman"/>
          <w:kern w:val="0"/>
          <w:sz w:val="24"/>
          <w:szCs w:val="24"/>
          <w:lang w:val="en-US"/>
          <w14:ligatures w14:val="none"/>
        </w:rPr>
        <w:t xml:space="preserve">, H., Iyaswamy, A., Muthukrishnan, A., Raman, A., </w:t>
      </w:r>
      <w:proofErr w:type="spellStart"/>
      <w:r w:rsidRPr="0060385C">
        <w:rPr>
          <w:rFonts w:ascii="Times New Roman" w:eastAsia="Times New Roman" w:hAnsi="Times New Roman" w:cs="Times New Roman"/>
          <w:kern w:val="0"/>
          <w:sz w:val="24"/>
          <w:szCs w:val="24"/>
          <w:lang w:val="en-US"/>
          <w14:ligatures w14:val="none"/>
        </w:rPr>
        <w:t>Gunasangkaran</w:t>
      </w:r>
      <w:proofErr w:type="spellEnd"/>
      <w:r w:rsidRPr="0060385C">
        <w:rPr>
          <w:rFonts w:ascii="Times New Roman" w:eastAsia="Times New Roman" w:hAnsi="Times New Roman" w:cs="Times New Roman"/>
          <w:kern w:val="0"/>
          <w:sz w:val="24"/>
          <w:szCs w:val="24"/>
          <w:lang w:val="en-US"/>
          <w14:ligatures w14:val="none"/>
        </w:rPr>
        <w:t xml:space="preserve">, G., Murugesan, J., &amp; Packiaraj, G. (2025). Antiproliferative effects of phytocompounds from </w:t>
      </w:r>
      <w:proofErr w:type="spellStart"/>
      <w:r w:rsidRPr="0060385C">
        <w:rPr>
          <w:rFonts w:ascii="Times New Roman" w:eastAsia="Times New Roman" w:hAnsi="Times New Roman" w:cs="Times New Roman"/>
          <w:i/>
          <w:iCs/>
          <w:kern w:val="0"/>
          <w:sz w:val="24"/>
          <w:szCs w:val="24"/>
          <w:lang w:val="en-US"/>
          <w14:ligatures w14:val="none"/>
        </w:rPr>
        <w:t>Ichnocarpus</w:t>
      </w:r>
      <w:proofErr w:type="spellEnd"/>
      <w:r w:rsidRPr="0060385C">
        <w:rPr>
          <w:rFonts w:ascii="Times New Roman" w:eastAsia="Times New Roman" w:hAnsi="Times New Roman" w:cs="Times New Roman"/>
          <w:i/>
          <w:iCs/>
          <w:kern w:val="0"/>
          <w:sz w:val="24"/>
          <w:szCs w:val="24"/>
          <w:lang w:val="en-US"/>
          <w14:ligatures w14:val="none"/>
        </w:rPr>
        <w:t xml:space="preserve"> frutescens</w:t>
      </w:r>
      <w:r w:rsidRPr="0060385C">
        <w:rPr>
          <w:rFonts w:ascii="Times New Roman" w:eastAsia="Times New Roman" w:hAnsi="Times New Roman" w:cs="Times New Roman"/>
          <w:kern w:val="0"/>
          <w:sz w:val="24"/>
          <w:szCs w:val="24"/>
          <w:lang w:val="en-US"/>
          <w14:ligatures w14:val="none"/>
        </w:rPr>
        <w:t xml:space="preserve"> (L.) W.T. Aiton against breast cancer cell line MDA MB-231 by in vitro and in silico analysis. </w:t>
      </w:r>
      <w:r w:rsidRPr="0060385C">
        <w:rPr>
          <w:rFonts w:ascii="Times New Roman" w:eastAsia="Times New Roman" w:hAnsi="Times New Roman" w:cs="Times New Roman"/>
          <w:i/>
          <w:iCs/>
          <w:kern w:val="0"/>
          <w:sz w:val="24"/>
          <w:szCs w:val="24"/>
          <w:lang w:val="en-US"/>
          <w14:ligatures w14:val="none"/>
        </w:rPr>
        <w:t>Pharmacological Research - Reports, 4</w:t>
      </w:r>
      <w:r w:rsidRPr="0060385C">
        <w:rPr>
          <w:rFonts w:ascii="Times New Roman" w:eastAsia="Times New Roman" w:hAnsi="Times New Roman" w:cs="Times New Roman"/>
          <w:kern w:val="0"/>
          <w:sz w:val="24"/>
          <w:szCs w:val="24"/>
          <w:lang w:val="en-US"/>
          <w14:ligatures w14:val="none"/>
        </w:rPr>
        <w:t xml:space="preserve">, 100058. </w:t>
      </w:r>
      <w:hyperlink r:id="rId24" w:tgtFrame="_blank" w:history="1">
        <w:r w:rsidRPr="0060385C">
          <w:rPr>
            <w:rFonts w:ascii="Times New Roman" w:eastAsia="Times New Roman" w:hAnsi="Times New Roman" w:cs="Times New Roman"/>
            <w:color w:val="0000FF"/>
            <w:kern w:val="0"/>
            <w:sz w:val="24"/>
            <w:szCs w:val="24"/>
            <w:u w:val="single"/>
            <w:lang w:val="en-US"/>
            <w14:ligatures w14:val="none"/>
          </w:rPr>
          <w:t>https://doi.org/10.1016/j.prerep.2025.100058</w:t>
        </w:r>
      </w:hyperlink>
    </w:p>
    <w:p w14:paraId="5A2D9D76"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Kumar, I., Vishwakarma, S. K., Singh, P. K., Kumar, U., Singh, R. P., </w:t>
      </w:r>
      <w:proofErr w:type="spellStart"/>
      <w:r w:rsidRPr="0060385C">
        <w:rPr>
          <w:rFonts w:ascii="Times New Roman" w:eastAsia="Times New Roman" w:hAnsi="Times New Roman" w:cs="Times New Roman"/>
          <w:kern w:val="0"/>
          <w:sz w:val="24"/>
          <w:szCs w:val="24"/>
          <w:lang w:val="en-US"/>
          <w14:ligatures w14:val="none"/>
        </w:rPr>
        <w:t>Madheshiya</w:t>
      </w:r>
      <w:proofErr w:type="spellEnd"/>
      <w:r w:rsidRPr="0060385C">
        <w:rPr>
          <w:rFonts w:ascii="Times New Roman" w:eastAsia="Times New Roman" w:hAnsi="Times New Roman" w:cs="Times New Roman"/>
          <w:kern w:val="0"/>
          <w:sz w:val="24"/>
          <w:szCs w:val="24"/>
          <w:lang w:val="en-US"/>
          <w14:ligatures w14:val="none"/>
        </w:rPr>
        <w:t xml:space="preserve">, P., Dwivedi, A., Singh, P., &amp; Sharma, R. K. (2026). Ethnopharmacological exploration of Indian medicinal plants: From traditional knowledge to modern medicine. </w:t>
      </w:r>
      <w:r w:rsidRPr="0060385C">
        <w:rPr>
          <w:rFonts w:ascii="Times New Roman" w:eastAsia="Times New Roman" w:hAnsi="Times New Roman" w:cs="Times New Roman"/>
          <w:i/>
          <w:iCs/>
          <w:kern w:val="0"/>
          <w:sz w:val="24"/>
          <w:szCs w:val="24"/>
          <w:lang w:val="en-US"/>
          <w14:ligatures w14:val="none"/>
        </w:rPr>
        <w:t>Phytochemistry Reviews</w:t>
      </w:r>
      <w:r w:rsidRPr="0060385C">
        <w:rPr>
          <w:rFonts w:ascii="Times New Roman" w:eastAsia="Times New Roman" w:hAnsi="Times New Roman" w:cs="Times New Roman"/>
          <w:kern w:val="0"/>
          <w:sz w:val="24"/>
          <w:szCs w:val="24"/>
          <w:lang w:val="en-US"/>
          <w14:ligatures w14:val="none"/>
        </w:rPr>
        <w:t xml:space="preserve">. </w:t>
      </w:r>
      <w:hyperlink r:id="rId25" w:tgtFrame="_blank" w:history="1">
        <w:r w:rsidRPr="0060385C">
          <w:rPr>
            <w:rFonts w:ascii="Times New Roman" w:eastAsia="Times New Roman" w:hAnsi="Times New Roman" w:cs="Times New Roman"/>
            <w:color w:val="0000FF"/>
            <w:kern w:val="0"/>
            <w:sz w:val="24"/>
            <w:szCs w:val="24"/>
            <w:u w:val="single"/>
            <w:lang w:val="en-US"/>
            <w14:ligatures w14:val="none"/>
          </w:rPr>
          <w:t>https://doi.org/10.1007/s11101-026-10234-w</w:t>
        </w:r>
      </w:hyperlink>
    </w:p>
    <w:p w14:paraId="22FE948E"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Kumarappan, C., Srinivasan, R., </w:t>
      </w:r>
      <w:proofErr w:type="spellStart"/>
      <w:r w:rsidRPr="0060385C">
        <w:rPr>
          <w:rFonts w:ascii="Times New Roman" w:eastAsia="Times New Roman" w:hAnsi="Times New Roman" w:cs="Times New Roman"/>
          <w:kern w:val="0"/>
          <w:sz w:val="24"/>
          <w:szCs w:val="24"/>
          <w:lang w:val="en-US"/>
          <w14:ligatures w14:val="none"/>
        </w:rPr>
        <w:t>Jeevathayaparan</w:t>
      </w:r>
      <w:proofErr w:type="spellEnd"/>
      <w:r w:rsidRPr="0060385C">
        <w:rPr>
          <w:rFonts w:ascii="Times New Roman" w:eastAsia="Times New Roman" w:hAnsi="Times New Roman" w:cs="Times New Roman"/>
          <w:kern w:val="0"/>
          <w:sz w:val="24"/>
          <w:szCs w:val="24"/>
          <w:lang w:val="en-US"/>
          <w14:ligatures w14:val="none"/>
        </w:rPr>
        <w:t xml:space="preserve">, S., Rajinikanth, R., Naveen Kumar, H. S., Senthilrajan, S., &amp; Subhash, C. M. (2015). </w:t>
      </w:r>
      <w:proofErr w:type="spellStart"/>
      <w:r w:rsidRPr="0060385C">
        <w:rPr>
          <w:rFonts w:ascii="Times New Roman" w:eastAsia="Times New Roman" w:hAnsi="Times New Roman" w:cs="Times New Roman"/>
          <w:i/>
          <w:iCs/>
          <w:kern w:val="0"/>
          <w:sz w:val="24"/>
          <w:szCs w:val="24"/>
          <w:lang w:val="en-US"/>
          <w14:ligatures w14:val="none"/>
        </w:rPr>
        <w:t>Ichnocarpus</w:t>
      </w:r>
      <w:proofErr w:type="spellEnd"/>
      <w:r w:rsidRPr="0060385C">
        <w:rPr>
          <w:rFonts w:ascii="Times New Roman" w:eastAsia="Times New Roman" w:hAnsi="Times New Roman" w:cs="Times New Roman"/>
          <w:i/>
          <w:iCs/>
          <w:kern w:val="0"/>
          <w:sz w:val="24"/>
          <w:szCs w:val="24"/>
          <w:lang w:val="en-US"/>
          <w14:ligatures w14:val="none"/>
        </w:rPr>
        <w:t xml:space="preserve"> frutescens</w:t>
      </w:r>
      <w:r w:rsidRPr="0060385C">
        <w:rPr>
          <w:rFonts w:ascii="Times New Roman" w:eastAsia="Times New Roman" w:hAnsi="Times New Roman" w:cs="Times New Roman"/>
          <w:kern w:val="0"/>
          <w:sz w:val="24"/>
          <w:szCs w:val="24"/>
          <w:lang w:val="en-US"/>
          <w14:ligatures w14:val="none"/>
        </w:rPr>
        <w:t xml:space="preserve">: A valuable medicinal plant. </w:t>
      </w:r>
      <w:proofErr w:type="spellStart"/>
      <w:r w:rsidRPr="0060385C">
        <w:rPr>
          <w:rFonts w:ascii="Times New Roman" w:eastAsia="Times New Roman" w:hAnsi="Times New Roman" w:cs="Times New Roman"/>
          <w:i/>
          <w:iCs/>
          <w:kern w:val="0"/>
          <w:sz w:val="24"/>
          <w:szCs w:val="24"/>
          <w:lang w:val="en-US"/>
          <w14:ligatures w14:val="none"/>
        </w:rPr>
        <w:t>PharmacologyOnLine</w:t>
      </w:r>
      <w:proofErr w:type="spellEnd"/>
      <w:r w:rsidRPr="0060385C">
        <w:rPr>
          <w:rFonts w:ascii="Times New Roman" w:eastAsia="Times New Roman" w:hAnsi="Times New Roman" w:cs="Times New Roman"/>
          <w:i/>
          <w:iCs/>
          <w:kern w:val="0"/>
          <w:sz w:val="24"/>
          <w:szCs w:val="24"/>
          <w:lang w:val="en-US"/>
          <w14:ligatures w14:val="none"/>
        </w:rPr>
        <w:t>, 2</w:t>
      </w:r>
      <w:r w:rsidRPr="0060385C">
        <w:rPr>
          <w:rFonts w:ascii="Times New Roman" w:eastAsia="Times New Roman" w:hAnsi="Times New Roman" w:cs="Times New Roman"/>
          <w:kern w:val="0"/>
          <w:sz w:val="24"/>
          <w:szCs w:val="24"/>
          <w:lang w:val="en-US"/>
          <w14:ligatures w14:val="none"/>
        </w:rPr>
        <w:t xml:space="preserve">, 18–37. </w:t>
      </w:r>
      <w:hyperlink r:id="rId26" w:tgtFrame="_blank" w:history="1">
        <w:r w:rsidRPr="0060385C">
          <w:rPr>
            <w:rFonts w:ascii="Times New Roman" w:eastAsia="Times New Roman" w:hAnsi="Times New Roman" w:cs="Times New Roman"/>
            <w:color w:val="0000FF"/>
            <w:kern w:val="0"/>
            <w:sz w:val="24"/>
            <w:szCs w:val="24"/>
            <w:u w:val="single"/>
            <w:lang w:val="en-US"/>
            <w14:ligatures w14:val="none"/>
          </w:rPr>
          <w:t>https://pharmacologyonline.silae.it/front/archives_2015_2</w:t>
        </w:r>
      </w:hyperlink>
    </w:p>
    <w:p w14:paraId="1B95D984"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Latif, R., &amp; Nawaz, T. (2026). Medicinal plants and human health: A comprehensive review of bioactive compounds, therapeutic effects, and applications. </w:t>
      </w:r>
      <w:r w:rsidRPr="0060385C">
        <w:rPr>
          <w:rFonts w:ascii="Times New Roman" w:eastAsia="Times New Roman" w:hAnsi="Times New Roman" w:cs="Times New Roman"/>
          <w:i/>
          <w:iCs/>
          <w:kern w:val="0"/>
          <w:sz w:val="24"/>
          <w:szCs w:val="24"/>
          <w:lang w:val="en-US"/>
          <w14:ligatures w14:val="none"/>
        </w:rPr>
        <w:t>Phytochemistry Reviews, 25</w:t>
      </w:r>
      <w:r w:rsidRPr="0060385C">
        <w:rPr>
          <w:rFonts w:ascii="Times New Roman" w:eastAsia="Times New Roman" w:hAnsi="Times New Roman" w:cs="Times New Roman"/>
          <w:kern w:val="0"/>
          <w:sz w:val="24"/>
          <w:szCs w:val="24"/>
          <w:lang w:val="en-US"/>
          <w14:ligatures w14:val="none"/>
        </w:rPr>
        <w:t xml:space="preserve">(3), 2299–2342. </w:t>
      </w:r>
      <w:hyperlink r:id="rId27" w:tgtFrame="_blank" w:history="1">
        <w:r w:rsidRPr="0060385C">
          <w:rPr>
            <w:rFonts w:ascii="Times New Roman" w:eastAsia="Times New Roman" w:hAnsi="Times New Roman" w:cs="Times New Roman"/>
            <w:color w:val="0000FF"/>
            <w:kern w:val="0"/>
            <w:sz w:val="24"/>
            <w:szCs w:val="24"/>
            <w:u w:val="single"/>
            <w:lang w:val="en-US"/>
            <w14:ligatures w14:val="none"/>
          </w:rPr>
          <w:t>https://doi.org/10.1007/s11101-025-10194-7</w:t>
        </w:r>
      </w:hyperlink>
    </w:p>
    <w:p w14:paraId="5EC64CD5"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0385C">
        <w:rPr>
          <w:rFonts w:ascii="Times New Roman" w:eastAsia="Times New Roman" w:hAnsi="Times New Roman" w:cs="Times New Roman"/>
          <w:kern w:val="0"/>
          <w:sz w:val="24"/>
          <w:szCs w:val="24"/>
          <w:lang w:val="en-US"/>
          <w14:ligatures w14:val="none"/>
        </w:rPr>
        <w:lastRenderedPageBreak/>
        <w:t>Manjila</w:t>
      </w:r>
      <w:proofErr w:type="spellEnd"/>
      <w:r w:rsidRPr="0060385C">
        <w:rPr>
          <w:rFonts w:ascii="Times New Roman" w:eastAsia="Times New Roman" w:hAnsi="Times New Roman" w:cs="Times New Roman"/>
          <w:kern w:val="0"/>
          <w:sz w:val="24"/>
          <w:szCs w:val="24"/>
          <w:lang w:val="en-US"/>
          <w14:ligatures w14:val="none"/>
        </w:rPr>
        <w:t xml:space="preserve">, S. B., &amp; Hasan, G. (2018). Flight and climbing assay for assessing motor functions in </w:t>
      </w:r>
      <w:r w:rsidRPr="0060385C">
        <w:rPr>
          <w:rFonts w:ascii="Times New Roman" w:eastAsia="Times New Roman" w:hAnsi="Times New Roman" w:cs="Times New Roman"/>
          <w:i/>
          <w:iCs/>
          <w:kern w:val="0"/>
          <w:sz w:val="24"/>
          <w:szCs w:val="24"/>
          <w:lang w:val="en-US"/>
          <w14:ligatures w14:val="none"/>
        </w:rPr>
        <w:t>Drosophila</w:t>
      </w:r>
      <w:r w:rsidRPr="0060385C">
        <w:rPr>
          <w:rFonts w:ascii="Times New Roman" w:eastAsia="Times New Roman" w:hAnsi="Times New Roman" w:cs="Times New Roman"/>
          <w:kern w:val="0"/>
          <w:sz w:val="24"/>
          <w:szCs w:val="24"/>
          <w:lang w:val="en-US"/>
          <w14:ligatures w14:val="none"/>
        </w:rPr>
        <w:t xml:space="preserve">. </w:t>
      </w:r>
      <w:r w:rsidRPr="0060385C">
        <w:rPr>
          <w:rFonts w:ascii="Times New Roman" w:eastAsia="Times New Roman" w:hAnsi="Times New Roman" w:cs="Times New Roman"/>
          <w:i/>
          <w:iCs/>
          <w:kern w:val="0"/>
          <w:sz w:val="24"/>
          <w:szCs w:val="24"/>
          <w:lang w:val="en-US"/>
          <w14:ligatures w14:val="none"/>
        </w:rPr>
        <w:t>Bio-protocol, 8</w:t>
      </w:r>
      <w:r w:rsidRPr="0060385C">
        <w:rPr>
          <w:rFonts w:ascii="Times New Roman" w:eastAsia="Times New Roman" w:hAnsi="Times New Roman" w:cs="Times New Roman"/>
          <w:kern w:val="0"/>
          <w:sz w:val="24"/>
          <w:szCs w:val="24"/>
          <w:lang w:val="en-US"/>
          <w14:ligatures w14:val="none"/>
        </w:rPr>
        <w:t xml:space="preserve">(5), e2742. </w:t>
      </w:r>
      <w:hyperlink r:id="rId28" w:tgtFrame="_blank" w:history="1">
        <w:r w:rsidRPr="0060385C">
          <w:rPr>
            <w:rFonts w:ascii="Times New Roman" w:eastAsia="Times New Roman" w:hAnsi="Times New Roman" w:cs="Times New Roman"/>
            <w:color w:val="0000FF"/>
            <w:kern w:val="0"/>
            <w:sz w:val="24"/>
            <w:szCs w:val="24"/>
            <w:u w:val="single"/>
            <w:lang w:val="en-US"/>
            <w14:ligatures w14:val="none"/>
          </w:rPr>
          <w:t>https://doi.org/10.21769/BioProtoc.2742</w:t>
        </w:r>
      </w:hyperlink>
    </w:p>
    <w:p w14:paraId="787E63D6"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Mirzoyan, Z., Sollazzo, M., Allocca, M., Valenza, A. M., Grifoni, D., &amp; Bellosta, P. (2019). </w:t>
      </w:r>
      <w:r w:rsidRPr="0060385C">
        <w:rPr>
          <w:rFonts w:ascii="Times New Roman" w:eastAsia="Times New Roman" w:hAnsi="Times New Roman" w:cs="Times New Roman"/>
          <w:i/>
          <w:iCs/>
          <w:kern w:val="0"/>
          <w:sz w:val="24"/>
          <w:szCs w:val="24"/>
          <w:lang w:val="en-US"/>
          <w14:ligatures w14:val="none"/>
        </w:rPr>
        <w:t>Drosophila melanogaster</w:t>
      </w:r>
      <w:r w:rsidRPr="0060385C">
        <w:rPr>
          <w:rFonts w:ascii="Times New Roman" w:eastAsia="Times New Roman" w:hAnsi="Times New Roman" w:cs="Times New Roman"/>
          <w:kern w:val="0"/>
          <w:sz w:val="24"/>
          <w:szCs w:val="24"/>
          <w:lang w:val="en-US"/>
          <w14:ligatures w14:val="none"/>
        </w:rPr>
        <w:t xml:space="preserve">: A model organism to study cancer. </w:t>
      </w:r>
      <w:r w:rsidRPr="0060385C">
        <w:rPr>
          <w:rFonts w:ascii="Times New Roman" w:eastAsia="Times New Roman" w:hAnsi="Times New Roman" w:cs="Times New Roman"/>
          <w:i/>
          <w:iCs/>
          <w:kern w:val="0"/>
          <w:sz w:val="24"/>
          <w:szCs w:val="24"/>
          <w:lang w:val="en-US"/>
          <w14:ligatures w14:val="none"/>
        </w:rPr>
        <w:t>Frontiers in Genetics, 10</w:t>
      </w:r>
      <w:r w:rsidRPr="0060385C">
        <w:rPr>
          <w:rFonts w:ascii="Times New Roman" w:eastAsia="Times New Roman" w:hAnsi="Times New Roman" w:cs="Times New Roman"/>
          <w:kern w:val="0"/>
          <w:sz w:val="24"/>
          <w:szCs w:val="24"/>
          <w:lang w:val="en-US"/>
          <w14:ligatures w14:val="none"/>
        </w:rPr>
        <w:t xml:space="preserve">, 51. </w:t>
      </w:r>
      <w:hyperlink r:id="rId29" w:tgtFrame="_blank" w:history="1">
        <w:r w:rsidRPr="0060385C">
          <w:rPr>
            <w:rFonts w:ascii="Times New Roman" w:eastAsia="Times New Roman" w:hAnsi="Times New Roman" w:cs="Times New Roman"/>
            <w:color w:val="0000FF"/>
            <w:kern w:val="0"/>
            <w:sz w:val="24"/>
            <w:szCs w:val="24"/>
            <w:u w:val="single"/>
            <w:lang w:val="en-US"/>
            <w14:ligatures w14:val="none"/>
          </w:rPr>
          <w:t>https://doi.org/10.3389/fgene.2019.00051</w:t>
        </w:r>
      </w:hyperlink>
    </w:p>
    <w:p w14:paraId="23C90E7E"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Mohsina, F. P., Quazi, A., Faheem, I. P., Anuradha, M., Mukim, M., &amp; Patil, A. (2022). Botanical, ethnopharmacological, phytochemical &amp; pharmacological standards of plant </w:t>
      </w:r>
      <w:proofErr w:type="spellStart"/>
      <w:r w:rsidRPr="0060385C">
        <w:rPr>
          <w:rFonts w:ascii="Times New Roman" w:eastAsia="Times New Roman" w:hAnsi="Times New Roman" w:cs="Times New Roman"/>
          <w:i/>
          <w:iCs/>
          <w:kern w:val="0"/>
          <w:sz w:val="24"/>
          <w:szCs w:val="24"/>
          <w:lang w:val="en-US"/>
          <w14:ligatures w14:val="none"/>
        </w:rPr>
        <w:t>Ichnocarpus</w:t>
      </w:r>
      <w:proofErr w:type="spellEnd"/>
      <w:r w:rsidRPr="0060385C">
        <w:rPr>
          <w:rFonts w:ascii="Times New Roman" w:eastAsia="Times New Roman" w:hAnsi="Times New Roman" w:cs="Times New Roman"/>
          <w:i/>
          <w:iCs/>
          <w:kern w:val="0"/>
          <w:sz w:val="24"/>
          <w:szCs w:val="24"/>
          <w:lang w:val="en-US"/>
          <w14:ligatures w14:val="none"/>
        </w:rPr>
        <w:t xml:space="preserve"> frutescens</w:t>
      </w:r>
      <w:r w:rsidRPr="0060385C">
        <w:rPr>
          <w:rFonts w:ascii="Times New Roman" w:eastAsia="Times New Roman" w:hAnsi="Times New Roman" w:cs="Times New Roman"/>
          <w:kern w:val="0"/>
          <w:sz w:val="24"/>
          <w:szCs w:val="24"/>
          <w:lang w:val="en-US"/>
          <w14:ligatures w14:val="none"/>
        </w:rPr>
        <w:t xml:space="preserve">. </w:t>
      </w:r>
      <w:r w:rsidRPr="0060385C">
        <w:rPr>
          <w:rFonts w:ascii="Times New Roman" w:eastAsia="Times New Roman" w:hAnsi="Times New Roman" w:cs="Times New Roman"/>
          <w:i/>
          <w:iCs/>
          <w:kern w:val="0"/>
          <w:sz w:val="24"/>
          <w:szCs w:val="24"/>
          <w:lang w:val="en-US"/>
          <w14:ligatures w14:val="none"/>
        </w:rPr>
        <w:t>Research &amp; Review: Drugs and Drugs Development, 4</w:t>
      </w:r>
      <w:r w:rsidRPr="0060385C">
        <w:rPr>
          <w:rFonts w:ascii="Times New Roman" w:eastAsia="Times New Roman" w:hAnsi="Times New Roman" w:cs="Times New Roman"/>
          <w:kern w:val="0"/>
          <w:sz w:val="24"/>
          <w:szCs w:val="24"/>
          <w:lang w:val="en-US"/>
          <w14:ligatures w14:val="none"/>
        </w:rPr>
        <w:t xml:space="preserve">(1), 1–12. </w:t>
      </w:r>
      <w:hyperlink r:id="rId30" w:tgtFrame="_blank" w:history="1">
        <w:r w:rsidRPr="0060385C">
          <w:rPr>
            <w:rFonts w:ascii="Times New Roman" w:eastAsia="Times New Roman" w:hAnsi="Times New Roman" w:cs="Times New Roman"/>
            <w:color w:val="0000FF"/>
            <w:kern w:val="0"/>
            <w:sz w:val="24"/>
            <w:szCs w:val="24"/>
            <w:u w:val="single"/>
            <w:lang w:val="en-US"/>
            <w14:ligatures w14:val="none"/>
          </w:rPr>
          <w:t>https://doi.org/10.46610/RRDDD.2022.v04i01.001</w:t>
        </w:r>
      </w:hyperlink>
    </w:p>
    <w:p w14:paraId="733DB417"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Naik, D. L. (2026). Exploring phytochemistry and pharmacology of the </w:t>
      </w:r>
      <w:proofErr w:type="spellStart"/>
      <w:r w:rsidRPr="0060385C">
        <w:rPr>
          <w:rFonts w:ascii="Times New Roman" w:eastAsia="Times New Roman" w:hAnsi="Times New Roman" w:cs="Times New Roman"/>
          <w:kern w:val="0"/>
          <w:sz w:val="24"/>
          <w:szCs w:val="24"/>
          <w:lang w:val="en-US"/>
          <w14:ligatures w14:val="none"/>
        </w:rPr>
        <w:t>Apocynaceae</w:t>
      </w:r>
      <w:proofErr w:type="spellEnd"/>
      <w:r w:rsidRPr="0060385C">
        <w:rPr>
          <w:rFonts w:ascii="Times New Roman" w:eastAsia="Times New Roman" w:hAnsi="Times New Roman" w:cs="Times New Roman"/>
          <w:kern w:val="0"/>
          <w:sz w:val="24"/>
          <w:szCs w:val="24"/>
          <w:lang w:val="en-US"/>
          <w14:ligatures w14:val="none"/>
        </w:rPr>
        <w:t xml:space="preserve"> family: A comprehensive review. </w:t>
      </w:r>
      <w:r w:rsidRPr="0060385C">
        <w:rPr>
          <w:rFonts w:ascii="Times New Roman" w:eastAsia="Times New Roman" w:hAnsi="Times New Roman" w:cs="Times New Roman"/>
          <w:i/>
          <w:iCs/>
          <w:kern w:val="0"/>
          <w:sz w:val="24"/>
          <w:szCs w:val="24"/>
          <w:lang w:val="en-US"/>
          <w14:ligatures w14:val="none"/>
        </w:rPr>
        <w:t>The Journal of Phytopharmacology, 15</w:t>
      </w:r>
      <w:r w:rsidRPr="0060385C">
        <w:rPr>
          <w:rFonts w:ascii="Times New Roman" w:eastAsia="Times New Roman" w:hAnsi="Times New Roman" w:cs="Times New Roman"/>
          <w:kern w:val="0"/>
          <w:sz w:val="24"/>
          <w:szCs w:val="24"/>
          <w:lang w:val="en-US"/>
          <w14:ligatures w14:val="none"/>
        </w:rPr>
        <w:t xml:space="preserve">(1), 99–107. </w:t>
      </w:r>
      <w:hyperlink r:id="rId31" w:tgtFrame="_blank" w:history="1">
        <w:r w:rsidRPr="0060385C">
          <w:rPr>
            <w:rFonts w:ascii="Times New Roman" w:eastAsia="Times New Roman" w:hAnsi="Times New Roman" w:cs="Times New Roman"/>
            <w:color w:val="0000FF"/>
            <w:kern w:val="0"/>
            <w:sz w:val="24"/>
            <w:szCs w:val="24"/>
            <w:u w:val="single"/>
            <w:lang w:val="en-US"/>
            <w14:ligatures w14:val="none"/>
          </w:rPr>
          <w:t>https://doi.org/10.31254/phyto.2026.15114</w:t>
        </w:r>
      </w:hyperlink>
    </w:p>
    <w:p w14:paraId="2132B8AA"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Nichols, C. D., Becnel, J., &amp; Pandey, U. B. (2012). Methods to assay </w:t>
      </w:r>
      <w:r w:rsidRPr="0060385C">
        <w:rPr>
          <w:rFonts w:ascii="Times New Roman" w:eastAsia="Times New Roman" w:hAnsi="Times New Roman" w:cs="Times New Roman"/>
          <w:i/>
          <w:iCs/>
          <w:kern w:val="0"/>
          <w:sz w:val="24"/>
          <w:szCs w:val="24"/>
          <w:lang w:val="en-US"/>
          <w14:ligatures w14:val="none"/>
        </w:rPr>
        <w:t>Drosophila</w:t>
      </w:r>
      <w:r w:rsidRPr="0060385C">
        <w:rPr>
          <w:rFonts w:ascii="Times New Roman" w:eastAsia="Times New Roman" w:hAnsi="Times New Roman" w:cs="Times New Roman"/>
          <w:kern w:val="0"/>
          <w:sz w:val="24"/>
          <w:szCs w:val="24"/>
          <w:lang w:val="en-US"/>
          <w14:ligatures w14:val="none"/>
        </w:rPr>
        <w:t xml:space="preserve"> behavior. </w:t>
      </w:r>
      <w:r w:rsidRPr="0060385C">
        <w:rPr>
          <w:rFonts w:ascii="Times New Roman" w:eastAsia="Times New Roman" w:hAnsi="Times New Roman" w:cs="Times New Roman"/>
          <w:i/>
          <w:iCs/>
          <w:kern w:val="0"/>
          <w:sz w:val="24"/>
          <w:szCs w:val="24"/>
          <w:lang w:val="en-US"/>
          <w14:ligatures w14:val="none"/>
        </w:rPr>
        <w:t>Journal of Visualized Experiments</w:t>
      </w:r>
      <w:r w:rsidRPr="0060385C">
        <w:rPr>
          <w:rFonts w:ascii="Times New Roman" w:eastAsia="Times New Roman" w:hAnsi="Times New Roman" w:cs="Times New Roman"/>
          <w:kern w:val="0"/>
          <w:sz w:val="24"/>
          <w:szCs w:val="24"/>
          <w:lang w:val="en-US"/>
          <w14:ligatures w14:val="none"/>
        </w:rPr>
        <w:t xml:space="preserve">, (61), e3795. </w:t>
      </w:r>
      <w:hyperlink r:id="rId32" w:tgtFrame="_blank" w:history="1">
        <w:r w:rsidRPr="0060385C">
          <w:rPr>
            <w:rFonts w:ascii="Times New Roman" w:eastAsia="Times New Roman" w:hAnsi="Times New Roman" w:cs="Times New Roman"/>
            <w:color w:val="0000FF"/>
            <w:kern w:val="0"/>
            <w:sz w:val="24"/>
            <w:szCs w:val="24"/>
            <w:u w:val="single"/>
            <w:lang w:val="en-US"/>
            <w14:ligatures w14:val="none"/>
          </w:rPr>
          <w:t>https://doi.org/10.3791/3795</w:t>
        </w:r>
      </w:hyperlink>
    </w:p>
    <w:p w14:paraId="31E31139"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Nowak-</w:t>
      </w:r>
      <w:proofErr w:type="spellStart"/>
      <w:r w:rsidRPr="0060385C">
        <w:rPr>
          <w:rFonts w:ascii="Times New Roman" w:eastAsia="Times New Roman" w:hAnsi="Times New Roman" w:cs="Times New Roman"/>
          <w:kern w:val="0"/>
          <w:sz w:val="24"/>
          <w:szCs w:val="24"/>
          <w:lang w:val="en-US"/>
          <w14:ligatures w14:val="none"/>
        </w:rPr>
        <w:t>Perlak</w:t>
      </w:r>
      <w:proofErr w:type="spellEnd"/>
      <w:r w:rsidRPr="0060385C">
        <w:rPr>
          <w:rFonts w:ascii="Times New Roman" w:eastAsia="Times New Roman" w:hAnsi="Times New Roman" w:cs="Times New Roman"/>
          <w:kern w:val="0"/>
          <w:sz w:val="24"/>
          <w:szCs w:val="24"/>
          <w:lang w:val="en-US"/>
          <w14:ligatures w14:val="none"/>
        </w:rPr>
        <w:t xml:space="preserve">, M., Olszowy, M., &amp; Woźniak, M. (2025). The natural defense: Anti-aging potential of plant-derived substances and technological solutions against photoaging. </w:t>
      </w:r>
      <w:r w:rsidRPr="0060385C">
        <w:rPr>
          <w:rFonts w:ascii="Times New Roman" w:eastAsia="Times New Roman" w:hAnsi="Times New Roman" w:cs="Times New Roman"/>
          <w:i/>
          <w:iCs/>
          <w:kern w:val="0"/>
          <w:sz w:val="24"/>
          <w:szCs w:val="24"/>
          <w:lang w:val="en-US"/>
          <w14:ligatures w14:val="none"/>
        </w:rPr>
        <w:t>International Journal of Molecular Sciences, 26</w:t>
      </w:r>
      <w:r w:rsidRPr="0060385C">
        <w:rPr>
          <w:rFonts w:ascii="Times New Roman" w:eastAsia="Times New Roman" w:hAnsi="Times New Roman" w:cs="Times New Roman"/>
          <w:kern w:val="0"/>
          <w:sz w:val="24"/>
          <w:szCs w:val="24"/>
          <w:lang w:val="en-US"/>
          <w14:ligatures w14:val="none"/>
        </w:rPr>
        <w:t xml:space="preserve">(16), 8061. </w:t>
      </w:r>
      <w:hyperlink r:id="rId33" w:tgtFrame="_blank" w:history="1">
        <w:r w:rsidRPr="0060385C">
          <w:rPr>
            <w:rFonts w:ascii="Times New Roman" w:eastAsia="Times New Roman" w:hAnsi="Times New Roman" w:cs="Times New Roman"/>
            <w:color w:val="0000FF"/>
            <w:kern w:val="0"/>
            <w:sz w:val="24"/>
            <w:szCs w:val="24"/>
            <w:u w:val="single"/>
            <w:lang w:val="en-US"/>
            <w14:ligatures w14:val="none"/>
          </w:rPr>
          <w:t>https://doi.org/10.3390/ijms26168061</w:t>
        </w:r>
      </w:hyperlink>
    </w:p>
    <w:p w14:paraId="6F188BC6"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Patel, P., &amp; Nagda, G. (2026). </w:t>
      </w:r>
      <w:proofErr w:type="spellStart"/>
      <w:r w:rsidRPr="0060385C">
        <w:rPr>
          <w:rFonts w:ascii="Times New Roman" w:eastAsia="Times New Roman" w:hAnsi="Times New Roman" w:cs="Times New Roman"/>
          <w:kern w:val="0"/>
          <w:sz w:val="24"/>
          <w:szCs w:val="24"/>
          <w:lang w:val="en-US"/>
          <w14:ligatures w14:val="none"/>
        </w:rPr>
        <w:t>Behavioural</w:t>
      </w:r>
      <w:proofErr w:type="spellEnd"/>
      <w:r w:rsidRPr="0060385C">
        <w:rPr>
          <w:rFonts w:ascii="Times New Roman" w:eastAsia="Times New Roman" w:hAnsi="Times New Roman" w:cs="Times New Roman"/>
          <w:kern w:val="0"/>
          <w:sz w:val="24"/>
          <w:szCs w:val="24"/>
          <w:lang w:val="en-US"/>
          <w14:ligatures w14:val="none"/>
        </w:rPr>
        <w:t xml:space="preserve"> and physiological impacts of varying doses of methotrexate on </w:t>
      </w:r>
      <w:r w:rsidRPr="0060385C">
        <w:rPr>
          <w:rFonts w:ascii="Times New Roman" w:eastAsia="Times New Roman" w:hAnsi="Times New Roman" w:cs="Times New Roman"/>
          <w:i/>
          <w:iCs/>
          <w:kern w:val="0"/>
          <w:sz w:val="24"/>
          <w:szCs w:val="24"/>
          <w:lang w:val="en-US"/>
          <w14:ligatures w14:val="none"/>
        </w:rPr>
        <w:t>Drosophila melanogaster</w:t>
      </w:r>
      <w:r w:rsidRPr="0060385C">
        <w:rPr>
          <w:rFonts w:ascii="Times New Roman" w:eastAsia="Times New Roman" w:hAnsi="Times New Roman" w:cs="Times New Roman"/>
          <w:kern w:val="0"/>
          <w:sz w:val="24"/>
          <w:szCs w:val="24"/>
          <w:lang w:val="en-US"/>
          <w14:ligatures w14:val="none"/>
        </w:rPr>
        <w:t xml:space="preserve">. </w:t>
      </w:r>
      <w:r w:rsidRPr="0060385C">
        <w:rPr>
          <w:rFonts w:ascii="Times New Roman" w:eastAsia="Times New Roman" w:hAnsi="Times New Roman" w:cs="Times New Roman"/>
          <w:i/>
          <w:iCs/>
          <w:kern w:val="0"/>
          <w:sz w:val="24"/>
          <w:szCs w:val="24"/>
          <w:lang w:val="en-US"/>
          <w14:ligatures w14:val="none"/>
        </w:rPr>
        <w:t>Naunyn-Schmiedeberg's Archives of Pharmacology, 399</w:t>
      </w:r>
      <w:r w:rsidRPr="0060385C">
        <w:rPr>
          <w:rFonts w:ascii="Times New Roman" w:eastAsia="Times New Roman" w:hAnsi="Times New Roman" w:cs="Times New Roman"/>
          <w:kern w:val="0"/>
          <w:sz w:val="24"/>
          <w:szCs w:val="24"/>
          <w:lang w:val="en-US"/>
          <w14:ligatures w14:val="none"/>
        </w:rPr>
        <w:t xml:space="preserve">(9), 13245–13256. </w:t>
      </w:r>
      <w:hyperlink r:id="rId34" w:tgtFrame="_blank" w:history="1">
        <w:r w:rsidRPr="0060385C">
          <w:rPr>
            <w:rFonts w:ascii="Times New Roman" w:eastAsia="Times New Roman" w:hAnsi="Times New Roman" w:cs="Times New Roman"/>
            <w:color w:val="0000FF"/>
            <w:kern w:val="0"/>
            <w:sz w:val="24"/>
            <w:szCs w:val="24"/>
            <w:u w:val="single"/>
            <w:lang w:val="en-US"/>
            <w14:ligatures w14:val="none"/>
          </w:rPr>
          <w:t>https://doi.org/10.1007/s00210-026-05203-1</w:t>
        </w:r>
      </w:hyperlink>
    </w:p>
    <w:p w14:paraId="1BB7237E"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Premnath, V., &amp; </w:t>
      </w:r>
      <w:proofErr w:type="spellStart"/>
      <w:r w:rsidRPr="0060385C">
        <w:rPr>
          <w:rFonts w:ascii="Times New Roman" w:eastAsia="Times New Roman" w:hAnsi="Times New Roman" w:cs="Times New Roman"/>
          <w:kern w:val="0"/>
          <w:sz w:val="24"/>
          <w:szCs w:val="24"/>
          <w:lang w:val="en-US"/>
          <w14:ligatures w14:val="none"/>
        </w:rPr>
        <w:t>Veerappapillai</w:t>
      </w:r>
      <w:proofErr w:type="spellEnd"/>
      <w:r w:rsidRPr="0060385C">
        <w:rPr>
          <w:rFonts w:ascii="Times New Roman" w:eastAsia="Times New Roman" w:hAnsi="Times New Roman" w:cs="Times New Roman"/>
          <w:kern w:val="0"/>
          <w:sz w:val="24"/>
          <w:szCs w:val="24"/>
          <w:lang w:val="en-US"/>
          <w14:ligatures w14:val="none"/>
        </w:rPr>
        <w:t xml:space="preserve">, S. (2026). Basic understanding of oxidative stress and the pathophysiology of chronic diseases in human. In K. Kasinathan &amp; A. Muthukumaran (Eds.), </w:t>
      </w:r>
      <w:r w:rsidRPr="0060385C">
        <w:rPr>
          <w:rFonts w:ascii="Times New Roman" w:eastAsia="Times New Roman" w:hAnsi="Times New Roman" w:cs="Times New Roman"/>
          <w:i/>
          <w:iCs/>
          <w:kern w:val="0"/>
          <w:sz w:val="24"/>
          <w:szCs w:val="24"/>
          <w:lang w:val="en-US"/>
          <w14:ligatures w14:val="none"/>
        </w:rPr>
        <w:t>Recent advances in oxidative stress associated chronic diseases volume 1: A review of the health benefits and risks of the substance</w:t>
      </w:r>
      <w:r w:rsidRPr="0060385C">
        <w:rPr>
          <w:rFonts w:ascii="Times New Roman" w:eastAsia="Times New Roman" w:hAnsi="Times New Roman" w:cs="Times New Roman"/>
          <w:kern w:val="0"/>
          <w:sz w:val="24"/>
          <w:szCs w:val="24"/>
          <w:lang w:val="en-US"/>
          <w14:ligatures w14:val="none"/>
        </w:rPr>
        <w:t xml:space="preserve"> (pp. 199–218). Springer. </w:t>
      </w:r>
      <w:hyperlink r:id="rId35" w:tgtFrame="_blank" w:history="1">
        <w:r w:rsidRPr="0060385C">
          <w:rPr>
            <w:rFonts w:ascii="Times New Roman" w:eastAsia="Times New Roman" w:hAnsi="Times New Roman" w:cs="Times New Roman"/>
            <w:color w:val="0000FF"/>
            <w:kern w:val="0"/>
            <w:sz w:val="24"/>
            <w:szCs w:val="24"/>
            <w:u w:val="single"/>
            <w:lang w:val="en-US"/>
            <w14:ligatures w14:val="none"/>
          </w:rPr>
          <w:t>https://doi.org/10.1007/978-981-96-9670-3_9</w:t>
        </w:r>
      </w:hyperlink>
    </w:p>
    <w:p w14:paraId="5BD9564A"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0385C">
        <w:rPr>
          <w:rFonts w:ascii="Times New Roman" w:eastAsia="Times New Roman" w:hAnsi="Times New Roman" w:cs="Times New Roman"/>
          <w:kern w:val="0"/>
          <w:sz w:val="24"/>
          <w:szCs w:val="24"/>
          <w:lang w:val="en-US"/>
          <w14:ligatures w14:val="none"/>
        </w:rPr>
        <w:t>Pfaffl</w:t>
      </w:r>
      <w:proofErr w:type="spellEnd"/>
      <w:r w:rsidRPr="0060385C">
        <w:rPr>
          <w:rFonts w:ascii="Times New Roman" w:eastAsia="Times New Roman" w:hAnsi="Times New Roman" w:cs="Times New Roman"/>
          <w:kern w:val="0"/>
          <w:sz w:val="24"/>
          <w:szCs w:val="24"/>
          <w:lang w:val="en-US"/>
          <w14:ligatures w14:val="none"/>
        </w:rPr>
        <w:t xml:space="preserve">, M. W. (2001). A new mathematical model for relative quantification in real-time RT-PCR. </w:t>
      </w:r>
      <w:r w:rsidRPr="0060385C">
        <w:rPr>
          <w:rFonts w:ascii="Times New Roman" w:eastAsia="Times New Roman" w:hAnsi="Times New Roman" w:cs="Times New Roman"/>
          <w:i/>
          <w:iCs/>
          <w:kern w:val="0"/>
          <w:sz w:val="24"/>
          <w:szCs w:val="24"/>
          <w:lang w:val="en-US"/>
          <w14:ligatures w14:val="none"/>
        </w:rPr>
        <w:t>Nucleic Acids Research, 29</w:t>
      </w:r>
      <w:r w:rsidRPr="0060385C">
        <w:rPr>
          <w:rFonts w:ascii="Times New Roman" w:eastAsia="Times New Roman" w:hAnsi="Times New Roman" w:cs="Times New Roman"/>
          <w:kern w:val="0"/>
          <w:sz w:val="24"/>
          <w:szCs w:val="24"/>
          <w:lang w:val="en-US"/>
          <w14:ligatures w14:val="none"/>
        </w:rPr>
        <w:t xml:space="preserve">(9), e45. </w:t>
      </w:r>
      <w:hyperlink r:id="rId36" w:tgtFrame="_blank" w:history="1">
        <w:r w:rsidRPr="0060385C">
          <w:rPr>
            <w:rFonts w:ascii="Times New Roman" w:eastAsia="Times New Roman" w:hAnsi="Times New Roman" w:cs="Times New Roman"/>
            <w:color w:val="0000FF"/>
            <w:kern w:val="0"/>
            <w:sz w:val="24"/>
            <w:szCs w:val="24"/>
            <w:u w:val="single"/>
            <w:lang w:val="en-US"/>
            <w14:ligatures w14:val="none"/>
          </w:rPr>
          <w:t>https://doi.org/10.1093/nar/29.9.e45</w:t>
        </w:r>
      </w:hyperlink>
    </w:p>
    <w:p w14:paraId="3BD03398"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Sanni, J. A., Saliu, J. A., Apata, S. A., </w:t>
      </w:r>
      <w:proofErr w:type="spellStart"/>
      <w:r w:rsidRPr="0060385C">
        <w:rPr>
          <w:rFonts w:ascii="Times New Roman" w:eastAsia="Times New Roman" w:hAnsi="Times New Roman" w:cs="Times New Roman"/>
          <w:kern w:val="0"/>
          <w:sz w:val="24"/>
          <w:szCs w:val="24"/>
          <w:lang w:val="en-US"/>
          <w14:ligatures w14:val="none"/>
        </w:rPr>
        <w:t>Olubode</w:t>
      </w:r>
      <w:proofErr w:type="spellEnd"/>
      <w:r w:rsidRPr="0060385C">
        <w:rPr>
          <w:rFonts w:ascii="Times New Roman" w:eastAsia="Times New Roman" w:hAnsi="Times New Roman" w:cs="Times New Roman"/>
          <w:kern w:val="0"/>
          <w:sz w:val="24"/>
          <w:szCs w:val="24"/>
          <w:lang w:val="en-US"/>
          <w14:ligatures w14:val="none"/>
        </w:rPr>
        <w:t xml:space="preserve">, S. O., Adenuga, O. O. O., Adenuga, V. O., &amp; </w:t>
      </w:r>
      <w:proofErr w:type="spellStart"/>
      <w:r w:rsidRPr="0060385C">
        <w:rPr>
          <w:rFonts w:ascii="Times New Roman" w:eastAsia="Times New Roman" w:hAnsi="Times New Roman" w:cs="Times New Roman"/>
          <w:kern w:val="0"/>
          <w:sz w:val="24"/>
          <w:szCs w:val="24"/>
          <w:lang w:val="en-US"/>
          <w14:ligatures w14:val="none"/>
        </w:rPr>
        <w:t>Atibor</w:t>
      </w:r>
      <w:proofErr w:type="spellEnd"/>
      <w:r w:rsidRPr="0060385C">
        <w:rPr>
          <w:rFonts w:ascii="Times New Roman" w:eastAsia="Times New Roman" w:hAnsi="Times New Roman" w:cs="Times New Roman"/>
          <w:kern w:val="0"/>
          <w:sz w:val="24"/>
          <w:szCs w:val="24"/>
          <w:lang w:val="en-US"/>
          <w14:ligatures w14:val="none"/>
        </w:rPr>
        <w:t xml:space="preserve">, R. A. (2024). Influence of ethyl acetate fraction of </w:t>
      </w:r>
      <w:r w:rsidRPr="0060385C">
        <w:rPr>
          <w:rFonts w:ascii="Times New Roman" w:eastAsia="Times New Roman" w:hAnsi="Times New Roman" w:cs="Times New Roman"/>
          <w:i/>
          <w:iCs/>
          <w:kern w:val="0"/>
          <w:sz w:val="24"/>
          <w:szCs w:val="24"/>
          <w:lang w:val="en-US"/>
          <w14:ligatures w14:val="none"/>
        </w:rPr>
        <w:t>Cananga odorata</w:t>
      </w:r>
      <w:r w:rsidRPr="0060385C">
        <w:rPr>
          <w:rFonts w:ascii="Times New Roman" w:eastAsia="Times New Roman" w:hAnsi="Times New Roman" w:cs="Times New Roman"/>
          <w:kern w:val="0"/>
          <w:sz w:val="24"/>
          <w:szCs w:val="24"/>
          <w:lang w:val="en-US"/>
          <w14:ligatures w14:val="none"/>
        </w:rPr>
        <w:t xml:space="preserve"> on diabetic model of </w:t>
      </w:r>
      <w:r w:rsidRPr="0060385C">
        <w:rPr>
          <w:rFonts w:ascii="Times New Roman" w:eastAsia="Times New Roman" w:hAnsi="Times New Roman" w:cs="Times New Roman"/>
          <w:i/>
          <w:iCs/>
          <w:kern w:val="0"/>
          <w:sz w:val="24"/>
          <w:szCs w:val="24"/>
          <w:lang w:val="en-US"/>
          <w14:ligatures w14:val="none"/>
        </w:rPr>
        <w:t>Drosophila melanogaster</w:t>
      </w:r>
      <w:r w:rsidRPr="0060385C">
        <w:rPr>
          <w:rFonts w:ascii="Times New Roman" w:eastAsia="Times New Roman" w:hAnsi="Times New Roman" w:cs="Times New Roman"/>
          <w:kern w:val="0"/>
          <w:sz w:val="24"/>
          <w:szCs w:val="24"/>
          <w:lang w:val="en-US"/>
          <w14:ligatures w14:val="none"/>
        </w:rPr>
        <w:t xml:space="preserve">. </w:t>
      </w:r>
      <w:r w:rsidRPr="0060385C">
        <w:rPr>
          <w:rFonts w:ascii="Times New Roman" w:eastAsia="Times New Roman" w:hAnsi="Times New Roman" w:cs="Times New Roman"/>
          <w:i/>
          <w:iCs/>
          <w:kern w:val="0"/>
          <w:sz w:val="24"/>
          <w:szCs w:val="24"/>
          <w:lang w:val="en-US"/>
          <w14:ligatures w14:val="none"/>
        </w:rPr>
        <w:t>SSRN Electronic Journal</w:t>
      </w:r>
      <w:r w:rsidRPr="0060385C">
        <w:rPr>
          <w:rFonts w:ascii="Times New Roman" w:eastAsia="Times New Roman" w:hAnsi="Times New Roman" w:cs="Times New Roman"/>
          <w:kern w:val="0"/>
          <w:sz w:val="24"/>
          <w:szCs w:val="24"/>
          <w:lang w:val="en-US"/>
          <w14:ligatures w14:val="none"/>
        </w:rPr>
        <w:t xml:space="preserve">. </w:t>
      </w:r>
      <w:hyperlink r:id="rId37" w:tgtFrame="_blank" w:history="1">
        <w:r w:rsidRPr="0060385C">
          <w:rPr>
            <w:rFonts w:ascii="Times New Roman" w:eastAsia="Times New Roman" w:hAnsi="Times New Roman" w:cs="Times New Roman"/>
            <w:color w:val="0000FF"/>
            <w:kern w:val="0"/>
            <w:sz w:val="24"/>
            <w:szCs w:val="24"/>
            <w:u w:val="single"/>
            <w:lang w:val="en-US"/>
            <w14:ligatures w14:val="none"/>
          </w:rPr>
          <w:t>https://doi.org/10.2139/ssrn.5036678</w:t>
        </w:r>
      </w:hyperlink>
    </w:p>
    <w:p w14:paraId="3D581879"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Sarkar, C., Chaudhary, P., Jamaddar, S., </w:t>
      </w:r>
      <w:proofErr w:type="spellStart"/>
      <w:r w:rsidRPr="0060385C">
        <w:rPr>
          <w:rFonts w:ascii="Times New Roman" w:eastAsia="Times New Roman" w:hAnsi="Times New Roman" w:cs="Times New Roman"/>
          <w:kern w:val="0"/>
          <w:sz w:val="24"/>
          <w:szCs w:val="24"/>
          <w:lang w:val="en-US"/>
          <w14:ligatures w14:val="none"/>
        </w:rPr>
        <w:t>Janmeda</w:t>
      </w:r>
      <w:proofErr w:type="spellEnd"/>
      <w:r w:rsidRPr="0060385C">
        <w:rPr>
          <w:rFonts w:ascii="Times New Roman" w:eastAsia="Times New Roman" w:hAnsi="Times New Roman" w:cs="Times New Roman"/>
          <w:kern w:val="0"/>
          <w:sz w:val="24"/>
          <w:szCs w:val="24"/>
          <w:lang w:val="en-US"/>
          <w14:ligatures w14:val="none"/>
        </w:rPr>
        <w:t xml:space="preserve">, P., Mondal, M., Mubarak, M. S., &amp; Islam, M. T. (2022). Redox activity of flavonoids: Impact on human health, therapeutics, and chemical safety. </w:t>
      </w:r>
      <w:r w:rsidRPr="0060385C">
        <w:rPr>
          <w:rFonts w:ascii="Times New Roman" w:eastAsia="Times New Roman" w:hAnsi="Times New Roman" w:cs="Times New Roman"/>
          <w:i/>
          <w:iCs/>
          <w:kern w:val="0"/>
          <w:sz w:val="24"/>
          <w:szCs w:val="24"/>
          <w:lang w:val="en-US"/>
          <w14:ligatures w14:val="none"/>
        </w:rPr>
        <w:t>Chemical Research in Toxicology, 35</w:t>
      </w:r>
      <w:r w:rsidRPr="0060385C">
        <w:rPr>
          <w:rFonts w:ascii="Times New Roman" w:eastAsia="Times New Roman" w:hAnsi="Times New Roman" w:cs="Times New Roman"/>
          <w:kern w:val="0"/>
          <w:sz w:val="24"/>
          <w:szCs w:val="24"/>
          <w:lang w:val="en-US"/>
          <w14:ligatures w14:val="none"/>
        </w:rPr>
        <w:t xml:space="preserve">(2), 140–162. </w:t>
      </w:r>
      <w:hyperlink r:id="rId38" w:tgtFrame="_blank" w:history="1">
        <w:r w:rsidRPr="0060385C">
          <w:rPr>
            <w:rFonts w:ascii="Times New Roman" w:eastAsia="Times New Roman" w:hAnsi="Times New Roman" w:cs="Times New Roman"/>
            <w:color w:val="0000FF"/>
            <w:kern w:val="0"/>
            <w:sz w:val="24"/>
            <w:szCs w:val="24"/>
            <w:u w:val="single"/>
            <w:lang w:val="en-US"/>
            <w14:ligatures w14:val="none"/>
          </w:rPr>
          <w:t>https://doi.org/10.1021/acs.chemrestox.1c00348</w:t>
        </w:r>
      </w:hyperlink>
    </w:p>
    <w:p w14:paraId="77AFB405"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Shadman, J., </w:t>
      </w:r>
      <w:proofErr w:type="spellStart"/>
      <w:r w:rsidRPr="0060385C">
        <w:rPr>
          <w:rFonts w:ascii="Times New Roman" w:eastAsia="Times New Roman" w:hAnsi="Times New Roman" w:cs="Times New Roman"/>
          <w:kern w:val="0"/>
          <w:sz w:val="24"/>
          <w:szCs w:val="24"/>
          <w:lang w:val="en-US"/>
          <w14:ligatures w14:val="none"/>
        </w:rPr>
        <w:t>Haghi-Aminjan</w:t>
      </w:r>
      <w:proofErr w:type="spellEnd"/>
      <w:r w:rsidRPr="0060385C">
        <w:rPr>
          <w:rFonts w:ascii="Times New Roman" w:eastAsia="Times New Roman" w:hAnsi="Times New Roman" w:cs="Times New Roman"/>
          <w:kern w:val="0"/>
          <w:sz w:val="24"/>
          <w:szCs w:val="24"/>
          <w:lang w:val="en-US"/>
          <w14:ligatures w14:val="none"/>
        </w:rPr>
        <w:t xml:space="preserve">, H., Alipour, M. R., &amp; </w:t>
      </w:r>
      <w:proofErr w:type="spellStart"/>
      <w:r w:rsidRPr="0060385C">
        <w:rPr>
          <w:rFonts w:ascii="Times New Roman" w:eastAsia="Times New Roman" w:hAnsi="Times New Roman" w:cs="Times New Roman"/>
          <w:kern w:val="0"/>
          <w:sz w:val="24"/>
          <w:szCs w:val="24"/>
          <w:lang w:val="en-US"/>
          <w14:ligatures w14:val="none"/>
        </w:rPr>
        <w:t>Panahpour</w:t>
      </w:r>
      <w:proofErr w:type="spellEnd"/>
      <w:r w:rsidRPr="0060385C">
        <w:rPr>
          <w:rFonts w:ascii="Times New Roman" w:eastAsia="Times New Roman" w:hAnsi="Times New Roman" w:cs="Times New Roman"/>
          <w:kern w:val="0"/>
          <w:sz w:val="24"/>
          <w:szCs w:val="24"/>
          <w:lang w:val="en-US"/>
          <w14:ligatures w14:val="none"/>
        </w:rPr>
        <w:t xml:space="preserve">, H. (2025). The neuroprotective mechanisms of kaempferol in experimental ischemic stroke: A preclinical </w:t>
      </w:r>
      <w:r w:rsidRPr="0060385C">
        <w:rPr>
          <w:rFonts w:ascii="Times New Roman" w:eastAsia="Times New Roman" w:hAnsi="Times New Roman" w:cs="Times New Roman"/>
          <w:kern w:val="0"/>
          <w:sz w:val="24"/>
          <w:szCs w:val="24"/>
          <w:lang w:val="en-US"/>
          <w14:ligatures w14:val="none"/>
        </w:rPr>
        <w:lastRenderedPageBreak/>
        <w:t xml:space="preserve">systematic review. </w:t>
      </w:r>
      <w:r w:rsidRPr="0060385C">
        <w:rPr>
          <w:rFonts w:ascii="Times New Roman" w:eastAsia="Times New Roman" w:hAnsi="Times New Roman" w:cs="Times New Roman"/>
          <w:i/>
          <w:iCs/>
          <w:kern w:val="0"/>
          <w:sz w:val="24"/>
          <w:szCs w:val="24"/>
          <w:lang w:val="en-US"/>
          <w14:ligatures w14:val="none"/>
        </w:rPr>
        <w:t>Molecular Neurobiology, 62</w:t>
      </w:r>
      <w:r w:rsidRPr="0060385C">
        <w:rPr>
          <w:rFonts w:ascii="Times New Roman" w:eastAsia="Times New Roman" w:hAnsi="Times New Roman" w:cs="Times New Roman"/>
          <w:kern w:val="0"/>
          <w:sz w:val="24"/>
          <w:szCs w:val="24"/>
          <w:lang w:val="en-US"/>
          <w14:ligatures w14:val="none"/>
        </w:rPr>
        <w:t xml:space="preserve">(8), 9527–9544. </w:t>
      </w:r>
      <w:hyperlink r:id="rId39" w:tgtFrame="_blank" w:history="1">
        <w:r w:rsidRPr="0060385C">
          <w:rPr>
            <w:rFonts w:ascii="Times New Roman" w:eastAsia="Times New Roman" w:hAnsi="Times New Roman" w:cs="Times New Roman"/>
            <w:color w:val="0000FF"/>
            <w:kern w:val="0"/>
            <w:sz w:val="24"/>
            <w:szCs w:val="24"/>
            <w:u w:val="single"/>
            <w:lang w:val="en-US"/>
            <w14:ligatures w14:val="none"/>
          </w:rPr>
          <w:t>https://doi.org/10.1007/s12035-025-04848-y</w:t>
        </w:r>
      </w:hyperlink>
    </w:p>
    <w:p w14:paraId="2A9A0A65" w14:textId="57ECADC2"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Ståhlberg, A., Håkansson, J., Xian, X., Semb, H., &amp; Kubista, M. (2004). Properties of the reverse transcription reaction in mRNA quantification. </w:t>
      </w:r>
      <w:r w:rsidRPr="0060385C">
        <w:rPr>
          <w:rFonts w:ascii="Times New Roman" w:eastAsia="Times New Roman" w:hAnsi="Times New Roman" w:cs="Times New Roman"/>
          <w:i/>
          <w:iCs/>
          <w:kern w:val="0"/>
          <w:sz w:val="24"/>
          <w:szCs w:val="24"/>
          <w:lang w:val="en-US"/>
          <w14:ligatures w14:val="none"/>
        </w:rPr>
        <w:t>Clinical Chemistry, 50</w:t>
      </w:r>
      <w:r w:rsidRPr="0060385C">
        <w:rPr>
          <w:rFonts w:ascii="Times New Roman" w:eastAsia="Times New Roman" w:hAnsi="Times New Roman" w:cs="Times New Roman"/>
          <w:kern w:val="0"/>
          <w:sz w:val="24"/>
          <w:szCs w:val="24"/>
          <w:lang w:val="en-US"/>
          <w14:ligatures w14:val="none"/>
        </w:rPr>
        <w:t xml:space="preserve">(3), 509–515. </w:t>
      </w:r>
      <w:hyperlink r:id="rId40" w:tgtFrame="_blank" w:history="1">
        <w:r w:rsidRPr="0060385C">
          <w:rPr>
            <w:rFonts w:ascii="Times New Roman" w:eastAsia="Times New Roman" w:hAnsi="Times New Roman" w:cs="Times New Roman"/>
            <w:color w:val="0000FF"/>
            <w:kern w:val="0"/>
            <w:sz w:val="24"/>
            <w:szCs w:val="24"/>
            <w:u w:val="single"/>
            <w:lang w:val="en-US"/>
            <w14:ligatures w14:val="none"/>
          </w:rPr>
          <w:t>https://doi.org/10.1373/clinchem.2003.026161</w:t>
        </w:r>
      </w:hyperlink>
      <w:r w:rsidRPr="0060385C">
        <w:rPr>
          <w:rFonts w:ascii="Times New Roman" w:eastAsia="Times New Roman" w:hAnsi="Times New Roman" w:cs="Times New Roman"/>
          <w:kern w:val="0"/>
          <w:sz w:val="24"/>
          <w:szCs w:val="24"/>
          <w:lang w:val="en-US"/>
          <w14:ligatures w14:val="none"/>
        </w:rPr>
        <w:br/>
      </w:r>
    </w:p>
    <w:p w14:paraId="728D91CA" w14:textId="72A83349"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Ghodke, A. S., &amp; Sharma, B. P. (2026). Cardioprotective metabolites of </w:t>
      </w:r>
      <w:proofErr w:type="spellStart"/>
      <w:r w:rsidRPr="0060385C">
        <w:rPr>
          <w:rFonts w:ascii="Times New Roman" w:eastAsia="Times New Roman" w:hAnsi="Times New Roman" w:cs="Times New Roman"/>
          <w:kern w:val="0"/>
          <w:sz w:val="24"/>
          <w:szCs w:val="24"/>
          <w:lang w:val="en-US"/>
          <w14:ligatures w14:val="none"/>
        </w:rPr>
        <w:t>Apocynaceae</w:t>
      </w:r>
      <w:proofErr w:type="spellEnd"/>
      <w:r w:rsidRPr="0060385C">
        <w:rPr>
          <w:rFonts w:ascii="Times New Roman" w:eastAsia="Times New Roman" w:hAnsi="Times New Roman" w:cs="Times New Roman"/>
          <w:kern w:val="0"/>
          <w:sz w:val="24"/>
          <w:szCs w:val="24"/>
          <w:lang w:val="en-US"/>
          <w14:ligatures w14:val="none"/>
        </w:rPr>
        <w:t xml:space="preserve">: Therapeutic potential and future perspectives. </w:t>
      </w:r>
      <w:r w:rsidRPr="0060385C">
        <w:rPr>
          <w:rFonts w:ascii="Times New Roman" w:eastAsia="Times New Roman" w:hAnsi="Times New Roman" w:cs="Times New Roman"/>
          <w:i/>
          <w:iCs/>
          <w:kern w:val="0"/>
          <w:sz w:val="24"/>
          <w:szCs w:val="24"/>
          <w:lang w:val="en-US"/>
          <w14:ligatures w14:val="none"/>
        </w:rPr>
        <w:t>Journal of Biodiversity and Conservation, 10</w:t>
      </w:r>
      <w:r w:rsidRPr="0060385C">
        <w:rPr>
          <w:rFonts w:ascii="Times New Roman" w:eastAsia="Times New Roman" w:hAnsi="Times New Roman" w:cs="Times New Roman"/>
          <w:kern w:val="0"/>
          <w:sz w:val="24"/>
          <w:szCs w:val="24"/>
          <w:lang w:val="en-US"/>
          <w14:ligatures w14:val="none"/>
        </w:rPr>
        <w:t xml:space="preserve">(2), 212–222. </w:t>
      </w:r>
      <w:hyperlink r:id="rId41" w:tgtFrame="_blank" w:history="1">
        <w:r w:rsidRPr="0060385C">
          <w:rPr>
            <w:rFonts w:ascii="Times New Roman" w:eastAsia="Times New Roman" w:hAnsi="Times New Roman" w:cs="Times New Roman"/>
            <w:color w:val="0000FF"/>
            <w:kern w:val="0"/>
            <w:sz w:val="24"/>
            <w:szCs w:val="24"/>
            <w:u w:val="single"/>
            <w:lang w:val="en-US"/>
            <w14:ligatures w14:val="none"/>
          </w:rPr>
          <w:t>https://doi.org/10.5281/zenodo.21051320</w:t>
        </w:r>
      </w:hyperlink>
      <w:r w:rsidRPr="0060385C">
        <w:rPr>
          <w:rFonts w:ascii="Times New Roman" w:eastAsia="Times New Roman" w:hAnsi="Times New Roman" w:cs="Times New Roman"/>
          <w:kern w:val="0"/>
          <w:sz w:val="24"/>
          <w:szCs w:val="24"/>
          <w:lang w:val="en-US"/>
          <w14:ligatures w14:val="none"/>
        </w:rPr>
        <w:br/>
      </w:r>
    </w:p>
    <w:p w14:paraId="3C1EEF10" w14:textId="77777777" w:rsidR="0060385C" w:rsidRPr="0060385C" w:rsidRDefault="0060385C" w:rsidP="0060385C">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0385C">
        <w:rPr>
          <w:rFonts w:ascii="Times New Roman" w:eastAsia="Times New Roman" w:hAnsi="Times New Roman" w:cs="Times New Roman"/>
          <w:kern w:val="0"/>
          <w:sz w:val="24"/>
          <w:szCs w:val="24"/>
          <w:lang w:val="en-US"/>
          <w14:ligatures w14:val="none"/>
        </w:rPr>
        <w:t xml:space="preserve">Yang, Y., Ye, T., Yu, J., Fan, L., Ma, C., Zhang, B., &amp; Tan, T.-C. (2025). Evaluation of the antioxidant and longevity-promoting effects of white tea extract in </w:t>
      </w:r>
      <w:r w:rsidRPr="0060385C">
        <w:rPr>
          <w:rFonts w:ascii="Times New Roman" w:eastAsia="Times New Roman" w:hAnsi="Times New Roman" w:cs="Times New Roman"/>
          <w:i/>
          <w:iCs/>
          <w:kern w:val="0"/>
          <w:sz w:val="24"/>
          <w:szCs w:val="24"/>
          <w:lang w:val="en-US"/>
          <w14:ligatures w14:val="none"/>
        </w:rPr>
        <w:t>Drosophila melanogaster</w:t>
      </w:r>
      <w:r w:rsidRPr="0060385C">
        <w:rPr>
          <w:rFonts w:ascii="Times New Roman" w:eastAsia="Times New Roman" w:hAnsi="Times New Roman" w:cs="Times New Roman"/>
          <w:kern w:val="0"/>
          <w:sz w:val="24"/>
          <w:szCs w:val="24"/>
          <w:lang w:val="en-US"/>
          <w14:ligatures w14:val="none"/>
        </w:rPr>
        <w:t xml:space="preserve">. </w:t>
      </w:r>
      <w:r w:rsidRPr="0060385C">
        <w:rPr>
          <w:rFonts w:ascii="Times New Roman" w:eastAsia="Times New Roman" w:hAnsi="Times New Roman" w:cs="Times New Roman"/>
          <w:i/>
          <w:iCs/>
          <w:kern w:val="0"/>
          <w:sz w:val="24"/>
          <w:szCs w:val="24"/>
          <w:lang w:val="en-US"/>
          <w14:ligatures w14:val="none"/>
        </w:rPr>
        <w:t>Frontiers in Nutrition, 12</w:t>
      </w:r>
      <w:r w:rsidRPr="0060385C">
        <w:rPr>
          <w:rFonts w:ascii="Times New Roman" w:eastAsia="Times New Roman" w:hAnsi="Times New Roman" w:cs="Times New Roman"/>
          <w:kern w:val="0"/>
          <w:sz w:val="24"/>
          <w:szCs w:val="24"/>
          <w:lang w:val="en-US"/>
          <w14:ligatures w14:val="none"/>
        </w:rPr>
        <w:t xml:space="preserve">, 1702854. </w:t>
      </w:r>
      <w:hyperlink r:id="rId42" w:tgtFrame="_blank" w:history="1">
        <w:r w:rsidRPr="0060385C">
          <w:rPr>
            <w:rFonts w:ascii="Times New Roman" w:eastAsia="Times New Roman" w:hAnsi="Times New Roman" w:cs="Times New Roman"/>
            <w:color w:val="0000FF"/>
            <w:kern w:val="0"/>
            <w:sz w:val="24"/>
            <w:szCs w:val="24"/>
            <w:u w:val="single"/>
            <w:lang w:val="en-US"/>
            <w14:ligatures w14:val="none"/>
          </w:rPr>
          <w:t>https://doi.org/10.3389/fnut.2025.1702854</w:t>
        </w:r>
      </w:hyperlink>
    </w:p>
    <w:p w14:paraId="64D00B68" w14:textId="77777777" w:rsidR="0060385C" w:rsidRPr="00A6483F" w:rsidRDefault="0060385C" w:rsidP="005A019D">
      <w:pPr>
        <w:jc w:val="both"/>
        <w:rPr>
          <w:rFonts w:ascii="Arial" w:hAnsi="Arial" w:cs="Arial"/>
          <w:bCs/>
          <w:sz w:val="20"/>
          <w:szCs w:val="20"/>
        </w:rPr>
      </w:pPr>
    </w:p>
    <w:p w14:paraId="29C409D9" w14:textId="77777777" w:rsidR="00970C3C" w:rsidRPr="00A6483F" w:rsidRDefault="00970C3C" w:rsidP="009B0A4B">
      <w:pPr>
        <w:spacing w:line="240" w:lineRule="auto"/>
        <w:jc w:val="both"/>
        <w:rPr>
          <w:rFonts w:ascii="Arial" w:hAnsi="Arial" w:cs="Arial"/>
          <w:bCs/>
          <w:sz w:val="20"/>
          <w:szCs w:val="20"/>
          <w:lang w:val="en-US"/>
        </w:rPr>
      </w:pPr>
    </w:p>
    <w:sectPr w:rsidR="00970C3C" w:rsidRPr="00A6483F" w:rsidSect="004C68D8">
      <w:headerReference w:type="even" r:id="rId43"/>
      <w:headerReference w:type="default" r:id="rId44"/>
      <w:footerReference w:type="even" r:id="rId45"/>
      <w:footerReference w:type="default" r:id="rId46"/>
      <w:headerReference w:type="first" r:id="rId47"/>
      <w:footerReference w:type="first" r:id="rId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F824C" w14:textId="77777777" w:rsidR="00FB19D5" w:rsidRDefault="00FB19D5" w:rsidP="004C68D8">
      <w:pPr>
        <w:spacing w:after="0" w:line="240" w:lineRule="auto"/>
      </w:pPr>
      <w:r>
        <w:separator/>
      </w:r>
    </w:p>
  </w:endnote>
  <w:endnote w:type="continuationSeparator" w:id="0">
    <w:p w14:paraId="69A257E9" w14:textId="77777777" w:rsidR="00FB19D5" w:rsidRDefault="00FB19D5" w:rsidP="004C6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607F" w14:textId="77777777" w:rsidR="004C68D8" w:rsidRDefault="004C68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149F" w14:textId="77777777" w:rsidR="004C68D8" w:rsidRDefault="004C68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28D66" w14:textId="77777777" w:rsidR="004C68D8" w:rsidRDefault="004C6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71B6D" w14:textId="77777777" w:rsidR="00FB19D5" w:rsidRDefault="00FB19D5" w:rsidP="004C68D8">
      <w:pPr>
        <w:spacing w:after="0" w:line="240" w:lineRule="auto"/>
      </w:pPr>
      <w:r>
        <w:separator/>
      </w:r>
    </w:p>
  </w:footnote>
  <w:footnote w:type="continuationSeparator" w:id="0">
    <w:p w14:paraId="61446A21" w14:textId="77777777" w:rsidR="00FB19D5" w:rsidRDefault="00FB19D5" w:rsidP="004C6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1230F" w14:textId="77777777" w:rsidR="004C68D8" w:rsidRDefault="00000000">
    <w:pPr>
      <w:pStyle w:val="Header"/>
    </w:pPr>
    <w:r>
      <w:rPr>
        <w:noProof/>
      </w:rPr>
      <w:pict w14:anchorId="1A0162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8442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B7D5" w14:textId="77777777" w:rsidR="004C68D8" w:rsidRDefault="00000000">
    <w:pPr>
      <w:pStyle w:val="Header"/>
    </w:pPr>
    <w:r>
      <w:rPr>
        <w:noProof/>
      </w:rPr>
      <w:pict w14:anchorId="335A5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8442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9ADC3" w14:textId="77777777" w:rsidR="004C68D8" w:rsidRDefault="00000000">
    <w:pPr>
      <w:pStyle w:val="Header"/>
    </w:pPr>
    <w:r>
      <w:rPr>
        <w:noProof/>
      </w:rPr>
      <w:pict w14:anchorId="3E62D6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8442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C719F"/>
    <w:multiLevelType w:val="hybridMultilevel"/>
    <w:tmpl w:val="C1D2078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D5A60FD"/>
    <w:multiLevelType w:val="hybridMultilevel"/>
    <w:tmpl w:val="57CC9D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49918FD"/>
    <w:multiLevelType w:val="hybridMultilevel"/>
    <w:tmpl w:val="5C28C2F4"/>
    <w:lvl w:ilvl="0" w:tplc="178E1A24">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27352802">
    <w:abstractNumId w:val="0"/>
  </w:num>
  <w:num w:numId="2" w16cid:durableId="1380279800">
    <w:abstractNumId w:val="1"/>
  </w:num>
  <w:num w:numId="3" w16cid:durableId="946740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QwszQ2NDIyNDI2MjVT0lEKTi0uzszPAykwrAUAZGhkoiwAAAA="/>
  </w:docVars>
  <w:rsids>
    <w:rsidRoot w:val="00264E2A"/>
    <w:rsid w:val="000138D1"/>
    <w:rsid w:val="000141F6"/>
    <w:rsid w:val="000177B0"/>
    <w:rsid w:val="000249A0"/>
    <w:rsid w:val="00037108"/>
    <w:rsid w:val="0003725B"/>
    <w:rsid w:val="00057006"/>
    <w:rsid w:val="00063D42"/>
    <w:rsid w:val="00067DA8"/>
    <w:rsid w:val="00072D08"/>
    <w:rsid w:val="00076A82"/>
    <w:rsid w:val="000B1ED1"/>
    <w:rsid w:val="000B3451"/>
    <w:rsid w:val="000B4DFA"/>
    <w:rsid w:val="000C46B8"/>
    <w:rsid w:val="000C6AEA"/>
    <w:rsid w:val="000D0930"/>
    <w:rsid w:val="000D4B99"/>
    <w:rsid w:val="000E0FDF"/>
    <w:rsid w:val="000E78C4"/>
    <w:rsid w:val="000F13FC"/>
    <w:rsid w:val="001000AA"/>
    <w:rsid w:val="001068A2"/>
    <w:rsid w:val="001103B7"/>
    <w:rsid w:val="00120947"/>
    <w:rsid w:val="00124B13"/>
    <w:rsid w:val="00125462"/>
    <w:rsid w:val="00125A82"/>
    <w:rsid w:val="0013717C"/>
    <w:rsid w:val="00141707"/>
    <w:rsid w:val="00142AA0"/>
    <w:rsid w:val="0015031D"/>
    <w:rsid w:val="00184036"/>
    <w:rsid w:val="001843CC"/>
    <w:rsid w:val="001870E6"/>
    <w:rsid w:val="001873F7"/>
    <w:rsid w:val="00193C04"/>
    <w:rsid w:val="00193ED7"/>
    <w:rsid w:val="001B0223"/>
    <w:rsid w:val="001B3805"/>
    <w:rsid w:val="001C73BF"/>
    <w:rsid w:val="001D606E"/>
    <w:rsid w:val="001F4AD0"/>
    <w:rsid w:val="00205B24"/>
    <w:rsid w:val="00213990"/>
    <w:rsid w:val="00213F3D"/>
    <w:rsid w:val="00230715"/>
    <w:rsid w:val="0026173F"/>
    <w:rsid w:val="00264E2A"/>
    <w:rsid w:val="0027495B"/>
    <w:rsid w:val="00291238"/>
    <w:rsid w:val="002949EC"/>
    <w:rsid w:val="002A21D3"/>
    <w:rsid w:val="002B0292"/>
    <w:rsid w:val="002C3B01"/>
    <w:rsid w:val="002D34DE"/>
    <w:rsid w:val="002D5611"/>
    <w:rsid w:val="002E111A"/>
    <w:rsid w:val="002F2818"/>
    <w:rsid w:val="00321999"/>
    <w:rsid w:val="00332BF2"/>
    <w:rsid w:val="00336FB3"/>
    <w:rsid w:val="00337EAF"/>
    <w:rsid w:val="0034081A"/>
    <w:rsid w:val="003838F6"/>
    <w:rsid w:val="003871D9"/>
    <w:rsid w:val="003927E3"/>
    <w:rsid w:val="00395528"/>
    <w:rsid w:val="003A3753"/>
    <w:rsid w:val="003B0AA6"/>
    <w:rsid w:val="003B273E"/>
    <w:rsid w:val="003C1367"/>
    <w:rsid w:val="003D2BCF"/>
    <w:rsid w:val="003D4D2A"/>
    <w:rsid w:val="0042101C"/>
    <w:rsid w:val="00421EB7"/>
    <w:rsid w:val="00437486"/>
    <w:rsid w:val="00437BB1"/>
    <w:rsid w:val="004412FB"/>
    <w:rsid w:val="00451B73"/>
    <w:rsid w:val="004614F6"/>
    <w:rsid w:val="00480F0B"/>
    <w:rsid w:val="004969ED"/>
    <w:rsid w:val="004A0557"/>
    <w:rsid w:val="004B0760"/>
    <w:rsid w:val="004C3CC8"/>
    <w:rsid w:val="004C68D8"/>
    <w:rsid w:val="004D25DE"/>
    <w:rsid w:val="004D418F"/>
    <w:rsid w:val="004E4D35"/>
    <w:rsid w:val="004E7077"/>
    <w:rsid w:val="004F0341"/>
    <w:rsid w:val="0050715A"/>
    <w:rsid w:val="00512664"/>
    <w:rsid w:val="0052149E"/>
    <w:rsid w:val="0052204E"/>
    <w:rsid w:val="00527630"/>
    <w:rsid w:val="00542E13"/>
    <w:rsid w:val="00544902"/>
    <w:rsid w:val="00544FDA"/>
    <w:rsid w:val="00546A79"/>
    <w:rsid w:val="00550669"/>
    <w:rsid w:val="00574E6C"/>
    <w:rsid w:val="00584652"/>
    <w:rsid w:val="0058468D"/>
    <w:rsid w:val="00591FDA"/>
    <w:rsid w:val="005A019D"/>
    <w:rsid w:val="005A2911"/>
    <w:rsid w:val="005C037A"/>
    <w:rsid w:val="005C3271"/>
    <w:rsid w:val="005C7C85"/>
    <w:rsid w:val="005C7D40"/>
    <w:rsid w:val="005D12FD"/>
    <w:rsid w:val="005D7C1F"/>
    <w:rsid w:val="005E131D"/>
    <w:rsid w:val="005E1BE5"/>
    <w:rsid w:val="005E3E17"/>
    <w:rsid w:val="005F76C6"/>
    <w:rsid w:val="0060385C"/>
    <w:rsid w:val="00612664"/>
    <w:rsid w:val="00614F23"/>
    <w:rsid w:val="0062237A"/>
    <w:rsid w:val="00622F3E"/>
    <w:rsid w:val="0063429D"/>
    <w:rsid w:val="00641F93"/>
    <w:rsid w:val="006610CE"/>
    <w:rsid w:val="00661C24"/>
    <w:rsid w:val="00680DEE"/>
    <w:rsid w:val="00682EAA"/>
    <w:rsid w:val="00687FFC"/>
    <w:rsid w:val="006C1B2A"/>
    <w:rsid w:val="006C43BB"/>
    <w:rsid w:val="006C7543"/>
    <w:rsid w:val="006D3611"/>
    <w:rsid w:val="006F3788"/>
    <w:rsid w:val="006F5D3B"/>
    <w:rsid w:val="006F6EA3"/>
    <w:rsid w:val="0072733C"/>
    <w:rsid w:val="00753545"/>
    <w:rsid w:val="007625AC"/>
    <w:rsid w:val="0076564D"/>
    <w:rsid w:val="00770ECA"/>
    <w:rsid w:val="00774336"/>
    <w:rsid w:val="00787499"/>
    <w:rsid w:val="007924DB"/>
    <w:rsid w:val="00793901"/>
    <w:rsid w:val="007A7026"/>
    <w:rsid w:val="007C06AF"/>
    <w:rsid w:val="007C19B7"/>
    <w:rsid w:val="007F264A"/>
    <w:rsid w:val="007F5047"/>
    <w:rsid w:val="00834599"/>
    <w:rsid w:val="0083675C"/>
    <w:rsid w:val="00842476"/>
    <w:rsid w:val="00844EE8"/>
    <w:rsid w:val="008463E8"/>
    <w:rsid w:val="00854246"/>
    <w:rsid w:val="00871DD8"/>
    <w:rsid w:val="00874ABD"/>
    <w:rsid w:val="00874EC9"/>
    <w:rsid w:val="00890587"/>
    <w:rsid w:val="0089775A"/>
    <w:rsid w:val="008A430C"/>
    <w:rsid w:val="008A63BE"/>
    <w:rsid w:val="008A6BC9"/>
    <w:rsid w:val="008C5ED5"/>
    <w:rsid w:val="008D1A87"/>
    <w:rsid w:val="008D28AD"/>
    <w:rsid w:val="008F30B1"/>
    <w:rsid w:val="008F4498"/>
    <w:rsid w:val="008F5E27"/>
    <w:rsid w:val="0090618E"/>
    <w:rsid w:val="009273AC"/>
    <w:rsid w:val="009322F3"/>
    <w:rsid w:val="00932AED"/>
    <w:rsid w:val="0093529A"/>
    <w:rsid w:val="009443DF"/>
    <w:rsid w:val="00953B8D"/>
    <w:rsid w:val="00961198"/>
    <w:rsid w:val="00970C3C"/>
    <w:rsid w:val="00973C3D"/>
    <w:rsid w:val="009923E2"/>
    <w:rsid w:val="00995B56"/>
    <w:rsid w:val="009A5A32"/>
    <w:rsid w:val="009B0A4B"/>
    <w:rsid w:val="009D0967"/>
    <w:rsid w:val="009E060F"/>
    <w:rsid w:val="009E4C4C"/>
    <w:rsid w:val="00A0228A"/>
    <w:rsid w:val="00A160F0"/>
    <w:rsid w:val="00A214BD"/>
    <w:rsid w:val="00A25241"/>
    <w:rsid w:val="00A36446"/>
    <w:rsid w:val="00A54135"/>
    <w:rsid w:val="00A55158"/>
    <w:rsid w:val="00A621AD"/>
    <w:rsid w:val="00A63060"/>
    <w:rsid w:val="00A6483F"/>
    <w:rsid w:val="00A66721"/>
    <w:rsid w:val="00A973AF"/>
    <w:rsid w:val="00AA1D1F"/>
    <w:rsid w:val="00AA32A5"/>
    <w:rsid w:val="00AA7418"/>
    <w:rsid w:val="00AB4291"/>
    <w:rsid w:val="00AC7834"/>
    <w:rsid w:val="00AD2CDC"/>
    <w:rsid w:val="00AD374E"/>
    <w:rsid w:val="00AF01D5"/>
    <w:rsid w:val="00B0550A"/>
    <w:rsid w:val="00B1083E"/>
    <w:rsid w:val="00B21582"/>
    <w:rsid w:val="00B21A54"/>
    <w:rsid w:val="00B21D24"/>
    <w:rsid w:val="00B27368"/>
    <w:rsid w:val="00B27CE2"/>
    <w:rsid w:val="00B32F56"/>
    <w:rsid w:val="00B3438D"/>
    <w:rsid w:val="00B41291"/>
    <w:rsid w:val="00B43FC5"/>
    <w:rsid w:val="00B50D3E"/>
    <w:rsid w:val="00B54EEA"/>
    <w:rsid w:val="00B55DB5"/>
    <w:rsid w:val="00B65AC3"/>
    <w:rsid w:val="00B840B9"/>
    <w:rsid w:val="00BA00BD"/>
    <w:rsid w:val="00BA5A99"/>
    <w:rsid w:val="00BA7D1A"/>
    <w:rsid w:val="00BB0F8B"/>
    <w:rsid w:val="00BB13AC"/>
    <w:rsid w:val="00BC3294"/>
    <w:rsid w:val="00BE1901"/>
    <w:rsid w:val="00BE6B25"/>
    <w:rsid w:val="00C0247F"/>
    <w:rsid w:val="00C025F1"/>
    <w:rsid w:val="00C04436"/>
    <w:rsid w:val="00C06F7F"/>
    <w:rsid w:val="00C16A60"/>
    <w:rsid w:val="00C206E3"/>
    <w:rsid w:val="00C26AB6"/>
    <w:rsid w:val="00C272C7"/>
    <w:rsid w:val="00C36709"/>
    <w:rsid w:val="00C45E52"/>
    <w:rsid w:val="00C47B0C"/>
    <w:rsid w:val="00C56A05"/>
    <w:rsid w:val="00C62E05"/>
    <w:rsid w:val="00C70C5D"/>
    <w:rsid w:val="00CA4EA8"/>
    <w:rsid w:val="00CA6AED"/>
    <w:rsid w:val="00CB1587"/>
    <w:rsid w:val="00CD09F8"/>
    <w:rsid w:val="00CD42F0"/>
    <w:rsid w:val="00CD544C"/>
    <w:rsid w:val="00CD6B6C"/>
    <w:rsid w:val="00D1181F"/>
    <w:rsid w:val="00D45A98"/>
    <w:rsid w:val="00D74F20"/>
    <w:rsid w:val="00D76855"/>
    <w:rsid w:val="00D77A23"/>
    <w:rsid w:val="00D82534"/>
    <w:rsid w:val="00D86618"/>
    <w:rsid w:val="00D87870"/>
    <w:rsid w:val="00D97597"/>
    <w:rsid w:val="00D97C6D"/>
    <w:rsid w:val="00DA1EEB"/>
    <w:rsid w:val="00DB4E5A"/>
    <w:rsid w:val="00DC0AB9"/>
    <w:rsid w:val="00DC3452"/>
    <w:rsid w:val="00DE2FE7"/>
    <w:rsid w:val="00DE5539"/>
    <w:rsid w:val="00E20DB0"/>
    <w:rsid w:val="00E32739"/>
    <w:rsid w:val="00E35CB2"/>
    <w:rsid w:val="00E423A9"/>
    <w:rsid w:val="00E612E1"/>
    <w:rsid w:val="00E73E7E"/>
    <w:rsid w:val="00E872AC"/>
    <w:rsid w:val="00E969AA"/>
    <w:rsid w:val="00EA4933"/>
    <w:rsid w:val="00ED3056"/>
    <w:rsid w:val="00ED71DD"/>
    <w:rsid w:val="00ED7E18"/>
    <w:rsid w:val="00EF1E6F"/>
    <w:rsid w:val="00EF6FA2"/>
    <w:rsid w:val="00F1613B"/>
    <w:rsid w:val="00F2283D"/>
    <w:rsid w:val="00F263F6"/>
    <w:rsid w:val="00F51DD3"/>
    <w:rsid w:val="00F612B9"/>
    <w:rsid w:val="00F62FDE"/>
    <w:rsid w:val="00F7308D"/>
    <w:rsid w:val="00F774C5"/>
    <w:rsid w:val="00F81005"/>
    <w:rsid w:val="00F84A2D"/>
    <w:rsid w:val="00F87559"/>
    <w:rsid w:val="00F976EE"/>
    <w:rsid w:val="00FA1886"/>
    <w:rsid w:val="00FA3CE6"/>
    <w:rsid w:val="00FA5BD2"/>
    <w:rsid w:val="00FA5F91"/>
    <w:rsid w:val="00FB19D5"/>
    <w:rsid w:val="00FB3E2F"/>
    <w:rsid w:val="00FD3BF7"/>
    <w:rsid w:val="00FE6CD5"/>
    <w:rsid w:val="00FE7548"/>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96303"/>
  <w15:chartTrackingRefBased/>
  <w15:docId w15:val="{BAC5472B-AFA3-4BDA-B29F-2BFE9657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E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4E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4E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4E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4E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4E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E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E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E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E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4E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4E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4E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4E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4E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E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E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E2A"/>
    <w:rPr>
      <w:rFonts w:eastAsiaTheme="majorEastAsia" w:cstheme="majorBidi"/>
      <w:color w:val="272727" w:themeColor="text1" w:themeTint="D8"/>
    </w:rPr>
  </w:style>
  <w:style w:type="paragraph" w:styleId="Title">
    <w:name w:val="Title"/>
    <w:basedOn w:val="Normal"/>
    <w:next w:val="Normal"/>
    <w:link w:val="TitleChar"/>
    <w:uiPriority w:val="10"/>
    <w:qFormat/>
    <w:rsid w:val="00264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E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E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E2A"/>
    <w:pPr>
      <w:spacing w:before="160"/>
      <w:jc w:val="center"/>
    </w:pPr>
    <w:rPr>
      <w:i/>
      <w:iCs/>
      <w:color w:val="404040" w:themeColor="text1" w:themeTint="BF"/>
    </w:rPr>
  </w:style>
  <w:style w:type="character" w:customStyle="1" w:styleId="QuoteChar">
    <w:name w:val="Quote Char"/>
    <w:basedOn w:val="DefaultParagraphFont"/>
    <w:link w:val="Quote"/>
    <w:uiPriority w:val="29"/>
    <w:rsid w:val="00264E2A"/>
    <w:rPr>
      <w:i/>
      <w:iCs/>
      <w:color w:val="404040" w:themeColor="text1" w:themeTint="BF"/>
    </w:rPr>
  </w:style>
  <w:style w:type="paragraph" w:styleId="ListParagraph">
    <w:name w:val="List Paragraph"/>
    <w:basedOn w:val="Normal"/>
    <w:uiPriority w:val="34"/>
    <w:qFormat/>
    <w:rsid w:val="00264E2A"/>
    <w:pPr>
      <w:ind w:left="720"/>
      <w:contextualSpacing/>
    </w:pPr>
  </w:style>
  <w:style w:type="character" w:styleId="IntenseEmphasis">
    <w:name w:val="Intense Emphasis"/>
    <w:basedOn w:val="DefaultParagraphFont"/>
    <w:uiPriority w:val="21"/>
    <w:qFormat/>
    <w:rsid w:val="00264E2A"/>
    <w:rPr>
      <w:i/>
      <w:iCs/>
      <w:color w:val="2F5496" w:themeColor="accent1" w:themeShade="BF"/>
    </w:rPr>
  </w:style>
  <w:style w:type="paragraph" w:styleId="IntenseQuote">
    <w:name w:val="Intense Quote"/>
    <w:basedOn w:val="Normal"/>
    <w:next w:val="Normal"/>
    <w:link w:val="IntenseQuoteChar"/>
    <w:uiPriority w:val="30"/>
    <w:qFormat/>
    <w:rsid w:val="00264E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4E2A"/>
    <w:rPr>
      <w:i/>
      <w:iCs/>
      <w:color w:val="2F5496" w:themeColor="accent1" w:themeShade="BF"/>
    </w:rPr>
  </w:style>
  <w:style w:type="character" w:styleId="IntenseReference">
    <w:name w:val="Intense Reference"/>
    <w:basedOn w:val="DefaultParagraphFont"/>
    <w:uiPriority w:val="32"/>
    <w:qFormat/>
    <w:rsid w:val="00264E2A"/>
    <w:rPr>
      <w:b/>
      <w:bCs/>
      <w:smallCaps/>
      <w:color w:val="2F5496" w:themeColor="accent1" w:themeShade="BF"/>
      <w:spacing w:val="5"/>
    </w:rPr>
  </w:style>
  <w:style w:type="table" w:styleId="TableGrid">
    <w:name w:val="Table Grid"/>
    <w:basedOn w:val="TableNormal"/>
    <w:uiPriority w:val="39"/>
    <w:rsid w:val="00421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612E1"/>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styleId="Hyperlink">
    <w:name w:val="Hyperlink"/>
    <w:uiPriority w:val="99"/>
    <w:unhideWhenUsed/>
    <w:rsid w:val="009273AC"/>
    <w:rPr>
      <w:color w:val="0000FF"/>
      <w:u w:val="single"/>
    </w:rPr>
  </w:style>
  <w:style w:type="paragraph" w:styleId="BodyText">
    <w:name w:val="Body Text"/>
    <w:basedOn w:val="Normal"/>
    <w:link w:val="BodyTextChar"/>
    <w:uiPriority w:val="1"/>
    <w:qFormat/>
    <w:rsid w:val="009443DF"/>
    <w:pPr>
      <w:widowControl w:val="0"/>
      <w:autoSpaceDE w:val="0"/>
      <w:autoSpaceDN w:val="0"/>
      <w:spacing w:after="0" w:line="240" w:lineRule="auto"/>
    </w:pPr>
    <w:rPr>
      <w:rFonts w:ascii="Times New Roman" w:eastAsia="Times New Roman" w:hAnsi="Times New Roman" w:cs="Times New Roman"/>
      <w:kern w:val="0"/>
      <w:sz w:val="26"/>
      <w:szCs w:val="26"/>
      <w:lang w:val="en-US"/>
      <w14:ligatures w14:val="none"/>
    </w:rPr>
  </w:style>
  <w:style w:type="character" w:customStyle="1" w:styleId="BodyTextChar">
    <w:name w:val="Body Text Char"/>
    <w:basedOn w:val="DefaultParagraphFont"/>
    <w:link w:val="BodyText"/>
    <w:uiPriority w:val="1"/>
    <w:rsid w:val="009443DF"/>
    <w:rPr>
      <w:rFonts w:ascii="Times New Roman" w:eastAsia="Times New Roman" w:hAnsi="Times New Roman" w:cs="Times New Roman"/>
      <w:kern w:val="0"/>
      <w:sz w:val="26"/>
      <w:szCs w:val="26"/>
      <w:lang w:val="en-US"/>
      <w14:ligatures w14:val="none"/>
    </w:rPr>
  </w:style>
  <w:style w:type="character" w:styleId="LineNumber">
    <w:name w:val="line number"/>
    <w:basedOn w:val="DefaultParagraphFont"/>
    <w:uiPriority w:val="99"/>
    <w:semiHidden/>
    <w:unhideWhenUsed/>
    <w:rsid w:val="00205B24"/>
  </w:style>
  <w:style w:type="character" w:styleId="UnresolvedMention">
    <w:name w:val="Unresolved Mention"/>
    <w:basedOn w:val="DefaultParagraphFont"/>
    <w:uiPriority w:val="99"/>
    <w:semiHidden/>
    <w:unhideWhenUsed/>
    <w:rsid w:val="00BC3294"/>
    <w:rPr>
      <w:color w:val="605E5C"/>
      <w:shd w:val="clear" w:color="auto" w:fill="E1DFDD"/>
    </w:rPr>
  </w:style>
  <w:style w:type="paragraph" w:styleId="Header">
    <w:name w:val="header"/>
    <w:basedOn w:val="Normal"/>
    <w:link w:val="HeaderChar"/>
    <w:uiPriority w:val="99"/>
    <w:unhideWhenUsed/>
    <w:rsid w:val="004C68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8D8"/>
  </w:style>
  <w:style w:type="paragraph" w:styleId="Footer">
    <w:name w:val="footer"/>
    <w:basedOn w:val="Normal"/>
    <w:link w:val="FooterChar"/>
    <w:uiPriority w:val="99"/>
    <w:unhideWhenUsed/>
    <w:rsid w:val="004C68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8D8"/>
  </w:style>
  <w:style w:type="character" w:styleId="Emphasis">
    <w:name w:val="Emphasis"/>
    <w:basedOn w:val="DefaultParagraphFont"/>
    <w:uiPriority w:val="20"/>
    <w:qFormat/>
    <w:rsid w:val="005E131D"/>
    <w:rPr>
      <w:i/>
      <w:iCs/>
    </w:rPr>
  </w:style>
  <w:style w:type="paragraph" w:customStyle="1" w:styleId="pdq2pgselectionanchorcontainer">
    <w:name w:val="pdq2pg_selectionanchorcontainer"/>
    <w:basedOn w:val="Normal"/>
    <w:rsid w:val="005E131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6557/upjoz/2022/v43i243326?utm_source=chatgpt.com" TargetMode="External"/><Relationship Id="rId18" Type="http://schemas.openxmlformats.org/officeDocument/2006/relationships/hyperlink" Target="https://doi.org/10.3390/ijms27031404?utm_source=chatgpt.com" TargetMode="External"/><Relationship Id="rId26" Type="http://schemas.openxmlformats.org/officeDocument/2006/relationships/hyperlink" Target="https://pharmacologyonline.silae.it/front/archives_2015_2?utm_source=chatgpt.com" TargetMode="External"/><Relationship Id="rId39" Type="http://schemas.openxmlformats.org/officeDocument/2006/relationships/hyperlink" Target="https://doi.org/10.1007/s12035-025-04848-y?utm_source=chatgpt.com" TargetMode="External"/><Relationship Id="rId21" Type="http://schemas.openxmlformats.org/officeDocument/2006/relationships/hyperlink" Target="https://doi.org/10.2174/0113852728337563241202080158?utm_source=chatgpt.com" TargetMode="External"/><Relationship Id="rId34" Type="http://schemas.openxmlformats.org/officeDocument/2006/relationships/hyperlink" Target="https://doi.org/10.1007/s00210-026-05203-1?utm_source=chatgpt.com" TargetMode="External"/><Relationship Id="rId42" Type="http://schemas.openxmlformats.org/officeDocument/2006/relationships/hyperlink" Target="https://doi.org/10.3389/fnut.2025.1702854?utm_source=chatgpt.com"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doi.org/10.1007/978-981-96-8622-3_5?utm_source=chatgpt.com" TargetMode="External"/><Relationship Id="rId29" Type="http://schemas.openxmlformats.org/officeDocument/2006/relationships/hyperlink" Target="https://doi.org/10.3389/fgene.2019.00051?utm_source=chatgpt.com" TargetMode="External"/><Relationship Id="rId11" Type="http://schemas.openxmlformats.org/officeDocument/2006/relationships/image" Target="media/image5.jpeg"/><Relationship Id="rId24" Type="http://schemas.openxmlformats.org/officeDocument/2006/relationships/hyperlink" Target="https://doi.org/10.1016/j.prerep.2025.100058?utm_source=chatgpt.com" TargetMode="External"/><Relationship Id="rId32" Type="http://schemas.openxmlformats.org/officeDocument/2006/relationships/hyperlink" Target="https://doi.org/10.3791/3795?utm_source=chatgpt.com" TargetMode="External"/><Relationship Id="rId37" Type="http://schemas.openxmlformats.org/officeDocument/2006/relationships/hyperlink" Target="https://doi.org/10.2139/ssrn.5036678?utm_source=chatgpt.com" TargetMode="External"/><Relationship Id="rId40" Type="http://schemas.openxmlformats.org/officeDocument/2006/relationships/hyperlink" Target="https://doi.org/10.1373/clinchem.2003.026161?utm_source=chatgpt.com"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17504/protocols.io.fgrbjv6?utm_source=chatgpt.com" TargetMode="External"/><Relationship Id="rId23" Type="http://schemas.openxmlformats.org/officeDocument/2006/relationships/hyperlink" Target="https://doi.org/10.1016/j.brainres.2024.148953?utm_source=chatgpt.com" TargetMode="External"/><Relationship Id="rId28" Type="http://schemas.openxmlformats.org/officeDocument/2006/relationships/hyperlink" Target="https://doi.org/10.21769/BioProtoc.2742?utm_source=chatgpt.com" TargetMode="External"/><Relationship Id="rId36" Type="http://schemas.openxmlformats.org/officeDocument/2006/relationships/hyperlink" Target="https://doi.org/10.1093/nar/29.9.e45?utm_source=chatgpt.com" TargetMode="External"/><Relationship Id="rId49"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doi.org/10.1016/j.steroids.2018.09.005?utm_source=chatgpt.com" TargetMode="External"/><Relationship Id="rId31" Type="http://schemas.openxmlformats.org/officeDocument/2006/relationships/hyperlink" Target="https://doi.org/10.31254/phyto.2026.15114?utm_source=chatgpt.com" TargetMode="External"/><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3389/fphar.2025.1593264?utm_source=chatgpt.com" TargetMode="External"/><Relationship Id="rId22" Type="http://schemas.openxmlformats.org/officeDocument/2006/relationships/hyperlink" Target="https://doi.org/10.9734/ejmp/2025/v36i41287?utm_source=chatgpt.com" TargetMode="External"/><Relationship Id="rId27" Type="http://schemas.openxmlformats.org/officeDocument/2006/relationships/hyperlink" Target="https://doi.org/10.1007/s11101-025-10194-7?utm_source=chatgpt.com" TargetMode="External"/><Relationship Id="rId30" Type="http://schemas.openxmlformats.org/officeDocument/2006/relationships/hyperlink" Target="https://doi.org/10.46610/RRDDD.2022.v04i01.001?utm_source=chatgpt.com" TargetMode="External"/><Relationship Id="rId35" Type="http://schemas.openxmlformats.org/officeDocument/2006/relationships/hyperlink" Target="https://doi.org/10.1007/978-981-96-9670-3_9?utm_source=chatgpt.com"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doi.org/10.1016/j.neuro.2024.02.006?utm_source=chatgpt.com" TargetMode="External"/><Relationship Id="rId17" Type="http://schemas.openxmlformats.org/officeDocument/2006/relationships/hyperlink" Target="https://doi.org/10.3390/molecules29092007?utm_source=chatgpt.com" TargetMode="External"/><Relationship Id="rId25" Type="http://schemas.openxmlformats.org/officeDocument/2006/relationships/hyperlink" Target="https://doi.org/10.1007/s11101-026-10234-w?utm_source=chatgpt.com" TargetMode="External"/><Relationship Id="rId33" Type="http://schemas.openxmlformats.org/officeDocument/2006/relationships/hyperlink" Target="https://doi.org/10.3390/ijms26168061?utm_source=chatgpt.com" TargetMode="External"/><Relationship Id="rId38" Type="http://schemas.openxmlformats.org/officeDocument/2006/relationships/hyperlink" Target="https://doi.org/10.1021/acs.chemrestox.1c00348?utm_source=chatgpt.com" TargetMode="External"/><Relationship Id="rId46" Type="http://schemas.openxmlformats.org/officeDocument/2006/relationships/footer" Target="footer2.xml"/><Relationship Id="rId20" Type="http://schemas.openxmlformats.org/officeDocument/2006/relationships/hyperlink" Target="https://doi.org/10.15212/bioi-2025-0073?utm_source=chatgpt.com" TargetMode="External"/><Relationship Id="rId41" Type="http://schemas.openxmlformats.org/officeDocument/2006/relationships/hyperlink" Target="https://doi.org/10.5281/zenodo.21051320?utm_source=chatgpt.com"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3641</TotalTime>
  <Pages>15</Pages>
  <Words>6593</Words>
  <Characters>37584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Rishnakp</dc:creator>
  <cp:keywords/>
  <dc:description/>
  <cp:lastModifiedBy>SDI 1087</cp:lastModifiedBy>
  <cp:revision>245</cp:revision>
  <dcterms:created xsi:type="dcterms:W3CDTF">2026-07-31T05:18:00Z</dcterms:created>
  <dcterms:modified xsi:type="dcterms:W3CDTF">2026-08-24T11:10:00Z</dcterms:modified>
</cp:coreProperties>
</file>