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83A27" w14:textId="77777777" w:rsidR="000A00AB" w:rsidRPr="00735CBB" w:rsidRDefault="00000000">
      <w:pPr>
        <w:pBdr>
          <w:top w:val="nil"/>
          <w:left w:val="nil"/>
          <w:bottom w:val="nil"/>
          <w:right w:val="nil"/>
          <w:between w:val="nil"/>
        </w:pBdr>
        <w:rPr>
          <w:rFonts w:ascii="Arial" w:eastAsia="Arial" w:hAnsi="Arial" w:cs="Arial"/>
          <w:b/>
          <w:bCs/>
          <w:color w:val="000000"/>
          <w:sz w:val="36"/>
          <w:szCs w:val="36"/>
          <w:u w:val="single"/>
        </w:rPr>
      </w:pPr>
      <w:r w:rsidRPr="00735CBB">
        <w:rPr>
          <w:rFonts w:ascii="Arial" w:eastAsia="Arial" w:hAnsi="Arial" w:cs="Arial"/>
          <w:b/>
          <w:bCs/>
          <w:sz w:val="36"/>
          <w:szCs w:val="36"/>
          <w:u w:val="single"/>
        </w:rPr>
        <w:t>Revised</w:t>
      </w:r>
      <w:r w:rsidRPr="00735CBB">
        <w:rPr>
          <w:rFonts w:ascii="Arial" w:eastAsia="Arial" w:hAnsi="Arial" w:cs="Arial"/>
          <w:b/>
          <w:bCs/>
          <w:color w:val="000000"/>
          <w:sz w:val="36"/>
          <w:szCs w:val="36"/>
          <w:u w:val="single"/>
        </w:rPr>
        <w:t xml:space="preserve"> Research Article</w:t>
      </w:r>
    </w:p>
    <w:p w14:paraId="415BAB95" w14:textId="77777777" w:rsidR="000A00AB" w:rsidRPr="00735CBB" w:rsidRDefault="000A00AB">
      <w:pPr>
        <w:pBdr>
          <w:top w:val="nil"/>
          <w:left w:val="nil"/>
          <w:bottom w:val="nil"/>
          <w:right w:val="nil"/>
          <w:between w:val="nil"/>
        </w:pBdr>
        <w:rPr>
          <w:rFonts w:ascii="Arial" w:eastAsia="Arial" w:hAnsi="Arial" w:cs="Arial"/>
          <w:b/>
          <w:bCs/>
          <w:color w:val="000000"/>
          <w:sz w:val="36"/>
          <w:szCs w:val="36"/>
          <w:u w:val="single"/>
        </w:rPr>
      </w:pPr>
    </w:p>
    <w:p w14:paraId="74D23C8E" w14:textId="77777777" w:rsidR="000A00AB" w:rsidRPr="00735CBB" w:rsidRDefault="00000000">
      <w:pPr>
        <w:pBdr>
          <w:top w:val="nil"/>
          <w:left w:val="nil"/>
          <w:bottom w:val="nil"/>
          <w:right w:val="nil"/>
          <w:between w:val="nil"/>
        </w:pBdr>
        <w:jc w:val="right"/>
        <w:rPr>
          <w:rFonts w:ascii="Arial" w:eastAsia="Arial" w:hAnsi="Arial" w:cs="Arial"/>
          <w:b/>
          <w:bCs/>
          <w:color w:val="000000"/>
          <w:sz w:val="36"/>
          <w:szCs w:val="36"/>
        </w:rPr>
      </w:pPr>
      <w:r w:rsidRPr="00735CBB">
        <w:rPr>
          <w:rFonts w:ascii="Arial" w:eastAsia="Arial" w:hAnsi="Arial" w:cs="Arial"/>
          <w:b/>
          <w:bCs/>
          <w:color w:val="000000"/>
          <w:sz w:val="36"/>
          <w:szCs w:val="36"/>
        </w:rPr>
        <w:t xml:space="preserve">Hatching Success of the Kentish Plover </w:t>
      </w:r>
      <w:r w:rsidRPr="00735CBB">
        <w:rPr>
          <w:rFonts w:ascii="Arial" w:eastAsia="Arial" w:hAnsi="Arial" w:cs="Arial"/>
          <w:b/>
          <w:bCs/>
          <w:i/>
          <w:iCs/>
          <w:color w:val="000000"/>
          <w:sz w:val="36"/>
          <w:szCs w:val="36"/>
        </w:rPr>
        <w:t>(</w:t>
      </w:r>
      <w:proofErr w:type="spellStart"/>
      <w:r w:rsidRPr="00735CBB">
        <w:rPr>
          <w:rFonts w:ascii="Arial" w:eastAsia="Arial" w:hAnsi="Arial" w:cs="Arial"/>
          <w:b/>
          <w:bCs/>
          <w:i/>
          <w:iCs/>
          <w:color w:val="000000"/>
          <w:sz w:val="36"/>
          <w:szCs w:val="36"/>
        </w:rPr>
        <w:t>Anarhynchus</w:t>
      </w:r>
      <w:proofErr w:type="spellEnd"/>
      <w:r w:rsidRPr="00735CBB">
        <w:rPr>
          <w:rFonts w:ascii="Arial" w:eastAsia="Arial" w:hAnsi="Arial" w:cs="Arial"/>
          <w:b/>
          <w:bCs/>
          <w:i/>
          <w:iCs/>
          <w:color w:val="000000"/>
          <w:sz w:val="36"/>
          <w:szCs w:val="36"/>
        </w:rPr>
        <w:t xml:space="preserve"> </w:t>
      </w:r>
      <w:proofErr w:type="spellStart"/>
      <w:r w:rsidRPr="00735CBB">
        <w:rPr>
          <w:rFonts w:ascii="Arial" w:eastAsia="Arial" w:hAnsi="Arial" w:cs="Arial"/>
          <w:b/>
          <w:bCs/>
          <w:i/>
          <w:iCs/>
          <w:color w:val="000000"/>
          <w:sz w:val="36"/>
          <w:szCs w:val="36"/>
        </w:rPr>
        <w:t>alexandrinus</w:t>
      </w:r>
      <w:proofErr w:type="spellEnd"/>
      <w:r w:rsidRPr="00735CBB">
        <w:rPr>
          <w:rFonts w:ascii="Arial" w:eastAsia="Arial" w:hAnsi="Arial" w:cs="Arial"/>
          <w:b/>
          <w:bCs/>
          <w:i/>
          <w:iCs/>
          <w:color w:val="000000"/>
          <w:sz w:val="36"/>
          <w:szCs w:val="36"/>
        </w:rPr>
        <w:t xml:space="preserve">) </w:t>
      </w:r>
      <w:r w:rsidRPr="00735CBB">
        <w:rPr>
          <w:rFonts w:ascii="Arial" w:eastAsia="Arial" w:hAnsi="Arial" w:cs="Arial"/>
          <w:b/>
          <w:bCs/>
          <w:color w:val="000000"/>
          <w:sz w:val="36"/>
          <w:szCs w:val="36"/>
        </w:rPr>
        <w:t xml:space="preserve">at the </w:t>
      </w:r>
      <w:proofErr w:type="spellStart"/>
      <w:r w:rsidRPr="00735CBB">
        <w:rPr>
          <w:rFonts w:ascii="Arial" w:eastAsia="Arial" w:hAnsi="Arial" w:cs="Arial"/>
          <w:b/>
          <w:bCs/>
          <w:color w:val="000000"/>
          <w:sz w:val="36"/>
          <w:szCs w:val="36"/>
        </w:rPr>
        <w:t>Machchhu</w:t>
      </w:r>
      <w:proofErr w:type="spellEnd"/>
      <w:r w:rsidRPr="00735CBB">
        <w:rPr>
          <w:rFonts w:ascii="Arial" w:eastAsia="Arial" w:hAnsi="Arial" w:cs="Arial"/>
          <w:b/>
          <w:bCs/>
          <w:color w:val="000000"/>
          <w:sz w:val="36"/>
          <w:szCs w:val="36"/>
        </w:rPr>
        <w:t xml:space="preserve">-I and </w:t>
      </w:r>
      <w:proofErr w:type="spellStart"/>
      <w:r w:rsidRPr="00735CBB">
        <w:rPr>
          <w:rFonts w:ascii="Arial" w:eastAsia="Arial" w:hAnsi="Arial" w:cs="Arial"/>
          <w:b/>
          <w:bCs/>
          <w:color w:val="000000"/>
          <w:sz w:val="36"/>
          <w:szCs w:val="36"/>
        </w:rPr>
        <w:t>Machchhu</w:t>
      </w:r>
      <w:proofErr w:type="spellEnd"/>
      <w:r w:rsidRPr="00735CBB">
        <w:rPr>
          <w:rFonts w:ascii="Arial" w:eastAsia="Arial" w:hAnsi="Arial" w:cs="Arial"/>
          <w:b/>
          <w:bCs/>
          <w:color w:val="000000"/>
          <w:sz w:val="36"/>
          <w:szCs w:val="36"/>
        </w:rPr>
        <w:t>-II Dam Sites, Morbi District, Gujarat, India</w:t>
      </w:r>
    </w:p>
    <w:p w14:paraId="406A1417" w14:textId="77777777" w:rsidR="000A00AB" w:rsidRPr="00735CBB" w:rsidRDefault="000A00AB">
      <w:pPr>
        <w:pBdr>
          <w:top w:val="nil"/>
          <w:left w:val="nil"/>
          <w:bottom w:val="nil"/>
          <w:right w:val="nil"/>
          <w:between w:val="nil"/>
        </w:pBdr>
        <w:jc w:val="both"/>
        <w:rPr>
          <w:rFonts w:ascii="Arial" w:eastAsia="Arial" w:hAnsi="Arial" w:cs="Arial"/>
          <w:b/>
          <w:bCs/>
          <w:color w:val="000000"/>
          <w:sz w:val="36"/>
          <w:szCs w:val="36"/>
        </w:rPr>
      </w:pPr>
    </w:p>
    <w:p w14:paraId="40917D9D" w14:textId="77777777" w:rsidR="000A00AB" w:rsidRPr="00735CBB" w:rsidRDefault="000A00AB">
      <w:pPr>
        <w:pBdr>
          <w:top w:val="nil"/>
          <w:left w:val="nil"/>
          <w:bottom w:val="nil"/>
          <w:right w:val="nil"/>
          <w:between w:val="nil"/>
        </w:pBdr>
        <w:jc w:val="both"/>
        <w:rPr>
          <w:rFonts w:ascii="Arial" w:eastAsia="Arial" w:hAnsi="Arial" w:cs="Arial"/>
          <w:color w:val="000000"/>
        </w:rPr>
      </w:pPr>
    </w:p>
    <w:p w14:paraId="288CBFE9" w14:textId="77777777" w:rsidR="000A00AB" w:rsidRPr="00735CBB" w:rsidRDefault="00000000">
      <w:pPr>
        <w:pBdr>
          <w:top w:val="nil"/>
          <w:left w:val="nil"/>
          <w:bottom w:val="nil"/>
          <w:right w:val="nil"/>
          <w:between w:val="nil"/>
        </w:pBdr>
        <w:jc w:val="both"/>
        <w:rPr>
          <w:rFonts w:ascii="Arial" w:eastAsia="Arial" w:hAnsi="Arial" w:cs="Arial"/>
          <w:color w:val="000000"/>
          <w:sz w:val="16"/>
          <w:szCs w:val="16"/>
        </w:rPr>
        <w:sectPr w:rsidR="000A00AB" w:rsidRPr="00735CBB">
          <w:headerReference w:type="even" r:id="rId7"/>
          <w:headerReference w:type="default" r:id="rId8"/>
          <w:footerReference w:type="even" r:id="rId9"/>
          <w:footerReference w:type="default" r:id="rId10"/>
          <w:headerReference w:type="first" r:id="rId11"/>
          <w:footerReference w:type="first" r:id="rId12"/>
          <w:pgSz w:w="12240" w:h="15840"/>
          <w:pgMar w:top="1440" w:right="2016" w:bottom="2016" w:left="2016" w:header="720" w:footer="1296" w:gutter="0"/>
          <w:pgNumType w:start="1"/>
          <w:cols w:space="720"/>
        </w:sectPr>
      </w:pPr>
      <w:r w:rsidRPr="00735CBB">
        <w:rPr>
          <w:rFonts w:ascii="Arial" w:eastAsia="Arial" w:hAnsi="Arial" w:cs="Arial"/>
          <w:noProof/>
          <w:color w:val="000000"/>
          <w:sz w:val="16"/>
          <w:szCs w:val="16"/>
        </w:rPr>
        <mc:AlternateContent>
          <mc:Choice Requires="wps">
            <w:drawing>
              <wp:inline distT="0" distB="0" distL="0" distR="0" wp14:anchorId="3ECE7BEB" wp14:editId="1274BB45">
                <wp:extent cx="5303520" cy="0"/>
                <wp:effectExtent l="15240" t="17780" r="15240" b="10795"/>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wps:spPr>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5334000" cy="28575"/>
                <wp:effectExtent b="0" l="0" r="0" t="0"/>
                <wp:docPr id="1"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5334000" cy="28575"/>
                        </a:xfrm>
                        <a:prstGeom prst="rect"/>
                        <a:ln/>
                      </pic:spPr>
                    </pic:pic>
                  </a:graphicData>
                </a:graphic>
              </wp:inline>
            </w:drawing>
          </mc:Fallback>
        </mc:AlternateContent>
      </w:r>
      <w:r w:rsidRPr="00735CBB">
        <w:rPr>
          <w:rFonts w:ascii="Arial" w:eastAsia="Arial" w:hAnsi="Arial" w:cs="Arial"/>
          <w:color w:val="000000"/>
          <w:sz w:val="16"/>
          <w:szCs w:val="16"/>
        </w:rPr>
        <w:t>.</w:t>
      </w:r>
    </w:p>
    <w:p w14:paraId="3AAB193F" w14:textId="77777777" w:rsidR="000A00AB" w:rsidRPr="00735CBB" w:rsidRDefault="00000000">
      <w:pPr>
        <w:keepNext/>
        <w:pBdr>
          <w:top w:val="nil"/>
          <w:left w:val="nil"/>
          <w:bottom w:val="nil"/>
          <w:right w:val="nil"/>
          <w:between w:val="nil"/>
        </w:pBdr>
        <w:spacing w:after="240"/>
        <w:jc w:val="both"/>
        <w:rPr>
          <w:rFonts w:ascii="Arial" w:eastAsia="Arial" w:hAnsi="Arial" w:cs="Arial"/>
          <w:b/>
          <w:bCs/>
          <w:smallCaps/>
          <w:color w:val="000000"/>
          <w:sz w:val="22"/>
          <w:szCs w:val="22"/>
        </w:rPr>
      </w:pPr>
      <w:r w:rsidRPr="00735CBB">
        <w:rPr>
          <w:rFonts w:ascii="Arial" w:eastAsia="Arial" w:hAnsi="Arial" w:cs="Arial"/>
          <w:b/>
          <w:bCs/>
          <w:smallCaps/>
          <w:color w:val="000000"/>
          <w:sz w:val="22"/>
          <w:szCs w:val="22"/>
        </w:rPr>
        <w:t>ABSTRACT</w:t>
      </w:r>
    </w:p>
    <w:tbl>
      <w:tblPr>
        <w:tblStyle w:val="a"/>
        <w:tblW w:w="842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24"/>
      </w:tblGrid>
      <w:tr w:rsidR="000A00AB" w:rsidRPr="00735CBB" w14:paraId="4B9E8202" w14:textId="77777777">
        <w:tc>
          <w:tcPr>
            <w:tcW w:w="8424" w:type="dxa"/>
            <w:shd w:val="clear" w:color="auto" w:fill="F2F2F2"/>
          </w:tcPr>
          <w:p w14:paraId="50F46A4A" w14:textId="77777777" w:rsidR="000A00AB" w:rsidRPr="00735CBB" w:rsidRDefault="00000000">
            <w:pPr>
              <w:pBdr>
                <w:top w:val="nil"/>
                <w:left w:val="nil"/>
                <w:bottom w:val="nil"/>
                <w:right w:val="nil"/>
                <w:between w:val="nil"/>
              </w:pBdr>
              <w:spacing w:after="240"/>
              <w:jc w:val="both"/>
              <w:rPr>
                <w:rFonts w:ascii="Arial" w:eastAsia="Arial" w:hAnsi="Arial" w:cs="Arial"/>
                <w:color w:val="000000"/>
              </w:rPr>
            </w:pPr>
            <w:r w:rsidRPr="00735CBB">
              <w:t>This study evaluated the hatching success of the Kentish Plover (</w:t>
            </w:r>
            <w:r w:rsidRPr="00735CBB">
              <w:rPr>
                <w:i/>
              </w:rPr>
              <w:t xml:space="preserve">Charadrius </w:t>
            </w:r>
            <w:proofErr w:type="spellStart"/>
            <w:r w:rsidRPr="00735CBB">
              <w:rPr>
                <w:i/>
              </w:rPr>
              <w:t>alexandrinus</w:t>
            </w:r>
            <w:proofErr w:type="spellEnd"/>
            <w:r w:rsidRPr="00735CBB">
              <w:t xml:space="preserve">) at the </w:t>
            </w:r>
            <w:proofErr w:type="spellStart"/>
            <w:r w:rsidRPr="00735CBB">
              <w:t>Machchhu</w:t>
            </w:r>
            <w:proofErr w:type="spellEnd"/>
            <w:r w:rsidRPr="00735CBB">
              <w:t xml:space="preserve">-I and </w:t>
            </w:r>
            <w:proofErr w:type="spellStart"/>
            <w:r w:rsidRPr="00735CBB">
              <w:t>Machchhu</w:t>
            </w:r>
            <w:proofErr w:type="spellEnd"/>
            <w:r w:rsidRPr="00735CBB">
              <w:t xml:space="preserve">-II dam sites in Morbi District, Gujarat, India, and compared breeding outcomes between the two reservoir habitats. Field observations were conducted during three consecutive breeding seasons from 2024 to 2026. Reservoir margins were systematically searched for nests, and active nests were discreetly marked using naturally </w:t>
            </w:r>
            <w:proofErr w:type="spellStart"/>
            <w:r w:rsidRPr="00735CBB">
              <w:t>coloured</w:t>
            </w:r>
            <w:proofErr w:type="spellEnd"/>
            <w:r w:rsidRPr="00735CBB">
              <w:t xml:space="preserve"> stones to facilitate relocation while </w:t>
            </w:r>
            <w:proofErr w:type="spellStart"/>
            <w:r w:rsidRPr="00735CBB">
              <w:t>minimising</w:t>
            </w:r>
            <w:proofErr w:type="spellEnd"/>
            <w:r w:rsidRPr="00735CBB">
              <w:t xml:space="preserve"> the risk of attracting predators. Nests were monitored every three to four days to record final clutch size, hatching outcomes, and causes of egg loss. A total of 102 Kentish Plover nests were monitored, comprising 60 nests at </w:t>
            </w:r>
            <w:proofErr w:type="spellStart"/>
            <w:r w:rsidRPr="00735CBB">
              <w:t>Machchhu</w:t>
            </w:r>
            <w:proofErr w:type="spellEnd"/>
            <w:r w:rsidRPr="00735CBB">
              <w:t xml:space="preserve">-I and 42 nests at </w:t>
            </w:r>
            <w:proofErr w:type="spellStart"/>
            <w:r w:rsidRPr="00735CBB">
              <w:t>Machchhu</w:t>
            </w:r>
            <w:proofErr w:type="spellEnd"/>
            <w:r w:rsidRPr="00735CBB">
              <w:t xml:space="preserve">-II. Mean clutch size ranged from 2.82 to 3.13 eggs at </w:t>
            </w:r>
            <w:proofErr w:type="spellStart"/>
            <w:r w:rsidRPr="00735CBB">
              <w:t>Machchhu</w:t>
            </w:r>
            <w:proofErr w:type="spellEnd"/>
            <w:r w:rsidRPr="00735CBB">
              <w:t xml:space="preserve">-I and from 2.19 to 2.93 eggs at </w:t>
            </w:r>
            <w:proofErr w:type="spellStart"/>
            <w:r w:rsidRPr="00735CBB">
              <w:t>Machchhu</w:t>
            </w:r>
            <w:proofErr w:type="spellEnd"/>
            <w:r w:rsidRPr="00735CBB">
              <w:t xml:space="preserve">-II. Hatching success ranged from 75.92% to 81.25% at </w:t>
            </w:r>
            <w:proofErr w:type="spellStart"/>
            <w:r w:rsidRPr="00735CBB">
              <w:t>Machchhu</w:t>
            </w:r>
            <w:proofErr w:type="spellEnd"/>
            <w:r w:rsidRPr="00735CBB">
              <w:t xml:space="preserve">-I and from 74.29% to 90.63% at </w:t>
            </w:r>
            <w:proofErr w:type="spellStart"/>
            <w:r w:rsidRPr="00735CBB">
              <w:t>Machchhu</w:t>
            </w:r>
            <w:proofErr w:type="spellEnd"/>
            <w:r w:rsidRPr="00735CBB">
              <w:t xml:space="preserve">-II. Overall, 137 of 177 eggs hatched at </w:t>
            </w:r>
            <w:proofErr w:type="spellStart"/>
            <w:r w:rsidRPr="00735CBB">
              <w:t>Machchhu</w:t>
            </w:r>
            <w:proofErr w:type="spellEnd"/>
            <w:r w:rsidRPr="00735CBB">
              <w:t xml:space="preserve">-I, while 90 of 108 eggs hatched at </w:t>
            </w:r>
            <w:proofErr w:type="spellStart"/>
            <w:r w:rsidRPr="00735CBB">
              <w:t>Machchhu</w:t>
            </w:r>
            <w:proofErr w:type="spellEnd"/>
            <w:r w:rsidRPr="00735CBB">
              <w:t xml:space="preserve">-II. Across both sites, 58 eggs were lost. Nest damage was the principal recorded cause of egg mortality, accounting for up to 50.00% of egg losses at </w:t>
            </w:r>
            <w:proofErr w:type="spellStart"/>
            <w:r w:rsidRPr="00735CBB">
              <w:t>Machchhu</w:t>
            </w:r>
            <w:proofErr w:type="spellEnd"/>
            <w:r w:rsidRPr="00735CBB">
              <w:t xml:space="preserve">-I and 66.67% at </w:t>
            </w:r>
            <w:proofErr w:type="spellStart"/>
            <w:r w:rsidRPr="00735CBB">
              <w:t>Machchhu</w:t>
            </w:r>
            <w:proofErr w:type="spellEnd"/>
            <w:r w:rsidRPr="00735CBB">
              <w:t>-II, followed by predation and hatching failure. The findings indicate high hatching success at both reservoirs during the study period, while also identifying shoreline nest damage as an important source of egg mortality.</w:t>
            </w:r>
          </w:p>
        </w:tc>
      </w:tr>
    </w:tbl>
    <w:p w14:paraId="105F1DF2" w14:textId="1623B86A" w:rsidR="00763D1B" w:rsidRDefault="00000000" w:rsidP="00763D1B">
      <w:pPr>
        <w:pBdr>
          <w:top w:val="nil"/>
          <w:left w:val="nil"/>
          <w:bottom w:val="nil"/>
          <w:right w:val="nil"/>
          <w:between w:val="nil"/>
        </w:pBdr>
        <w:spacing w:before="240" w:after="240"/>
        <w:jc w:val="both"/>
      </w:pPr>
      <w:r w:rsidRPr="00735CBB">
        <w:t xml:space="preserve">Keywords: </w:t>
      </w:r>
      <w:r w:rsidR="00763D1B" w:rsidRPr="00763D1B">
        <w:t xml:space="preserve">Kentish Plover; </w:t>
      </w:r>
      <w:proofErr w:type="spellStart"/>
      <w:r w:rsidR="00763D1B" w:rsidRPr="00763D1B">
        <w:rPr>
          <w:i/>
          <w:iCs/>
        </w:rPr>
        <w:t>Anarhynchus</w:t>
      </w:r>
      <w:proofErr w:type="spellEnd"/>
      <w:r w:rsidR="00763D1B" w:rsidRPr="00763D1B">
        <w:rPr>
          <w:i/>
          <w:iCs/>
        </w:rPr>
        <w:t xml:space="preserve"> </w:t>
      </w:r>
      <w:proofErr w:type="spellStart"/>
      <w:r w:rsidR="00763D1B" w:rsidRPr="00763D1B">
        <w:rPr>
          <w:i/>
          <w:iCs/>
        </w:rPr>
        <w:t>alexandrinus</w:t>
      </w:r>
      <w:proofErr w:type="spellEnd"/>
      <w:r w:rsidR="00763D1B" w:rsidRPr="00763D1B">
        <w:t xml:space="preserve">; hatching success; clutch size; breeding ecology; reservoir shoreline; nest damage; egg loss; </w:t>
      </w:r>
      <w:proofErr w:type="spellStart"/>
      <w:r w:rsidR="00763D1B" w:rsidRPr="00763D1B">
        <w:t>Machchhu</w:t>
      </w:r>
      <w:proofErr w:type="spellEnd"/>
      <w:r w:rsidR="00763D1B" w:rsidRPr="00763D1B">
        <w:t xml:space="preserve"> reservoirs</w:t>
      </w:r>
    </w:p>
    <w:p w14:paraId="451296D3" w14:textId="641B8F8E" w:rsidR="000A00AB" w:rsidRPr="00735CBB" w:rsidRDefault="00000000" w:rsidP="00763D1B">
      <w:pPr>
        <w:pBdr>
          <w:top w:val="nil"/>
          <w:left w:val="nil"/>
          <w:bottom w:val="nil"/>
          <w:right w:val="nil"/>
          <w:between w:val="nil"/>
        </w:pBdr>
        <w:spacing w:before="240" w:after="240"/>
        <w:jc w:val="both"/>
        <w:rPr>
          <w:rFonts w:ascii="Arial" w:eastAsia="Arial" w:hAnsi="Arial" w:cs="Arial"/>
          <w:b/>
          <w:bCs/>
          <w:smallCaps/>
          <w:color w:val="000000"/>
          <w:sz w:val="22"/>
          <w:szCs w:val="22"/>
        </w:rPr>
      </w:pPr>
      <w:r w:rsidRPr="00735CBB">
        <w:rPr>
          <w:rFonts w:ascii="Arial" w:eastAsia="Arial" w:hAnsi="Arial" w:cs="Arial"/>
          <w:b/>
          <w:bCs/>
          <w:smallCaps/>
          <w:color w:val="000000"/>
          <w:sz w:val="22"/>
          <w:szCs w:val="22"/>
        </w:rPr>
        <w:t>1. INTRODUCTION</w:t>
      </w:r>
    </w:p>
    <w:p w14:paraId="7530EA93" w14:textId="77777777" w:rsidR="000A00AB" w:rsidRPr="00735CBB" w:rsidRDefault="00000000">
      <w:pPr>
        <w:spacing w:after="240"/>
        <w:jc w:val="both"/>
      </w:pPr>
      <w:r w:rsidRPr="00735CBB">
        <w:t xml:space="preserve">Kentish Plover </w:t>
      </w:r>
      <w:proofErr w:type="spellStart"/>
      <w:r w:rsidRPr="00735CBB">
        <w:rPr>
          <w:i/>
        </w:rPr>
        <w:t>Anarhynchus</w:t>
      </w:r>
      <w:proofErr w:type="spellEnd"/>
      <w:r w:rsidRPr="00735CBB">
        <w:rPr>
          <w:i/>
        </w:rPr>
        <w:t xml:space="preserve"> </w:t>
      </w:r>
      <w:proofErr w:type="spellStart"/>
      <w:r w:rsidRPr="00735CBB">
        <w:rPr>
          <w:i/>
        </w:rPr>
        <w:t>alexandrinus</w:t>
      </w:r>
      <w:proofErr w:type="spellEnd"/>
      <w:r w:rsidRPr="00735CBB">
        <w:t xml:space="preserve"> is a small ground-nesting shorebird distributed across Eurasia and Africa. It breeds in coastal and inland wetlands, including saline lakes, salt marshes, lagoons, and artificial </w:t>
      </w:r>
      <w:proofErr w:type="spellStart"/>
      <w:r w:rsidRPr="00735CBB">
        <w:t>salinas</w:t>
      </w:r>
      <w:proofErr w:type="spellEnd"/>
      <w:r w:rsidRPr="00735CBB">
        <w:t xml:space="preserve"> (del Hoyo et al., 2023). The species was formerly treated as </w:t>
      </w:r>
      <w:r w:rsidRPr="00735CBB">
        <w:rPr>
          <w:i/>
        </w:rPr>
        <w:t xml:space="preserve">Charadrius </w:t>
      </w:r>
      <w:proofErr w:type="spellStart"/>
      <w:r w:rsidRPr="00735CBB">
        <w:rPr>
          <w:i/>
        </w:rPr>
        <w:t>alexandrinus</w:t>
      </w:r>
      <w:proofErr w:type="spellEnd"/>
      <w:r w:rsidRPr="00735CBB">
        <w:t xml:space="preserve">; current taxonomy places it in </w:t>
      </w:r>
      <w:proofErr w:type="spellStart"/>
      <w:r w:rsidRPr="00735CBB">
        <w:rPr>
          <w:i/>
        </w:rPr>
        <w:t>Anarhynchus</w:t>
      </w:r>
      <w:proofErr w:type="spellEnd"/>
      <w:r w:rsidRPr="00735CBB">
        <w:t xml:space="preserve"> (del Hoyo et al., 2023). Although globally assessed as Least Concern, breeding populations can be locally vulnerable where nesting habitat is altered or birds are exposed to disturbance and predation (Gómez-Serrano &amp; López-López, 2014; Lee, Lee, Son, et al., 2025).</w:t>
      </w:r>
    </w:p>
    <w:p w14:paraId="70A40601" w14:textId="77777777" w:rsidR="00CE4E51" w:rsidRPr="00735CBB" w:rsidRDefault="00000000">
      <w:pPr>
        <w:spacing w:after="240"/>
        <w:jc w:val="both"/>
      </w:pPr>
      <w:r w:rsidRPr="00735CBB">
        <w:rPr>
          <w:b/>
        </w:rPr>
        <w:t>Recent South Asian conservation literature also identifies habitat alteration, human disturbance and climate-related pressures as important considerations in the management of wild and migratory bird habitats (Kabir et al., 2024).</w:t>
      </w:r>
    </w:p>
    <w:p w14:paraId="5F875743" w14:textId="77777777" w:rsidR="000A00AB" w:rsidRPr="00735CBB" w:rsidRDefault="00000000">
      <w:pPr>
        <w:spacing w:after="240"/>
        <w:jc w:val="both"/>
      </w:pPr>
      <w:r w:rsidRPr="00735CBB">
        <w:lastRenderedPageBreak/>
        <w:t>Reproductive success is strongly influenced by nest-site conditions and predator detection. Kentish Plovers often select open substrates with sparse vegetation, which provide a wide visual field for detecting predators, but exposed nests can also experience thermal stress during hot weather (Amat &amp; Masero, 2004a, 2004b; Amat et al., 2012). Research therefore describes a trade-off between nest crypsis and predator detection, with vegetation affecting both concealment and the distance at which incubating adults flush (Gómez-Serrano &amp; López-López, 2014). Clutch size is relatively constrained, with three-egg clutches commonly predominating, although habitat and season can modify reproductive output (Fraga &amp; Amat, 1996; Hong &amp; Higashi, 2008; Székely et al., 1994).</w:t>
      </w:r>
    </w:p>
    <w:p w14:paraId="662B8BC4" w14:textId="77777777" w:rsidR="00CE4E51" w:rsidRPr="00735CBB" w:rsidRDefault="00000000">
      <w:pPr>
        <w:spacing w:after="240"/>
        <w:jc w:val="both"/>
      </w:pPr>
      <w:r w:rsidRPr="00735CBB">
        <w:rPr>
          <w:b/>
        </w:rPr>
        <w:t>Recent experimental work shows that substrate cues can influence nest-site selection by Kentish Plovers, while spatial modelling indicates that open sand, shoreline position, vegetation and nearby artificial surfaces can shape nesting habitat suitability (Castro et al., 2024; Villalobos Perna et al., 2024).</w:t>
      </w:r>
    </w:p>
    <w:p w14:paraId="2F9DC3A8" w14:textId="77777777" w:rsidR="000A00AB" w:rsidRPr="00735CBB" w:rsidRDefault="00000000">
      <w:pPr>
        <w:spacing w:after="240"/>
        <w:jc w:val="both"/>
      </w:pPr>
      <w:r w:rsidRPr="00735CBB">
        <w:t xml:space="preserve">The species also shows flexible parental strategies. Females may desert broods and remate, whereas males can provide prolonged care; the balance between parental roles varies with environmental conditions (Amat et al., 1999; </w:t>
      </w:r>
      <w:proofErr w:type="spellStart"/>
      <w:r w:rsidRPr="00735CBB">
        <w:t>Lessells</w:t>
      </w:r>
      <w:proofErr w:type="spellEnd"/>
      <w:r w:rsidRPr="00735CBB">
        <w:t xml:space="preserve">, 1984; Székely, 1996; Székely &amp; Cuthill, 1999). Studies from hot environments have reported strong nest-site fidelity and increased biparental care, indicating that thermal conditions can influence breeding </w:t>
      </w:r>
      <w:proofErr w:type="spellStart"/>
      <w:r w:rsidRPr="00735CBB">
        <w:t>behaviour</w:t>
      </w:r>
      <w:proofErr w:type="spellEnd"/>
      <w:r w:rsidRPr="00735CBB">
        <w:t xml:space="preserve"> (</w:t>
      </w:r>
      <w:proofErr w:type="spellStart"/>
      <w:r w:rsidRPr="00735CBB">
        <w:t>AlRashidi</w:t>
      </w:r>
      <w:proofErr w:type="spellEnd"/>
      <w:r w:rsidRPr="00735CBB">
        <w:t xml:space="preserve"> et al., 2011; Kosztolányi et al., 2006, 2009). These adaptations are relevant to inland reservoirs where exposed substrates, high temperatures, and fluctuating water conditions can occur together.</w:t>
      </w:r>
    </w:p>
    <w:p w14:paraId="5267DB9F" w14:textId="77777777" w:rsidR="000A00AB" w:rsidRPr="00735CBB" w:rsidRDefault="00000000">
      <w:pPr>
        <w:spacing w:after="240"/>
        <w:jc w:val="both"/>
      </w:pPr>
      <w:r w:rsidRPr="00735CBB">
        <w:t xml:space="preserve">The </w:t>
      </w:r>
      <w:proofErr w:type="spellStart"/>
      <w:r w:rsidRPr="00735CBB">
        <w:t>Machchhu</w:t>
      </w:r>
      <w:proofErr w:type="spellEnd"/>
      <w:r w:rsidRPr="00735CBB">
        <w:t xml:space="preserve"> River basin contains the </w:t>
      </w:r>
      <w:proofErr w:type="spellStart"/>
      <w:r w:rsidRPr="00735CBB">
        <w:t>Machchhu</w:t>
      </w:r>
      <w:proofErr w:type="spellEnd"/>
      <w:r w:rsidRPr="00735CBB">
        <w:t xml:space="preserve">-I and </w:t>
      </w:r>
      <w:proofErr w:type="spellStart"/>
      <w:r w:rsidRPr="00735CBB">
        <w:t>Machchhu</w:t>
      </w:r>
      <w:proofErr w:type="spellEnd"/>
      <w:r w:rsidRPr="00735CBB">
        <w:t xml:space="preserve">-II irrigation reservoirs in Gujarat. The map shows the study sites within Morbi District, the </w:t>
      </w:r>
      <w:proofErr w:type="spellStart"/>
      <w:r w:rsidRPr="00735CBB">
        <w:t>Machchhu</w:t>
      </w:r>
      <w:proofErr w:type="spellEnd"/>
      <w:r w:rsidRPr="00735CBB">
        <w:t xml:space="preserve"> River, Morbi City, and both dams. </w:t>
      </w:r>
      <w:proofErr w:type="spellStart"/>
      <w:r w:rsidRPr="00735CBB">
        <w:t>Machchhu</w:t>
      </w:r>
      <w:proofErr w:type="spellEnd"/>
      <w:r w:rsidRPr="00735CBB">
        <w:t>-II serves irrigation and water-supply functions and has a reported catchment area of 1,193 km² and a full-reservoir area of 13.96 km² (Parkash et al., 2021). Reservoir margins can provide open ground suitable for plovers, but they may also expose nests to water-level changes, predators, infrastructure-related disturbance, and human activity.</w:t>
      </w:r>
    </w:p>
    <w:p w14:paraId="7561498F" w14:textId="77777777" w:rsidR="00CE4E51" w:rsidRPr="00735CBB" w:rsidRDefault="00000000">
      <w:pPr>
        <w:spacing w:after="240"/>
        <w:jc w:val="both"/>
      </w:pPr>
      <w:r w:rsidRPr="00735CBB">
        <w:rPr>
          <w:b/>
        </w:rPr>
        <w:t xml:space="preserve">Within Gujarat, recent wetland observations have documented diverse resident and migratory waterbirds at </w:t>
      </w:r>
      <w:proofErr w:type="spellStart"/>
      <w:r w:rsidRPr="00735CBB">
        <w:rPr>
          <w:b/>
        </w:rPr>
        <w:t>Lakhabaval</w:t>
      </w:r>
      <w:proofErr w:type="spellEnd"/>
      <w:r w:rsidRPr="00735CBB">
        <w:rPr>
          <w:b/>
        </w:rPr>
        <w:t xml:space="preserve"> Lake, underscoring the regional importance of inland aquatic habitats for avifauna (</w:t>
      </w:r>
      <w:proofErr w:type="spellStart"/>
      <w:r w:rsidRPr="00735CBB">
        <w:rPr>
          <w:b/>
        </w:rPr>
        <w:t>Nandotriya</w:t>
      </w:r>
      <w:proofErr w:type="spellEnd"/>
      <w:r w:rsidRPr="00735CBB">
        <w:rPr>
          <w:b/>
        </w:rPr>
        <w:t xml:space="preserve"> et al., 2026).</w:t>
      </w:r>
    </w:p>
    <w:p w14:paraId="304FFB3F" w14:textId="77777777" w:rsidR="000A00AB" w:rsidRPr="00735CBB" w:rsidRDefault="00000000">
      <w:pPr>
        <w:spacing w:after="240"/>
        <w:jc w:val="both"/>
      </w:pPr>
      <w:r w:rsidRPr="00735CBB">
        <w:t>Published studies demonstrate substantial geographic and annual variation in Kentish Plover nesting performance. Predation, flooding, human disturbance, and nest-site characteristics are recurrent causes of reproductive loss (El Malki et al., 2018; Kouidri et al., 2025; Li et al., 2023; Norte &amp; Ramos, 2004). Long-term observations have also linked increasing recreational pressure with reduced breeding output (</w:t>
      </w:r>
      <w:proofErr w:type="spellStart"/>
      <w:r w:rsidRPr="00735CBB">
        <w:t>Pietrelli</w:t>
      </w:r>
      <w:proofErr w:type="spellEnd"/>
      <w:r w:rsidRPr="00735CBB">
        <w:t xml:space="preserve"> &amp; Biondi, 2012). Recent studies further show that human presence can reduce nest-site use even when habitat structure remains apparently suitable (Lee, Lee, Oh, et al., 2025).</w:t>
      </w:r>
    </w:p>
    <w:p w14:paraId="076662F4" w14:textId="77777777" w:rsidR="00CE4E51" w:rsidRPr="00735CBB" w:rsidRDefault="00000000">
      <w:pPr>
        <w:pBdr>
          <w:top w:val="nil"/>
          <w:left w:val="nil"/>
          <w:bottom w:val="nil"/>
          <w:right w:val="nil"/>
          <w:between w:val="nil"/>
        </w:pBdr>
        <w:spacing w:after="240"/>
        <w:jc w:val="both"/>
        <w:rPr>
          <w:rFonts w:ascii="Arial" w:eastAsia="Arial" w:hAnsi="Arial" w:cs="Arial"/>
          <w:color w:val="000000"/>
        </w:rPr>
      </w:pPr>
      <w:r w:rsidRPr="00735CBB">
        <w:rPr>
          <w:b/>
          <w:color w:val="000000"/>
        </w:rPr>
        <w:t xml:space="preserve">Against this background, a site-specific, multi-year comparison of clutch size, hatching success and causes of egg loss is needed for the </w:t>
      </w:r>
      <w:proofErr w:type="spellStart"/>
      <w:r w:rsidRPr="00735CBB">
        <w:rPr>
          <w:b/>
          <w:color w:val="000000"/>
        </w:rPr>
        <w:t>Machchhu</w:t>
      </w:r>
      <w:proofErr w:type="spellEnd"/>
      <w:r w:rsidRPr="00735CBB">
        <w:rPr>
          <w:b/>
          <w:color w:val="000000"/>
        </w:rPr>
        <w:t xml:space="preserve">-I and </w:t>
      </w:r>
      <w:proofErr w:type="spellStart"/>
      <w:r w:rsidRPr="00735CBB">
        <w:rPr>
          <w:b/>
          <w:color w:val="000000"/>
        </w:rPr>
        <w:t>Machchhu</w:t>
      </w:r>
      <w:proofErr w:type="spellEnd"/>
      <w:r w:rsidRPr="00735CBB">
        <w:rPr>
          <w:b/>
          <w:color w:val="000000"/>
        </w:rPr>
        <w:t>-II reservoirs. Such a comparison can clarify whether breeding performance and major sources of egg loss differ between the two reservoir environments and among breeding seasons.</w:t>
      </w:r>
    </w:p>
    <w:p w14:paraId="7DEECD8E" w14:textId="77777777" w:rsidR="000A00AB" w:rsidRPr="00735CBB" w:rsidRDefault="00000000">
      <w:pPr>
        <w:pBdr>
          <w:top w:val="nil"/>
          <w:left w:val="nil"/>
          <w:bottom w:val="nil"/>
          <w:right w:val="nil"/>
          <w:between w:val="nil"/>
        </w:pBdr>
        <w:spacing w:after="240"/>
        <w:jc w:val="both"/>
        <w:rPr>
          <w:rFonts w:ascii="Arial" w:eastAsia="Arial" w:hAnsi="Arial" w:cs="Arial"/>
          <w:color w:val="000000"/>
        </w:rPr>
      </w:pPr>
      <w:r w:rsidRPr="00735CBB">
        <w:t xml:space="preserve">The present study assesses hatching performance at </w:t>
      </w:r>
      <w:proofErr w:type="spellStart"/>
      <w:r w:rsidRPr="00735CBB">
        <w:t>Machchhu</w:t>
      </w:r>
      <w:proofErr w:type="spellEnd"/>
      <w:r w:rsidRPr="00735CBB">
        <w:t xml:space="preserve">-I and </w:t>
      </w:r>
      <w:proofErr w:type="spellStart"/>
      <w:r w:rsidRPr="00735CBB">
        <w:t>Machchhu</w:t>
      </w:r>
      <w:proofErr w:type="spellEnd"/>
      <w:r w:rsidRPr="00735CBB">
        <w:t xml:space="preserve">-II during 2024–2026. It compares mean clutch size, numbers of eggs hatched and lost, annual hatching success, and the proportional contributions of predation, nest damage, and hatching failure to </w:t>
      </w:r>
      <w:r w:rsidRPr="00735CBB">
        <w:lastRenderedPageBreak/>
        <w:t>egg loss. The comparison provides a three-year baseline for evaluating spatial and temporal variation in reproductive performance and for guiding future monitoring and conservation management at these reservoir sites.</w:t>
      </w:r>
    </w:p>
    <w:p w14:paraId="4D50B327" w14:textId="77777777" w:rsidR="000A00AB" w:rsidRPr="00735CBB" w:rsidRDefault="00000000">
      <w:pPr>
        <w:keepNext/>
        <w:pBdr>
          <w:top w:val="nil"/>
          <w:left w:val="nil"/>
          <w:bottom w:val="nil"/>
          <w:right w:val="nil"/>
          <w:between w:val="nil"/>
        </w:pBdr>
        <w:spacing w:after="240"/>
        <w:jc w:val="both"/>
        <w:rPr>
          <w:rFonts w:ascii="Arial" w:eastAsia="Arial" w:hAnsi="Arial" w:cs="Arial"/>
          <w:b/>
          <w:bCs/>
          <w:smallCaps/>
          <w:color w:val="000000"/>
          <w:sz w:val="22"/>
          <w:szCs w:val="22"/>
        </w:rPr>
      </w:pPr>
      <w:r w:rsidRPr="00735CBB">
        <w:rPr>
          <w:rFonts w:ascii="Arial" w:eastAsia="Arial" w:hAnsi="Arial" w:cs="Arial"/>
          <w:b/>
          <w:bCs/>
          <w:smallCaps/>
          <w:color w:val="000000"/>
          <w:sz w:val="22"/>
          <w:szCs w:val="22"/>
        </w:rPr>
        <w:t>2. methodology</w:t>
      </w:r>
    </w:p>
    <w:p w14:paraId="2BF5AEAB" w14:textId="77777777" w:rsidR="000A00AB" w:rsidRPr="00735CBB" w:rsidRDefault="00000000">
      <w:pPr>
        <w:pBdr>
          <w:top w:val="nil"/>
          <w:left w:val="nil"/>
          <w:bottom w:val="nil"/>
          <w:right w:val="nil"/>
          <w:between w:val="nil"/>
        </w:pBdr>
        <w:spacing w:after="240"/>
        <w:jc w:val="both"/>
        <w:rPr>
          <w:rFonts w:ascii="Arial" w:eastAsia="Arial" w:hAnsi="Arial" w:cs="Arial"/>
          <w:color w:val="000000"/>
        </w:rPr>
      </w:pPr>
      <w:r w:rsidRPr="00735CBB">
        <w:rPr>
          <w:rFonts w:ascii="Arial" w:eastAsia="Arial" w:hAnsi="Arial" w:cs="Arial"/>
          <w:b/>
          <w:bCs/>
          <w:smallCaps/>
          <w:color w:val="000000"/>
          <w:sz w:val="22"/>
          <w:szCs w:val="22"/>
        </w:rPr>
        <w:t xml:space="preserve">2.1 </w:t>
      </w:r>
      <w:r w:rsidRPr="00735CBB">
        <w:rPr>
          <w:rFonts w:ascii="Arial" w:eastAsia="Arial" w:hAnsi="Arial" w:cs="Arial"/>
          <w:b/>
          <w:bCs/>
          <w:color w:val="000000"/>
          <w:sz w:val="22"/>
          <w:szCs w:val="22"/>
        </w:rPr>
        <w:t>Study Area</w:t>
      </w:r>
    </w:p>
    <w:p w14:paraId="0B3AA540" w14:textId="77777777" w:rsidR="000A00AB" w:rsidRPr="00735CBB" w:rsidRDefault="00000000">
      <w:pPr>
        <w:spacing w:after="140" w:line="259" w:lineRule="auto"/>
        <w:jc w:val="both"/>
        <w:rPr>
          <w:rFonts w:ascii="Arial" w:eastAsia="Arial" w:hAnsi="Arial" w:cs="Arial"/>
        </w:rPr>
      </w:pPr>
      <w:r w:rsidRPr="00735CBB">
        <w:t xml:space="preserve">The study was conducted at two major reservoirs, </w:t>
      </w:r>
      <w:proofErr w:type="spellStart"/>
      <w:r w:rsidRPr="00735CBB">
        <w:t>Machchhu</w:t>
      </w:r>
      <w:proofErr w:type="spellEnd"/>
      <w:r w:rsidRPr="00735CBB">
        <w:t xml:space="preserve">-I and </w:t>
      </w:r>
      <w:proofErr w:type="spellStart"/>
      <w:r w:rsidRPr="00735CBB">
        <w:t>Machchhu</w:t>
      </w:r>
      <w:proofErr w:type="spellEnd"/>
      <w:r w:rsidRPr="00735CBB">
        <w:t xml:space="preserve">-II, located within the </w:t>
      </w:r>
      <w:proofErr w:type="spellStart"/>
      <w:r w:rsidRPr="00735CBB">
        <w:t>Machchhu</w:t>
      </w:r>
      <w:proofErr w:type="spellEnd"/>
      <w:r w:rsidRPr="00735CBB">
        <w:t xml:space="preserve"> River basin in Morbi District, Gujarat, India. Morbi District is situated in the semi-arid Saurashtra region, </w:t>
      </w:r>
      <w:proofErr w:type="spellStart"/>
      <w:r w:rsidRPr="00735CBB">
        <w:t>characterised</w:t>
      </w:r>
      <w:proofErr w:type="spellEnd"/>
      <w:r w:rsidRPr="00735CBB">
        <w:t xml:space="preserve"> by a hot, dry climate with highly seasonal and erratic monsoon rainfall occurring primarily between June and September. The </w:t>
      </w:r>
      <w:proofErr w:type="spellStart"/>
      <w:r w:rsidRPr="00735CBB">
        <w:t>Machchhu</w:t>
      </w:r>
      <w:proofErr w:type="spellEnd"/>
      <w:r w:rsidRPr="00735CBB">
        <w:t xml:space="preserve"> River, a north-flowing river originating in the hills of </w:t>
      </w:r>
      <w:proofErr w:type="spellStart"/>
      <w:r w:rsidRPr="00735CBB">
        <w:t>Jasdan</w:t>
      </w:r>
      <w:proofErr w:type="spellEnd"/>
      <w:r w:rsidRPr="00735CBB">
        <w:t>, is the principal hydrological feature of the region.</w:t>
      </w:r>
    </w:p>
    <w:p w14:paraId="63E23488" w14:textId="77777777" w:rsidR="000A00AB" w:rsidRPr="00735CBB" w:rsidRDefault="00000000">
      <w:pPr>
        <w:spacing w:after="140" w:line="259" w:lineRule="auto"/>
        <w:jc w:val="both"/>
        <w:rPr>
          <w:rFonts w:ascii="Arial" w:eastAsia="Arial" w:hAnsi="Arial" w:cs="Arial"/>
        </w:rPr>
      </w:pPr>
      <w:proofErr w:type="spellStart"/>
      <w:r w:rsidRPr="00735CBB">
        <w:t>Machchhu</w:t>
      </w:r>
      <w:proofErr w:type="spellEnd"/>
      <w:r w:rsidRPr="00735CBB">
        <w:t xml:space="preserve">-I Dam and </w:t>
      </w:r>
      <w:proofErr w:type="spellStart"/>
      <w:r w:rsidRPr="00735CBB">
        <w:t>Machchhu</w:t>
      </w:r>
      <w:proofErr w:type="spellEnd"/>
      <w:r w:rsidRPr="00735CBB">
        <w:t>-II Dam were constructed primarily for irrigation, flood control, and the supply of drinking water to Morbi City and surrounding agricultural areas. These reservoirs have dynamic shorelines that fluctuate considerably in response to seasonal rainfall and anthropogenic water extraction. As water recedes during the dry pre-monsoon and summer months (March to June), extensive tracts of mudflats, sandy banks, and sparsely vegetated shorelines are exposed. These habitats provide nesting substrates for ground-nesting shorebirds such as the Kentish Plover, which rely on egg camouflage against pebbly and sandy terrain.</w:t>
      </w:r>
    </w:p>
    <w:p w14:paraId="78062CA8" w14:textId="77777777" w:rsidR="000A00AB" w:rsidRPr="00735CBB" w:rsidRDefault="00000000">
      <w:pPr>
        <w:jc w:val="both"/>
      </w:pPr>
      <w:r w:rsidRPr="00735CBB">
        <w:t xml:space="preserve">The vegetation surrounding the reservoirs is predominantly composed of thorny scrub and arid plant species typical of the regional semi-desert ecology. However, the immediate shoreline is largely barren, offering the unobstructed visibility preferred by plovers for predator detection. The study-area map shows the locations of the two dams relative to Morbi City and illustrates the linear connectivity of habitat along the </w:t>
      </w:r>
      <w:proofErr w:type="spellStart"/>
      <w:r w:rsidRPr="00735CBB">
        <w:t>Machchhu</w:t>
      </w:r>
      <w:proofErr w:type="spellEnd"/>
      <w:r w:rsidRPr="00735CBB">
        <w:t xml:space="preserve"> River corridor. Both sites experience varying degrees of anthropogenic influence, including local fishing activities, livestock grazing, and occasional human foot traffic, which collectively influence the microhabitat conditions available to nesting avifauna.</w:t>
      </w:r>
    </w:p>
    <w:p w14:paraId="1FEC0E69" w14:textId="77777777" w:rsidR="000A00AB" w:rsidRPr="00735CBB" w:rsidRDefault="00000000">
      <w:pPr>
        <w:pBdr>
          <w:top w:val="nil"/>
          <w:left w:val="nil"/>
          <w:bottom w:val="nil"/>
          <w:right w:val="nil"/>
          <w:between w:val="nil"/>
        </w:pBdr>
        <w:jc w:val="center"/>
        <w:rPr>
          <w:rFonts w:ascii="Arial" w:eastAsia="Arial" w:hAnsi="Arial" w:cs="Arial"/>
          <w:color w:val="000000"/>
        </w:rPr>
      </w:pPr>
      <w:r w:rsidRPr="00735CBB">
        <w:rPr>
          <w:noProof/>
          <w:color w:val="000000"/>
        </w:rPr>
        <w:lastRenderedPageBreak/>
        <w:drawing>
          <wp:inline distT="0" distB="0" distL="0" distR="0" wp14:anchorId="2340F1D4" wp14:editId="0D8A087E">
            <wp:extent cx="4618112" cy="3754914"/>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4618112" cy="3754914"/>
                    </a:xfrm>
                    <a:prstGeom prst="rect">
                      <a:avLst/>
                    </a:prstGeom>
                    <a:ln/>
                  </pic:spPr>
                </pic:pic>
              </a:graphicData>
            </a:graphic>
          </wp:inline>
        </w:drawing>
      </w:r>
    </w:p>
    <w:p w14:paraId="3DF1A2D8" w14:textId="77777777" w:rsidR="000A00AB" w:rsidRPr="00735CBB" w:rsidRDefault="00000000">
      <w:pPr>
        <w:pBdr>
          <w:top w:val="nil"/>
          <w:left w:val="nil"/>
          <w:bottom w:val="nil"/>
          <w:right w:val="nil"/>
          <w:between w:val="nil"/>
        </w:pBdr>
        <w:spacing w:after="240"/>
        <w:jc w:val="center"/>
        <w:rPr>
          <w:rFonts w:ascii="Arial" w:eastAsia="Arial" w:hAnsi="Arial" w:cs="Arial"/>
          <w:b/>
          <w:bCs/>
          <w:color w:val="000000"/>
        </w:rPr>
      </w:pPr>
      <w:r w:rsidRPr="00735CBB">
        <w:rPr>
          <w:rFonts w:ascii="Arial" w:eastAsia="Arial" w:hAnsi="Arial" w:cs="Arial"/>
          <w:b/>
          <w:bCs/>
          <w:color w:val="000000"/>
        </w:rPr>
        <w:t>Figure 1 Study area map (Morbi District, Dam sites)</w:t>
      </w:r>
    </w:p>
    <w:p w14:paraId="7A0103FE" w14:textId="77777777" w:rsidR="000A00AB" w:rsidRPr="00735CBB" w:rsidRDefault="00000000">
      <w:pPr>
        <w:pBdr>
          <w:top w:val="nil"/>
          <w:left w:val="nil"/>
          <w:bottom w:val="nil"/>
          <w:right w:val="nil"/>
          <w:between w:val="nil"/>
        </w:pBdr>
        <w:spacing w:after="240"/>
        <w:jc w:val="both"/>
        <w:rPr>
          <w:rFonts w:ascii="Arial" w:eastAsia="Arial" w:hAnsi="Arial" w:cs="Arial"/>
          <w:b/>
          <w:bCs/>
          <w:color w:val="000000"/>
          <w:sz w:val="22"/>
          <w:szCs w:val="22"/>
        </w:rPr>
      </w:pPr>
      <w:r w:rsidRPr="00735CBB">
        <w:rPr>
          <w:rFonts w:ascii="Arial" w:eastAsia="Arial" w:hAnsi="Arial" w:cs="Arial"/>
          <w:b/>
          <w:bCs/>
          <w:smallCaps/>
          <w:color w:val="000000"/>
          <w:sz w:val="22"/>
          <w:szCs w:val="22"/>
        </w:rPr>
        <w:t xml:space="preserve">2.2 </w:t>
      </w:r>
      <w:r w:rsidRPr="00735CBB">
        <w:rPr>
          <w:rFonts w:ascii="Arial" w:eastAsia="Arial" w:hAnsi="Arial" w:cs="Arial"/>
          <w:b/>
          <w:bCs/>
          <w:color w:val="000000"/>
          <w:sz w:val="22"/>
          <w:szCs w:val="22"/>
        </w:rPr>
        <w:t>Data Collection</w:t>
      </w:r>
    </w:p>
    <w:p w14:paraId="14032B13" w14:textId="77777777" w:rsidR="000A00AB" w:rsidRPr="00735CBB" w:rsidRDefault="00000000">
      <w:pPr>
        <w:spacing w:after="140" w:line="259" w:lineRule="auto"/>
        <w:jc w:val="both"/>
        <w:rPr>
          <w:rFonts w:ascii="Arial" w:eastAsia="Arial" w:hAnsi="Arial" w:cs="Arial"/>
        </w:rPr>
      </w:pPr>
      <w:r w:rsidRPr="00735CBB">
        <w:t xml:space="preserve">Field surveys were systematically conducted over three consecutive breeding seasons, from March to July in 2024, 2025, and 2026, at the </w:t>
      </w:r>
      <w:proofErr w:type="spellStart"/>
      <w:r w:rsidRPr="00735CBB">
        <w:t>Machchhu</w:t>
      </w:r>
      <w:proofErr w:type="spellEnd"/>
      <w:r w:rsidRPr="00735CBB">
        <w:t xml:space="preserve">-I and </w:t>
      </w:r>
      <w:proofErr w:type="spellStart"/>
      <w:r w:rsidRPr="00735CBB">
        <w:t>Machchhu</w:t>
      </w:r>
      <w:proofErr w:type="spellEnd"/>
      <w:r w:rsidRPr="00735CBB">
        <w:t xml:space="preserve">-II dam sites. Standard area-search methods were used to locate Kentish Plover nests. Two observers surveyed the exposed shorelines and mudflats on foot during the early morning (06:00 to 10:00 h) and late afternoon (16:00 to 19:00 h) to avoid peak midday thermal stress and </w:t>
      </w:r>
      <w:proofErr w:type="spellStart"/>
      <w:r w:rsidRPr="00735CBB">
        <w:t>maximise</w:t>
      </w:r>
      <w:proofErr w:type="spellEnd"/>
      <w:r w:rsidRPr="00735CBB">
        <w:t xml:space="preserve"> the probability of observing adult birds returning to their nests. </w:t>
      </w:r>
      <w:proofErr w:type="spellStart"/>
      <w:r w:rsidRPr="00735CBB">
        <w:t>Behavioural</w:t>
      </w:r>
      <w:proofErr w:type="spellEnd"/>
      <w:r w:rsidRPr="00735CBB">
        <w:t xml:space="preserve"> cues from adult plovers, such as distraction displays, alarm calls, or sudden flushing from the ground, were closely monitored to identify nest locations.</w:t>
      </w:r>
    </w:p>
    <w:p w14:paraId="58983EDC" w14:textId="77777777" w:rsidR="000A00AB" w:rsidRPr="00735CBB" w:rsidRDefault="00000000">
      <w:pPr>
        <w:spacing w:after="140" w:line="259" w:lineRule="auto"/>
        <w:jc w:val="both"/>
        <w:rPr>
          <w:rFonts w:ascii="Arial" w:eastAsia="Arial" w:hAnsi="Arial" w:cs="Arial"/>
        </w:rPr>
      </w:pPr>
      <w:r w:rsidRPr="00735CBB">
        <w:t xml:space="preserve">Once a nest was discovered, its geographical coordinates were recorded using a handheld Global Positioning System (GPS) device. The nest contents were examined promptly to </w:t>
      </w:r>
      <w:proofErr w:type="spellStart"/>
      <w:r w:rsidRPr="00735CBB">
        <w:t>minimise</w:t>
      </w:r>
      <w:proofErr w:type="spellEnd"/>
      <w:r w:rsidRPr="00735CBB">
        <w:t xml:space="preserve"> disturbance. Clutch size was recorded, and the incubation stage of the eggs was estimated using the standard water-flotation technique to approximate hatching dates. To reduce observer-induced nest failure, nest checks were restricted to fewer than five minutes, and observers maintained a safe distance when taking photographs or notes.</w:t>
      </w:r>
    </w:p>
    <w:p w14:paraId="63B05849" w14:textId="77777777" w:rsidR="000A00AB" w:rsidRPr="00735CBB" w:rsidRDefault="00000000">
      <w:pPr>
        <w:pBdr>
          <w:top w:val="nil"/>
          <w:left w:val="nil"/>
          <w:bottom w:val="nil"/>
          <w:right w:val="nil"/>
          <w:between w:val="nil"/>
        </w:pBdr>
        <w:spacing w:after="240"/>
        <w:jc w:val="both"/>
        <w:rPr>
          <w:rFonts w:ascii="Arial" w:eastAsia="Arial" w:hAnsi="Arial" w:cs="Arial"/>
          <w:color w:val="000000"/>
        </w:rPr>
      </w:pPr>
      <w:r w:rsidRPr="00735CBB">
        <w:t xml:space="preserve">Active nests were monitored every three to four days until the fate of the clutch was determined. A nest was considered successful if at least one egg hatched, as indicated by the presence of chicks in or near the nest scrape or by small eggshell fragments indicating successful pipping. Conversely, a nest was considered to have failed if all eggs were lost before the anticipated hatching date. Causes of egg loss were </w:t>
      </w:r>
      <w:proofErr w:type="spellStart"/>
      <w:r w:rsidRPr="00735CBB">
        <w:t>categorised</w:t>
      </w:r>
      <w:proofErr w:type="spellEnd"/>
      <w:r w:rsidRPr="00735CBB">
        <w:t xml:space="preserve"> into three primary factors: (1) predation, identified by tracks, missing eggs well before the hatching date, or yolk remnants; (2) nest damage, including inundation caused by fluctuating reservoir water levels, </w:t>
      </w:r>
      <w:r w:rsidRPr="00735CBB">
        <w:lastRenderedPageBreak/>
        <w:t>livestock trampling, or weather-related destruction; and (3) hatching failure, in which eggs remained unhatched beyond the standard 24–27-day incubation period because of infertility or embryonic death.</w:t>
      </w:r>
    </w:p>
    <w:p w14:paraId="7F37C49A" w14:textId="77777777" w:rsidR="000A00AB" w:rsidRPr="00735CBB" w:rsidRDefault="00000000">
      <w:pPr>
        <w:pBdr>
          <w:top w:val="nil"/>
          <w:left w:val="nil"/>
          <w:bottom w:val="nil"/>
          <w:right w:val="nil"/>
          <w:between w:val="nil"/>
        </w:pBdr>
        <w:spacing w:after="240"/>
        <w:jc w:val="both"/>
        <w:rPr>
          <w:rFonts w:ascii="Arial" w:eastAsia="Arial" w:hAnsi="Arial" w:cs="Arial"/>
          <w:color w:val="000000"/>
        </w:rPr>
      </w:pPr>
      <w:r w:rsidRPr="00735CBB">
        <w:rPr>
          <w:rFonts w:ascii="Arial" w:eastAsia="Arial" w:hAnsi="Arial" w:cs="Arial"/>
          <w:b/>
          <w:bCs/>
          <w:smallCaps/>
          <w:color w:val="000000"/>
          <w:sz w:val="22"/>
          <w:szCs w:val="22"/>
        </w:rPr>
        <w:t xml:space="preserve">2.3 </w:t>
      </w:r>
      <w:r w:rsidRPr="00735CBB">
        <w:rPr>
          <w:rFonts w:ascii="Arial" w:eastAsia="Arial" w:hAnsi="Arial" w:cs="Arial"/>
          <w:b/>
          <w:bCs/>
          <w:color w:val="000000"/>
          <w:sz w:val="22"/>
          <w:szCs w:val="22"/>
        </w:rPr>
        <w:t xml:space="preserve">Data Analysis </w:t>
      </w:r>
    </w:p>
    <w:p w14:paraId="197E5137" w14:textId="77777777" w:rsidR="000A00AB" w:rsidRPr="00735CBB" w:rsidRDefault="00000000">
      <w:pPr>
        <w:pBdr>
          <w:top w:val="nil"/>
          <w:left w:val="nil"/>
          <w:bottom w:val="nil"/>
          <w:right w:val="nil"/>
          <w:between w:val="nil"/>
        </w:pBdr>
        <w:spacing w:after="240"/>
        <w:jc w:val="both"/>
        <w:rPr>
          <w:rFonts w:ascii="Arial" w:eastAsia="Arial" w:hAnsi="Arial" w:cs="Arial"/>
          <w:color w:val="000000"/>
        </w:rPr>
      </w:pPr>
      <w:r w:rsidRPr="00735CBB">
        <w:t xml:space="preserve">Data were compiled, and descriptive statistics, including the mean and standard deviation of clutch size, were calculated. Productivity percentages and loss ratios were subsequently </w:t>
      </w:r>
      <w:proofErr w:type="spellStart"/>
      <w:r w:rsidRPr="00735CBB">
        <w:t>analysed</w:t>
      </w:r>
      <w:proofErr w:type="spellEnd"/>
      <w:r w:rsidRPr="00735CBB">
        <w:t xml:space="preserve"> to compare hatching success between the two dam sites across the three years.</w:t>
      </w:r>
    </w:p>
    <w:p w14:paraId="1DFE7BD5" w14:textId="77777777" w:rsidR="000A00AB" w:rsidRPr="00735CBB" w:rsidRDefault="00000000">
      <w:pPr>
        <w:keepNext/>
        <w:pBdr>
          <w:top w:val="nil"/>
          <w:left w:val="nil"/>
          <w:bottom w:val="nil"/>
          <w:right w:val="nil"/>
          <w:between w:val="nil"/>
        </w:pBdr>
        <w:jc w:val="both"/>
        <w:rPr>
          <w:rFonts w:ascii="Arial" w:eastAsia="Arial" w:hAnsi="Arial" w:cs="Arial"/>
          <w:b/>
          <w:bCs/>
          <w:smallCaps/>
          <w:color w:val="000000"/>
          <w:sz w:val="22"/>
          <w:szCs w:val="22"/>
        </w:rPr>
      </w:pPr>
      <w:r w:rsidRPr="00735CBB">
        <w:rPr>
          <w:rFonts w:ascii="Arial" w:eastAsia="Arial" w:hAnsi="Arial" w:cs="Arial"/>
          <w:b/>
          <w:bCs/>
          <w:smallCaps/>
          <w:color w:val="000000"/>
          <w:sz w:val="22"/>
          <w:szCs w:val="22"/>
        </w:rPr>
        <w:t>3. results and discussion</w:t>
      </w:r>
    </w:p>
    <w:p w14:paraId="46E14D7B" w14:textId="77777777" w:rsidR="000A00AB" w:rsidRPr="00735CBB" w:rsidRDefault="00000000">
      <w:pPr>
        <w:pBdr>
          <w:top w:val="nil"/>
          <w:left w:val="nil"/>
          <w:bottom w:val="nil"/>
          <w:right w:val="nil"/>
          <w:between w:val="nil"/>
        </w:pBdr>
        <w:spacing w:before="240" w:after="240"/>
        <w:jc w:val="both"/>
        <w:rPr>
          <w:rFonts w:ascii="Arial" w:eastAsia="Arial" w:hAnsi="Arial" w:cs="Arial"/>
          <w:color w:val="000000"/>
        </w:rPr>
      </w:pPr>
      <w:r w:rsidRPr="00735CBB">
        <w:t xml:space="preserve">The three-year field investigation (2024–2026) provided data on the reproductive output and hatching success of the Kentish Plover at the </w:t>
      </w:r>
      <w:proofErr w:type="spellStart"/>
      <w:r w:rsidRPr="00735CBB">
        <w:t>Machchhu</w:t>
      </w:r>
      <w:proofErr w:type="spellEnd"/>
      <w:r w:rsidRPr="00735CBB">
        <w:t xml:space="preserve">-I and </w:t>
      </w:r>
      <w:proofErr w:type="spellStart"/>
      <w:r w:rsidRPr="00735CBB">
        <w:t>Machchhu</w:t>
      </w:r>
      <w:proofErr w:type="spellEnd"/>
      <w:r w:rsidRPr="00735CBB">
        <w:t xml:space="preserve">-II reservoirs. A total of 102 nests were located and monitored during the study period, with 60 nests recorded at </w:t>
      </w:r>
      <w:proofErr w:type="spellStart"/>
      <w:r w:rsidRPr="00735CBB">
        <w:t>Machchhu</w:t>
      </w:r>
      <w:proofErr w:type="spellEnd"/>
      <w:r w:rsidRPr="00735CBB">
        <w:t xml:space="preserve">-I and 42 at </w:t>
      </w:r>
      <w:proofErr w:type="spellStart"/>
      <w:r w:rsidRPr="00735CBB">
        <w:t>Machchhu</w:t>
      </w:r>
      <w:proofErr w:type="spellEnd"/>
      <w:r w:rsidRPr="00735CBB">
        <w:t>-II. The data show interannual variation in breeding effort, clutch size, hatching rate, and egg loss, providing a site-specific overview of reproductive performance in these modified freshwater habitats.</w:t>
      </w:r>
    </w:p>
    <w:p w14:paraId="4C663CE0" w14:textId="77777777" w:rsidR="000A00AB" w:rsidRPr="00735CBB" w:rsidRDefault="00000000">
      <w:pPr>
        <w:pBdr>
          <w:top w:val="nil"/>
          <w:left w:val="nil"/>
          <w:bottom w:val="nil"/>
          <w:right w:val="nil"/>
          <w:between w:val="nil"/>
        </w:pBdr>
        <w:spacing w:after="240"/>
        <w:jc w:val="both"/>
        <w:rPr>
          <w:rFonts w:ascii="Arial" w:eastAsia="Arial" w:hAnsi="Arial" w:cs="Arial"/>
          <w:b/>
          <w:bCs/>
          <w:color w:val="000000"/>
        </w:rPr>
      </w:pPr>
      <w:r w:rsidRPr="00735CBB">
        <w:rPr>
          <w:rFonts w:ascii="Arial" w:eastAsia="Arial" w:hAnsi="Arial" w:cs="Arial"/>
          <w:b/>
          <w:bCs/>
          <w:color w:val="000000"/>
          <w:sz w:val="22"/>
          <w:szCs w:val="22"/>
        </w:rPr>
        <w:t>3.1 Hatching Success Rates</w:t>
      </w:r>
    </w:p>
    <w:p w14:paraId="093A4B60" w14:textId="77777777" w:rsidR="000A00AB" w:rsidRPr="00735CBB" w:rsidRDefault="00000000">
      <w:pPr>
        <w:spacing w:after="140" w:line="259" w:lineRule="auto"/>
        <w:jc w:val="both"/>
        <w:rPr>
          <w:rFonts w:ascii="Arial" w:eastAsia="Arial" w:hAnsi="Arial" w:cs="Arial"/>
        </w:rPr>
      </w:pPr>
      <w:r w:rsidRPr="00735CBB">
        <w:t xml:space="preserve">Hatching success—defined here as the percentage of total eggs laid that successfully hatched—remained above 74% across both sites and all years. According to Table 1, </w:t>
      </w:r>
      <w:proofErr w:type="spellStart"/>
      <w:r w:rsidRPr="00735CBB">
        <w:t>Machchhu</w:t>
      </w:r>
      <w:proofErr w:type="spellEnd"/>
      <w:r w:rsidRPr="00735CBB">
        <w:t xml:space="preserve">-I showed a gradual increase in hatching success over the study period. In 2024, hatching success was 75.92% (41 of 54 eggs hatched). It remained similar in 2025 at 76.00% (57 of 75 eggs hatched) and increased to 81.25% in 2026 (39 of 48 eggs hatched). The relatively stable values at </w:t>
      </w:r>
      <w:proofErr w:type="spellStart"/>
      <w:r w:rsidRPr="00735CBB">
        <w:t>Machchhu</w:t>
      </w:r>
      <w:proofErr w:type="spellEnd"/>
      <w:r w:rsidRPr="00735CBB">
        <w:t>-I indicate limited year-to-year variation in hatching success during the study period.</w:t>
      </w:r>
    </w:p>
    <w:p w14:paraId="1C6A47DE" w14:textId="77777777" w:rsidR="000A00AB" w:rsidRPr="00735CBB" w:rsidRDefault="00000000">
      <w:pPr>
        <w:pBdr>
          <w:top w:val="nil"/>
          <w:left w:val="nil"/>
          <w:bottom w:val="nil"/>
          <w:right w:val="nil"/>
          <w:between w:val="nil"/>
        </w:pBdr>
        <w:spacing w:after="240"/>
        <w:jc w:val="both"/>
        <w:rPr>
          <w:rFonts w:ascii="Arial" w:eastAsia="Arial" w:hAnsi="Arial" w:cs="Arial"/>
          <w:color w:val="000000"/>
        </w:rPr>
      </w:pPr>
      <w:r w:rsidRPr="00735CBB">
        <w:t xml:space="preserve">In contrast, Table 2 shows greater annual variation in hatching success at </w:t>
      </w:r>
      <w:proofErr w:type="spellStart"/>
      <w:r w:rsidRPr="00735CBB">
        <w:t>Machchhu</w:t>
      </w:r>
      <w:proofErr w:type="spellEnd"/>
      <w:r w:rsidRPr="00735CBB">
        <w:t xml:space="preserve">-II. Hatching success was 85.36% in 2024 (35 of 41 eggs hatched), declined to 74.29% in 2025 (26 of 35 eggs hatched), and increased to 90.63% in 2026 (29 of 32 eggs hatched), the highest value recorded at either site during the study. Figure 2 illustrates these contrasting trajectories. The high hatching success recorded at </w:t>
      </w:r>
      <w:proofErr w:type="spellStart"/>
      <w:r w:rsidRPr="00735CBB">
        <w:t>Machchhu</w:t>
      </w:r>
      <w:proofErr w:type="spellEnd"/>
      <w:r w:rsidRPr="00735CBB">
        <w:t xml:space="preserve">-II in 2026 may reflect </w:t>
      </w:r>
      <w:proofErr w:type="spellStart"/>
      <w:r w:rsidRPr="00735CBB">
        <w:t>favourable</w:t>
      </w:r>
      <w:proofErr w:type="spellEnd"/>
      <w:r w:rsidRPr="00735CBB">
        <w:t xml:space="preserve"> shoreline conditions, reduced water-level fluctuations during incubation, or lower predator activity; however, these potential explanations were not tested directly.</w:t>
      </w:r>
    </w:p>
    <w:tbl>
      <w:tblPr>
        <w:tblStyle w:val="a0"/>
        <w:tblW w:w="842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4"/>
        <w:gridCol w:w="1106"/>
        <w:gridCol w:w="707"/>
        <w:gridCol w:w="984"/>
        <w:gridCol w:w="1072"/>
        <w:gridCol w:w="707"/>
        <w:gridCol w:w="1139"/>
        <w:gridCol w:w="973"/>
        <w:gridCol w:w="1072"/>
      </w:tblGrid>
      <w:tr w:rsidR="000A00AB" w:rsidRPr="00735CBB" w14:paraId="669A25CB" w14:textId="77777777">
        <w:trPr>
          <w:jc w:val="center"/>
        </w:trPr>
        <w:tc>
          <w:tcPr>
            <w:tcW w:w="664" w:type="dxa"/>
            <w:shd w:val="clear" w:color="auto" w:fill="D9D9D9"/>
            <w:vAlign w:val="center"/>
          </w:tcPr>
          <w:p w14:paraId="3453C6A6" w14:textId="77777777" w:rsidR="000A00AB" w:rsidRPr="00735CBB" w:rsidRDefault="00000000">
            <w:pPr>
              <w:jc w:val="center"/>
              <w:rPr>
                <w:sz w:val="20"/>
                <w:szCs w:val="20"/>
              </w:rPr>
            </w:pPr>
            <w:r w:rsidRPr="00735CBB">
              <w:rPr>
                <w:b/>
                <w:bCs/>
                <w:sz w:val="20"/>
                <w:szCs w:val="20"/>
              </w:rPr>
              <w:t>Year</w:t>
            </w:r>
          </w:p>
        </w:tc>
        <w:tc>
          <w:tcPr>
            <w:tcW w:w="1106" w:type="dxa"/>
            <w:shd w:val="clear" w:color="auto" w:fill="D9D9D9"/>
            <w:vAlign w:val="center"/>
          </w:tcPr>
          <w:p w14:paraId="0CF88E39" w14:textId="77777777" w:rsidR="000A00AB" w:rsidRPr="00735CBB" w:rsidRDefault="00000000">
            <w:pPr>
              <w:jc w:val="center"/>
              <w:rPr>
                <w:sz w:val="20"/>
                <w:szCs w:val="20"/>
              </w:rPr>
            </w:pPr>
            <w:r w:rsidRPr="00735CBB">
              <w:rPr>
                <w:b/>
                <w:bCs/>
                <w:sz w:val="20"/>
                <w:szCs w:val="20"/>
              </w:rPr>
              <w:t>Nests observed</w:t>
            </w:r>
          </w:p>
        </w:tc>
        <w:tc>
          <w:tcPr>
            <w:tcW w:w="707" w:type="dxa"/>
            <w:shd w:val="clear" w:color="auto" w:fill="D9D9D9"/>
            <w:vAlign w:val="center"/>
          </w:tcPr>
          <w:p w14:paraId="3674D1DC" w14:textId="77777777" w:rsidR="000A00AB" w:rsidRPr="00735CBB" w:rsidRDefault="00000000">
            <w:pPr>
              <w:jc w:val="center"/>
              <w:rPr>
                <w:sz w:val="20"/>
                <w:szCs w:val="20"/>
              </w:rPr>
            </w:pPr>
            <w:r w:rsidRPr="00735CBB">
              <w:rPr>
                <w:b/>
                <w:bCs/>
                <w:sz w:val="20"/>
                <w:szCs w:val="20"/>
              </w:rPr>
              <w:t>Eggs laid</w:t>
            </w:r>
          </w:p>
        </w:tc>
        <w:tc>
          <w:tcPr>
            <w:tcW w:w="984" w:type="dxa"/>
            <w:shd w:val="clear" w:color="auto" w:fill="D9D9D9"/>
            <w:vAlign w:val="center"/>
          </w:tcPr>
          <w:p w14:paraId="3AA3C4C1" w14:textId="77777777" w:rsidR="000A00AB" w:rsidRPr="00735CBB" w:rsidRDefault="00000000">
            <w:pPr>
              <w:jc w:val="center"/>
              <w:rPr>
                <w:sz w:val="20"/>
                <w:szCs w:val="20"/>
              </w:rPr>
            </w:pPr>
            <w:r w:rsidRPr="00735CBB">
              <w:rPr>
                <w:b/>
                <w:bCs/>
                <w:sz w:val="20"/>
                <w:szCs w:val="20"/>
              </w:rPr>
              <w:t>Eggs hatched</w:t>
            </w:r>
          </w:p>
        </w:tc>
        <w:tc>
          <w:tcPr>
            <w:tcW w:w="1072" w:type="dxa"/>
            <w:shd w:val="clear" w:color="auto" w:fill="D9D9D9"/>
            <w:vAlign w:val="center"/>
          </w:tcPr>
          <w:p w14:paraId="37C0062B" w14:textId="77777777" w:rsidR="000A00AB" w:rsidRPr="00735CBB" w:rsidRDefault="00000000">
            <w:pPr>
              <w:jc w:val="center"/>
              <w:rPr>
                <w:sz w:val="20"/>
                <w:szCs w:val="20"/>
              </w:rPr>
            </w:pPr>
            <w:r w:rsidRPr="00735CBB">
              <w:rPr>
                <w:b/>
                <w:bCs/>
                <w:sz w:val="20"/>
                <w:szCs w:val="20"/>
              </w:rPr>
              <w:t>Hatching success (%)</w:t>
            </w:r>
          </w:p>
        </w:tc>
        <w:tc>
          <w:tcPr>
            <w:tcW w:w="707" w:type="dxa"/>
            <w:shd w:val="clear" w:color="auto" w:fill="D9D9D9"/>
            <w:vAlign w:val="center"/>
          </w:tcPr>
          <w:p w14:paraId="5CB9623B" w14:textId="77777777" w:rsidR="000A00AB" w:rsidRPr="00735CBB" w:rsidRDefault="00000000">
            <w:pPr>
              <w:jc w:val="center"/>
              <w:rPr>
                <w:sz w:val="20"/>
                <w:szCs w:val="20"/>
              </w:rPr>
            </w:pPr>
            <w:r w:rsidRPr="00735CBB">
              <w:rPr>
                <w:b/>
                <w:bCs/>
                <w:sz w:val="20"/>
                <w:szCs w:val="20"/>
              </w:rPr>
              <w:t>Eggs lost</w:t>
            </w:r>
          </w:p>
        </w:tc>
        <w:tc>
          <w:tcPr>
            <w:tcW w:w="1139" w:type="dxa"/>
            <w:shd w:val="clear" w:color="auto" w:fill="D9D9D9"/>
            <w:vAlign w:val="center"/>
          </w:tcPr>
          <w:p w14:paraId="4EFA5DA1" w14:textId="77777777" w:rsidR="000A00AB" w:rsidRPr="00735CBB" w:rsidRDefault="00000000">
            <w:pPr>
              <w:jc w:val="center"/>
              <w:rPr>
                <w:sz w:val="20"/>
                <w:szCs w:val="20"/>
              </w:rPr>
            </w:pPr>
            <w:r w:rsidRPr="00735CBB">
              <w:rPr>
                <w:b/>
                <w:bCs/>
                <w:sz w:val="20"/>
                <w:szCs w:val="20"/>
              </w:rPr>
              <w:t>Predation (%)</w:t>
            </w:r>
          </w:p>
        </w:tc>
        <w:tc>
          <w:tcPr>
            <w:tcW w:w="973" w:type="dxa"/>
            <w:shd w:val="clear" w:color="auto" w:fill="D9D9D9"/>
            <w:vAlign w:val="center"/>
          </w:tcPr>
          <w:p w14:paraId="75E6CE6A" w14:textId="77777777" w:rsidR="000A00AB" w:rsidRPr="00735CBB" w:rsidRDefault="00000000">
            <w:pPr>
              <w:jc w:val="center"/>
              <w:rPr>
                <w:sz w:val="20"/>
                <w:szCs w:val="20"/>
              </w:rPr>
            </w:pPr>
            <w:r w:rsidRPr="00735CBB">
              <w:rPr>
                <w:b/>
                <w:bCs/>
                <w:sz w:val="20"/>
                <w:szCs w:val="20"/>
              </w:rPr>
              <w:t>Nest damage (%)</w:t>
            </w:r>
          </w:p>
        </w:tc>
        <w:tc>
          <w:tcPr>
            <w:tcW w:w="1072" w:type="dxa"/>
            <w:shd w:val="clear" w:color="auto" w:fill="D9D9D9"/>
            <w:vAlign w:val="center"/>
          </w:tcPr>
          <w:p w14:paraId="3289AC0C" w14:textId="77777777" w:rsidR="000A00AB" w:rsidRPr="00735CBB" w:rsidRDefault="00000000">
            <w:pPr>
              <w:jc w:val="center"/>
              <w:rPr>
                <w:sz w:val="20"/>
                <w:szCs w:val="20"/>
              </w:rPr>
            </w:pPr>
            <w:r w:rsidRPr="00735CBB">
              <w:rPr>
                <w:b/>
                <w:bCs/>
                <w:sz w:val="20"/>
                <w:szCs w:val="20"/>
              </w:rPr>
              <w:t>Hatching failure (%)</w:t>
            </w:r>
          </w:p>
        </w:tc>
      </w:tr>
      <w:tr w:rsidR="000A00AB" w:rsidRPr="00735CBB" w14:paraId="25A0ADF5" w14:textId="77777777">
        <w:trPr>
          <w:jc w:val="center"/>
        </w:trPr>
        <w:tc>
          <w:tcPr>
            <w:tcW w:w="664" w:type="dxa"/>
            <w:vAlign w:val="center"/>
          </w:tcPr>
          <w:p w14:paraId="42A8C9FE" w14:textId="77777777" w:rsidR="000A00AB" w:rsidRPr="00735CBB" w:rsidRDefault="00000000">
            <w:pPr>
              <w:jc w:val="center"/>
              <w:rPr>
                <w:sz w:val="20"/>
                <w:szCs w:val="20"/>
              </w:rPr>
            </w:pPr>
            <w:r w:rsidRPr="00735CBB">
              <w:rPr>
                <w:sz w:val="20"/>
                <w:szCs w:val="20"/>
              </w:rPr>
              <w:t>2024</w:t>
            </w:r>
          </w:p>
        </w:tc>
        <w:tc>
          <w:tcPr>
            <w:tcW w:w="1106" w:type="dxa"/>
            <w:vAlign w:val="center"/>
          </w:tcPr>
          <w:p w14:paraId="6059E8AB" w14:textId="77777777" w:rsidR="000A00AB" w:rsidRPr="00735CBB" w:rsidRDefault="00000000">
            <w:pPr>
              <w:jc w:val="center"/>
              <w:rPr>
                <w:sz w:val="20"/>
                <w:szCs w:val="20"/>
              </w:rPr>
            </w:pPr>
            <w:r w:rsidRPr="00735CBB">
              <w:rPr>
                <w:sz w:val="20"/>
                <w:szCs w:val="20"/>
              </w:rPr>
              <w:t>19</w:t>
            </w:r>
          </w:p>
        </w:tc>
        <w:tc>
          <w:tcPr>
            <w:tcW w:w="707" w:type="dxa"/>
            <w:vAlign w:val="center"/>
          </w:tcPr>
          <w:p w14:paraId="743FC853" w14:textId="77777777" w:rsidR="000A00AB" w:rsidRPr="00735CBB" w:rsidRDefault="00000000">
            <w:pPr>
              <w:jc w:val="center"/>
              <w:rPr>
                <w:sz w:val="20"/>
                <w:szCs w:val="20"/>
              </w:rPr>
            </w:pPr>
            <w:r w:rsidRPr="00735CBB">
              <w:rPr>
                <w:sz w:val="20"/>
                <w:szCs w:val="20"/>
              </w:rPr>
              <w:t>54</w:t>
            </w:r>
          </w:p>
        </w:tc>
        <w:tc>
          <w:tcPr>
            <w:tcW w:w="984" w:type="dxa"/>
            <w:vAlign w:val="center"/>
          </w:tcPr>
          <w:p w14:paraId="4DF5210C" w14:textId="77777777" w:rsidR="000A00AB" w:rsidRPr="00735CBB" w:rsidRDefault="00000000">
            <w:pPr>
              <w:jc w:val="center"/>
              <w:rPr>
                <w:sz w:val="20"/>
                <w:szCs w:val="20"/>
              </w:rPr>
            </w:pPr>
            <w:r w:rsidRPr="00735CBB">
              <w:rPr>
                <w:sz w:val="20"/>
                <w:szCs w:val="20"/>
              </w:rPr>
              <w:t>41</w:t>
            </w:r>
          </w:p>
        </w:tc>
        <w:tc>
          <w:tcPr>
            <w:tcW w:w="1072" w:type="dxa"/>
            <w:vAlign w:val="center"/>
          </w:tcPr>
          <w:p w14:paraId="50019DCE" w14:textId="77777777" w:rsidR="000A00AB" w:rsidRPr="00735CBB" w:rsidRDefault="00000000">
            <w:pPr>
              <w:jc w:val="center"/>
              <w:rPr>
                <w:sz w:val="20"/>
                <w:szCs w:val="20"/>
              </w:rPr>
            </w:pPr>
            <w:r w:rsidRPr="00735CBB">
              <w:rPr>
                <w:sz w:val="20"/>
                <w:szCs w:val="20"/>
              </w:rPr>
              <w:t>75.92</w:t>
            </w:r>
          </w:p>
        </w:tc>
        <w:tc>
          <w:tcPr>
            <w:tcW w:w="707" w:type="dxa"/>
            <w:vAlign w:val="center"/>
          </w:tcPr>
          <w:p w14:paraId="690FB682" w14:textId="77777777" w:rsidR="000A00AB" w:rsidRPr="00735CBB" w:rsidRDefault="00000000">
            <w:pPr>
              <w:jc w:val="center"/>
              <w:rPr>
                <w:sz w:val="20"/>
                <w:szCs w:val="20"/>
              </w:rPr>
            </w:pPr>
            <w:r w:rsidRPr="00735CBB">
              <w:rPr>
                <w:sz w:val="20"/>
                <w:szCs w:val="20"/>
              </w:rPr>
              <w:t>13</w:t>
            </w:r>
          </w:p>
        </w:tc>
        <w:tc>
          <w:tcPr>
            <w:tcW w:w="1139" w:type="dxa"/>
            <w:vAlign w:val="center"/>
          </w:tcPr>
          <w:p w14:paraId="1AD98ECB" w14:textId="77777777" w:rsidR="000A00AB" w:rsidRPr="00735CBB" w:rsidRDefault="00000000">
            <w:pPr>
              <w:jc w:val="center"/>
              <w:rPr>
                <w:sz w:val="20"/>
                <w:szCs w:val="20"/>
              </w:rPr>
            </w:pPr>
            <w:r w:rsidRPr="00735CBB">
              <w:rPr>
                <w:sz w:val="20"/>
                <w:szCs w:val="20"/>
              </w:rPr>
              <w:t>38.46</w:t>
            </w:r>
          </w:p>
        </w:tc>
        <w:tc>
          <w:tcPr>
            <w:tcW w:w="973" w:type="dxa"/>
            <w:vAlign w:val="center"/>
          </w:tcPr>
          <w:p w14:paraId="2747B500" w14:textId="77777777" w:rsidR="000A00AB" w:rsidRPr="00735CBB" w:rsidRDefault="00000000">
            <w:pPr>
              <w:jc w:val="center"/>
              <w:rPr>
                <w:sz w:val="20"/>
                <w:szCs w:val="20"/>
              </w:rPr>
            </w:pPr>
            <w:r w:rsidRPr="00735CBB">
              <w:rPr>
                <w:sz w:val="20"/>
                <w:szCs w:val="20"/>
              </w:rPr>
              <w:t>46.15</w:t>
            </w:r>
          </w:p>
        </w:tc>
        <w:tc>
          <w:tcPr>
            <w:tcW w:w="1072" w:type="dxa"/>
            <w:vAlign w:val="center"/>
          </w:tcPr>
          <w:p w14:paraId="04F77DC5" w14:textId="77777777" w:rsidR="000A00AB" w:rsidRPr="00735CBB" w:rsidRDefault="00000000">
            <w:pPr>
              <w:jc w:val="center"/>
              <w:rPr>
                <w:sz w:val="20"/>
                <w:szCs w:val="20"/>
              </w:rPr>
            </w:pPr>
            <w:r w:rsidRPr="00735CBB">
              <w:rPr>
                <w:sz w:val="20"/>
                <w:szCs w:val="20"/>
              </w:rPr>
              <w:t>15.38</w:t>
            </w:r>
          </w:p>
        </w:tc>
      </w:tr>
      <w:tr w:rsidR="000A00AB" w:rsidRPr="00735CBB" w14:paraId="31C27A67" w14:textId="77777777">
        <w:trPr>
          <w:jc w:val="center"/>
        </w:trPr>
        <w:tc>
          <w:tcPr>
            <w:tcW w:w="664" w:type="dxa"/>
            <w:vAlign w:val="center"/>
          </w:tcPr>
          <w:p w14:paraId="203E5D1B" w14:textId="77777777" w:rsidR="000A00AB" w:rsidRPr="00735CBB" w:rsidRDefault="00000000">
            <w:pPr>
              <w:jc w:val="center"/>
              <w:rPr>
                <w:sz w:val="20"/>
                <w:szCs w:val="20"/>
              </w:rPr>
            </w:pPr>
            <w:r w:rsidRPr="00735CBB">
              <w:rPr>
                <w:sz w:val="20"/>
                <w:szCs w:val="20"/>
              </w:rPr>
              <w:t>2025</w:t>
            </w:r>
          </w:p>
        </w:tc>
        <w:tc>
          <w:tcPr>
            <w:tcW w:w="1106" w:type="dxa"/>
            <w:vAlign w:val="center"/>
          </w:tcPr>
          <w:p w14:paraId="1386AB21" w14:textId="77777777" w:rsidR="000A00AB" w:rsidRPr="00735CBB" w:rsidRDefault="00000000">
            <w:pPr>
              <w:jc w:val="center"/>
              <w:rPr>
                <w:sz w:val="20"/>
                <w:szCs w:val="20"/>
              </w:rPr>
            </w:pPr>
            <w:r w:rsidRPr="00735CBB">
              <w:rPr>
                <w:sz w:val="20"/>
                <w:szCs w:val="20"/>
              </w:rPr>
              <w:t>24</w:t>
            </w:r>
          </w:p>
        </w:tc>
        <w:tc>
          <w:tcPr>
            <w:tcW w:w="707" w:type="dxa"/>
            <w:vAlign w:val="center"/>
          </w:tcPr>
          <w:p w14:paraId="305FCE0E" w14:textId="77777777" w:rsidR="000A00AB" w:rsidRPr="00735CBB" w:rsidRDefault="00000000">
            <w:pPr>
              <w:jc w:val="center"/>
              <w:rPr>
                <w:sz w:val="20"/>
                <w:szCs w:val="20"/>
              </w:rPr>
            </w:pPr>
            <w:r w:rsidRPr="00735CBB">
              <w:rPr>
                <w:sz w:val="20"/>
                <w:szCs w:val="20"/>
              </w:rPr>
              <w:t>75</w:t>
            </w:r>
          </w:p>
        </w:tc>
        <w:tc>
          <w:tcPr>
            <w:tcW w:w="984" w:type="dxa"/>
            <w:vAlign w:val="center"/>
          </w:tcPr>
          <w:p w14:paraId="6670CA59" w14:textId="77777777" w:rsidR="000A00AB" w:rsidRPr="00735CBB" w:rsidRDefault="00000000">
            <w:pPr>
              <w:jc w:val="center"/>
              <w:rPr>
                <w:sz w:val="20"/>
                <w:szCs w:val="20"/>
              </w:rPr>
            </w:pPr>
            <w:r w:rsidRPr="00735CBB">
              <w:rPr>
                <w:sz w:val="20"/>
                <w:szCs w:val="20"/>
              </w:rPr>
              <w:t>57</w:t>
            </w:r>
          </w:p>
        </w:tc>
        <w:tc>
          <w:tcPr>
            <w:tcW w:w="1072" w:type="dxa"/>
            <w:vAlign w:val="center"/>
          </w:tcPr>
          <w:p w14:paraId="100F9B51" w14:textId="77777777" w:rsidR="000A00AB" w:rsidRPr="00735CBB" w:rsidRDefault="00000000">
            <w:pPr>
              <w:jc w:val="center"/>
              <w:rPr>
                <w:sz w:val="20"/>
                <w:szCs w:val="20"/>
              </w:rPr>
            </w:pPr>
            <w:r w:rsidRPr="00735CBB">
              <w:rPr>
                <w:sz w:val="20"/>
                <w:szCs w:val="20"/>
              </w:rPr>
              <w:t>76.00</w:t>
            </w:r>
          </w:p>
        </w:tc>
        <w:tc>
          <w:tcPr>
            <w:tcW w:w="707" w:type="dxa"/>
            <w:vAlign w:val="center"/>
          </w:tcPr>
          <w:p w14:paraId="41C623E1" w14:textId="77777777" w:rsidR="000A00AB" w:rsidRPr="00735CBB" w:rsidRDefault="00000000">
            <w:pPr>
              <w:jc w:val="center"/>
              <w:rPr>
                <w:sz w:val="20"/>
                <w:szCs w:val="20"/>
              </w:rPr>
            </w:pPr>
            <w:r w:rsidRPr="00735CBB">
              <w:rPr>
                <w:sz w:val="20"/>
                <w:szCs w:val="20"/>
              </w:rPr>
              <w:t>18</w:t>
            </w:r>
          </w:p>
        </w:tc>
        <w:tc>
          <w:tcPr>
            <w:tcW w:w="1139" w:type="dxa"/>
            <w:vAlign w:val="center"/>
          </w:tcPr>
          <w:p w14:paraId="695B4414" w14:textId="77777777" w:rsidR="000A00AB" w:rsidRPr="00735CBB" w:rsidRDefault="00000000">
            <w:pPr>
              <w:jc w:val="center"/>
              <w:rPr>
                <w:sz w:val="20"/>
                <w:szCs w:val="20"/>
              </w:rPr>
            </w:pPr>
            <w:r w:rsidRPr="00735CBB">
              <w:rPr>
                <w:sz w:val="20"/>
                <w:szCs w:val="20"/>
              </w:rPr>
              <w:t>27.78</w:t>
            </w:r>
          </w:p>
        </w:tc>
        <w:tc>
          <w:tcPr>
            <w:tcW w:w="973" w:type="dxa"/>
            <w:vAlign w:val="center"/>
          </w:tcPr>
          <w:p w14:paraId="6D4FAF32" w14:textId="77777777" w:rsidR="000A00AB" w:rsidRPr="00735CBB" w:rsidRDefault="00000000">
            <w:pPr>
              <w:jc w:val="center"/>
              <w:rPr>
                <w:sz w:val="20"/>
                <w:szCs w:val="20"/>
              </w:rPr>
            </w:pPr>
            <w:r w:rsidRPr="00735CBB">
              <w:rPr>
                <w:sz w:val="20"/>
                <w:szCs w:val="20"/>
              </w:rPr>
              <w:t>50.00</w:t>
            </w:r>
          </w:p>
        </w:tc>
        <w:tc>
          <w:tcPr>
            <w:tcW w:w="1072" w:type="dxa"/>
            <w:vAlign w:val="center"/>
          </w:tcPr>
          <w:p w14:paraId="2500FBA4" w14:textId="77777777" w:rsidR="000A00AB" w:rsidRPr="00735CBB" w:rsidRDefault="00000000">
            <w:pPr>
              <w:jc w:val="center"/>
              <w:rPr>
                <w:sz w:val="20"/>
                <w:szCs w:val="20"/>
              </w:rPr>
            </w:pPr>
            <w:r w:rsidRPr="00735CBB">
              <w:rPr>
                <w:sz w:val="20"/>
                <w:szCs w:val="20"/>
              </w:rPr>
              <w:t>22.22</w:t>
            </w:r>
          </w:p>
        </w:tc>
      </w:tr>
      <w:tr w:rsidR="000A00AB" w:rsidRPr="00735CBB" w14:paraId="1FCD6DD8" w14:textId="77777777">
        <w:trPr>
          <w:jc w:val="center"/>
        </w:trPr>
        <w:tc>
          <w:tcPr>
            <w:tcW w:w="664" w:type="dxa"/>
            <w:vAlign w:val="center"/>
          </w:tcPr>
          <w:p w14:paraId="0CDE8143" w14:textId="77777777" w:rsidR="000A00AB" w:rsidRPr="00735CBB" w:rsidRDefault="00000000">
            <w:pPr>
              <w:jc w:val="center"/>
              <w:rPr>
                <w:sz w:val="20"/>
                <w:szCs w:val="20"/>
              </w:rPr>
            </w:pPr>
            <w:r w:rsidRPr="00735CBB">
              <w:rPr>
                <w:sz w:val="20"/>
                <w:szCs w:val="20"/>
              </w:rPr>
              <w:t>2026</w:t>
            </w:r>
          </w:p>
        </w:tc>
        <w:tc>
          <w:tcPr>
            <w:tcW w:w="1106" w:type="dxa"/>
            <w:vAlign w:val="center"/>
          </w:tcPr>
          <w:p w14:paraId="4F119186" w14:textId="77777777" w:rsidR="000A00AB" w:rsidRPr="00735CBB" w:rsidRDefault="00000000">
            <w:pPr>
              <w:jc w:val="center"/>
              <w:rPr>
                <w:sz w:val="20"/>
                <w:szCs w:val="20"/>
              </w:rPr>
            </w:pPr>
            <w:r w:rsidRPr="00735CBB">
              <w:rPr>
                <w:sz w:val="20"/>
                <w:szCs w:val="20"/>
              </w:rPr>
              <w:t>17</w:t>
            </w:r>
          </w:p>
        </w:tc>
        <w:tc>
          <w:tcPr>
            <w:tcW w:w="707" w:type="dxa"/>
            <w:vAlign w:val="center"/>
          </w:tcPr>
          <w:p w14:paraId="7008A5A2" w14:textId="77777777" w:rsidR="000A00AB" w:rsidRPr="00735CBB" w:rsidRDefault="00000000">
            <w:pPr>
              <w:jc w:val="center"/>
              <w:rPr>
                <w:sz w:val="20"/>
                <w:szCs w:val="20"/>
              </w:rPr>
            </w:pPr>
            <w:r w:rsidRPr="00735CBB">
              <w:rPr>
                <w:sz w:val="20"/>
                <w:szCs w:val="20"/>
              </w:rPr>
              <w:t>48</w:t>
            </w:r>
          </w:p>
        </w:tc>
        <w:tc>
          <w:tcPr>
            <w:tcW w:w="984" w:type="dxa"/>
            <w:vAlign w:val="center"/>
          </w:tcPr>
          <w:p w14:paraId="16C71D88" w14:textId="77777777" w:rsidR="000A00AB" w:rsidRPr="00735CBB" w:rsidRDefault="00000000">
            <w:pPr>
              <w:jc w:val="center"/>
              <w:rPr>
                <w:sz w:val="20"/>
                <w:szCs w:val="20"/>
              </w:rPr>
            </w:pPr>
            <w:r w:rsidRPr="00735CBB">
              <w:rPr>
                <w:sz w:val="20"/>
                <w:szCs w:val="20"/>
              </w:rPr>
              <w:t>39</w:t>
            </w:r>
          </w:p>
        </w:tc>
        <w:tc>
          <w:tcPr>
            <w:tcW w:w="1072" w:type="dxa"/>
            <w:vAlign w:val="center"/>
          </w:tcPr>
          <w:p w14:paraId="6FC4B09D" w14:textId="77777777" w:rsidR="000A00AB" w:rsidRPr="00735CBB" w:rsidRDefault="00000000">
            <w:pPr>
              <w:jc w:val="center"/>
              <w:rPr>
                <w:sz w:val="20"/>
                <w:szCs w:val="20"/>
              </w:rPr>
            </w:pPr>
            <w:r w:rsidRPr="00735CBB">
              <w:rPr>
                <w:sz w:val="20"/>
                <w:szCs w:val="20"/>
              </w:rPr>
              <w:t>81.25</w:t>
            </w:r>
          </w:p>
        </w:tc>
        <w:tc>
          <w:tcPr>
            <w:tcW w:w="707" w:type="dxa"/>
            <w:vAlign w:val="center"/>
          </w:tcPr>
          <w:p w14:paraId="67B85871" w14:textId="77777777" w:rsidR="000A00AB" w:rsidRPr="00735CBB" w:rsidRDefault="00000000">
            <w:pPr>
              <w:jc w:val="center"/>
              <w:rPr>
                <w:sz w:val="20"/>
                <w:szCs w:val="20"/>
              </w:rPr>
            </w:pPr>
            <w:r w:rsidRPr="00735CBB">
              <w:rPr>
                <w:sz w:val="20"/>
                <w:szCs w:val="20"/>
              </w:rPr>
              <w:t>9</w:t>
            </w:r>
          </w:p>
        </w:tc>
        <w:tc>
          <w:tcPr>
            <w:tcW w:w="1139" w:type="dxa"/>
            <w:vAlign w:val="center"/>
          </w:tcPr>
          <w:p w14:paraId="2625C5FD" w14:textId="77777777" w:rsidR="000A00AB" w:rsidRPr="00735CBB" w:rsidRDefault="00000000">
            <w:pPr>
              <w:jc w:val="center"/>
              <w:rPr>
                <w:sz w:val="20"/>
                <w:szCs w:val="20"/>
              </w:rPr>
            </w:pPr>
            <w:r w:rsidRPr="00735CBB">
              <w:rPr>
                <w:sz w:val="20"/>
                <w:szCs w:val="20"/>
              </w:rPr>
              <w:t>33.33</w:t>
            </w:r>
          </w:p>
        </w:tc>
        <w:tc>
          <w:tcPr>
            <w:tcW w:w="973" w:type="dxa"/>
            <w:vAlign w:val="center"/>
          </w:tcPr>
          <w:p w14:paraId="122933B5" w14:textId="77777777" w:rsidR="000A00AB" w:rsidRPr="00735CBB" w:rsidRDefault="00000000">
            <w:pPr>
              <w:jc w:val="center"/>
              <w:rPr>
                <w:sz w:val="20"/>
                <w:szCs w:val="20"/>
              </w:rPr>
            </w:pPr>
            <w:r w:rsidRPr="00735CBB">
              <w:rPr>
                <w:sz w:val="20"/>
                <w:szCs w:val="20"/>
              </w:rPr>
              <w:t>44.44</w:t>
            </w:r>
          </w:p>
        </w:tc>
        <w:tc>
          <w:tcPr>
            <w:tcW w:w="1072" w:type="dxa"/>
            <w:vAlign w:val="center"/>
          </w:tcPr>
          <w:p w14:paraId="51B17474" w14:textId="77777777" w:rsidR="000A00AB" w:rsidRPr="00735CBB" w:rsidRDefault="00000000">
            <w:pPr>
              <w:keepNext/>
              <w:jc w:val="center"/>
              <w:rPr>
                <w:sz w:val="20"/>
                <w:szCs w:val="20"/>
              </w:rPr>
            </w:pPr>
            <w:r w:rsidRPr="00735CBB">
              <w:rPr>
                <w:sz w:val="20"/>
                <w:szCs w:val="20"/>
              </w:rPr>
              <w:t>22.22</w:t>
            </w:r>
          </w:p>
        </w:tc>
      </w:tr>
    </w:tbl>
    <w:p w14:paraId="26FBB9EF" w14:textId="77777777" w:rsidR="000A00AB" w:rsidRPr="00735CBB" w:rsidRDefault="00000000">
      <w:pPr>
        <w:pBdr>
          <w:top w:val="nil"/>
          <w:left w:val="nil"/>
          <w:bottom w:val="nil"/>
          <w:right w:val="nil"/>
          <w:between w:val="nil"/>
        </w:pBdr>
        <w:spacing w:after="200"/>
        <w:jc w:val="center"/>
        <w:rPr>
          <w:rFonts w:ascii="Arial" w:eastAsia="Arial" w:hAnsi="Arial" w:cs="Arial"/>
          <w:color w:val="000000"/>
        </w:rPr>
      </w:pPr>
      <w:r w:rsidRPr="00735CBB">
        <w:rPr>
          <w:rFonts w:ascii="Arial" w:eastAsia="Arial" w:hAnsi="Arial" w:cs="Arial"/>
          <w:b/>
          <w:bCs/>
          <w:color w:val="000000"/>
        </w:rPr>
        <w:t xml:space="preserve">Table 1 Productivity in nests of the Kentish Plover at </w:t>
      </w:r>
      <w:proofErr w:type="spellStart"/>
      <w:r w:rsidRPr="00735CBB">
        <w:rPr>
          <w:rFonts w:ascii="Arial" w:eastAsia="Arial" w:hAnsi="Arial" w:cs="Arial"/>
          <w:b/>
          <w:bCs/>
          <w:color w:val="000000"/>
        </w:rPr>
        <w:t>Machchhu</w:t>
      </w:r>
      <w:proofErr w:type="spellEnd"/>
      <w:r w:rsidRPr="00735CBB">
        <w:rPr>
          <w:rFonts w:ascii="Arial" w:eastAsia="Arial" w:hAnsi="Arial" w:cs="Arial"/>
          <w:b/>
          <w:bCs/>
          <w:color w:val="000000"/>
        </w:rPr>
        <w:t>-I during 2024–2026.</w:t>
      </w:r>
    </w:p>
    <w:tbl>
      <w:tblPr>
        <w:tblStyle w:val="a1"/>
        <w:tblW w:w="842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4"/>
        <w:gridCol w:w="1106"/>
        <w:gridCol w:w="707"/>
        <w:gridCol w:w="984"/>
        <w:gridCol w:w="1072"/>
        <w:gridCol w:w="707"/>
        <w:gridCol w:w="1139"/>
        <w:gridCol w:w="973"/>
        <w:gridCol w:w="1072"/>
      </w:tblGrid>
      <w:tr w:rsidR="000A00AB" w:rsidRPr="00735CBB" w14:paraId="5E39F786" w14:textId="77777777">
        <w:trPr>
          <w:jc w:val="center"/>
        </w:trPr>
        <w:tc>
          <w:tcPr>
            <w:tcW w:w="664" w:type="dxa"/>
            <w:shd w:val="clear" w:color="auto" w:fill="D9D9D9"/>
            <w:vAlign w:val="center"/>
          </w:tcPr>
          <w:p w14:paraId="2218BDB9" w14:textId="77777777" w:rsidR="000A00AB" w:rsidRPr="00735CBB" w:rsidRDefault="00000000">
            <w:pPr>
              <w:jc w:val="center"/>
              <w:rPr>
                <w:sz w:val="20"/>
                <w:szCs w:val="20"/>
              </w:rPr>
            </w:pPr>
            <w:bookmarkStart w:id="0" w:name="_1y8vjq7f0bx0" w:colFirst="0" w:colLast="0"/>
            <w:bookmarkEnd w:id="0"/>
            <w:r w:rsidRPr="00735CBB">
              <w:rPr>
                <w:b/>
                <w:bCs/>
                <w:sz w:val="20"/>
                <w:szCs w:val="20"/>
              </w:rPr>
              <w:t>Year</w:t>
            </w:r>
          </w:p>
        </w:tc>
        <w:tc>
          <w:tcPr>
            <w:tcW w:w="1106" w:type="dxa"/>
            <w:shd w:val="clear" w:color="auto" w:fill="D9D9D9"/>
            <w:vAlign w:val="center"/>
          </w:tcPr>
          <w:p w14:paraId="2A332904" w14:textId="77777777" w:rsidR="000A00AB" w:rsidRPr="00735CBB" w:rsidRDefault="00000000">
            <w:pPr>
              <w:jc w:val="center"/>
              <w:rPr>
                <w:sz w:val="20"/>
                <w:szCs w:val="20"/>
              </w:rPr>
            </w:pPr>
            <w:r w:rsidRPr="00735CBB">
              <w:rPr>
                <w:b/>
                <w:bCs/>
                <w:sz w:val="20"/>
                <w:szCs w:val="20"/>
              </w:rPr>
              <w:t>Nests observed</w:t>
            </w:r>
          </w:p>
        </w:tc>
        <w:tc>
          <w:tcPr>
            <w:tcW w:w="707" w:type="dxa"/>
            <w:shd w:val="clear" w:color="auto" w:fill="D9D9D9"/>
            <w:vAlign w:val="center"/>
          </w:tcPr>
          <w:p w14:paraId="07B94AE2" w14:textId="77777777" w:rsidR="000A00AB" w:rsidRPr="00735CBB" w:rsidRDefault="00000000">
            <w:pPr>
              <w:jc w:val="center"/>
              <w:rPr>
                <w:sz w:val="20"/>
                <w:szCs w:val="20"/>
              </w:rPr>
            </w:pPr>
            <w:r w:rsidRPr="00735CBB">
              <w:rPr>
                <w:b/>
                <w:bCs/>
                <w:sz w:val="20"/>
                <w:szCs w:val="20"/>
              </w:rPr>
              <w:t>Eggs laid</w:t>
            </w:r>
          </w:p>
        </w:tc>
        <w:tc>
          <w:tcPr>
            <w:tcW w:w="984" w:type="dxa"/>
            <w:shd w:val="clear" w:color="auto" w:fill="D9D9D9"/>
            <w:vAlign w:val="center"/>
          </w:tcPr>
          <w:p w14:paraId="6A7A7E11" w14:textId="77777777" w:rsidR="000A00AB" w:rsidRPr="00735CBB" w:rsidRDefault="00000000">
            <w:pPr>
              <w:jc w:val="center"/>
              <w:rPr>
                <w:sz w:val="20"/>
                <w:szCs w:val="20"/>
              </w:rPr>
            </w:pPr>
            <w:r w:rsidRPr="00735CBB">
              <w:rPr>
                <w:b/>
                <w:bCs/>
                <w:sz w:val="20"/>
                <w:szCs w:val="20"/>
              </w:rPr>
              <w:t>Eggs hatched</w:t>
            </w:r>
          </w:p>
        </w:tc>
        <w:tc>
          <w:tcPr>
            <w:tcW w:w="1072" w:type="dxa"/>
            <w:shd w:val="clear" w:color="auto" w:fill="D9D9D9"/>
            <w:vAlign w:val="center"/>
          </w:tcPr>
          <w:p w14:paraId="78433454" w14:textId="77777777" w:rsidR="000A00AB" w:rsidRPr="00735CBB" w:rsidRDefault="00000000">
            <w:pPr>
              <w:jc w:val="center"/>
              <w:rPr>
                <w:sz w:val="20"/>
                <w:szCs w:val="20"/>
              </w:rPr>
            </w:pPr>
            <w:r w:rsidRPr="00735CBB">
              <w:rPr>
                <w:b/>
                <w:bCs/>
                <w:sz w:val="20"/>
                <w:szCs w:val="20"/>
              </w:rPr>
              <w:t>Hatching success (%)</w:t>
            </w:r>
          </w:p>
        </w:tc>
        <w:tc>
          <w:tcPr>
            <w:tcW w:w="707" w:type="dxa"/>
            <w:shd w:val="clear" w:color="auto" w:fill="D9D9D9"/>
            <w:vAlign w:val="center"/>
          </w:tcPr>
          <w:p w14:paraId="453B78C5" w14:textId="77777777" w:rsidR="000A00AB" w:rsidRPr="00735CBB" w:rsidRDefault="00000000">
            <w:pPr>
              <w:jc w:val="center"/>
              <w:rPr>
                <w:sz w:val="20"/>
                <w:szCs w:val="20"/>
              </w:rPr>
            </w:pPr>
            <w:r w:rsidRPr="00735CBB">
              <w:rPr>
                <w:b/>
                <w:bCs/>
                <w:sz w:val="20"/>
                <w:szCs w:val="20"/>
              </w:rPr>
              <w:t>Eggs lost</w:t>
            </w:r>
          </w:p>
        </w:tc>
        <w:tc>
          <w:tcPr>
            <w:tcW w:w="1139" w:type="dxa"/>
            <w:shd w:val="clear" w:color="auto" w:fill="D9D9D9"/>
            <w:vAlign w:val="center"/>
          </w:tcPr>
          <w:p w14:paraId="1594F9F5" w14:textId="77777777" w:rsidR="000A00AB" w:rsidRPr="00735CBB" w:rsidRDefault="00000000">
            <w:pPr>
              <w:jc w:val="center"/>
              <w:rPr>
                <w:sz w:val="20"/>
                <w:szCs w:val="20"/>
              </w:rPr>
            </w:pPr>
            <w:r w:rsidRPr="00735CBB">
              <w:rPr>
                <w:b/>
                <w:bCs/>
                <w:sz w:val="20"/>
                <w:szCs w:val="20"/>
              </w:rPr>
              <w:t>Predation (%)</w:t>
            </w:r>
          </w:p>
        </w:tc>
        <w:tc>
          <w:tcPr>
            <w:tcW w:w="973" w:type="dxa"/>
            <w:shd w:val="clear" w:color="auto" w:fill="D9D9D9"/>
            <w:vAlign w:val="center"/>
          </w:tcPr>
          <w:p w14:paraId="0F45DE0F" w14:textId="77777777" w:rsidR="000A00AB" w:rsidRPr="00735CBB" w:rsidRDefault="00000000">
            <w:pPr>
              <w:jc w:val="center"/>
              <w:rPr>
                <w:sz w:val="20"/>
                <w:szCs w:val="20"/>
              </w:rPr>
            </w:pPr>
            <w:r w:rsidRPr="00735CBB">
              <w:rPr>
                <w:b/>
                <w:bCs/>
                <w:sz w:val="20"/>
                <w:szCs w:val="20"/>
              </w:rPr>
              <w:t>Nest damage (%)</w:t>
            </w:r>
          </w:p>
        </w:tc>
        <w:tc>
          <w:tcPr>
            <w:tcW w:w="1072" w:type="dxa"/>
            <w:shd w:val="clear" w:color="auto" w:fill="D9D9D9"/>
            <w:vAlign w:val="center"/>
          </w:tcPr>
          <w:p w14:paraId="0664A5D1" w14:textId="77777777" w:rsidR="000A00AB" w:rsidRPr="00735CBB" w:rsidRDefault="00000000">
            <w:pPr>
              <w:jc w:val="center"/>
              <w:rPr>
                <w:sz w:val="20"/>
                <w:szCs w:val="20"/>
              </w:rPr>
            </w:pPr>
            <w:r w:rsidRPr="00735CBB">
              <w:rPr>
                <w:b/>
                <w:bCs/>
                <w:sz w:val="20"/>
                <w:szCs w:val="20"/>
              </w:rPr>
              <w:t>Hatching failure (%)</w:t>
            </w:r>
          </w:p>
        </w:tc>
      </w:tr>
      <w:tr w:rsidR="000A00AB" w:rsidRPr="00735CBB" w14:paraId="49CDC611" w14:textId="77777777">
        <w:trPr>
          <w:jc w:val="center"/>
        </w:trPr>
        <w:tc>
          <w:tcPr>
            <w:tcW w:w="664" w:type="dxa"/>
            <w:vAlign w:val="center"/>
          </w:tcPr>
          <w:p w14:paraId="70D9BD26" w14:textId="77777777" w:rsidR="000A00AB" w:rsidRPr="00735CBB" w:rsidRDefault="00000000">
            <w:pPr>
              <w:jc w:val="center"/>
              <w:rPr>
                <w:sz w:val="20"/>
                <w:szCs w:val="20"/>
              </w:rPr>
            </w:pPr>
            <w:r w:rsidRPr="00735CBB">
              <w:rPr>
                <w:sz w:val="20"/>
                <w:szCs w:val="20"/>
              </w:rPr>
              <w:t>2024</w:t>
            </w:r>
          </w:p>
        </w:tc>
        <w:tc>
          <w:tcPr>
            <w:tcW w:w="1106" w:type="dxa"/>
            <w:vAlign w:val="center"/>
          </w:tcPr>
          <w:p w14:paraId="6C3A431A" w14:textId="77777777" w:rsidR="000A00AB" w:rsidRPr="00735CBB" w:rsidRDefault="00000000">
            <w:pPr>
              <w:jc w:val="center"/>
              <w:rPr>
                <w:sz w:val="20"/>
                <w:szCs w:val="20"/>
              </w:rPr>
            </w:pPr>
            <w:r w:rsidRPr="00735CBB">
              <w:rPr>
                <w:sz w:val="20"/>
                <w:szCs w:val="20"/>
              </w:rPr>
              <w:t>14</w:t>
            </w:r>
          </w:p>
        </w:tc>
        <w:tc>
          <w:tcPr>
            <w:tcW w:w="707" w:type="dxa"/>
            <w:vAlign w:val="center"/>
          </w:tcPr>
          <w:p w14:paraId="122D36A8" w14:textId="77777777" w:rsidR="000A00AB" w:rsidRPr="00735CBB" w:rsidRDefault="00000000">
            <w:pPr>
              <w:jc w:val="center"/>
              <w:rPr>
                <w:sz w:val="20"/>
                <w:szCs w:val="20"/>
              </w:rPr>
            </w:pPr>
            <w:r w:rsidRPr="00735CBB">
              <w:rPr>
                <w:sz w:val="20"/>
                <w:szCs w:val="20"/>
              </w:rPr>
              <w:t>41</w:t>
            </w:r>
          </w:p>
        </w:tc>
        <w:tc>
          <w:tcPr>
            <w:tcW w:w="984" w:type="dxa"/>
            <w:vAlign w:val="center"/>
          </w:tcPr>
          <w:p w14:paraId="6B968865" w14:textId="77777777" w:rsidR="000A00AB" w:rsidRPr="00735CBB" w:rsidRDefault="00000000">
            <w:pPr>
              <w:jc w:val="center"/>
              <w:rPr>
                <w:sz w:val="20"/>
                <w:szCs w:val="20"/>
              </w:rPr>
            </w:pPr>
            <w:r w:rsidRPr="00735CBB">
              <w:rPr>
                <w:sz w:val="20"/>
                <w:szCs w:val="20"/>
              </w:rPr>
              <w:t>35</w:t>
            </w:r>
          </w:p>
        </w:tc>
        <w:tc>
          <w:tcPr>
            <w:tcW w:w="1072" w:type="dxa"/>
            <w:vAlign w:val="center"/>
          </w:tcPr>
          <w:p w14:paraId="08FB81D5" w14:textId="77777777" w:rsidR="000A00AB" w:rsidRPr="00735CBB" w:rsidRDefault="00000000">
            <w:pPr>
              <w:jc w:val="center"/>
              <w:rPr>
                <w:sz w:val="20"/>
                <w:szCs w:val="20"/>
              </w:rPr>
            </w:pPr>
            <w:r w:rsidRPr="00735CBB">
              <w:rPr>
                <w:sz w:val="20"/>
                <w:szCs w:val="20"/>
              </w:rPr>
              <w:t>85.36</w:t>
            </w:r>
          </w:p>
        </w:tc>
        <w:tc>
          <w:tcPr>
            <w:tcW w:w="707" w:type="dxa"/>
            <w:vAlign w:val="center"/>
          </w:tcPr>
          <w:p w14:paraId="33B074AA" w14:textId="77777777" w:rsidR="000A00AB" w:rsidRPr="00735CBB" w:rsidRDefault="00000000">
            <w:pPr>
              <w:jc w:val="center"/>
              <w:rPr>
                <w:sz w:val="20"/>
                <w:szCs w:val="20"/>
              </w:rPr>
            </w:pPr>
            <w:r w:rsidRPr="00735CBB">
              <w:rPr>
                <w:sz w:val="20"/>
                <w:szCs w:val="20"/>
              </w:rPr>
              <w:t>6</w:t>
            </w:r>
          </w:p>
        </w:tc>
        <w:tc>
          <w:tcPr>
            <w:tcW w:w="1139" w:type="dxa"/>
            <w:vAlign w:val="center"/>
          </w:tcPr>
          <w:p w14:paraId="13785EA6" w14:textId="77777777" w:rsidR="000A00AB" w:rsidRPr="00735CBB" w:rsidRDefault="00000000">
            <w:pPr>
              <w:jc w:val="center"/>
              <w:rPr>
                <w:sz w:val="20"/>
                <w:szCs w:val="20"/>
              </w:rPr>
            </w:pPr>
            <w:r w:rsidRPr="00735CBB">
              <w:rPr>
                <w:sz w:val="20"/>
                <w:szCs w:val="20"/>
              </w:rPr>
              <w:t>33.33</w:t>
            </w:r>
          </w:p>
        </w:tc>
        <w:tc>
          <w:tcPr>
            <w:tcW w:w="973" w:type="dxa"/>
            <w:vAlign w:val="center"/>
          </w:tcPr>
          <w:p w14:paraId="0BD3C553" w14:textId="77777777" w:rsidR="000A00AB" w:rsidRPr="00735CBB" w:rsidRDefault="00000000">
            <w:pPr>
              <w:jc w:val="center"/>
              <w:rPr>
                <w:sz w:val="20"/>
                <w:szCs w:val="20"/>
              </w:rPr>
            </w:pPr>
            <w:r w:rsidRPr="00735CBB">
              <w:rPr>
                <w:sz w:val="20"/>
                <w:szCs w:val="20"/>
              </w:rPr>
              <w:t>50.00</w:t>
            </w:r>
          </w:p>
        </w:tc>
        <w:tc>
          <w:tcPr>
            <w:tcW w:w="1072" w:type="dxa"/>
            <w:vAlign w:val="center"/>
          </w:tcPr>
          <w:p w14:paraId="5645AB69" w14:textId="77777777" w:rsidR="000A00AB" w:rsidRPr="00735CBB" w:rsidRDefault="00000000">
            <w:pPr>
              <w:jc w:val="center"/>
              <w:rPr>
                <w:sz w:val="20"/>
                <w:szCs w:val="20"/>
              </w:rPr>
            </w:pPr>
            <w:r w:rsidRPr="00735CBB">
              <w:rPr>
                <w:sz w:val="20"/>
                <w:szCs w:val="20"/>
              </w:rPr>
              <w:t>16.67</w:t>
            </w:r>
          </w:p>
        </w:tc>
      </w:tr>
      <w:tr w:rsidR="000A00AB" w:rsidRPr="00735CBB" w14:paraId="217F166A" w14:textId="77777777">
        <w:trPr>
          <w:jc w:val="center"/>
        </w:trPr>
        <w:tc>
          <w:tcPr>
            <w:tcW w:w="664" w:type="dxa"/>
            <w:vAlign w:val="center"/>
          </w:tcPr>
          <w:p w14:paraId="76345BBB" w14:textId="77777777" w:rsidR="000A00AB" w:rsidRPr="00735CBB" w:rsidRDefault="00000000">
            <w:pPr>
              <w:jc w:val="center"/>
              <w:rPr>
                <w:sz w:val="20"/>
                <w:szCs w:val="20"/>
              </w:rPr>
            </w:pPr>
            <w:r w:rsidRPr="00735CBB">
              <w:rPr>
                <w:sz w:val="20"/>
                <w:szCs w:val="20"/>
              </w:rPr>
              <w:t>2025</w:t>
            </w:r>
          </w:p>
        </w:tc>
        <w:tc>
          <w:tcPr>
            <w:tcW w:w="1106" w:type="dxa"/>
            <w:vAlign w:val="center"/>
          </w:tcPr>
          <w:p w14:paraId="51B001CE" w14:textId="77777777" w:rsidR="000A00AB" w:rsidRPr="00735CBB" w:rsidRDefault="00000000">
            <w:pPr>
              <w:jc w:val="center"/>
              <w:rPr>
                <w:sz w:val="20"/>
                <w:szCs w:val="20"/>
              </w:rPr>
            </w:pPr>
            <w:r w:rsidRPr="00735CBB">
              <w:rPr>
                <w:sz w:val="20"/>
                <w:szCs w:val="20"/>
              </w:rPr>
              <w:t>16</w:t>
            </w:r>
          </w:p>
        </w:tc>
        <w:tc>
          <w:tcPr>
            <w:tcW w:w="707" w:type="dxa"/>
            <w:vAlign w:val="center"/>
          </w:tcPr>
          <w:p w14:paraId="684212D3" w14:textId="77777777" w:rsidR="000A00AB" w:rsidRPr="00735CBB" w:rsidRDefault="00000000">
            <w:pPr>
              <w:jc w:val="center"/>
              <w:rPr>
                <w:sz w:val="20"/>
                <w:szCs w:val="20"/>
              </w:rPr>
            </w:pPr>
            <w:r w:rsidRPr="00735CBB">
              <w:rPr>
                <w:sz w:val="20"/>
                <w:szCs w:val="20"/>
              </w:rPr>
              <w:t>35</w:t>
            </w:r>
          </w:p>
        </w:tc>
        <w:tc>
          <w:tcPr>
            <w:tcW w:w="984" w:type="dxa"/>
            <w:vAlign w:val="center"/>
          </w:tcPr>
          <w:p w14:paraId="49D9246F" w14:textId="77777777" w:rsidR="000A00AB" w:rsidRPr="00735CBB" w:rsidRDefault="00000000">
            <w:pPr>
              <w:jc w:val="center"/>
              <w:rPr>
                <w:sz w:val="20"/>
                <w:szCs w:val="20"/>
              </w:rPr>
            </w:pPr>
            <w:r w:rsidRPr="00735CBB">
              <w:rPr>
                <w:sz w:val="20"/>
                <w:szCs w:val="20"/>
              </w:rPr>
              <w:t>26</w:t>
            </w:r>
          </w:p>
        </w:tc>
        <w:tc>
          <w:tcPr>
            <w:tcW w:w="1072" w:type="dxa"/>
            <w:vAlign w:val="center"/>
          </w:tcPr>
          <w:p w14:paraId="2A5792DD" w14:textId="77777777" w:rsidR="000A00AB" w:rsidRPr="00735CBB" w:rsidRDefault="00000000">
            <w:pPr>
              <w:jc w:val="center"/>
              <w:rPr>
                <w:sz w:val="20"/>
                <w:szCs w:val="20"/>
              </w:rPr>
            </w:pPr>
            <w:r w:rsidRPr="00735CBB">
              <w:rPr>
                <w:sz w:val="20"/>
                <w:szCs w:val="20"/>
              </w:rPr>
              <w:t>74.29</w:t>
            </w:r>
          </w:p>
        </w:tc>
        <w:tc>
          <w:tcPr>
            <w:tcW w:w="707" w:type="dxa"/>
            <w:vAlign w:val="center"/>
          </w:tcPr>
          <w:p w14:paraId="7CA9E845" w14:textId="77777777" w:rsidR="000A00AB" w:rsidRPr="00735CBB" w:rsidRDefault="00000000">
            <w:pPr>
              <w:jc w:val="center"/>
              <w:rPr>
                <w:sz w:val="20"/>
                <w:szCs w:val="20"/>
              </w:rPr>
            </w:pPr>
            <w:r w:rsidRPr="00735CBB">
              <w:rPr>
                <w:sz w:val="20"/>
                <w:szCs w:val="20"/>
              </w:rPr>
              <w:t>9</w:t>
            </w:r>
          </w:p>
        </w:tc>
        <w:tc>
          <w:tcPr>
            <w:tcW w:w="1139" w:type="dxa"/>
            <w:vAlign w:val="center"/>
          </w:tcPr>
          <w:p w14:paraId="1D40A3EB" w14:textId="77777777" w:rsidR="000A00AB" w:rsidRPr="00735CBB" w:rsidRDefault="00000000">
            <w:pPr>
              <w:jc w:val="center"/>
              <w:rPr>
                <w:sz w:val="20"/>
                <w:szCs w:val="20"/>
              </w:rPr>
            </w:pPr>
            <w:r w:rsidRPr="00735CBB">
              <w:rPr>
                <w:sz w:val="20"/>
                <w:szCs w:val="20"/>
              </w:rPr>
              <w:t>33.33</w:t>
            </w:r>
          </w:p>
        </w:tc>
        <w:tc>
          <w:tcPr>
            <w:tcW w:w="973" w:type="dxa"/>
            <w:vAlign w:val="center"/>
          </w:tcPr>
          <w:p w14:paraId="53DD23CB" w14:textId="77777777" w:rsidR="000A00AB" w:rsidRPr="00735CBB" w:rsidRDefault="00000000">
            <w:pPr>
              <w:jc w:val="center"/>
              <w:rPr>
                <w:sz w:val="20"/>
                <w:szCs w:val="20"/>
              </w:rPr>
            </w:pPr>
            <w:r w:rsidRPr="00735CBB">
              <w:rPr>
                <w:sz w:val="20"/>
                <w:szCs w:val="20"/>
              </w:rPr>
              <w:t>55.56</w:t>
            </w:r>
          </w:p>
        </w:tc>
        <w:tc>
          <w:tcPr>
            <w:tcW w:w="1072" w:type="dxa"/>
            <w:vAlign w:val="center"/>
          </w:tcPr>
          <w:p w14:paraId="65B31024" w14:textId="77777777" w:rsidR="000A00AB" w:rsidRPr="00735CBB" w:rsidRDefault="00000000">
            <w:pPr>
              <w:jc w:val="center"/>
              <w:rPr>
                <w:sz w:val="20"/>
                <w:szCs w:val="20"/>
              </w:rPr>
            </w:pPr>
            <w:r w:rsidRPr="00735CBB">
              <w:rPr>
                <w:sz w:val="20"/>
                <w:szCs w:val="20"/>
              </w:rPr>
              <w:t>11.11</w:t>
            </w:r>
          </w:p>
        </w:tc>
      </w:tr>
      <w:tr w:rsidR="000A00AB" w:rsidRPr="00735CBB" w14:paraId="5D803ED6" w14:textId="77777777">
        <w:trPr>
          <w:jc w:val="center"/>
        </w:trPr>
        <w:tc>
          <w:tcPr>
            <w:tcW w:w="664" w:type="dxa"/>
            <w:vAlign w:val="center"/>
          </w:tcPr>
          <w:p w14:paraId="238B921D" w14:textId="77777777" w:rsidR="000A00AB" w:rsidRPr="00735CBB" w:rsidRDefault="00000000">
            <w:pPr>
              <w:jc w:val="center"/>
              <w:rPr>
                <w:sz w:val="20"/>
                <w:szCs w:val="20"/>
              </w:rPr>
            </w:pPr>
            <w:r w:rsidRPr="00735CBB">
              <w:rPr>
                <w:sz w:val="20"/>
                <w:szCs w:val="20"/>
              </w:rPr>
              <w:t>2026</w:t>
            </w:r>
          </w:p>
        </w:tc>
        <w:tc>
          <w:tcPr>
            <w:tcW w:w="1106" w:type="dxa"/>
            <w:vAlign w:val="center"/>
          </w:tcPr>
          <w:p w14:paraId="3C711F74" w14:textId="77777777" w:rsidR="000A00AB" w:rsidRPr="00735CBB" w:rsidRDefault="00000000">
            <w:pPr>
              <w:jc w:val="center"/>
              <w:rPr>
                <w:sz w:val="20"/>
                <w:szCs w:val="20"/>
              </w:rPr>
            </w:pPr>
            <w:r w:rsidRPr="00735CBB">
              <w:rPr>
                <w:sz w:val="20"/>
                <w:szCs w:val="20"/>
              </w:rPr>
              <w:t>12</w:t>
            </w:r>
          </w:p>
        </w:tc>
        <w:tc>
          <w:tcPr>
            <w:tcW w:w="707" w:type="dxa"/>
            <w:vAlign w:val="center"/>
          </w:tcPr>
          <w:p w14:paraId="5AD07277" w14:textId="77777777" w:rsidR="000A00AB" w:rsidRPr="00735CBB" w:rsidRDefault="00000000">
            <w:pPr>
              <w:jc w:val="center"/>
              <w:rPr>
                <w:sz w:val="20"/>
                <w:szCs w:val="20"/>
              </w:rPr>
            </w:pPr>
            <w:r w:rsidRPr="00735CBB">
              <w:rPr>
                <w:sz w:val="20"/>
                <w:szCs w:val="20"/>
              </w:rPr>
              <w:t>32</w:t>
            </w:r>
          </w:p>
        </w:tc>
        <w:tc>
          <w:tcPr>
            <w:tcW w:w="984" w:type="dxa"/>
            <w:vAlign w:val="center"/>
          </w:tcPr>
          <w:p w14:paraId="09C42A75" w14:textId="77777777" w:rsidR="000A00AB" w:rsidRPr="00735CBB" w:rsidRDefault="00000000">
            <w:pPr>
              <w:jc w:val="center"/>
              <w:rPr>
                <w:sz w:val="20"/>
                <w:szCs w:val="20"/>
              </w:rPr>
            </w:pPr>
            <w:r w:rsidRPr="00735CBB">
              <w:rPr>
                <w:sz w:val="20"/>
                <w:szCs w:val="20"/>
              </w:rPr>
              <w:t>29</w:t>
            </w:r>
          </w:p>
        </w:tc>
        <w:tc>
          <w:tcPr>
            <w:tcW w:w="1072" w:type="dxa"/>
            <w:vAlign w:val="center"/>
          </w:tcPr>
          <w:p w14:paraId="459D7B35" w14:textId="77777777" w:rsidR="000A00AB" w:rsidRPr="00735CBB" w:rsidRDefault="00000000">
            <w:pPr>
              <w:jc w:val="center"/>
              <w:rPr>
                <w:sz w:val="20"/>
                <w:szCs w:val="20"/>
              </w:rPr>
            </w:pPr>
            <w:r w:rsidRPr="00735CBB">
              <w:rPr>
                <w:sz w:val="20"/>
                <w:szCs w:val="20"/>
              </w:rPr>
              <w:t>90.63</w:t>
            </w:r>
          </w:p>
        </w:tc>
        <w:tc>
          <w:tcPr>
            <w:tcW w:w="707" w:type="dxa"/>
            <w:vAlign w:val="center"/>
          </w:tcPr>
          <w:p w14:paraId="458C7CA4" w14:textId="77777777" w:rsidR="000A00AB" w:rsidRPr="00735CBB" w:rsidRDefault="00000000">
            <w:pPr>
              <w:jc w:val="center"/>
              <w:rPr>
                <w:sz w:val="20"/>
                <w:szCs w:val="20"/>
              </w:rPr>
            </w:pPr>
            <w:r w:rsidRPr="00735CBB">
              <w:rPr>
                <w:sz w:val="20"/>
                <w:szCs w:val="20"/>
              </w:rPr>
              <w:t>3</w:t>
            </w:r>
          </w:p>
        </w:tc>
        <w:tc>
          <w:tcPr>
            <w:tcW w:w="1139" w:type="dxa"/>
            <w:vAlign w:val="center"/>
          </w:tcPr>
          <w:p w14:paraId="399677FF" w14:textId="77777777" w:rsidR="000A00AB" w:rsidRPr="00735CBB" w:rsidRDefault="00000000">
            <w:pPr>
              <w:jc w:val="center"/>
              <w:rPr>
                <w:sz w:val="20"/>
                <w:szCs w:val="20"/>
              </w:rPr>
            </w:pPr>
            <w:r w:rsidRPr="00735CBB">
              <w:rPr>
                <w:sz w:val="20"/>
                <w:szCs w:val="20"/>
              </w:rPr>
              <w:t>0.00</w:t>
            </w:r>
          </w:p>
        </w:tc>
        <w:tc>
          <w:tcPr>
            <w:tcW w:w="973" w:type="dxa"/>
            <w:vAlign w:val="center"/>
          </w:tcPr>
          <w:p w14:paraId="5C863200" w14:textId="77777777" w:rsidR="000A00AB" w:rsidRPr="00735CBB" w:rsidRDefault="00000000">
            <w:pPr>
              <w:jc w:val="center"/>
              <w:rPr>
                <w:sz w:val="20"/>
                <w:szCs w:val="20"/>
              </w:rPr>
            </w:pPr>
            <w:r w:rsidRPr="00735CBB">
              <w:rPr>
                <w:sz w:val="20"/>
                <w:szCs w:val="20"/>
              </w:rPr>
              <w:t>66.67</w:t>
            </w:r>
          </w:p>
        </w:tc>
        <w:tc>
          <w:tcPr>
            <w:tcW w:w="1072" w:type="dxa"/>
            <w:vAlign w:val="center"/>
          </w:tcPr>
          <w:p w14:paraId="233904F7" w14:textId="77777777" w:rsidR="000A00AB" w:rsidRPr="00735CBB" w:rsidRDefault="00000000">
            <w:pPr>
              <w:keepNext/>
              <w:jc w:val="center"/>
              <w:rPr>
                <w:sz w:val="20"/>
                <w:szCs w:val="20"/>
              </w:rPr>
            </w:pPr>
            <w:r w:rsidRPr="00735CBB">
              <w:rPr>
                <w:sz w:val="20"/>
                <w:szCs w:val="20"/>
              </w:rPr>
              <w:t>33.33</w:t>
            </w:r>
          </w:p>
        </w:tc>
      </w:tr>
    </w:tbl>
    <w:p w14:paraId="1BF7800B" w14:textId="77777777" w:rsidR="000A00AB" w:rsidRPr="00735CBB" w:rsidRDefault="00000000">
      <w:pPr>
        <w:pBdr>
          <w:top w:val="nil"/>
          <w:left w:val="nil"/>
          <w:bottom w:val="nil"/>
          <w:right w:val="nil"/>
          <w:between w:val="nil"/>
        </w:pBdr>
        <w:spacing w:after="200"/>
        <w:jc w:val="center"/>
        <w:rPr>
          <w:rFonts w:ascii="Arial" w:eastAsia="Arial" w:hAnsi="Arial" w:cs="Arial"/>
          <w:b/>
          <w:bCs/>
          <w:color w:val="000000"/>
        </w:rPr>
      </w:pPr>
      <w:r w:rsidRPr="00735CBB">
        <w:rPr>
          <w:rFonts w:ascii="Arial" w:eastAsia="Arial" w:hAnsi="Arial" w:cs="Arial"/>
          <w:b/>
          <w:bCs/>
          <w:color w:val="000000"/>
        </w:rPr>
        <w:t xml:space="preserve">Table 2 Productivity in nests of the Kentish Plover at </w:t>
      </w:r>
      <w:proofErr w:type="spellStart"/>
      <w:r w:rsidRPr="00735CBB">
        <w:rPr>
          <w:rFonts w:ascii="Arial" w:eastAsia="Arial" w:hAnsi="Arial" w:cs="Arial"/>
          <w:b/>
          <w:bCs/>
          <w:color w:val="000000"/>
        </w:rPr>
        <w:t>Machchhu</w:t>
      </w:r>
      <w:proofErr w:type="spellEnd"/>
      <w:r w:rsidRPr="00735CBB">
        <w:rPr>
          <w:rFonts w:ascii="Arial" w:eastAsia="Arial" w:hAnsi="Arial" w:cs="Arial"/>
          <w:b/>
          <w:bCs/>
          <w:color w:val="000000"/>
        </w:rPr>
        <w:t>-II during 2024–2026.</w:t>
      </w:r>
    </w:p>
    <w:p w14:paraId="00F7F9D8" w14:textId="77777777" w:rsidR="000A00AB" w:rsidRPr="00735CBB" w:rsidRDefault="00000000">
      <w:pPr>
        <w:spacing w:after="240"/>
        <w:jc w:val="both"/>
        <w:rPr>
          <w:rFonts w:ascii="Arial" w:eastAsia="Arial" w:hAnsi="Arial" w:cs="Arial"/>
        </w:rPr>
      </w:pPr>
      <w:r w:rsidRPr="00735CBB">
        <w:lastRenderedPageBreak/>
        <w:t xml:space="preserve">The interannual trend in hatching success of the Kentish Plover at the </w:t>
      </w:r>
      <w:proofErr w:type="spellStart"/>
      <w:r w:rsidRPr="00735CBB">
        <w:t>Machchhu</w:t>
      </w:r>
      <w:proofErr w:type="spellEnd"/>
      <w:r w:rsidRPr="00735CBB">
        <w:t xml:space="preserve">-I and </w:t>
      </w:r>
      <w:proofErr w:type="spellStart"/>
      <w:r w:rsidRPr="00735CBB">
        <w:t>Machchhu</w:t>
      </w:r>
      <w:proofErr w:type="spellEnd"/>
      <w:r w:rsidRPr="00735CBB">
        <w:t xml:space="preserve">-II reservoirs showed distinct patterns during 2024–2026. At </w:t>
      </w:r>
      <w:proofErr w:type="spellStart"/>
      <w:r w:rsidRPr="00735CBB">
        <w:t>Machchhu</w:t>
      </w:r>
      <w:proofErr w:type="spellEnd"/>
      <w:r w:rsidRPr="00735CBB">
        <w:t xml:space="preserve">-I, hatching success remained relatively stable, increasing slightly from 75.92% in 2024 to 76.00% in 2025 and then to 81.25% in 2026. In contrast, </w:t>
      </w:r>
      <w:proofErr w:type="spellStart"/>
      <w:r w:rsidRPr="00735CBB">
        <w:t>Machchhu</w:t>
      </w:r>
      <w:proofErr w:type="spellEnd"/>
      <w:r w:rsidRPr="00735CBB">
        <w:t xml:space="preserve">-II showed greater annual variation, with hatching success declining from 85.36% in 2024 to 74.29% in 2025 before rising to 90.63% in 2026, the highest value recorded during the study. Overall, Figure 2 indicates a gradual increase in hatching success at </w:t>
      </w:r>
      <w:proofErr w:type="spellStart"/>
      <w:r w:rsidRPr="00735CBB">
        <w:t>Machchhu</w:t>
      </w:r>
      <w:proofErr w:type="spellEnd"/>
      <w:r w:rsidRPr="00735CBB">
        <w:t xml:space="preserve">-I, whereas </w:t>
      </w:r>
      <w:proofErr w:type="spellStart"/>
      <w:r w:rsidRPr="00735CBB">
        <w:t>Machchhu</w:t>
      </w:r>
      <w:proofErr w:type="spellEnd"/>
      <w:r w:rsidRPr="00735CBB">
        <w:t>-II exhibited greater year-to-year variation and reached its highest hatching success in 2026.</w:t>
      </w:r>
    </w:p>
    <w:p w14:paraId="443890C3" w14:textId="77777777" w:rsidR="000A00AB" w:rsidRPr="00735CBB" w:rsidRDefault="00000000">
      <w:pPr>
        <w:keepNext/>
        <w:spacing w:after="240"/>
        <w:jc w:val="both"/>
      </w:pPr>
      <w:r w:rsidRPr="00735CBB">
        <w:rPr>
          <w:noProof/>
        </w:rPr>
        <w:drawing>
          <wp:inline distT="0" distB="0" distL="0" distR="0" wp14:anchorId="03747F47" wp14:editId="27436E6F">
            <wp:extent cx="5212080" cy="2953287"/>
            <wp:effectExtent l="0" t="0" r="762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91652A5" w14:textId="77777777" w:rsidR="000A00AB" w:rsidRPr="00735CBB" w:rsidRDefault="00000000">
      <w:pPr>
        <w:pBdr>
          <w:top w:val="nil"/>
          <w:left w:val="nil"/>
          <w:bottom w:val="nil"/>
          <w:right w:val="nil"/>
          <w:between w:val="nil"/>
        </w:pBdr>
        <w:spacing w:after="200"/>
        <w:jc w:val="center"/>
        <w:rPr>
          <w:b/>
          <w:bCs/>
          <w:color w:val="000000"/>
          <w:sz w:val="18"/>
          <w:szCs w:val="18"/>
        </w:rPr>
      </w:pPr>
      <w:r w:rsidRPr="00735CBB">
        <w:rPr>
          <w:b/>
          <w:bCs/>
          <w:color w:val="000000"/>
        </w:rPr>
        <w:t xml:space="preserve">Figure </w:t>
      </w:r>
      <w:r w:rsidR="004D36EF" w:rsidRPr="00735CBB">
        <w:rPr>
          <w:b/>
          <w:bCs/>
          <w:color w:val="000000"/>
        </w:rPr>
        <w:t>2</w:t>
      </w:r>
      <w:r w:rsidRPr="00735CBB">
        <w:rPr>
          <w:b/>
          <w:bCs/>
          <w:color w:val="000000"/>
        </w:rPr>
        <w:t xml:space="preserve">: Inter-annual trend in hatching success (%) at </w:t>
      </w:r>
      <w:proofErr w:type="spellStart"/>
      <w:r w:rsidRPr="00735CBB">
        <w:rPr>
          <w:b/>
          <w:bCs/>
          <w:color w:val="000000"/>
        </w:rPr>
        <w:t>Machchhu</w:t>
      </w:r>
      <w:proofErr w:type="spellEnd"/>
      <w:r w:rsidRPr="00735CBB">
        <w:rPr>
          <w:b/>
          <w:bCs/>
          <w:color w:val="000000"/>
        </w:rPr>
        <w:t xml:space="preserve">-I and </w:t>
      </w:r>
      <w:proofErr w:type="spellStart"/>
      <w:r w:rsidRPr="00735CBB">
        <w:rPr>
          <w:b/>
          <w:bCs/>
          <w:color w:val="000000"/>
        </w:rPr>
        <w:t>Machchhu</w:t>
      </w:r>
      <w:proofErr w:type="spellEnd"/>
      <w:r w:rsidRPr="00735CBB">
        <w:rPr>
          <w:b/>
          <w:bCs/>
          <w:color w:val="000000"/>
        </w:rPr>
        <w:t>-II reservoirs (2024-2026)</w:t>
      </w:r>
    </w:p>
    <w:p w14:paraId="786D6605" w14:textId="77777777" w:rsidR="000A00AB" w:rsidRPr="00735CBB" w:rsidRDefault="00000000">
      <w:pPr>
        <w:pBdr>
          <w:top w:val="nil"/>
          <w:left w:val="nil"/>
          <w:bottom w:val="nil"/>
          <w:right w:val="nil"/>
          <w:between w:val="nil"/>
        </w:pBdr>
        <w:spacing w:after="240"/>
        <w:jc w:val="both"/>
        <w:rPr>
          <w:rFonts w:ascii="Arial" w:eastAsia="Arial" w:hAnsi="Arial" w:cs="Arial"/>
          <w:b/>
          <w:bCs/>
          <w:color w:val="000000"/>
        </w:rPr>
      </w:pPr>
      <w:r w:rsidRPr="00735CBB">
        <w:rPr>
          <w:rFonts w:ascii="Arial" w:eastAsia="Arial" w:hAnsi="Arial" w:cs="Arial"/>
          <w:b/>
          <w:bCs/>
          <w:color w:val="000000"/>
          <w:sz w:val="22"/>
          <w:szCs w:val="22"/>
        </w:rPr>
        <w:t>3.2 Clutch Size and Breeding Effort</w:t>
      </w:r>
    </w:p>
    <w:p w14:paraId="17EFC51B" w14:textId="77777777" w:rsidR="000A00AB" w:rsidRPr="00735CBB" w:rsidRDefault="00000000">
      <w:pPr>
        <w:pBdr>
          <w:top w:val="nil"/>
          <w:left w:val="nil"/>
          <w:bottom w:val="nil"/>
          <w:right w:val="nil"/>
          <w:between w:val="nil"/>
        </w:pBdr>
        <w:spacing w:after="240"/>
        <w:jc w:val="both"/>
        <w:rPr>
          <w:rFonts w:ascii="Arial" w:eastAsia="Arial" w:hAnsi="Arial" w:cs="Arial"/>
          <w:color w:val="000000"/>
        </w:rPr>
      </w:pPr>
      <w:r w:rsidRPr="00735CBB">
        <w:t xml:space="preserve">The overall breeding effort, measured by the total number of eggs laid, was higher at </w:t>
      </w:r>
      <w:proofErr w:type="spellStart"/>
      <w:r w:rsidRPr="00735CBB">
        <w:t>Machchhu</w:t>
      </w:r>
      <w:proofErr w:type="spellEnd"/>
      <w:r w:rsidRPr="00735CBB">
        <w:t xml:space="preserve">-I (177 eggs across three years) than at </w:t>
      </w:r>
      <w:proofErr w:type="spellStart"/>
      <w:r w:rsidRPr="00735CBB">
        <w:t>Machchhu</w:t>
      </w:r>
      <w:proofErr w:type="spellEnd"/>
      <w:r w:rsidRPr="00735CBB">
        <w:t xml:space="preserve">-II (108 eggs). The highest number of eggs laid at </w:t>
      </w:r>
      <w:proofErr w:type="spellStart"/>
      <w:r w:rsidRPr="00735CBB">
        <w:t>Machchhu</w:t>
      </w:r>
      <w:proofErr w:type="spellEnd"/>
      <w:r w:rsidRPr="00735CBB">
        <w:t xml:space="preserve">-I was recorded in 2025 (75 eggs), whereas the highest number at </w:t>
      </w:r>
      <w:proofErr w:type="spellStart"/>
      <w:r w:rsidRPr="00735CBB">
        <w:t>Machchhu</w:t>
      </w:r>
      <w:proofErr w:type="spellEnd"/>
      <w:r w:rsidRPr="00735CBB">
        <w:t xml:space="preserve">-II was recorded in 2024 (41 eggs). Tables 1 and 2 show the difference in overall reproductive output between the two reservoir sites. Despite the lower total number of eggs laid at </w:t>
      </w:r>
      <w:proofErr w:type="spellStart"/>
      <w:r w:rsidRPr="00735CBB">
        <w:t>Machchhu</w:t>
      </w:r>
      <w:proofErr w:type="spellEnd"/>
      <w:r w:rsidRPr="00735CBB">
        <w:t>-II, the proportion of eggs that hatched remained high across the study period.</w:t>
      </w:r>
    </w:p>
    <w:tbl>
      <w:tblPr>
        <w:tblStyle w:val="a2"/>
        <w:tblW w:w="842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5"/>
        <w:gridCol w:w="775"/>
        <w:gridCol w:w="775"/>
        <w:gridCol w:w="774"/>
        <w:gridCol w:w="925"/>
        <w:gridCol w:w="925"/>
        <w:gridCol w:w="925"/>
        <w:gridCol w:w="740"/>
        <w:gridCol w:w="740"/>
        <w:gridCol w:w="740"/>
      </w:tblGrid>
      <w:tr w:rsidR="000A00AB" w:rsidRPr="00735CBB" w14:paraId="57091C51" w14:textId="77777777">
        <w:trPr>
          <w:jc w:val="center"/>
        </w:trPr>
        <w:tc>
          <w:tcPr>
            <w:tcW w:w="1105" w:type="dxa"/>
            <w:shd w:val="clear" w:color="auto" w:fill="D9D9D9"/>
            <w:vAlign w:val="center"/>
          </w:tcPr>
          <w:p w14:paraId="646956E0" w14:textId="77777777" w:rsidR="000A00AB" w:rsidRPr="00735CBB" w:rsidRDefault="00000000">
            <w:pPr>
              <w:jc w:val="center"/>
              <w:rPr>
                <w:rFonts w:ascii="Arial" w:eastAsia="Arial" w:hAnsi="Arial" w:cs="Arial"/>
                <w:sz w:val="18"/>
                <w:szCs w:val="18"/>
              </w:rPr>
            </w:pPr>
            <w:r w:rsidRPr="00735CBB">
              <w:rPr>
                <w:rFonts w:ascii="Arial" w:eastAsia="Arial" w:hAnsi="Arial" w:cs="Arial"/>
                <w:b/>
                <w:bCs/>
                <w:sz w:val="18"/>
                <w:szCs w:val="18"/>
              </w:rPr>
              <w:t>Site</w:t>
            </w:r>
          </w:p>
        </w:tc>
        <w:tc>
          <w:tcPr>
            <w:tcW w:w="775" w:type="dxa"/>
            <w:shd w:val="clear" w:color="auto" w:fill="D9D9D9"/>
            <w:vAlign w:val="center"/>
          </w:tcPr>
          <w:p w14:paraId="3836C6D0" w14:textId="77777777" w:rsidR="000A00AB" w:rsidRPr="00735CBB" w:rsidRDefault="00000000">
            <w:pPr>
              <w:jc w:val="center"/>
              <w:rPr>
                <w:rFonts w:ascii="Arial" w:eastAsia="Arial" w:hAnsi="Arial" w:cs="Arial"/>
                <w:sz w:val="18"/>
                <w:szCs w:val="18"/>
              </w:rPr>
            </w:pPr>
            <w:r w:rsidRPr="00735CBB">
              <w:rPr>
                <w:rFonts w:ascii="Arial" w:eastAsia="Arial" w:hAnsi="Arial" w:cs="Arial"/>
                <w:b/>
                <w:bCs/>
                <w:sz w:val="18"/>
                <w:szCs w:val="18"/>
              </w:rPr>
              <w:t>Clutch 2024</w:t>
            </w:r>
          </w:p>
        </w:tc>
        <w:tc>
          <w:tcPr>
            <w:tcW w:w="775" w:type="dxa"/>
            <w:shd w:val="clear" w:color="auto" w:fill="D9D9D9"/>
            <w:vAlign w:val="center"/>
          </w:tcPr>
          <w:p w14:paraId="2875E192" w14:textId="77777777" w:rsidR="000A00AB" w:rsidRPr="00735CBB" w:rsidRDefault="00000000">
            <w:pPr>
              <w:jc w:val="center"/>
              <w:rPr>
                <w:rFonts w:ascii="Arial" w:eastAsia="Arial" w:hAnsi="Arial" w:cs="Arial"/>
                <w:sz w:val="18"/>
                <w:szCs w:val="18"/>
              </w:rPr>
            </w:pPr>
            <w:r w:rsidRPr="00735CBB">
              <w:rPr>
                <w:rFonts w:ascii="Arial" w:eastAsia="Arial" w:hAnsi="Arial" w:cs="Arial"/>
                <w:b/>
                <w:bCs/>
                <w:sz w:val="18"/>
                <w:szCs w:val="18"/>
              </w:rPr>
              <w:t>Clutch 2025</w:t>
            </w:r>
          </w:p>
        </w:tc>
        <w:tc>
          <w:tcPr>
            <w:tcW w:w="774" w:type="dxa"/>
            <w:shd w:val="clear" w:color="auto" w:fill="D9D9D9"/>
            <w:vAlign w:val="center"/>
          </w:tcPr>
          <w:p w14:paraId="4D5B66DE" w14:textId="77777777" w:rsidR="000A00AB" w:rsidRPr="00735CBB" w:rsidRDefault="00000000">
            <w:pPr>
              <w:jc w:val="center"/>
              <w:rPr>
                <w:rFonts w:ascii="Arial" w:eastAsia="Arial" w:hAnsi="Arial" w:cs="Arial"/>
                <w:sz w:val="18"/>
                <w:szCs w:val="18"/>
              </w:rPr>
            </w:pPr>
            <w:r w:rsidRPr="00735CBB">
              <w:rPr>
                <w:rFonts w:ascii="Arial" w:eastAsia="Arial" w:hAnsi="Arial" w:cs="Arial"/>
                <w:b/>
                <w:bCs/>
                <w:sz w:val="18"/>
                <w:szCs w:val="18"/>
              </w:rPr>
              <w:t>Clutch 2026</w:t>
            </w:r>
          </w:p>
        </w:tc>
        <w:tc>
          <w:tcPr>
            <w:tcW w:w="925" w:type="dxa"/>
            <w:shd w:val="clear" w:color="auto" w:fill="D9D9D9"/>
            <w:vAlign w:val="center"/>
          </w:tcPr>
          <w:p w14:paraId="468641C4" w14:textId="77777777" w:rsidR="000A00AB" w:rsidRPr="00735CBB" w:rsidRDefault="00000000">
            <w:pPr>
              <w:jc w:val="center"/>
              <w:rPr>
                <w:rFonts w:ascii="Arial" w:eastAsia="Arial" w:hAnsi="Arial" w:cs="Arial"/>
                <w:sz w:val="18"/>
                <w:szCs w:val="18"/>
              </w:rPr>
            </w:pPr>
            <w:r w:rsidRPr="00735CBB">
              <w:rPr>
                <w:rFonts w:ascii="Arial" w:eastAsia="Arial" w:hAnsi="Arial" w:cs="Arial"/>
                <w:b/>
                <w:bCs/>
                <w:sz w:val="18"/>
                <w:szCs w:val="18"/>
              </w:rPr>
              <w:t>Hatched 2024</w:t>
            </w:r>
          </w:p>
        </w:tc>
        <w:tc>
          <w:tcPr>
            <w:tcW w:w="925" w:type="dxa"/>
            <w:shd w:val="clear" w:color="auto" w:fill="D9D9D9"/>
            <w:vAlign w:val="center"/>
          </w:tcPr>
          <w:p w14:paraId="2795E45B" w14:textId="77777777" w:rsidR="000A00AB" w:rsidRPr="00735CBB" w:rsidRDefault="00000000">
            <w:pPr>
              <w:jc w:val="center"/>
              <w:rPr>
                <w:rFonts w:ascii="Arial" w:eastAsia="Arial" w:hAnsi="Arial" w:cs="Arial"/>
                <w:sz w:val="18"/>
                <w:szCs w:val="18"/>
              </w:rPr>
            </w:pPr>
            <w:r w:rsidRPr="00735CBB">
              <w:rPr>
                <w:rFonts w:ascii="Arial" w:eastAsia="Arial" w:hAnsi="Arial" w:cs="Arial"/>
                <w:b/>
                <w:bCs/>
                <w:sz w:val="18"/>
                <w:szCs w:val="18"/>
              </w:rPr>
              <w:t>Hatched 2025</w:t>
            </w:r>
          </w:p>
        </w:tc>
        <w:tc>
          <w:tcPr>
            <w:tcW w:w="925" w:type="dxa"/>
            <w:shd w:val="clear" w:color="auto" w:fill="D9D9D9"/>
            <w:vAlign w:val="center"/>
          </w:tcPr>
          <w:p w14:paraId="3C663CF8" w14:textId="77777777" w:rsidR="000A00AB" w:rsidRPr="00735CBB" w:rsidRDefault="00000000">
            <w:pPr>
              <w:jc w:val="center"/>
              <w:rPr>
                <w:rFonts w:ascii="Arial" w:eastAsia="Arial" w:hAnsi="Arial" w:cs="Arial"/>
                <w:sz w:val="18"/>
                <w:szCs w:val="18"/>
              </w:rPr>
            </w:pPr>
            <w:r w:rsidRPr="00735CBB">
              <w:rPr>
                <w:rFonts w:ascii="Arial" w:eastAsia="Arial" w:hAnsi="Arial" w:cs="Arial"/>
                <w:b/>
                <w:bCs/>
                <w:sz w:val="18"/>
                <w:szCs w:val="18"/>
              </w:rPr>
              <w:t>Hatched 2026</w:t>
            </w:r>
          </w:p>
        </w:tc>
        <w:tc>
          <w:tcPr>
            <w:tcW w:w="740" w:type="dxa"/>
            <w:shd w:val="clear" w:color="auto" w:fill="D9D9D9"/>
            <w:vAlign w:val="center"/>
          </w:tcPr>
          <w:p w14:paraId="393DBBA1" w14:textId="77777777" w:rsidR="000A00AB" w:rsidRPr="00735CBB" w:rsidRDefault="00000000">
            <w:pPr>
              <w:jc w:val="center"/>
              <w:rPr>
                <w:rFonts w:ascii="Arial" w:eastAsia="Arial" w:hAnsi="Arial" w:cs="Arial"/>
                <w:sz w:val="18"/>
                <w:szCs w:val="18"/>
              </w:rPr>
            </w:pPr>
            <w:r w:rsidRPr="00735CBB">
              <w:rPr>
                <w:rFonts w:ascii="Arial" w:eastAsia="Arial" w:hAnsi="Arial" w:cs="Arial"/>
                <w:b/>
                <w:bCs/>
                <w:sz w:val="18"/>
                <w:szCs w:val="18"/>
              </w:rPr>
              <w:t>Lost 2024</w:t>
            </w:r>
          </w:p>
        </w:tc>
        <w:tc>
          <w:tcPr>
            <w:tcW w:w="740" w:type="dxa"/>
            <w:shd w:val="clear" w:color="auto" w:fill="D9D9D9"/>
            <w:vAlign w:val="center"/>
          </w:tcPr>
          <w:p w14:paraId="1053D88C" w14:textId="77777777" w:rsidR="000A00AB" w:rsidRPr="00735CBB" w:rsidRDefault="00000000">
            <w:pPr>
              <w:jc w:val="center"/>
              <w:rPr>
                <w:rFonts w:ascii="Arial" w:eastAsia="Arial" w:hAnsi="Arial" w:cs="Arial"/>
                <w:sz w:val="18"/>
                <w:szCs w:val="18"/>
              </w:rPr>
            </w:pPr>
            <w:r w:rsidRPr="00735CBB">
              <w:rPr>
                <w:rFonts w:ascii="Arial" w:eastAsia="Arial" w:hAnsi="Arial" w:cs="Arial"/>
                <w:b/>
                <w:bCs/>
                <w:sz w:val="18"/>
                <w:szCs w:val="18"/>
              </w:rPr>
              <w:t>Lost 2025</w:t>
            </w:r>
          </w:p>
        </w:tc>
        <w:tc>
          <w:tcPr>
            <w:tcW w:w="740" w:type="dxa"/>
            <w:shd w:val="clear" w:color="auto" w:fill="D9D9D9"/>
            <w:vAlign w:val="center"/>
          </w:tcPr>
          <w:p w14:paraId="7BA72A27" w14:textId="77777777" w:rsidR="000A00AB" w:rsidRPr="00735CBB" w:rsidRDefault="00000000">
            <w:pPr>
              <w:jc w:val="center"/>
              <w:rPr>
                <w:rFonts w:ascii="Arial" w:eastAsia="Arial" w:hAnsi="Arial" w:cs="Arial"/>
                <w:sz w:val="18"/>
                <w:szCs w:val="18"/>
              </w:rPr>
            </w:pPr>
            <w:r w:rsidRPr="00735CBB">
              <w:rPr>
                <w:rFonts w:ascii="Arial" w:eastAsia="Arial" w:hAnsi="Arial" w:cs="Arial"/>
                <w:b/>
                <w:bCs/>
                <w:sz w:val="18"/>
                <w:szCs w:val="18"/>
              </w:rPr>
              <w:t>Lost 2026</w:t>
            </w:r>
          </w:p>
        </w:tc>
      </w:tr>
      <w:tr w:rsidR="000A00AB" w:rsidRPr="00735CBB" w14:paraId="3D431E3E" w14:textId="77777777">
        <w:trPr>
          <w:jc w:val="center"/>
        </w:trPr>
        <w:tc>
          <w:tcPr>
            <w:tcW w:w="1105" w:type="dxa"/>
            <w:vAlign w:val="center"/>
          </w:tcPr>
          <w:p w14:paraId="13903CE6" w14:textId="77777777" w:rsidR="000A00AB" w:rsidRPr="00735CBB" w:rsidRDefault="00000000">
            <w:pPr>
              <w:jc w:val="center"/>
              <w:rPr>
                <w:rFonts w:ascii="Arial" w:eastAsia="Arial" w:hAnsi="Arial" w:cs="Arial"/>
                <w:sz w:val="18"/>
                <w:szCs w:val="18"/>
              </w:rPr>
            </w:pPr>
            <w:proofErr w:type="spellStart"/>
            <w:r w:rsidRPr="00735CBB">
              <w:rPr>
                <w:rFonts w:ascii="Arial" w:eastAsia="Arial" w:hAnsi="Arial" w:cs="Arial"/>
                <w:sz w:val="18"/>
                <w:szCs w:val="18"/>
              </w:rPr>
              <w:t>Machchhu</w:t>
            </w:r>
            <w:proofErr w:type="spellEnd"/>
            <w:r w:rsidRPr="00735CBB">
              <w:rPr>
                <w:rFonts w:ascii="Arial" w:eastAsia="Arial" w:hAnsi="Arial" w:cs="Arial"/>
                <w:sz w:val="18"/>
                <w:szCs w:val="18"/>
              </w:rPr>
              <w:t>-I</w:t>
            </w:r>
          </w:p>
        </w:tc>
        <w:tc>
          <w:tcPr>
            <w:tcW w:w="775" w:type="dxa"/>
            <w:vAlign w:val="center"/>
          </w:tcPr>
          <w:p w14:paraId="1F7D057E"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2.84 ± 0.60 (n=19)</w:t>
            </w:r>
          </w:p>
        </w:tc>
        <w:tc>
          <w:tcPr>
            <w:tcW w:w="775" w:type="dxa"/>
            <w:vAlign w:val="center"/>
          </w:tcPr>
          <w:p w14:paraId="1A48869F"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3.13 ± 0.88 (n=24)</w:t>
            </w:r>
          </w:p>
        </w:tc>
        <w:tc>
          <w:tcPr>
            <w:tcW w:w="774" w:type="dxa"/>
            <w:vAlign w:val="center"/>
          </w:tcPr>
          <w:p w14:paraId="6B613F0D"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2.82 ± 0.71 (n=17)</w:t>
            </w:r>
          </w:p>
        </w:tc>
        <w:tc>
          <w:tcPr>
            <w:tcW w:w="925" w:type="dxa"/>
            <w:vAlign w:val="center"/>
          </w:tcPr>
          <w:p w14:paraId="0CBCC5E5"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2.16 ± 0.72 (n=19)</w:t>
            </w:r>
          </w:p>
        </w:tc>
        <w:tc>
          <w:tcPr>
            <w:tcW w:w="925" w:type="dxa"/>
            <w:vAlign w:val="center"/>
          </w:tcPr>
          <w:p w14:paraId="41009285"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2.38 ± 0.48 (n=24)</w:t>
            </w:r>
          </w:p>
        </w:tc>
        <w:tc>
          <w:tcPr>
            <w:tcW w:w="925" w:type="dxa"/>
            <w:vAlign w:val="center"/>
          </w:tcPr>
          <w:p w14:paraId="4E01D839"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2.29 ± 0.39 (n=17)</w:t>
            </w:r>
          </w:p>
        </w:tc>
        <w:tc>
          <w:tcPr>
            <w:tcW w:w="740" w:type="dxa"/>
            <w:vAlign w:val="center"/>
          </w:tcPr>
          <w:p w14:paraId="37D0EFBB"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2.16 ± 0.81 (n=19)</w:t>
            </w:r>
          </w:p>
        </w:tc>
        <w:tc>
          <w:tcPr>
            <w:tcW w:w="740" w:type="dxa"/>
            <w:vAlign w:val="center"/>
          </w:tcPr>
          <w:p w14:paraId="6589976C"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2.38 ± 0.86 (n=24)</w:t>
            </w:r>
          </w:p>
        </w:tc>
        <w:tc>
          <w:tcPr>
            <w:tcW w:w="740" w:type="dxa"/>
            <w:vAlign w:val="center"/>
          </w:tcPr>
          <w:p w14:paraId="6A82F6CE"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2.29 ± 1.02 (n=17)</w:t>
            </w:r>
          </w:p>
        </w:tc>
      </w:tr>
      <w:tr w:rsidR="000A00AB" w:rsidRPr="00735CBB" w14:paraId="79258D66" w14:textId="77777777">
        <w:trPr>
          <w:jc w:val="center"/>
        </w:trPr>
        <w:tc>
          <w:tcPr>
            <w:tcW w:w="1105" w:type="dxa"/>
            <w:vAlign w:val="center"/>
          </w:tcPr>
          <w:p w14:paraId="52EC0F75" w14:textId="77777777" w:rsidR="000A00AB" w:rsidRPr="00735CBB" w:rsidRDefault="00000000">
            <w:pPr>
              <w:jc w:val="center"/>
              <w:rPr>
                <w:rFonts w:ascii="Arial" w:eastAsia="Arial" w:hAnsi="Arial" w:cs="Arial"/>
                <w:sz w:val="18"/>
                <w:szCs w:val="18"/>
              </w:rPr>
            </w:pPr>
            <w:proofErr w:type="spellStart"/>
            <w:r w:rsidRPr="00735CBB">
              <w:rPr>
                <w:rFonts w:ascii="Arial" w:eastAsia="Arial" w:hAnsi="Arial" w:cs="Arial"/>
                <w:sz w:val="18"/>
                <w:szCs w:val="18"/>
              </w:rPr>
              <w:t>Machchhu</w:t>
            </w:r>
            <w:proofErr w:type="spellEnd"/>
            <w:r w:rsidRPr="00735CBB">
              <w:rPr>
                <w:rFonts w:ascii="Arial" w:eastAsia="Arial" w:hAnsi="Arial" w:cs="Arial"/>
                <w:sz w:val="18"/>
                <w:szCs w:val="18"/>
              </w:rPr>
              <w:t>-II</w:t>
            </w:r>
          </w:p>
        </w:tc>
        <w:tc>
          <w:tcPr>
            <w:tcW w:w="775" w:type="dxa"/>
            <w:vAlign w:val="center"/>
          </w:tcPr>
          <w:p w14:paraId="4519DAAA"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2.93 ± 0.73 (n=14)</w:t>
            </w:r>
          </w:p>
        </w:tc>
        <w:tc>
          <w:tcPr>
            <w:tcW w:w="775" w:type="dxa"/>
            <w:vAlign w:val="center"/>
          </w:tcPr>
          <w:p w14:paraId="0BE67976"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2.19 ± 1.29 (n=16)</w:t>
            </w:r>
          </w:p>
        </w:tc>
        <w:tc>
          <w:tcPr>
            <w:tcW w:w="774" w:type="dxa"/>
            <w:vAlign w:val="center"/>
          </w:tcPr>
          <w:p w14:paraId="23CE6535"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2.67 ± 1.37 (n=12)</w:t>
            </w:r>
          </w:p>
        </w:tc>
        <w:tc>
          <w:tcPr>
            <w:tcW w:w="925" w:type="dxa"/>
            <w:vAlign w:val="center"/>
          </w:tcPr>
          <w:p w14:paraId="400D64B7"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2.50 ± 1.12 (n=14)</w:t>
            </w:r>
          </w:p>
        </w:tc>
        <w:tc>
          <w:tcPr>
            <w:tcW w:w="925" w:type="dxa"/>
            <w:vAlign w:val="center"/>
          </w:tcPr>
          <w:p w14:paraId="5CDD9EBD"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1.63 ± 1.45 (n=16)</w:t>
            </w:r>
          </w:p>
        </w:tc>
        <w:tc>
          <w:tcPr>
            <w:tcW w:w="925" w:type="dxa"/>
            <w:vAlign w:val="center"/>
          </w:tcPr>
          <w:p w14:paraId="3D1FA5D5"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2.42 ± 1.19 (n=12)</w:t>
            </w:r>
          </w:p>
        </w:tc>
        <w:tc>
          <w:tcPr>
            <w:tcW w:w="740" w:type="dxa"/>
            <w:vAlign w:val="center"/>
          </w:tcPr>
          <w:p w14:paraId="0229A8CF"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0.43 ± 0.51 (n=14)</w:t>
            </w:r>
          </w:p>
        </w:tc>
        <w:tc>
          <w:tcPr>
            <w:tcW w:w="740" w:type="dxa"/>
            <w:vAlign w:val="center"/>
          </w:tcPr>
          <w:p w14:paraId="133DCB2B"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0.56 ± 0.70 (n=16)</w:t>
            </w:r>
          </w:p>
        </w:tc>
        <w:tc>
          <w:tcPr>
            <w:tcW w:w="740" w:type="dxa"/>
            <w:vAlign w:val="center"/>
          </w:tcPr>
          <w:p w14:paraId="44A7EC6B" w14:textId="77777777" w:rsidR="000A00AB" w:rsidRPr="00735CBB" w:rsidRDefault="00000000">
            <w:pPr>
              <w:keepNext/>
              <w:jc w:val="center"/>
              <w:rPr>
                <w:rFonts w:ascii="Arial" w:eastAsia="Arial" w:hAnsi="Arial" w:cs="Arial"/>
                <w:sz w:val="18"/>
                <w:szCs w:val="18"/>
              </w:rPr>
            </w:pPr>
            <w:r w:rsidRPr="00735CBB">
              <w:rPr>
                <w:rFonts w:ascii="Arial" w:eastAsia="Arial" w:hAnsi="Arial" w:cs="Arial"/>
                <w:sz w:val="18"/>
                <w:szCs w:val="18"/>
              </w:rPr>
              <w:t>0.25 ± 0.43 (n=12)</w:t>
            </w:r>
          </w:p>
        </w:tc>
      </w:tr>
    </w:tbl>
    <w:p w14:paraId="30AE7BAA" w14:textId="77777777" w:rsidR="000A00AB" w:rsidRPr="00735CBB" w:rsidRDefault="00000000">
      <w:pPr>
        <w:pBdr>
          <w:top w:val="nil"/>
          <w:left w:val="nil"/>
          <w:bottom w:val="nil"/>
          <w:right w:val="nil"/>
          <w:between w:val="nil"/>
        </w:pBdr>
        <w:spacing w:after="200"/>
        <w:jc w:val="center"/>
        <w:rPr>
          <w:rFonts w:ascii="Arial" w:eastAsia="Arial" w:hAnsi="Arial" w:cs="Arial"/>
          <w:color w:val="000000"/>
          <w:sz w:val="18"/>
          <w:szCs w:val="18"/>
        </w:rPr>
      </w:pPr>
      <w:r w:rsidRPr="00735CBB">
        <w:rPr>
          <w:rFonts w:ascii="Arial" w:eastAsia="Arial" w:hAnsi="Arial" w:cs="Arial"/>
          <w:b/>
          <w:bCs/>
          <w:color w:val="000000"/>
        </w:rPr>
        <w:lastRenderedPageBreak/>
        <w:t>Table 3 Average clutch size, number of eggs hatched and number of eggs lost in Kentish Plover between study years (2024–2026).</w:t>
      </w:r>
    </w:p>
    <w:p w14:paraId="30CAFB1B" w14:textId="77777777" w:rsidR="000A00AB" w:rsidRPr="00735CBB" w:rsidRDefault="00000000">
      <w:pPr>
        <w:pBdr>
          <w:top w:val="nil"/>
          <w:left w:val="nil"/>
          <w:bottom w:val="nil"/>
          <w:right w:val="nil"/>
          <w:between w:val="nil"/>
        </w:pBdr>
        <w:spacing w:after="240"/>
        <w:jc w:val="both"/>
        <w:rPr>
          <w:rFonts w:ascii="Arial" w:eastAsia="Arial" w:hAnsi="Arial" w:cs="Arial"/>
          <w:color w:val="000000"/>
        </w:rPr>
      </w:pPr>
      <w:r w:rsidRPr="00735CBB">
        <w:t xml:space="preserve">Table 3 presents the average clutch size and the numbers of eggs hatched and lost per nest at both study sites. At </w:t>
      </w:r>
      <w:proofErr w:type="spellStart"/>
      <w:r w:rsidRPr="00735CBB">
        <w:t>Machchhu</w:t>
      </w:r>
      <w:proofErr w:type="spellEnd"/>
      <w:r w:rsidRPr="00735CBB">
        <w:t xml:space="preserve">-I, mean clutch size was highest in 2025 at 3.13 ± 0.88 eggs (n=24 nests), compared with 2.84 ± 0.60 in 2024 (n=19 nests) and 2.82 ± 0.71 in 2026 (n=17 nests). This pattern is consistent with the commonly reported three-egg clutch in the species. At </w:t>
      </w:r>
      <w:proofErr w:type="spellStart"/>
      <w:r w:rsidRPr="00735CBB">
        <w:t>Machchhu</w:t>
      </w:r>
      <w:proofErr w:type="spellEnd"/>
      <w:r w:rsidRPr="00735CBB">
        <w:t xml:space="preserve">-II, mean clutch size showed greater variability. The mean was 2.93 ± 0.73 eggs (n=14 nests) in 2024, declined to 2.19 ± 1.29 eggs (n=16 nests) in 2025, and increased to 2.67 ± 1.37 eggs (n=12 nests) in 2026. This variation at </w:t>
      </w:r>
      <w:proofErr w:type="spellStart"/>
      <w:r w:rsidRPr="00735CBB">
        <w:t>Machchhu</w:t>
      </w:r>
      <w:proofErr w:type="spellEnd"/>
      <w:r w:rsidRPr="00735CBB">
        <w:t>-II may reflect local environmental conditions or partial clutch loss before nests were first located.</w:t>
      </w:r>
    </w:p>
    <w:p w14:paraId="7610062F" w14:textId="77777777" w:rsidR="000A00AB" w:rsidRPr="00735CBB" w:rsidRDefault="00000000">
      <w:pPr>
        <w:pBdr>
          <w:top w:val="nil"/>
          <w:left w:val="nil"/>
          <w:bottom w:val="nil"/>
          <w:right w:val="nil"/>
          <w:between w:val="nil"/>
        </w:pBdr>
        <w:spacing w:after="240"/>
        <w:jc w:val="both"/>
        <w:rPr>
          <w:rFonts w:ascii="Arial" w:eastAsia="Arial" w:hAnsi="Arial" w:cs="Arial"/>
          <w:b/>
          <w:bCs/>
          <w:color w:val="000000"/>
          <w:sz w:val="22"/>
          <w:szCs w:val="22"/>
        </w:rPr>
      </w:pPr>
      <w:r w:rsidRPr="00735CBB">
        <w:rPr>
          <w:rFonts w:ascii="Arial" w:eastAsia="Arial" w:hAnsi="Arial" w:cs="Arial"/>
          <w:b/>
          <w:bCs/>
          <w:color w:val="000000"/>
          <w:sz w:val="22"/>
          <w:szCs w:val="22"/>
        </w:rPr>
        <w:t>3.3 Analysis of Egg Loss Factors</w:t>
      </w:r>
    </w:p>
    <w:p w14:paraId="5FCA2EEF" w14:textId="77777777" w:rsidR="000A00AB" w:rsidRPr="00735CBB" w:rsidRDefault="00000000">
      <w:pPr>
        <w:spacing w:after="140" w:line="259" w:lineRule="auto"/>
        <w:jc w:val="both"/>
        <w:rPr>
          <w:rFonts w:ascii="Arial" w:eastAsia="Arial" w:hAnsi="Arial" w:cs="Arial"/>
        </w:rPr>
      </w:pPr>
      <w:r w:rsidRPr="00735CBB">
        <w:t xml:space="preserve">Although hatching success was generally high, continued nest monitoring allowed the factors associated with unhatched eggs to be </w:t>
      </w:r>
      <w:proofErr w:type="spellStart"/>
      <w:r w:rsidRPr="00735CBB">
        <w:t>summarised</w:t>
      </w:r>
      <w:proofErr w:type="spellEnd"/>
      <w:r w:rsidRPr="00735CBB">
        <w:t xml:space="preserve">. Across all years and both sites, 58 eggs were lost (40 at </w:t>
      </w:r>
      <w:proofErr w:type="spellStart"/>
      <w:r w:rsidRPr="00735CBB">
        <w:t>Machchhu</w:t>
      </w:r>
      <w:proofErr w:type="spellEnd"/>
      <w:r w:rsidRPr="00735CBB">
        <w:t xml:space="preserve">-I and 18 at </w:t>
      </w:r>
      <w:proofErr w:type="spellStart"/>
      <w:r w:rsidRPr="00735CBB">
        <w:t>Machchhu</w:t>
      </w:r>
      <w:proofErr w:type="spellEnd"/>
      <w:r w:rsidRPr="00735CBB">
        <w:t xml:space="preserve">-II). These losses were </w:t>
      </w:r>
      <w:proofErr w:type="spellStart"/>
      <w:r w:rsidRPr="00735CBB">
        <w:t>categorised</w:t>
      </w:r>
      <w:proofErr w:type="spellEnd"/>
      <w:r w:rsidRPr="00735CBB">
        <w:t xml:space="preserve"> as predation, nest damage, or hatching failure.</w:t>
      </w:r>
    </w:p>
    <w:p w14:paraId="6A777C62" w14:textId="77777777" w:rsidR="000A00AB" w:rsidRPr="00735CBB" w:rsidRDefault="00000000">
      <w:pPr>
        <w:spacing w:after="140" w:line="259" w:lineRule="auto"/>
        <w:jc w:val="both"/>
        <w:rPr>
          <w:rFonts w:ascii="Arial" w:eastAsia="Arial" w:hAnsi="Arial" w:cs="Arial"/>
        </w:rPr>
      </w:pPr>
      <w:r w:rsidRPr="00735CBB">
        <w:t xml:space="preserve">Nest damage was the predominant recorded cause of egg loss throughout the study. At </w:t>
      </w:r>
      <w:proofErr w:type="spellStart"/>
      <w:r w:rsidRPr="00735CBB">
        <w:t>Machchhu</w:t>
      </w:r>
      <w:proofErr w:type="spellEnd"/>
      <w:r w:rsidRPr="00735CBB">
        <w:t xml:space="preserve">-I, nest damage accounted for 46.15% of egg losses in 2024, 50.00% in 2025, and 44.44% in 2026. At </w:t>
      </w:r>
      <w:proofErr w:type="spellStart"/>
      <w:r w:rsidRPr="00735CBB">
        <w:t>Machchhu</w:t>
      </w:r>
      <w:proofErr w:type="spellEnd"/>
      <w:r w:rsidRPr="00735CBB">
        <w:t>-II, it accounted for 50.00% of egg losses in 2024, 55.56% in 2025, and 66.67% in 2026. Recorded nest damage included inundation associated with fluctuating reservoir water levels, livestock trampling, and weather-related destruction. These observations indicate that physical disturbance of shoreline nests was an important source of egg mortality at both sites.</w:t>
      </w:r>
    </w:p>
    <w:p w14:paraId="04EBBB95" w14:textId="77777777" w:rsidR="000A00AB" w:rsidRPr="00735CBB" w:rsidRDefault="00000000">
      <w:pPr>
        <w:spacing w:after="140" w:line="259" w:lineRule="auto"/>
        <w:jc w:val="both"/>
        <w:rPr>
          <w:rFonts w:ascii="Arial" w:eastAsia="Arial" w:hAnsi="Arial" w:cs="Arial"/>
        </w:rPr>
      </w:pPr>
      <w:r w:rsidRPr="00735CBB">
        <w:t xml:space="preserve">Predation was the second major recorded cause of egg loss. At </w:t>
      </w:r>
      <w:proofErr w:type="spellStart"/>
      <w:r w:rsidRPr="00735CBB">
        <w:t>Machchhu</w:t>
      </w:r>
      <w:proofErr w:type="spellEnd"/>
      <w:r w:rsidRPr="00735CBB">
        <w:t xml:space="preserve">-I, predation accounted for 38.46%, 27.78%, and 33.33% of egg losses in 2024, 2025, and 2026, respectively. Suspected predators included free-ranging dogs, raptors, and corvids observed or inferred from field evidence near the reservoir margins. At </w:t>
      </w:r>
      <w:proofErr w:type="spellStart"/>
      <w:r w:rsidRPr="00735CBB">
        <w:t>Machchhu</w:t>
      </w:r>
      <w:proofErr w:type="spellEnd"/>
      <w:r w:rsidRPr="00735CBB">
        <w:t xml:space="preserve">-II, predation accounted for 33.33% of egg losses in both 2024 and 2025 but was not recorded in 2026. The absence of recorded predation in 2026 coincided with the highest hatching success at </w:t>
      </w:r>
      <w:proofErr w:type="spellStart"/>
      <w:r w:rsidRPr="00735CBB">
        <w:t>Machchhu</w:t>
      </w:r>
      <w:proofErr w:type="spellEnd"/>
      <w:r w:rsidRPr="00735CBB">
        <w:t>-II (90.63%) during the study period.</w:t>
      </w:r>
    </w:p>
    <w:p w14:paraId="6287FFE5" w14:textId="77777777" w:rsidR="000A00AB" w:rsidRPr="00735CBB" w:rsidRDefault="00000000">
      <w:pPr>
        <w:pBdr>
          <w:top w:val="nil"/>
          <w:left w:val="nil"/>
          <w:bottom w:val="nil"/>
          <w:right w:val="nil"/>
          <w:between w:val="nil"/>
        </w:pBdr>
        <w:spacing w:after="240"/>
        <w:jc w:val="both"/>
        <w:rPr>
          <w:rFonts w:ascii="Arial" w:eastAsia="Arial" w:hAnsi="Arial" w:cs="Arial"/>
          <w:color w:val="000000"/>
        </w:rPr>
      </w:pPr>
      <w:r w:rsidRPr="00735CBB">
        <w:t xml:space="preserve">Hatching failure—where eggs remained intact but did not produce chicks—accounted for a smaller but persistent proportion of egg losses. At </w:t>
      </w:r>
      <w:proofErr w:type="spellStart"/>
      <w:r w:rsidRPr="00735CBB">
        <w:t>Machchhu</w:t>
      </w:r>
      <w:proofErr w:type="spellEnd"/>
      <w:r w:rsidRPr="00735CBB">
        <w:t xml:space="preserve">-I, hatching failure ranged from 15.38% in 2024 to 22.22% in both 2025 and 2026. At </w:t>
      </w:r>
      <w:proofErr w:type="spellStart"/>
      <w:r w:rsidRPr="00735CBB">
        <w:t>Machchhu</w:t>
      </w:r>
      <w:proofErr w:type="spellEnd"/>
      <w:r w:rsidRPr="00735CBB">
        <w:t>-II, it ranged from 11.11% in 2025 to 33.33% in 2026, although only three eggs were lost in total at this site in 2026. Such failures may reflect infertility, embryonic death, thermal stress, or parental abandonment before completion of incubation. Figure 3 shows that nest damage was the predominant recorded cause of egg loss across most site-year combinations, while predation and hatching failure contributed smaller proportions.</w:t>
      </w:r>
    </w:p>
    <w:p w14:paraId="1670D9F2" w14:textId="77777777" w:rsidR="000A00AB" w:rsidRPr="00735CBB" w:rsidRDefault="00000000">
      <w:pPr>
        <w:keepNext/>
        <w:pBdr>
          <w:top w:val="nil"/>
          <w:left w:val="nil"/>
          <w:bottom w:val="nil"/>
          <w:right w:val="nil"/>
          <w:between w:val="nil"/>
        </w:pBdr>
        <w:spacing w:after="240"/>
        <w:jc w:val="center"/>
        <w:rPr>
          <w:color w:val="000000"/>
        </w:rPr>
      </w:pPr>
      <w:r w:rsidRPr="00735CBB">
        <w:rPr>
          <w:noProof/>
          <w:color w:val="000000"/>
        </w:rPr>
        <w:lastRenderedPageBreak/>
        <w:drawing>
          <wp:inline distT="0" distB="0" distL="0" distR="0" wp14:anchorId="60F04F2C" wp14:editId="7E1A2352">
            <wp:extent cx="5210175" cy="2867025"/>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265E605" w14:textId="77777777" w:rsidR="000A00AB" w:rsidRPr="00735CBB" w:rsidRDefault="00000000">
      <w:pPr>
        <w:pBdr>
          <w:top w:val="nil"/>
          <w:left w:val="nil"/>
          <w:bottom w:val="nil"/>
          <w:right w:val="nil"/>
          <w:between w:val="nil"/>
        </w:pBdr>
        <w:spacing w:after="200"/>
        <w:jc w:val="center"/>
        <w:rPr>
          <w:rFonts w:ascii="Arial" w:eastAsia="Arial" w:hAnsi="Arial" w:cs="Arial"/>
          <w:b/>
          <w:bCs/>
          <w:color w:val="000000"/>
        </w:rPr>
      </w:pPr>
      <w:r w:rsidRPr="00735CBB">
        <w:rPr>
          <w:rFonts w:ascii="Arial" w:eastAsia="Arial" w:hAnsi="Arial" w:cs="Arial"/>
          <w:b/>
          <w:bCs/>
          <w:color w:val="000000"/>
        </w:rPr>
        <w:t xml:space="preserve">Figure </w:t>
      </w:r>
      <w:r w:rsidR="004D36EF" w:rsidRPr="00735CBB">
        <w:rPr>
          <w:rFonts w:ascii="Arial" w:eastAsia="Arial" w:hAnsi="Arial" w:cs="Arial"/>
          <w:b/>
          <w:bCs/>
          <w:color w:val="000000"/>
        </w:rPr>
        <w:t>3</w:t>
      </w:r>
      <w:r w:rsidRPr="00735CBB">
        <w:rPr>
          <w:rFonts w:ascii="Arial" w:eastAsia="Arial" w:hAnsi="Arial" w:cs="Arial"/>
          <w:b/>
          <w:bCs/>
          <w:color w:val="000000"/>
        </w:rPr>
        <w:t>: Proportional distribution of the causes of egg loss (Predation, Nest-damage, Hatching failure) among the failed eggs at both sites.</w:t>
      </w:r>
    </w:p>
    <w:p w14:paraId="1A35FDC6" w14:textId="77777777" w:rsidR="000A00AB" w:rsidRPr="00735CBB" w:rsidRDefault="00000000">
      <w:pPr>
        <w:spacing w:after="140" w:line="259" w:lineRule="auto"/>
        <w:jc w:val="both"/>
        <w:rPr>
          <w:rFonts w:ascii="Arial" w:eastAsia="Arial" w:hAnsi="Arial" w:cs="Arial"/>
        </w:rPr>
      </w:pPr>
      <w:r w:rsidRPr="00735CBB">
        <w:t xml:space="preserve">The findings from this three-year study provide site-specific information on the reproductive ecology of the Kentish Plover breeding at the </w:t>
      </w:r>
      <w:proofErr w:type="spellStart"/>
      <w:r w:rsidRPr="00735CBB">
        <w:t>Machchhu</w:t>
      </w:r>
      <w:proofErr w:type="spellEnd"/>
      <w:r w:rsidRPr="00735CBB">
        <w:t xml:space="preserve">-I and </w:t>
      </w:r>
      <w:proofErr w:type="spellStart"/>
      <w:r w:rsidRPr="00735CBB">
        <w:t>Machchhu</w:t>
      </w:r>
      <w:proofErr w:type="spellEnd"/>
      <w:r w:rsidRPr="00735CBB">
        <w:t>-II reservoirs. Hatching success across both sites ranged from 74.29% to 90.63%. These values indicate that a substantial proportion of monitored eggs hatched successfully during the study period. Despite their artificial origin, the reservoirs provided nesting habitat during the pre-monsoon dry season. The exposed mudflats may provide broad visibility for adults, although the influence of this habitat feature on predator detection was not tested directly in the present study.</w:t>
      </w:r>
    </w:p>
    <w:p w14:paraId="24555200" w14:textId="77777777" w:rsidR="000A00AB" w:rsidRPr="00735CBB" w:rsidRDefault="00000000">
      <w:pPr>
        <w:spacing w:after="140" w:line="259" w:lineRule="auto"/>
        <w:jc w:val="both"/>
        <w:rPr>
          <w:rFonts w:ascii="Arial" w:eastAsia="Arial" w:hAnsi="Arial" w:cs="Arial"/>
        </w:rPr>
      </w:pPr>
      <w:r w:rsidRPr="00735CBB">
        <w:t>However, nest damage, the predominant recorded cause of egg loss, highlights the vulnerability of nests to conditions associated with reservoir shorelines. Depending on site and year, nest damage accounted for approximately 44% to 67% of egg losses and was associated with water-level fluctuations, livestock trampling, and weather-related destruction. Because the dams are managed for irrigation and municipal water supply, changes in water levels can inundate nests located on lower shoreline gradients. Livestock access to reservoir margins may also increase the risk of physical nest damage. These observations illustrate both the availability of nesting habitat in human-modified reservoirs and the exposure of nests to local physical disturbance.</w:t>
      </w:r>
    </w:p>
    <w:p w14:paraId="783795E6" w14:textId="77777777" w:rsidR="000A00AB" w:rsidRPr="00735CBB" w:rsidRDefault="00000000">
      <w:pPr>
        <w:spacing w:after="240"/>
        <w:jc w:val="both"/>
        <w:rPr>
          <w:rFonts w:ascii="Arial" w:eastAsia="Arial" w:hAnsi="Arial" w:cs="Arial"/>
        </w:rPr>
      </w:pPr>
      <w:r w:rsidRPr="00735CBB">
        <w:t xml:space="preserve">Predation, although secondary to physical nest damage, remained a consistent source of egg loss, particularly at </w:t>
      </w:r>
      <w:proofErr w:type="spellStart"/>
      <w:r w:rsidRPr="00735CBB">
        <w:t>Machchhu</w:t>
      </w:r>
      <w:proofErr w:type="spellEnd"/>
      <w:r w:rsidRPr="00735CBB">
        <w:t xml:space="preserve">-I. The absence of recorded predation at </w:t>
      </w:r>
      <w:proofErr w:type="spellStart"/>
      <w:r w:rsidRPr="00735CBB">
        <w:t>Machchhu</w:t>
      </w:r>
      <w:proofErr w:type="spellEnd"/>
      <w:r w:rsidRPr="00735CBB">
        <w:t>-II in 2026 coincided with the highest hatching success observed at that site (90.63%) and warrants further investigation. Temporary variation in predator activity, human activity patterns, or nest placement relative to predator movement routes may have contributed to this pattern, but these factors were not evaluated directly.</w:t>
      </w:r>
    </w:p>
    <w:p w14:paraId="077E98D6" w14:textId="77777777" w:rsidR="000A00AB" w:rsidRPr="00735CBB" w:rsidRDefault="00000000">
      <w:pPr>
        <w:spacing w:after="240"/>
        <w:jc w:val="both"/>
      </w:pPr>
      <w:r w:rsidRPr="00735CBB">
        <w:t xml:space="preserve">Hatching failure due to biological factors accounted for a smaller proportion of egg loss than nest damage. High summer temperatures may require incubating adults to balance thermoregulation with the need to protect and shade their eggs. Prolonged disturbance that </w:t>
      </w:r>
      <w:r w:rsidRPr="00735CBB">
        <w:lastRenderedPageBreak/>
        <w:t xml:space="preserve">keeps adults away from nests may therefore increase the risk of thermal stress to developing embryos. </w:t>
      </w:r>
      <w:proofErr w:type="spellStart"/>
      <w:r w:rsidRPr="00735CBB">
        <w:t>Minimising</w:t>
      </w:r>
      <w:proofErr w:type="spellEnd"/>
      <w:r w:rsidRPr="00735CBB">
        <w:t xml:space="preserve"> human disturbance during peak incubation periods may help reduce this risk. Overall, the findings indicate that the </w:t>
      </w:r>
      <w:proofErr w:type="spellStart"/>
      <w:r w:rsidRPr="00735CBB">
        <w:t>Machchhu</w:t>
      </w:r>
      <w:proofErr w:type="spellEnd"/>
      <w:r w:rsidRPr="00735CBB">
        <w:t xml:space="preserve"> reservoirs provide breeding habitat for the Kentish Plover, while breeding outcomes remain sensitive to water management, physical disturbance, and other local conditions.</w:t>
      </w:r>
    </w:p>
    <w:p w14:paraId="1EB9FC05" w14:textId="77777777" w:rsidR="000A00AB" w:rsidRPr="00735CBB" w:rsidRDefault="00000000">
      <w:pPr>
        <w:keepNext/>
        <w:pBdr>
          <w:top w:val="nil"/>
          <w:left w:val="nil"/>
          <w:bottom w:val="nil"/>
          <w:right w:val="nil"/>
          <w:between w:val="nil"/>
        </w:pBdr>
        <w:spacing w:after="240"/>
        <w:jc w:val="both"/>
        <w:rPr>
          <w:rFonts w:ascii="Arial" w:eastAsia="Arial" w:hAnsi="Arial" w:cs="Arial"/>
          <w:b/>
          <w:bCs/>
          <w:smallCaps/>
          <w:color w:val="000000"/>
          <w:sz w:val="22"/>
          <w:szCs w:val="22"/>
        </w:rPr>
      </w:pPr>
      <w:bookmarkStart w:id="1" w:name="_h72qz2v54pl7" w:colFirst="0" w:colLast="0"/>
      <w:bookmarkEnd w:id="1"/>
      <w:r w:rsidRPr="00735CBB">
        <w:rPr>
          <w:rFonts w:ascii="Arial" w:eastAsia="Arial" w:hAnsi="Arial" w:cs="Arial"/>
          <w:b/>
          <w:bCs/>
          <w:smallCaps/>
          <w:color w:val="000000"/>
          <w:sz w:val="22"/>
          <w:szCs w:val="22"/>
        </w:rPr>
        <w:t>4. Conclusion</w:t>
      </w:r>
    </w:p>
    <w:p w14:paraId="60062115" w14:textId="77777777" w:rsidR="000A00AB" w:rsidRPr="00735CBB" w:rsidRDefault="00000000">
      <w:pPr>
        <w:spacing w:after="140" w:line="259" w:lineRule="auto"/>
        <w:jc w:val="both"/>
        <w:rPr>
          <w:rFonts w:ascii="Arial" w:eastAsia="Arial" w:hAnsi="Arial" w:cs="Arial"/>
        </w:rPr>
      </w:pPr>
      <w:r w:rsidRPr="00735CBB">
        <w:t xml:space="preserve">The study showed that the </w:t>
      </w:r>
      <w:proofErr w:type="spellStart"/>
      <w:r w:rsidRPr="00735CBB">
        <w:t>Machchhu</w:t>
      </w:r>
      <w:proofErr w:type="spellEnd"/>
      <w:r w:rsidRPr="00735CBB">
        <w:t xml:space="preserve">-I and </w:t>
      </w:r>
      <w:proofErr w:type="spellStart"/>
      <w:r w:rsidRPr="00735CBB">
        <w:t>Machchhu</w:t>
      </w:r>
      <w:proofErr w:type="spellEnd"/>
      <w:r w:rsidRPr="00735CBB">
        <w:t xml:space="preserve">-II reservoirs in Morbi District, Gujarat, supported Kentish Plover breeding during the three-year study period. Annual hatching success remained above 74% at both sites and reached 90.63% at </w:t>
      </w:r>
      <w:proofErr w:type="spellStart"/>
      <w:r w:rsidRPr="00735CBB">
        <w:t>Machchhu</w:t>
      </w:r>
      <w:proofErr w:type="spellEnd"/>
      <w:r w:rsidRPr="00735CBB">
        <w:t>-II in 2026. However, egg losses were recorded in every year, and nest damage was the predominant cause across both sites. Recorded sources of nest damage included water-level fluctuations, livestock trampling, and weather-related destruction, while predation and hatching failure accounted for smaller proportions of egg loss.</w:t>
      </w:r>
    </w:p>
    <w:p w14:paraId="66301797" w14:textId="77777777" w:rsidR="000A00AB" w:rsidRPr="00735CBB" w:rsidRDefault="00000000">
      <w:pPr>
        <w:pBdr>
          <w:top w:val="nil"/>
          <w:left w:val="nil"/>
          <w:bottom w:val="nil"/>
          <w:right w:val="nil"/>
          <w:between w:val="nil"/>
        </w:pBdr>
        <w:spacing w:after="240"/>
        <w:jc w:val="both"/>
        <w:rPr>
          <w:rFonts w:ascii="Arial" w:eastAsia="Arial" w:hAnsi="Arial" w:cs="Arial"/>
          <w:color w:val="000000"/>
        </w:rPr>
      </w:pPr>
      <w:r w:rsidRPr="00735CBB">
        <w:t>Management measures aimed at reducing avoidable nest damage may help maintain breeding success at these reservoir sites. Coordination between water-management and wildlife authorities could reduce abrupt water-level changes during the main breeding months from April to June. Regulating livestock access by directing animals towards watering areas away from active nesting mudflats may also reduce trampling risk. Continued long-term monitoring would help determine whether the observed annual patterns persist and would provide a basis for evaluating the effectiveness of site-specific conservation measures.</w:t>
      </w:r>
    </w:p>
    <w:p w14:paraId="5E05EA73" w14:textId="77777777" w:rsidR="000A00AB" w:rsidRPr="00735CBB" w:rsidRDefault="00000000">
      <w:pPr>
        <w:keepNext/>
        <w:pBdr>
          <w:top w:val="nil"/>
          <w:left w:val="nil"/>
          <w:bottom w:val="nil"/>
          <w:right w:val="nil"/>
          <w:between w:val="nil"/>
        </w:pBdr>
        <w:spacing w:after="240"/>
        <w:jc w:val="both"/>
        <w:rPr>
          <w:rFonts w:ascii="Arial" w:eastAsia="Arial" w:hAnsi="Arial" w:cs="Arial"/>
          <w:b/>
          <w:bCs/>
          <w:smallCaps/>
          <w:color w:val="000000"/>
          <w:sz w:val="22"/>
          <w:szCs w:val="22"/>
        </w:rPr>
      </w:pPr>
      <w:r w:rsidRPr="00735CBB">
        <w:t>5. CONSERVATION STRATEGIES AND COEXISTENCE</w:t>
      </w:r>
    </w:p>
    <w:p w14:paraId="24001B84" w14:textId="77777777" w:rsidR="000A00AB" w:rsidRDefault="00000000">
      <w:pPr>
        <w:pBdr>
          <w:top w:val="nil"/>
          <w:left w:val="nil"/>
          <w:bottom w:val="nil"/>
          <w:right w:val="nil"/>
          <w:between w:val="nil"/>
        </w:pBdr>
        <w:spacing w:after="240"/>
        <w:jc w:val="both"/>
      </w:pPr>
      <w:r w:rsidRPr="00735CBB">
        <w:t xml:space="preserve">Effective conservation of the Kentish Plover at the </w:t>
      </w:r>
      <w:proofErr w:type="spellStart"/>
      <w:r w:rsidRPr="00735CBB">
        <w:t>Machchhu</w:t>
      </w:r>
      <w:proofErr w:type="spellEnd"/>
      <w:r w:rsidRPr="00735CBB">
        <w:t xml:space="preserve">-I and </w:t>
      </w:r>
      <w:proofErr w:type="spellStart"/>
      <w:r w:rsidRPr="00735CBB">
        <w:t>Machchhu</w:t>
      </w:r>
      <w:proofErr w:type="spellEnd"/>
      <w:r w:rsidRPr="00735CBB">
        <w:t xml:space="preserve">-II reservoirs should focus on reducing nest damage while maintaining the reservoirs’ functions for irrigation and municipal water supply. Water-management authorities should coordinate with wildlife officials to </w:t>
      </w:r>
      <w:proofErr w:type="spellStart"/>
      <w:r w:rsidRPr="00735CBB">
        <w:t>minimise</w:t>
      </w:r>
      <w:proofErr w:type="spellEnd"/>
      <w:r w:rsidRPr="00735CBB">
        <w:t xml:space="preserve"> abrupt water-level rises during the critical breeding period, particularly from April to June, and, where feasible, adopt gradual drawdowns or more stable water levels to reduce nest inundation. Livestock access to important nesting mudflats should be managed by providing designated watering corridors away from breeding areas, thereby reducing trampling. Human disturbance should also be </w:t>
      </w:r>
      <w:proofErr w:type="spellStart"/>
      <w:r w:rsidRPr="00735CBB">
        <w:t>minimised</w:t>
      </w:r>
      <w:proofErr w:type="spellEnd"/>
      <w:r w:rsidRPr="00735CBB">
        <w:t xml:space="preserve"> during peak incubation periods, while long-term monitoring should continue to document changes in nesting success, predation, and habitat conditions. Coexistence can be promoted through cooperation among local communities, livestock owners, water-management authorities, and conservation agencies. These measures could help maintain productive reservoir habitats while allowing continued human use of the </w:t>
      </w:r>
      <w:proofErr w:type="spellStart"/>
      <w:r w:rsidRPr="00735CBB">
        <w:t>Machchhu</w:t>
      </w:r>
      <w:proofErr w:type="spellEnd"/>
      <w:r w:rsidRPr="00735CBB">
        <w:t xml:space="preserve">-I and </w:t>
      </w:r>
      <w:proofErr w:type="spellStart"/>
      <w:r w:rsidRPr="00735CBB">
        <w:t>Machchhu</w:t>
      </w:r>
      <w:proofErr w:type="spellEnd"/>
      <w:r w:rsidRPr="00735CBB">
        <w:t>-II ecosystems.</w:t>
      </w:r>
    </w:p>
    <w:p w14:paraId="0170B0AE" w14:textId="77777777" w:rsidR="0070571E" w:rsidRDefault="0070571E">
      <w:pPr>
        <w:pBdr>
          <w:top w:val="nil"/>
          <w:left w:val="nil"/>
          <w:bottom w:val="nil"/>
          <w:right w:val="nil"/>
          <w:between w:val="nil"/>
        </w:pBdr>
        <w:spacing w:after="240"/>
        <w:jc w:val="both"/>
      </w:pPr>
    </w:p>
    <w:p w14:paraId="5EA37D3F" w14:textId="38DB0569" w:rsidR="0070571E" w:rsidRDefault="0070571E">
      <w:pPr>
        <w:pBdr>
          <w:top w:val="nil"/>
          <w:left w:val="nil"/>
          <w:bottom w:val="nil"/>
          <w:right w:val="nil"/>
          <w:between w:val="nil"/>
        </w:pBdr>
        <w:spacing w:after="240"/>
        <w:jc w:val="both"/>
        <w:rPr>
          <w:rFonts w:ascii="Arial" w:eastAsia="Arial" w:hAnsi="Arial" w:cs="Arial"/>
          <w:b/>
          <w:bCs/>
          <w:color w:val="000000"/>
        </w:rPr>
      </w:pPr>
      <w:r w:rsidRPr="0070571E">
        <w:rPr>
          <w:rFonts w:ascii="Arial" w:eastAsia="Arial" w:hAnsi="Arial" w:cs="Arial"/>
          <w:b/>
          <w:bCs/>
          <w:color w:val="000000"/>
        </w:rPr>
        <w:t>Limitation</w:t>
      </w:r>
    </w:p>
    <w:p w14:paraId="7C905659" w14:textId="63EB8126" w:rsidR="0070571E" w:rsidRPr="00735CBB" w:rsidRDefault="0070571E">
      <w:pPr>
        <w:pBdr>
          <w:top w:val="nil"/>
          <w:left w:val="nil"/>
          <w:bottom w:val="nil"/>
          <w:right w:val="nil"/>
          <w:between w:val="nil"/>
        </w:pBdr>
        <w:spacing w:after="240"/>
        <w:jc w:val="both"/>
        <w:rPr>
          <w:rFonts w:ascii="Arial" w:eastAsia="Arial" w:hAnsi="Arial" w:cs="Arial"/>
          <w:b/>
          <w:bCs/>
          <w:color w:val="000000"/>
        </w:rPr>
      </w:pPr>
      <w:r>
        <w:t xml:space="preserve">The study was restricted to two reservoir sites in Morbi District and three breeding seasons (2024–2026), limiting broader spatial and long-term </w:t>
      </w:r>
      <w:proofErr w:type="spellStart"/>
      <w:r>
        <w:t>generalisation</w:t>
      </w:r>
      <w:proofErr w:type="spellEnd"/>
      <w:r>
        <w:t>. Nest fate was assessed through periodic field checks, so some events between visits may not have been directly observed. Causes of egg loss were assigned from field evidence and may include classification uncertainty. The analysis was primarily descriptive and did not formally test environmental predictors of hatching success or account for variation in nest exposure time. Future studies should extend monitoring across additional sites and years and incorporate quantitative habitat, hydrological, disturbance, and predator variables.</w:t>
      </w:r>
    </w:p>
    <w:p w14:paraId="332C5359" w14:textId="77777777" w:rsidR="000A00AB" w:rsidRPr="00735CBB" w:rsidRDefault="000A00AB">
      <w:pPr>
        <w:keepNext/>
        <w:pBdr>
          <w:top w:val="nil"/>
          <w:left w:val="nil"/>
          <w:bottom w:val="nil"/>
          <w:right w:val="nil"/>
          <w:between w:val="nil"/>
        </w:pBdr>
        <w:spacing w:after="240"/>
        <w:jc w:val="both"/>
        <w:rPr>
          <w:rFonts w:ascii="Arial" w:eastAsia="Arial" w:hAnsi="Arial" w:cs="Arial"/>
          <w:color w:val="000000"/>
        </w:rPr>
      </w:pPr>
    </w:p>
    <w:p w14:paraId="4686403E" w14:textId="77777777" w:rsidR="000A00AB" w:rsidRPr="00735CBB" w:rsidRDefault="00000000">
      <w:pPr>
        <w:rPr>
          <w:rFonts w:ascii="Arial" w:eastAsia="Arial" w:hAnsi="Arial" w:cs="Arial"/>
          <w:b/>
          <w:bCs/>
        </w:rPr>
      </w:pPr>
      <w:r w:rsidRPr="00735CBB">
        <w:rPr>
          <w:rFonts w:ascii="Arial" w:eastAsia="Arial" w:hAnsi="Arial" w:cs="Arial"/>
          <w:b/>
          <w:bCs/>
        </w:rPr>
        <w:t>Declaration of AI Use</w:t>
      </w:r>
    </w:p>
    <w:p w14:paraId="275B6C3B" w14:textId="77777777" w:rsidR="000A00AB" w:rsidRPr="00735CBB" w:rsidRDefault="000A00AB">
      <w:pPr>
        <w:rPr>
          <w:rFonts w:ascii="Arial" w:eastAsia="Arial" w:hAnsi="Arial" w:cs="Arial"/>
        </w:rPr>
      </w:pPr>
    </w:p>
    <w:p w14:paraId="7953E7E0" w14:textId="77777777" w:rsidR="000A00AB" w:rsidRPr="00735CBB" w:rsidRDefault="00000000">
      <w:pPr>
        <w:rPr>
          <w:rFonts w:ascii="Arial" w:eastAsia="Arial" w:hAnsi="Arial" w:cs="Arial"/>
        </w:rPr>
      </w:pPr>
      <w:r w:rsidRPr="00735CBB">
        <w:rPr>
          <w:rFonts w:ascii="Arial" w:eastAsia="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2F3716A" w14:textId="77777777" w:rsidR="000A00AB" w:rsidRPr="00735CBB" w:rsidRDefault="000A00AB">
      <w:pPr>
        <w:jc w:val="both"/>
        <w:rPr>
          <w:rFonts w:ascii="Times New Roman" w:eastAsia="Times New Roman" w:hAnsi="Times New Roman" w:cs="Times New Roman"/>
          <w:sz w:val="22"/>
          <w:szCs w:val="22"/>
        </w:rPr>
      </w:pPr>
    </w:p>
    <w:p w14:paraId="7052BEDB" w14:textId="77777777" w:rsidR="000A00AB" w:rsidRPr="00735CBB" w:rsidRDefault="000A00AB">
      <w:pPr>
        <w:jc w:val="both"/>
        <w:rPr>
          <w:rFonts w:ascii="Times New Roman" w:eastAsia="Times New Roman" w:hAnsi="Times New Roman" w:cs="Times New Roman"/>
          <w:sz w:val="22"/>
          <w:szCs w:val="22"/>
        </w:rPr>
      </w:pPr>
    </w:p>
    <w:p w14:paraId="3170BF1C" w14:textId="77777777" w:rsidR="000A00AB" w:rsidRPr="00735CBB" w:rsidRDefault="00000000">
      <w:pPr>
        <w:spacing w:after="200" w:line="276" w:lineRule="auto"/>
        <w:rPr>
          <w:rFonts w:ascii="Cambria" w:eastAsia="Cambria" w:hAnsi="Cambria" w:cs="Cambria"/>
          <w:b/>
          <w:bCs/>
          <w:sz w:val="22"/>
          <w:szCs w:val="22"/>
        </w:rPr>
      </w:pPr>
      <w:r w:rsidRPr="00735CBB">
        <w:rPr>
          <w:rFonts w:ascii="Cambria" w:eastAsia="Cambria" w:hAnsi="Cambria" w:cs="Cambria"/>
          <w:b/>
          <w:bCs/>
          <w:sz w:val="22"/>
          <w:szCs w:val="22"/>
        </w:rPr>
        <w:t>COMPETING INTERESTS DISCLAIMER:</w:t>
      </w:r>
    </w:p>
    <w:p w14:paraId="4D607036" w14:textId="77777777" w:rsidR="000A00AB" w:rsidRPr="00735CBB" w:rsidRDefault="00000000">
      <w:pPr>
        <w:spacing w:after="200" w:line="276" w:lineRule="auto"/>
        <w:rPr>
          <w:rFonts w:ascii="Cambria" w:eastAsia="Cambria" w:hAnsi="Cambria" w:cs="Cambria"/>
          <w:sz w:val="22"/>
          <w:szCs w:val="22"/>
        </w:rPr>
      </w:pPr>
      <w:r w:rsidRPr="00735CBB">
        <w:rPr>
          <w:rFonts w:ascii="Cambria" w:eastAsia="Cambria" w:hAnsi="Cambria" w:cs="Cambria"/>
          <w:sz w:val="22"/>
          <w:szCs w:val="22"/>
        </w:rPr>
        <w:t>Authors have declared that they have no known competing financial interests OR non-financial interests OR personal relationships that could have appeared to influence the work reported in this paper.</w:t>
      </w:r>
    </w:p>
    <w:p w14:paraId="07BD95B2" w14:textId="77777777" w:rsidR="000A00AB" w:rsidRPr="00735CBB" w:rsidRDefault="000A00AB">
      <w:pPr>
        <w:keepNext/>
        <w:pBdr>
          <w:top w:val="nil"/>
          <w:left w:val="nil"/>
          <w:bottom w:val="nil"/>
          <w:right w:val="nil"/>
          <w:between w:val="nil"/>
        </w:pBdr>
        <w:spacing w:after="240"/>
        <w:jc w:val="both"/>
        <w:rPr>
          <w:rFonts w:ascii="Arial" w:eastAsia="Arial" w:hAnsi="Arial" w:cs="Arial"/>
          <w:color w:val="000000"/>
        </w:rPr>
      </w:pPr>
    </w:p>
    <w:p w14:paraId="0F248B7C" w14:textId="77777777" w:rsidR="000A00AB" w:rsidRPr="00735CBB" w:rsidRDefault="00000000">
      <w:pPr>
        <w:keepNext/>
        <w:pBdr>
          <w:top w:val="nil"/>
          <w:left w:val="nil"/>
          <w:bottom w:val="nil"/>
          <w:right w:val="nil"/>
          <w:between w:val="nil"/>
        </w:pBdr>
        <w:spacing w:after="240"/>
        <w:jc w:val="both"/>
        <w:rPr>
          <w:rFonts w:ascii="Arial" w:eastAsia="Arial" w:hAnsi="Arial" w:cs="Arial"/>
          <w:b/>
          <w:bCs/>
          <w:smallCaps/>
          <w:color w:val="000000"/>
          <w:sz w:val="22"/>
          <w:szCs w:val="22"/>
        </w:rPr>
      </w:pPr>
      <w:r w:rsidRPr="00735CBB">
        <w:rPr>
          <w:rFonts w:ascii="Arial" w:eastAsia="Arial" w:hAnsi="Arial" w:cs="Arial"/>
          <w:b/>
          <w:bCs/>
          <w:smallCaps/>
          <w:color w:val="000000"/>
          <w:sz w:val="22"/>
          <w:szCs w:val="22"/>
        </w:rPr>
        <w:t>References</w:t>
      </w:r>
    </w:p>
    <w:p w14:paraId="317003D2" w14:textId="42392A39" w:rsidR="002B77BA" w:rsidRPr="002B77BA" w:rsidRDefault="002B77BA" w:rsidP="002B77BA">
      <w:pPr>
        <w:ind w:left="540" w:hanging="540"/>
        <w:jc w:val="both"/>
        <w:rPr>
          <w:rFonts w:ascii="Times New Roman" w:eastAsia="Times New Roman" w:hAnsi="Times New Roman" w:cs="Times New Roman"/>
          <w:sz w:val="24"/>
          <w:szCs w:val="24"/>
          <w:lang w:val="en-US"/>
        </w:rPr>
      </w:pPr>
      <w:proofErr w:type="spellStart"/>
      <w:r w:rsidRPr="002B77BA">
        <w:rPr>
          <w:rFonts w:ascii="Times New Roman" w:eastAsia="Times New Roman" w:hAnsi="Times New Roman" w:cs="Times New Roman"/>
          <w:sz w:val="24"/>
          <w:szCs w:val="24"/>
          <w:lang w:val="en-US"/>
        </w:rPr>
        <w:t>AlRashidi</w:t>
      </w:r>
      <w:proofErr w:type="spellEnd"/>
      <w:r w:rsidRPr="002B77BA">
        <w:rPr>
          <w:rFonts w:ascii="Times New Roman" w:eastAsia="Times New Roman" w:hAnsi="Times New Roman" w:cs="Times New Roman"/>
          <w:sz w:val="24"/>
          <w:szCs w:val="24"/>
          <w:lang w:val="en-US"/>
        </w:rPr>
        <w:t xml:space="preserve">, M., Kosztolányi, A., </w:t>
      </w:r>
      <w:proofErr w:type="spellStart"/>
      <w:r w:rsidRPr="002B77BA">
        <w:rPr>
          <w:rFonts w:ascii="Times New Roman" w:eastAsia="Times New Roman" w:hAnsi="Times New Roman" w:cs="Times New Roman"/>
          <w:sz w:val="24"/>
          <w:szCs w:val="24"/>
          <w:lang w:val="en-US"/>
        </w:rPr>
        <w:t>Shobrak</w:t>
      </w:r>
      <w:proofErr w:type="spellEnd"/>
      <w:r w:rsidRPr="002B77BA">
        <w:rPr>
          <w:rFonts w:ascii="Times New Roman" w:eastAsia="Times New Roman" w:hAnsi="Times New Roman" w:cs="Times New Roman"/>
          <w:sz w:val="24"/>
          <w:szCs w:val="24"/>
          <w:lang w:val="en-US"/>
        </w:rPr>
        <w:t xml:space="preserve">, M., &amp; Székely, T. (2011). Breeding ecology of the Kentish plover, </w:t>
      </w:r>
      <w:r w:rsidRPr="002B77BA">
        <w:rPr>
          <w:rFonts w:ascii="Times New Roman" w:eastAsia="Times New Roman" w:hAnsi="Times New Roman" w:cs="Times New Roman"/>
          <w:i/>
          <w:iCs/>
          <w:sz w:val="24"/>
          <w:szCs w:val="24"/>
          <w:lang w:val="en-US"/>
        </w:rPr>
        <w:t xml:space="preserve">Charadrius </w:t>
      </w:r>
      <w:proofErr w:type="spellStart"/>
      <w:r w:rsidRPr="002B77BA">
        <w:rPr>
          <w:rFonts w:ascii="Times New Roman" w:eastAsia="Times New Roman" w:hAnsi="Times New Roman" w:cs="Times New Roman"/>
          <w:i/>
          <w:iCs/>
          <w:sz w:val="24"/>
          <w:szCs w:val="24"/>
          <w:lang w:val="en-US"/>
        </w:rPr>
        <w:t>alexandrinus</w:t>
      </w:r>
      <w:proofErr w:type="spellEnd"/>
      <w:r w:rsidRPr="002B77BA">
        <w:rPr>
          <w:rFonts w:ascii="Times New Roman" w:eastAsia="Times New Roman" w:hAnsi="Times New Roman" w:cs="Times New Roman"/>
          <w:sz w:val="24"/>
          <w:szCs w:val="24"/>
          <w:lang w:val="en-US"/>
        </w:rPr>
        <w:t xml:space="preserve">, in the </w:t>
      </w:r>
      <w:proofErr w:type="spellStart"/>
      <w:r w:rsidRPr="002B77BA">
        <w:rPr>
          <w:rFonts w:ascii="Times New Roman" w:eastAsia="Times New Roman" w:hAnsi="Times New Roman" w:cs="Times New Roman"/>
          <w:sz w:val="24"/>
          <w:szCs w:val="24"/>
          <w:lang w:val="en-US"/>
        </w:rPr>
        <w:t>Farasan</w:t>
      </w:r>
      <w:proofErr w:type="spellEnd"/>
      <w:r w:rsidRPr="002B77BA">
        <w:rPr>
          <w:rFonts w:ascii="Times New Roman" w:eastAsia="Times New Roman" w:hAnsi="Times New Roman" w:cs="Times New Roman"/>
          <w:sz w:val="24"/>
          <w:szCs w:val="24"/>
          <w:lang w:val="en-US"/>
        </w:rPr>
        <w:t xml:space="preserve"> Islands, Saudi Arabia (Aves: Charadriiformes). </w:t>
      </w:r>
      <w:r w:rsidRPr="002B77BA">
        <w:rPr>
          <w:rFonts w:ascii="Times New Roman" w:eastAsia="Times New Roman" w:hAnsi="Times New Roman" w:cs="Times New Roman"/>
          <w:i/>
          <w:iCs/>
          <w:sz w:val="24"/>
          <w:szCs w:val="24"/>
          <w:lang w:val="en-US"/>
        </w:rPr>
        <w:t>Zoology in the Middle East, 53</w:t>
      </w:r>
      <w:r w:rsidRPr="002B77BA">
        <w:rPr>
          <w:rFonts w:ascii="Times New Roman" w:eastAsia="Times New Roman" w:hAnsi="Times New Roman" w:cs="Times New Roman"/>
          <w:sz w:val="24"/>
          <w:szCs w:val="24"/>
          <w:lang w:val="en-US"/>
        </w:rPr>
        <w:t xml:space="preserve">(1), 15–24. </w:t>
      </w:r>
      <w:hyperlink r:id="rId17" w:history="1">
        <w:r w:rsidRPr="002B77BA">
          <w:rPr>
            <w:rFonts w:ascii="Times New Roman" w:eastAsia="Times New Roman" w:hAnsi="Times New Roman" w:cs="Times New Roman"/>
            <w:color w:val="0000FF"/>
            <w:sz w:val="24"/>
            <w:szCs w:val="24"/>
            <w:u w:val="single"/>
            <w:lang w:val="en-US"/>
          </w:rPr>
          <w:t>https://doi.org/10.1080/09397140.2011.10648858</w:t>
        </w:r>
      </w:hyperlink>
    </w:p>
    <w:p w14:paraId="314F6AA1" w14:textId="7B3EB0F2" w:rsidR="002B77BA" w:rsidRPr="002B77BA" w:rsidRDefault="002B77BA" w:rsidP="002B77BA">
      <w:pPr>
        <w:ind w:left="540" w:hanging="540"/>
        <w:jc w:val="both"/>
        <w:rPr>
          <w:rFonts w:ascii="Times New Roman" w:eastAsia="Times New Roman" w:hAnsi="Times New Roman" w:cs="Times New Roman"/>
          <w:sz w:val="24"/>
          <w:szCs w:val="24"/>
          <w:lang w:val="en-US"/>
        </w:rPr>
      </w:pPr>
      <w:r w:rsidRPr="002B77BA">
        <w:rPr>
          <w:rFonts w:ascii="Times New Roman" w:eastAsia="Times New Roman" w:hAnsi="Times New Roman" w:cs="Times New Roman"/>
          <w:sz w:val="24"/>
          <w:szCs w:val="24"/>
          <w:lang w:val="en-US"/>
        </w:rPr>
        <w:t xml:space="preserve">Amat, J. A., Fraga, R. M., &amp; Arroyo, G. M. (1999). Brood desertion and polygamous breeding in the Kentish plover </w:t>
      </w:r>
      <w:r w:rsidRPr="002B77BA">
        <w:rPr>
          <w:rFonts w:ascii="Times New Roman" w:eastAsia="Times New Roman" w:hAnsi="Times New Roman" w:cs="Times New Roman"/>
          <w:i/>
          <w:iCs/>
          <w:sz w:val="24"/>
          <w:szCs w:val="24"/>
          <w:lang w:val="en-US"/>
        </w:rPr>
        <w:t xml:space="preserve">Charadrius </w:t>
      </w:r>
      <w:proofErr w:type="spellStart"/>
      <w:r w:rsidRPr="002B77BA">
        <w:rPr>
          <w:rFonts w:ascii="Times New Roman" w:eastAsia="Times New Roman" w:hAnsi="Times New Roman" w:cs="Times New Roman"/>
          <w:i/>
          <w:iCs/>
          <w:sz w:val="24"/>
          <w:szCs w:val="24"/>
          <w:lang w:val="en-US"/>
        </w:rPr>
        <w:t>alexandrinus</w:t>
      </w:r>
      <w:proofErr w:type="spellEnd"/>
      <w:r w:rsidRPr="002B77BA">
        <w:rPr>
          <w:rFonts w:ascii="Times New Roman" w:eastAsia="Times New Roman" w:hAnsi="Times New Roman" w:cs="Times New Roman"/>
          <w:sz w:val="24"/>
          <w:szCs w:val="24"/>
          <w:lang w:val="en-US"/>
        </w:rPr>
        <w:t xml:space="preserve">. </w:t>
      </w:r>
      <w:r w:rsidRPr="002B77BA">
        <w:rPr>
          <w:rFonts w:ascii="Times New Roman" w:eastAsia="Times New Roman" w:hAnsi="Times New Roman" w:cs="Times New Roman"/>
          <w:i/>
          <w:iCs/>
          <w:sz w:val="24"/>
          <w:szCs w:val="24"/>
          <w:lang w:val="en-US"/>
        </w:rPr>
        <w:t>Ibis, 141</w:t>
      </w:r>
      <w:r w:rsidRPr="002B77BA">
        <w:rPr>
          <w:rFonts w:ascii="Times New Roman" w:eastAsia="Times New Roman" w:hAnsi="Times New Roman" w:cs="Times New Roman"/>
          <w:sz w:val="24"/>
          <w:szCs w:val="24"/>
          <w:lang w:val="en-US"/>
        </w:rPr>
        <w:t xml:space="preserve">(4), 596–607. </w:t>
      </w:r>
      <w:hyperlink r:id="rId18" w:history="1">
        <w:r w:rsidRPr="002B77BA">
          <w:rPr>
            <w:rFonts w:ascii="Times New Roman" w:eastAsia="Times New Roman" w:hAnsi="Times New Roman" w:cs="Times New Roman"/>
            <w:color w:val="0000FF"/>
            <w:sz w:val="24"/>
            <w:szCs w:val="24"/>
            <w:u w:val="single"/>
            <w:lang w:val="en-US"/>
          </w:rPr>
          <w:t>https://doi.org/10.1111/j.1474-919X.1999.tb07367.x</w:t>
        </w:r>
      </w:hyperlink>
    </w:p>
    <w:p w14:paraId="4EBA6613" w14:textId="457144AD" w:rsidR="002B77BA" w:rsidRPr="002B77BA" w:rsidRDefault="002B77BA" w:rsidP="002B77BA">
      <w:pPr>
        <w:ind w:left="540" w:hanging="540"/>
        <w:jc w:val="both"/>
        <w:rPr>
          <w:rFonts w:ascii="Times New Roman" w:eastAsia="Times New Roman" w:hAnsi="Times New Roman" w:cs="Times New Roman"/>
          <w:sz w:val="24"/>
          <w:szCs w:val="24"/>
          <w:lang w:val="en-US"/>
        </w:rPr>
      </w:pPr>
      <w:r w:rsidRPr="002B77BA">
        <w:rPr>
          <w:rFonts w:ascii="Times New Roman" w:eastAsia="Times New Roman" w:hAnsi="Times New Roman" w:cs="Times New Roman"/>
          <w:sz w:val="24"/>
          <w:szCs w:val="24"/>
          <w:lang w:val="en-US"/>
        </w:rPr>
        <w:t xml:space="preserve">Amat, J. A., &amp; Masero, J. A. (2004a). Predation risk on incubating adults constrains the choice of thermally </w:t>
      </w:r>
      <w:proofErr w:type="spellStart"/>
      <w:r w:rsidRPr="002B77BA">
        <w:rPr>
          <w:rFonts w:ascii="Times New Roman" w:eastAsia="Times New Roman" w:hAnsi="Times New Roman" w:cs="Times New Roman"/>
          <w:sz w:val="24"/>
          <w:szCs w:val="24"/>
          <w:lang w:val="en-US"/>
        </w:rPr>
        <w:t>favourable</w:t>
      </w:r>
      <w:proofErr w:type="spellEnd"/>
      <w:r w:rsidRPr="002B77BA">
        <w:rPr>
          <w:rFonts w:ascii="Times New Roman" w:eastAsia="Times New Roman" w:hAnsi="Times New Roman" w:cs="Times New Roman"/>
          <w:sz w:val="24"/>
          <w:szCs w:val="24"/>
          <w:lang w:val="en-US"/>
        </w:rPr>
        <w:t xml:space="preserve"> nest sites in a plover. </w:t>
      </w:r>
      <w:r w:rsidRPr="002B77BA">
        <w:rPr>
          <w:rFonts w:ascii="Times New Roman" w:eastAsia="Times New Roman" w:hAnsi="Times New Roman" w:cs="Times New Roman"/>
          <w:i/>
          <w:iCs/>
          <w:sz w:val="24"/>
          <w:szCs w:val="24"/>
          <w:lang w:val="en-US"/>
        </w:rPr>
        <w:t xml:space="preserve">Animal </w:t>
      </w:r>
      <w:proofErr w:type="spellStart"/>
      <w:r w:rsidRPr="002B77BA">
        <w:rPr>
          <w:rFonts w:ascii="Times New Roman" w:eastAsia="Times New Roman" w:hAnsi="Times New Roman" w:cs="Times New Roman"/>
          <w:i/>
          <w:iCs/>
          <w:sz w:val="24"/>
          <w:szCs w:val="24"/>
          <w:lang w:val="en-US"/>
        </w:rPr>
        <w:t>Behaviour</w:t>
      </w:r>
      <w:proofErr w:type="spellEnd"/>
      <w:r w:rsidRPr="002B77BA">
        <w:rPr>
          <w:rFonts w:ascii="Times New Roman" w:eastAsia="Times New Roman" w:hAnsi="Times New Roman" w:cs="Times New Roman"/>
          <w:i/>
          <w:iCs/>
          <w:sz w:val="24"/>
          <w:szCs w:val="24"/>
          <w:lang w:val="en-US"/>
        </w:rPr>
        <w:t>, 67</w:t>
      </w:r>
      <w:r w:rsidRPr="002B77BA">
        <w:rPr>
          <w:rFonts w:ascii="Times New Roman" w:eastAsia="Times New Roman" w:hAnsi="Times New Roman" w:cs="Times New Roman"/>
          <w:sz w:val="24"/>
          <w:szCs w:val="24"/>
          <w:lang w:val="en-US"/>
        </w:rPr>
        <w:t xml:space="preserve">(2), 293–300. </w:t>
      </w:r>
      <w:hyperlink r:id="rId19" w:history="1">
        <w:r w:rsidRPr="002B77BA">
          <w:rPr>
            <w:rFonts w:ascii="Times New Roman" w:eastAsia="Times New Roman" w:hAnsi="Times New Roman" w:cs="Times New Roman"/>
            <w:color w:val="0000FF"/>
            <w:sz w:val="24"/>
            <w:szCs w:val="24"/>
            <w:u w:val="single"/>
            <w:lang w:val="en-US"/>
          </w:rPr>
          <w:t>https://doi.org/10.1016/j.anbehav.2003.06.014</w:t>
        </w:r>
      </w:hyperlink>
    </w:p>
    <w:p w14:paraId="5FEABA98" w14:textId="6FBE4435" w:rsidR="002B77BA" w:rsidRPr="002B77BA" w:rsidRDefault="002B77BA" w:rsidP="002B77BA">
      <w:pPr>
        <w:ind w:left="540" w:hanging="540"/>
        <w:jc w:val="both"/>
        <w:rPr>
          <w:rFonts w:ascii="Times New Roman" w:eastAsia="Times New Roman" w:hAnsi="Times New Roman" w:cs="Times New Roman"/>
          <w:sz w:val="24"/>
          <w:szCs w:val="24"/>
          <w:lang w:val="en-US"/>
        </w:rPr>
      </w:pPr>
      <w:r w:rsidRPr="002B77BA">
        <w:rPr>
          <w:rFonts w:ascii="Times New Roman" w:eastAsia="Times New Roman" w:hAnsi="Times New Roman" w:cs="Times New Roman"/>
          <w:sz w:val="24"/>
          <w:szCs w:val="24"/>
          <w:lang w:val="en-US"/>
        </w:rPr>
        <w:t xml:space="preserve">Amat, J. A., &amp; Masero, J. A. (2004b). </w:t>
      </w:r>
      <w:proofErr w:type="gramStart"/>
      <w:r w:rsidRPr="002B77BA">
        <w:rPr>
          <w:rFonts w:ascii="Times New Roman" w:eastAsia="Times New Roman" w:hAnsi="Times New Roman" w:cs="Times New Roman"/>
          <w:sz w:val="24"/>
          <w:szCs w:val="24"/>
          <w:lang w:val="en-US"/>
        </w:rPr>
        <w:t>How</w:t>
      </w:r>
      <w:proofErr w:type="gramEnd"/>
      <w:r w:rsidRPr="002B77BA">
        <w:rPr>
          <w:rFonts w:ascii="Times New Roman" w:eastAsia="Times New Roman" w:hAnsi="Times New Roman" w:cs="Times New Roman"/>
          <w:sz w:val="24"/>
          <w:szCs w:val="24"/>
          <w:lang w:val="en-US"/>
        </w:rPr>
        <w:t xml:space="preserve"> Kentish plovers, </w:t>
      </w:r>
      <w:r w:rsidRPr="002B77BA">
        <w:rPr>
          <w:rFonts w:ascii="Times New Roman" w:eastAsia="Times New Roman" w:hAnsi="Times New Roman" w:cs="Times New Roman"/>
          <w:i/>
          <w:iCs/>
          <w:sz w:val="24"/>
          <w:szCs w:val="24"/>
          <w:lang w:val="en-US"/>
        </w:rPr>
        <w:t xml:space="preserve">Charadrius </w:t>
      </w:r>
      <w:proofErr w:type="spellStart"/>
      <w:r w:rsidRPr="002B77BA">
        <w:rPr>
          <w:rFonts w:ascii="Times New Roman" w:eastAsia="Times New Roman" w:hAnsi="Times New Roman" w:cs="Times New Roman"/>
          <w:i/>
          <w:iCs/>
          <w:sz w:val="24"/>
          <w:szCs w:val="24"/>
          <w:lang w:val="en-US"/>
        </w:rPr>
        <w:t>alexandrinus</w:t>
      </w:r>
      <w:proofErr w:type="spellEnd"/>
      <w:r w:rsidRPr="002B77BA">
        <w:rPr>
          <w:rFonts w:ascii="Times New Roman" w:eastAsia="Times New Roman" w:hAnsi="Times New Roman" w:cs="Times New Roman"/>
          <w:sz w:val="24"/>
          <w:szCs w:val="24"/>
          <w:lang w:val="en-US"/>
        </w:rPr>
        <w:t xml:space="preserve">, cope with heat stress during incubation. </w:t>
      </w:r>
      <w:r w:rsidRPr="002B77BA">
        <w:rPr>
          <w:rFonts w:ascii="Times New Roman" w:eastAsia="Times New Roman" w:hAnsi="Times New Roman" w:cs="Times New Roman"/>
          <w:i/>
          <w:iCs/>
          <w:sz w:val="24"/>
          <w:szCs w:val="24"/>
          <w:lang w:val="en-US"/>
        </w:rPr>
        <w:t>Behavioral Ecology and Sociobiology, 56</w:t>
      </w:r>
      <w:r w:rsidRPr="002B77BA">
        <w:rPr>
          <w:rFonts w:ascii="Times New Roman" w:eastAsia="Times New Roman" w:hAnsi="Times New Roman" w:cs="Times New Roman"/>
          <w:sz w:val="24"/>
          <w:szCs w:val="24"/>
          <w:lang w:val="en-US"/>
        </w:rPr>
        <w:t xml:space="preserve">(1), 26–33. </w:t>
      </w:r>
      <w:hyperlink r:id="rId20" w:history="1">
        <w:r w:rsidRPr="002B77BA">
          <w:rPr>
            <w:rFonts w:ascii="Times New Roman" w:eastAsia="Times New Roman" w:hAnsi="Times New Roman" w:cs="Times New Roman"/>
            <w:color w:val="0000FF"/>
            <w:sz w:val="24"/>
            <w:szCs w:val="24"/>
            <w:u w:val="single"/>
            <w:lang w:val="en-US"/>
          </w:rPr>
          <w:t>https://doi.org/10.1007/s00265-004-0758-9</w:t>
        </w:r>
      </w:hyperlink>
    </w:p>
    <w:p w14:paraId="4B05554D" w14:textId="25CA412C" w:rsidR="002B77BA" w:rsidRPr="002B77BA" w:rsidRDefault="002B77BA" w:rsidP="002B77BA">
      <w:pPr>
        <w:ind w:left="540" w:hanging="540"/>
        <w:jc w:val="both"/>
        <w:rPr>
          <w:rFonts w:ascii="Times New Roman" w:eastAsia="Times New Roman" w:hAnsi="Times New Roman" w:cs="Times New Roman"/>
          <w:sz w:val="24"/>
          <w:szCs w:val="24"/>
          <w:lang w:val="en-US"/>
        </w:rPr>
      </w:pPr>
      <w:r w:rsidRPr="002B77BA">
        <w:rPr>
          <w:rFonts w:ascii="Times New Roman" w:eastAsia="Times New Roman" w:hAnsi="Times New Roman" w:cs="Times New Roman"/>
          <w:sz w:val="24"/>
          <w:szCs w:val="24"/>
          <w:lang w:val="en-US"/>
        </w:rPr>
        <w:t xml:space="preserve">Amat, J. A., </w:t>
      </w:r>
      <w:proofErr w:type="spellStart"/>
      <w:r w:rsidRPr="002B77BA">
        <w:rPr>
          <w:rFonts w:ascii="Times New Roman" w:eastAsia="Times New Roman" w:hAnsi="Times New Roman" w:cs="Times New Roman"/>
          <w:sz w:val="24"/>
          <w:szCs w:val="24"/>
          <w:lang w:val="en-US"/>
        </w:rPr>
        <w:t>Monsa</w:t>
      </w:r>
      <w:proofErr w:type="spellEnd"/>
      <w:r w:rsidRPr="002B77BA">
        <w:rPr>
          <w:rFonts w:ascii="Times New Roman" w:eastAsia="Times New Roman" w:hAnsi="Times New Roman" w:cs="Times New Roman"/>
          <w:sz w:val="24"/>
          <w:szCs w:val="24"/>
          <w:lang w:val="en-US"/>
        </w:rPr>
        <w:t xml:space="preserve">, R., &amp; Masero, J. A. (2012). Dual function of egg-covering in the Kentish plover </w:t>
      </w:r>
      <w:r w:rsidRPr="002B77BA">
        <w:rPr>
          <w:rFonts w:ascii="Times New Roman" w:eastAsia="Times New Roman" w:hAnsi="Times New Roman" w:cs="Times New Roman"/>
          <w:i/>
          <w:iCs/>
          <w:sz w:val="24"/>
          <w:szCs w:val="24"/>
          <w:lang w:val="en-US"/>
        </w:rPr>
        <w:t xml:space="preserve">Charadrius </w:t>
      </w:r>
      <w:proofErr w:type="spellStart"/>
      <w:r w:rsidRPr="002B77BA">
        <w:rPr>
          <w:rFonts w:ascii="Times New Roman" w:eastAsia="Times New Roman" w:hAnsi="Times New Roman" w:cs="Times New Roman"/>
          <w:i/>
          <w:iCs/>
          <w:sz w:val="24"/>
          <w:szCs w:val="24"/>
          <w:lang w:val="en-US"/>
        </w:rPr>
        <w:t>alexandrinus</w:t>
      </w:r>
      <w:proofErr w:type="spellEnd"/>
      <w:r w:rsidRPr="002B77BA">
        <w:rPr>
          <w:rFonts w:ascii="Times New Roman" w:eastAsia="Times New Roman" w:hAnsi="Times New Roman" w:cs="Times New Roman"/>
          <w:sz w:val="24"/>
          <w:szCs w:val="24"/>
          <w:lang w:val="en-US"/>
        </w:rPr>
        <w:t xml:space="preserve">. </w:t>
      </w:r>
      <w:proofErr w:type="spellStart"/>
      <w:r w:rsidRPr="002B77BA">
        <w:rPr>
          <w:rFonts w:ascii="Times New Roman" w:eastAsia="Times New Roman" w:hAnsi="Times New Roman" w:cs="Times New Roman"/>
          <w:i/>
          <w:iCs/>
          <w:sz w:val="24"/>
          <w:szCs w:val="24"/>
          <w:lang w:val="en-US"/>
        </w:rPr>
        <w:t>Behaviour</w:t>
      </w:r>
      <w:proofErr w:type="spellEnd"/>
      <w:r w:rsidRPr="002B77BA">
        <w:rPr>
          <w:rFonts w:ascii="Times New Roman" w:eastAsia="Times New Roman" w:hAnsi="Times New Roman" w:cs="Times New Roman"/>
          <w:i/>
          <w:iCs/>
          <w:sz w:val="24"/>
          <w:szCs w:val="24"/>
          <w:lang w:val="en-US"/>
        </w:rPr>
        <w:t>, 149</w:t>
      </w:r>
      <w:r w:rsidRPr="002B77BA">
        <w:rPr>
          <w:rFonts w:ascii="Times New Roman" w:eastAsia="Times New Roman" w:hAnsi="Times New Roman" w:cs="Times New Roman"/>
          <w:sz w:val="24"/>
          <w:szCs w:val="24"/>
          <w:lang w:val="en-US"/>
        </w:rPr>
        <w:t xml:space="preserve">(8), 881–895. </w:t>
      </w:r>
      <w:hyperlink r:id="rId21" w:history="1">
        <w:r w:rsidRPr="002B77BA">
          <w:rPr>
            <w:rFonts w:ascii="Times New Roman" w:eastAsia="Times New Roman" w:hAnsi="Times New Roman" w:cs="Times New Roman"/>
            <w:color w:val="0000FF"/>
            <w:sz w:val="24"/>
            <w:szCs w:val="24"/>
            <w:u w:val="single"/>
            <w:lang w:val="en-US"/>
          </w:rPr>
          <w:t>https://doi.org/10.1163/1568539X-00003008</w:t>
        </w:r>
      </w:hyperlink>
    </w:p>
    <w:p w14:paraId="26A63D05" w14:textId="0C0C46B3" w:rsidR="002B77BA" w:rsidRPr="002B77BA" w:rsidRDefault="002B77BA" w:rsidP="002B77BA">
      <w:pPr>
        <w:ind w:left="540" w:hanging="540"/>
        <w:jc w:val="both"/>
        <w:rPr>
          <w:rFonts w:ascii="Times New Roman" w:eastAsia="Times New Roman" w:hAnsi="Times New Roman" w:cs="Times New Roman"/>
          <w:sz w:val="24"/>
          <w:szCs w:val="24"/>
          <w:lang w:val="en-US"/>
        </w:rPr>
      </w:pPr>
      <w:r w:rsidRPr="002B77BA">
        <w:rPr>
          <w:rFonts w:ascii="Times New Roman" w:eastAsia="Times New Roman" w:hAnsi="Times New Roman" w:cs="Times New Roman"/>
          <w:sz w:val="24"/>
          <w:szCs w:val="24"/>
          <w:lang w:val="en-US"/>
        </w:rPr>
        <w:t>Castro, M., De la Cruz, A., Martin-Sanjuan, N., &amp; Pérez-Hurtado, A. (2024). Kentish plover (</w:t>
      </w:r>
      <w:r w:rsidRPr="002B77BA">
        <w:rPr>
          <w:rFonts w:ascii="Times New Roman" w:eastAsia="Times New Roman" w:hAnsi="Times New Roman" w:cs="Times New Roman"/>
          <w:i/>
          <w:iCs/>
          <w:sz w:val="24"/>
          <w:szCs w:val="24"/>
          <w:lang w:val="en-US"/>
        </w:rPr>
        <w:t xml:space="preserve">Charadrius </w:t>
      </w:r>
      <w:proofErr w:type="spellStart"/>
      <w:r w:rsidRPr="002B77BA">
        <w:rPr>
          <w:rFonts w:ascii="Times New Roman" w:eastAsia="Times New Roman" w:hAnsi="Times New Roman" w:cs="Times New Roman"/>
          <w:i/>
          <w:iCs/>
          <w:sz w:val="24"/>
          <w:szCs w:val="24"/>
          <w:lang w:val="en-US"/>
        </w:rPr>
        <w:t>alexandrinus</w:t>
      </w:r>
      <w:proofErr w:type="spellEnd"/>
      <w:r w:rsidRPr="002B77BA">
        <w:rPr>
          <w:rFonts w:ascii="Times New Roman" w:eastAsia="Times New Roman" w:hAnsi="Times New Roman" w:cs="Times New Roman"/>
          <w:sz w:val="24"/>
          <w:szCs w:val="24"/>
          <w:lang w:val="en-US"/>
        </w:rPr>
        <w:t>) and little tern (</w:t>
      </w:r>
      <w:proofErr w:type="spellStart"/>
      <w:r w:rsidRPr="002B77BA">
        <w:rPr>
          <w:rFonts w:ascii="Times New Roman" w:eastAsia="Times New Roman" w:hAnsi="Times New Roman" w:cs="Times New Roman"/>
          <w:i/>
          <w:iCs/>
          <w:sz w:val="24"/>
          <w:szCs w:val="24"/>
          <w:lang w:val="en-US"/>
        </w:rPr>
        <w:t>Sternula</w:t>
      </w:r>
      <w:proofErr w:type="spellEnd"/>
      <w:r w:rsidRPr="002B77BA">
        <w:rPr>
          <w:rFonts w:ascii="Times New Roman" w:eastAsia="Times New Roman" w:hAnsi="Times New Roman" w:cs="Times New Roman"/>
          <w:i/>
          <w:iCs/>
          <w:sz w:val="24"/>
          <w:szCs w:val="24"/>
          <w:lang w:val="en-US"/>
        </w:rPr>
        <w:t xml:space="preserve"> albifrons</w:t>
      </w:r>
      <w:r w:rsidRPr="002B77BA">
        <w:rPr>
          <w:rFonts w:ascii="Times New Roman" w:eastAsia="Times New Roman" w:hAnsi="Times New Roman" w:cs="Times New Roman"/>
          <w:sz w:val="24"/>
          <w:szCs w:val="24"/>
          <w:lang w:val="en-US"/>
        </w:rPr>
        <w:t xml:space="preserve">) prefer shells for nesting: A field experiment. </w:t>
      </w:r>
      <w:r w:rsidRPr="002B77BA">
        <w:rPr>
          <w:rFonts w:ascii="Times New Roman" w:eastAsia="Times New Roman" w:hAnsi="Times New Roman" w:cs="Times New Roman"/>
          <w:i/>
          <w:iCs/>
          <w:sz w:val="24"/>
          <w:szCs w:val="24"/>
          <w:lang w:val="en-US"/>
        </w:rPr>
        <w:t>Avian Research, 15</w:t>
      </w:r>
      <w:r w:rsidRPr="002B77BA">
        <w:rPr>
          <w:rFonts w:ascii="Times New Roman" w:eastAsia="Times New Roman" w:hAnsi="Times New Roman" w:cs="Times New Roman"/>
          <w:sz w:val="24"/>
          <w:szCs w:val="24"/>
          <w:lang w:val="en-US"/>
        </w:rPr>
        <w:t xml:space="preserve">, 100158. </w:t>
      </w:r>
      <w:hyperlink r:id="rId22" w:history="1">
        <w:r w:rsidRPr="002B77BA">
          <w:rPr>
            <w:rFonts w:ascii="Times New Roman" w:eastAsia="Times New Roman" w:hAnsi="Times New Roman" w:cs="Times New Roman"/>
            <w:color w:val="0000FF"/>
            <w:sz w:val="24"/>
            <w:szCs w:val="24"/>
            <w:u w:val="single"/>
            <w:lang w:val="en-US"/>
          </w:rPr>
          <w:t>https://doi.org/10.1016/j.avrs.2024.100158</w:t>
        </w:r>
      </w:hyperlink>
    </w:p>
    <w:p w14:paraId="527FBEAF" w14:textId="0015AA0B" w:rsidR="002B77BA" w:rsidRPr="002B77BA" w:rsidRDefault="002B77BA" w:rsidP="002B77BA">
      <w:pPr>
        <w:ind w:left="540" w:hanging="540"/>
        <w:jc w:val="both"/>
        <w:rPr>
          <w:rFonts w:ascii="Times New Roman" w:eastAsia="Times New Roman" w:hAnsi="Times New Roman" w:cs="Times New Roman"/>
          <w:sz w:val="24"/>
          <w:szCs w:val="24"/>
          <w:lang w:val="en-US"/>
        </w:rPr>
      </w:pPr>
      <w:r w:rsidRPr="002B77BA">
        <w:rPr>
          <w:rFonts w:ascii="Times New Roman" w:eastAsia="Times New Roman" w:hAnsi="Times New Roman" w:cs="Times New Roman"/>
          <w:sz w:val="24"/>
          <w:szCs w:val="24"/>
          <w:lang w:val="en-US"/>
        </w:rPr>
        <w:t>del Hoyo, J., Wiersma, P., Kirwan, G. M., Collar, N., Boesman, P. F. D., &amp; Sharpe, C. J. (2023). Kentish plover (</w:t>
      </w:r>
      <w:proofErr w:type="spellStart"/>
      <w:r w:rsidRPr="002B77BA">
        <w:rPr>
          <w:rFonts w:ascii="Times New Roman" w:eastAsia="Times New Roman" w:hAnsi="Times New Roman" w:cs="Times New Roman"/>
          <w:i/>
          <w:iCs/>
          <w:sz w:val="24"/>
          <w:szCs w:val="24"/>
          <w:lang w:val="en-US"/>
        </w:rPr>
        <w:t>Anarhynchus</w:t>
      </w:r>
      <w:proofErr w:type="spellEnd"/>
      <w:r w:rsidRPr="002B77BA">
        <w:rPr>
          <w:rFonts w:ascii="Times New Roman" w:eastAsia="Times New Roman" w:hAnsi="Times New Roman" w:cs="Times New Roman"/>
          <w:i/>
          <w:iCs/>
          <w:sz w:val="24"/>
          <w:szCs w:val="24"/>
          <w:lang w:val="en-US"/>
        </w:rPr>
        <w:t xml:space="preserve"> </w:t>
      </w:r>
      <w:proofErr w:type="spellStart"/>
      <w:r w:rsidRPr="002B77BA">
        <w:rPr>
          <w:rFonts w:ascii="Times New Roman" w:eastAsia="Times New Roman" w:hAnsi="Times New Roman" w:cs="Times New Roman"/>
          <w:i/>
          <w:iCs/>
          <w:sz w:val="24"/>
          <w:szCs w:val="24"/>
          <w:lang w:val="en-US"/>
        </w:rPr>
        <w:t>alexandrinus</w:t>
      </w:r>
      <w:proofErr w:type="spellEnd"/>
      <w:r w:rsidRPr="002B77BA">
        <w:rPr>
          <w:rFonts w:ascii="Times New Roman" w:eastAsia="Times New Roman" w:hAnsi="Times New Roman" w:cs="Times New Roman"/>
          <w:sz w:val="24"/>
          <w:szCs w:val="24"/>
          <w:lang w:val="en-US"/>
        </w:rPr>
        <w:t xml:space="preserve">), version 1.2. In B. K. Keeney (Ed.), </w:t>
      </w:r>
      <w:r w:rsidRPr="002B77BA">
        <w:rPr>
          <w:rFonts w:ascii="Times New Roman" w:eastAsia="Times New Roman" w:hAnsi="Times New Roman" w:cs="Times New Roman"/>
          <w:i/>
          <w:iCs/>
          <w:sz w:val="24"/>
          <w:szCs w:val="24"/>
          <w:lang w:val="en-US"/>
        </w:rPr>
        <w:t>Birds of the World</w:t>
      </w:r>
      <w:r w:rsidRPr="002B77BA">
        <w:rPr>
          <w:rFonts w:ascii="Times New Roman" w:eastAsia="Times New Roman" w:hAnsi="Times New Roman" w:cs="Times New Roman"/>
          <w:sz w:val="24"/>
          <w:szCs w:val="24"/>
          <w:lang w:val="en-US"/>
        </w:rPr>
        <w:t xml:space="preserve">. Cornell Lab of Ornithology. </w:t>
      </w:r>
      <w:hyperlink r:id="rId23" w:history="1">
        <w:r w:rsidRPr="002B77BA">
          <w:rPr>
            <w:rFonts w:ascii="Times New Roman" w:eastAsia="Times New Roman" w:hAnsi="Times New Roman" w:cs="Times New Roman"/>
            <w:color w:val="0000FF"/>
            <w:sz w:val="24"/>
            <w:szCs w:val="24"/>
            <w:u w:val="single"/>
            <w:lang w:val="en-US"/>
          </w:rPr>
          <w:t>https://doi.org/10.2173/bow.kenplo1.01.2</w:t>
        </w:r>
      </w:hyperlink>
    </w:p>
    <w:p w14:paraId="09C31F90" w14:textId="734E5BBD" w:rsidR="002B77BA" w:rsidRPr="002B77BA" w:rsidRDefault="002B77BA" w:rsidP="002B77BA">
      <w:pPr>
        <w:ind w:left="540" w:hanging="540"/>
        <w:jc w:val="both"/>
        <w:rPr>
          <w:rFonts w:ascii="Times New Roman" w:eastAsia="Times New Roman" w:hAnsi="Times New Roman" w:cs="Times New Roman"/>
          <w:sz w:val="24"/>
          <w:szCs w:val="24"/>
          <w:lang w:val="en-US"/>
        </w:rPr>
      </w:pPr>
      <w:r w:rsidRPr="002B77BA">
        <w:rPr>
          <w:rFonts w:ascii="Times New Roman" w:eastAsia="Times New Roman" w:hAnsi="Times New Roman" w:cs="Times New Roman"/>
          <w:sz w:val="24"/>
          <w:szCs w:val="24"/>
          <w:lang w:val="en-US"/>
        </w:rPr>
        <w:t xml:space="preserve">El Malki, S., </w:t>
      </w:r>
      <w:proofErr w:type="spellStart"/>
      <w:r w:rsidRPr="002B77BA">
        <w:rPr>
          <w:rFonts w:ascii="Times New Roman" w:eastAsia="Times New Roman" w:hAnsi="Times New Roman" w:cs="Times New Roman"/>
          <w:sz w:val="24"/>
          <w:szCs w:val="24"/>
          <w:lang w:val="en-US"/>
        </w:rPr>
        <w:t>Joulami</w:t>
      </w:r>
      <w:proofErr w:type="spellEnd"/>
      <w:r w:rsidRPr="002B77BA">
        <w:rPr>
          <w:rFonts w:ascii="Times New Roman" w:eastAsia="Times New Roman" w:hAnsi="Times New Roman" w:cs="Times New Roman"/>
          <w:sz w:val="24"/>
          <w:szCs w:val="24"/>
          <w:lang w:val="en-US"/>
        </w:rPr>
        <w:t xml:space="preserve">, L., El </w:t>
      </w:r>
      <w:proofErr w:type="spellStart"/>
      <w:r w:rsidRPr="002B77BA">
        <w:rPr>
          <w:rFonts w:ascii="Times New Roman" w:eastAsia="Times New Roman" w:hAnsi="Times New Roman" w:cs="Times New Roman"/>
          <w:sz w:val="24"/>
          <w:szCs w:val="24"/>
          <w:lang w:val="en-US"/>
        </w:rPr>
        <w:t>Mdari</w:t>
      </w:r>
      <w:proofErr w:type="spellEnd"/>
      <w:r w:rsidRPr="002B77BA">
        <w:rPr>
          <w:rFonts w:ascii="Times New Roman" w:eastAsia="Times New Roman" w:hAnsi="Times New Roman" w:cs="Times New Roman"/>
          <w:sz w:val="24"/>
          <w:szCs w:val="24"/>
          <w:lang w:val="en-US"/>
        </w:rPr>
        <w:t xml:space="preserve">, M., &amp; El </w:t>
      </w:r>
      <w:proofErr w:type="spellStart"/>
      <w:r w:rsidRPr="002B77BA">
        <w:rPr>
          <w:rFonts w:ascii="Times New Roman" w:eastAsia="Times New Roman" w:hAnsi="Times New Roman" w:cs="Times New Roman"/>
          <w:sz w:val="24"/>
          <w:szCs w:val="24"/>
          <w:lang w:val="en-US"/>
        </w:rPr>
        <w:t>Hamoumi</w:t>
      </w:r>
      <w:proofErr w:type="spellEnd"/>
      <w:r w:rsidRPr="002B77BA">
        <w:rPr>
          <w:rFonts w:ascii="Times New Roman" w:eastAsia="Times New Roman" w:hAnsi="Times New Roman" w:cs="Times New Roman"/>
          <w:sz w:val="24"/>
          <w:szCs w:val="24"/>
          <w:lang w:val="en-US"/>
        </w:rPr>
        <w:t xml:space="preserve">, R. (2018). Nest site characteristics and breeding biology of Kentish plover in the saltpans of Sidi </w:t>
      </w:r>
      <w:r w:rsidRPr="002B77BA">
        <w:rPr>
          <w:rFonts w:ascii="Times New Roman" w:eastAsia="Times New Roman" w:hAnsi="Times New Roman" w:cs="Times New Roman"/>
          <w:sz w:val="24"/>
          <w:szCs w:val="24"/>
          <w:lang w:val="en-US"/>
        </w:rPr>
        <w:lastRenderedPageBreak/>
        <w:t xml:space="preserve">Moussa, Morocco. </w:t>
      </w:r>
      <w:r w:rsidRPr="002B77BA">
        <w:rPr>
          <w:rFonts w:ascii="Times New Roman" w:eastAsia="Times New Roman" w:hAnsi="Times New Roman" w:cs="Times New Roman"/>
          <w:i/>
          <w:iCs/>
          <w:sz w:val="24"/>
          <w:szCs w:val="24"/>
          <w:lang w:val="en-US"/>
        </w:rPr>
        <w:t>Wader Study, 125</w:t>
      </w:r>
      <w:r w:rsidRPr="002B77BA">
        <w:rPr>
          <w:rFonts w:ascii="Times New Roman" w:eastAsia="Times New Roman" w:hAnsi="Times New Roman" w:cs="Times New Roman"/>
          <w:sz w:val="24"/>
          <w:szCs w:val="24"/>
          <w:lang w:val="en-US"/>
        </w:rPr>
        <w:t xml:space="preserve">(2), 107–114. </w:t>
      </w:r>
      <w:hyperlink r:id="rId24" w:history="1">
        <w:r w:rsidRPr="002B77BA">
          <w:rPr>
            <w:rFonts w:ascii="Times New Roman" w:eastAsia="Times New Roman" w:hAnsi="Times New Roman" w:cs="Times New Roman"/>
            <w:color w:val="0000FF"/>
            <w:sz w:val="24"/>
            <w:szCs w:val="24"/>
            <w:u w:val="single"/>
            <w:lang w:val="en-US"/>
          </w:rPr>
          <w:t>https://doi.org/10.18194/ws.00115</w:t>
        </w:r>
      </w:hyperlink>
    </w:p>
    <w:p w14:paraId="1D9E7E94" w14:textId="2F252CB2" w:rsidR="002B77BA" w:rsidRPr="002B77BA" w:rsidRDefault="002B77BA" w:rsidP="002B77BA">
      <w:pPr>
        <w:ind w:left="540" w:hanging="540"/>
        <w:jc w:val="both"/>
        <w:rPr>
          <w:rFonts w:ascii="Times New Roman" w:eastAsia="Times New Roman" w:hAnsi="Times New Roman" w:cs="Times New Roman"/>
          <w:sz w:val="24"/>
          <w:szCs w:val="24"/>
          <w:lang w:val="en-US"/>
        </w:rPr>
      </w:pPr>
      <w:r w:rsidRPr="002B77BA">
        <w:rPr>
          <w:rFonts w:ascii="Times New Roman" w:eastAsia="Times New Roman" w:hAnsi="Times New Roman" w:cs="Times New Roman"/>
          <w:sz w:val="24"/>
          <w:szCs w:val="24"/>
          <w:lang w:val="nl-BE"/>
        </w:rPr>
        <w:t xml:space="preserve">Fraga, R. M., &amp; Amat, J. A. (1996). </w:t>
      </w:r>
      <w:r w:rsidRPr="002B77BA">
        <w:rPr>
          <w:rFonts w:ascii="Times New Roman" w:eastAsia="Times New Roman" w:hAnsi="Times New Roman" w:cs="Times New Roman"/>
          <w:sz w:val="24"/>
          <w:szCs w:val="24"/>
          <w:lang w:val="en-US"/>
        </w:rPr>
        <w:t>Breeding biology of a Kentish plover (</w:t>
      </w:r>
      <w:r w:rsidRPr="002B77BA">
        <w:rPr>
          <w:rFonts w:ascii="Times New Roman" w:eastAsia="Times New Roman" w:hAnsi="Times New Roman" w:cs="Times New Roman"/>
          <w:i/>
          <w:iCs/>
          <w:sz w:val="24"/>
          <w:szCs w:val="24"/>
          <w:lang w:val="en-US"/>
        </w:rPr>
        <w:t xml:space="preserve">Charadrius </w:t>
      </w:r>
      <w:proofErr w:type="spellStart"/>
      <w:r w:rsidRPr="002B77BA">
        <w:rPr>
          <w:rFonts w:ascii="Times New Roman" w:eastAsia="Times New Roman" w:hAnsi="Times New Roman" w:cs="Times New Roman"/>
          <w:i/>
          <w:iCs/>
          <w:sz w:val="24"/>
          <w:szCs w:val="24"/>
          <w:lang w:val="en-US"/>
        </w:rPr>
        <w:t>alexandrinus</w:t>
      </w:r>
      <w:proofErr w:type="spellEnd"/>
      <w:r w:rsidRPr="002B77BA">
        <w:rPr>
          <w:rFonts w:ascii="Times New Roman" w:eastAsia="Times New Roman" w:hAnsi="Times New Roman" w:cs="Times New Roman"/>
          <w:sz w:val="24"/>
          <w:szCs w:val="24"/>
          <w:lang w:val="en-US"/>
        </w:rPr>
        <w:t xml:space="preserve">) population in an inland saline lake. </w:t>
      </w:r>
      <w:proofErr w:type="spellStart"/>
      <w:r w:rsidRPr="002B77BA">
        <w:rPr>
          <w:rFonts w:ascii="Times New Roman" w:eastAsia="Times New Roman" w:hAnsi="Times New Roman" w:cs="Times New Roman"/>
          <w:i/>
          <w:iCs/>
          <w:sz w:val="24"/>
          <w:szCs w:val="24"/>
          <w:lang w:val="en-US"/>
        </w:rPr>
        <w:t>Ardeola</w:t>
      </w:r>
      <w:proofErr w:type="spellEnd"/>
      <w:r w:rsidRPr="002B77BA">
        <w:rPr>
          <w:rFonts w:ascii="Times New Roman" w:eastAsia="Times New Roman" w:hAnsi="Times New Roman" w:cs="Times New Roman"/>
          <w:i/>
          <w:iCs/>
          <w:sz w:val="24"/>
          <w:szCs w:val="24"/>
          <w:lang w:val="en-US"/>
        </w:rPr>
        <w:t>, 43</w:t>
      </w:r>
      <w:r w:rsidRPr="002B77BA">
        <w:rPr>
          <w:rFonts w:ascii="Times New Roman" w:eastAsia="Times New Roman" w:hAnsi="Times New Roman" w:cs="Times New Roman"/>
          <w:sz w:val="24"/>
          <w:szCs w:val="24"/>
          <w:lang w:val="en-US"/>
        </w:rPr>
        <w:t xml:space="preserve">(1), 69–85. </w:t>
      </w:r>
      <w:hyperlink r:id="rId25" w:history="1">
        <w:r w:rsidRPr="002B77BA">
          <w:rPr>
            <w:rFonts w:ascii="Times New Roman" w:eastAsia="Times New Roman" w:hAnsi="Times New Roman" w:cs="Times New Roman"/>
            <w:color w:val="0000FF"/>
            <w:sz w:val="24"/>
            <w:szCs w:val="24"/>
            <w:u w:val="single"/>
            <w:lang w:val="en-US"/>
          </w:rPr>
          <w:t>https://www.ardeola.org/en/volumes/431/articles/69-85/</w:t>
        </w:r>
      </w:hyperlink>
    </w:p>
    <w:p w14:paraId="646AAE22" w14:textId="49007B59" w:rsidR="002B77BA" w:rsidRPr="002B77BA" w:rsidRDefault="002B77BA" w:rsidP="002B77BA">
      <w:pPr>
        <w:ind w:left="540" w:hanging="540"/>
        <w:jc w:val="both"/>
        <w:rPr>
          <w:rFonts w:ascii="Times New Roman" w:eastAsia="Times New Roman" w:hAnsi="Times New Roman" w:cs="Times New Roman"/>
          <w:sz w:val="24"/>
          <w:szCs w:val="24"/>
          <w:lang w:val="en-US"/>
        </w:rPr>
      </w:pPr>
      <w:r w:rsidRPr="002B77BA">
        <w:rPr>
          <w:rFonts w:ascii="Times New Roman" w:eastAsia="Times New Roman" w:hAnsi="Times New Roman" w:cs="Times New Roman"/>
          <w:sz w:val="24"/>
          <w:szCs w:val="24"/>
          <w:lang w:val="en-US"/>
        </w:rPr>
        <w:t xml:space="preserve">Gómez-Serrano, M. Á., &amp; López-López, P. (2014). Nest site selection by Kentish plover suggests a trade-off between nest-crypsis and predator detection strategies. </w:t>
      </w:r>
      <w:r w:rsidRPr="002B77BA">
        <w:rPr>
          <w:rFonts w:ascii="Times New Roman" w:eastAsia="Times New Roman" w:hAnsi="Times New Roman" w:cs="Times New Roman"/>
          <w:i/>
          <w:iCs/>
          <w:sz w:val="24"/>
          <w:szCs w:val="24"/>
          <w:lang w:val="en-US"/>
        </w:rPr>
        <w:t>PLOS ONE, 9</w:t>
      </w:r>
      <w:r w:rsidRPr="002B77BA">
        <w:rPr>
          <w:rFonts w:ascii="Times New Roman" w:eastAsia="Times New Roman" w:hAnsi="Times New Roman" w:cs="Times New Roman"/>
          <w:sz w:val="24"/>
          <w:szCs w:val="24"/>
          <w:lang w:val="en-US"/>
        </w:rPr>
        <w:t xml:space="preserve">(9), e107121. </w:t>
      </w:r>
      <w:hyperlink r:id="rId26" w:history="1">
        <w:r w:rsidRPr="002B77BA">
          <w:rPr>
            <w:rFonts w:ascii="Times New Roman" w:eastAsia="Times New Roman" w:hAnsi="Times New Roman" w:cs="Times New Roman"/>
            <w:color w:val="0000FF"/>
            <w:sz w:val="24"/>
            <w:szCs w:val="24"/>
            <w:u w:val="single"/>
            <w:lang w:val="en-US"/>
          </w:rPr>
          <w:t>https://doi.org/10.1371/journal.pone.0107121</w:t>
        </w:r>
      </w:hyperlink>
    </w:p>
    <w:p w14:paraId="6BA73B4C" w14:textId="591A5665" w:rsidR="002B77BA" w:rsidRPr="002B77BA" w:rsidRDefault="002B77BA" w:rsidP="002B77BA">
      <w:pPr>
        <w:ind w:left="540" w:hanging="540"/>
        <w:jc w:val="both"/>
        <w:rPr>
          <w:rFonts w:ascii="Times New Roman" w:eastAsia="Times New Roman" w:hAnsi="Times New Roman" w:cs="Times New Roman"/>
          <w:sz w:val="24"/>
          <w:szCs w:val="24"/>
          <w:lang w:val="en-US"/>
        </w:rPr>
      </w:pPr>
      <w:r w:rsidRPr="002B77BA">
        <w:rPr>
          <w:rFonts w:ascii="Times New Roman" w:eastAsia="Times New Roman" w:hAnsi="Times New Roman" w:cs="Times New Roman"/>
          <w:sz w:val="24"/>
          <w:szCs w:val="24"/>
          <w:lang w:val="en-US"/>
        </w:rPr>
        <w:t>Hong, S.-B., &amp; Higashi, S. (2008). Nesting site preference and hatching success of the Kentish plover (</w:t>
      </w:r>
      <w:r w:rsidRPr="002B77BA">
        <w:rPr>
          <w:rFonts w:ascii="Times New Roman" w:eastAsia="Times New Roman" w:hAnsi="Times New Roman" w:cs="Times New Roman"/>
          <w:i/>
          <w:iCs/>
          <w:sz w:val="24"/>
          <w:szCs w:val="24"/>
          <w:lang w:val="en-US"/>
        </w:rPr>
        <w:t xml:space="preserve">Charadrius </w:t>
      </w:r>
      <w:proofErr w:type="spellStart"/>
      <w:r w:rsidRPr="002B77BA">
        <w:rPr>
          <w:rFonts w:ascii="Times New Roman" w:eastAsia="Times New Roman" w:hAnsi="Times New Roman" w:cs="Times New Roman"/>
          <w:i/>
          <w:iCs/>
          <w:sz w:val="24"/>
          <w:szCs w:val="24"/>
          <w:lang w:val="en-US"/>
        </w:rPr>
        <w:t>alexandrinus</w:t>
      </w:r>
      <w:proofErr w:type="spellEnd"/>
      <w:r w:rsidRPr="002B77BA">
        <w:rPr>
          <w:rFonts w:ascii="Times New Roman" w:eastAsia="Times New Roman" w:hAnsi="Times New Roman" w:cs="Times New Roman"/>
          <w:sz w:val="24"/>
          <w:szCs w:val="24"/>
          <w:lang w:val="en-US"/>
        </w:rPr>
        <w:t xml:space="preserve">) in the Nakdong Estuary, Busan, Republic of Korea. </w:t>
      </w:r>
      <w:r w:rsidRPr="002B77BA">
        <w:rPr>
          <w:rFonts w:ascii="Times New Roman" w:eastAsia="Times New Roman" w:hAnsi="Times New Roman" w:cs="Times New Roman"/>
          <w:i/>
          <w:iCs/>
          <w:sz w:val="24"/>
          <w:szCs w:val="24"/>
          <w:lang w:val="en-US"/>
        </w:rPr>
        <w:t>Journal of Ecology and Field Biology, 31</w:t>
      </w:r>
      <w:r w:rsidRPr="002B77BA">
        <w:rPr>
          <w:rFonts w:ascii="Times New Roman" w:eastAsia="Times New Roman" w:hAnsi="Times New Roman" w:cs="Times New Roman"/>
          <w:sz w:val="24"/>
          <w:szCs w:val="24"/>
          <w:lang w:val="en-US"/>
        </w:rPr>
        <w:t xml:space="preserve">(3), 201–206. </w:t>
      </w:r>
      <w:hyperlink r:id="rId27" w:history="1">
        <w:r w:rsidRPr="002B77BA">
          <w:rPr>
            <w:rFonts w:ascii="Times New Roman" w:eastAsia="Times New Roman" w:hAnsi="Times New Roman" w:cs="Times New Roman"/>
            <w:color w:val="0000FF"/>
            <w:sz w:val="24"/>
            <w:szCs w:val="24"/>
            <w:u w:val="single"/>
            <w:lang w:val="en-US"/>
          </w:rPr>
          <w:t>https://doi.org/10.5141/JEFB.2008.31.3.201</w:t>
        </w:r>
      </w:hyperlink>
    </w:p>
    <w:p w14:paraId="099AB080" w14:textId="70F9D76A" w:rsidR="002B77BA" w:rsidRPr="002B77BA" w:rsidRDefault="002B77BA" w:rsidP="002B77BA">
      <w:pPr>
        <w:ind w:left="540" w:hanging="540"/>
        <w:jc w:val="both"/>
        <w:rPr>
          <w:rFonts w:ascii="Times New Roman" w:eastAsia="Times New Roman" w:hAnsi="Times New Roman" w:cs="Times New Roman"/>
          <w:sz w:val="24"/>
          <w:szCs w:val="24"/>
          <w:lang w:val="en-US"/>
        </w:rPr>
      </w:pPr>
      <w:r w:rsidRPr="002B77BA">
        <w:rPr>
          <w:rFonts w:ascii="Times New Roman" w:eastAsia="Times New Roman" w:hAnsi="Times New Roman" w:cs="Times New Roman"/>
          <w:sz w:val="24"/>
          <w:szCs w:val="24"/>
          <w:lang w:val="en-US"/>
        </w:rPr>
        <w:t xml:space="preserve">Kabir, M. H., Shawon, R. A. R., Haque, M. K., Shyama, I. J., Islam, M. A., Saila, M. S. N., Hossain, M. J., &amp; Rahman, M. M. (2024). Enhancing conservation strategies for wild and migratory bird habitats in South Asia: A comprehensive review. </w:t>
      </w:r>
      <w:r w:rsidRPr="002B77BA">
        <w:rPr>
          <w:rFonts w:ascii="Times New Roman" w:eastAsia="Times New Roman" w:hAnsi="Times New Roman" w:cs="Times New Roman"/>
          <w:i/>
          <w:iCs/>
          <w:sz w:val="24"/>
          <w:szCs w:val="24"/>
          <w:lang w:val="en-US"/>
        </w:rPr>
        <w:t>Asian Journal of Environment &amp; Ecology, 23</w:t>
      </w:r>
      <w:r w:rsidRPr="002B77BA">
        <w:rPr>
          <w:rFonts w:ascii="Times New Roman" w:eastAsia="Times New Roman" w:hAnsi="Times New Roman" w:cs="Times New Roman"/>
          <w:sz w:val="24"/>
          <w:szCs w:val="24"/>
          <w:lang w:val="en-US"/>
        </w:rPr>
        <w:t xml:space="preserve">(1), 73–88. </w:t>
      </w:r>
      <w:hyperlink r:id="rId28" w:history="1">
        <w:r w:rsidRPr="002B77BA">
          <w:rPr>
            <w:rFonts w:ascii="Times New Roman" w:eastAsia="Times New Roman" w:hAnsi="Times New Roman" w:cs="Times New Roman"/>
            <w:color w:val="0000FF"/>
            <w:sz w:val="24"/>
            <w:szCs w:val="24"/>
            <w:u w:val="single"/>
            <w:lang w:val="en-US"/>
          </w:rPr>
          <w:t>https://doi.org/10.9734/ajee/2024/v23i1522</w:t>
        </w:r>
      </w:hyperlink>
    </w:p>
    <w:p w14:paraId="0E71C28B" w14:textId="6E7F9E17" w:rsidR="002B77BA" w:rsidRPr="002B77BA" w:rsidRDefault="002B77BA" w:rsidP="002B77BA">
      <w:pPr>
        <w:ind w:left="540" w:hanging="540"/>
        <w:jc w:val="both"/>
        <w:rPr>
          <w:rFonts w:ascii="Times New Roman" w:eastAsia="Times New Roman" w:hAnsi="Times New Roman" w:cs="Times New Roman"/>
          <w:sz w:val="24"/>
          <w:szCs w:val="24"/>
          <w:lang w:val="en-US"/>
        </w:rPr>
      </w:pPr>
      <w:r w:rsidRPr="002B77BA">
        <w:rPr>
          <w:rFonts w:ascii="Times New Roman" w:eastAsia="Times New Roman" w:hAnsi="Times New Roman" w:cs="Times New Roman"/>
          <w:sz w:val="24"/>
          <w:szCs w:val="24"/>
          <w:lang w:val="en-US"/>
        </w:rPr>
        <w:t xml:space="preserve">Kosztolányi, A., Székely, T., Cuthill, I. C., Yilmaz, K. T., &amp; </w:t>
      </w:r>
      <w:proofErr w:type="spellStart"/>
      <w:r w:rsidRPr="002B77BA">
        <w:rPr>
          <w:rFonts w:ascii="Times New Roman" w:eastAsia="Times New Roman" w:hAnsi="Times New Roman" w:cs="Times New Roman"/>
          <w:sz w:val="24"/>
          <w:szCs w:val="24"/>
          <w:lang w:val="en-US"/>
        </w:rPr>
        <w:t>Berberoglu</w:t>
      </w:r>
      <w:proofErr w:type="spellEnd"/>
      <w:r w:rsidRPr="002B77BA">
        <w:rPr>
          <w:rFonts w:ascii="Times New Roman" w:eastAsia="Times New Roman" w:hAnsi="Times New Roman" w:cs="Times New Roman"/>
          <w:sz w:val="24"/>
          <w:szCs w:val="24"/>
          <w:lang w:val="en-US"/>
        </w:rPr>
        <w:t xml:space="preserve">, S. (2006). Ecological constraints on breeding system evolution: The influence of habitat on brood desertion in Kentish plover. </w:t>
      </w:r>
      <w:r w:rsidRPr="002B77BA">
        <w:rPr>
          <w:rFonts w:ascii="Times New Roman" w:eastAsia="Times New Roman" w:hAnsi="Times New Roman" w:cs="Times New Roman"/>
          <w:i/>
          <w:iCs/>
          <w:sz w:val="24"/>
          <w:szCs w:val="24"/>
          <w:lang w:val="en-US"/>
        </w:rPr>
        <w:t>Journal of Animal Ecology, 75</w:t>
      </w:r>
      <w:r w:rsidRPr="002B77BA">
        <w:rPr>
          <w:rFonts w:ascii="Times New Roman" w:eastAsia="Times New Roman" w:hAnsi="Times New Roman" w:cs="Times New Roman"/>
          <w:sz w:val="24"/>
          <w:szCs w:val="24"/>
          <w:lang w:val="en-US"/>
        </w:rPr>
        <w:t xml:space="preserve">(1), 257–265. </w:t>
      </w:r>
      <w:hyperlink r:id="rId29" w:history="1">
        <w:r w:rsidRPr="002B77BA">
          <w:rPr>
            <w:rFonts w:ascii="Times New Roman" w:eastAsia="Times New Roman" w:hAnsi="Times New Roman" w:cs="Times New Roman"/>
            <w:color w:val="0000FF"/>
            <w:sz w:val="24"/>
            <w:szCs w:val="24"/>
            <w:u w:val="single"/>
            <w:lang w:val="en-US"/>
          </w:rPr>
          <w:t>https://doi.org/10.1111/j.1365-2656.2006.01049.x</w:t>
        </w:r>
      </w:hyperlink>
    </w:p>
    <w:p w14:paraId="3D411022" w14:textId="3ACAA496" w:rsidR="002B77BA" w:rsidRPr="002B77BA" w:rsidRDefault="002B77BA" w:rsidP="002B77BA">
      <w:pPr>
        <w:ind w:left="540" w:hanging="540"/>
        <w:jc w:val="both"/>
        <w:rPr>
          <w:rFonts w:ascii="Times New Roman" w:eastAsia="Times New Roman" w:hAnsi="Times New Roman" w:cs="Times New Roman"/>
          <w:sz w:val="24"/>
          <w:szCs w:val="24"/>
          <w:lang w:val="en-US"/>
        </w:rPr>
      </w:pPr>
      <w:r w:rsidRPr="002B77BA">
        <w:rPr>
          <w:rFonts w:ascii="Times New Roman" w:eastAsia="Times New Roman" w:hAnsi="Times New Roman" w:cs="Times New Roman"/>
          <w:sz w:val="24"/>
          <w:szCs w:val="24"/>
          <w:lang w:val="en-US"/>
        </w:rPr>
        <w:t xml:space="preserve">Kosztolányi, A., Javed, S., Küpper, C., Cuthill, I. C., Al Shamsi, A., &amp; Székely, T. (2009). Breeding ecology of Kentish plover </w:t>
      </w:r>
      <w:r w:rsidRPr="002B77BA">
        <w:rPr>
          <w:rFonts w:ascii="Times New Roman" w:eastAsia="Times New Roman" w:hAnsi="Times New Roman" w:cs="Times New Roman"/>
          <w:i/>
          <w:iCs/>
          <w:sz w:val="24"/>
          <w:szCs w:val="24"/>
          <w:lang w:val="en-US"/>
        </w:rPr>
        <w:t xml:space="preserve">Charadrius </w:t>
      </w:r>
      <w:proofErr w:type="spellStart"/>
      <w:r w:rsidRPr="002B77BA">
        <w:rPr>
          <w:rFonts w:ascii="Times New Roman" w:eastAsia="Times New Roman" w:hAnsi="Times New Roman" w:cs="Times New Roman"/>
          <w:i/>
          <w:iCs/>
          <w:sz w:val="24"/>
          <w:szCs w:val="24"/>
          <w:lang w:val="en-US"/>
        </w:rPr>
        <w:t>alexandrinus</w:t>
      </w:r>
      <w:proofErr w:type="spellEnd"/>
      <w:r w:rsidRPr="002B77BA">
        <w:rPr>
          <w:rFonts w:ascii="Times New Roman" w:eastAsia="Times New Roman" w:hAnsi="Times New Roman" w:cs="Times New Roman"/>
          <w:sz w:val="24"/>
          <w:szCs w:val="24"/>
          <w:lang w:val="en-US"/>
        </w:rPr>
        <w:t xml:space="preserve"> in an extremely hot environment. </w:t>
      </w:r>
      <w:r w:rsidRPr="002B77BA">
        <w:rPr>
          <w:rFonts w:ascii="Times New Roman" w:eastAsia="Times New Roman" w:hAnsi="Times New Roman" w:cs="Times New Roman"/>
          <w:i/>
          <w:iCs/>
          <w:sz w:val="24"/>
          <w:szCs w:val="24"/>
          <w:lang w:val="en-US"/>
        </w:rPr>
        <w:t>Bird Study, 56</w:t>
      </w:r>
      <w:r w:rsidRPr="002B77BA">
        <w:rPr>
          <w:rFonts w:ascii="Times New Roman" w:eastAsia="Times New Roman" w:hAnsi="Times New Roman" w:cs="Times New Roman"/>
          <w:sz w:val="24"/>
          <w:szCs w:val="24"/>
          <w:lang w:val="en-US"/>
        </w:rPr>
        <w:t xml:space="preserve">(2), 244–252. </w:t>
      </w:r>
      <w:hyperlink r:id="rId30" w:history="1">
        <w:r w:rsidRPr="002B77BA">
          <w:rPr>
            <w:rFonts w:ascii="Times New Roman" w:eastAsia="Times New Roman" w:hAnsi="Times New Roman" w:cs="Times New Roman"/>
            <w:color w:val="0000FF"/>
            <w:sz w:val="24"/>
            <w:szCs w:val="24"/>
            <w:u w:val="single"/>
            <w:lang w:val="en-US"/>
          </w:rPr>
          <w:t>https://doi.org/10.1080/00063650902792106</w:t>
        </w:r>
      </w:hyperlink>
    </w:p>
    <w:p w14:paraId="0414C6B1" w14:textId="0E4360A5" w:rsidR="002B77BA" w:rsidRPr="002B77BA" w:rsidRDefault="002B77BA" w:rsidP="002B77BA">
      <w:pPr>
        <w:ind w:left="540" w:hanging="540"/>
        <w:jc w:val="both"/>
        <w:rPr>
          <w:rFonts w:ascii="Times New Roman" w:eastAsia="Times New Roman" w:hAnsi="Times New Roman" w:cs="Times New Roman"/>
          <w:sz w:val="24"/>
          <w:szCs w:val="24"/>
          <w:lang w:val="en-US"/>
        </w:rPr>
      </w:pPr>
      <w:r w:rsidRPr="002B77BA">
        <w:rPr>
          <w:rFonts w:ascii="Times New Roman" w:eastAsia="Times New Roman" w:hAnsi="Times New Roman" w:cs="Times New Roman"/>
          <w:sz w:val="24"/>
          <w:szCs w:val="24"/>
          <w:lang w:val="en-US"/>
        </w:rPr>
        <w:t xml:space="preserve">Kouidri, M., Adamou, A.-E., </w:t>
      </w:r>
      <w:proofErr w:type="spellStart"/>
      <w:r w:rsidRPr="002B77BA">
        <w:rPr>
          <w:rFonts w:ascii="Times New Roman" w:eastAsia="Times New Roman" w:hAnsi="Times New Roman" w:cs="Times New Roman"/>
          <w:sz w:val="24"/>
          <w:szCs w:val="24"/>
          <w:lang w:val="en-US"/>
        </w:rPr>
        <w:t>Bańbura</w:t>
      </w:r>
      <w:proofErr w:type="spellEnd"/>
      <w:r w:rsidRPr="002B77BA">
        <w:rPr>
          <w:rFonts w:ascii="Times New Roman" w:eastAsia="Times New Roman" w:hAnsi="Times New Roman" w:cs="Times New Roman"/>
          <w:sz w:val="24"/>
          <w:szCs w:val="24"/>
          <w:lang w:val="en-US"/>
        </w:rPr>
        <w:t xml:space="preserve">, A., &amp; </w:t>
      </w:r>
      <w:proofErr w:type="spellStart"/>
      <w:r w:rsidRPr="002B77BA">
        <w:rPr>
          <w:rFonts w:ascii="Times New Roman" w:eastAsia="Times New Roman" w:hAnsi="Times New Roman" w:cs="Times New Roman"/>
          <w:sz w:val="24"/>
          <w:szCs w:val="24"/>
          <w:lang w:val="en-US"/>
        </w:rPr>
        <w:t>Bańbura</w:t>
      </w:r>
      <w:proofErr w:type="spellEnd"/>
      <w:r w:rsidRPr="002B77BA">
        <w:rPr>
          <w:rFonts w:ascii="Times New Roman" w:eastAsia="Times New Roman" w:hAnsi="Times New Roman" w:cs="Times New Roman"/>
          <w:sz w:val="24"/>
          <w:szCs w:val="24"/>
          <w:lang w:val="en-US"/>
        </w:rPr>
        <w:t xml:space="preserve">, J. (2025). Relationship between hatching success, nest location and egg traits in Kentish plovers </w:t>
      </w:r>
      <w:proofErr w:type="spellStart"/>
      <w:r w:rsidRPr="002B77BA">
        <w:rPr>
          <w:rFonts w:ascii="Times New Roman" w:eastAsia="Times New Roman" w:hAnsi="Times New Roman" w:cs="Times New Roman"/>
          <w:i/>
          <w:iCs/>
          <w:sz w:val="24"/>
          <w:szCs w:val="24"/>
          <w:lang w:val="en-US"/>
        </w:rPr>
        <w:t>Anarhynchus</w:t>
      </w:r>
      <w:proofErr w:type="spellEnd"/>
      <w:r w:rsidRPr="002B77BA">
        <w:rPr>
          <w:rFonts w:ascii="Times New Roman" w:eastAsia="Times New Roman" w:hAnsi="Times New Roman" w:cs="Times New Roman"/>
          <w:i/>
          <w:iCs/>
          <w:sz w:val="24"/>
          <w:szCs w:val="24"/>
          <w:lang w:val="en-US"/>
        </w:rPr>
        <w:t xml:space="preserve"> </w:t>
      </w:r>
      <w:proofErr w:type="spellStart"/>
      <w:r w:rsidRPr="002B77BA">
        <w:rPr>
          <w:rFonts w:ascii="Times New Roman" w:eastAsia="Times New Roman" w:hAnsi="Times New Roman" w:cs="Times New Roman"/>
          <w:i/>
          <w:iCs/>
          <w:sz w:val="24"/>
          <w:szCs w:val="24"/>
          <w:lang w:val="en-US"/>
        </w:rPr>
        <w:t>alexandrinus</w:t>
      </w:r>
      <w:proofErr w:type="spellEnd"/>
      <w:r w:rsidRPr="002B77BA">
        <w:rPr>
          <w:rFonts w:ascii="Times New Roman" w:eastAsia="Times New Roman" w:hAnsi="Times New Roman" w:cs="Times New Roman"/>
          <w:sz w:val="24"/>
          <w:szCs w:val="24"/>
          <w:lang w:val="en-US"/>
        </w:rPr>
        <w:t xml:space="preserve"> breeding in an oasis wetland in the Sahara Desert, Algeria. </w:t>
      </w:r>
      <w:r w:rsidRPr="002B77BA">
        <w:rPr>
          <w:rFonts w:ascii="Times New Roman" w:eastAsia="Times New Roman" w:hAnsi="Times New Roman" w:cs="Times New Roman"/>
          <w:i/>
          <w:iCs/>
          <w:sz w:val="24"/>
          <w:szCs w:val="24"/>
          <w:lang w:val="en-US"/>
        </w:rPr>
        <w:t>The European Zoological Journal, 92</w:t>
      </w:r>
      <w:r w:rsidRPr="002B77BA">
        <w:rPr>
          <w:rFonts w:ascii="Times New Roman" w:eastAsia="Times New Roman" w:hAnsi="Times New Roman" w:cs="Times New Roman"/>
          <w:sz w:val="24"/>
          <w:szCs w:val="24"/>
          <w:lang w:val="en-US"/>
        </w:rPr>
        <w:t xml:space="preserve">(1), 420–433. </w:t>
      </w:r>
      <w:hyperlink r:id="rId31" w:history="1">
        <w:r w:rsidRPr="002B77BA">
          <w:rPr>
            <w:rFonts w:ascii="Times New Roman" w:eastAsia="Times New Roman" w:hAnsi="Times New Roman" w:cs="Times New Roman"/>
            <w:color w:val="0000FF"/>
            <w:sz w:val="24"/>
            <w:szCs w:val="24"/>
            <w:u w:val="single"/>
            <w:lang w:val="en-US"/>
          </w:rPr>
          <w:t>https://doi.org/10.1080/24750263.2025.2468797</w:t>
        </w:r>
      </w:hyperlink>
    </w:p>
    <w:p w14:paraId="2C171BB7" w14:textId="74CB4B73" w:rsidR="002B77BA" w:rsidRPr="002B77BA" w:rsidRDefault="002B77BA" w:rsidP="002B77BA">
      <w:pPr>
        <w:ind w:left="540" w:hanging="540"/>
        <w:jc w:val="both"/>
        <w:rPr>
          <w:rFonts w:ascii="Times New Roman" w:eastAsia="Times New Roman" w:hAnsi="Times New Roman" w:cs="Times New Roman"/>
          <w:sz w:val="24"/>
          <w:szCs w:val="24"/>
          <w:lang w:val="en-US"/>
        </w:rPr>
      </w:pPr>
      <w:r w:rsidRPr="002B77BA">
        <w:rPr>
          <w:rFonts w:ascii="Times New Roman" w:eastAsia="Times New Roman" w:hAnsi="Times New Roman" w:cs="Times New Roman"/>
          <w:sz w:val="24"/>
          <w:szCs w:val="24"/>
          <w:lang w:val="en-US"/>
        </w:rPr>
        <w:t>Lee, D.-Y., Lee, J.-H., Oh, S.-J., Kim, W.-Y., &amp; Sung, H.-C. (2025). Casual birding gone wrong: A case study on the impact of human disturbance on breeding sites of the Kentish plover (</w:t>
      </w:r>
      <w:proofErr w:type="spellStart"/>
      <w:r w:rsidRPr="002B77BA">
        <w:rPr>
          <w:rFonts w:ascii="Times New Roman" w:eastAsia="Times New Roman" w:hAnsi="Times New Roman" w:cs="Times New Roman"/>
          <w:i/>
          <w:iCs/>
          <w:sz w:val="24"/>
          <w:szCs w:val="24"/>
          <w:lang w:val="en-US"/>
        </w:rPr>
        <w:t>Anarhynchus</w:t>
      </w:r>
      <w:proofErr w:type="spellEnd"/>
      <w:r w:rsidRPr="002B77BA">
        <w:rPr>
          <w:rFonts w:ascii="Times New Roman" w:eastAsia="Times New Roman" w:hAnsi="Times New Roman" w:cs="Times New Roman"/>
          <w:i/>
          <w:iCs/>
          <w:sz w:val="24"/>
          <w:szCs w:val="24"/>
          <w:lang w:val="en-US"/>
        </w:rPr>
        <w:t xml:space="preserve"> </w:t>
      </w:r>
      <w:proofErr w:type="spellStart"/>
      <w:r w:rsidRPr="002B77BA">
        <w:rPr>
          <w:rFonts w:ascii="Times New Roman" w:eastAsia="Times New Roman" w:hAnsi="Times New Roman" w:cs="Times New Roman"/>
          <w:i/>
          <w:iCs/>
          <w:sz w:val="24"/>
          <w:szCs w:val="24"/>
          <w:lang w:val="en-US"/>
        </w:rPr>
        <w:t>alexandrinus</w:t>
      </w:r>
      <w:proofErr w:type="spellEnd"/>
      <w:r w:rsidRPr="002B77BA">
        <w:rPr>
          <w:rFonts w:ascii="Times New Roman" w:eastAsia="Times New Roman" w:hAnsi="Times New Roman" w:cs="Times New Roman"/>
          <w:sz w:val="24"/>
          <w:szCs w:val="24"/>
          <w:lang w:val="en-US"/>
        </w:rPr>
        <w:t xml:space="preserve">). </w:t>
      </w:r>
      <w:r w:rsidRPr="002B77BA">
        <w:rPr>
          <w:rFonts w:ascii="Times New Roman" w:eastAsia="Times New Roman" w:hAnsi="Times New Roman" w:cs="Times New Roman"/>
          <w:i/>
          <w:iCs/>
          <w:sz w:val="24"/>
          <w:szCs w:val="24"/>
          <w:lang w:val="en-US"/>
        </w:rPr>
        <w:t>Wetlands Ecology and Management, 33</w:t>
      </w:r>
      <w:r w:rsidRPr="002B77BA">
        <w:rPr>
          <w:rFonts w:ascii="Times New Roman" w:eastAsia="Times New Roman" w:hAnsi="Times New Roman" w:cs="Times New Roman"/>
          <w:sz w:val="24"/>
          <w:szCs w:val="24"/>
          <w:lang w:val="en-US"/>
        </w:rPr>
        <w:t xml:space="preserve">(5), 68. </w:t>
      </w:r>
      <w:hyperlink r:id="rId32" w:history="1">
        <w:r w:rsidRPr="002B77BA">
          <w:rPr>
            <w:rFonts w:ascii="Times New Roman" w:eastAsia="Times New Roman" w:hAnsi="Times New Roman" w:cs="Times New Roman"/>
            <w:color w:val="0000FF"/>
            <w:sz w:val="24"/>
            <w:szCs w:val="24"/>
            <w:u w:val="single"/>
            <w:lang w:val="en-US"/>
          </w:rPr>
          <w:t>https://doi.org/10.1007/s11273-025-10075-y</w:t>
        </w:r>
      </w:hyperlink>
    </w:p>
    <w:p w14:paraId="0D8F03CA" w14:textId="309CA1E9" w:rsidR="002B77BA" w:rsidRPr="002B77BA" w:rsidRDefault="002B77BA" w:rsidP="002B77BA">
      <w:pPr>
        <w:ind w:left="540" w:hanging="540"/>
        <w:jc w:val="both"/>
        <w:rPr>
          <w:rFonts w:ascii="Times New Roman" w:eastAsia="Times New Roman" w:hAnsi="Times New Roman" w:cs="Times New Roman"/>
          <w:sz w:val="24"/>
          <w:szCs w:val="24"/>
          <w:lang w:val="en-US"/>
        </w:rPr>
      </w:pPr>
      <w:r w:rsidRPr="002B77BA">
        <w:rPr>
          <w:rFonts w:ascii="Times New Roman" w:eastAsia="Times New Roman" w:hAnsi="Times New Roman" w:cs="Times New Roman"/>
          <w:sz w:val="24"/>
          <w:szCs w:val="24"/>
          <w:lang w:val="en-US"/>
        </w:rPr>
        <w:t>Lee, D.-Y., Lee, J.-H., Son, J.-J., Oh, S.-J., &amp; Sung, H.-C. (2025). Estimating nesting habitat characteristics for the Kentish plover (</w:t>
      </w:r>
      <w:proofErr w:type="spellStart"/>
      <w:r w:rsidRPr="002B77BA">
        <w:rPr>
          <w:rFonts w:ascii="Times New Roman" w:eastAsia="Times New Roman" w:hAnsi="Times New Roman" w:cs="Times New Roman"/>
          <w:i/>
          <w:iCs/>
          <w:sz w:val="24"/>
          <w:szCs w:val="24"/>
          <w:lang w:val="en-US"/>
        </w:rPr>
        <w:t>Anarhynchus</w:t>
      </w:r>
      <w:proofErr w:type="spellEnd"/>
      <w:r w:rsidRPr="002B77BA">
        <w:rPr>
          <w:rFonts w:ascii="Times New Roman" w:eastAsia="Times New Roman" w:hAnsi="Times New Roman" w:cs="Times New Roman"/>
          <w:i/>
          <w:iCs/>
          <w:sz w:val="24"/>
          <w:szCs w:val="24"/>
          <w:lang w:val="en-US"/>
        </w:rPr>
        <w:t xml:space="preserve"> </w:t>
      </w:r>
      <w:proofErr w:type="spellStart"/>
      <w:r w:rsidRPr="002B77BA">
        <w:rPr>
          <w:rFonts w:ascii="Times New Roman" w:eastAsia="Times New Roman" w:hAnsi="Times New Roman" w:cs="Times New Roman"/>
          <w:i/>
          <w:iCs/>
          <w:sz w:val="24"/>
          <w:szCs w:val="24"/>
          <w:lang w:val="en-US"/>
        </w:rPr>
        <w:t>alexandrinus</w:t>
      </w:r>
      <w:proofErr w:type="spellEnd"/>
      <w:r w:rsidRPr="002B77BA">
        <w:rPr>
          <w:rFonts w:ascii="Times New Roman" w:eastAsia="Times New Roman" w:hAnsi="Times New Roman" w:cs="Times New Roman"/>
          <w:sz w:val="24"/>
          <w:szCs w:val="24"/>
          <w:lang w:val="en-US"/>
        </w:rPr>
        <w:t xml:space="preserve">) with the effect of substrate and vegetation using a Bayesian network approach. </w:t>
      </w:r>
      <w:r w:rsidRPr="002B77BA">
        <w:rPr>
          <w:rFonts w:ascii="Times New Roman" w:eastAsia="Times New Roman" w:hAnsi="Times New Roman" w:cs="Times New Roman"/>
          <w:i/>
          <w:iCs/>
          <w:sz w:val="24"/>
          <w:szCs w:val="24"/>
          <w:lang w:val="en-US"/>
        </w:rPr>
        <w:t>PLOS ONE, 20</w:t>
      </w:r>
      <w:r w:rsidRPr="002B77BA">
        <w:rPr>
          <w:rFonts w:ascii="Times New Roman" w:eastAsia="Times New Roman" w:hAnsi="Times New Roman" w:cs="Times New Roman"/>
          <w:sz w:val="24"/>
          <w:szCs w:val="24"/>
          <w:lang w:val="en-US"/>
        </w:rPr>
        <w:t xml:space="preserve">(6), e0325750. </w:t>
      </w:r>
      <w:hyperlink r:id="rId33" w:history="1">
        <w:r w:rsidRPr="002B77BA">
          <w:rPr>
            <w:rFonts w:ascii="Times New Roman" w:eastAsia="Times New Roman" w:hAnsi="Times New Roman" w:cs="Times New Roman"/>
            <w:color w:val="0000FF"/>
            <w:sz w:val="24"/>
            <w:szCs w:val="24"/>
            <w:u w:val="single"/>
            <w:lang w:val="en-US"/>
          </w:rPr>
          <w:t>https://doi.org/10.1371/journal.pone.0325750</w:t>
        </w:r>
      </w:hyperlink>
    </w:p>
    <w:p w14:paraId="42911AB9" w14:textId="24229006" w:rsidR="002B77BA" w:rsidRPr="002B77BA" w:rsidRDefault="002B77BA" w:rsidP="002B77BA">
      <w:pPr>
        <w:ind w:left="540" w:hanging="540"/>
        <w:jc w:val="both"/>
        <w:rPr>
          <w:rFonts w:ascii="Times New Roman" w:eastAsia="Times New Roman" w:hAnsi="Times New Roman" w:cs="Times New Roman"/>
          <w:sz w:val="24"/>
          <w:szCs w:val="24"/>
          <w:lang w:val="en-US"/>
        </w:rPr>
      </w:pPr>
      <w:proofErr w:type="spellStart"/>
      <w:r w:rsidRPr="002B77BA">
        <w:rPr>
          <w:rFonts w:ascii="Times New Roman" w:eastAsia="Times New Roman" w:hAnsi="Times New Roman" w:cs="Times New Roman"/>
          <w:sz w:val="24"/>
          <w:szCs w:val="24"/>
          <w:lang w:val="en-US"/>
        </w:rPr>
        <w:t>Lessells</w:t>
      </w:r>
      <w:proofErr w:type="spellEnd"/>
      <w:r w:rsidRPr="002B77BA">
        <w:rPr>
          <w:rFonts w:ascii="Times New Roman" w:eastAsia="Times New Roman" w:hAnsi="Times New Roman" w:cs="Times New Roman"/>
          <w:sz w:val="24"/>
          <w:szCs w:val="24"/>
          <w:lang w:val="en-US"/>
        </w:rPr>
        <w:t xml:space="preserve">, C. M. (1984). The mating system of Kentish plovers </w:t>
      </w:r>
      <w:r w:rsidRPr="002B77BA">
        <w:rPr>
          <w:rFonts w:ascii="Times New Roman" w:eastAsia="Times New Roman" w:hAnsi="Times New Roman" w:cs="Times New Roman"/>
          <w:i/>
          <w:iCs/>
          <w:sz w:val="24"/>
          <w:szCs w:val="24"/>
          <w:lang w:val="en-US"/>
        </w:rPr>
        <w:t xml:space="preserve">Charadrius </w:t>
      </w:r>
      <w:proofErr w:type="spellStart"/>
      <w:r w:rsidRPr="002B77BA">
        <w:rPr>
          <w:rFonts w:ascii="Times New Roman" w:eastAsia="Times New Roman" w:hAnsi="Times New Roman" w:cs="Times New Roman"/>
          <w:i/>
          <w:iCs/>
          <w:sz w:val="24"/>
          <w:szCs w:val="24"/>
          <w:lang w:val="en-US"/>
        </w:rPr>
        <w:t>alexandrinus</w:t>
      </w:r>
      <w:proofErr w:type="spellEnd"/>
      <w:r w:rsidRPr="002B77BA">
        <w:rPr>
          <w:rFonts w:ascii="Times New Roman" w:eastAsia="Times New Roman" w:hAnsi="Times New Roman" w:cs="Times New Roman"/>
          <w:sz w:val="24"/>
          <w:szCs w:val="24"/>
          <w:lang w:val="en-US"/>
        </w:rPr>
        <w:t xml:space="preserve">. </w:t>
      </w:r>
      <w:r w:rsidRPr="002B77BA">
        <w:rPr>
          <w:rFonts w:ascii="Times New Roman" w:eastAsia="Times New Roman" w:hAnsi="Times New Roman" w:cs="Times New Roman"/>
          <w:i/>
          <w:iCs/>
          <w:sz w:val="24"/>
          <w:szCs w:val="24"/>
          <w:lang w:val="en-US"/>
        </w:rPr>
        <w:t>Ibis, 126</w:t>
      </w:r>
      <w:r w:rsidRPr="002B77BA">
        <w:rPr>
          <w:rFonts w:ascii="Times New Roman" w:eastAsia="Times New Roman" w:hAnsi="Times New Roman" w:cs="Times New Roman"/>
          <w:sz w:val="24"/>
          <w:szCs w:val="24"/>
          <w:lang w:val="en-US"/>
        </w:rPr>
        <w:t xml:space="preserve">(4), 474–483. </w:t>
      </w:r>
      <w:hyperlink r:id="rId34" w:history="1">
        <w:r w:rsidRPr="002B77BA">
          <w:rPr>
            <w:rFonts w:ascii="Times New Roman" w:eastAsia="Times New Roman" w:hAnsi="Times New Roman" w:cs="Times New Roman"/>
            <w:color w:val="0000FF"/>
            <w:sz w:val="24"/>
            <w:szCs w:val="24"/>
            <w:u w:val="single"/>
            <w:lang w:val="en-US"/>
          </w:rPr>
          <w:t>https://doi.org/10.1111/j.1474-919X.1984.tb02074.x</w:t>
        </w:r>
      </w:hyperlink>
    </w:p>
    <w:p w14:paraId="53BB09D7" w14:textId="7AD079F2" w:rsidR="002B77BA" w:rsidRPr="002B77BA" w:rsidRDefault="002B77BA" w:rsidP="002B77BA">
      <w:pPr>
        <w:ind w:left="540" w:hanging="540"/>
        <w:jc w:val="both"/>
        <w:rPr>
          <w:rFonts w:ascii="Times New Roman" w:eastAsia="Times New Roman" w:hAnsi="Times New Roman" w:cs="Times New Roman"/>
          <w:sz w:val="24"/>
          <w:szCs w:val="24"/>
          <w:lang w:val="en-US"/>
        </w:rPr>
      </w:pPr>
      <w:r w:rsidRPr="002B77BA">
        <w:rPr>
          <w:rFonts w:ascii="Times New Roman" w:eastAsia="Times New Roman" w:hAnsi="Times New Roman" w:cs="Times New Roman"/>
          <w:sz w:val="24"/>
          <w:szCs w:val="24"/>
          <w:lang w:val="en-US"/>
        </w:rPr>
        <w:t xml:space="preserve">Li, D., Bai, Y., Lei, W., </w:t>
      </w:r>
      <w:proofErr w:type="spellStart"/>
      <w:r w:rsidRPr="002B77BA">
        <w:rPr>
          <w:rFonts w:ascii="Times New Roman" w:eastAsia="Times New Roman" w:hAnsi="Times New Roman" w:cs="Times New Roman"/>
          <w:sz w:val="24"/>
          <w:szCs w:val="24"/>
          <w:lang w:val="en-US"/>
        </w:rPr>
        <w:t>Que</w:t>
      </w:r>
      <w:proofErr w:type="spellEnd"/>
      <w:r w:rsidRPr="002B77BA">
        <w:rPr>
          <w:rFonts w:ascii="Times New Roman" w:eastAsia="Times New Roman" w:hAnsi="Times New Roman" w:cs="Times New Roman"/>
          <w:sz w:val="24"/>
          <w:szCs w:val="24"/>
          <w:lang w:val="en-US"/>
        </w:rPr>
        <w:t xml:space="preserve">, P., Liu, Y., Pagani-Núñez, E., Lloyd, H., &amp; Zhang, Z. (2023). Mammalian predators and vegetated nesting habitat drive reduced </w:t>
      </w:r>
      <w:r w:rsidRPr="002B77BA">
        <w:rPr>
          <w:rFonts w:ascii="Times New Roman" w:eastAsia="Times New Roman" w:hAnsi="Times New Roman" w:cs="Times New Roman"/>
          <w:sz w:val="24"/>
          <w:szCs w:val="24"/>
          <w:lang w:val="en-US"/>
        </w:rPr>
        <w:lastRenderedPageBreak/>
        <w:t xml:space="preserve">protected area nesting success of Kentish plovers, Yellow Sea region, China. </w:t>
      </w:r>
      <w:r w:rsidRPr="002B77BA">
        <w:rPr>
          <w:rFonts w:ascii="Times New Roman" w:eastAsia="Times New Roman" w:hAnsi="Times New Roman" w:cs="Times New Roman"/>
          <w:i/>
          <w:iCs/>
          <w:sz w:val="24"/>
          <w:szCs w:val="24"/>
          <w:lang w:val="en-US"/>
        </w:rPr>
        <w:t>Ecology and Evolution, 13</w:t>
      </w:r>
      <w:r w:rsidRPr="002B77BA">
        <w:rPr>
          <w:rFonts w:ascii="Times New Roman" w:eastAsia="Times New Roman" w:hAnsi="Times New Roman" w:cs="Times New Roman"/>
          <w:sz w:val="24"/>
          <w:szCs w:val="24"/>
          <w:lang w:val="en-US"/>
        </w:rPr>
        <w:t xml:space="preserve">(3), e9884. </w:t>
      </w:r>
      <w:hyperlink r:id="rId35" w:history="1">
        <w:r w:rsidRPr="002B77BA">
          <w:rPr>
            <w:rFonts w:ascii="Times New Roman" w:eastAsia="Times New Roman" w:hAnsi="Times New Roman" w:cs="Times New Roman"/>
            <w:color w:val="0000FF"/>
            <w:sz w:val="24"/>
            <w:szCs w:val="24"/>
            <w:u w:val="single"/>
            <w:lang w:val="en-US"/>
          </w:rPr>
          <w:t>https://doi.org/10.1002/ece3.9884</w:t>
        </w:r>
      </w:hyperlink>
    </w:p>
    <w:p w14:paraId="497566C1" w14:textId="3F8EE564" w:rsidR="002B77BA" w:rsidRPr="002B77BA" w:rsidRDefault="002B77BA" w:rsidP="002B77BA">
      <w:pPr>
        <w:ind w:left="540" w:hanging="540"/>
        <w:jc w:val="both"/>
        <w:rPr>
          <w:rFonts w:ascii="Times New Roman" w:eastAsia="Times New Roman" w:hAnsi="Times New Roman" w:cs="Times New Roman"/>
          <w:sz w:val="24"/>
          <w:szCs w:val="24"/>
          <w:lang w:val="en-US"/>
        </w:rPr>
      </w:pPr>
      <w:proofErr w:type="spellStart"/>
      <w:r w:rsidRPr="002B77BA">
        <w:rPr>
          <w:rFonts w:ascii="Times New Roman" w:eastAsia="Times New Roman" w:hAnsi="Times New Roman" w:cs="Times New Roman"/>
          <w:sz w:val="24"/>
          <w:szCs w:val="24"/>
          <w:lang w:val="en-US"/>
        </w:rPr>
        <w:t>Nandotriya</w:t>
      </w:r>
      <w:proofErr w:type="spellEnd"/>
      <w:r w:rsidRPr="002B77BA">
        <w:rPr>
          <w:rFonts w:ascii="Times New Roman" w:eastAsia="Times New Roman" w:hAnsi="Times New Roman" w:cs="Times New Roman"/>
          <w:sz w:val="24"/>
          <w:szCs w:val="24"/>
          <w:lang w:val="en-US"/>
        </w:rPr>
        <w:t xml:space="preserve">, M. M., Suthar, H., Sharma, M., &amp; Prajapati, K. (2026). Physicochemical characteristics and avian fauna of </w:t>
      </w:r>
      <w:proofErr w:type="spellStart"/>
      <w:r w:rsidRPr="002B77BA">
        <w:rPr>
          <w:rFonts w:ascii="Times New Roman" w:eastAsia="Times New Roman" w:hAnsi="Times New Roman" w:cs="Times New Roman"/>
          <w:sz w:val="24"/>
          <w:szCs w:val="24"/>
          <w:lang w:val="en-US"/>
        </w:rPr>
        <w:t>Lakhabaval</w:t>
      </w:r>
      <w:proofErr w:type="spellEnd"/>
      <w:r w:rsidRPr="002B77BA">
        <w:rPr>
          <w:rFonts w:ascii="Times New Roman" w:eastAsia="Times New Roman" w:hAnsi="Times New Roman" w:cs="Times New Roman"/>
          <w:sz w:val="24"/>
          <w:szCs w:val="24"/>
          <w:lang w:val="en-US"/>
        </w:rPr>
        <w:t xml:space="preserve"> Lake, Jamnagar, Gujarat, India. </w:t>
      </w:r>
      <w:r w:rsidRPr="002B77BA">
        <w:rPr>
          <w:rFonts w:ascii="Times New Roman" w:eastAsia="Times New Roman" w:hAnsi="Times New Roman" w:cs="Times New Roman"/>
          <w:i/>
          <w:iCs/>
          <w:sz w:val="24"/>
          <w:szCs w:val="24"/>
          <w:lang w:val="en-US"/>
        </w:rPr>
        <w:t>Journal of Biology and Nature, 18</w:t>
      </w:r>
      <w:r w:rsidRPr="002B77BA">
        <w:rPr>
          <w:rFonts w:ascii="Times New Roman" w:eastAsia="Times New Roman" w:hAnsi="Times New Roman" w:cs="Times New Roman"/>
          <w:sz w:val="24"/>
          <w:szCs w:val="24"/>
          <w:lang w:val="en-US"/>
        </w:rPr>
        <w:t xml:space="preserve">(2), 189–203. </w:t>
      </w:r>
      <w:hyperlink r:id="rId36" w:history="1">
        <w:r w:rsidRPr="002B77BA">
          <w:rPr>
            <w:rFonts w:ascii="Times New Roman" w:eastAsia="Times New Roman" w:hAnsi="Times New Roman" w:cs="Times New Roman"/>
            <w:color w:val="0000FF"/>
            <w:sz w:val="24"/>
            <w:szCs w:val="24"/>
            <w:u w:val="single"/>
            <w:lang w:val="en-US"/>
          </w:rPr>
          <w:t>https://doi.org/10.56557/joban/2026/v18i210770</w:t>
        </w:r>
      </w:hyperlink>
    </w:p>
    <w:p w14:paraId="37F3D84D" w14:textId="0DD2D6DB" w:rsidR="002B77BA" w:rsidRPr="002B77BA" w:rsidRDefault="002B77BA" w:rsidP="002B77BA">
      <w:pPr>
        <w:ind w:left="540" w:hanging="540"/>
        <w:jc w:val="both"/>
        <w:rPr>
          <w:rFonts w:ascii="Times New Roman" w:eastAsia="Times New Roman" w:hAnsi="Times New Roman" w:cs="Times New Roman"/>
          <w:sz w:val="24"/>
          <w:szCs w:val="24"/>
          <w:lang w:val="en-US"/>
        </w:rPr>
      </w:pPr>
      <w:r w:rsidRPr="002B77BA">
        <w:rPr>
          <w:rFonts w:ascii="Times New Roman" w:eastAsia="Times New Roman" w:hAnsi="Times New Roman" w:cs="Times New Roman"/>
          <w:sz w:val="24"/>
          <w:szCs w:val="24"/>
          <w:lang w:val="en-US"/>
        </w:rPr>
        <w:t xml:space="preserve">Norte, A. C., &amp; Ramos, J. A. (2004). Nest-site selection and breeding biology of Kentish plover </w:t>
      </w:r>
      <w:r w:rsidRPr="002B77BA">
        <w:rPr>
          <w:rFonts w:ascii="Times New Roman" w:eastAsia="Times New Roman" w:hAnsi="Times New Roman" w:cs="Times New Roman"/>
          <w:i/>
          <w:iCs/>
          <w:sz w:val="24"/>
          <w:szCs w:val="24"/>
          <w:lang w:val="en-US"/>
        </w:rPr>
        <w:t xml:space="preserve">Charadrius </w:t>
      </w:r>
      <w:proofErr w:type="spellStart"/>
      <w:r w:rsidRPr="002B77BA">
        <w:rPr>
          <w:rFonts w:ascii="Times New Roman" w:eastAsia="Times New Roman" w:hAnsi="Times New Roman" w:cs="Times New Roman"/>
          <w:i/>
          <w:iCs/>
          <w:sz w:val="24"/>
          <w:szCs w:val="24"/>
          <w:lang w:val="en-US"/>
        </w:rPr>
        <w:t>alexandrinus</w:t>
      </w:r>
      <w:proofErr w:type="spellEnd"/>
      <w:r w:rsidRPr="002B77BA">
        <w:rPr>
          <w:rFonts w:ascii="Times New Roman" w:eastAsia="Times New Roman" w:hAnsi="Times New Roman" w:cs="Times New Roman"/>
          <w:sz w:val="24"/>
          <w:szCs w:val="24"/>
          <w:lang w:val="en-US"/>
        </w:rPr>
        <w:t xml:space="preserve"> on sandy beaches of the Portuguese west coast. </w:t>
      </w:r>
      <w:proofErr w:type="spellStart"/>
      <w:r w:rsidRPr="002B77BA">
        <w:rPr>
          <w:rFonts w:ascii="Times New Roman" w:eastAsia="Times New Roman" w:hAnsi="Times New Roman" w:cs="Times New Roman"/>
          <w:i/>
          <w:iCs/>
          <w:sz w:val="24"/>
          <w:szCs w:val="24"/>
          <w:lang w:val="en-US"/>
        </w:rPr>
        <w:t>Ardeola</w:t>
      </w:r>
      <w:proofErr w:type="spellEnd"/>
      <w:r w:rsidRPr="002B77BA">
        <w:rPr>
          <w:rFonts w:ascii="Times New Roman" w:eastAsia="Times New Roman" w:hAnsi="Times New Roman" w:cs="Times New Roman"/>
          <w:i/>
          <w:iCs/>
          <w:sz w:val="24"/>
          <w:szCs w:val="24"/>
          <w:lang w:val="en-US"/>
        </w:rPr>
        <w:t>, 51</w:t>
      </w:r>
      <w:r w:rsidRPr="002B77BA">
        <w:rPr>
          <w:rFonts w:ascii="Times New Roman" w:eastAsia="Times New Roman" w:hAnsi="Times New Roman" w:cs="Times New Roman"/>
          <w:sz w:val="24"/>
          <w:szCs w:val="24"/>
          <w:lang w:val="en-US"/>
        </w:rPr>
        <w:t xml:space="preserve">(2), 255–268. </w:t>
      </w:r>
      <w:hyperlink r:id="rId37" w:history="1">
        <w:r w:rsidRPr="002B77BA">
          <w:rPr>
            <w:rFonts w:ascii="Times New Roman" w:eastAsia="Times New Roman" w:hAnsi="Times New Roman" w:cs="Times New Roman"/>
            <w:color w:val="0000FF"/>
            <w:sz w:val="24"/>
            <w:szCs w:val="24"/>
            <w:u w:val="single"/>
            <w:lang w:val="en-US"/>
          </w:rPr>
          <w:t>https://www.ardeola.org/uploads/articles/docs/1187.pdf</w:t>
        </w:r>
      </w:hyperlink>
    </w:p>
    <w:p w14:paraId="20BDC1D0" w14:textId="7D14B849" w:rsidR="002B77BA" w:rsidRPr="002B77BA" w:rsidRDefault="002B77BA" w:rsidP="002B77BA">
      <w:pPr>
        <w:ind w:left="540" w:hanging="540"/>
        <w:jc w:val="both"/>
        <w:rPr>
          <w:rFonts w:ascii="Times New Roman" w:eastAsia="Times New Roman" w:hAnsi="Times New Roman" w:cs="Times New Roman"/>
          <w:sz w:val="24"/>
          <w:szCs w:val="24"/>
          <w:lang w:val="en-US"/>
        </w:rPr>
      </w:pPr>
      <w:r w:rsidRPr="002B77BA">
        <w:rPr>
          <w:rFonts w:ascii="Times New Roman" w:eastAsia="Times New Roman" w:hAnsi="Times New Roman" w:cs="Times New Roman"/>
          <w:sz w:val="24"/>
          <w:szCs w:val="24"/>
          <w:lang w:val="en-US"/>
        </w:rPr>
        <w:t xml:space="preserve">Parkash, S., Kaur, H., Bindal, M. K., Thapa, R., &amp; </w:t>
      </w:r>
      <w:proofErr w:type="spellStart"/>
      <w:r w:rsidRPr="002B77BA">
        <w:rPr>
          <w:rFonts w:ascii="Times New Roman" w:eastAsia="Times New Roman" w:hAnsi="Times New Roman" w:cs="Times New Roman"/>
          <w:sz w:val="24"/>
          <w:szCs w:val="24"/>
          <w:lang w:val="en-US"/>
        </w:rPr>
        <w:t>Kathait</w:t>
      </w:r>
      <w:proofErr w:type="spellEnd"/>
      <w:r w:rsidRPr="002B77BA">
        <w:rPr>
          <w:rFonts w:ascii="Times New Roman" w:eastAsia="Times New Roman" w:hAnsi="Times New Roman" w:cs="Times New Roman"/>
          <w:sz w:val="24"/>
          <w:szCs w:val="24"/>
          <w:lang w:val="en-US"/>
        </w:rPr>
        <w:t xml:space="preserve">, A. (2021). </w:t>
      </w:r>
      <w:r w:rsidRPr="002B77BA">
        <w:rPr>
          <w:rFonts w:ascii="Times New Roman" w:eastAsia="Times New Roman" w:hAnsi="Times New Roman" w:cs="Times New Roman"/>
          <w:i/>
          <w:iCs/>
          <w:sz w:val="24"/>
          <w:szCs w:val="24"/>
          <w:lang w:val="en-US"/>
        </w:rPr>
        <w:t>Floods challenges and its management: Case study of Gujarat floods—2017</w:t>
      </w:r>
      <w:r w:rsidRPr="002B77BA">
        <w:rPr>
          <w:rFonts w:ascii="Times New Roman" w:eastAsia="Times New Roman" w:hAnsi="Times New Roman" w:cs="Times New Roman"/>
          <w:sz w:val="24"/>
          <w:szCs w:val="24"/>
          <w:lang w:val="en-US"/>
        </w:rPr>
        <w:t xml:space="preserve">. National Institute of Disaster Management. </w:t>
      </w:r>
      <w:hyperlink r:id="rId38" w:history="1">
        <w:r w:rsidRPr="002B77BA">
          <w:rPr>
            <w:rFonts w:ascii="Times New Roman" w:eastAsia="Times New Roman" w:hAnsi="Times New Roman" w:cs="Times New Roman"/>
            <w:color w:val="0000FF"/>
            <w:sz w:val="24"/>
            <w:szCs w:val="24"/>
            <w:u w:val="single"/>
            <w:lang w:val="en-US"/>
          </w:rPr>
          <w:t>https://nidm.gov.in/PDF/pubs/GujaratFlood_NIDM2021.pdf</w:t>
        </w:r>
      </w:hyperlink>
    </w:p>
    <w:p w14:paraId="2AC1191D" w14:textId="5D8E423D" w:rsidR="002B77BA" w:rsidRPr="002B77BA" w:rsidRDefault="002B77BA" w:rsidP="002B77BA">
      <w:pPr>
        <w:ind w:left="540" w:hanging="540"/>
        <w:jc w:val="both"/>
        <w:rPr>
          <w:rFonts w:ascii="Times New Roman" w:eastAsia="Times New Roman" w:hAnsi="Times New Roman" w:cs="Times New Roman"/>
          <w:sz w:val="24"/>
          <w:szCs w:val="24"/>
          <w:lang w:val="en-US"/>
        </w:rPr>
      </w:pPr>
      <w:r w:rsidRPr="002B77BA">
        <w:rPr>
          <w:rFonts w:ascii="Times New Roman" w:eastAsia="Times New Roman" w:hAnsi="Times New Roman" w:cs="Times New Roman"/>
          <w:sz w:val="24"/>
          <w:szCs w:val="24"/>
          <w:lang w:val="en-US"/>
        </w:rPr>
        <w:t xml:space="preserve">Pietrelli, L., &amp; Biondi, M. (2012). Long term reproduction data of Kentish plover </w:t>
      </w:r>
      <w:r w:rsidRPr="002B77BA">
        <w:rPr>
          <w:rFonts w:ascii="Times New Roman" w:eastAsia="Times New Roman" w:hAnsi="Times New Roman" w:cs="Times New Roman"/>
          <w:i/>
          <w:iCs/>
          <w:sz w:val="24"/>
          <w:szCs w:val="24"/>
          <w:lang w:val="en-US"/>
        </w:rPr>
        <w:t xml:space="preserve">Charadrius </w:t>
      </w:r>
      <w:proofErr w:type="spellStart"/>
      <w:r w:rsidRPr="002B77BA">
        <w:rPr>
          <w:rFonts w:ascii="Times New Roman" w:eastAsia="Times New Roman" w:hAnsi="Times New Roman" w:cs="Times New Roman"/>
          <w:i/>
          <w:iCs/>
          <w:sz w:val="24"/>
          <w:szCs w:val="24"/>
          <w:lang w:val="en-US"/>
        </w:rPr>
        <w:t>alexandrinus</w:t>
      </w:r>
      <w:proofErr w:type="spellEnd"/>
      <w:r w:rsidRPr="002B77BA">
        <w:rPr>
          <w:rFonts w:ascii="Times New Roman" w:eastAsia="Times New Roman" w:hAnsi="Times New Roman" w:cs="Times New Roman"/>
          <w:sz w:val="24"/>
          <w:szCs w:val="24"/>
          <w:lang w:val="en-US"/>
        </w:rPr>
        <w:t xml:space="preserve"> along a Mediterranean coast. </w:t>
      </w:r>
      <w:r w:rsidRPr="002B77BA">
        <w:rPr>
          <w:rFonts w:ascii="Times New Roman" w:eastAsia="Times New Roman" w:hAnsi="Times New Roman" w:cs="Times New Roman"/>
          <w:i/>
          <w:iCs/>
          <w:sz w:val="24"/>
          <w:szCs w:val="24"/>
          <w:lang w:val="en-US"/>
        </w:rPr>
        <w:t>Wader Study Group Bulletin, 119</w:t>
      </w:r>
      <w:r w:rsidRPr="002B77BA">
        <w:rPr>
          <w:rFonts w:ascii="Times New Roman" w:eastAsia="Times New Roman" w:hAnsi="Times New Roman" w:cs="Times New Roman"/>
          <w:sz w:val="24"/>
          <w:szCs w:val="24"/>
          <w:lang w:val="en-US"/>
        </w:rPr>
        <w:t xml:space="preserve">(2), 114–119. </w:t>
      </w:r>
      <w:hyperlink r:id="rId39" w:history="1">
        <w:r w:rsidRPr="002B77BA">
          <w:rPr>
            <w:rFonts w:ascii="Times New Roman" w:eastAsia="Times New Roman" w:hAnsi="Times New Roman" w:cs="Times New Roman"/>
            <w:color w:val="0000FF"/>
            <w:sz w:val="24"/>
            <w:szCs w:val="24"/>
            <w:u w:val="single"/>
            <w:lang w:val="en-US"/>
          </w:rPr>
          <w:t>https://www.waderstudygroup.org/article/1935/</w:t>
        </w:r>
      </w:hyperlink>
    </w:p>
    <w:p w14:paraId="4CED2B20" w14:textId="6212E900" w:rsidR="002B77BA" w:rsidRPr="002B77BA" w:rsidRDefault="002B77BA" w:rsidP="002B77BA">
      <w:pPr>
        <w:ind w:left="540" w:hanging="540"/>
        <w:jc w:val="both"/>
        <w:rPr>
          <w:rFonts w:ascii="Times New Roman" w:eastAsia="Times New Roman" w:hAnsi="Times New Roman" w:cs="Times New Roman"/>
          <w:sz w:val="24"/>
          <w:szCs w:val="24"/>
          <w:lang w:val="en-US"/>
        </w:rPr>
      </w:pPr>
      <w:r w:rsidRPr="002B77BA">
        <w:rPr>
          <w:rFonts w:ascii="Times New Roman" w:eastAsia="Times New Roman" w:hAnsi="Times New Roman" w:cs="Times New Roman"/>
          <w:sz w:val="24"/>
          <w:szCs w:val="24"/>
          <w:lang w:val="en-US"/>
        </w:rPr>
        <w:t xml:space="preserve">Székely, T., Karsai, I., &amp; Williams, T. D. (1994). Determination of clutch-size in the Kentish plover </w:t>
      </w:r>
      <w:r w:rsidRPr="002B77BA">
        <w:rPr>
          <w:rFonts w:ascii="Times New Roman" w:eastAsia="Times New Roman" w:hAnsi="Times New Roman" w:cs="Times New Roman"/>
          <w:i/>
          <w:iCs/>
          <w:sz w:val="24"/>
          <w:szCs w:val="24"/>
          <w:lang w:val="en-US"/>
        </w:rPr>
        <w:t xml:space="preserve">Charadrius </w:t>
      </w:r>
      <w:proofErr w:type="spellStart"/>
      <w:r w:rsidRPr="002B77BA">
        <w:rPr>
          <w:rFonts w:ascii="Times New Roman" w:eastAsia="Times New Roman" w:hAnsi="Times New Roman" w:cs="Times New Roman"/>
          <w:i/>
          <w:iCs/>
          <w:sz w:val="24"/>
          <w:szCs w:val="24"/>
          <w:lang w:val="en-US"/>
        </w:rPr>
        <w:t>alexandrinus</w:t>
      </w:r>
      <w:proofErr w:type="spellEnd"/>
      <w:r w:rsidRPr="002B77BA">
        <w:rPr>
          <w:rFonts w:ascii="Times New Roman" w:eastAsia="Times New Roman" w:hAnsi="Times New Roman" w:cs="Times New Roman"/>
          <w:sz w:val="24"/>
          <w:szCs w:val="24"/>
          <w:lang w:val="en-US"/>
        </w:rPr>
        <w:t xml:space="preserve">. </w:t>
      </w:r>
      <w:r w:rsidRPr="002B77BA">
        <w:rPr>
          <w:rFonts w:ascii="Times New Roman" w:eastAsia="Times New Roman" w:hAnsi="Times New Roman" w:cs="Times New Roman"/>
          <w:i/>
          <w:iCs/>
          <w:sz w:val="24"/>
          <w:szCs w:val="24"/>
          <w:lang w:val="en-US"/>
        </w:rPr>
        <w:t>Ibis, 136</w:t>
      </w:r>
      <w:r w:rsidRPr="002B77BA">
        <w:rPr>
          <w:rFonts w:ascii="Times New Roman" w:eastAsia="Times New Roman" w:hAnsi="Times New Roman" w:cs="Times New Roman"/>
          <w:sz w:val="24"/>
          <w:szCs w:val="24"/>
          <w:lang w:val="en-US"/>
        </w:rPr>
        <w:t xml:space="preserve">(3), 341–348. </w:t>
      </w:r>
      <w:hyperlink r:id="rId40" w:history="1">
        <w:r w:rsidRPr="002B77BA">
          <w:rPr>
            <w:rFonts w:ascii="Times New Roman" w:eastAsia="Times New Roman" w:hAnsi="Times New Roman" w:cs="Times New Roman"/>
            <w:color w:val="0000FF"/>
            <w:sz w:val="24"/>
            <w:szCs w:val="24"/>
            <w:u w:val="single"/>
            <w:lang w:val="en-US"/>
          </w:rPr>
          <w:t>https://doi.org/10.1111/j.1474-919X.1994.tb01105.x</w:t>
        </w:r>
      </w:hyperlink>
    </w:p>
    <w:p w14:paraId="419C504E" w14:textId="3C732BB4" w:rsidR="002B77BA" w:rsidRPr="002B77BA" w:rsidRDefault="002B77BA" w:rsidP="002B77BA">
      <w:pPr>
        <w:ind w:left="540" w:hanging="540"/>
        <w:jc w:val="both"/>
        <w:rPr>
          <w:rFonts w:ascii="Times New Roman" w:eastAsia="Times New Roman" w:hAnsi="Times New Roman" w:cs="Times New Roman"/>
          <w:sz w:val="24"/>
          <w:szCs w:val="24"/>
          <w:lang w:val="en-US"/>
        </w:rPr>
      </w:pPr>
      <w:r w:rsidRPr="002B77BA">
        <w:rPr>
          <w:rFonts w:ascii="Times New Roman" w:eastAsia="Times New Roman" w:hAnsi="Times New Roman" w:cs="Times New Roman"/>
          <w:sz w:val="24"/>
          <w:szCs w:val="24"/>
          <w:lang w:val="en-US"/>
        </w:rPr>
        <w:t xml:space="preserve">Székely, T. (1996). Brood desertion in Kentish plover </w:t>
      </w:r>
      <w:r w:rsidRPr="002B77BA">
        <w:rPr>
          <w:rFonts w:ascii="Times New Roman" w:eastAsia="Times New Roman" w:hAnsi="Times New Roman" w:cs="Times New Roman"/>
          <w:i/>
          <w:iCs/>
          <w:sz w:val="24"/>
          <w:szCs w:val="24"/>
          <w:lang w:val="en-US"/>
        </w:rPr>
        <w:t xml:space="preserve">Charadrius </w:t>
      </w:r>
      <w:proofErr w:type="spellStart"/>
      <w:r w:rsidRPr="002B77BA">
        <w:rPr>
          <w:rFonts w:ascii="Times New Roman" w:eastAsia="Times New Roman" w:hAnsi="Times New Roman" w:cs="Times New Roman"/>
          <w:i/>
          <w:iCs/>
          <w:sz w:val="24"/>
          <w:szCs w:val="24"/>
          <w:lang w:val="en-US"/>
        </w:rPr>
        <w:t>alexandrinus</w:t>
      </w:r>
      <w:proofErr w:type="spellEnd"/>
      <w:r w:rsidRPr="002B77BA">
        <w:rPr>
          <w:rFonts w:ascii="Times New Roman" w:eastAsia="Times New Roman" w:hAnsi="Times New Roman" w:cs="Times New Roman"/>
          <w:sz w:val="24"/>
          <w:szCs w:val="24"/>
          <w:lang w:val="en-US"/>
        </w:rPr>
        <w:t xml:space="preserve">: An experimental test of parental quality and remating opportunities. </w:t>
      </w:r>
      <w:r w:rsidRPr="002B77BA">
        <w:rPr>
          <w:rFonts w:ascii="Times New Roman" w:eastAsia="Times New Roman" w:hAnsi="Times New Roman" w:cs="Times New Roman"/>
          <w:i/>
          <w:iCs/>
          <w:sz w:val="24"/>
          <w:szCs w:val="24"/>
          <w:lang w:val="en-US"/>
        </w:rPr>
        <w:t>Ibis, 138</w:t>
      </w:r>
      <w:r w:rsidRPr="002B77BA">
        <w:rPr>
          <w:rFonts w:ascii="Times New Roman" w:eastAsia="Times New Roman" w:hAnsi="Times New Roman" w:cs="Times New Roman"/>
          <w:sz w:val="24"/>
          <w:szCs w:val="24"/>
          <w:lang w:val="en-US"/>
        </w:rPr>
        <w:t xml:space="preserve">(4), 749–755. </w:t>
      </w:r>
      <w:hyperlink r:id="rId41" w:history="1">
        <w:r w:rsidRPr="002B77BA">
          <w:rPr>
            <w:rFonts w:ascii="Times New Roman" w:eastAsia="Times New Roman" w:hAnsi="Times New Roman" w:cs="Times New Roman"/>
            <w:color w:val="0000FF"/>
            <w:sz w:val="24"/>
            <w:szCs w:val="24"/>
            <w:u w:val="single"/>
            <w:lang w:val="en-US"/>
          </w:rPr>
          <w:t>https://doi.org/10.1111/j.1474-919X.1996.tb08832.x</w:t>
        </w:r>
      </w:hyperlink>
    </w:p>
    <w:p w14:paraId="24C18679" w14:textId="6712FBB6" w:rsidR="002B77BA" w:rsidRPr="002B77BA" w:rsidRDefault="002B77BA" w:rsidP="002B77BA">
      <w:pPr>
        <w:ind w:left="540" w:hanging="540"/>
        <w:jc w:val="both"/>
        <w:rPr>
          <w:rFonts w:ascii="Times New Roman" w:eastAsia="Times New Roman" w:hAnsi="Times New Roman" w:cs="Times New Roman"/>
          <w:sz w:val="24"/>
          <w:szCs w:val="24"/>
          <w:lang w:val="en-US"/>
        </w:rPr>
      </w:pPr>
      <w:r w:rsidRPr="002B77BA">
        <w:rPr>
          <w:rFonts w:ascii="Times New Roman" w:eastAsia="Times New Roman" w:hAnsi="Times New Roman" w:cs="Times New Roman"/>
          <w:sz w:val="24"/>
          <w:szCs w:val="24"/>
          <w:lang w:val="en-US"/>
        </w:rPr>
        <w:t xml:space="preserve">Székely, T., &amp; Cuthill, I. C. (1999). Brood desertion in Kentish plover: The value of parental care. </w:t>
      </w:r>
      <w:r w:rsidRPr="002B77BA">
        <w:rPr>
          <w:rFonts w:ascii="Times New Roman" w:eastAsia="Times New Roman" w:hAnsi="Times New Roman" w:cs="Times New Roman"/>
          <w:i/>
          <w:iCs/>
          <w:sz w:val="24"/>
          <w:szCs w:val="24"/>
          <w:lang w:val="en-US"/>
        </w:rPr>
        <w:t>Behavioral Ecology, 10</w:t>
      </w:r>
      <w:r w:rsidRPr="002B77BA">
        <w:rPr>
          <w:rFonts w:ascii="Times New Roman" w:eastAsia="Times New Roman" w:hAnsi="Times New Roman" w:cs="Times New Roman"/>
          <w:sz w:val="24"/>
          <w:szCs w:val="24"/>
          <w:lang w:val="en-US"/>
        </w:rPr>
        <w:t xml:space="preserve">(2), 191–197. </w:t>
      </w:r>
      <w:hyperlink r:id="rId42" w:history="1">
        <w:r w:rsidRPr="002B77BA">
          <w:rPr>
            <w:rFonts w:ascii="Times New Roman" w:eastAsia="Times New Roman" w:hAnsi="Times New Roman" w:cs="Times New Roman"/>
            <w:color w:val="0000FF"/>
            <w:sz w:val="24"/>
            <w:szCs w:val="24"/>
            <w:u w:val="single"/>
            <w:lang w:val="en-US"/>
          </w:rPr>
          <w:t>https://doi.org/10.1093/beheco/10.2.191</w:t>
        </w:r>
      </w:hyperlink>
    </w:p>
    <w:p w14:paraId="52120F01" w14:textId="2402A808" w:rsidR="00CE4E51" w:rsidRDefault="002B77BA" w:rsidP="002B77BA">
      <w:pPr>
        <w:ind w:left="540" w:hanging="540"/>
        <w:jc w:val="both"/>
      </w:pPr>
      <w:r w:rsidRPr="002B77BA">
        <w:rPr>
          <w:rFonts w:ascii="Times New Roman" w:eastAsia="Times New Roman" w:hAnsi="Times New Roman" w:cs="Times New Roman"/>
          <w:sz w:val="24"/>
          <w:szCs w:val="24"/>
          <w:lang w:val="en-US"/>
        </w:rPr>
        <w:t xml:space="preserve">Villalobos Perna, P., Finizio, M., Carranza, M. L., </w:t>
      </w:r>
      <w:proofErr w:type="spellStart"/>
      <w:r w:rsidRPr="002B77BA">
        <w:rPr>
          <w:rFonts w:ascii="Times New Roman" w:eastAsia="Times New Roman" w:hAnsi="Times New Roman" w:cs="Times New Roman"/>
          <w:sz w:val="24"/>
          <w:szCs w:val="24"/>
          <w:lang w:val="en-US"/>
        </w:rPr>
        <w:t>Innangi</w:t>
      </w:r>
      <w:proofErr w:type="spellEnd"/>
      <w:r w:rsidRPr="002B77BA">
        <w:rPr>
          <w:rFonts w:ascii="Times New Roman" w:eastAsia="Times New Roman" w:hAnsi="Times New Roman" w:cs="Times New Roman"/>
          <w:sz w:val="24"/>
          <w:szCs w:val="24"/>
          <w:lang w:val="en-US"/>
        </w:rPr>
        <w:t xml:space="preserve">, M., Bongiovanni, S. B., Andino, N., &amp; Di Febbraro, M. (2024). Anthropogenic and climate change-driven coastline dynamics will erode future nesting habitats of the Kentish plover on the central Adriatic coast. </w:t>
      </w:r>
      <w:r w:rsidRPr="002B77BA">
        <w:rPr>
          <w:rFonts w:ascii="Times New Roman" w:eastAsia="Times New Roman" w:hAnsi="Times New Roman" w:cs="Times New Roman"/>
          <w:i/>
          <w:iCs/>
          <w:sz w:val="24"/>
          <w:szCs w:val="24"/>
          <w:lang w:val="en-US"/>
        </w:rPr>
        <w:t>Scientific Reports, 14</w:t>
      </w:r>
      <w:r w:rsidRPr="002B77BA">
        <w:rPr>
          <w:rFonts w:ascii="Times New Roman" w:eastAsia="Times New Roman" w:hAnsi="Times New Roman" w:cs="Times New Roman"/>
          <w:sz w:val="24"/>
          <w:szCs w:val="24"/>
          <w:lang w:val="en-US"/>
        </w:rPr>
        <w:t xml:space="preserve">, 23306. </w:t>
      </w:r>
      <w:hyperlink r:id="rId43" w:history="1">
        <w:r w:rsidRPr="002B77BA">
          <w:rPr>
            <w:rFonts w:ascii="Times New Roman" w:eastAsia="Times New Roman" w:hAnsi="Times New Roman" w:cs="Times New Roman"/>
            <w:color w:val="0000FF"/>
            <w:sz w:val="24"/>
            <w:szCs w:val="24"/>
            <w:u w:val="single"/>
            <w:lang w:val="en-US"/>
          </w:rPr>
          <w:t>https://doi.org/10.1038/s41598-024-74726-5</w:t>
        </w:r>
      </w:hyperlink>
    </w:p>
    <w:sectPr w:rsidR="00CE4E51">
      <w:headerReference w:type="even" r:id="rId44"/>
      <w:headerReference w:type="default" r:id="rId45"/>
      <w:footerReference w:type="default" r:id="rId46"/>
      <w:headerReference w:type="first" r:id="rId47"/>
      <w:type w:val="continuous"/>
      <w:pgSz w:w="12240" w:h="15840"/>
      <w:pgMar w:top="1440" w:right="2016" w:bottom="2016" w:left="2016" w:header="720" w:footer="11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44EC4" w14:textId="77777777" w:rsidR="004C2D74" w:rsidRDefault="004C2D74">
      <w:r>
        <w:separator/>
      </w:r>
    </w:p>
  </w:endnote>
  <w:endnote w:type="continuationSeparator" w:id="0">
    <w:p w14:paraId="5F86DB01" w14:textId="77777777" w:rsidR="004C2D74" w:rsidRDefault="004C2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6AFFCB01-0985-459B-8AA1-D3A45A8268ED}"/>
    <w:embedBold r:id="rId2" w:fontKey="{F2205E41-3EF6-4F86-A62E-BE9E38203C23}"/>
  </w:font>
  <w:font w:name="Georgia">
    <w:panose1 w:val="02040502050405020303"/>
    <w:charset w:val="00"/>
    <w:family w:val="roman"/>
    <w:pitch w:val="variable"/>
    <w:sig w:usb0="00000287" w:usb1="00000000" w:usb2="00000000" w:usb3="00000000" w:csb0="0000009F" w:csb1="00000000"/>
    <w:embedItalic r:id="rId3" w:fontKey="{25FED6A2-4080-449F-9F53-7129BA640385}"/>
  </w:font>
  <w:font w:name="Calibri">
    <w:panose1 w:val="020F0502020204030204"/>
    <w:charset w:val="00"/>
    <w:family w:val="swiss"/>
    <w:pitch w:val="variable"/>
    <w:sig w:usb0="E4002EFF" w:usb1="C200247B" w:usb2="00000009" w:usb3="00000000" w:csb0="000001FF" w:csb1="00000000"/>
    <w:embedRegular r:id="rId4" w:fontKey="{BD5AA392-C32E-45FD-AB7C-B5C6521F2024}"/>
    <w:embedBold r:id="rId5" w:fontKey="{A4843643-DA0C-4516-915D-B9C59A92671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957F6" w14:textId="77777777" w:rsidR="000A00AB" w:rsidRDefault="000A00AB">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368B6" w14:textId="77777777" w:rsidR="000A00AB" w:rsidRDefault="00000000">
    <w:pPr>
      <w:pBdr>
        <w:top w:val="nil"/>
        <w:left w:val="nil"/>
        <w:bottom w:val="nil"/>
        <w:right w:val="nil"/>
        <w:between w:val="nil"/>
      </w:pBdr>
      <w:tabs>
        <w:tab w:val="center" w:pos="4320"/>
        <w:tab w:val="right" w:pos="8640"/>
      </w:tabs>
      <w:rPr>
        <w:color w:val="000000"/>
      </w:rPr>
    </w:pPr>
    <w:r>
      <w:rPr>
        <w:color w:val="00000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16D8D" w14:textId="77777777" w:rsidR="000A00AB" w:rsidRDefault="000A00AB">
    <w:pPr>
      <w:pBdr>
        <w:top w:val="nil"/>
        <w:left w:val="nil"/>
        <w:bottom w:val="nil"/>
        <w:right w:val="nil"/>
        <w:between w:val="nil"/>
      </w:pBdr>
      <w:tabs>
        <w:tab w:val="center" w:pos="4320"/>
        <w:tab w:val="right" w:pos="864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B022E" w14:textId="77777777" w:rsidR="000A00AB" w:rsidRDefault="000A00AB">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13165" w14:textId="77777777" w:rsidR="004C2D74" w:rsidRDefault="004C2D74">
      <w:r>
        <w:separator/>
      </w:r>
    </w:p>
  </w:footnote>
  <w:footnote w:type="continuationSeparator" w:id="0">
    <w:p w14:paraId="2906BEFE" w14:textId="77777777" w:rsidR="004C2D74" w:rsidRDefault="004C2D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15DD3" w14:textId="77777777" w:rsidR="000A00AB" w:rsidRDefault="00000000">
    <w:pPr>
      <w:pBdr>
        <w:top w:val="nil"/>
        <w:left w:val="nil"/>
        <w:bottom w:val="nil"/>
        <w:right w:val="nil"/>
        <w:between w:val="nil"/>
      </w:pBdr>
      <w:tabs>
        <w:tab w:val="center" w:pos="4320"/>
        <w:tab w:val="right" w:pos="8640"/>
      </w:tabs>
      <w:rPr>
        <w:color w:val="000000"/>
      </w:rPr>
    </w:pPr>
    <w:r>
      <w:rPr>
        <w:color w:val="000000"/>
      </w:rPr>
      <w:pict w14:anchorId="77E009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 o:spid="_x0000_s1036" type="#_x0000_t136" style="position:absolute;margin-left:0;margin-top:0;width:520.65pt;height:57.85pt;rotation:315;z-index:-251660800;mso-position-horizontal:center;mso-position-horizontal-relative:margin;mso-position-vertical:center;mso-position-vertical-relative:margin" fillcolor="silver" stroked="f">
          <v:fill opacity=".5"/>
          <v:textpath style="font-family:&quot;&amp;quot&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A8A62" w14:textId="77777777" w:rsidR="000A00AB" w:rsidRDefault="00000000">
    <w:pPr>
      <w:pBdr>
        <w:top w:val="nil"/>
        <w:left w:val="nil"/>
        <w:bottom w:val="nil"/>
        <w:right w:val="nil"/>
        <w:between w:val="nil"/>
      </w:pBdr>
      <w:tabs>
        <w:tab w:val="center" w:pos="4320"/>
        <w:tab w:val="right" w:pos="8640"/>
      </w:tabs>
      <w:rPr>
        <w:color w:val="000000"/>
      </w:rPr>
    </w:pPr>
    <w:r>
      <w:rPr>
        <w:color w:val="000000"/>
      </w:rPr>
      <w:pict w14:anchorId="342F74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 o:spid="_x0000_s1038" type="#_x0000_t136" style="position:absolute;margin-left:0;margin-top:0;width:520.65pt;height:57.85pt;rotation:315;z-index:-251662848;mso-position-horizontal:center;mso-position-horizontal-relative:margin;mso-position-vertical:center;mso-position-vertical-relative:margin" fillcolor="silver" stroked="f">
          <v:fill opacity=".5"/>
          <v:textpath style="font-family:&quot;&amp;quot&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EF77C" w14:textId="77777777" w:rsidR="000A00AB" w:rsidRDefault="00000000">
    <w:pPr>
      <w:ind w:left="2160"/>
      <w:jc w:val="center"/>
      <w:rPr>
        <w:rFonts w:ascii="Times New Roman" w:eastAsia="Times New Roman" w:hAnsi="Times New Roman" w:cs="Times New Roman"/>
        <w:i/>
        <w:iCs/>
        <w:sz w:val="18"/>
        <w:szCs w:val="18"/>
      </w:rPr>
    </w:pPr>
    <w:r>
      <w:pict w14:anchorId="41F731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1037" type="#_x0000_t136" style="position:absolute;left:0;text-align:left;margin-left:0;margin-top:0;width:520.65pt;height:57.85pt;rotation:315;z-index:-251661824;mso-position-horizontal:center;mso-position-horizontal-relative:margin;mso-position-vertical:center;mso-position-vertical-relative:margin" fillcolor="silver" stroked="f">
          <v:fill opacity=".5"/>
          <v:textpath style="font-family:&quot;&amp;quot&quot;;font-size:1pt" string="UNDER PEER REVIEW"/>
          <w10:wrap anchorx="margin" anchory="margin"/>
        </v:shape>
      </w:pict>
    </w:r>
  </w:p>
  <w:p w14:paraId="78292E27" w14:textId="77777777" w:rsidR="000A00AB" w:rsidRDefault="00000000">
    <w:pPr>
      <w:ind w:left="4320"/>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 xml:space="preserve">.     </w:t>
    </w:r>
  </w:p>
  <w:p w14:paraId="5EDC93C3" w14:textId="77777777" w:rsidR="000A00AB" w:rsidRDefault="00000000">
    <w:pPr>
      <w:jc w:val="center"/>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w:t>
    </w:r>
  </w:p>
  <w:p w14:paraId="4F1D9AF2" w14:textId="77777777" w:rsidR="000A00AB" w:rsidRDefault="00000000">
    <w:pPr>
      <w:spacing w:after="200"/>
      <w:jc w:val="center"/>
      <w:rPr>
        <w:rFonts w:ascii="Times New Roman" w:eastAsia="Times New Roman" w:hAnsi="Times New Roman" w:cs="Times New Roman"/>
        <w:b/>
        <w:bCs/>
        <w:i/>
        <w:iCs/>
        <w:sz w:val="32"/>
        <w:szCs w:val="32"/>
      </w:rPr>
    </w:pPr>
    <w:r>
      <w:rPr>
        <w:rFonts w:ascii="Times New Roman" w:eastAsia="Times New Roman" w:hAnsi="Times New Roman" w:cs="Times New Roman"/>
        <w:b/>
        <w:bCs/>
        <w:i/>
        <w:iCs/>
        <w:sz w:val="32"/>
        <w:szCs w:val="32"/>
      </w:rPr>
      <w:t xml:space="preserve">              . </w:t>
    </w:r>
  </w:p>
  <w:p w14:paraId="3DCE2076" w14:textId="77777777" w:rsidR="000A00AB" w:rsidRDefault="00000000">
    <w:pPr>
      <w:jc w:val="center"/>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 xml:space="preserve">                     </w:t>
    </w:r>
  </w:p>
  <w:p w14:paraId="27C033F2" w14:textId="77777777" w:rsidR="000A00AB" w:rsidRDefault="00000000">
    <w:pPr>
      <w:tabs>
        <w:tab w:val="left" w:pos="2145"/>
      </w:tabs>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ab/>
      <w:t>.</w:t>
    </w:r>
  </w:p>
  <w:p w14:paraId="1395A608" w14:textId="77777777" w:rsidR="000A00AB" w:rsidRDefault="00000000">
    <w:pPr>
      <w:pBdr>
        <w:top w:val="nil"/>
        <w:left w:val="nil"/>
        <w:bottom w:val="nil"/>
        <w:right w:val="nil"/>
        <w:between w:val="nil"/>
      </w:pBdr>
      <w:tabs>
        <w:tab w:val="center" w:pos="4320"/>
        <w:tab w:val="right" w:pos="8640"/>
      </w:tabs>
      <w:rPr>
        <w:color w:val="000000"/>
      </w:rPr>
    </w:pPr>
    <w:r>
      <w:rPr>
        <w:color w:val="000000"/>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D8447" w14:textId="77777777" w:rsidR="000A00AB" w:rsidRDefault="00000000">
    <w:pPr>
      <w:pBdr>
        <w:top w:val="nil"/>
        <w:left w:val="nil"/>
        <w:bottom w:val="nil"/>
        <w:right w:val="nil"/>
        <w:between w:val="nil"/>
      </w:pBdr>
      <w:tabs>
        <w:tab w:val="center" w:pos="4320"/>
        <w:tab w:val="right" w:pos="8640"/>
      </w:tabs>
      <w:rPr>
        <w:color w:val="000000"/>
      </w:rPr>
    </w:pPr>
    <w:r>
      <w:rPr>
        <w:color w:val="000000"/>
      </w:rPr>
      <w:pict w14:anchorId="194294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33" type="#_x0000_t136" style="position:absolute;margin-left:0;margin-top:0;width:520.65pt;height:57.85pt;rotation:315;z-index:-251657728;mso-position-horizontal:center;mso-position-horizontal-relative:margin;mso-position-vertical:center;mso-position-vertical-relative:margin" fillcolor="silver" stroked="f">
          <v:fill opacity=".5"/>
          <v:textpath style="font-family:&quot;&amp;quot&quot;;font-size:1pt" string="UNDER PEER REVIEW"/>
          <w10:wrap anchorx="margin" anchory="margin"/>
        </v:shape>
      </w:pict>
    </w:r>
    <w:r>
      <w:rPr>
        <w:color w:val="000000"/>
      </w:rPr>
      <w:pict w14:anchorId="2A51A814">
        <v:shape id="_x0000_s1030" type="#_x0000_t136" style="position:absolute;margin-left:0;margin-top:0;width:520.65pt;height:57.85pt;rotation:315;z-index:-2516556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B5220" w14:textId="77777777" w:rsidR="000A00AB" w:rsidRDefault="00000000">
    <w:pPr>
      <w:pBdr>
        <w:top w:val="nil"/>
        <w:left w:val="nil"/>
        <w:bottom w:val="nil"/>
        <w:right w:val="nil"/>
        <w:between w:val="nil"/>
      </w:pBdr>
      <w:tabs>
        <w:tab w:val="center" w:pos="4320"/>
        <w:tab w:val="right" w:pos="8640"/>
      </w:tabs>
      <w:rPr>
        <w:color w:val="000000"/>
      </w:rPr>
    </w:pPr>
    <w:r>
      <w:rPr>
        <w:color w:val="000000"/>
      </w:rPr>
      <w:pict w14:anchorId="19A9CA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35" type="#_x0000_t136" style="position:absolute;margin-left:0;margin-top:0;width:520.65pt;height:57.85pt;rotation:315;z-index:-251659776;mso-position-horizontal:center;mso-position-horizontal-relative:margin;mso-position-vertical:center;mso-position-vertical-relative:margin" fillcolor="silver" stroked="f">
          <v:fill opacity=".5"/>
          <v:textpath style="font-family:&quot;&amp;quot&quot;;font-size:1pt" string="UNDER PEER REVIEW"/>
          <w10:wrap anchorx="margin" anchory="margin"/>
        </v:shape>
      </w:pict>
    </w:r>
    <w:r>
      <w:rPr>
        <w:color w:val="000000"/>
      </w:rPr>
      <w:pict w14:anchorId="21C3C1CC">
        <v:shape id="_x0000_s1032" type="#_x0000_t136" style="position:absolute;margin-left:0;margin-top:0;width:520.65pt;height:57.85pt;rotation:315;z-index:-25165465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D13B0" w14:textId="77777777" w:rsidR="000A00AB" w:rsidRDefault="00000000">
    <w:pPr>
      <w:ind w:left="2160"/>
      <w:jc w:val="center"/>
      <w:rPr>
        <w:rFonts w:ascii="Times New Roman" w:eastAsia="Times New Roman" w:hAnsi="Times New Roman" w:cs="Times New Roman"/>
        <w:i/>
        <w:iCs/>
        <w:sz w:val="18"/>
        <w:szCs w:val="18"/>
      </w:rPr>
    </w:pPr>
    <w:r>
      <w:pict w14:anchorId="6DEE7B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34" type="#_x0000_t136" style="position:absolute;left:0;text-align:left;margin-left:0;margin-top:0;width:520.65pt;height:57.85pt;rotation:315;z-index:-251658752;mso-position-horizontal:center;mso-position-horizontal-relative:margin;mso-position-vertical:center;mso-position-vertical-relative:margin" fillcolor="silver" stroked="f">
          <v:fill opacity=".5"/>
          <v:textpath style="font-family:&quot;&amp;quot&quot;;font-size:1pt" string="UNDER PEER REVIEW"/>
          <w10:wrap anchorx="margin" anchory="margin"/>
        </v:shape>
      </w:pict>
    </w:r>
    <w:r>
      <w:pict w14:anchorId="70FD7B7C">
        <v:shape id="_x0000_s1028" type="#_x0000_t136" style="position:absolute;left:0;text-align:left;margin-left:0;margin-top:0;width:520.65pt;height:57.85pt;rotation:315;z-index:-25165670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41392C04" w14:textId="77777777" w:rsidR="000A00AB" w:rsidRDefault="00000000">
    <w:pPr>
      <w:ind w:left="4320"/>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 xml:space="preserve">.     </w:t>
    </w:r>
  </w:p>
  <w:p w14:paraId="495A7091" w14:textId="77777777" w:rsidR="000A00AB" w:rsidRDefault="00000000">
    <w:pPr>
      <w:jc w:val="center"/>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w:t>
    </w:r>
  </w:p>
  <w:p w14:paraId="2D9D3FB9" w14:textId="77777777" w:rsidR="000A00AB" w:rsidRDefault="00000000">
    <w:pPr>
      <w:spacing w:after="200"/>
      <w:jc w:val="center"/>
      <w:rPr>
        <w:rFonts w:ascii="Times New Roman" w:eastAsia="Times New Roman" w:hAnsi="Times New Roman" w:cs="Times New Roman"/>
        <w:b/>
        <w:bCs/>
        <w:i/>
        <w:iCs/>
        <w:sz w:val="32"/>
        <w:szCs w:val="32"/>
      </w:rPr>
    </w:pPr>
    <w:r>
      <w:rPr>
        <w:rFonts w:ascii="Times New Roman" w:eastAsia="Times New Roman" w:hAnsi="Times New Roman" w:cs="Times New Roman"/>
        <w:b/>
        <w:bCs/>
        <w:i/>
        <w:iCs/>
        <w:sz w:val="32"/>
        <w:szCs w:val="32"/>
      </w:rPr>
      <w:t xml:space="preserve">              . </w:t>
    </w:r>
  </w:p>
  <w:p w14:paraId="04A255E8" w14:textId="77777777" w:rsidR="000A00AB" w:rsidRDefault="00000000">
    <w:pPr>
      <w:jc w:val="center"/>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 xml:space="preserve">                     </w:t>
    </w:r>
  </w:p>
  <w:p w14:paraId="62C65383" w14:textId="77777777" w:rsidR="000A00AB" w:rsidRDefault="00000000">
    <w:pPr>
      <w:tabs>
        <w:tab w:val="left" w:pos="2145"/>
      </w:tabs>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ab/>
      <w:t>.</w:t>
    </w:r>
  </w:p>
  <w:p w14:paraId="6D7EA533" w14:textId="77777777" w:rsidR="000A00AB" w:rsidRDefault="00000000">
    <w:pPr>
      <w:pBdr>
        <w:top w:val="nil"/>
        <w:left w:val="nil"/>
        <w:bottom w:val="nil"/>
        <w:right w:val="nil"/>
        <w:between w:val="nil"/>
      </w:pBdr>
      <w:tabs>
        <w:tab w:val="center" w:pos="4320"/>
        <w:tab w:val="right" w:pos="8640"/>
      </w:tabs>
      <w:rPr>
        <w:color w:val="000000"/>
      </w:rPr>
    </w:pPr>
    <w:r>
      <w:rPr>
        <w:color w:val="00000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B4DF0"/>
    <w:multiLevelType w:val="hybridMultilevel"/>
    <w:tmpl w:val="741012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D936E0"/>
    <w:multiLevelType w:val="hybridMultilevel"/>
    <w:tmpl w:val="5D608B0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6604945">
    <w:abstractNumId w:val="0"/>
  </w:num>
  <w:num w:numId="2" w16cid:durableId="1143277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0AB"/>
    <w:rsid w:val="00000054"/>
    <w:rsid w:val="000A00AB"/>
    <w:rsid w:val="000C4BD9"/>
    <w:rsid w:val="002B77BA"/>
    <w:rsid w:val="0047086E"/>
    <w:rsid w:val="004C2D74"/>
    <w:rsid w:val="004D36EF"/>
    <w:rsid w:val="005451C2"/>
    <w:rsid w:val="0070571E"/>
    <w:rsid w:val="0071268F"/>
    <w:rsid w:val="00735CBB"/>
    <w:rsid w:val="00763D1B"/>
    <w:rsid w:val="007E64A3"/>
    <w:rsid w:val="00CE4E51"/>
    <w:rsid w:val="00F02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8042B6"/>
  <w15:docId w15:val="{1DC7B5F0-1E61-47EE-B799-D8B2A2835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Helvetica Neue" w:hAnsi="Helvetica Neue" w:cs="Helvetica Neue"/>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bCs/>
      <w:sz w:val="28"/>
      <w:szCs w:val="2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bCs/>
      <w:color w:val="4F81BD"/>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360"/>
      <w:jc w:val="right"/>
    </w:pPr>
    <w:rPr>
      <w:b/>
      <w:bCs/>
      <w:sz w:val="36"/>
      <w:szCs w:val="36"/>
    </w:rPr>
  </w:style>
  <w:style w:type="paragraph" w:styleId="Subtitle">
    <w:name w:val="Subtitle"/>
    <w:basedOn w:val="Normal"/>
    <w:next w:val="Normal"/>
    <w:uiPriority w:val="11"/>
    <w:qFormat/>
    <w:pPr>
      <w:keepNext/>
      <w:keepLines/>
      <w:widowControl w:val="0"/>
      <w:spacing w:before="360" w:after="80"/>
      <w:ind w:left="850" w:right="85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1">
    <w:basedOn w:val="TableNormal0"/>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2">
    <w:basedOn w:val="TableNormal0"/>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paragraph" w:styleId="ListParagraph">
    <w:name w:val="List Paragraph"/>
    <w:basedOn w:val="Normal"/>
    <w:uiPriority w:val="34"/>
    <w:qFormat/>
    <w:rsid w:val="002B77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doi.org/10.1111/j.1474-919X.1999.tb07367.x" TargetMode="External"/><Relationship Id="rId26" Type="http://schemas.openxmlformats.org/officeDocument/2006/relationships/hyperlink" Target="https://doi.org/10.1371/journal.pone.0107121" TargetMode="External"/><Relationship Id="rId39" Type="http://schemas.openxmlformats.org/officeDocument/2006/relationships/hyperlink" Target="https://www.waderstudygroup.org/article/1935/" TargetMode="External"/><Relationship Id="rId21" Type="http://schemas.openxmlformats.org/officeDocument/2006/relationships/hyperlink" Target="https://doi.org/10.1163/1568539X-00003008" TargetMode="External"/><Relationship Id="rId34" Type="http://schemas.openxmlformats.org/officeDocument/2006/relationships/hyperlink" Target="https://doi.org/10.1111/j.1474-919X.1984.tb02074.x" TargetMode="External"/><Relationship Id="rId42" Type="http://schemas.openxmlformats.org/officeDocument/2006/relationships/hyperlink" Target="https://doi.org/10.1093/beheco/10.2.191" TargetMode="External"/><Relationship Id="rId47" Type="http://schemas.openxmlformats.org/officeDocument/2006/relationships/header" Target="header6.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chart" Target="charts/chart2.xml"/><Relationship Id="rId29" Type="http://schemas.openxmlformats.org/officeDocument/2006/relationships/hyperlink" Target="https://doi.org/10.1111/j.1365-2656.2006.01049.x" TargetMode="External"/><Relationship Id="rId11" Type="http://schemas.openxmlformats.org/officeDocument/2006/relationships/header" Target="header3.xml"/><Relationship Id="rId24" Type="http://schemas.openxmlformats.org/officeDocument/2006/relationships/hyperlink" Target="https://doi.org/10.18194/ws.00115" TargetMode="External"/><Relationship Id="rId32" Type="http://schemas.openxmlformats.org/officeDocument/2006/relationships/hyperlink" Target="https://doi.org/10.1007/s11273-025-10075-y" TargetMode="External"/><Relationship Id="rId37" Type="http://schemas.openxmlformats.org/officeDocument/2006/relationships/hyperlink" Target="https://www.ardeola.org/uploads/articles/docs/1187.pdf" TargetMode="External"/><Relationship Id="rId40" Type="http://schemas.openxmlformats.org/officeDocument/2006/relationships/hyperlink" Target="https://doi.org/10.1111/j.1474-919X.1994.tb01105.x" TargetMode="External"/><Relationship Id="rId45"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hyperlink" Target="https://doi.org/10.2173/bow.kenplo1.01.2" TargetMode="External"/><Relationship Id="rId28" Type="http://schemas.openxmlformats.org/officeDocument/2006/relationships/hyperlink" Target="https://doi.org/10.9734/ajee/2024/v23i1522" TargetMode="External"/><Relationship Id="rId36" Type="http://schemas.openxmlformats.org/officeDocument/2006/relationships/hyperlink" Target="https://doi.org/10.56557/joban/2026/v18i210770" TargetMode="External"/><Relationship Id="rId49"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s://doi.org/10.1016/j.anbehav.2003.06.014" TargetMode="External"/><Relationship Id="rId31" Type="http://schemas.openxmlformats.org/officeDocument/2006/relationships/hyperlink" Target="https://doi.org/10.1080/24750263.2025.2468797" TargetMode="External"/><Relationship Id="rId44"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hyperlink" Target="https://doi.org/10.1016/j.avrs.2024.100158" TargetMode="External"/><Relationship Id="rId27" Type="http://schemas.openxmlformats.org/officeDocument/2006/relationships/hyperlink" Target="https://doi.org/10.5141/JEFB.2008.31.3.201" TargetMode="External"/><Relationship Id="rId30" Type="http://schemas.openxmlformats.org/officeDocument/2006/relationships/hyperlink" Target="https://doi.org/10.1080/00063650902792106" TargetMode="External"/><Relationship Id="rId35" Type="http://schemas.openxmlformats.org/officeDocument/2006/relationships/hyperlink" Target="https://doi.org/10.1002/ece3.9884" TargetMode="External"/><Relationship Id="rId43" Type="http://schemas.openxmlformats.org/officeDocument/2006/relationships/hyperlink" Target="https://doi.org/10.1038/s41598-024-74726-5" TargetMode="External"/><Relationship Id="rId48" Type="http://schemas.openxmlformats.org/officeDocument/2006/relationships/fontTable" Target="fontTable.xml"/><Relationship Id="rId8"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yperlink" Target="https://doi.org/10.1080/09397140.2011.10648858" TargetMode="External"/><Relationship Id="rId25" Type="http://schemas.openxmlformats.org/officeDocument/2006/relationships/hyperlink" Target="https://www.ardeola.org/en/volumes/431/articles/69-85/" TargetMode="External"/><Relationship Id="rId33" Type="http://schemas.openxmlformats.org/officeDocument/2006/relationships/hyperlink" Target="https://doi.org/10.1371/journal.pone.0325750" TargetMode="External"/><Relationship Id="rId38" Type="http://schemas.openxmlformats.org/officeDocument/2006/relationships/hyperlink" Target="https://nidm.gov.in/PDF/pubs/GujaratFlood_NIDM2021.pdf" TargetMode="External"/><Relationship Id="rId46" Type="http://schemas.openxmlformats.org/officeDocument/2006/relationships/footer" Target="footer4.xml"/><Relationship Id="rId20" Type="http://schemas.openxmlformats.org/officeDocument/2006/relationships/hyperlink" Target="https://doi.org/10.1007/s00265-004-0758-9" TargetMode="External"/><Relationship Id="rId41" Type="http://schemas.openxmlformats.org/officeDocument/2006/relationships/hyperlink" Target="https://doi.org/10.1111/j.1474-919X.1996.tb08832.x" TargetMode="External"/><Relationship Id="rId1" Type="http://schemas.openxmlformats.org/officeDocument/2006/relationships/numbering" Target="numbering.xml"/><Relationship Id="rId6"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1" Type="http://schemas.openxmlformats.org/officeDocument/2006/relationships/oleObject" Target="file:///C:\Users\sb\Downloads\Kentish_Plover_Hatching_Success_Editable_Line_Char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b\Desktop\Paper\Kentish_Plover_Egg_Loss_Editable_Stacked_Bar(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sz="1000"/>
            </a:pPr>
            <a:r>
              <a:rPr lang="en-US" sz="1000"/>
              <a:t>Hatching Success (%) Over Years</a:t>
            </a:r>
          </a:p>
        </c:rich>
      </c:tx>
      <c:overlay val="0"/>
    </c:title>
    <c:autoTitleDeleted val="0"/>
    <c:plotArea>
      <c:layout/>
      <c:lineChart>
        <c:grouping val="standard"/>
        <c:varyColors val="1"/>
        <c:ser>
          <c:idx val="0"/>
          <c:order val="0"/>
          <c:tx>
            <c:strRef>
              <c:f>'[Kentish_Plover_Hatching_Success_Editable_Line_Chart.xlsx]Hatching Success Data'!$B$1</c:f>
              <c:strCache>
                <c:ptCount val="1"/>
                <c:pt idx="0">
                  <c:v>Machchhu-I (%)</c:v>
                </c:pt>
              </c:strCache>
            </c:strRef>
          </c:tx>
          <c:cat>
            <c:numRef>
              <c:f>'[Kentish_Plover_Hatching_Success_Editable_Line_Chart.xlsx]Hatching Success Data'!$A$2:$A$4</c:f>
              <c:numCache>
                <c:formatCode>General</c:formatCode>
                <c:ptCount val="3"/>
                <c:pt idx="0">
                  <c:v>2024</c:v>
                </c:pt>
                <c:pt idx="1">
                  <c:v>2025</c:v>
                </c:pt>
                <c:pt idx="2">
                  <c:v>2026</c:v>
                </c:pt>
              </c:numCache>
            </c:numRef>
          </c:cat>
          <c:val>
            <c:numRef>
              <c:f>'[Kentish_Plover_Hatching_Success_Editable_Line_Chart.xlsx]Hatching Success Data'!$B$2:$B$4</c:f>
              <c:numCache>
                <c:formatCode>0.00"%"</c:formatCode>
                <c:ptCount val="3"/>
                <c:pt idx="0">
                  <c:v>75.92</c:v>
                </c:pt>
                <c:pt idx="1">
                  <c:v>76</c:v>
                </c:pt>
                <c:pt idx="2">
                  <c:v>81.25</c:v>
                </c:pt>
              </c:numCache>
            </c:numRef>
          </c:val>
          <c:smooth val="1"/>
          <c:extLst>
            <c:ext xmlns:c16="http://schemas.microsoft.com/office/drawing/2014/chart" uri="{C3380CC4-5D6E-409C-BE32-E72D297353CC}">
              <c16:uniqueId val="{00000000-942E-4124-8D4F-FD9025CC1750}"/>
            </c:ext>
          </c:extLst>
        </c:ser>
        <c:ser>
          <c:idx val="1"/>
          <c:order val="1"/>
          <c:tx>
            <c:strRef>
              <c:f>'[Kentish_Plover_Hatching_Success_Editable_Line_Chart.xlsx]Hatching Success Data'!$C$1</c:f>
              <c:strCache>
                <c:ptCount val="1"/>
                <c:pt idx="0">
                  <c:v>Machchhu-II (%)</c:v>
                </c:pt>
              </c:strCache>
            </c:strRef>
          </c:tx>
          <c:cat>
            <c:numRef>
              <c:f>'[Kentish_Plover_Hatching_Success_Editable_Line_Chart.xlsx]Hatching Success Data'!$A$2:$A$4</c:f>
              <c:numCache>
                <c:formatCode>General</c:formatCode>
                <c:ptCount val="3"/>
                <c:pt idx="0">
                  <c:v>2024</c:v>
                </c:pt>
                <c:pt idx="1">
                  <c:v>2025</c:v>
                </c:pt>
                <c:pt idx="2">
                  <c:v>2026</c:v>
                </c:pt>
              </c:numCache>
            </c:numRef>
          </c:cat>
          <c:val>
            <c:numRef>
              <c:f>'[Kentish_Plover_Hatching_Success_Editable_Line_Chart.xlsx]Hatching Success Data'!$C$2:$C$4</c:f>
              <c:numCache>
                <c:formatCode>0.00"%"</c:formatCode>
                <c:ptCount val="3"/>
                <c:pt idx="0">
                  <c:v>85.36</c:v>
                </c:pt>
                <c:pt idx="1">
                  <c:v>74.290000000000006</c:v>
                </c:pt>
                <c:pt idx="2">
                  <c:v>90.63</c:v>
                </c:pt>
              </c:numCache>
            </c:numRef>
          </c:val>
          <c:smooth val="1"/>
          <c:extLst>
            <c:ext xmlns:c16="http://schemas.microsoft.com/office/drawing/2014/chart" uri="{C3380CC4-5D6E-409C-BE32-E72D297353CC}">
              <c16:uniqueId val="{00000001-942E-4124-8D4F-FD9025CC1750}"/>
            </c:ext>
          </c:extLst>
        </c:ser>
        <c:dLbls>
          <c:showLegendKey val="0"/>
          <c:showVal val="0"/>
          <c:showCatName val="0"/>
          <c:showSerName val="0"/>
          <c:showPercent val="0"/>
          <c:showBubbleSize val="0"/>
        </c:dLbls>
        <c:marker val="1"/>
        <c:smooth val="0"/>
        <c:axId val="131136512"/>
        <c:axId val="77165696"/>
      </c:lineChart>
      <c:catAx>
        <c:axId val="131136512"/>
        <c:scaling>
          <c:orientation val="minMax"/>
        </c:scaling>
        <c:delete val="0"/>
        <c:axPos val="b"/>
        <c:title>
          <c:tx>
            <c:rich>
              <a:bodyPr/>
              <a:lstStyle/>
              <a:p>
                <a:pPr>
                  <a:defRPr/>
                </a:pPr>
                <a:r>
                  <a:rPr lang="en-US"/>
                  <a:t>Year</a:t>
                </a:r>
              </a:p>
            </c:rich>
          </c:tx>
          <c:overlay val="0"/>
        </c:title>
        <c:numFmt formatCode="General" sourceLinked="1"/>
        <c:majorTickMark val="out"/>
        <c:minorTickMark val="none"/>
        <c:tickLblPos val="nextTo"/>
        <c:crossAx val="77165696"/>
        <c:crosses val="autoZero"/>
        <c:auto val="1"/>
        <c:lblAlgn val="ctr"/>
        <c:lblOffset val="100"/>
        <c:noMultiLvlLbl val="1"/>
      </c:catAx>
      <c:valAx>
        <c:axId val="77165696"/>
        <c:scaling>
          <c:orientation val="minMax"/>
          <c:min val="70"/>
        </c:scaling>
        <c:delete val="0"/>
        <c:axPos val="l"/>
        <c:majorGridlines/>
        <c:title>
          <c:tx>
            <c:rich>
              <a:bodyPr rot="-5400000" vert="horz"/>
              <a:lstStyle/>
              <a:p>
                <a:pPr>
                  <a:defRPr/>
                </a:pPr>
                <a:r>
                  <a:rPr lang="en-US"/>
                  <a:t>Hatching success (%)</a:t>
                </a:r>
              </a:p>
            </c:rich>
          </c:tx>
          <c:overlay val="0"/>
        </c:title>
        <c:numFmt formatCode="0.00&quot;%&quot;" sourceLinked="1"/>
        <c:majorTickMark val="out"/>
        <c:minorTickMark val="none"/>
        <c:tickLblPos val="nextTo"/>
        <c:crossAx val="131136512"/>
        <c:crosses val="autoZero"/>
        <c:crossBetween val="between"/>
      </c:valAx>
    </c:plotArea>
    <c:legend>
      <c:legendPos val="r"/>
      <c:overlay val="0"/>
    </c:legend>
    <c:plotVisOnly val="1"/>
    <c:dispBlanksAs val="gap"/>
    <c:showDLblsOverMax val="1"/>
  </c:chart>
  <c:txPr>
    <a:bodyPr/>
    <a:lstStyle/>
    <a:p>
      <a:pPr>
        <a:defRPr>
          <a:latin typeface="Arial" pitchFamily="34" charset="0"/>
          <a:cs typeface="Arial" pitchFamily="34"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US" sz="1000"/>
              <a:t>Causes of Egg Loss</a:t>
            </a:r>
          </a:p>
        </c:rich>
      </c:tx>
      <c:overlay val="0"/>
    </c:title>
    <c:autoTitleDeleted val="0"/>
    <c:plotArea>
      <c:layout/>
      <c:barChart>
        <c:barDir val="col"/>
        <c:grouping val="percentStacked"/>
        <c:varyColors val="1"/>
        <c:ser>
          <c:idx val="0"/>
          <c:order val="0"/>
          <c:tx>
            <c:strRef>
              <c:f>'[Kentish_Plover_Egg_Loss_Editable_Stacked_Bar(1).xlsx]Egg Loss Data'!$F$1</c:f>
              <c:strCache>
                <c:ptCount val="1"/>
                <c:pt idx="0">
                  <c:v>Predation %</c:v>
                </c:pt>
              </c:strCache>
            </c:strRef>
          </c:tx>
          <c:invertIfNegative val="1"/>
          <c:cat>
            <c:strRef>
              <c:f>'[Kentish_Plover_Egg_Loss_Editable_Stacked_Bar(1).xlsx]Egg Loss Data'!$A$2:$A$7</c:f>
              <c:strCache>
                <c:ptCount val="6"/>
                <c:pt idx="0">
                  <c:v>M-I 2024</c:v>
                </c:pt>
                <c:pt idx="1">
                  <c:v>M-I 2025</c:v>
                </c:pt>
                <c:pt idx="2">
                  <c:v>M-I 2026</c:v>
                </c:pt>
                <c:pt idx="3">
                  <c:v>M-II 2024</c:v>
                </c:pt>
                <c:pt idx="4">
                  <c:v>M-II 2025</c:v>
                </c:pt>
                <c:pt idx="5">
                  <c:v>M-II 2026</c:v>
                </c:pt>
              </c:strCache>
            </c:strRef>
          </c:cat>
          <c:val>
            <c:numRef>
              <c:f>'[Kentish_Plover_Egg_Loss_Editable_Stacked_Bar(1).xlsx]Egg Loss Data'!$F$2:$F$7</c:f>
              <c:numCache>
                <c:formatCode>0.0%</c:formatCode>
                <c:ptCount val="6"/>
                <c:pt idx="0">
                  <c:v>0.38461538461538464</c:v>
                </c:pt>
                <c:pt idx="1">
                  <c:v>0.27777777777777779</c:v>
                </c:pt>
                <c:pt idx="2">
                  <c:v>0.33333333333333331</c:v>
                </c:pt>
                <c:pt idx="3">
                  <c:v>0.33333333333333331</c:v>
                </c:pt>
                <c:pt idx="4">
                  <c:v>0.33333333333333331</c:v>
                </c:pt>
                <c:pt idx="5">
                  <c:v>0</c:v>
                </c:pt>
              </c:numCache>
            </c:numRef>
          </c:val>
          <c:extLst>
            <c:ext xmlns:c16="http://schemas.microsoft.com/office/drawing/2014/chart" uri="{C3380CC4-5D6E-409C-BE32-E72D297353CC}">
              <c16:uniqueId val="{00000000-D57F-47D2-A348-44E0E8D8642E}"/>
            </c:ext>
          </c:extLst>
        </c:ser>
        <c:ser>
          <c:idx val="1"/>
          <c:order val="1"/>
          <c:tx>
            <c:strRef>
              <c:f>'[Kentish_Plover_Egg_Loss_Editable_Stacked_Bar(1).xlsx]Egg Loss Data'!$G$1</c:f>
              <c:strCache>
                <c:ptCount val="1"/>
                <c:pt idx="0">
                  <c:v>Nest-damage %</c:v>
                </c:pt>
              </c:strCache>
            </c:strRef>
          </c:tx>
          <c:invertIfNegative val="1"/>
          <c:cat>
            <c:strRef>
              <c:f>'[Kentish_Plover_Egg_Loss_Editable_Stacked_Bar(1).xlsx]Egg Loss Data'!$A$2:$A$7</c:f>
              <c:strCache>
                <c:ptCount val="6"/>
                <c:pt idx="0">
                  <c:v>M-I 2024</c:v>
                </c:pt>
                <c:pt idx="1">
                  <c:v>M-I 2025</c:v>
                </c:pt>
                <c:pt idx="2">
                  <c:v>M-I 2026</c:v>
                </c:pt>
                <c:pt idx="3">
                  <c:v>M-II 2024</c:v>
                </c:pt>
                <c:pt idx="4">
                  <c:v>M-II 2025</c:v>
                </c:pt>
                <c:pt idx="5">
                  <c:v>M-II 2026</c:v>
                </c:pt>
              </c:strCache>
            </c:strRef>
          </c:cat>
          <c:val>
            <c:numRef>
              <c:f>'[Kentish_Plover_Egg_Loss_Editable_Stacked_Bar(1).xlsx]Egg Loss Data'!$G$2:$G$7</c:f>
              <c:numCache>
                <c:formatCode>0.0%</c:formatCode>
                <c:ptCount val="6"/>
                <c:pt idx="0">
                  <c:v>0.46153846153846156</c:v>
                </c:pt>
                <c:pt idx="1">
                  <c:v>0.5</c:v>
                </c:pt>
                <c:pt idx="2">
                  <c:v>0.44444444444444442</c:v>
                </c:pt>
                <c:pt idx="3">
                  <c:v>0.5</c:v>
                </c:pt>
                <c:pt idx="4">
                  <c:v>0.55555555555555558</c:v>
                </c:pt>
                <c:pt idx="5">
                  <c:v>0.66666666666666663</c:v>
                </c:pt>
              </c:numCache>
            </c:numRef>
          </c:val>
          <c:extLst>
            <c:ext xmlns:c16="http://schemas.microsoft.com/office/drawing/2014/chart" uri="{C3380CC4-5D6E-409C-BE32-E72D297353CC}">
              <c16:uniqueId val="{00000001-D57F-47D2-A348-44E0E8D8642E}"/>
            </c:ext>
          </c:extLst>
        </c:ser>
        <c:ser>
          <c:idx val="2"/>
          <c:order val="2"/>
          <c:tx>
            <c:strRef>
              <c:f>'[Kentish_Plover_Egg_Loss_Editable_Stacked_Bar(1).xlsx]Egg Loss Data'!$H$1</c:f>
              <c:strCache>
                <c:ptCount val="1"/>
                <c:pt idx="0">
                  <c:v>Hatching failure %</c:v>
                </c:pt>
              </c:strCache>
            </c:strRef>
          </c:tx>
          <c:invertIfNegative val="1"/>
          <c:cat>
            <c:strRef>
              <c:f>'[Kentish_Plover_Egg_Loss_Editable_Stacked_Bar(1).xlsx]Egg Loss Data'!$A$2:$A$7</c:f>
              <c:strCache>
                <c:ptCount val="6"/>
                <c:pt idx="0">
                  <c:v>M-I 2024</c:v>
                </c:pt>
                <c:pt idx="1">
                  <c:v>M-I 2025</c:v>
                </c:pt>
                <c:pt idx="2">
                  <c:v>M-I 2026</c:v>
                </c:pt>
                <c:pt idx="3">
                  <c:v>M-II 2024</c:v>
                </c:pt>
                <c:pt idx="4">
                  <c:v>M-II 2025</c:v>
                </c:pt>
                <c:pt idx="5">
                  <c:v>M-II 2026</c:v>
                </c:pt>
              </c:strCache>
            </c:strRef>
          </c:cat>
          <c:val>
            <c:numRef>
              <c:f>'[Kentish_Plover_Egg_Loss_Editable_Stacked_Bar(1).xlsx]Egg Loss Data'!$H$2:$H$7</c:f>
              <c:numCache>
                <c:formatCode>0.0%</c:formatCode>
                <c:ptCount val="6"/>
                <c:pt idx="0">
                  <c:v>0.15384615384615385</c:v>
                </c:pt>
                <c:pt idx="1">
                  <c:v>0.22222222222222221</c:v>
                </c:pt>
                <c:pt idx="2">
                  <c:v>0.22222222222222221</c:v>
                </c:pt>
                <c:pt idx="3">
                  <c:v>0.16666666666666666</c:v>
                </c:pt>
                <c:pt idx="4">
                  <c:v>0.1111111111111111</c:v>
                </c:pt>
                <c:pt idx="5">
                  <c:v>0.33333333333333331</c:v>
                </c:pt>
              </c:numCache>
            </c:numRef>
          </c:val>
          <c:extLst>
            <c:ext xmlns:c16="http://schemas.microsoft.com/office/drawing/2014/chart" uri="{C3380CC4-5D6E-409C-BE32-E72D297353CC}">
              <c16:uniqueId val="{00000002-D57F-47D2-A348-44E0E8D8642E}"/>
            </c:ext>
          </c:extLst>
        </c:ser>
        <c:dLbls>
          <c:showLegendKey val="0"/>
          <c:showVal val="0"/>
          <c:showCatName val="0"/>
          <c:showSerName val="0"/>
          <c:showPercent val="0"/>
          <c:showBubbleSize val="0"/>
        </c:dLbls>
        <c:gapWidth val="150"/>
        <c:overlap val="100"/>
        <c:axId val="77192192"/>
        <c:axId val="77194368"/>
      </c:barChart>
      <c:catAx>
        <c:axId val="77192192"/>
        <c:scaling>
          <c:orientation val="minMax"/>
        </c:scaling>
        <c:delete val="0"/>
        <c:axPos val="b"/>
        <c:title>
          <c:tx>
            <c:rich>
              <a:bodyPr/>
              <a:lstStyle/>
              <a:p>
                <a:pPr>
                  <a:defRPr/>
                </a:pPr>
                <a:r>
                  <a:rPr lang="en-US"/>
                  <a:t>Site and year</a:t>
                </a:r>
              </a:p>
            </c:rich>
          </c:tx>
          <c:overlay val="0"/>
        </c:title>
        <c:numFmt formatCode="General" sourceLinked="0"/>
        <c:majorTickMark val="out"/>
        <c:minorTickMark val="none"/>
        <c:tickLblPos val="nextTo"/>
        <c:crossAx val="77194368"/>
        <c:crosses val="autoZero"/>
        <c:auto val="1"/>
        <c:lblAlgn val="ctr"/>
        <c:lblOffset val="100"/>
        <c:noMultiLvlLbl val="1"/>
      </c:catAx>
      <c:valAx>
        <c:axId val="77194368"/>
        <c:scaling>
          <c:orientation val="minMax"/>
        </c:scaling>
        <c:delete val="0"/>
        <c:axPos val="l"/>
        <c:title>
          <c:tx>
            <c:rich>
              <a:bodyPr rot="-5400000" vert="horz"/>
              <a:lstStyle/>
              <a:p>
                <a:pPr>
                  <a:defRPr/>
                </a:pPr>
                <a:r>
                  <a:rPr lang="en-US"/>
                  <a:t>Percentage of failed eggs</a:t>
                </a:r>
              </a:p>
            </c:rich>
          </c:tx>
          <c:overlay val="0"/>
        </c:title>
        <c:numFmt formatCode="0%" sourceLinked="1"/>
        <c:majorTickMark val="out"/>
        <c:minorTickMark val="none"/>
        <c:tickLblPos val="nextTo"/>
        <c:crossAx val="77192192"/>
        <c:crosses val="autoZero"/>
        <c:crossBetween val="between"/>
      </c:valAx>
      <c:spPr>
        <a:ln w="3175"/>
      </c:spPr>
    </c:plotArea>
    <c:legend>
      <c:legendPos val="r"/>
      <c:overlay val="0"/>
    </c:legend>
    <c:plotVisOnly val="1"/>
    <c:dispBlanksAs val="gap"/>
    <c:showDLblsOverMax val="1"/>
  </c:chart>
  <c:spPr>
    <a:ln w="3175" cap="sq">
      <a:solidFill>
        <a:schemeClr val="tx1"/>
      </a:solidFill>
      <a:bevel/>
    </a:ln>
  </c:spPr>
  <c:txPr>
    <a:bodyPr/>
    <a:lstStyle/>
    <a:p>
      <a:pPr>
        <a:defRPr>
          <a:latin typeface="Arial" pitchFamily="34" charset="0"/>
          <a:cs typeface="Arial" pitchFamily="34"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4941</Words>
  <Characters>28168</Characters>
  <Application>Microsoft Office Word</Application>
  <DocSecurity>0</DocSecurity>
  <Lines>234</Lines>
  <Paragraphs>66</Paragraphs>
  <ScaleCrop>false</ScaleCrop>
  <Company/>
  <LinksUpToDate>false</LinksUpToDate>
  <CharactersWithSpaces>33043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Editor-90</cp:lastModifiedBy>
  <cp:revision>9</cp:revision>
  <dcterms:created xsi:type="dcterms:W3CDTF">2026-08-21T08:41:00Z</dcterms:created>
  <dcterms:modified xsi:type="dcterms:W3CDTF">2026-08-22T06:40:00Z</dcterms:modified>
</cp:coreProperties>
</file>