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81BBD" w14:textId="77777777" w:rsidR="004D224A" w:rsidRPr="00951C18" w:rsidRDefault="00650548" w:rsidP="004D224A">
      <w:pPr>
        <w:spacing w:line="276" w:lineRule="auto"/>
        <w:jc w:val="center"/>
        <w:rPr>
          <w:rFonts w:ascii="Times New Roman" w:hAnsi="Times New Roman" w:cs="Times New Roman"/>
          <w:b/>
          <w:bCs/>
        </w:rPr>
      </w:pPr>
      <w:r w:rsidRPr="00951C18">
        <w:rPr>
          <w:rFonts w:ascii="Times New Roman" w:hAnsi="Times New Roman" w:cs="Times New Roman"/>
          <w:b/>
          <w:bCs/>
        </w:rPr>
        <w:t>Morphological</w:t>
      </w:r>
      <w:r w:rsidR="004D224A" w:rsidRPr="00951C18">
        <w:rPr>
          <w:rFonts w:ascii="Times New Roman" w:hAnsi="Times New Roman" w:cs="Times New Roman"/>
          <w:b/>
          <w:bCs/>
        </w:rPr>
        <w:t xml:space="preserve"> Characterization and Productive and Reproductive Performance of </w:t>
      </w:r>
      <w:proofErr w:type="spellStart"/>
      <w:r w:rsidR="004D224A" w:rsidRPr="00951C18">
        <w:rPr>
          <w:rFonts w:ascii="Times New Roman" w:hAnsi="Times New Roman" w:cs="Times New Roman"/>
          <w:b/>
          <w:bCs/>
        </w:rPr>
        <w:t>Sojat</w:t>
      </w:r>
      <w:proofErr w:type="spellEnd"/>
      <w:r w:rsidR="004D224A" w:rsidRPr="00951C18">
        <w:rPr>
          <w:rFonts w:ascii="Times New Roman" w:hAnsi="Times New Roman" w:cs="Times New Roman"/>
          <w:b/>
          <w:bCs/>
        </w:rPr>
        <w:t xml:space="preserve"> Goats under Farmers’ Management Conditions in Rajasthan, India</w:t>
      </w:r>
    </w:p>
    <w:p w14:paraId="682059F6" w14:textId="77777777" w:rsidR="005E3F30" w:rsidRPr="00951C18" w:rsidRDefault="005E3F30" w:rsidP="004D224A">
      <w:pPr>
        <w:spacing w:line="276" w:lineRule="auto"/>
        <w:jc w:val="center"/>
        <w:rPr>
          <w:rFonts w:ascii="Times New Roman" w:hAnsi="Times New Roman" w:cs="Times New Roman"/>
          <w:b/>
          <w:bCs/>
        </w:rPr>
      </w:pPr>
    </w:p>
    <w:p w14:paraId="61ECFFEB" w14:textId="77777777" w:rsidR="004D224A" w:rsidRPr="00951C18" w:rsidRDefault="004D224A" w:rsidP="004D224A">
      <w:pPr>
        <w:spacing w:line="276" w:lineRule="auto"/>
        <w:jc w:val="both"/>
        <w:rPr>
          <w:rFonts w:ascii="Times New Roman" w:hAnsi="Times New Roman" w:cs="Times New Roman"/>
          <w:b/>
          <w:bCs/>
          <w:i/>
          <w:iCs/>
        </w:rPr>
      </w:pPr>
      <w:r w:rsidRPr="00951C18">
        <w:rPr>
          <w:rFonts w:ascii="Times New Roman" w:hAnsi="Times New Roman" w:cs="Times New Roman"/>
          <w:b/>
          <w:bCs/>
          <w:i/>
          <w:iCs/>
        </w:rPr>
        <w:t>Abstract</w:t>
      </w:r>
    </w:p>
    <w:p w14:paraId="5C22C78A" w14:textId="77777777" w:rsidR="000465F8" w:rsidRPr="00951C18" w:rsidRDefault="0B9BE996" w:rsidP="21DDC337">
      <w:pPr>
        <w:spacing w:line="276" w:lineRule="auto"/>
        <w:jc w:val="both"/>
        <w:rPr>
          <w:rFonts w:ascii="Times New Roman" w:hAnsi="Times New Roman" w:cs="Times New Roman"/>
        </w:rPr>
      </w:pPr>
      <w:r w:rsidRPr="00951C18">
        <w:rPr>
          <w:rFonts w:ascii="Times New Roman" w:hAnsi="Times New Roman" w:cs="Times New Roman"/>
          <w:b/>
          <w:bCs/>
        </w:rPr>
        <w:t>Aim:</w:t>
      </w:r>
      <w:r w:rsidRPr="00951C18">
        <w:rPr>
          <w:rFonts w:ascii="Times New Roman" w:hAnsi="Times New Roman" w:cs="Times New Roman"/>
        </w:rPr>
        <w:t xml:space="preserve"> Th</w:t>
      </w:r>
      <w:r w:rsidR="131ABC99" w:rsidRPr="00951C18">
        <w:rPr>
          <w:rFonts w:ascii="Times New Roman" w:hAnsi="Times New Roman" w:cs="Times New Roman"/>
          <w:b/>
          <w:bCs/>
        </w:rPr>
        <w:t>is</w:t>
      </w:r>
      <w:r w:rsidRPr="00951C18">
        <w:rPr>
          <w:rFonts w:ascii="Times New Roman" w:hAnsi="Times New Roman" w:cs="Times New Roman"/>
        </w:rPr>
        <w:t xml:space="preserve"> study was conducted to assess the morphological characteristics, growth, productive performance and reproductive performance, management practices and production constraints of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goats under field conditions in Rajasthan.</w:t>
      </w:r>
      <w:r w:rsidR="3D6F37CA" w:rsidRPr="00951C18">
        <w:rPr>
          <w:rFonts w:ascii="Times New Roman" w:hAnsi="Times New Roman" w:cs="Times New Roman"/>
        </w:rPr>
        <w:t xml:space="preserve"> </w:t>
      </w:r>
      <w:r w:rsidRPr="00951C18">
        <w:rPr>
          <w:rFonts w:ascii="Times New Roman" w:hAnsi="Times New Roman" w:cs="Times New Roman"/>
          <w:b/>
          <w:bCs/>
        </w:rPr>
        <w:t>Study Design:</w:t>
      </w:r>
      <w:r w:rsidRPr="00951C18">
        <w:rPr>
          <w:rFonts w:ascii="Times New Roman" w:hAnsi="Times New Roman" w:cs="Times New Roman"/>
        </w:rPr>
        <w:t xml:space="preserve"> A field-based survey was conducted using a structured and pre-tested interview schedule.</w:t>
      </w:r>
      <w:r w:rsidR="3D6F37CA" w:rsidRPr="00951C18">
        <w:rPr>
          <w:rFonts w:ascii="Times New Roman" w:hAnsi="Times New Roman" w:cs="Times New Roman"/>
        </w:rPr>
        <w:t xml:space="preserve"> </w:t>
      </w:r>
      <w:r w:rsidRPr="00951C18">
        <w:rPr>
          <w:rFonts w:ascii="Times New Roman" w:hAnsi="Times New Roman" w:cs="Times New Roman"/>
          <w:b/>
          <w:bCs/>
        </w:rPr>
        <w:t>Place and Duration of Study:</w:t>
      </w:r>
      <w:r w:rsidRPr="00951C18">
        <w:rPr>
          <w:rFonts w:ascii="Times New Roman" w:hAnsi="Times New Roman" w:cs="Times New Roman"/>
        </w:rPr>
        <w:t xml:space="preserve"> The study was conducted in selected areas of Pali and Jodhpur districts of Rajasthan, India.</w:t>
      </w:r>
      <w:r w:rsidR="3D6F37CA" w:rsidRPr="00951C18">
        <w:rPr>
          <w:rFonts w:ascii="Times New Roman" w:hAnsi="Times New Roman" w:cs="Times New Roman"/>
        </w:rPr>
        <w:t xml:space="preserve"> </w:t>
      </w:r>
      <w:r w:rsidRPr="00951C18">
        <w:rPr>
          <w:rFonts w:ascii="Times New Roman" w:hAnsi="Times New Roman" w:cs="Times New Roman"/>
          <w:b/>
          <w:bCs/>
        </w:rPr>
        <w:t>Methodology:</w:t>
      </w:r>
      <w:r w:rsidRPr="00951C18">
        <w:rPr>
          <w:rFonts w:ascii="Times New Roman" w:hAnsi="Times New Roman" w:cs="Times New Roman"/>
        </w:rPr>
        <w:t xml:space="preserve"> Two tehsils from each district, four villages from each tehsil and 15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 farmers from each selected village were selected, resulting in a total sample of </w:t>
      </w:r>
      <w:r w:rsidRPr="00951C18">
        <w:rPr>
          <w:rFonts w:ascii="Times New Roman" w:hAnsi="Times New Roman" w:cs="Times New Roman"/>
          <w:b/>
          <w:bCs/>
        </w:rPr>
        <w:t>240 respondents</w:t>
      </w:r>
      <w:r w:rsidRPr="00951C18">
        <w:rPr>
          <w:rFonts w:ascii="Times New Roman" w:hAnsi="Times New Roman" w:cs="Times New Roman"/>
        </w:rPr>
        <w:t>. Data were collected through personal interviews and direct observations. Information on socio-economic characteristics, morphological traits, growth, production and reproduction, breeding, feeding, housing, milking, marketing and health-care practices was recorded. Constraints perceived by farmers were assessed using a three-point severity scale. Data were analysed using frequency, percentage, mean, standard deviation, standard error, mean percent score and chi-square test, wherever appropriate.</w:t>
      </w:r>
      <w:r w:rsidR="3D6F37CA" w:rsidRPr="00951C18">
        <w:rPr>
          <w:rFonts w:ascii="Times New Roman" w:hAnsi="Times New Roman" w:cs="Times New Roman"/>
        </w:rPr>
        <w:t xml:space="preserve"> </w:t>
      </w:r>
      <w:r w:rsidRPr="00951C18">
        <w:rPr>
          <w:rFonts w:ascii="Times New Roman" w:hAnsi="Times New Roman" w:cs="Times New Roman"/>
          <w:b/>
          <w:bCs/>
        </w:rPr>
        <w:t>Results:</w:t>
      </w:r>
      <w:r w:rsidRPr="00951C18">
        <w:rPr>
          <w:rFonts w:ascii="Times New Roman" w:hAnsi="Times New Roman" w:cs="Times New Roman"/>
        </w:rPr>
        <w:t xml:space="preserve"> The study revealed considerable variation in the morphological and productive characteristics of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goats under field conditions. The mean age at first mating was </w:t>
      </w:r>
      <w:r w:rsidRPr="00951C18">
        <w:rPr>
          <w:rFonts w:ascii="Times New Roman" w:hAnsi="Times New Roman" w:cs="Times New Roman"/>
          <w:b/>
          <w:bCs/>
        </w:rPr>
        <w:t>375.04 ± 0.40 days in males</w:t>
      </w:r>
      <w:r w:rsidRPr="00951C18">
        <w:rPr>
          <w:rFonts w:ascii="Times New Roman" w:hAnsi="Times New Roman" w:cs="Times New Roman"/>
        </w:rPr>
        <w:t xml:space="preserve"> and </w:t>
      </w:r>
      <w:r w:rsidRPr="00951C18">
        <w:rPr>
          <w:rFonts w:ascii="Times New Roman" w:hAnsi="Times New Roman" w:cs="Times New Roman"/>
          <w:b/>
          <w:bCs/>
        </w:rPr>
        <w:t>389.41 ± 0.24 days in females</w:t>
      </w:r>
      <w:r w:rsidRPr="00951C18">
        <w:rPr>
          <w:rFonts w:ascii="Times New Roman" w:hAnsi="Times New Roman" w:cs="Times New Roman"/>
        </w:rPr>
        <w:t xml:space="preserve">, while the ages at first oestrus and first kidding were </w:t>
      </w:r>
      <w:r w:rsidRPr="00951C18">
        <w:rPr>
          <w:rFonts w:ascii="Times New Roman" w:hAnsi="Times New Roman" w:cs="Times New Roman"/>
          <w:b/>
          <w:bCs/>
        </w:rPr>
        <w:t>280.23 ± 0.47 and 496.15 ± 0.50 days</w:t>
      </w:r>
      <w:r w:rsidRPr="00951C18">
        <w:rPr>
          <w:rFonts w:ascii="Times New Roman" w:hAnsi="Times New Roman" w:cs="Times New Roman"/>
        </w:rPr>
        <w:t xml:space="preserve">, respectively. The mean oestrous cycle, kidding interval and gestation period were </w:t>
      </w:r>
      <w:r w:rsidRPr="00951C18">
        <w:rPr>
          <w:rFonts w:ascii="Times New Roman" w:hAnsi="Times New Roman" w:cs="Times New Roman"/>
          <w:b/>
          <w:bCs/>
        </w:rPr>
        <w:t>18.50 ± 0.14, 346.25 ± 2.81 and 146.88 ± 0.03 days</w:t>
      </w:r>
      <w:r w:rsidRPr="00951C18">
        <w:rPr>
          <w:rFonts w:ascii="Times New Roman" w:hAnsi="Times New Roman" w:cs="Times New Roman"/>
        </w:rPr>
        <w:t xml:space="preserve">, respectively. The mean litter size was </w:t>
      </w:r>
      <w:r w:rsidRPr="00951C18">
        <w:rPr>
          <w:rFonts w:ascii="Times New Roman" w:hAnsi="Times New Roman" w:cs="Times New Roman"/>
          <w:b/>
          <w:bCs/>
        </w:rPr>
        <w:t>1.55 ± 0.10</w:t>
      </w:r>
      <w:r w:rsidRPr="00951C18">
        <w:rPr>
          <w:rFonts w:ascii="Times New Roman" w:hAnsi="Times New Roman" w:cs="Times New Roman"/>
        </w:rPr>
        <w:t xml:space="preserve">, with a lifetime kidding frequency of </w:t>
      </w:r>
      <w:r w:rsidRPr="00951C18">
        <w:rPr>
          <w:rFonts w:ascii="Times New Roman" w:hAnsi="Times New Roman" w:cs="Times New Roman"/>
          <w:b/>
          <w:bCs/>
        </w:rPr>
        <w:t>11.10 ± 0.06</w:t>
      </w:r>
      <w:r w:rsidRPr="00951C18">
        <w:rPr>
          <w:rFonts w:ascii="Times New Roman" w:hAnsi="Times New Roman" w:cs="Times New Roman"/>
        </w:rPr>
        <w:t xml:space="preserve">. The findings indicated good reproductive potential and productive longevity of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goats. Farmers followed diverse traditional and improved management practices, while constraints related to breeding, feeding, housing, health care and marketing were also observed.</w:t>
      </w:r>
      <w:r w:rsidR="3D6F37CA" w:rsidRPr="00951C18">
        <w:rPr>
          <w:rFonts w:ascii="Times New Roman" w:hAnsi="Times New Roman" w:cs="Times New Roman"/>
        </w:rPr>
        <w:t xml:space="preserve"> </w:t>
      </w:r>
      <w:r w:rsidRPr="00951C18">
        <w:rPr>
          <w:rFonts w:ascii="Times New Roman" w:hAnsi="Times New Roman" w:cs="Times New Roman"/>
          <w:b/>
          <w:bCs/>
        </w:rPr>
        <w:t>Conclusion:</w:t>
      </w:r>
      <w:r w:rsidRPr="00951C18">
        <w:rPr>
          <w:rFonts w:ascii="Times New Roman" w:hAnsi="Times New Roman" w:cs="Times New Roman"/>
        </w:rPr>
        <w:t xml:space="preserve">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goats demonstrated favourable growth, productive and reproductive potential under farmer-managed conditions. Improvements in scientific management practices, breeding services, health care, feeding and marketing facilities could further enhance the productivity and economic viability of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 production.</w:t>
      </w:r>
      <w:r w:rsidR="3D6F37CA" w:rsidRPr="00951C18">
        <w:rPr>
          <w:rFonts w:ascii="Times New Roman" w:hAnsi="Times New Roman" w:cs="Times New Roman"/>
        </w:rPr>
        <w:t xml:space="preserve"> </w:t>
      </w:r>
    </w:p>
    <w:p w14:paraId="3D4DEBEC" w14:textId="6D5AD006" w:rsidR="004D224A" w:rsidRPr="00951C18" w:rsidRDefault="004D224A" w:rsidP="004D224A">
      <w:pPr>
        <w:spacing w:line="276" w:lineRule="auto"/>
        <w:jc w:val="both"/>
        <w:rPr>
          <w:rFonts w:ascii="Times New Roman" w:hAnsi="Times New Roman" w:cs="Times New Roman"/>
        </w:rPr>
      </w:pPr>
      <w:r w:rsidRPr="00951C18">
        <w:rPr>
          <w:rFonts w:ascii="Times New Roman" w:hAnsi="Times New Roman" w:cs="Times New Roman"/>
          <w:b/>
          <w:bCs/>
        </w:rPr>
        <w:t>Keywords:</w:t>
      </w:r>
      <w:r w:rsidRPr="00951C18">
        <w:rPr>
          <w:rFonts w:ascii="Times New Roman" w:hAnsi="Times New Roman" w:cs="Times New Roman"/>
        </w:rPr>
        <w:t xml:space="preserve"> </w:t>
      </w:r>
      <w:proofErr w:type="spellStart"/>
      <w:r w:rsidR="00F22B92">
        <w:t>Sojat</w:t>
      </w:r>
      <w:proofErr w:type="spellEnd"/>
      <w:r w:rsidR="00F22B92">
        <w:t xml:space="preserve"> goat; morphological characterisation; growth performance; milk production; reproductive performance; farmer management; goat husbandry; production constraints</w:t>
      </w:r>
    </w:p>
    <w:p w14:paraId="7160A110" w14:textId="77777777" w:rsidR="000465F8" w:rsidRPr="00951C18" w:rsidRDefault="000465F8" w:rsidP="004D224A">
      <w:pPr>
        <w:spacing w:line="276" w:lineRule="auto"/>
        <w:jc w:val="both"/>
        <w:rPr>
          <w:rFonts w:ascii="Times New Roman" w:hAnsi="Times New Roman" w:cs="Times New Roman"/>
        </w:rPr>
      </w:pPr>
    </w:p>
    <w:p w14:paraId="230FC4F8" w14:textId="77777777" w:rsidR="004D224A" w:rsidRPr="00951C18" w:rsidRDefault="004D224A" w:rsidP="000465F8">
      <w:pPr>
        <w:spacing w:line="276" w:lineRule="auto"/>
        <w:jc w:val="center"/>
        <w:rPr>
          <w:rFonts w:ascii="Times New Roman" w:hAnsi="Times New Roman" w:cs="Times New Roman"/>
          <w:b/>
          <w:bCs/>
          <w:i/>
          <w:iCs/>
          <w:lang w:val="en-US"/>
        </w:rPr>
      </w:pPr>
      <w:r w:rsidRPr="00951C18">
        <w:rPr>
          <w:rFonts w:ascii="Times New Roman" w:hAnsi="Times New Roman" w:cs="Times New Roman"/>
          <w:b/>
          <w:bCs/>
          <w:i/>
          <w:iCs/>
          <w:lang w:val="en-US"/>
        </w:rPr>
        <w:t>Introduction</w:t>
      </w:r>
    </w:p>
    <w:p w14:paraId="2F043623" w14:textId="77777777" w:rsidR="004D224A" w:rsidRPr="00951C18" w:rsidRDefault="000465F8"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Goat production is an important component of livestock-based rural livelihoods in India, particularly in arid, semi-arid and resource-constrained production systems. </w:t>
      </w:r>
      <w:r w:rsidR="004D224A" w:rsidRPr="00951C18">
        <w:rPr>
          <w:rFonts w:ascii="Times New Roman" w:hAnsi="Times New Roman" w:cs="Times New Roman"/>
        </w:rPr>
        <w:lastRenderedPageBreak/>
        <w:t xml:space="preserve">Goats are well adapted to diverse </w:t>
      </w:r>
      <w:proofErr w:type="spellStart"/>
      <w:r w:rsidR="004D224A" w:rsidRPr="00951C18">
        <w:rPr>
          <w:rFonts w:ascii="Times New Roman" w:hAnsi="Times New Roman" w:cs="Times New Roman"/>
        </w:rPr>
        <w:t>agro</w:t>
      </w:r>
      <w:proofErr w:type="spellEnd"/>
      <w:r w:rsidR="004D224A" w:rsidRPr="00951C18">
        <w:rPr>
          <w:rFonts w:ascii="Times New Roman" w:hAnsi="Times New Roman" w:cs="Times New Roman"/>
        </w:rPr>
        <w:t>-climatic conditions and can efficiently utilise shrubs, tree leaves, crop residues and other locally available feed resources. Consequently, goat rearing provides an important source of meat, milk, manure, employment and supplementary income for rural households. The importance of goats is particularly evident in dryland production systems, where their adaptability and relatively low resource requirements make them suitable for small and marginal farmers. The characterisation and sustainable utilisation of indigenous goat genetic resources are therefore important for improving productivity while maintaining locally adapted populations (Acharya, 1982; Food and Agriculture Organization of the United Nations [FAO], 1990).</w:t>
      </w:r>
    </w:p>
    <w:p w14:paraId="4F9DA099" w14:textId="77777777" w:rsidR="004D224A" w:rsidRPr="00951C18" w:rsidRDefault="000465F8"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India possesses considerable diversity of goat genetic resources, with breeds differing substantially in body conformation, growth, reproductive efficiency, milk production and adaptation to specific </w:t>
      </w:r>
      <w:proofErr w:type="spellStart"/>
      <w:r w:rsidR="004D224A" w:rsidRPr="00951C18">
        <w:rPr>
          <w:rFonts w:ascii="Times New Roman" w:hAnsi="Times New Roman" w:cs="Times New Roman"/>
        </w:rPr>
        <w:t>agro</w:t>
      </w:r>
      <w:proofErr w:type="spellEnd"/>
      <w:r w:rsidR="004D224A" w:rsidRPr="00951C18">
        <w:rPr>
          <w:rFonts w:ascii="Times New Roman" w:hAnsi="Times New Roman" w:cs="Times New Roman"/>
        </w:rPr>
        <w:t>-climatic environments. Indigenous goats have evolved under diverse environmental and management conditions and consequently possess valuable adaptive characteristics. Documentation of their phenotypic and productive attributes under their native production environments is essential for breed characterisation, conservation and future genetic improvement programmes. In this context, field-based characterisation provides useful information because the performance of indigenous animals under farmers' conditions may differ from that observed under organised farm environments.</w:t>
      </w:r>
    </w:p>
    <w:p w14:paraId="6D26FD26" w14:textId="77777777" w:rsidR="004D224A" w:rsidRPr="00951C18" w:rsidRDefault="000465F8" w:rsidP="004D224A">
      <w:pPr>
        <w:spacing w:line="276" w:lineRule="auto"/>
        <w:jc w:val="both"/>
        <w:rPr>
          <w:rFonts w:ascii="Times New Roman" w:hAnsi="Times New Roman" w:cs="Times New Roman"/>
        </w:rPr>
      </w:pPr>
      <w:r w:rsidRPr="00951C18">
        <w:rPr>
          <w:rFonts w:ascii="Times New Roman" w:hAnsi="Times New Roman" w:cs="Times New Roman"/>
        </w:rPr>
        <w:tab/>
      </w:r>
      <w:r w:rsidR="0B9BE996" w:rsidRPr="00951C18">
        <w:rPr>
          <w:rFonts w:ascii="Times New Roman" w:hAnsi="Times New Roman" w:cs="Times New Roman"/>
        </w:rPr>
        <w:t xml:space="preserve">Among the goat populations of Rajasthan, the </w:t>
      </w:r>
      <w:proofErr w:type="spellStart"/>
      <w:r w:rsidR="0B9BE996" w:rsidRPr="00951C18">
        <w:rPr>
          <w:rFonts w:ascii="Times New Roman" w:hAnsi="Times New Roman" w:cs="Times New Roman"/>
        </w:rPr>
        <w:t>Sojat</w:t>
      </w:r>
      <w:proofErr w:type="spellEnd"/>
      <w:r w:rsidR="0B9BE996" w:rsidRPr="00951C18">
        <w:rPr>
          <w:rFonts w:ascii="Times New Roman" w:hAnsi="Times New Roman" w:cs="Times New Roman"/>
        </w:rPr>
        <w:t xml:space="preserve"> goat is an important type associated primarily with the western part of the state. It is particularly distributed around the </w:t>
      </w:r>
      <w:proofErr w:type="spellStart"/>
      <w:r w:rsidR="0B9BE996" w:rsidRPr="00951C18">
        <w:rPr>
          <w:rFonts w:ascii="Times New Roman" w:hAnsi="Times New Roman" w:cs="Times New Roman"/>
        </w:rPr>
        <w:t>Sojat</w:t>
      </w:r>
      <w:proofErr w:type="spellEnd"/>
      <w:r w:rsidR="0B9BE996" w:rsidRPr="00951C18">
        <w:rPr>
          <w:rFonts w:ascii="Times New Roman" w:hAnsi="Times New Roman" w:cs="Times New Roman"/>
        </w:rPr>
        <w:t xml:space="preserve">, </w:t>
      </w:r>
      <w:proofErr w:type="spellStart"/>
      <w:r w:rsidR="0B9BE996" w:rsidRPr="00951C18">
        <w:rPr>
          <w:rFonts w:ascii="Times New Roman" w:hAnsi="Times New Roman" w:cs="Times New Roman"/>
        </w:rPr>
        <w:t>Pipar</w:t>
      </w:r>
      <w:proofErr w:type="spellEnd"/>
      <w:r w:rsidR="0B9BE996" w:rsidRPr="00951C18">
        <w:rPr>
          <w:rFonts w:ascii="Times New Roman" w:hAnsi="Times New Roman" w:cs="Times New Roman"/>
        </w:rPr>
        <w:t xml:space="preserve"> and Jodhpur regions. The breed is generally recognised for its predominantly white coat, long and drooping ears, relatively large body size and suitability for meat production. Available descriptions indicate that adult </w:t>
      </w:r>
      <w:proofErr w:type="spellStart"/>
      <w:r w:rsidR="0B9BE996" w:rsidRPr="00951C18">
        <w:rPr>
          <w:rFonts w:ascii="Times New Roman" w:hAnsi="Times New Roman" w:cs="Times New Roman"/>
        </w:rPr>
        <w:t>Sojat</w:t>
      </w:r>
      <w:proofErr w:type="spellEnd"/>
      <w:r w:rsidR="0B9BE996" w:rsidRPr="00951C18">
        <w:rPr>
          <w:rFonts w:ascii="Times New Roman" w:hAnsi="Times New Roman" w:cs="Times New Roman"/>
        </w:rPr>
        <w:t xml:space="preserve"> goats may attain substantial body weight, while the breed also possesses appreciable milk-producing ability. The native distribution and characteristic phenotypic features make </w:t>
      </w:r>
      <w:proofErr w:type="spellStart"/>
      <w:r w:rsidR="0B9BE996" w:rsidRPr="00951C18">
        <w:rPr>
          <w:rFonts w:ascii="Times New Roman" w:hAnsi="Times New Roman" w:cs="Times New Roman"/>
        </w:rPr>
        <w:t>Sojat</w:t>
      </w:r>
      <w:proofErr w:type="spellEnd"/>
      <w:r w:rsidR="0B9BE996" w:rsidRPr="00951C18">
        <w:rPr>
          <w:rFonts w:ascii="Times New Roman" w:hAnsi="Times New Roman" w:cs="Times New Roman"/>
        </w:rPr>
        <w:t xml:space="preserve"> goats an important genetic resource of Rajasthan (FAO, 1990; Gupta </w:t>
      </w:r>
      <w:r w:rsidR="00CD1419" w:rsidRPr="00951C18">
        <w:rPr>
          <w:rFonts w:ascii="Times New Roman" w:hAnsi="Times New Roman" w:cs="Times New Roman"/>
          <w:i/>
          <w:iCs/>
        </w:rPr>
        <w:t>et al</w:t>
      </w:r>
      <w:r w:rsidR="0B9BE996" w:rsidRPr="00951C18">
        <w:rPr>
          <w:rFonts w:ascii="Times New Roman" w:hAnsi="Times New Roman" w:cs="Times New Roman"/>
        </w:rPr>
        <w:t xml:space="preserve">., 2021). Recent field investigations have also documented considerable variation in body weight and body measurements of </w:t>
      </w:r>
      <w:proofErr w:type="spellStart"/>
      <w:r w:rsidR="0B9BE996" w:rsidRPr="00951C18">
        <w:rPr>
          <w:rFonts w:ascii="Times New Roman" w:hAnsi="Times New Roman" w:cs="Times New Roman"/>
        </w:rPr>
        <w:t>Sojat</w:t>
      </w:r>
      <w:proofErr w:type="spellEnd"/>
      <w:r w:rsidR="0B9BE996" w:rsidRPr="00951C18">
        <w:rPr>
          <w:rFonts w:ascii="Times New Roman" w:hAnsi="Times New Roman" w:cs="Times New Roman"/>
        </w:rPr>
        <w:t xml:space="preserve"> goats at different ages, demonstrating their potential for growth under native production conditions (Gupta </w:t>
      </w:r>
      <w:r w:rsidR="00CD1419" w:rsidRPr="00951C18">
        <w:rPr>
          <w:rFonts w:ascii="Times New Roman" w:hAnsi="Times New Roman" w:cs="Times New Roman"/>
          <w:i/>
          <w:iCs/>
        </w:rPr>
        <w:t>et al</w:t>
      </w:r>
      <w:r w:rsidR="0B9BE996" w:rsidRPr="00951C18">
        <w:rPr>
          <w:rFonts w:ascii="Times New Roman" w:hAnsi="Times New Roman" w:cs="Times New Roman"/>
        </w:rPr>
        <w:t xml:space="preserve">., 2021). </w:t>
      </w:r>
    </w:p>
    <w:p w14:paraId="0BCA8668" w14:textId="77777777" w:rsidR="004D224A" w:rsidRPr="00951C18" w:rsidRDefault="000465F8"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Morphological characterisation is an important component of breed identification and evaluation. Traits such as coat colour, head characteristics, horn characteristics, ear orientation and length, beard and dewlap, tail characteristics, body length, height at withers and chest girth provide useful information for describing breed phenotype. In addition, body weight and linear body measurements can serve as important indicators of growth and mature size. A study conducted in the native tract of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goats reported adult body length, height and chest girth of approximately 81.68, 81.20 and 85.75 cm, respectively, in males, while corresponding values in females were 81.58, 80.89 and 84.75 cm (Gupta </w:t>
      </w:r>
      <w:r w:rsidR="00CD1419" w:rsidRPr="00951C18">
        <w:rPr>
          <w:rFonts w:ascii="Times New Roman" w:hAnsi="Times New Roman" w:cs="Times New Roman"/>
          <w:i/>
          <w:iCs/>
        </w:rPr>
        <w:t>et al</w:t>
      </w:r>
      <w:r w:rsidR="00650548" w:rsidRPr="00951C18">
        <w:rPr>
          <w:rFonts w:ascii="Times New Roman" w:hAnsi="Times New Roman" w:cs="Times New Roman"/>
          <w:i/>
          <w:iCs/>
        </w:rPr>
        <w:t>.</w:t>
      </w:r>
      <w:r w:rsidR="004D224A" w:rsidRPr="00951C18">
        <w:rPr>
          <w:rFonts w:ascii="Times New Roman" w:hAnsi="Times New Roman" w:cs="Times New Roman"/>
        </w:rPr>
        <w:t xml:space="preserve">, 2021). Such information is useful for establishing phenotypic </w:t>
      </w:r>
      <w:r w:rsidR="004D224A" w:rsidRPr="00951C18">
        <w:rPr>
          <w:rFonts w:ascii="Times New Roman" w:hAnsi="Times New Roman" w:cs="Times New Roman"/>
        </w:rPr>
        <w:lastRenderedPageBreak/>
        <w:t xml:space="preserve">benchmarks for the breed and for identifying superior animals for breeding and conservation programmes. </w:t>
      </w:r>
      <w:r w:rsidRPr="00951C18">
        <w:rPr>
          <w:rFonts w:ascii="Times New Roman" w:hAnsi="Times New Roman"/>
          <w:b/>
        </w:rPr>
        <w:t>Recent multivariate studies on goat populations have likewise demonstrated the utility of morphometric measurements for phenotypic characterisation and body-weight assessment, while related work indicates that the discriminatory contribution of individual measurements can vary across growth stages (Chaudhari et al., 2025; Karna et al., 2024; Yavuz et al., 2026).</w:t>
      </w:r>
    </w:p>
    <w:p w14:paraId="7392F0F6" w14:textId="77777777" w:rsidR="004D224A" w:rsidRPr="00951C18" w:rsidRDefault="00A34E9B"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Growth performance is another important determinant of the productive potential of meat-type goats. Body weight at different ages reflects the combined influence of genetic potential, nutritional status, health, management and environmental conditions. In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goats, substantial increases in body weight have been reported between birth and adulthood, although differences between sexes become more apparent with advancing age. Gupta </w:t>
      </w:r>
      <w:r w:rsidR="00CD1419" w:rsidRPr="00951C18">
        <w:rPr>
          <w:rFonts w:ascii="Times New Roman" w:hAnsi="Times New Roman" w:cs="Times New Roman"/>
          <w:i/>
          <w:iCs/>
        </w:rPr>
        <w:t>et al</w:t>
      </w:r>
      <w:r w:rsidRPr="00951C18">
        <w:rPr>
          <w:rFonts w:ascii="Times New Roman" w:hAnsi="Times New Roman" w:cs="Times New Roman"/>
          <w:i/>
          <w:iCs/>
        </w:rPr>
        <w:t>.</w:t>
      </w:r>
      <w:r w:rsidR="004D224A" w:rsidRPr="00951C18">
        <w:rPr>
          <w:rFonts w:ascii="Times New Roman" w:hAnsi="Times New Roman" w:cs="Times New Roman"/>
        </w:rPr>
        <w:t xml:space="preserve"> (2021) reported body weights at 3, 6, 9 and 12 months of 22.40, 29.28, 42.78 and 50.37 kg in males and 19.50, 25.65, 30.93 and 37.45 kg in females, respectively. These observations indicate the considerable growth potential of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goats under their native conditions. </w:t>
      </w:r>
    </w:p>
    <w:p w14:paraId="6732FB82" w14:textId="77777777" w:rsidR="004D224A" w:rsidRPr="00951C18" w:rsidRDefault="00A34E9B"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Reproductive efficiency is equally important in determining the economic viability of goat production. Traits such as age at first mating, age at first oestrus, oestrous cycle, age at first kidding, kidding interval, service period, gestation period, litter size and lifetime number of </w:t>
      </w:r>
      <w:r w:rsidR="009013CB" w:rsidRPr="00951C18">
        <w:rPr>
          <w:rFonts w:ascii="Times New Roman" w:hAnsi="Times New Roman" w:cs="Times New Roman"/>
        </w:rPr>
        <w:t>kiddings</w:t>
      </w:r>
      <w:r w:rsidR="004D224A" w:rsidRPr="00951C18">
        <w:rPr>
          <w:rFonts w:ascii="Times New Roman" w:hAnsi="Times New Roman" w:cs="Times New Roman"/>
        </w:rPr>
        <w:t xml:space="preserve"> directly influence the reproductive rate and lifetime productivity of does. Litter size is particularly important because prolificacy contributes directly to the number of kids produced per doe and hence to the economic return from goat production. Reproductive performance, however, is influenced not only by breed but also by age, parity, nutrition, body condition, season, management and environmental conditions. Therefore, evaluation under field conditions is essential for understanding the actual reproductive potential of indigenous goat populations.</w:t>
      </w:r>
    </w:p>
    <w:p w14:paraId="29E7AB08" w14:textId="77777777" w:rsidR="004D224A" w:rsidRPr="00951C18" w:rsidRDefault="00A34E9B"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The productive performance of goats is also closely associated with management practices adopted by farmers. Feeding, breeding, housing, milking, health-care and marketing practices determine the extent to which the genetic potential of animals can be expressed. A field study conducted among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 owners in the Marwar region reported that goat keeping formed an important component of the rural production system and documented variation in farmers' socio-economic characteristics and management practices (Gurjar </w:t>
      </w:r>
      <w:r w:rsidR="00CD1419" w:rsidRPr="00951C18">
        <w:rPr>
          <w:rFonts w:ascii="Times New Roman" w:hAnsi="Times New Roman" w:cs="Times New Roman"/>
          <w:i/>
          <w:iCs/>
        </w:rPr>
        <w:t>et al</w:t>
      </w:r>
      <w:r w:rsidR="00650548" w:rsidRPr="00951C18">
        <w:rPr>
          <w:rFonts w:ascii="Times New Roman" w:hAnsi="Times New Roman" w:cs="Times New Roman"/>
          <w:i/>
          <w:iCs/>
        </w:rPr>
        <w:t>.</w:t>
      </w:r>
      <w:r w:rsidR="004D224A" w:rsidRPr="00951C18">
        <w:rPr>
          <w:rFonts w:ascii="Times New Roman" w:hAnsi="Times New Roman" w:cs="Times New Roman"/>
        </w:rPr>
        <w:t xml:space="preserve">, </w:t>
      </w:r>
      <w:r w:rsidR="006535DC" w:rsidRPr="00951C18">
        <w:rPr>
          <w:rFonts w:ascii="Times New Roman" w:hAnsi="Times New Roman" w:cs="Times New Roman"/>
        </w:rPr>
        <w:t>2021</w:t>
      </w:r>
      <w:r w:rsidR="004D224A" w:rsidRPr="00951C18">
        <w:rPr>
          <w:rFonts w:ascii="Times New Roman" w:hAnsi="Times New Roman" w:cs="Times New Roman"/>
        </w:rPr>
        <w:t xml:space="preserve">). The same study also reported substantial variation in body weight and body measurements of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goats, highlighting the influence of the prevailing production system on animal performance. </w:t>
      </w:r>
    </w:p>
    <w:p w14:paraId="37990E99" w14:textId="77777777" w:rsidR="004D224A" w:rsidRPr="00951C18" w:rsidRDefault="004D224A" w:rsidP="004D224A">
      <w:pPr>
        <w:spacing w:line="276" w:lineRule="auto"/>
        <w:jc w:val="both"/>
        <w:rPr>
          <w:rFonts w:ascii="Times New Roman" w:hAnsi="Times New Roman" w:cs="Times New Roman"/>
        </w:rPr>
      </w:pPr>
      <w:r w:rsidRPr="00951C18">
        <w:rPr>
          <w:rFonts w:ascii="Times New Roman" w:hAnsi="Times New Roman" w:cs="Times New Roman"/>
        </w:rPr>
        <w:t xml:space="preserve">Breeding management is particularly important because appropriate heat detection, selection of breeding males, timing of mating, care of pregnant animals, colostrum feeding and management of reproductive disorders can influence reproductive efficiency. Recent field research on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 </w:t>
      </w:r>
      <w:proofErr w:type="spellStart"/>
      <w:r w:rsidRPr="00951C18">
        <w:rPr>
          <w:rFonts w:ascii="Times New Roman" w:hAnsi="Times New Roman" w:cs="Times New Roman"/>
        </w:rPr>
        <w:t>rearers</w:t>
      </w:r>
      <w:proofErr w:type="spellEnd"/>
      <w:r w:rsidRPr="00951C18">
        <w:rPr>
          <w:rFonts w:ascii="Times New Roman" w:hAnsi="Times New Roman" w:cs="Times New Roman"/>
        </w:rPr>
        <w:t xml:space="preserve"> reported that natural breeding was widely practised and that community breeding bucks constituted an important source of breeding males. The study also documented the major signs used by farmers for heat detection and </w:t>
      </w:r>
      <w:r w:rsidRPr="00951C18">
        <w:rPr>
          <w:rFonts w:ascii="Times New Roman" w:hAnsi="Times New Roman" w:cs="Times New Roman"/>
        </w:rPr>
        <w:lastRenderedPageBreak/>
        <w:t xml:space="preserve">the timing of natural service, demonstrating the importance of traditional knowledge in the management of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goats (Bagri </w:t>
      </w:r>
      <w:r w:rsidR="00CD1419" w:rsidRPr="00951C18">
        <w:rPr>
          <w:rFonts w:ascii="Times New Roman" w:hAnsi="Times New Roman" w:cs="Times New Roman"/>
          <w:i/>
          <w:iCs/>
        </w:rPr>
        <w:t>et al</w:t>
      </w:r>
      <w:r w:rsidR="00A34E9B" w:rsidRPr="00951C18">
        <w:rPr>
          <w:rFonts w:ascii="Times New Roman" w:hAnsi="Times New Roman" w:cs="Times New Roman"/>
          <w:i/>
          <w:iCs/>
        </w:rPr>
        <w:t>.</w:t>
      </w:r>
      <w:r w:rsidRPr="00951C18">
        <w:rPr>
          <w:rFonts w:ascii="Times New Roman" w:hAnsi="Times New Roman" w:cs="Times New Roman"/>
        </w:rPr>
        <w:t xml:space="preserve">, 2024). </w:t>
      </w:r>
    </w:p>
    <w:p w14:paraId="05D1E25F" w14:textId="77777777" w:rsidR="004D224A" w:rsidRPr="00951C18" w:rsidRDefault="00A34E9B"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Similarly, feeding and housing practices need to be considered when evaluating indigenous goat production systems. Goats are capable of utilising a wide range of vegetation and agricultural by-products, but inadequate availability of quality feed, minerals and drinking water may restrict growth and reproductive performance. Appropriate housing can provide protection against extreme weather, predators, diseases and other environmental stresses. Likewise, regular vaccination, deworming, ectoparasite control, sanitation and appropriate treatment of sick animals are essential components of sustainable goat production. Thus, assessment of existing management practices can help identify gaps between traditional practices and recommended scientific goat husbandry.</w:t>
      </w:r>
      <w:r w:rsidRPr="00951C18">
        <w:rPr>
          <w:rFonts w:ascii="Times New Roman" w:hAnsi="Times New Roman"/>
          <w:b/>
        </w:rPr>
        <w:t xml:space="preserve"> Recent evidence further indicates that rearing and feeding systems can influence growth and health-related performance in goats, while farmer-centred production-system studies continue to identify breeding, feeding and health management as central components of field-level evaluation (Atta et al., 2026; Manobhavan et al., 2026).</w:t>
      </w:r>
    </w:p>
    <w:p w14:paraId="5FE6015E" w14:textId="77777777" w:rsidR="004D224A" w:rsidRPr="00951C18" w:rsidRDefault="00A34E9B"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The socio-economic characteristics of goat farmers are also relevant because adoption of improved livestock technologies depends partly on household resources, education, landholding, flock size, income and occupational structure. A survey of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 owners in the Marwar region reported that goat keeping was integrated with the broader farming system and that farmers differed in education, family structure, landholding and livestock ownership (Gurjar </w:t>
      </w:r>
      <w:r w:rsidR="00CD1419" w:rsidRPr="00951C18">
        <w:rPr>
          <w:rFonts w:ascii="Times New Roman" w:hAnsi="Times New Roman" w:cs="Times New Roman"/>
          <w:i/>
          <w:iCs/>
        </w:rPr>
        <w:t>et al</w:t>
      </w:r>
      <w:r w:rsidRPr="00951C18">
        <w:rPr>
          <w:rFonts w:ascii="Times New Roman" w:hAnsi="Times New Roman" w:cs="Times New Roman"/>
          <w:i/>
          <w:iCs/>
        </w:rPr>
        <w:t>.</w:t>
      </w:r>
      <w:r w:rsidR="004D224A" w:rsidRPr="00951C18">
        <w:rPr>
          <w:rFonts w:ascii="Times New Roman" w:hAnsi="Times New Roman" w:cs="Times New Roman"/>
        </w:rPr>
        <w:t xml:space="preserve">, </w:t>
      </w:r>
      <w:r w:rsidR="006535DC" w:rsidRPr="00951C18">
        <w:rPr>
          <w:rFonts w:ascii="Times New Roman" w:hAnsi="Times New Roman" w:cs="Times New Roman"/>
        </w:rPr>
        <w:t>2021</w:t>
      </w:r>
      <w:r w:rsidR="004D224A" w:rsidRPr="00951C18">
        <w:rPr>
          <w:rFonts w:ascii="Times New Roman" w:hAnsi="Times New Roman" w:cs="Times New Roman"/>
        </w:rPr>
        <w:t>). Understanding these characteristics is therefore useful for designing extension programmes and breed improvement interventions appropriate to local farmers.</w:t>
      </w:r>
    </w:p>
    <w:p w14:paraId="15CF6F75" w14:textId="77777777" w:rsidR="004D224A" w:rsidRPr="00951C18" w:rsidRDefault="000465F8"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Despite the importance of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goats in western Rajasthan, field-level information integrating morphological characteristics, growth, production, reproduction, socio-economic characteristics, management practices and constraints is comparatively limited. Moreover, performance records maintained by farmers are often incomplete, making systematic field surveys and direct observations valuable for documenting breed characteristics and production systems. The recent establishment of a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 improvement programme further emphasises the importance of collecting field information for selection and breed development. The ICAR-Central Institute for Research on Goats has reported the need for additional pure animals from the field and has initiated cluster-based activities involving areas such as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and adjoining regions, underscoring the continuing importance of field characterisation and genetic improvement of the breed. </w:t>
      </w:r>
    </w:p>
    <w:p w14:paraId="51F39C17" w14:textId="77777777" w:rsidR="004D224A" w:rsidRPr="00951C18" w:rsidRDefault="000465F8" w:rsidP="004D224A">
      <w:pPr>
        <w:spacing w:line="276" w:lineRule="auto"/>
        <w:jc w:val="both"/>
        <w:rPr>
          <w:rFonts w:ascii="Times New Roman" w:hAnsi="Times New Roman" w:cs="Times New Roman"/>
        </w:rPr>
      </w:pPr>
      <w:r w:rsidRPr="00951C18">
        <w:rPr>
          <w:rFonts w:ascii="Times New Roman" w:hAnsi="Times New Roman" w:cs="Times New Roman"/>
        </w:rPr>
        <w:tab/>
      </w:r>
      <w:r w:rsidR="004D224A" w:rsidRPr="00951C18">
        <w:rPr>
          <w:rFonts w:ascii="Times New Roman" w:hAnsi="Times New Roman" w:cs="Times New Roman"/>
        </w:rPr>
        <w:t xml:space="preserve">Therefore, the present investigation was undertaken to characterise the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 under field conditions in selected areas of Pali and Jodhpur districts of Rajasthan. The study specifically aimed to document the socio-economic characteristics of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 farmers; morphological characteristics of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goats; growth, production and </w:t>
      </w:r>
      <w:r w:rsidR="004D224A" w:rsidRPr="00951C18">
        <w:rPr>
          <w:rFonts w:ascii="Times New Roman" w:hAnsi="Times New Roman" w:cs="Times New Roman"/>
        </w:rPr>
        <w:lastRenderedPageBreak/>
        <w:t xml:space="preserve">reproductive performance; breeding, feeding, housing, milking, marketing and health-care practices; and major constraints perceived by goat owners. Information generated from this study may provide a useful baseline for breed characterisation, formulation of suitable management interventions, farmer-oriented extension programmes and future genetic improvement and conservation strategies for </w:t>
      </w:r>
      <w:proofErr w:type="spellStart"/>
      <w:r w:rsidR="004D224A" w:rsidRPr="00951C18">
        <w:rPr>
          <w:rFonts w:ascii="Times New Roman" w:hAnsi="Times New Roman" w:cs="Times New Roman"/>
        </w:rPr>
        <w:t>Sojat</w:t>
      </w:r>
      <w:proofErr w:type="spellEnd"/>
      <w:r w:rsidR="004D224A" w:rsidRPr="00951C18">
        <w:rPr>
          <w:rFonts w:ascii="Times New Roman" w:hAnsi="Times New Roman" w:cs="Times New Roman"/>
        </w:rPr>
        <w:t xml:space="preserve"> goats.</w:t>
      </w:r>
    </w:p>
    <w:p w14:paraId="09B80E3A" w14:textId="77777777" w:rsidR="005F3858" w:rsidRPr="00951C18" w:rsidRDefault="000465F8" w:rsidP="005F3858">
      <w:pPr>
        <w:spacing w:line="276" w:lineRule="auto"/>
        <w:jc w:val="both"/>
        <w:rPr>
          <w:rFonts w:ascii="Times New Roman" w:hAnsi="Times New Roman" w:cs="Times New Roman"/>
          <w:b/>
          <w:bCs/>
          <w:i/>
          <w:iCs/>
        </w:rPr>
      </w:pPr>
      <w:r w:rsidRPr="00951C18">
        <w:rPr>
          <w:rFonts w:ascii="Times New Roman" w:hAnsi="Times New Roman" w:cs="Times New Roman"/>
          <w:b/>
          <w:bCs/>
          <w:i/>
          <w:iCs/>
        </w:rPr>
        <w:t>2. Materials and Methods</w:t>
      </w:r>
    </w:p>
    <w:p w14:paraId="750681D0"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2.1 Study area and selection of respondents</w:t>
      </w:r>
    </w:p>
    <w:p w14:paraId="15AEF1FD" w14:textId="77777777" w:rsidR="005F3858" w:rsidRPr="00951C18" w:rsidRDefault="000465F8" w:rsidP="005F3858">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 xml:space="preserve">The study was conducted during 2023–2024 in Pali and Jodhpur districts of Rajasthan, India, where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are predominantly reared. Two tehsils from each district were purposively selected based on the availability of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namely Pali and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from Pali district and </w:t>
      </w:r>
      <w:proofErr w:type="spellStart"/>
      <w:r w:rsidR="005F3858" w:rsidRPr="00951C18">
        <w:rPr>
          <w:rFonts w:ascii="Times New Roman" w:hAnsi="Times New Roman" w:cs="Times New Roman"/>
        </w:rPr>
        <w:t>Bilara</w:t>
      </w:r>
      <w:proofErr w:type="spellEnd"/>
      <w:r w:rsidR="005F3858" w:rsidRPr="00951C18">
        <w:rPr>
          <w:rFonts w:ascii="Times New Roman" w:hAnsi="Times New Roman" w:cs="Times New Roman"/>
        </w:rPr>
        <w:t xml:space="preserve"> and </w:t>
      </w:r>
      <w:proofErr w:type="spellStart"/>
      <w:r w:rsidR="005F3858" w:rsidRPr="00951C18">
        <w:rPr>
          <w:rFonts w:ascii="Times New Roman" w:hAnsi="Times New Roman" w:cs="Times New Roman"/>
        </w:rPr>
        <w:t>Pipar</w:t>
      </w:r>
      <w:proofErr w:type="spellEnd"/>
      <w:r w:rsidR="005F3858" w:rsidRPr="00951C18">
        <w:rPr>
          <w:rFonts w:ascii="Times New Roman" w:hAnsi="Times New Roman" w:cs="Times New Roman"/>
        </w:rPr>
        <w:t xml:space="preserve"> City from Jodhpur district. Four villages from each selected tehsil were subsequently selected based on the concentration of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 farmers. From each selected village, 15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 owners were randomly selected, resulting in a total sample of 240 respondents from 16 villages.</w:t>
      </w:r>
    </w:p>
    <w:p w14:paraId="73864043"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2.2 Data collection</w:t>
      </w:r>
    </w:p>
    <w:p w14:paraId="005C43E1" w14:textId="77777777" w:rsidR="005F3858" w:rsidRPr="00951C18" w:rsidRDefault="000465F8" w:rsidP="005F3858">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 xml:space="preserve">Primary data were collected through personal interviews using a pre-tested, structured interview schedule developed in accordance with the objectives of the study. Information was collected on the socio-economic characteristics of farmers, morphological characteristics, growth, production and reproductive performance of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management practices and constraints faced by goat owners. Interviews were conducted individually in Hindi and the local dialect wherever necessary. Morphological observations and body measurements were also recorded directly from the animals.</w:t>
      </w:r>
    </w:p>
    <w:p w14:paraId="6EA4B3D3"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2.3 Morphological measurements</w:t>
      </w:r>
    </w:p>
    <w:p w14:paraId="3F93A27C" w14:textId="77777777" w:rsidR="005F3858" w:rsidRPr="00951C18" w:rsidRDefault="000465F8" w:rsidP="005F3858">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 xml:space="preserve">Morphological characteristics were recorded through direct observation and measurement of adult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Qualitative traits included body colour pattern, head orientation, horn orientation, ear orientation, presence of beard and dewlap, and tail characteristics. Quantitative measurements included body weight (kg), body length (cm), height at withers (cm), chest girth (cm), and lengths of the head, horns, ears and tail. Body weight was recorded using a dial balance, while linear body measurements were taken with the animals maintained in a standing position on level ground.</w:t>
      </w:r>
    </w:p>
    <w:p w14:paraId="1DCD4870"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2.4 Growth, production and reproductive performance</w:t>
      </w:r>
    </w:p>
    <w:p w14:paraId="6760BEE9" w14:textId="77777777" w:rsidR="005F3858" w:rsidRPr="00951C18" w:rsidRDefault="000465F8" w:rsidP="005F3858">
      <w:pPr>
        <w:spacing w:line="276" w:lineRule="auto"/>
        <w:jc w:val="both"/>
        <w:rPr>
          <w:rFonts w:ascii="Times New Roman" w:hAnsi="Times New Roman" w:cs="Times New Roman"/>
        </w:rPr>
      </w:pPr>
      <w:r w:rsidRPr="00951C18">
        <w:rPr>
          <w:rFonts w:ascii="Times New Roman" w:hAnsi="Times New Roman" w:cs="Times New Roman"/>
        </w:rPr>
        <w:tab/>
      </w:r>
      <w:r w:rsidR="4B4875ED" w:rsidRPr="00951C18">
        <w:rPr>
          <w:rFonts w:ascii="Times New Roman" w:hAnsi="Times New Roman" w:cs="Times New Roman"/>
        </w:rPr>
        <w:t xml:space="preserve">Growth performance was assessed using body weight and linear body measurements recorded at birth, 3, 6, 9 and 12 months of age and at adulthood. Production performance was evaluated based on daily milk yield, total lactation milk yield, lactation length, days to attain peak yield, peak milk yield, milk fat and solid-not-fat (SNF) contents. Reproductive performance was assessed in terms of age at first mating, age at first oestrus, oestrous cycle, age at first kidding, kidding interval, service period, dry </w:t>
      </w:r>
      <w:r w:rsidR="4B4875ED" w:rsidRPr="00951C18">
        <w:rPr>
          <w:rFonts w:ascii="Times New Roman" w:hAnsi="Times New Roman" w:cs="Times New Roman"/>
        </w:rPr>
        <w:lastRenderedPageBreak/>
        <w:t xml:space="preserve">period, gestation period, litter size and lifetime number of </w:t>
      </w:r>
      <w:proofErr w:type="spellStart"/>
      <w:r w:rsidR="4B4875ED" w:rsidRPr="00951C18">
        <w:rPr>
          <w:rFonts w:ascii="Times New Roman" w:hAnsi="Times New Roman" w:cs="Times New Roman"/>
        </w:rPr>
        <w:t>kiddings</w:t>
      </w:r>
      <w:proofErr w:type="spellEnd"/>
      <w:r w:rsidR="4B4875ED" w:rsidRPr="00951C18">
        <w:rPr>
          <w:rFonts w:ascii="Times New Roman" w:hAnsi="Times New Roman" w:cs="Times New Roman"/>
        </w:rPr>
        <w:t xml:space="preserve">. Information on production and reproduction </w:t>
      </w:r>
      <w:r w:rsidR="7DA1ECB1" w:rsidRPr="00951C18">
        <w:rPr>
          <w:rFonts w:ascii="Times New Roman" w:hAnsi="Times New Roman" w:cs="Times New Roman"/>
        </w:rPr>
        <w:t>was</w:t>
      </w:r>
      <w:r w:rsidR="4B4875ED" w:rsidRPr="00951C18">
        <w:rPr>
          <w:rFonts w:ascii="Times New Roman" w:hAnsi="Times New Roman" w:cs="Times New Roman"/>
        </w:rPr>
        <w:t xml:space="preserve"> obtained through farmer interviews because systematic farm records were generally not maintained.</w:t>
      </w:r>
    </w:p>
    <w:p w14:paraId="0588E2C4"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2.5 Assessment of management practices and constraints</w:t>
      </w:r>
    </w:p>
    <w:p w14:paraId="6F701ED1" w14:textId="77777777" w:rsidR="005F3858" w:rsidRPr="00951C18" w:rsidRDefault="000465F8" w:rsidP="005F3858">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Management practices were assessed under six major areas: breeding, feeding, housing, milking, marketing and health care. Information was collected regarding commonly followed practices under each area using the structured interview schedule. Constraints perceived by farmers were categorised into five major groups: breeding, feeding, housing and management, health care, and marketing. The severity of constraints was assessed using a three-point scale, assigning scores of 3, 2 and 1 for most severe, severe and least severe constraints, respectively</w:t>
      </w:r>
      <w:r w:rsidR="00171E59" w:rsidRPr="00951C18">
        <w:rPr>
          <w:rFonts w:ascii="Times New Roman" w:hAnsi="Times New Roman" w:cs="Times New Roman"/>
        </w:rPr>
        <w:t xml:space="preserve"> (Regar </w:t>
      </w:r>
      <w:r w:rsidR="00CD1419" w:rsidRPr="00951C18">
        <w:rPr>
          <w:rFonts w:ascii="Times New Roman" w:hAnsi="Times New Roman" w:cs="Times New Roman"/>
          <w:i/>
          <w:iCs/>
        </w:rPr>
        <w:t>et al</w:t>
      </w:r>
      <w:r w:rsidR="00171E59" w:rsidRPr="00951C18">
        <w:rPr>
          <w:rFonts w:ascii="Times New Roman" w:hAnsi="Times New Roman" w:cs="Times New Roman"/>
        </w:rPr>
        <w:t>., 2019)</w:t>
      </w:r>
      <w:r w:rsidR="005F3858" w:rsidRPr="00951C18">
        <w:rPr>
          <w:rFonts w:ascii="Times New Roman" w:hAnsi="Times New Roman" w:cs="Times New Roman"/>
        </w:rPr>
        <w:t>.</w:t>
      </w:r>
    </w:p>
    <w:p w14:paraId="3B5B18CF"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2.6 Statistical analysis</w:t>
      </w:r>
    </w:p>
    <w:p w14:paraId="30D391CB" w14:textId="77777777" w:rsidR="005F3858" w:rsidRPr="00951C18" w:rsidRDefault="000465F8" w:rsidP="005F3858">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The collected data were analysed using descriptive statistics, including frequency, percentage, mean, standard deviation (SD), standard error (SE), mean percentage score (MPS) and ranking. The MPS was calculated as:</w:t>
      </w:r>
      <w:r w:rsidRPr="00951C18">
        <w:rPr>
          <w:rFonts w:ascii="Times New Roman" w:hAnsi="Times New Roman" w:cs="Times New Roman"/>
        </w:rPr>
        <w:t xml:space="preserve"> </w:t>
      </w:r>
      <w:r w:rsidR="005F3858" w:rsidRPr="00951C18">
        <w:rPr>
          <w:rFonts w:ascii="Times New Roman" w:hAnsi="Times New Roman" w:cs="Times New Roman"/>
        </w:rPr>
        <w:t>Constraints were ranked according to their MPS in descending order. Where applicable, associations among categorical variables were tested using the chi-square test following Snedecor and Cochran (1994). Statistical procedures were applied according to the nature of the data and objectives of the study.</w:t>
      </w:r>
    </w:p>
    <w:p w14:paraId="3F8CF55C" w14:textId="77777777" w:rsidR="005F3858" w:rsidRPr="00951C18" w:rsidRDefault="00650548" w:rsidP="00650548">
      <w:pPr>
        <w:spacing w:line="276" w:lineRule="auto"/>
        <w:jc w:val="center"/>
        <w:rPr>
          <w:rFonts w:ascii="Times New Roman" w:hAnsi="Times New Roman" w:cs="Times New Roman"/>
          <w:b/>
          <w:bCs/>
          <w:i/>
          <w:iCs/>
        </w:rPr>
      </w:pPr>
      <w:r w:rsidRPr="00951C18">
        <w:rPr>
          <w:rFonts w:ascii="Times New Roman" w:hAnsi="Times New Roman" w:cs="Times New Roman"/>
          <w:b/>
          <w:bCs/>
          <w:i/>
          <w:iCs/>
        </w:rPr>
        <w:t xml:space="preserve">3. </w:t>
      </w:r>
      <w:r w:rsidR="005F3858" w:rsidRPr="00951C18">
        <w:rPr>
          <w:rFonts w:ascii="Times New Roman" w:hAnsi="Times New Roman" w:cs="Times New Roman"/>
          <w:b/>
          <w:bCs/>
          <w:i/>
          <w:iCs/>
        </w:rPr>
        <w:t>RESULTS AND DISCUSSION</w:t>
      </w:r>
    </w:p>
    <w:p w14:paraId="1DAD9162"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 xml:space="preserve">3.1 Socio-economic characteristics of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 farmers</w:t>
      </w:r>
    </w:p>
    <w:p w14:paraId="26AF109B" w14:textId="77777777" w:rsidR="00160038" w:rsidRPr="00951C18" w:rsidRDefault="00A34E9B" w:rsidP="00160038">
      <w:pPr>
        <w:spacing w:line="276" w:lineRule="auto"/>
        <w:jc w:val="both"/>
        <w:rPr>
          <w:rFonts w:ascii="Times New Roman" w:hAnsi="Times New Roman" w:cs="Times New Roman"/>
        </w:rPr>
      </w:pPr>
      <w:r w:rsidRPr="00951C18">
        <w:rPr>
          <w:rFonts w:ascii="Times New Roman" w:hAnsi="Times New Roman" w:cs="Times New Roman"/>
        </w:rPr>
        <w:tab/>
      </w:r>
      <w:r w:rsidR="00160038" w:rsidRPr="00951C18">
        <w:rPr>
          <w:rFonts w:ascii="Times New Roman" w:hAnsi="Times New Roman" w:cs="Times New Roman"/>
        </w:rPr>
        <w:t xml:space="preserve">The socio-economic profile of the 240 respondents revealed that the majority (67.92%) belonged to the middle-aged group (32–57 years), while 17.50% and 14.58% were young and older farmers, respectively. Most respondents (89.58%) belonged to the MBC category. Regarding education, 37.08% had secondary education, followed by primary education (32.08%), while 25.42% were illiterate. Goat keeping was the sole occupation of 69.58% of respondents, whereas 30.42% combined agriculture with goat rearing. The majority (70.83%) belonged to the medium annual-income group. Nuclear families (59.17%) were more common than joint families (40.83%). Notably, 60.63% of respondents were landless, indicating the importance of </w:t>
      </w:r>
      <w:proofErr w:type="spellStart"/>
      <w:r w:rsidR="00160038" w:rsidRPr="00951C18">
        <w:rPr>
          <w:rFonts w:ascii="Times New Roman" w:hAnsi="Times New Roman" w:cs="Times New Roman"/>
        </w:rPr>
        <w:t>Sojat</w:t>
      </w:r>
      <w:proofErr w:type="spellEnd"/>
      <w:r w:rsidR="00160038" w:rsidRPr="00951C18">
        <w:rPr>
          <w:rFonts w:ascii="Times New Roman" w:hAnsi="Times New Roman" w:cs="Times New Roman"/>
        </w:rPr>
        <w:t xml:space="preserve"> goat rearing as a livelihood activity among land-poor households. Further, 52.92% maintained large flocks (&gt;40 goats), followed by medium flocks (44.58%).  The predominance of medium-aged farmers and landless households suggests that </w:t>
      </w:r>
      <w:proofErr w:type="spellStart"/>
      <w:r w:rsidR="00160038" w:rsidRPr="00951C18">
        <w:rPr>
          <w:rFonts w:ascii="Times New Roman" w:hAnsi="Times New Roman" w:cs="Times New Roman"/>
        </w:rPr>
        <w:t>Sojat</w:t>
      </w:r>
      <w:proofErr w:type="spellEnd"/>
      <w:r w:rsidR="00160038" w:rsidRPr="00951C18">
        <w:rPr>
          <w:rFonts w:ascii="Times New Roman" w:hAnsi="Times New Roman" w:cs="Times New Roman"/>
        </w:rPr>
        <w:t xml:space="preserve"> goat production has considerable livelihood significance in the study area. Similar socioeconomic characteristics among goat keepers have also been reported from Rajasthan and other parts of India. Similar observations regarding the socio-economic characteristics of goat keepers have been reported by Mallikarjuna </w:t>
      </w:r>
      <w:r w:rsidR="00CD1419" w:rsidRPr="00951C18">
        <w:rPr>
          <w:rFonts w:ascii="Times New Roman" w:hAnsi="Times New Roman" w:cs="Times New Roman"/>
          <w:i/>
          <w:iCs/>
        </w:rPr>
        <w:t>et al</w:t>
      </w:r>
      <w:r w:rsidR="00160038" w:rsidRPr="00951C18">
        <w:rPr>
          <w:rFonts w:ascii="Times New Roman" w:hAnsi="Times New Roman" w:cs="Times New Roman"/>
        </w:rPr>
        <w:t xml:space="preserve">. (2021) and </w:t>
      </w:r>
      <w:proofErr w:type="spellStart"/>
      <w:r w:rsidR="00160038" w:rsidRPr="00951C18">
        <w:rPr>
          <w:rFonts w:ascii="Times New Roman" w:hAnsi="Times New Roman" w:cs="Times New Roman"/>
        </w:rPr>
        <w:t>Vishnoi</w:t>
      </w:r>
      <w:proofErr w:type="spellEnd"/>
      <w:r w:rsidR="00160038" w:rsidRPr="00951C18">
        <w:rPr>
          <w:rFonts w:ascii="Times New Roman" w:hAnsi="Times New Roman" w:cs="Times New Roman"/>
        </w:rPr>
        <w:t xml:space="preserve"> </w:t>
      </w:r>
      <w:r w:rsidR="00CD1419" w:rsidRPr="00951C18">
        <w:rPr>
          <w:rFonts w:ascii="Times New Roman" w:hAnsi="Times New Roman" w:cs="Times New Roman"/>
          <w:i/>
          <w:iCs/>
        </w:rPr>
        <w:t>et al</w:t>
      </w:r>
      <w:r w:rsidR="00160038" w:rsidRPr="00951C18">
        <w:rPr>
          <w:rFonts w:ascii="Times New Roman" w:hAnsi="Times New Roman" w:cs="Times New Roman"/>
        </w:rPr>
        <w:t xml:space="preserve">. (2022), who highlighted the important role of goat farming in the livelihood of rural and tribal households. Variation </w:t>
      </w:r>
      <w:r w:rsidR="00160038" w:rsidRPr="00951C18">
        <w:rPr>
          <w:rFonts w:ascii="Times New Roman" w:hAnsi="Times New Roman" w:cs="Times New Roman"/>
        </w:rPr>
        <w:lastRenderedPageBreak/>
        <w:t xml:space="preserve">in educational status among goat keepers has also been reported in studies on goat production systems in different regions of India, where education was found to influence awareness and adoption of improved goat-management practices (Koli &amp; Koli, 2016; Mallikarjuna </w:t>
      </w:r>
      <w:r w:rsidR="00CD1419" w:rsidRPr="00951C18">
        <w:rPr>
          <w:rFonts w:ascii="Times New Roman" w:hAnsi="Times New Roman" w:cs="Times New Roman"/>
          <w:i/>
          <w:iCs/>
        </w:rPr>
        <w:t>et al</w:t>
      </w:r>
      <w:r w:rsidR="00160038" w:rsidRPr="00951C18">
        <w:rPr>
          <w:rFonts w:ascii="Times New Roman" w:hAnsi="Times New Roman" w:cs="Times New Roman"/>
        </w:rPr>
        <w:t xml:space="preserve">., 2021). Goat keeping was the sole occupation of 69.58% of respondents, while 30.42% combined agriculture with goat rearing, indicating that goat production served as an important livelihood activity. The predominance of goat keeping as an occupation is consistent with the findings of Bagri </w:t>
      </w:r>
      <w:r w:rsidR="00CD1419" w:rsidRPr="00951C18">
        <w:rPr>
          <w:rFonts w:ascii="Times New Roman" w:hAnsi="Times New Roman" w:cs="Times New Roman"/>
          <w:i/>
          <w:iCs/>
        </w:rPr>
        <w:t>et al</w:t>
      </w:r>
      <w:r w:rsidR="00160038" w:rsidRPr="00951C18">
        <w:rPr>
          <w:rFonts w:ascii="Times New Roman" w:hAnsi="Times New Roman" w:cs="Times New Roman"/>
        </w:rPr>
        <w:t xml:space="preserve">. (2022), who reported the economic importance of </w:t>
      </w:r>
      <w:proofErr w:type="spellStart"/>
      <w:r w:rsidR="00160038" w:rsidRPr="00951C18">
        <w:rPr>
          <w:rFonts w:ascii="Times New Roman" w:hAnsi="Times New Roman" w:cs="Times New Roman"/>
        </w:rPr>
        <w:t>Sojat</w:t>
      </w:r>
      <w:proofErr w:type="spellEnd"/>
      <w:r w:rsidR="00160038" w:rsidRPr="00951C18">
        <w:rPr>
          <w:rFonts w:ascii="Times New Roman" w:hAnsi="Times New Roman" w:cs="Times New Roman"/>
        </w:rPr>
        <w:t xml:space="preserve"> goat rearing among farmers in Rajasthan. Similarly, Dixit and Singh (2014) emphasised the livelihood and economic contribution of goat production under field conditions. The relatively large proportion of landless goat keepers is in agreement with the broader observation that goats are particularly suitable for smallholders and land-poor households because they require comparatively limited space and can provide regular income through the sale of animals and products (Regar </w:t>
      </w:r>
      <w:r w:rsidR="00CD1419" w:rsidRPr="00951C18">
        <w:rPr>
          <w:rFonts w:ascii="Times New Roman" w:hAnsi="Times New Roman" w:cs="Times New Roman"/>
          <w:i/>
          <w:iCs/>
        </w:rPr>
        <w:t>et al</w:t>
      </w:r>
      <w:r w:rsidR="00160038" w:rsidRPr="00951C18">
        <w:rPr>
          <w:rFonts w:ascii="Times New Roman" w:hAnsi="Times New Roman" w:cs="Times New Roman"/>
        </w:rPr>
        <w:t xml:space="preserve">., 2023; Sorathiya </w:t>
      </w:r>
      <w:r w:rsidR="00CD1419" w:rsidRPr="00951C18">
        <w:rPr>
          <w:rFonts w:ascii="Times New Roman" w:hAnsi="Times New Roman" w:cs="Times New Roman"/>
          <w:i/>
          <w:iCs/>
        </w:rPr>
        <w:t>et al</w:t>
      </w:r>
      <w:r w:rsidR="00160038" w:rsidRPr="00951C18">
        <w:rPr>
          <w:rFonts w:ascii="Times New Roman" w:hAnsi="Times New Roman" w:cs="Times New Roman"/>
        </w:rPr>
        <w:t xml:space="preserve">., 2013). With respect to flock size, 52.92% of respondents maintained large flocks (&gt;40 goats), followed by 44.58% with medium-sized flocks (12–40 goats). This indicates that </w:t>
      </w:r>
      <w:proofErr w:type="spellStart"/>
      <w:r w:rsidR="00160038" w:rsidRPr="00951C18">
        <w:rPr>
          <w:rFonts w:ascii="Times New Roman" w:hAnsi="Times New Roman" w:cs="Times New Roman"/>
        </w:rPr>
        <w:t>Sojat</w:t>
      </w:r>
      <w:proofErr w:type="spellEnd"/>
      <w:r w:rsidR="00160038" w:rsidRPr="00951C18">
        <w:rPr>
          <w:rFonts w:ascii="Times New Roman" w:hAnsi="Times New Roman" w:cs="Times New Roman"/>
        </w:rPr>
        <w:t xml:space="preserve"> goat keeping in the study area was not merely a subsistence activity but also had a substantial commercial orientation. The importance of flock size in determining the economic returns from traditional goat production has also been documented by </w:t>
      </w:r>
      <w:proofErr w:type="spellStart"/>
      <w:r w:rsidR="00160038" w:rsidRPr="00951C18">
        <w:rPr>
          <w:rFonts w:ascii="Times New Roman" w:hAnsi="Times New Roman" w:cs="Times New Roman"/>
        </w:rPr>
        <w:t>Sorathiya</w:t>
      </w:r>
      <w:proofErr w:type="spellEnd"/>
      <w:r w:rsidR="00160038" w:rsidRPr="00951C18">
        <w:rPr>
          <w:rFonts w:ascii="Times New Roman" w:hAnsi="Times New Roman" w:cs="Times New Roman"/>
        </w:rPr>
        <w:t xml:space="preserve"> </w:t>
      </w:r>
      <w:r w:rsidR="00CD1419" w:rsidRPr="00951C18">
        <w:rPr>
          <w:rFonts w:ascii="Times New Roman" w:hAnsi="Times New Roman" w:cs="Times New Roman"/>
          <w:i/>
          <w:iCs/>
        </w:rPr>
        <w:t>et al</w:t>
      </w:r>
      <w:r w:rsidR="00160038" w:rsidRPr="00951C18">
        <w:rPr>
          <w:rFonts w:ascii="Times New Roman" w:hAnsi="Times New Roman" w:cs="Times New Roman"/>
        </w:rPr>
        <w:t xml:space="preserve">. (2013), while Bagri </w:t>
      </w:r>
      <w:r w:rsidR="00CD1419" w:rsidRPr="00951C18">
        <w:rPr>
          <w:rFonts w:ascii="Times New Roman" w:hAnsi="Times New Roman" w:cs="Times New Roman"/>
          <w:i/>
          <w:iCs/>
        </w:rPr>
        <w:t>et al</w:t>
      </w:r>
      <w:r w:rsidR="00160038" w:rsidRPr="00951C18">
        <w:rPr>
          <w:rFonts w:ascii="Times New Roman" w:hAnsi="Times New Roman" w:cs="Times New Roman"/>
        </w:rPr>
        <w:t xml:space="preserve">. (2022) reported the economic significance of </w:t>
      </w:r>
      <w:proofErr w:type="spellStart"/>
      <w:r w:rsidR="00160038" w:rsidRPr="00951C18">
        <w:rPr>
          <w:rFonts w:ascii="Times New Roman" w:hAnsi="Times New Roman" w:cs="Times New Roman"/>
        </w:rPr>
        <w:t>Sojat</w:t>
      </w:r>
      <w:proofErr w:type="spellEnd"/>
      <w:r w:rsidR="00160038" w:rsidRPr="00951C18">
        <w:rPr>
          <w:rFonts w:ascii="Times New Roman" w:hAnsi="Times New Roman" w:cs="Times New Roman"/>
        </w:rPr>
        <w:t xml:space="preserve"> goat production in Rajasthan.</w:t>
      </w:r>
    </w:p>
    <w:p w14:paraId="251CC009"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 xml:space="preserve">Table 1. Selected socio-economic characteristics of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 farmers (n=240)</w:t>
      </w:r>
    </w:p>
    <w:tbl>
      <w:tblPr>
        <w:tblStyle w:val="TableGrid"/>
        <w:tblW w:w="0" w:type="auto"/>
        <w:jc w:val="center"/>
        <w:tblLook w:val="04A0" w:firstRow="1" w:lastRow="0" w:firstColumn="1" w:lastColumn="0" w:noHBand="0" w:noVBand="1"/>
      </w:tblPr>
      <w:tblGrid>
        <w:gridCol w:w="3816"/>
        <w:gridCol w:w="1449"/>
      </w:tblGrid>
      <w:tr w:rsidR="005F3858" w:rsidRPr="00951C18" w14:paraId="3F9E5E9C" w14:textId="77777777" w:rsidTr="00A34E9B">
        <w:trPr>
          <w:jc w:val="center"/>
        </w:trPr>
        <w:tc>
          <w:tcPr>
            <w:tcW w:w="0" w:type="auto"/>
            <w:hideMark/>
          </w:tcPr>
          <w:p w14:paraId="5AFFD5CF"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Characteristics</w:t>
            </w:r>
          </w:p>
        </w:tc>
        <w:tc>
          <w:tcPr>
            <w:tcW w:w="0" w:type="auto"/>
            <w:hideMark/>
          </w:tcPr>
          <w:p w14:paraId="23BA5D6A"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Overall (%)</w:t>
            </w:r>
          </w:p>
        </w:tc>
      </w:tr>
      <w:tr w:rsidR="005F3858" w:rsidRPr="00951C18" w14:paraId="57B06582" w14:textId="77777777" w:rsidTr="00A34E9B">
        <w:trPr>
          <w:jc w:val="center"/>
        </w:trPr>
        <w:tc>
          <w:tcPr>
            <w:tcW w:w="0" w:type="auto"/>
            <w:hideMark/>
          </w:tcPr>
          <w:p w14:paraId="39A05BDE"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Middle-aged farmers (32–57 years)</w:t>
            </w:r>
          </w:p>
        </w:tc>
        <w:tc>
          <w:tcPr>
            <w:tcW w:w="0" w:type="auto"/>
            <w:hideMark/>
          </w:tcPr>
          <w:p w14:paraId="57F11B47"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67.92</w:t>
            </w:r>
          </w:p>
        </w:tc>
      </w:tr>
      <w:tr w:rsidR="005F3858" w:rsidRPr="00951C18" w14:paraId="50FB4E15" w14:textId="77777777" w:rsidTr="00A34E9B">
        <w:trPr>
          <w:jc w:val="center"/>
        </w:trPr>
        <w:tc>
          <w:tcPr>
            <w:tcW w:w="0" w:type="auto"/>
            <w:hideMark/>
          </w:tcPr>
          <w:p w14:paraId="25330997"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MBC category</w:t>
            </w:r>
          </w:p>
        </w:tc>
        <w:tc>
          <w:tcPr>
            <w:tcW w:w="0" w:type="auto"/>
            <w:hideMark/>
          </w:tcPr>
          <w:p w14:paraId="3203A5C5"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89.58</w:t>
            </w:r>
          </w:p>
        </w:tc>
      </w:tr>
      <w:tr w:rsidR="005F3858" w:rsidRPr="00951C18" w14:paraId="0161575A" w14:textId="77777777" w:rsidTr="00A34E9B">
        <w:trPr>
          <w:jc w:val="center"/>
        </w:trPr>
        <w:tc>
          <w:tcPr>
            <w:tcW w:w="0" w:type="auto"/>
            <w:hideMark/>
          </w:tcPr>
          <w:p w14:paraId="53EF5B76"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Secondary education</w:t>
            </w:r>
          </w:p>
        </w:tc>
        <w:tc>
          <w:tcPr>
            <w:tcW w:w="0" w:type="auto"/>
            <w:hideMark/>
          </w:tcPr>
          <w:p w14:paraId="2094A3EC"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37.08</w:t>
            </w:r>
          </w:p>
        </w:tc>
      </w:tr>
      <w:tr w:rsidR="005F3858" w:rsidRPr="00951C18" w14:paraId="0437291E" w14:textId="77777777" w:rsidTr="00A34E9B">
        <w:trPr>
          <w:jc w:val="center"/>
        </w:trPr>
        <w:tc>
          <w:tcPr>
            <w:tcW w:w="0" w:type="auto"/>
            <w:hideMark/>
          </w:tcPr>
          <w:p w14:paraId="0E60B72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Animal husbandry as sole occupation</w:t>
            </w:r>
          </w:p>
        </w:tc>
        <w:tc>
          <w:tcPr>
            <w:tcW w:w="0" w:type="auto"/>
            <w:hideMark/>
          </w:tcPr>
          <w:p w14:paraId="2F5FAB30"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69.58</w:t>
            </w:r>
          </w:p>
        </w:tc>
      </w:tr>
      <w:tr w:rsidR="005F3858" w:rsidRPr="00951C18" w14:paraId="3DAEABCF" w14:textId="77777777" w:rsidTr="00A34E9B">
        <w:trPr>
          <w:jc w:val="center"/>
        </w:trPr>
        <w:tc>
          <w:tcPr>
            <w:tcW w:w="0" w:type="auto"/>
            <w:hideMark/>
          </w:tcPr>
          <w:p w14:paraId="53312978"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Medium annual income</w:t>
            </w:r>
          </w:p>
        </w:tc>
        <w:tc>
          <w:tcPr>
            <w:tcW w:w="0" w:type="auto"/>
            <w:hideMark/>
          </w:tcPr>
          <w:p w14:paraId="2010C051"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70.83</w:t>
            </w:r>
          </w:p>
        </w:tc>
      </w:tr>
      <w:tr w:rsidR="005F3858" w:rsidRPr="00951C18" w14:paraId="3D0B0EAF" w14:textId="77777777" w:rsidTr="00A34E9B">
        <w:trPr>
          <w:jc w:val="center"/>
        </w:trPr>
        <w:tc>
          <w:tcPr>
            <w:tcW w:w="0" w:type="auto"/>
            <w:hideMark/>
          </w:tcPr>
          <w:p w14:paraId="7101E981"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Nuclear family</w:t>
            </w:r>
          </w:p>
        </w:tc>
        <w:tc>
          <w:tcPr>
            <w:tcW w:w="0" w:type="auto"/>
            <w:hideMark/>
          </w:tcPr>
          <w:p w14:paraId="7167FABD"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59.17</w:t>
            </w:r>
          </w:p>
        </w:tc>
      </w:tr>
      <w:tr w:rsidR="005F3858" w:rsidRPr="00951C18" w14:paraId="186249F1" w14:textId="77777777" w:rsidTr="00A34E9B">
        <w:trPr>
          <w:jc w:val="center"/>
        </w:trPr>
        <w:tc>
          <w:tcPr>
            <w:tcW w:w="0" w:type="auto"/>
            <w:hideMark/>
          </w:tcPr>
          <w:p w14:paraId="6C3F2A4F"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Landless farmers</w:t>
            </w:r>
          </w:p>
        </w:tc>
        <w:tc>
          <w:tcPr>
            <w:tcW w:w="0" w:type="auto"/>
            <w:hideMark/>
          </w:tcPr>
          <w:p w14:paraId="4E4717A1"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60.63</w:t>
            </w:r>
          </w:p>
        </w:tc>
      </w:tr>
      <w:tr w:rsidR="005F3858" w:rsidRPr="00951C18" w14:paraId="71AEE76B" w14:textId="77777777" w:rsidTr="00A34E9B">
        <w:trPr>
          <w:jc w:val="center"/>
        </w:trPr>
        <w:tc>
          <w:tcPr>
            <w:tcW w:w="0" w:type="auto"/>
            <w:hideMark/>
          </w:tcPr>
          <w:p w14:paraId="0DBB5CD9"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Large flock (&gt;40 goats)</w:t>
            </w:r>
          </w:p>
        </w:tc>
        <w:tc>
          <w:tcPr>
            <w:tcW w:w="0" w:type="auto"/>
            <w:hideMark/>
          </w:tcPr>
          <w:p w14:paraId="67E5B072"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52.92</w:t>
            </w:r>
          </w:p>
        </w:tc>
      </w:tr>
    </w:tbl>
    <w:p w14:paraId="5DF0E430" w14:textId="77777777" w:rsidR="005F3858" w:rsidRPr="00951C18" w:rsidRDefault="005F3858" w:rsidP="005F3858">
      <w:pPr>
        <w:spacing w:line="276" w:lineRule="auto"/>
        <w:jc w:val="both"/>
        <w:rPr>
          <w:rFonts w:ascii="Times New Roman" w:hAnsi="Times New Roman" w:cs="Times New Roman"/>
        </w:rPr>
      </w:pPr>
    </w:p>
    <w:p w14:paraId="7D6EEA10"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 xml:space="preserve">3.2 Morphological characteristics of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goats</w:t>
      </w:r>
    </w:p>
    <w:p w14:paraId="231665D8" w14:textId="77777777" w:rsidR="005F3858" w:rsidRPr="00951C18" w:rsidRDefault="00125A38" w:rsidP="005F3858">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 xml:space="preserve">The morphological observations demonstrated a relatively distinct phenotypic pattern in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A majority (75.87%) of the animals had a white coat with spots, while 24.13% were completely white. The head profile was predominantly slightly convex (97.47%), with no straight head profile observed. Almost all horned animals (98.35%) had upward-curved horns, and 98.77% possessed pencil-shaped horns with pointed tips. Medium-sized horns (15–25 cm) predominated (63.00%).</w:t>
      </w:r>
      <w:r w:rsidRPr="00951C18">
        <w:rPr>
          <w:rFonts w:ascii="Times New Roman" w:hAnsi="Times New Roman" w:cs="Times New Roman"/>
        </w:rPr>
        <w:t xml:space="preserve"> </w:t>
      </w:r>
      <w:r w:rsidR="005F3858" w:rsidRPr="00951C18">
        <w:rPr>
          <w:rFonts w:ascii="Times New Roman" w:hAnsi="Times New Roman" w:cs="Times New Roman"/>
        </w:rPr>
        <w:t xml:space="preserve">The ears were predominantly flat and pendulous (94.44%), which may be considered an important breed-characteristic feature. Wattles were present in 60.05% of females but absent in </w:t>
      </w:r>
      <w:r w:rsidR="005F3858" w:rsidRPr="00951C18">
        <w:rPr>
          <w:rFonts w:ascii="Times New Roman" w:hAnsi="Times New Roman" w:cs="Times New Roman"/>
        </w:rPr>
        <w:lastRenderedPageBreak/>
        <w:t xml:space="preserve">males, whereas beard was present in all adult males and absent in females. The predominant tail type was short, thick and upward (83.91%). Mean head length was 20.40 ± 0.15 cm in males and 19.53 ± 0.19 cm in females, while mean ear length was 23.71 ± 0.26 and 22.82 ± 0.18 cm, respectively. Mean tail length was 8.36 ± 0.26 cm in males and 7.93 ± 0.27 cm in females. These findings indicate that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possess recognisable phenotypic characteristics that can be useful for breed identification and conservation. The observed morphological characteristics were broadly comparable with earlier descriptions of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and other indigenous goat populations.</w:t>
      </w:r>
    </w:p>
    <w:p w14:paraId="2D4DD707" w14:textId="77777777" w:rsidR="008F01B6" w:rsidRPr="00951C18" w:rsidRDefault="008F01B6" w:rsidP="008F01B6">
      <w:pPr>
        <w:spacing w:line="276" w:lineRule="auto"/>
        <w:jc w:val="both"/>
        <w:rPr>
          <w:rFonts w:ascii="Times New Roman" w:hAnsi="Times New Roman" w:cs="Times New Roman"/>
        </w:rPr>
      </w:pPr>
      <w:r w:rsidRPr="00951C18">
        <w:rPr>
          <w:rFonts w:ascii="Times New Roman" w:hAnsi="Times New Roman" w:cs="Times New Roman"/>
        </w:rPr>
        <w:tab/>
        <w:t xml:space="preserve">The finding is in agreement with the general breed characterisation reported for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and other indigenous goat populations, where coat colour and body markings have been identified as useful descriptors for phenotypic characterisation. Chouhan </w:t>
      </w:r>
      <w:r w:rsidR="00CD1419" w:rsidRPr="00951C18">
        <w:rPr>
          <w:rFonts w:ascii="Times New Roman" w:hAnsi="Times New Roman" w:cs="Times New Roman"/>
          <w:i/>
          <w:iCs/>
        </w:rPr>
        <w:t>et al</w:t>
      </w:r>
      <w:r w:rsidRPr="00951C18">
        <w:rPr>
          <w:rFonts w:ascii="Times New Roman" w:hAnsi="Times New Roman" w:cs="Times New Roman"/>
        </w:rPr>
        <w:t xml:space="preserve">. (2020) reported considerable importance of coat colour and other visible characteristics in the phenotypic characterisation of Marwari goats under field conditions. Similarly, </w:t>
      </w:r>
      <w:proofErr w:type="spellStart"/>
      <w:r w:rsidRPr="00951C18">
        <w:rPr>
          <w:rFonts w:ascii="Times New Roman" w:hAnsi="Times New Roman" w:cs="Times New Roman"/>
        </w:rPr>
        <w:t>Bhuarya</w:t>
      </w:r>
      <w:proofErr w:type="spellEnd"/>
      <w:r w:rsidRPr="00951C18">
        <w:rPr>
          <w:rFonts w:ascii="Times New Roman" w:hAnsi="Times New Roman" w:cs="Times New Roman"/>
        </w:rPr>
        <w:t xml:space="preserve"> </w:t>
      </w:r>
      <w:r w:rsidR="00CD1419" w:rsidRPr="00951C18">
        <w:rPr>
          <w:rFonts w:ascii="Times New Roman" w:hAnsi="Times New Roman" w:cs="Times New Roman"/>
          <w:i/>
          <w:iCs/>
        </w:rPr>
        <w:t>et al</w:t>
      </w:r>
      <w:r w:rsidRPr="00951C18">
        <w:rPr>
          <w:rFonts w:ascii="Times New Roman" w:hAnsi="Times New Roman" w:cs="Times New Roman"/>
        </w:rPr>
        <w:t xml:space="preserve">. (2014) and Rawat and Gupta (2016) emphasised the usefulness of qualitative morphological traits in distinguishing indigenous goat populations. The predominance of this feature is comparable with morphological characterisation studies in indigenous goat populations, where head shape and facial profile were considered important breed descriptors (Deshpande </w:t>
      </w:r>
      <w:r w:rsidR="00CD1419" w:rsidRPr="00951C18">
        <w:rPr>
          <w:rFonts w:ascii="Times New Roman" w:hAnsi="Times New Roman" w:cs="Times New Roman"/>
          <w:i/>
          <w:iCs/>
        </w:rPr>
        <w:t>et al</w:t>
      </w:r>
      <w:r w:rsidRPr="00951C18">
        <w:rPr>
          <w:rFonts w:ascii="Times New Roman" w:hAnsi="Times New Roman" w:cs="Times New Roman"/>
        </w:rPr>
        <w:t xml:space="preserve">., 2010; </w:t>
      </w:r>
      <w:proofErr w:type="spellStart"/>
      <w:r w:rsidRPr="00951C18">
        <w:rPr>
          <w:rFonts w:ascii="Times New Roman" w:hAnsi="Times New Roman" w:cs="Times New Roman"/>
        </w:rPr>
        <w:t>Tantia</w:t>
      </w:r>
      <w:proofErr w:type="spellEnd"/>
      <w:r w:rsidRPr="00951C18">
        <w:rPr>
          <w:rFonts w:ascii="Times New Roman" w:hAnsi="Times New Roman" w:cs="Times New Roman"/>
        </w:rPr>
        <w:t xml:space="preserve"> </w:t>
      </w:r>
      <w:r w:rsidR="00CD1419" w:rsidRPr="00951C18">
        <w:rPr>
          <w:rFonts w:ascii="Times New Roman" w:hAnsi="Times New Roman" w:cs="Times New Roman"/>
          <w:i/>
          <w:iCs/>
        </w:rPr>
        <w:t>et al</w:t>
      </w:r>
      <w:r w:rsidRPr="00951C18">
        <w:rPr>
          <w:rFonts w:ascii="Times New Roman" w:hAnsi="Times New Roman" w:cs="Times New Roman"/>
        </w:rPr>
        <w:t xml:space="preserve">., 2018). The differences between males and females in head length observed in the present study may also reflect sexual dimorphism. Alphonsus </w:t>
      </w:r>
      <w:r w:rsidR="00CD1419" w:rsidRPr="00951C18">
        <w:rPr>
          <w:rFonts w:ascii="Times New Roman" w:hAnsi="Times New Roman" w:cs="Times New Roman"/>
          <w:i/>
          <w:iCs/>
        </w:rPr>
        <w:t>et al</w:t>
      </w:r>
      <w:r w:rsidRPr="00951C18">
        <w:rPr>
          <w:rFonts w:ascii="Times New Roman" w:hAnsi="Times New Roman" w:cs="Times New Roman"/>
        </w:rPr>
        <w:t xml:space="preserve">. (2017) reported sexual dimorphism in several morphological characteristics of indigenous goat breeds, supporting the usefulness of sex-specific measurements in breed characterisation. The predominance of upward-curved and pencil-shaped horns in the present population further supports the existence of a relatively stable horn phenotype in </w:t>
      </w:r>
      <w:proofErr w:type="spellStart"/>
      <w:r w:rsidRPr="00951C18">
        <w:rPr>
          <w:rFonts w:ascii="Times New Roman" w:hAnsi="Times New Roman" w:cs="Times New Roman"/>
        </w:rPr>
        <w:t>Sojat</w:t>
      </w:r>
      <w:proofErr w:type="spellEnd"/>
      <w:r w:rsidRPr="00951C18">
        <w:rPr>
          <w:rFonts w:ascii="Times New Roman" w:hAnsi="Times New Roman" w:cs="Times New Roman"/>
        </w:rPr>
        <w:t xml:space="preserve"> goats. Horn orientation and horn shape have similarly been used as important morphological descriptors in characterisation studies of indigenous goat populations (Oseni &amp; Ajayi, 2014; </w:t>
      </w:r>
      <w:proofErr w:type="spellStart"/>
      <w:r w:rsidRPr="00951C18">
        <w:rPr>
          <w:rFonts w:ascii="Times New Roman" w:hAnsi="Times New Roman" w:cs="Times New Roman"/>
        </w:rPr>
        <w:t>Raskar</w:t>
      </w:r>
      <w:proofErr w:type="spellEnd"/>
      <w:r w:rsidRPr="00951C18">
        <w:rPr>
          <w:rFonts w:ascii="Times New Roman" w:hAnsi="Times New Roman" w:cs="Times New Roman"/>
        </w:rPr>
        <w:t xml:space="preserve"> </w:t>
      </w:r>
      <w:r w:rsidR="00CD1419" w:rsidRPr="00951C18">
        <w:rPr>
          <w:rFonts w:ascii="Times New Roman" w:hAnsi="Times New Roman" w:cs="Times New Roman"/>
          <w:i/>
          <w:iCs/>
        </w:rPr>
        <w:t>et al</w:t>
      </w:r>
      <w:r w:rsidRPr="00951C18">
        <w:rPr>
          <w:rFonts w:ascii="Times New Roman" w:hAnsi="Times New Roman" w:cs="Times New Roman"/>
        </w:rPr>
        <w:t xml:space="preserve">., 2018). The predominance of medium horn length observed in the present study may therefore contribute to the recognisable physical appearance of the breed. Similar emphasis on ear orientation and ear length as useful phenotypic descriptors has been reported in morphological characterisation studies of indigenous goats (Deshpande </w:t>
      </w:r>
      <w:r w:rsidR="00CD1419" w:rsidRPr="00951C18">
        <w:rPr>
          <w:rFonts w:ascii="Times New Roman" w:hAnsi="Times New Roman" w:cs="Times New Roman"/>
          <w:i/>
          <w:iCs/>
        </w:rPr>
        <w:t>et al</w:t>
      </w:r>
      <w:r w:rsidRPr="00951C18">
        <w:rPr>
          <w:rFonts w:ascii="Times New Roman" w:hAnsi="Times New Roman" w:cs="Times New Roman"/>
        </w:rPr>
        <w:t xml:space="preserve">., 2010; Parvathi </w:t>
      </w:r>
      <w:r w:rsidR="00CD1419" w:rsidRPr="00951C18">
        <w:rPr>
          <w:rFonts w:ascii="Times New Roman" w:hAnsi="Times New Roman" w:cs="Times New Roman"/>
          <w:i/>
          <w:iCs/>
        </w:rPr>
        <w:t>et al</w:t>
      </w:r>
      <w:r w:rsidRPr="00951C18">
        <w:rPr>
          <w:rFonts w:ascii="Times New Roman" w:hAnsi="Times New Roman" w:cs="Times New Roman"/>
        </w:rPr>
        <w:t xml:space="preserve">., 2020; Verma </w:t>
      </w:r>
      <w:r w:rsidR="00CD1419" w:rsidRPr="00951C18">
        <w:rPr>
          <w:rFonts w:ascii="Times New Roman" w:hAnsi="Times New Roman" w:cs="Times New Roman"/>
          <w:i/>
          <w:iCs/>
        </w:rPr>
        <w:t>et al</w:t>
      </w:r>
      <w:r w:rsidRPr="00951C18">
        <w:rPr>
          <w:rFonts w:ascii="Times New Roman" w:hAnsi="Times New Roman" w:cs="Times New Roman"/>
        </w:rPr>
        <w:t>., 2015). The relatively greater mean ear length recorded in males than females also supports the occurrence of sexual variation in morphometric traits.</w:t>
      </w:r>
    </w:p>
    <w:p w14:paraId="1E3EECEE" w14:textId="77777777" w:rsidR="008F01B6" w:rsidRPr="00951C18" w:rsidRDefault="008F01B6" w:rsidP="005F3858">
      <w:pPr>
        <w:spacing w:line="276" w:lineRule="auto"/>
        <w:jc w:val="both"/>
        <w:rPr>
          <w:rFonts w:ascii="Times New Roman" w:hAnsi="Times New Roman" w:cs="Times New Roman"/>
        </w:rPr>
      </w:pPr>
    </w:p>
    <w:p w14:paraId="6F142194"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 xml:space="preserve">Table 2. Important morphological characteristics of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goats</w:t>
      </w:r>
    </w:p>
    <w:tbl>
      <w:tblPr>
        <w:tblStyle w:val="TableGrid"/>
        <w:tblW w:w="0" w:type="auto"/>
        <w:jc w:val="center"/>
        <w:tblLook w:val="04A0" w:firstRow="1" w:lastRow="0" w:firstColumn="1" w:lastColumn="0" w:noHBand="0" w:noVBand="1"/>
      </w:tblPr>
      <w:tblGrid>
        <w:gridCol w:w="1809"/>
        <w:gridCol w:w="3018"/>
        <w:gridCol w:w="1765"/>
      </w:tblGrid>
      <w:tr w:rsidR="005F3858" w:rsidRPr="00951C18" w14:paraId="4045BB25" w14:textId="77777777" w:rsidTr="00125A38">
        <w:trPr>
          <w:jc w:val="center"/>
        </w:trPr>
        <w:tc>
          <w:tcPr>
            <w:tcW w:w="0" w:type="auto"/>
            <w:hideMark/>
          </w:tcPr>
          <w:p w14:paraId="725910AA"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Trait</w:t>
            </w:r>
          </w:p>
        </w:tc>
        <w:tc>
          <w:tcPr>
            <w:tcW w:w="0" w:type="auto"/>
            <w:hideMark/>
          </w:tcPr>
          <w:p w14:paraId="5DE14B28"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Predominant characteristic</w:t>
            </w:r>
          </w:p>
        </w:tc>
        <w:tc>
          <w:tcPr>
            <w:tcW w:w="0" w:type="auto"/>
            <w:hideMark/>
          </w:tcPr>
          <w:p w14:paraId="270D320C"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Frequency (%)</w:t>
            </w:r>
          </w:p>
        </w:tc>
      </w:tr>
      <w:tr w:rsidR="005F3858" w:rsidRPr="00951C18" w14:paraId="516B66A5" w14:textId="77777777" w:rsidTr="00125A38">
        <w:trPr>
          <w:jc w:val="center"/>
        </w:trPr>
        <w:tc>
          <w:tcPr>
            <w:tcW w:w="0" w:type="auto"/>
            <w:hideMark/>
          </w:tcPr>
          <w:p w14:paraId="4E294A8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Coat colour</w:t>
            </w:r>
          </w:p>
        </w:tc>
        <w:tc>
          <w:tcPr>
            <w:tcW w:w="0" w:type="auto"/>
            <w:hideMark/>
          </w:tcPr>
          <w:p w14:paraId="211D70A5"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White with spots</w:t>
            </w:r>
          </w:p>
        </w:tc>
        <w:tc>
          <w:tcPr>
            <w:tcW w:w="0" w:type="auto"/>
            <w:hideMark/>
          </w:tcPr>
          <w:p w14:paraId="01771B9F"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75.87</w:t>
            </w:r>
          </w:p>
        </w:tc>
      </w:tr>
      <w:tr w:rsidR="005F3858" w:rsidRPr="00951C18" w14:paraId="7A75C894" w14:textId="77777777" w:rsidTr="00125A38">
        <w:trPr>
          <w:jc w:val="center"/>
        </w:trPr>
        <w:tc>
          <w:tcPr>
            <w:tcW w:w="0" w:type="auto"/>
            <w:hideMark/>
          </w:tcPr>
          <w:p w14:paraId="204DB783"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Head profile</w:t>
            </w:r>
          </w:p>
        </w:tc>
        <w:tc>
          <w:tcPr>
            <w:tcW w:w="0" w:type="auto"/>
            <w:hideMark/>
          </w:tcPr>
          <w:p w14:paraId="6085ED49"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Slightly convex</w:t>
            </w:r>
          </w:p>
        </w:tc>
        <w:tc>
          <w:tcPr>
            <w:tcW w:w="0" w:type="auto"/>
            <w:hideMark/>
          </w:tcPr>
          <w:p w14:paraId="0CECFB6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97.47</w:t>
            </w:r>
          </w:p>
        </w:tc>
      </w:tr>
      <w:tr w:rsidR="005F3858" w:rsidRPr="00951C18" w14:paraId="54F0BA13" w14:textId="77777777" w:rsidTr="00125A38">
        <w:trPr>
          <w:jc w:val="center"/>
        </w:trPr>
        <w:tc>
          <w:tcPr>
            <w:tcW w:w="0" w:type="auto"/>
            <w:hideMark/>
          </w:tcPr>
          <w:p w14:paraId="139CC304"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Horn orientation</w:t>
            </w:r>
          </w:p>
        </w:tc>
        <w:tc>
          <w:tcPr>
            <w:tcW w:w="0" w:type="auto"/>
            <w:hideMark/>
          </w:tcPr>
          <w:p w14:paraId="7FF21DA2"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Curved upward</w:t>
            </w:r>
          </w:p>
        </w:tc>
        <w:tc>
          <w:tcPr>
            <w:tcW w:w="0" w:type="auto"/>
            <w:hideMark/>
          </w:tcPr>
          <w:p w14:paraId="0667BE00"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98.35</w:t>
            </w:r>
          </w:p>
        </w:tc>
      </w:tr>
      <w:tr w:rsidR="005F3858" w:rsidRPr="00951C18" w14:paraId="64C28C40" w14:textId="77777777" w:rsidTr="00125A38">
        <w:trPr>
          <w:jc w:val="center"/>
        </w:trPr>
        <w:tc>
          <w:tcPr>
            <w:tcW w:w="0" w:type="auto"/>
            <w:hideMark/>
          </w:tcPr>
          <w:p w14:paraId="321F4DF5"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Horn shape</w:t>
            </w:r>
          </w:p>
        </w:tc>
        <w:tc>
          <w:tcPr>
            <w:tcW w:w="0" w:type="auto"/>
            <w:hideMark/>
          </w:tcPr>
          <w:p w14:paraId="75FE8EC9"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Pencil with pointed tips</w:t>
            </w:r>
          </w:p>
        </w:tc>
        <w:tc>
          <w:tcPr>
            <w:tcW w:w="0" w:type="auto"/>
            <w:hideMark/>
          </w:tcPr>
          <w:p w14:paraId="41B8AC9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98.77</w:t>
            </w:r>
          </w:p>
        </w:tc>
      </w:tr>
      <w:tr w:rsidR="005F3858" w:rsidRPr="00951C18" w14:paraId="7A3F8888" w14:textId="77777777" w:rsidTr="00125A38">
        <w:trPr>
          <w:jc w:val="center"/>
        </w:trPr>
        <w:tc>
          <w:tcPr>
            <w:tcW w:w="0" w:type="auto"/>
            <w:hideMark/>
          </w:tcPr>
          <w:p w14:paraId="168B5A34"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lastRenderedPageBreak/>
              <w:t>Horn length</w:t>
            </w:r>
          </w:p>
        </w:tc>
        <w:tc>
          <w:tcPr>
            <w:tcW w:w="0" w:type="auto"/>
            <w:hideMark/>
          </w:tcPr>
          <w:p w14:paraId="7B104664"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Medium (15–25 cm)</w:t>
            </w:r>
          </w:p>
        </w:tc>
        <w:tc>
          <w:tcPr>
            <w:tcW w:w="0" w:type="auto"/>
            <w:hideMark/>
          </w:tcPr>
          <w:p w14:paraId="3A6971CD"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63.00</w:t>
            </w:r>
          </w:p>
        </w:tc>
      </w:tr>
      <w:tr w:rsidR="005F3858" w:rsidRPr="00951C18" w14:paraId="16EE827E" w14:textId="77777777" w:rsidTr="00125A38">
        <w:trPr>
          <w:jc w:val="center"/>
        </w:trPr>
        <w:tc>
          <w:tcPr>
            <w:tcW w:w="0" w:type="auto"/>
            <w:hideMark/>
          </w:tcPr>
          <w:p w14:paraId="7265B90C"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Ear orientation</w:t>
            </w:r>
          </w:p>
        </w:tc>
        <w:tc>
          <w:tcPr>
            <w:tcW w:w="0" w:type="auto"/>
            <w:hideMark/>
          </w:tcPr>
          <w:p w14:paraId="4378F413"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Flat with pendulous</w:t>
            </w:r>
          </w:p>
        </w:tc>
        <w:tc>
          <w:tcPr>
            <w:tcW w:w="0" w:type="auto"/>
            <w:hideMark/>
          </w:tcPr>
          <w:p w14:paraId="12385A57"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94.44</w:t>
            </w:r>
          </w:p>
        </w:tc>
      </w:tr>
      <w:tr w:rsidR="005F3858" w:rsidRPr="00951C18" w14:paraId="61885669" w14:textId="77777777" w:rsidTr="00125A38">
        <w:trPr>
          <w:jc w:val="center"/>
        </w:trPr>
        <w:tc>
          <w:tcPr>
            <w:tcW w:w="0" w:type="auto"/>
            <w:hideMark/>
          </w:tcPr>
          <w:p w14:paraId="5710C8CE"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Wattles</w:t>
            </w:r>
          </w:p>
        </w:tc>
        <w:tc>
          <w:tcPr>
            <w:tcW w:w="0" w:type="auto"/>
            <w:hideMark/>
          </w:tcPr>
          <w:p w14:paraId="39F4670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Present in females</w:t>
            </w:r>
          </w:p>
        </w:tc>
        <w:tc>
          <w:tcPr>
            <w:tcW w:w="0" w:type="auto"/>
            <w:hideMark/>
          </w:tcPr>
          <w:p w14:paraId="7021F386"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60.05</w:t>
            </w:r>
          </w:p>
        </w:tc>
      </w:tr>
      <w:tr w:rsidR="005F3858" w:rsidRPr="00951C18" w14:paraId="5D9A76AC" w14:textId="77777777" w:rsidTr="00125A38">
        <w:trPr>
          <w:jc w:val="center"/>
        </w:trPr>
        <w:tc>
          <w:tcPr>
            <w:tcW w:w="0" w:type="auto"/>
            <w:hideMark/>
          </w:tcPr>
          <w:p w14:paraId="4667E85D"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Beard</w:t>
            </w:r>
          </w:p>
        </w:tc>
        <w:tc>
          <w:tcPr>
            <w:tcW w:w="0" w:type="auto"/>
            <w:hideMark/>
          </w:tcPr>
          <w:p w14:paraId="1B4A190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Present in males</w:t>
            </w:r>
          </w:p>
        </w:tc>
        <w:tc>
          <w:tcPr>
            <w:tcW w:w="0" w:type="auto"/>
            <w:hideMark/>
          </w:tcPr>
          <w:p w14:paraId="04AF8BFF"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100.00</w:t>
            </w:r>
          </w:p>
        </w:tc>
      </w:tr>
      <w:tr w:rsidR="005F3858" w:rsidRPr="00951C18" w14:paraId="45871029" w14:textId="77777777" w:rsidTr="00125A38">
        <w:trPr>
          <w:jc w:val="center"/>
        </w:trPr>
        <w:tc>
          <w:tcPr>
            <w:tcW w:w="0" w:type="auto"/>
            <w:hideMark/>
          </w:tcPr>
          <w:p w14:paraId="09C797CD"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Tail type</w:t>
            </w:r>
          </w:p>
        </w:tc>
        <w:tc>
          <w:tcPr>
            <w:tcW w:w="0" w:type="auto"/>
            <w:hideMark/>
          </w:tcPr>
          <w:p w14:paraId="49175BD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Short/thick/upward</w:t>
            </w:r>
          </w:p>
        </w:tc>
        <w:tc>
          <w:tcPr>
            <w:tcW w:w="0" w:type="auto"/>
            <w:hideMark/>
          </w:tcPr>
          <w:p w14:paraId="202BA5DF"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83.91</w:t>
            </w:r>
          </w:p>
        </w:tc>
      </w:tr>
    </w:tbl>
    <w:p w14:paraId="6983DEEA" w14:textId="77777777" w:rsidR="005F3858" w:rsidRPr="00951C18" w:rsidRDefault="005F3858" w:rsidP="005F3858">
      <w:pPr>
        <w:spacing w:line="276" w:lineRule="auto"/>
        <w:jc w:val="both"/>
        <w:rPr>
          <w:rFonts w:ascii="Times New Roman" w:hAnsi="Times New Roman" w:cs="Times New Roman"/>
        </w:rPr>
      </w:pPr>
    </w:p>
    <w:p w14:paraId="030BB80A"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3.3 Growth, production and reproductive performance</w:t>
      </w:r>
    </w:p>
    <w:p w14:paraId="73A002DD" w14:textId="77777777" w:rsidR="008F01B6" w:rsidRPr="00951C18" w:rsidRDefault="00171E59" w:rsidP="005F3858">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 xml:space="preserve">The growth performance of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increased progressively with age. The mean body weights of males at 3, 6, 9 and 12 months were 22.00 ± 0.37, 28.94 ± 0.11, 42.47 ± 0.32 and 51.29 ± 1.06 kg, respectively, whereas the corresponding female weights were 18.33 ± 0.28, 25.80 ± 0.28, 31.37 ± 0.51 and 36.38 ± 0.28 kg. Adult body weight averaged 59.31 ± 0.24 kg in males and 53.77 ± 0.69 kg in females. Body length, height at withers and chest girth also increased with age, indicating satisfactory growth potential of the breed. The productive performance of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was also appreciable. The average daily milk yield was reported as approximately 1.04 kg, with a total lactation yield of 272.46 ± 1.21 kg and lactation length of 249.78 ± 0.80 days. Peak milk yield was approximately 1.46 kg and was attained at about 18 days. Mean milk fat and SNF contents were 3.54 ± 0.09% and 8.51 ± 0.02%, respectively. </w:t>
      </w:r>
      <w:r w:rsidR="00125A38" w:rsidRPr="00951C18">
        <w:rPr>
          <w:rFonts w:ascii="Times New Roman" w:hAnsi="Times New Roman" w:cs="Times New Roman"/>
        </w:rPr>
        <w:t xml:space="preserve"> </w:t>
      </w:r>
      <w:r w:rsidR="005F3858" w:rsidRPr="00951C18">
        <w:rPr>
          <w:rFonts w:ascii="Times New Roman" w:hAnsi="Times New Roman" w:cs="Times New Roman"/>
        </w:rPr>
        <w:t xml:space="preserve">Reproductive performance indicated an age at first mating of 375.04 ± 0.40 days in males and 389.41 ± 0.24 days in females. Age at first oestrus was 280.23 ± 0.47 days, with an oestrous cycle of 18.50 ± 0.14 days. Age at first kidding was 496.15 ± 0.50 days, while kidding interval, service period, dry period and gestation period were 346.25 ± 2.81, 55.67 ± 0.18, 45.94 ± 1.22 and 146.88 ± 0.03 days, respectively. Mean litter size was 1.55 ± 0.10 kids, and lifetime number of kiddings was 11.10 ± 0.06. The relatively high litter size and lifetime kidding frequency indicate good reproductive potential and productive longevity of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goats. </w:t>
      </w:r>
      <w:r w:rsidR="008F01B6" w:rsidRPr="00951C18">
        <w:rPr>
          <w:rFonts w:ascii="Times New Roman" w:hAnsi="Times New Roman" w:cs="Times New Roman"/>
        </w:rPr>
        <w:t xml:space="preserve">Similar favourable productive and reproductive characteristics were reported by Talukder </w:t>
      </w:r>
      <w:r w:rsidR="00CD1419" w:rsidRPr="00951C18">
        <w:rPr>
          <w:rFonts w:ascii="Times New Roman" w:hAnsi="Times New Roman" w:cs="Times New Roman"/>
          <w:i/>
          <w:iCs/>
        </w:rPr>
        <w:t>et al</w:t>
      </w:r>
      <w:r w:rsidR="008F01B6" w:rsidRPr="00951C18">
        <w:rPr>
          <w:rFonts w:ascii="Times New Roman" w:hAnsi="Times New Roman" w:cs="Times New Roman"/>
        </w:rPr>
        <w:t xml:space="preserve">. (2016) in Brown Bengal goats, although differences between breeds and management environments should be considered when making direct comparisons. Similar emphasis on growth performance has been reported for </w:t>
      </w:r>
      <w:proofErr w:type="spellStart"/>
      <w:r w:rsidR="008F01B6" w:rsidRPr="00951C18">
        <w:rPr>
          <w:rFonts w:ascii="Times New Roman" w:hAnsi="Times New Roman" w:cs="Times New Roman"/>
        </w:rPr>
        <w:t>Sirohi</w:t>
      </w:r>
      <w:proofErr w:type="spellEnd"/>
      <w:r w:rsidR="008F01B6" w:rsidRPr="00951C18">
        <w:rPr>
          <w:rFonts w:ascii="Times New Roman" w:hAnsi="Times New Roman" w:cs="Times New Roman"/>
        </w:rPr>
        <w:t xml:space="preserve"> goats under farm and field conditions by Waiz </w:t>
      </w:r>
      <w:r w:rsidR="00CD1419" w:rsidRPr="00951C18">
        <w:rPr>
          <w:rFonts w:ascii="Times New Roman" w:hAnsi="Times New Roman" w:cs="Times New Roman"/>
          <w:i/>
          <w:iCs/>
        </w:rPr>
        <w:t>et al</w:t>
      </w:r>
      <w:r w:rsidR="008F01B6" w:rsidRPr="00951C18">
        <w:rPr>
          <w:rFonts w:ascii="Times New Roman" w:hAnsi="Times New Roman" w:cs="Times New Roman"/>
        </w:rPr>
        <w:t xml:space="preserve">. (2018). </w:t>
      </w:r>
    </w:p>
    <w:p w14:paraId="5C9AD112"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 xml:space="preserve">Table 3. Growth, production and reproductive performance of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goats</w:t>
      </w:r>
    </w:p>
    <w:tbl>
      <w:tblPr>
        <w:tblStyle w:val="TableGrid"/>
        <w:tblW w:w="0" w:type="auto"/>
        <w:jc w:val="center"/>
        <w:tblLook w:val="04A0" w:firstRow="1" w:lastRow="0" w:firstColumn="1" w:lastColumn="0" w:noHBand="0" w:noVBand="1"/>
      </w:tblPr>
      <w:tblGrid>
        <w:gridCol w:w="2983"/>
        <w:gridCol w:w="1548"/>
      </w:tblGrid>
      <w:tr w:rsidR="005F3858" w:rsidRPr="00951C18" w14:paraId="4F90804B" w14:textId="77777777" w:rsidTr="00A34E9B">
        <w:trPr>
          <w:jc w:val="center"/>
        </w:trPr>
        <w:tc>
          <w:tcPr>
            <w:tcW w:w="0" w:type="auto"/>
            <w:hideMark/>
          </w:tcPr>
          <w:p w14:paraId="3A5388F7"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Parameter</w:t>
            </w:r>
          </w:p>
        </w:tc>
        <w:tc>
          <w:tcPr>
            <w:tcW w:w="0" w:type="auto"/>
            <w:hideMark/>
          </w:tcPr>
          <w:p w14:paraId="31BA3503"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Mean ± SE</w:t>
            </w:r>
          </w:p>
        </w:tc>
      </w:tr>
      <w:tr w:rsidR="005F3858" w:rsidRPr="00951C18" w14:paraId="1DCAEC6C" w14:textId="77777777" w:rsidTr="00A34E9B">
        <w:trPr>
          <w:jc w:val="center"/>
        </w:trPr>
        <w:tc>
          <w:tcPr>
            <w:tcW w:w="0" w:type="auto"/>
            <w:hideMark/>
          </w:tcPr>
          <w:p w14:paraId="75968CA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b/>
                <w:bCs/>
              </w:rPr>
              <w:t>Body weight (kg)</w:t>
            </w:r>
          </w:p>
        </w:tc>
        <w:tc>
          <w:tcPr>
            <w:tcW w:w="0" w:type="auto"/>
            <w:hideMark/>
          </w:tcPr>
          <w:p w14:paraId="2B9F6AA4" w14:textId="77777777" w:rsidR="005F3858" w:rsidRPr="00951C18" w:rsidRDefault="005F3858" w:rsidP="005F3858">
            <w:pPr>
              <w:spacing w:line="276" w:lineRule="auto"/>
              <w:jc w:val="both"/>
              <w:rPr>
                <w:rFonts w:ascii="Times New Roman" w:hAnsi="Times New Roman" w:cs="Times New Roman"/>
              </w:rPr>
            </w:pPr>
          </w:p>
        </w:tc>
      </w:tr>
      <w:tr w:rsidR="005F3858" w:rsidRPr="00951C18" w14:paraId="4B73F894" w14:textId="77777777" w:rsidTr="00A34E9B">
        <w:trPr>
          <w:jc w:val="center"/>
        </w:trPr>
        <w:tc>
          <w:tcPr>
            <w:tcW w:w="0" w:type="auto"/>
            <w:hideMark/>
          </w:tcPr>
          <w:p w14:paraId="0CDCB2B8"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Male at 3 months</w:t>
            </w:r>
          </w:p>
        </w:tc>
        <w:tc>
          <w:tcPr>
            <w:tcW w:w="0" w:type="auto"/>
            <w:hideMark/>
          </w:tcPr>
          <w:p w14:paraId="09C0FB43"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22.00 ± 0.37</w:t>
            </w:r>
          </w:p>
        </w:tc>
      </w:tr>
      <w:tr w:rsidR="005F3858" w:rsidRPr="00951C18" w14:paraId="62845384" w14:textId="77777777" w:rsidTr="00A34E9B">
        <w:trPr>
          <w:jc w:val="center"/>
        </w:trPr>
        <w:tc>
          <w:tcPr>
            <w:tcW w:w="0" w:type="auto"/>
            <w:hideMark/>
          </w:tcPr>
          <w:p w14:paraId="3B142B4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Male at 12 months</w:t>
            </w:r>
          </w:p>
        </w:tc>
        <w:tc>
          <w:tcPr>
            <w:tcW w:w="0" w:type="auto"/>
            <w:hideMark/>
          </w:tcPr>
          <w:p w14:paraId="0FCDBACF"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51.29 ± 1.06</w:t>
            </w:r>
          </w:p>
        </w:tc>
      </w:tr>
      <w:tr w:rsidR="005F3858" w:rsidRPr="00951C18" w14:paraId="4ADDD0E8" w14:textId="77777777" w:rsidTr="00A34E9B">
        <w:trPr>
          <w:jc w:val="center"/>
        </w:trPr>
        <w:tc>
          <w:tcPr>
            <w:tcW w:w="0" w:type="auto"/>
            <w:hideMark/>
          </w:tcPr>
          <w:p w14:paraId="0984D143"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Adult male</w:t>
            </w:r>
          </w:p>
        </w:tc>
        <w:tc>
          <w:tcPr>
            <w:tcW w:w="0" w:type="auto"/>
            <w:hideMark/>
          </w:tcPr>
          <w:p w14:paraId="475CB6CE"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59.31 ± 0.24</w:t>
            </w:r>
          </w:p>
        </w:tc>
      </w:tr>
      <w:tr w:rsidR="005F3858" w:rsidRPr="00951C18" w14:paraId="2ADC755E" w14:textId="77777777" w:rsidTr="00A34E9B">
        <w:trPr>
          <w:jc w:val="center"/>
        </w:trPr>
        <w:tc>
          <w:tcPr>
            <w:tcW w:w="0" w:type="auto"/>
            <w:hideMark/>
          </w:tcPr>
          <w:p w14:paraId="3AA4267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Female at 3 months</w:t>
            </w:r>
          </w:p>
        </w:tc>
        <w:tc>
          <w:tcPr>
            <w:tcW w:w="0" w:type="auto"/>
            <w:hideMark/>
          </w:tcPr>
          <w:p w14:paraId="4664FA20"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18.33 ± 0.28</w:t>
            </w:r>
          </w:p>
        </w:tc>
      </w:tr>
      <w:tr w:rsidR="005F3858" w:rsidRPr="00951C18" w14:paraId="188CC340" w14:textId="77777777" w:rsidTr="00A34E9B">
        <w:trPr>
          <w:jc w:val="center"/>
        </w:trPr>
        <w:tc>
          <w:tcPr>
            <w:tcW w:w="0" w:type="auto"/>
            <w:hideMark/>
          </w:tcPr>
          <w:p w14:paraId="668F6585"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Female at 12 months</w:t>
            </w:r>
          </w:p>
        </w:tc>
        <w:tc>
          <w:tcPr>
            <w:tcW w:w="0" w:type="auto"/>
            <w:hideMark/>
          </w:tcPr>
          <w:p w14:paraId="26369F5F"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36.38 ± 0.28</w:t>
            </w:r>
          </w:p>
        </w:tc>
      </w:tr>
      <w:tr w:rsidR="005F3858" w:rsidRPr="00951C18" w14:paraId="6AF95EB0" w14:textId="77777777" w:rsidTr="00A34E9B">
        <w:trPr>
          <w:jc w:val="center"/>
        </w:trPr>
        <w:tc>
          <w:tcPr>
            <w:tcW w:w="0" w:type="auto"/>
            <w:hideMark/>
          </w:tcPr>
          <w:p w14:paraId="6B2B2984"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Adult female</w:t>
            </w:r>
          </w:p>
        </w:tc>
        <w:tc>
          <w:tcPr>
            <w:tcW w:w="0" w:type="auto"/>
            <w:hideMark/>
          </w:tcPr>
          <w:p w14:paraId="71E4A0C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53.77 ± 0.69</w:t>
            </w:r>
          </w:p>
        </w:tc>
      </w:tr>
      <w:tr w:rsidR="005F3858" w:rsidRPr="00951C18" w14:paraId="45E7DEB6" w14:textId="77777777" w:rsidTr="00A34E9B">
        <w:trPr>
          <w:jc w:val="center"/>
        </w:trPr>
        <w:tc>
          <w:tcPr>
            <w:tcW w:w="0" w:type="auto"/>
            <w:hideMark/>
          </w:tcPr>
          <w:p w14:paraId="7BB28922"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b/>
                <w:bCs/>
              </w:rPr>
              <w:lastRenderedPageBreak/>
              <w:t>Production traits</w:t>
            </w:r>
          </w:p>
        </w:tc>
        <w:tc>
          <w:tcPr>
            <w:tcW w:w="0" w:type="auto"/>
            <w:hideMark/>
          </w:tcPr>
          <w:p w14:paraId="0B43DFA8" w14:textId="77777777" w:rsidR="005F3858" w:rsidRPr="00951C18" w:rsidRDefault="005F3858" w:rsidP="005F3858">
            <w:pPr>
              <w:spacing w:line="276" w:lineRule="auto"/>
              <w:jc w:val="both"/>
              <w:rPr>
                <w:rFonts w:ascii="Times New Roman" w:hAnsi="Times New Roman" w:cs="Times New Roman"/>
              </w:rPr>
            </w:pPr>
          </w:p>
        </w:tc>
      </w:tr>
      <w:tr w:rsidR="005F3858" w:rsidRPr="00951C18" w14:paraId="2684303D" w14:textId="77777777" w:rsidTr="00A34E9B">
        <w:trPr>
          <w:jc w:val="center"/>
        </w:trPr>
        <w:tc>
          <w:tcPr>
            <w:tcW w:w="0" w:type="auto"/>
            <w:hideMark/>
          </w:tcPr>
          <w:p w14:paraId="6B57CC2C"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Daily milk yield (kg)</w:t>
            </w:r>
          </w:p>
        </w:tc>
        <w:tc>
          <w:tcPr>
            <w:tcW w:w="0" w:type="auto"/>
            <w:hideMark/>
          </w:tcPr>
          <w:p w14:paraId="2240AEF2"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≈1.04</w:t>
            </w:r>
          </w:p>
        </w:tc>
      </w:tr>
      <w:tr w:rsidR="005F3858" w:rsidRPr="00951C18" w14:paraId="70F82641" w14:textId="77777777" w:rsidTr="00A34E9B">
        <w:trPr>
          <w:jc w:val="center"/>
        </w:trPr>
        <w:tc>
          <w:tcPr>
            <w:tcW w:w="0" w:type="auto"/>
            <w:hideMark/>
          </w:tcPr>
          <w:p w14:paraId="383B6216"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Total lactation yield (kg)</w:t>
            </w:r>
          </w:p>
        </w:tc>
        <w:tc>
          <w:tcPr>
            <w:tcW w:w="0" w:type="auto"/>
            <w:hideMark/>
          </w:tcPr>
          <w:p w14:paraId="592EBC3C"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272.46 ± 1.21</w:t>
            </w:r>
          </w:p>
        </w:tc>
      </w:tr>
      <w:tr w:rsidR="005F3858" w:rsidRPr="00951C18" w14:paraId="5DA81CD3" w14:textId="77777777" w:rsidTr="00A34E9B">
        <w:trPr>
          <w:jc w:val="center"/>
        </w:trPr>
        <w:tc>
          <w:tcPr>
            <w:tcW w:w="0" w:type="auto"/>
            <w:hideMark/>
          </w:tcPr>
          <w:p w14:paraId="7AE0915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Lactation length (days)</w:t>
            </w:r>
          </w:p>
        </w:tc>
        <w:tc>
          <w:tcPr>
            <w:tcW w:w="0" w:type="auto"/>
            <w:hideMark/>
          </w:tcPr>
          <w:p w14:paraId="1435591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249.78 ± 0.80</w:t>
            </w:r>
          </w:p>
        </w:tc>
      </w:tr>
      <w:tr w:rsidR="005F3858" w:rsidRPr="00951C18" w14:paraId="16756025" w14:textId="77777777" w:rsidTr="00A34E9B">
        <w:trPr>
          <w:jc w:val="center"/>
        </w:trPr>
        <w:tc>
          <w:tcPr>
            <w:tcW w:w="0" w:type="auto"/>
            <w:hideMark/>
          </w:tcPr>
          <w:p w14:paraId="1566B773"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Days to peak yield</w:t>
            </w:r>
          </w:p>
        </w:tc>
        <w:tc>
          <w:tcPr>
            <w:tcW w:w="0" w:type="auto"/>
            <w:hideMark/>
          </w:tcPr>
          <w:p w14:paraId="209886B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17.90 ± 0.16</w:t>
            </w:r>
          </w:p>
        </w:tc>
      </w:tr>
      <w:tr w:rsidR="005F3858" w:rsidRPr="00951C18" w14:paraId="66E2E4FB" w14:textId="77777777" w:rsidTr="00A34E9B">
        <w:trPr>
          <w:jc w:val="center"/>
        </w:trPr>
        <w:tc>
          <w:tcPr>
            <w:tcW w:w="0" w:type="auto"/>
            <w:hideMark/>
          </w:tcPr>
          <w:p w14:paraId="2FF6255D"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Peak yield (kg)</w:t>
            </w:r>
          </w:p>
        </w:tc>
        <w:tc>
          <w:tcPr>
            <w:tcW w:w="0" w:type="auto"/>
            <w:hideMark/>
          </w:tcPr>
          <w:p w14:paraId="110423ED"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≈1.46</w:t>
            </w:r>
          </w:p>
        </w:tc>
      </w:tr>
      <w:tr w:rsidR="005F3858" w:rsidRPr="00951C18" w14:paraId="03FFA285" w14:textId="77777777" w:rsidTr="00A34E9B">
        <w:trPr>
          <w:jc w:val="center"/>
        </w:trPr>
        <w:tc>
          <w:tcPr>
            <w:tcW w:w="0" w:type="auto"/>
            <w:hideMark/>
          </w:tcPr>
          <w:p w14:paraId="29775FA1"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Fat (%)</w:t>
            </w:r>
          </w:p>
        </w:tc>
        <w:tc>
          <w:tcPr>
            <w:tcW w:w="0" w:type="auto"/>
            <w:hideMark/>
          </w:tcPr>
          <w:p w14:paraId="639C7349"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3.54 ± 0.09</w:t>
            </w:r>
          </w:p>
        </w:tc>
      </w:tr>
      <w:tr w:rsidR="005F3858" w:rsidRPr="00951C18" w14:paraId="25D2B0D5" w14:textId="77777777" w:rsidTr="00A34E9B">
        <w:trPr>
          <w:jc w:val="center"/>
        </w:trPr>
        <w:tc>
          <w:tcPr>
            <w:tcW w:w="0" w:type="auto"/>
            <w:hideMark/>
          </w:tcPr>
          <w:p w14:paraId="010A8A7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SNF (%)</w:t>
            </w:r>
          </w:p>
        </w:tc>
        <w:tc>
          <w:tcPr>
            <w:tcW w:w="0" w:type="auto"/>
            <w:hideMark/>
          </w:tcPr>
          <w:p w14:paraId="0C6F5313"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8.51 ± 0.02</w:t>
            </w:r>
          </w:p>
        </w:tc>
      </w:tr>
      <w:tr w:rsidR="005F3858" w:rsidRPr="00951C18" w14:paraId="43775BD1" w14:textId="77777777" w:rsidTr="00A34E9B">
        <w:trPr>
          <w:jc w:val="center"/>
        </w:trPr>
        <w:tc>
          <w:tcPr>
            <w:tcW w:w="0" w:type="auto"/>
            <w:hideMark/>
          </w:tcPr>
          <w:p w14:paraId="1ED6B1D0"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b/>
                <w:bCs/>
              </w:rPr>
              <w:t>Reproductive traits</w:t>
            </w:r>
          </w:p>
        </w:tc>
        <w:tc>
          <w:tcPr>
            <w:tcW w:w="0" w:type="auto"/>
            <w:hideMark/>
          </w:tcPr>
          <w:p w14:paraId="2D702CE7" w14:textId="77777777" w:rsidR="005F3858" w:rsidRPr="00951C18" w:rsidRDefault="005F3858" w:rsidP="005F3858">
            <w:pPr>
              <w:spacing w:line="276" w:lineRule="auto"/>
              <w:jc w:val="both"/>
              <w:rPr>
                <w:rFonts w:ascii="Times New Roman" w:hAnsi="Times New Roman" w:cs="Times New Roman"/>
              </w:rPr>
            </w:pPr>
          </w:p>
        </w:tc>
      </w:tr>
      <w:tr w:rsidR="005F3858" w:rsidRPr="00951C18" w14:paraId="1D1B658B" w14:textId="77777777" w:rsidTr="00A34E9B">
        <w:trPr>
          <w:jc w:val="center"/>
        </w:trPr>
        <w:tc>
          <w:tcPr>
            <w:tcW w:w="0" w:type="auto"/>
            <w:hideMark/>
          </w:tcPr>
          <w:p w14:paraId="550A4478"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Age at first oestrus (days)</w:t>
            </w:r>
          </w:p>
        </w:tc>
        <w:tc>
          <w:tcPr>
            <w:tcW w:w="0" w:type="auto"/>
            <w:hideMark/>
          </w:tcPr>
          <w:p w14:paraId="05F1822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280.23 ± 0.47</w:t>
            </w:r>
          </w:p>
        </w:tc>
      </w:tr>
      <w:tr w:rsidR="005F3858" w:rsidRPr="00951C18" w14:paraId="733F9086" w14:textId="77777777" w:rsidTr="00A34E9B">
        <w:trPr>
          <w:jc w:val="center"/>
        </w:trPr>
        <w:tc>
          <w:tcPr>
            <w:tcW w:w="0" w:type="auto"/>
            <w:hideMark/>
          </w:tcPr>
          <w:p w14:paraId="3F1348A2"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Age at first kidding (days)</w:t>
            </w:r>
          </w:p>
        </w:tc>
        <w:tc>
          <w:tcPr>
            <w:tcW w:w="0" w:type="auto"/>
            <w:hideMark/>
          </w:tcPr>
          <w:p w14:paraId="61D63F19"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496.15 ± 0.50</w:t>
            </w:r>
          </w:p>
        </w:tc>
      </w:tr>
      <w:tr w:rsidR="005F3858" w:rsidRPr="00951C18" w14:paraId="6DBC0ED7" w14:textId="77777777" w:rsidTr="00A34E9B">
        <w:trPr>
          <w:jc w:val="center"/>
        </w:trPr>
        <w:tc>
          <w:tcPr>
            <w:tcW w:w="0" w:type="auto"/>
            <w:hideMark/>
          </w:tcPr>
          <w:p w14:paraId="68985AD7"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Kidding interval (days)</w:t>
            </w:r>
          </w:p>
        </w:tc>
        <w:tc>
          <w:tcPr>
            <w:tcW w:w="0" w:type="auto"/>
            <w:hideMark/>
          </w:tcPr>
          <w:p w14:paraId="37E1D52E"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346.25 ± 2.81</w:t>
            </w:r>
          </w:p>
        </w:tc>
      </w:tr>
      <w:tr w:rsidR="005F3858" w:rsidRPr="00951C18" w14:paraId="31400402" w14:textId="77777777" w:rsidTr="00A34E9B">
        <w:trPr>
          <w:jc w:val="center"/>
        </w:trPr>
        <w:tc>
          <w:tcPr>
            <w:tcW w:w="0" w:type="auto"/>
            <w:hideMark/>
          </w:tcPr>
          <w:p w14:paraId="629232B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Gestation period (days)</w:t>
            </w:r>
          </w:p>
        </w:tc>
        <w:tc>
          <w:tcPr>
            <w:tcW w:w="0" w:type="auto"/>
            <w:hideMark/>
          </w:tcPr>
          <w:p w14:paraId="1DB12E0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146.88 ± 0.03</w:t>
            </w:r>
          </w:p>
        </w:tc>
      </w:tr>
      <w:tr w:rsidR="005F3858" w:rsidRPr="00951C18" w14:paraId="4CA321F1" w14:textId="77777777" w:rsidTr="00A34E9B">
        <w:trPr>
          <w:jc w:val="center"/>
        </w:trPr>
        <w:tc>
          <w:tcPr>
            <w:tcW w:w="0" w:type="auto"/>
            <w:hideMark/>
          </w:tcPr>
          <w:p w14:paraId="7FE69A6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Litter size</w:t>
            </w:r>
          </w:p>
        </w:tc>
        <w:tc>
          <w:tcPr>
            <w:tcW w:w="0" w:type="auto"/>
            <w:hideMark/>
          </w:tcPr>
          <w:p w14:paraId="4CBEBE9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1.55 ± 0.10</w:t>
            </w:r>
          </w:p>
        </w:tc>
      </w:tr>
      <w:tr w:rsidR="005F3858" w:rsidRPr="00951C18" w14:paraId="6E1D036D" w14:textId="77777777" w:rsidTr="00A34E9B">
        <w:trPr>
          <w:jc w:val="center"/>
        </w:trPr>
        <w:tc>
          <w:tcPr>
            <w:tcW w:w="0" w:type="auto"/>
            <w:hideMark/>
          </w:tcPr>
          <w:p w14:paraId="2959E807"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 xml:space="preserve">Lifetime number of </w:t>
            </w:r>
            <w:proofErr w:type="spellStart"/>
            <w:r w:rsidRPr="00951C18">
              <w:rPr>
                <w:rFonts w:ascii="Times New Roman" w:hAnsi="Times New Roman" w:cs="Times New Roman"/>
              </w:rPr>
              <w:t>kiddings</w:t>
            </w:r>
            <w:proofErr w:type="spellEnd"/>
          </w:p>
        </w:tc>
        <w:tc>
          <w:tcPr>
            <w:tcW w:w="0" w:type="auto"/>
            <w:hideMark/>
          </w:tcPr>
          <w:p w14:paraId="79272756"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11.10 ± 0.06</w:t>
            </w:r>
          </w:p>
        </w:tc>
      </w:tr>
    </w:tbl>
    <w:p w14:paraId="6A197018" w14:textId="77777777" w:rsidR="005F3858" w:rsidRPr="00951C18" w:rsidRDefault="005F3858" w:rsidP="005F3858">
      <w:pPr>
        <w:spacing w:line="276" w:lineRule="auto"/>
        <w:jc w:val="both"/>
        <w:rPr>
          <w:rFonts w:ascii="Times New Roman" w:hAnsi="Times New Roman" w:cs="Times New Roman"/>
        </w:rPr>
      </w:pPr>
    </w:p>
    <w:p w14:paraId="6CEE4087"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 xml:space="preserve">3.4 Management practices followed by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 farmers</w:t>
      </w:r>
    </w:p>
    <w:p w14:paraId="0B2E65E5" w14:textId="77777777" w:rsidR="008F01B6" w:rsidRPr="00951C18" w:rsidRDefault="00A34E9B" w:rsidP="008F01B6">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 xml:space="preserve">The management survey showed that natural service was universally practised, while artificial insemination was not used. About 65.04% of farmers detected heat primarily through bleating and mounting, and 64.17% depended on community bucks. Flock mating was the predominant mating method (80.00%), while 71.25% preferred mating during mid-oestrus. Colostrum feeding was practised by all farmers, whereas 70.00% allowed kids to suckle up to three months. </w:t>
      </w:r>
      <w:r w:rsidRPr="00951C18">
        <w:rPr>
          <w:rFonts w:ascii="Times New Roman" w:hAnsi="Times New Roman" w:cs="Times New Roman"/>
        </w:rPr>
        <w:t xml:space="preserve"> </w:t>
      </w:r>
      <w:r w:rsidR="005F3858" w:rsidRPr="00951C18">
        <w:rPr>
          <w:rFonts w:ascii="Times New Roman" w:hAnsi="Times New Roman" w:cs="Times New Roman"/>
        </w:rPr>
        <w:t xml:space="preserve">Housing practices indicated a predominantly traditional production system. About 84.17% of farmers housed goats in sheds attached to their residences, 58.75% followed loose housing, and 77.08% used thatched roofs. Although 92.50% reported adequate ventilation and 94.58% provided protection against cold, 75.42% provided less than 10 ft² floor space per goat and 79.17% lacked urine drainage. </w:t>
      </w:r>
      <w:r w:rsidRPr="00951C18">
        <w:rPr>
          <w:rFonts w:ascii="Times New Roman" w:hAnsi="Times New Roman" w:cs="Times New Roman"/>
        </w:rPr>
        <w:t xml:space="preserve"> </w:t>
      </w:r>
      <w:r w:rsidR="005F3858" w:rsidRPr="00951C18">
        <w:rPr>
          <w:rFonts w:ascii="Times New Roman" w:hAnsi="Times New Roman" w:cs="Times New Roman"/>
        </w:rPr>
        <w:t xml:space="preserve">Milking was predominantly performed by the knuckling method and twice daily. However, hygienic practices were inadequate, as 80.83% of farmers did not clean the udder and teats and an equal proportion did not wash their hands before milking. </w:t>
      </w:r>
      <w:r w:rsidRPr="00951C18">
        <w:rPr>
          <w:rFonts w:ascii="Times New Roman" w:hAnsi="Times New Roman" w:cs="Times New Roman"/>
        </w:rPr>
        <w:t xml:space="preserve"> </w:t>
      </w:r>
      <w:r w:rsidR="005F3858" w:rsidRPr="00951C18">
        <w:rPr>
          <w:rFonts w:ascii="Times New Roman" w:hAnsi="Times New Roman" w:cs="Times New Roman"/>
        </w:rPr>
        <w:t xml:space="preserve">Health-care practices also showed substantial scope for improvement. Only 37.92% of farmers practised vaccination and 28.33% followed deworming, while 70.00% did not practise ectoparasite control. Furthermore, 85.83% did not isolate sick animals and 56.67% depended on quacks for treatment. These findings highlight the need for improved veterinary extension services and farmer training. </w:t>
      </w:r>
      <w:r w:rsidR="008F01B6" w:rsidRPr="00951C18">
        <w:rPr>
          <w:rFonts w:ascii="Times New Roman" w:hAnsi="Times New Roman" w:cs="Times New Roman"/>
        </w:rPr>
        <w:t xml:space="preserve">The universal adoption of natural service and predominance of flock mating observed in the present study indicate that breeding management among </w:t>
      </w:r>
      <w:proofErr w:type="spellStart"/>
      <w:r w:rsidR="008F01B6" w:rsidRPr="00951C18">
        <w:rPr>
          <w:rFonts w:ascii="Times New Roman" w:hAnsi="Times New Roman" w:cs="Times New Roman"/>
        </w:rPr>
        <w:t>Sojat</w:t>
      </w:r>
      <w:proofErr w:type="spellEnd"/>
      <w:r w:rsidR="008F01B6" w:rsidRPr="00951C18">
        <w:rPr>
          <w:rFonts w:ascii="Times New Roman" w:hAnsi="Times New Roman" w:cs="Times New Roman"/>
        </w:rPr>
        <w:t xml:space="preserve"> goat </w:t>
      </w:r>
      <w:proofErr w:type="spellStart"/>
      <w:r w:rsidR="008F01B6" w:rsidRPr="00951C18">
        <w:rPr>
          <w:rFonts w:ascii="Times New Roman" w:hAnsi="Times New Roman" w:cs="Times New Roman"/>
        </w:rPr>
        <w:t>rearers</w:t>
      </w:r>
      <w:proofErr w:type="spellEnd"/>
      <w:r w:rsidR="008F01B6" w:rsidRPr="00951C18">
        <w:rPr>
          <w:rFonts w:ascii="Times New Roman" w:hAnsi="Times New Roman" w:cs="Times New Roman"/>
        </w:rPr>
        <w:t xml:space="preserve"> remains largely traditional. The use of community breeding bucks may be convenient and economical for smallholders but may provide limited opportunities for systematic selection and genetic improvement. Bagri </w:t>
      </w:r>
      <w:r w:rsidR="00CD1419" w:rsidRPr="00951C18">
        <w:rPr>
          <w:rFonts w:ascii="Times New Roman" w:hAnsi="Times New Roman" w:cs="Times New Roman"/>
          <w:i/>
          <w:iCs/>
        </w:rPr>
        <w:t>et al</w:t>
      </w:r>
      <w:r w:rsidR="008F01B6" w:rsidRPr="00951C18">
        <w:rPr>
          <w:rFonts w:ascii="Times New Roman" w:hAnsi="Times New Roman" w:cs="Times New Roman"/>
        </w:rPr>
        <w:t xml:space="preserve">. (2024) specifically documented breeding management practices adopted by </w:t>
      </w:r>
      <w:proofErr w:type="spellStart"/>
      <w:r w:rsidR="008F01B6" w:rsidRPr="00951C18">
        <w:rPr>
          <w:rFonts w:ascii="Times New Roman" w:hAnsi="Times New Roman" w:cs="Times New Roman"/>
        </w:rPr>
        <w:lastRenderedPageBreak/>
        <w:t>Sojat</w:t>
      </w:r>
      <w:proofErr w:type="spellEnd"/>
      <w:r w:rsidR="008F01B6" w:rsidRPr="00951C18">
        <w:rPr>
          <w:rFonts w:ascii="Times New Roman" w:hAnsi="Times New Roman" w:cs="Times New Roman"/>
        </w:rPr>
        <w:t xml:space="preserve"> goat </w:t>
      </w:r>
      <w:proofErr w:type="spellStart"/>
      <w:r w:rsidR="008F01B6" w:rsidRPr="00951C18">
        <w:rPr>
          <w:rFonts w:ascii="Times New Roman" w:hAnsi="Times New Roman" w:cs="Times New Roman"/>
        </w:rPr>
        <w:t>rearers</w:t>
      </w:r>
      <w:proofErr w:type="spellEnd"/>
      <w:r w:rsidR="008F01B6" w:rsidRPr="00951C18">
        <w:rPr>
          <w:rFonts w:ascii="Times New Roman" w:hAnsi="Times New Roman" w:cs="Times New Roman"/>
        </w:rPr>
        <w:t xml:space="preserve"> in Rajasthan, supporting the importance of traditional breeding systems in this breed.</w:t>
      </w:r>
    </w:p>
    <w:p w14:paraId="0E07B692" w14:textId="77777777" w:rsidR="008F01B6" w:rsidRPr="00951C18" w:rsidRDefault="008F01B6" w:rsidP="008F01B6">
      <w:pPr>
        <w:spacing w:line="276" w:lineRule="auto"/>
        <w:jc w:val="both"/>
        <w:rPr>
          <w:rFonts w:ascii="Times New Roman" w:hAnsi="Times New Roman" w:cs="Times New Roman"/>
        </w:rPr>
      </w:pPr>
      <w:r w:rsidRPr="00951C18">
        <w:rPr>
          <w:rFonts w:ascii="Times New Roman" w:hAnsi="Times New Roman" w:cs="Times New Roman"/>
        </w:rPr>
        <w:t xml:space="preserve">Similar management practices among sheep and goat farmers have been reported by Kumar </w:t>
      </w:r>
      <w:r w:rsidR="00CD1419" w:rsidRPr="00951C18">
        <w:rPr>
          <w:rFonts w:ascii="Times New Roman" w:hAnsi="Times New Roman" w:cs="Times New Roman"/>
          <w:i/>
          <w:iCs/>
        </w:rPr>
        <w:t>et al</w:t>
      </w:r>
      <w:r w:rsidRPr="00951C18">
        <w:rPr>
          <w:rFonts w:ascii="Times New Roman" w:hAnsi="Times New Roman" w:cs="Times New Roman"/>
        </w:rPr>
        <w:t xml:space="preserve">. (2021) in Tamil Nadu, indicating that traditional housing continues to be common among small-ruminant keepers. Similar concerns regarding hygiene management in goat farming systems have been reported by Paskaš </w:t>
      </w:r>
      <w:r w:rsidR="00CD1419" w:rsidRPr="00951C18">
        <w:rPr>
          <w:rFonts w:ascii="Times New Roman" w:hAnsi="Times New Roman" w:cs="Times New Roman"/>
          <w:i/>
          <w:iCs/>
        </w:rPr>
        <w:t>et al</w:t>
      </w:r>
      <w:r w:rsidRPr="00951C18">
        <w:rPr>
          <w:rFonts w:ascii="Times New Roman" w:hAnsi="Times New Roman" w:cs="Times New Roman"/>
        </w:rPr>
        <w:t xml:space="preserve">. (2020), who emphasised the importance of appropriate hygienic practices during goat </w:t>
      </w:r>
      <w:r w:rsidR="00435658" w:rsidRPr="00951C18">
        <w:rPr>
          <w:rFonts w:ascii="Times New Roman" w:hAnsi="Times New Roman" w:cs="Times New Roman"/>
        </w:rPr>
        <w:t>milking.</w:t>
      </w:r>
      <w:r w:rsidR="00435658" w:rsidRPr="00951C18">
        <w:rPr>
          <w:rFonts w:ascii="Times New Roman" w:hAnsi="Times New Roman" w:cs="Times New Roman"/>
          <w:b/>
          <w:bCs/>
        </w:rPr>
        <w:t xml:space="preserve"> </w:t>
      </w:r>
      <w:r w:rsidR="00435658" w:rsidRPr="00951C18">
        <w:rPr>
          <w:rFonts w:ascii="Times New Roman" w:hAnsi="Times New Roman" w:cs="Times New Roman"/>
        </w:rPr>
        <w:t>Kumar</w:t>
      </w:r>
      <w:r w:rsidRPr="00951C18">
        <w:rPr>
          <w:rFonts w:ascii="Times New Roman" w:hAnsi="Times New Roman" w:cs="Times New Roman"/>
        </w:rPr>
        <w:t xml:space="preserve"> </w:t>
      </w:r>
      <w:r w:rsidR="00CD1419" w:rsidRPr="00951C18">
        <w:rPr>
          <w:rFonts w:ascii="Times New Roman" w:hAnsi="Times New Roman" w:cs="Times New Roman"/>
          <w:i/>
          <w:iCs/>
        </w:rPr>
        <w:t>et al</w:t>
      </w:r>
      <w:r w:rsidRPr="00951C18">
        <w:rPr>
          <w:rFonts w:ascii="Times New Roman" w:hAnsi="Times New Roman" w:cs="Times New Roman"/>
        </w:rPr>
        <w:t xml:space="preserve">. (2017) reported constraints faced by goat farmers in adopting scientific health technologies, which is consistent with the present findings. </w:t>
      </w:r>
    </w:p>
    <w:p w14:paraId="58F3B13D" w14:textId="77777777" w:rsidR="005F3858" w:rsidRPr="00951C18" w:rsidRDefault="005F3858" w:rsidP="005F3858">
      <w:pPr>
        <w:spacing w:line="276" w:lineRule="auto"/>
        <w:jc w:val="both"/>
        <w:rPr>
          <w:rFonts w:ascii="Times New Roman" w:hAnsi="Times New Roman" w:cs="Times New Roman"/>
        </w:rPr>
      </w:pPr>
    </w:p>
    <w:p w14:paraId="17E365D4"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 xml:space="preserve">Table 4. Major management practices followed by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 farmers</w:t>
      </w:r>
    </w:p>
    <w:tbl>
      <w:tblPr>
        <w:tblStyle w:val="TableGrid"/>
        <w:tblW w:w="0" w:type="auto"/>
        <w:jc w:val="center"/>
        <w:tblLook w:val="04A0" w:firstRow="1" w:lastRow="0" w:firstColumn="1" w:lastColumn="0" w:noHBand="0" w:noVBand="1"/>
      </w:tblPr>
      <w:tblGrid>
        <w:gridCol w:w="3702"/>
        <w:gridCol w:w="2416"/>
      </w:tblGrid>
      <w:tr w:rsidR="005F3858" w:rsidRPr="00951C18" w14:paraId="4DEDDB31" w14:textId="77777777" w:rsidTr="00A34E9B">
        <w:trPr>
          <w:jc w:val="center"/>
        </w:trPr>
        <w:tc>
          <w:tcPr>
            <w:tcW w:w="0" w:type="auto"/>
            <w:hideMark/>
          </w:tcPr>
          <w:p w14:paraId="09C62260"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Management practice</w:t>
            </w:r>
          </w:p>
        </w:tc>
        <w:tc>
          <w:tcPr>
            <w:tcW w:w="0" w:type="auto"/>
            <w:hideMark/>
          </w:tcPr>
          <w:p w14:paraId="112184BC"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Overall adoption (%)</w:t>
            </w:r>
          </w:p>
        </w:tc>
      </w:tr>
      <w:tr w:rsidR="005F3858" w:rsidRPr="00951C18" w14:paraId="43FA128B" w14:textId="77777777" w:rsidTr="00A34E9B">
        <w:trPr>
          <w:jc w:val="center"/>
        </w:trPr>
        <w:tc>
          <w:tcPr>
            <w:tcW w:w="0" w:type="auto"/>
            <w:hideMark/>
          </w:tcPr>
          <w:p w14:paraId="38FEB7CD"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Natural service</w:t>
            </w:r>
          </w:p>
        </w:tc>
        <w:tc>
          <w:tcPr>
            <w:tcW w:w="0" w:type="auto"/>
            <w:hideMark/>
          </w:tcPr>
          <w:p w14:paraId="1EDDF483"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100.00</w:t>
            </w:r>
          </w:p>
        </w:tc>
      </w:tr>
      <w:tr w:rsidR="005F3858" w:rsidRPr="00951C18" w14:paraId="6B01E5F2" w14:textId="77777777" w:rsidTr="00A34E9B">
        <w:trPr>
          <w:jc w:val="center"/>
        </w:trPr>
        <w:tc>
          <w:tcPr>
            <w:tcW w:w="0" w:type="auto"/>
            <w:hideMark/>
          </w:tcPr>
          <w:p w14:paraId="6BA626E0"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Flock mating</w:t>
            </w:r>
          </w:p>
        </w:tc>
        <w:tc>
          <w:tcPr>
            <w:tcW w:w="0" w:type="auto"/>
            <w:hideMark/>
          </w:tcPr>
          <w:p w14:paraId="602E4B0C"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80.00</w:t>
            </w:r>
          </w:p>
        </w:tc>
      </w:tr>
      <w:tr w:rsidR="005F3858" w:rsidRPr="00951C18" w14:paraId="564AAF9F" w14:textId="77777777" w:rsidTr="00A34E9B">
        <w:trPr>
          <w:jc w:val="center"/>
        </w:trPr>
        <w:tc>
          <w:tcPr>
            <w:tcW w:w="0" w:type="auto"/>
            <w:hideMark/>
          </w:tcPr>
          <w:p w14:paraId="42DF65E8"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Colostrum feeding</w:t>
            </w:r>
          </w:p>
        </w:tc>
        <w:tc>
          <w:tcPr>
            <w:tcW w:w="0" w:type="auto"/>
            <w:hideMark/>
          </w:tcPr>
          <w:p w14:paraId="0F554BD4"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100.00</w:t>
            </w:r>
          </w:p>
        </w:tc>
      </w:tr>
      <w:tr w:rsidR="005F3858" w:rsidRPr="00951C18" w14:paraId="2F8A5BC6" w14:textId="77777777" w:rsidTr="00A34E9B">
        <w:trPr>
          <w:jc w:val="center"/>
        </w:trPr>
        <w:tc>
          <w:tcPr>
            <w:tcW w:w="0" w:type="auto"/>
            <w:hideMark/>
          </w:tcPr>
          <w:p w14:paraId="0A405C07"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Suckling up to 3 months</w:t>
            </w:r>
          </w:p>
        </w:tc>
        <w:tc>
          <w:tcPr>
            <w:tcW w:w="0" w:type="auto"/>
            <w:hideMark/>
          </w:tcPr>
          <w:p w14:paraId="62173648"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70.00</w:t>
            </w:r>
          </w:p>
        </w:tc>
      </w:tr>
      <w:tr w:rsidR="005F3858" w:rsidRPr="00951C18" w14:paraId="0F288356" w14:textId="77777777" w:rsidTr="00A34E9B">
        <w:trPr>
          <w:jc w:val="center"/>
        </w:trPr>
        <w:tc>
          <w:tcPr>
            <w:tcW w:w="0" w:type="auto"/>
            <w:hideMark/>
          </w:tcPr>
          <w:p w14:paraId="69EF78D1"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Housing at night</w:t>
            </w:r>
          </w:p>
        </w:tc>
        <w:tc>
          <w:tcPr>
            <w:tcW w:w="0" w:type="auto"/>
            <w:hideMark/>
          </w:tcPr>
          <w:p w14:paraId="22FAEB7B"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100.00</w:t>
            </w:r>
          </w:p>
        </w:tc>
      </w:tr>
      <w:tr w:rsidR="005F3858" w:rsidRPr="00951C18" w14:paraId="074FDF49" w14:textId="77777777" w:rsidTr="00A34E9B">
        <w:trPr>
          <w:jc w:val="center"/>
        </w:trPr>
        <w:tc>
          <w:tcPr>
            <w:tcW w:w="0" w:type="auto"/>
            <w:hideMark/>
          </w:tcPr>
          <w:p w14:paraId="20432FD1"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Loose housing</w:t>
            </w:r>
          </w:p>
        </w:tc>
        <w:tc>
          <w:tcPr>
            <w:tcW w:w="0" w:type="auto"/>
            <w:hideMark/>
          </w:tcPr>
          <w:p w14:paraId="4C8E39E5"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58.75</w:t>
            </w:r>
          </w:p>
        </w:tc>
      </w:tr>
      <w:tr w:rsidR="005F3858" w:rsidRPr="00951C18" w14:paraId="475FB9BB" w14:textId="77777777" w:rsidTr="00A34E9B">
        <w:trPr>
          <w:jc w:val="center"/>
        </w:trPr>
        <w:tc>
          <w:tcPr>
            <w:tcW w:w="0" w:type="auto"/>
            <w:hideMark/>
          </w:tcPr>
          <w:p w14:paraId="1E35A5E0"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Thatched roof</w:t>
            </w:r>
          </w:p>
        </w:tc>
        <w:tc>
          <w:tcPr>
            <w:tcW w:w="0" w:type="auto"/>
            <w:hideMark/>
          </w:tcPr>
          <w:p w14:paraId="0B293841"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77.08</w:t>
            </w:r>
          </w:p>
        </w:tc>
      </w:tr>
      <w:tr w:rsidR="005F3858" w:rsidRPr="00951C18" w14:paraId="3DFEE77C" w14:textId="77777777" w:rsidTr="00A34E9B">
        <w:trPr>
          <w:jc w:val="center"/>
        </w:trPr>
        <w:tc>
          <w:tcPr>
            <w:tcW w:w="0" w:type="auto"/>
            <w:hideMark/>
          </w:tcPr>
          <w:p w14:paraId="3E65038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Adequate ventilation</w:t>
            </w:r>
          </w:p>
        </w:tc>
        <w:tc>
          <w:tcPr>
            <w:tcW w:w="0" w:type="auto"/>
            <w:hideMark/>
          </w:tcPr>
          <w:p w14:paraId="44459F59"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92.50</w:t>
            </w:r>
          </w:p>
        </w:tc>
      </w:tr>
      <w:tr w:rsidR="005F3858" w:rsidRPr="00951C18" w14:paraId="34E57BE7" w14:textId="77777777" w:rsidTr="00A34E9B">
        <w:trPr>
          <w:jc w:val="center"/>
        </w:trPr>
        <w:tc>
          <w:tcPr>
            <w:tcW w:w="0" w:type="auto"/>
            <w:hideMark/>
          </w:tcPr>
          <w:p w14:paraId="770344D4"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Milking twice daily</w:t>
            </w:r>
          </w:p>
        </w:tc>
        <w:tc>
          <w:tcPr>
            <w:tcW w:w="0" w:type="auto"/>
            <w:hideMark/>
          </w:tcPr>
          <w:p w14:paraId="53746F7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100.00</w:t>
            </w:r>
          </w:p>
        </w:tc>
      </w:tr>
      <w:tr w:rsidR="005F3858" w:rsidRPr="00951C18" w14:paraId="47CFBFA6" w14:textId="77777777" w:rsidTr="00A34E9B">
        <w:trPr>
          <w:jc w:val="center"/>
        </w:trPr>
        <w:tc>
          <w:tcPr>
            <w:tcW w:w="0" w:type="auto"/>
            <w:hideMark/>
          </w:tcPr>
          <w:p w14:paraId="62CF2BED"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Vaccination</w:t>
            </w:r>
          </w:p>
        </w:tc>
        <w:tc>
          <w:tcPr>
            <w:tcW w:w="0" w:type="auto"/>
            <w:hideMark/>
          </w:tcPr>
          <w:p w14:paraId="40D5093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37.92</w:t>
            </w:r>
          </w:p>
        </w:tc>
      </w:tr>
      <w:tr w:rsidR="005F3858" w:rsidRPr="00951C18" w14:paraId="15055727" w14:textId="77777777" w:rsidTr="00A34E9B">
        <w:trPr>
          <w:jc w:val="center"/>
        </w:trPr>
        <w:tc>
          <w:tcPr>
            <w:tcW w:w="0" w:type="auto"/>
            <w:hideMark/>
          </w:tcPr>
          <w:p w14:paraId="07F82B62"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Deworming</w:t>
            </w:r>
          </w:p>
        </w:tc>
        <w:tc>
          <w:tcPr>
            <w:tcW w:w="0" w:type="auto"/>
            <w:hideMark/>
          </w:tcPr>
          <w:p w14:paraId="56A50D8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28.33</w:t>
            </w:r>
          </w:p>
        </w:tc>
      </w:tr>
      <w:tr w:rsidR="005F3858" w:rsidRPr="00951C18" w14:paraId="6381C47B" w14:textId="77777777" w:rsidTr="00A34E9B">
        <w:trPr>
          <w:jc w:val="center"/>
        </w:trPr>
        <w:tc>
          <w:tcPr>
            <w:tcW w:w="0" w:type="auto"/>
            <w:hideMark/>
          </w:tcPr>
          <w:p w14:paraId="08ED3BDA"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Isolation of sick animals</w:t>
            </w:r>
          </w:p>
        </w:tc>
        <w:tc>
          <w:tcPr>
            <w:tcW w:w="0" w:type="auto"/>
            <w:hideMark/>
          </w:tcPr>
          <w:p w14:paraId="101DD504"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14.17</w:t>
            </w:r>
          </w:p>
        </w:tc>
      </w:tr>
      <w:tr w:rsidR="005F3858" w:rsidRPr="00951C18" w14:paraId="7B7BDE47" w14:textId="77777777" w:rsidTr="00A34E9B">
        <w:trPr>
          <w:jc w:val="center"/>
        </w:trPr>
        <w:tc>
          <w:tcPr>
            <w:tcW w:w="0" w:type="auto"/>
            <w:hideMark/>
          </w:tcPr>
          <w:p w14:paraId="045B8E36"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Veterinary doctor/LSA for treatment</w:t>
            </w:r>
          </w:p>
        </w:tc>
        <w:tc>
          <w:tcPr>
            <w:tcW w:w="0" w:type="auto"/>
            <w:hideMark/>
          </w:tcPr>
          <w:p w14:paraId="476B53D5" w14:textId="77777777" w:rsidR="005F3858" w:rsidRPr="00951C18" w:rsidRDefault="005F3858" w:rsidP="005F3858">
            <w:pPr>
              <w:spacing w:line="276" w:lineRule="auto"/>
              <w:jc w:val="both"/>
              <w:rPr>
                <w:rFonts w:ascii="Times New Roman" w:hAnsi="Times New Roman" w:cs="Times New Roman"/>
              </w:rPr>
            </w:pPr>
            <w:r w:rsidRPr="00951C18">
              <w:rPr>
                <w:rFonts w:ascii="Times New Roman" w:hAnsi="Times New Roman" w:cs="Times New Roman"/>
              </w:rPr>
              <w:t>25.00</w:t>
            </w:r>
          </w:p>
        </w:tc>
      </w:tr>
    </w:tbl>
    <w:p w14:paraId="5A0B4A12" w14:textId="77777777" w:rsidR="005F3858" w:rsidRPr="00951C18" w:rsidRDefault="005F3858" w:rsidP="005F3858">
      <w:pPr>
        <w:spacing w:line="276" w:lineRule="auto"/>
        <w:jc w:val="both"/>
        <w:rPr>
          <w:rFonts w:ascii="Times New Roman" w:hAnsi="Times New Roman" w:cs="Times New Roman"/>
        </w:rPr>
      </w:pPr>
    </w:p>
    <w:p w14:paraId="7E256D2D"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t xml:space="preserve">3.5 Constraints perceived by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 farmers</w:t>
      </w:r>
    </w:p>
    <w:p w14:paraId="7CDA52FA" w14:textId="77777777" w:rsidR="005F3858" w:rsidRPr="00951C18" w:rsidRDefault="00A34E9B" w:rsidP="005F3858">
      <w:pPr>
        <w:spacing w:line="276" w:lineRule="auto"/>
        <w:jc w:val="both"/>
        <w:rPr>
          <w:rFonts w:ascii="Times New Roman" w:hAnsi="Times New Roman" w:cs="Times New Roman"/>
        </w:rPr>
      </w:pPr>
      <w:r w:rsidRPr="00951C18">
        <w:rPr>
          <w:rFonts w:ascii="Times New Roman" w:hAnsi="Times New Roman" w:cs="Times New Roman"/>
        </w:rPr>
        <w:tab/>
      </w:r>
      <w:r w:rsidR="005F3858" w:rsidRPr="00951C18">
        <w:rPr>
          <w:rFonts w:ascii="Times New Roman" w:hAnsi="Times New Roman" w:cs="Times New Roman"/>
        </w:rPr>
        <w:t xml:space="preserve">The overall constraint analysis revealed that health-care constraints were the most severe, with an MPS of 87.08, followed by feeding constraints (86.88), marketing constraints (83.64), housing and management constraints (80.86), and breeding constraints (74.86). Thus, inadequate health-care facilities and feeding-related problems were the major limitations affecting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 production in the study area. Among breeding-related constraints, the high cost of breeding bucks ranked first (MPS 82.08), followed by lack of knowledge about breeding practices (79.03) and lack of knowledge regarding selection of breeding bucks (78.89). </w:t>
      </w:r>
      <w:r w:rsidRPr="00951C18">
        <w:rPr>
          <w:rFonts w:ascii="Times New Roman" w:hAnsi="Times New Roman" w:cs="Times New Roman"/>
        </w:rPr>
        <w:t xml:space="preserve"> </w:t>
      </w:r>
      <w:r w:rsidR="005F3858" w:rsidRPr="00951C18">
        <w:rPr>
          <w:rFonts w:ascii="Times New Roman" w:hAnsi="Times New Roman" w:cs="Times New Roman"/>
        </w:rPr>
        <w:t xml:space="preserve">The results indicate that improving access to veterinary services, scientific feeding practices, quality breeding bucks and farmer training could substantially improve the productivity and sustainability of </w:t>
      </w:r>
      <w:proofErr w:type="spellStart"/>
      <w:r w:rsidR="005F3858" w:rsidRPr="00951C18">
        <w:rPr>
          <w:rFonts w:ascii="Times New Roman" w:hAnsi="Times New Roman" w:cs="Times New Roman"/>
        </w:rPr>
        <w:t>Sojat</w:t>
      </w:r>
      <w:proofErr w:type="spellEnd"/>
      <w:r w:rsidR="005F3858" w:rsidRPr="00951C18">
        <w:rPr>
          <w:rFonts w:ascii="Times New Roman" w:hAnsi="Times New Roman" w:cs="Times New Roman"/>
        </w:rPr>
        <w:t xml:space="preserve"> goat production.</w:t>
      </w:r>
    </w:p>
    <w:p w14:paraId="5EAE35EF" w14:textId="77777777" w:rsidR="005F3858" w:rsidRPr="00951C18" w:rsidRDefault="005F3858" w:rsidP="005F3858">
      <w:pPr>
        <w:spacing w:line="276" w:lineRule="auto"/>
        <w:jc w:val="both"/>
        <w:rPr>
          <w:rFonts w:ascii="Times New Roman" w:hAnsi="Times New Roman" w:cs="Times New Roman"/>
          <w:b/>
          <w:bCs/>
        </w:rPr>
      </w:pPr>
      <w:r w:rsidRPr="00951C18">
        <w:rPr>
          <w:rFonts w:ascii="Times New Roman" w:hAnsi="Times New Roman" w:cs="Times New Roman"/>
          <w:b/>
          <w:bCs/>
        </w:rPr>
        <w:lastRenderedPageBreak/>
        <w:t xml:space="preserve">Table 5. Major constraints perceived by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 farmers</w:t>
      </w:r>
    </w:p>
    <w:tbl>
      <w:tblPr>
        <w:tblStyle w:val="TableGrid"/>
        <w:tblW w:w="0" w:type="auto"/>
        <w:jc w:val="center"/>
        <w:tblLook w:val="04A0" w:firstRow="1" w:lastRow="0" w:firstColumn="1" w:lastColumn="0" w:noHBand="0" w:noVBand="1"/>
      </w:tblPr>
      <w:tblGrid>
        <w:gridCol w:w="3922"/>
        <w:gridCol w:w="767"/>
        <w:gridCol w:w="754"/>
      </w:tblGrid>
      <w:tr w:rsidR="005F3858" w:rsidRPr="00951C18" w14:paraId="6AD09C2F" w14:textId="77777777" w:rsidTr="21DDC337">
        <w:trPr>
          <w:jc w:val="center"/>
        </w:trPr>
        <w:tc>
          <w:tcPr>
            <w:tcW w:w="0" w:type="auto"/>
            <w:hideMark/>
          </w:tcPr>
          <w:p w14:paraId="5C57E811" w14:textId="77777777" w:rsidR="005F3858" w:rsidRPr="00951C18" w:rsidRDefault="4B4875ED" w:rsidP="21DDC337">
            <w:pPr>
              <w:spacing w:line="276" w:lineRule="auto"/>
              <w:jc w:val="both"/>
              <w:rPr>
                <w:rFonts w:ascii="Arial" w:hAnsi="Arial" w:cs="Arial"/>
                <w:b/>
                <w:bCs/>
                <w:sz w:val="22"/>
                <w:szCs w:val="22"/>
              </w:rPr>
            </w:pPr>
            <w:r w:rsidRPr="00951C18">
              <w:rPr>
                <w:rFonts w:ascii="Arial" w:hAnsi="Arial" w:cs="Arial"/>
                <w:b/>
                <w:bCs/>
                <w:sz w:val="22"/>
                <w:szCs w:val="22"/>
              </w:rPr>
              <w:t>Constraint category</w:t>
            </w:r>
          </w:p>
        </w:tc>
        <w:tc>
          <w:tcPr>
            <w:tcW w:w="0" w:type="auto"/>
            <w:hideMark/>
          </w:tcPr>
          <w:p w14:paraId="336EB0A3" w14:textId="77777777" w:rsidR="005F3858" w:rsidRPr="00951C18" w:rsidRDefault="4B4875ED" w:rsidP="21DDC337">
            <w:pPr>
              <w:spacing w:line="276" w:lineRule="auto"/>
              <w:jc w:val="both"/>
              <w:rPr>
                <w:rFonts w:ascii="Arial" w:hAnsi="Arial" w:cs="Arial"/>
                <w:b/>
                <w:bCs/>
                <w:sz w:val="22"/>
                <w:szCs w:val="22"/>
              </w:rPr>
            </w:pPr>
            <w:r w:rsidRPr="00951C18">
              <w:rPr>
                <w:rFonts w:ascii="Arial" w:hAnsi="Arial" w:cs="Arial"/>
                <w:b/>
                <w:bCs/>
                <w:sz w:val="22"/>
                <w:szCs w:val="22"/>
              </w:rPr>
              <w:t>MPS</w:t>
            </w:r>
          </w:p>
        </w:tc>
        <w:tc>
          <w:tcPr>
            <w:tcW w:w="0" w:type="auto"/>
            <w:hideMark/>
          </w:tcPr>
          <w:p w14:paraId="387B3C99" w14:textId="77777777" w:rsidR="005F3858" w:rsidRPr="00951C18" w:rsidRDefault="4B4875ED" w:rsidP="21DDC337">
            <w:pPr>
              <w:spacing w:line="276" w:lineRule="auto"/>
              <w:jc w:val="both"/>
              <w:rPr>
                <w:rFonts w:ascii="Arial" w:hAnsi="Arial" w:cs="Arial"/>
                <w:b/>
                <w:bCs/>
                <w:sz w:val="22"/>
                <w:szCs w:val="22"/>
              </w:rPr>
            </w:pPr>
            <w:r w:rsidRPr="00951C18">
              <w:rPr>
                <w:rFonts w:ascii="Arial" w:hAnsi="Arial" w:cs="Arial"/>
                <w:b/>
                <w:bCs/>
                <w:sz w:val="22"/>
                <w:szCs w:val="22"/>
              </w:rPr>
              <w:t>Rank</w:t>
            </w:r>
          </w:p>
        </w:tc>
      </w:tr>
      <w:tr w:rsidR="005F3858" w:rsidRPr="00951C18" w14:paraId="7935F5EE" w14:textId="77777777" w:rsidTr="21DDC337">
        <w:trPr>
          <w:jc w:val="center"/>
        </w:trPr>
        <w:tc>
          <w:tcPr>
            <w:tcW w:w="0" w:type="auto"/>
            <w:hideMark/>
          </w:tcPr>
          <w:p w14:paraId="6004B8C6"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Health-care constraints</w:t>
            </w:r>
          </w:p>
        </w:tc>
        <w:tc>
          <w:tcPr>
            <w:tcW w:w="0" w:type="auto"/>
            <w:hideMark/>
          </w:tcPr>
          <w:p w14:paraId="30316DF4"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87.08</w:t>
            </w:r>
          </w:p>
        </w:tc>
        <w:tc>
          <w:tcPr>
            <w:tcW w:w="0" w:type="auto"/>
            <w:hideMark/>
          </w:tcPr>
          <w:p w14:paraId="7354044D"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I</w:t>
            </w:r>
          </w:p>
        </w:tc>
      </w:tr>
      <w:tr w:rsidR="005F3858" w:rsidRPr="00951C18" w14:paraId="7B431BF0" w14:textId="77777777" w:rsidTr="21DDC337">
        <w:trPr>
          <w:jc w:val="center"/>
        </w:trPr>
        <w:tc>
          <w:tcPr>
            <w:tcW w:w="0" w:type="auto"/>
            <w:hideMark/>
          </w:tcPr>
          <w:p w14:paraId="2628A452"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Feeding constraints</w:t>
            </w:r>
          </w:p>
        </w:tc>
        <w:tc>
          <w:tcPr>
            <w:tcW w:w="0" w:type="auto"/>
            <w:hideMark/>
          </w:tcPr>
          <w:p w14:paraId="0034B72F"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86.88</w:t>
            </w:r>
          </w:p>
        </w:tc>
        <w:tc>
          <w:tcPr>
            <w:tcW w:w="0" w:type="auto"/>
            <w:hideMark/>
          </w:tcPr>
          <w:p w14:paraId="01642DF1"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II</w:t>
            </w:r>
          </w:p>
        </w:tc>
      </w:tr>
      <w:tr w:rsidR="005F3858" w:rsidRPr="00951C18" w14:paraId="0BD30951" w14:textId="77777777" w:rsidTr="21DDC337">
        <w:trPr>
          <w:jc w:val="center"/>
        </w:trPr>
        <w:tc>
          <w:tcPr>
            <w:tcW w:w="0" w:type="auto"/>
            <w:hideMark/>
          </w:tcPr>
          <w:p w14:paraId="5893C6E6"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Marketing constraints</w:t>
            </w:r>
          </w:p>
        </w:tc>
        <w:tc>
          <w:tcPr>
            <w:tcW w:w="0" w:type="auto"/>
            <w:hideMark/>
          </w:tcPr>
          <w:p w14:paraId="38425CC4"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83.64</w:t>
            </w:r>
          </w:p>
        </w:tc>
        <w:tc>
          <w:tcPr>
            <w:tcW w:w="0" w:type="auto"/>
            <w:hideMark/>
          </w:tcPr>
          <w:p w14:paraId="64EDA4AA"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III</w:t>
            </w:r>
          </w:p>
        </w:tc>
      </w:tr>
      <w:tr w:rsidR="005F3858" w:rsidRPr="00951C18" w14:paraId="610C85CE" w14:textId="77777777" w:rsidTr="21DDC337">
        <w:trPr>
          <w:jc w:val="center"/>
        </w:trPr>
        <w:tc>
          <w:tcPr>
            <w:tcW w:w="0" w:type="auto"/>
            <w:hideMark/>
          </w:tcPr>
          <w:p w14:paraId="3A19300F"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Housing and management constraints</w:t>
            </w:r>
          </w:p>
        </w:tc>
        <w:tc>
          <w:tcPr>
            <w:tcW w:w="0" w:type="auto"/>
            <w:hideMark/>
          </w:tcPr>
          <w:p w14:paraId="73557BCC"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80.86</w:t>
            </w:r>
          </w:p>
        </w:tc>
        <w:tc>
          <w:tcPr>
            <w:tcW w:w="0" w:type="auto"/>
            <w:hideMark/>
          </w:tcPr>
          <w:p w14:paraId="317B44D6"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IV</w:t>
            </w:r>
          </w:p>
        </w:tc>
      </w:tr>
      <w:tr w:rsidR="005F3858" w:rsidRPr="00951C18" w14:paraId="3CD62369" w14:textId="77777777" w:rsidTr="21DDC337">
        <w:trPr>
          <w:jc w:val="center"/>
        </w:trPr>
        <w:tc>
          <w:tcPr>
            <w:tcW w:w="0" w:type="auto"/>
            <w:hideMark/>
          </w:tcPr>
          <w:p w14:paraId="3876154A"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Breeding constraints</w:t>
            </w:r>
          </w:p>
        </w:tc>
        <w:tc>
          <w:tcPr>
            <w:tcW w:w="0" w:type="auto"/>
            <w:hideMark/>
          </w:tcPr>
          <w:p w14:paraId="251B8F7A"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74.86</w:t>
            </w:r>
          </w:p>
        </w:tc>
        <w:tc>
          <w:tcPr>
            <w:tcW w:w="0" w:type="auto"/>
            <w:hideMark/>
          </w:tcPr>
          <w:p w14:paraId="2D5BFBC3" w14:textId="77777777" w:rsidR="005F3858" w:rsidRPr="00951C18" w:rsidRDefault="005F3858" w:rsidP="005F3858">
            <w:pPr>
              <w:spacing w:line="276" w:lineRule="auto"/>
              <w:jc w:val="both"/>
              <w:rPr>
                <w:rFonts w:ascii="Arial" w:hAnsi="Arial" w:cs="Arial"/>
                <w:sz w:val="22"/>
                <w:szCs w:val="22"/>
              </w:rPr>
            </w:pPr>
            <w:r w:rsidRPr="00951C18">
              <w:rPr>
                <w:rFonts w:ascii="Arial" w:hAnsi="Arial" w:cs="Arial"/>
                <w:sz w:val="22"/>
                <w:szCs w:val="22"/>
              </w:rPr>
              <w:t>V</w:t>
            </w:r>
          </w:p>
        </w:tc>
      </w:tr>
    </w:tbl>
    <w:p w14:paraId="7E193621" w14:textId="77777777" w:rsidR="005F3858" w:rsidRPr="00951C18" w:rsidRDefault="005F3858" w:rsidP="005F3858">
      <w:pPr>
        <w:spacing w:line="276" w:lineRule="auto"/>
        <w:jc w:val="both"/>
        <w:rPr>
          <w:rFonts w:ascii="Times New Roman" w:hAnsi="Times New Roman" w:cs="Times New Roman"/>
        </w:rPr>
      </w:pPr>
    </w:p>
    <w:p w14:paraId="283E78AA" w14:textId="77777777" w:rsidR="00F31754" w:rsidRPr="00951C18" w:rsidRDefault="00125A38" w:rsidP="00F31754">
      <w:pPr>
        <w:spacing w:line="276" w:lineRule="auto"/>
        <w:jc w:val="both"/>
        <w:rPr>
          <w:rFonts w:ascii="Times New Roman" w:hAnsi="Times New Roman" w:cs="Times New Roman"/>
          <w:b/>
          <w:bCs/>
        </w:rPr>
      </w:pPr>
      <w:r w:rsidRPr="00951C18">
        <w:rPr>
          <w:rFonts w:ascii="Times New Roman" w:hAnsi="Times New Roman" w:cs="Times New Roman"/>
          <w:b/>
          <w:bCs/>
        </w:rPr>
        <w:t>3.6</w:t>
      </w:r>
      <w:r w:rsidRPr="00951C18">
        <w:rPr>
          <w:rFonts w:ascii="Times New Roman" w:hAnsi="Times New Roman" w:cs="Times New Roman"/>
        </w:rPr>
        <w:t xml:space="preserve"> </w:t>
      </w:r>
      <w:r w:rsidR="00F31754" w:rsidRPr="00951C18">
        <w:rPr>
          <w:rFonts w:ascii="Times New Roman" w:hAnsi="Times New Roman" w:cs="Times New Roman"/>
          <w:b/>
          <w:bCs/>
        </w:rPr>
        <w:t>Reproductive Performance</w:t>
      </w:r>
    </w:p>
    <w:p w14:paraId="7FA7E227" w14:textId="77777777" w:rsidR="00F31754" w:rsidRPr="00951C18" w:rsidRDefault="00125A38" w:rsidP="00F31754">
      <w:pPr>
        <w:spacing w:line="276" w:lineRule="auto"/>
        <w:jc w:val="both"/>
        <w:rPr>
          <w:rFonts w:ascii="Times New Roman" w:hAnsi="Times New Roman" w:cs="Times New Roman"/>
        </w:rPr>
      </w:pPr>
      <w:r w:rsidRPr="00951C18">
        <w:rPr>
          <w:rFonts w:ascii="Times New Roman" w:hAnsi="Times New Roman" w:cs="Times New Roman"/>
        </w:rPr>
        <w:tab/>
      </w:r>
      <w:r w:rsidR="00F31754" w:rsidRPr="00951C18">
        <w:rPr>
          <w:rFonts w:ascii="Times New Roman" w:hAnsi="Times New Roman" w:cs="Times New Roman"/>
        </w:rPr>
        <w:t xml:space="preserve">The reproductive performance of </w:t>
      </w:r>
      <w:proofErr w:type="spellStart"/>
      <w:r w:rsidR="00F31754" w:rsidRPr="00951C18">
        <w:rPr>
          <w:rFonts w:ascii="Times New Roman" w:hAnsi="Times New Roman" w:cs="Times New Roman"/>
        </w:rPr>
        <w:t>Sojat</w:t>
      </w:r>
      <w:proofErr w:type="spellEnd"/>
      <w:r w:rsidR="00F31754" w:rsidRPr="00951C18">
        <w:rPr>
          <w:rFonts w:ascii="Times New Roman" w:hAnsi="Times New Roman" w:cs="Times New Roman"/>
        </w:rPr>
        <w:t xml:space="preserve"> goats under field conditions is presented in Table </w:t>
      </w:r>
      <w:r w:rsidR="00841DBA" w:rsidRPr="00951C18">
        <w:rPr>
          <w:rFonts w:ascii="Times New Roman" w:hAnsi="Times New Roman" w:cs="Times New Roman"/>
        </w:rPr>
        <w:t>6</w:t>
      </w:r>
      <w:r w:rsidR="00F31754" w:rsidRPr="00951C18">
        <w:rPr>
          <w:rFonts w:ascii="Times New Roman" w:hAnsi="Times New Roman" w:cs="Times New Roman"/>
        </w:rPr>
        <w:t>. The mean age at first mating was 375.04 ± 0.40 days in males and 389.41 ± 0.24 days in females. The mean age at first oestrus was 280.23 ± 0.47 days, with an oestrous cycle of 18.50 ± 0.14 days. The mean age at first kidding was 496.15 ± 0.50 days.</w:t>
      </w:r>
      <w:r w:rsidRPr="00951C18">
        <w:rPr>
          <w:rFonts w:ascii="Times New Roman" w:hAnsi="Times New Roman" w:cs="Times New Roman"/>
        </w:rPr>
        <w:t xml:space="preserve"> </w:t>
      </w:r>
      <w:r w:rsidR="00F31754" w:rsidRPr="00951C18">
        <w:rPr>
          <w:rFonts w:ascii="Times New Roman" w:hAnsi="Times New Roman" w:cs="Times New Roman"/>
        </w:rPr>
        <w:t xml:space="preserve">The mean kidding interval was 346.25 ± 2.81 days, while the service period and dry period were 55.67 ± 0.18 and 45.94 ± 1.22 days, respectively. The mean gestation period was 146.88 ± 0.03 days. The litter size was 1.55 ± 0.10, indicating a considerable occurrence of twin births. The lifetime number of </w:t>
      </w:r>
      <w:proofErr w:type="spellStart"/>
      <w:r w:rsidR="00F31754" w:rsidRPr="00951C18">
        <w:rPr>
          <w:rFonts w:ascii="Times New Roman" w:hAnsi="Times New Roman" w:cs="Times New Roman"/>
        </w:rPr>
        <w:t>kiddings</w:t>
      </w:r>
      <w:proofErr w:type="spellEnd"/>
      <w:r w:rsidR="00F31754" w:rsidRPr="00951C18">
        <w:rPr>
          <w:rFonts w:ascii="Times New Roman" w:hAnsi="Times New Roman" w:cs="Times New Roman"/>
        </w:rPr>
        <w:t xml:space="preserve"> was 11.10 ± 0.06, ranging from 10 to 12 </w:t>
      </w:r>
      <w:proofErr w:type="spellStart"/>
      <w:r w:rsidR="00F31754" w:rsidRPr="00951C18">
        <w:rPr>
          <w:rFonts w:ascii="Times New Roman" w:hAnsi="Times New Roman" w:cs="Times New Roman"/>
        </w:rPr>
        <w:t>kiddings</w:t>
      </w:r>
      <w:proofErr w:type="spellEnd"/>
      <w:r w:rsidR="00F31754" w:rsidRPr="00951C18">
        <w:rPr>
          <w:rFonts w:ascii="Times New Roman" w:hAnsi="Times New Roman" w:cs="Times New Roman"/>
        </w:rPr>
        <w:t xml:space="preserve">. Overall, the findings indicate satisfactory reproductive performance and good prolificacy of </w:t>
      </w:r>
      <w:proofErr w:type="spellStart"/>
      <w:r w:rsidR="00F31754" w:rsidRPr="00951C18">
        <w:rPr>
          <w:rFonts w:ascii="Times New Roman" w:hAnsi="Times New Roman" w:cs="Times New Roman"/>
        </w:rPr>
        <w:t>Sojat</w:t>
      </w:r>
      <w:proofErr w:type="spellEnd"/>
      <w:r w:rsidR="00F31754" w:rsidRPr="00951C18">
        <w:rPr>
          <w:rFonts w:ascii="Times New Roman" w:hAnsi="Times New Roman" w:cs="Times New Roman"/>
        </w:rPr>
        <w:t xml:space="preserve"> goats under field conditions.</w:t>
      </w:r>
      <w:r w:rsidRPr="00951C18">
        <w:rPr>
          <w:rFonts w:ascii="Times New Roman" w:hAnsi="Times New Roman" w:cs="Times New Roman"/>
        </w:rPr>
        <w:t xml:space="preserve"> </w:t>
      </w:r>
      <w:r w:rsidR="00F31754" w:rsidRPr="00951C18">
        <w:rPr>
          <w:rFonts w:ascii="Times New Roman" w:hAnsi="Times New Roman" w:cs="Times New Roman"/>
        </w:rPr>
        <w:t xml:space="preserve">These findings are comparable with the observations of Talukder </w:t>
      </w:r>
      <w:r w:rsidR="00CD1419" w:rsidRPr="00951C18">
        <w:rPr>
          <w:rFonts w:ascii="Times New Roman" w:hAnsi="Times New Roman" w:cs="Times New Roman"/>
          <w:i/>
          <w:iCs/>
        </w:rPr>
        <w:t>et al</w:t>
      </w:r>
      <w:r w:rsidRPr="00951C18">
        <w:rPr>
          <w:rFonts w:ascii="Times New Roman" w:hAnsi="Times New Roman" w:cs="Times New Roman"/>
          <w:i/>
          <w:iCs/>
        </w:rPr>
        <w:t>.</w:t>
      </w:r>
      <w:r w:rsidR="00F31754" w:rsidRPr="00951C18">
        <w:rPr>
          <w:rFonts w:ascii="Times New Roman" w:hAnsi="Times New Roman" w:cs="Times New Roman"/>
        </w:rPr>
        <w:t xml:space="preserve"> (2016), who also reported favourable reproductive performance in goats. The relatively high litter size and lifetime kidding frequency suggest that </w:t>
      </w:r>
      <w:proofErr w:type="spellStart"/>
      <w:r w:rsidR="00F31754" w:rsidRPr="00951C18">
        <w:rPr>
          <w:rFonts w:ascii="Times New Roman" w:hAnsi="Times New Roman" w:cs="Times New Roman"/>
        </w:rPr>
        <w:t>Sojat</w:t>
      </w:r>
      <w:proofErr w:type="spellEnd"/>
      <w:r w:rsidR="00F31754" w:rsidRPr="00951C18">
        <w:rPr>
          <w:rFonts w:ascii="Times New Roman" w:hAnsi="Times New Roman" w:cs="Times New Roman"/>
        </w:rPr>
        <w:t xml:space="preserve"> goats possess good reproductive potential and may contribute substantially to the economic sustainability of goat farming under field conditions.</w:t>
      </w:r>
    </w:p>
    <w:p w14:paraId="669BEE8C" w14:textId="77777777" w:rsidR="00F31754" w:rsidRPr="00951C18" w:rsidRDefault="139308CF" w:rsidP="00F31754">
      <w:pPr>
        <w:spacing w:line="276" w:lineRule="auto"/>
        <w:jc w:val="both"/>
        <w:rPr>
          <w:rFonts w:ascii="Times New Roman" w:hAnsi="Times New Roman" w:cs="Times New Roman"/>
          <w:b/>
          <w:bCs/>
        </w:rPr>
      </w:pPr>
      <w:r w:rsidRPr="00951C18">
        <w:rPr>
          <w:rFonts w:ascii="Times New Roman" w:hAnsi="Times New Roman" w:cs="Times New Roman"/>
          <w:b/>
          <w:bCs/>
        </w:rPr>
        <w:t xml:space="preserve">Table </w:t>
      </w:r>
      <w:r w:rsidR="4D5BB867" w:rsidRPr="00951C18">
        <w:rPr>
          <w:rFonts w:ascii="Times New Roman" w:hAnsi="Times New Roman" w:cs="Times New Roman"/>
          <w:b/>
          <w:bCs/>
        </w:rPr>
        <w:t>6</w:t>
      </w:r>
      <w:r w:rsidRPr="00951C18">
        <w:rPr>
          <w:rFonts w:ascii="Times New Roman" w:hAnsi="Times New Roman" w:cs="Times New Roman"/>
          <w:b/>
          <w:bCs/>
        </w:rPr>
        <w:t xml:space="preserve">. Reproductive performance of </w:t>
      </w:r>
      <w:proofErr w:type="spellStart"/>
      <w:r w:rsidRPr="00951C18">
        <w:rPr>
          <w:rFonts w:ascii="Times New Roman" w:hAnsi="Times New Roman" w:cs="Times New Roman"/>
          <w:b/>
          <w:bCs/>
        </w:rPr>
        <w:t>Sojat</w:t>
      </w:r>
      <w:proofErr w:type="spellEnd"/>
      <w:r w:rsidRPr="00951C18">
        <w:rPr>
          <w:rFonts w:ascii="Times New Roman" w:hAnsi="Times New Roman" w:cs="Times New Roman"/>
          <w:b/>
          <w:bCs/>
        </w:rPr>
        <w:t xml:space="preserve"> goats under field conditions</w:t>
      </w:r>
      <w:r w:rsidR="2644020C" w:rsidRPr="00951C18">
        <w:rPr>
          <w:rFonts w:ascii="Times New Roman" w:hAnsi="Times New Roman" w:cs="Times New Roman"/>
          <w:b/>
          <w:bCs/>
        </w:rPr>
        <w:t xml:space="preserve"> </w:t>
      </w:r>
    </w:p>
    <w:tbl>
      <w:tblPr>
        <w:tblStyle w:val="TableGrid"/>
        <w:tblW w:w="0" w:type="auto"/>
        <w:jc w:val="center"/>
        <w:tblLook w:val="04A0" w:firstRow="1" w:lastRow="0" w:firstColumn="1" w:lastColumn="0" w:noHBand="0" w:noVBand="1"/>
      </w:tblPr>
      <w:tblGrid>
        <w:gridCol w:w="3735"/>
        <w:gridCol w:w="1548"/>
        <w:gridCol w:w="1557"/>
        <w:gridCol w:w="576"/>
      </w:tblGrid>
      <w:tr w:rsidR="00F31754" w:rsidRPr="00951C18" w14:paraId="50EBC6BA" w14:textId="77777777" w:rsidTr="21DDC337">
        <w:trPr>
          <w:jc w:val="center"/>
        </w:trPr>
        <w:tc>
          <w:tcPr>
            <w:tcW w:w="0" w:type="auto"/>
            <w:hideMark/>
          </w:tcPr>
          <w:p w14:paraId="071B5EC8" w14:textId="77777777" w:rsidR="00F31754" w:rsidRPr="00951C18" w:rsidRDefault="139308CF" w:rsidP="21DDC337">
            <w:pPr>
              <w:spacing w:after="160" w:line="276" w:lineRule="auto"/>
              <w:jc w:val="both"/>
              <w:rPr>
                <w:rFonts w:ascii="Times New Roman" w:hAnsi="Times New Roman" w:cs="Times New Roman"/>
                <w:b/>
                <w:bCs/>
              </w:rPr>
            </w:pPr>
            <w:r w:rsidRPr="00951C18">
              <w:rPr>
                <w:rFonts w:ascii="Times New Roman" w:hAnsi="Times New Roman" w:cs="Times New Roman"/>
                <w:b/>
                <w:bCs/>
              </w:rPr>
              <w:t>Reproductive parameter</w:t>
            </w:r>
          </w:p>
        </w:tc>
        <w:tc>
          <w:tcPr>
            <w:tcW w:w="0" w:type="auto"/>
            <w:hideMark/>
          </w:tcPr>
          <w:p w14:paraId="400FE40A" w14:textId="77777777" w:rsidR="00F31754" w:rsidRPr="00951C18" w:rsidRDefault="139308CF" w:rsidP="21DDC337">
            <w:pPr>
              <w:spacing w:after="160" w:line="276" w:lineRule="auto"/>
              <w:jc w:val="both"/>
              <w:rPr>
                <w:rFonts w:ascii="Times New Roman" w:hAnsi="Times New Roman" w:cs="Times New Roman"/>
                <w:b/>
                <w:bCs/>
              </w:rPr>
            </w:pPr>
            <w:r w:rsidRPr="00951C18">
              <w:rPr>
                <w:rFonts w:ascii="Times New Roman" w:hAnsi="Times New Roman" w:cs="Times New Roman"/>
                <w:b/>
                <w:bCs/>
              </w:rPr>
              <w:t>Mean ± SE</w:t>
            </w:r>
          </w:p>
        </w:tc>
        <w:tc>
          <w:tcPr>
            <w:tcW w:w="0" w:type="auto"/>
            <w:hideMark/>
          </w:tcPr>
          <w:p w14:paraId="3CAC351D" w14:textId="77777777" w:rsidR="00F31754" w:rsidRPr="00951C18" w:rsidRDefault="139308CF" w:rsidP="21DDC337">
            <w:pPr>
              <w:spacing w:after="160" w:line="276" w:lineRule="auto"/>
              <w:jc w:val="both"/>
              <w:rPr>
                <w:rFonts w:ascii="Times New Roman" w:hAnsi="Times New Roman" w:cs="Times New Roman"/>
                <w:b/>
                <w:bCs/>
              </w:rPr>
            </w:pPr>
            <w:r w:rsidRPr="00951C18">
              <w:rPr>
                <w:rFonts w:ascii="Times New Roman" w:hAnsi="Times New Roman" w:cs="Times New Roman"/>
                <w:b/>
                <w:bCs/>
              </w:rPr>
              <w:t>Range (days)</w:t>
            </w:r>
          </w:p>
        </w:tc>
        <w:tc>
          <w:tcPr>
            <w:tcW w:w="0" w:type="auto"/>
            <w:hideMark/>
          </w:tcPr>
          <w:p w14:paraId="357E7F70" w14:textId="77777777" w:rsidR="00F31754" w:rsidRPr="00951C18" w:rsidRDefault="139308CF" w:rsidP="21DDC337">
            <w:pPr>
              <w:spacing w:after="160" w:line="276" w:lineRule="auto"/>
              <w:jc w:val="both"/>
              <w:rPr>
                <w:rFonts w:ascii="Times New Roman" w:hAnsi="Times New Roman" w:cs="Times New Roman"/>
                <w:b/>
                <w:bCs/>
              </w:rPr>
            </w:pPr>
            <w:r w:rsidRPr="00951C18">
              <w:rPr>
                <w:rFonts w:ascii="Times New Roman" w:hAnsi="Times New Roman" w:cs="Times New Roman"/>
                <w:b/>
                <w:bCs/>
              </w:rPr>
              <w:t>N</w:t>
            </w:r>
          </w:p>
        </w:tc>
      </w:tr>
      <w:tr w:rsidR="00F31754" w:rsidRPr="00951C18" w14:paraId="7DFF0CBB" w14:textId="77777777" w:rsidTr="21DDC337">
        <w:trPr>
          <w:jc w:val="center"/>
        </w:trPr>
        <w:tc>
          <w:tcPr>
            <w:tcW w:w="0" w:type="auto"/>
            <w:hideMark/>
          </w:tcPr>
          <w:p w14:paraId="00339BA6"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Age at first mating in males (days)</w:t>
            </w:r>
          </w:p>
        </w:tc>
        <w:tc>
          <w:tcPr>
            <w:tcW w:w="0" w:type="auto"/>
            <w:hideMark/>
          </w:tcPr>
          <w:p w14:paraId="56E6ED1F"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375.04 ± 0.40</w:t>
            </w:r>
          </w:p>
        </w:tc>
        <w:tc>
          <w:tcPr>
            <w:tcW w:w="0" w:type="auto"/>
            <w:hideMark/>
          </w:tcPr>
          <w:p w14:paraId="7423927B"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365–400</w:t>
            </w:r>
          </w:p>
        </w:tc>
        <w:tc>
          <w:tcPr>
            <w:tcW w:w="0" w:type="auto"/>
            <w:hideMark/>
          </w:tcPr>
          <w:p w14:paraId="13B76735"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34C30546" w14:textId="77777777" w:rsidTr="21DDC337">
        <w:trPr>
          <w:jc w:val="center"/>
        </w:trPr>
        <w:tc>
          <w:tcPr>
            <w:tcW w:w="0" w:type="auto"/>
            <w:hideMark/>
          </w:tcPr>
          <w:p w14:paraId="3C984FC7"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Age at first mating in females (days)</w:t>
            </w:r>
          </w:p>
        </w:tc>
        <w:tc>
          <w:tcPr>
            <w:tcW w:w="0" w:type="auto"/>
            <w:hideMark/>
          </w:tcPr>
          <w:p w14:paraId="3A396A39"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389.41 ± 0.24</w:t>
            </w:r>
          </w:p>
        </w:tc>
        <w:tc>
          <w:tcPr>
            <w:tcW w:w="0" w:type="auto"/>
            <w:hideMark/>
          </w:tcPr>
          <w:p w14:paraId="47ACD9E2"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370–410</w:t>
            </w:r>
          </w:p>
        </w:tc>
        <w:tc>
          <w:tcPr>
            <w:tcW w:w="0" w:type="auto"/>
            <w:hideMark/>
          </w:tcPr>
          <w:p w14:paraId="4D2F9063"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3AEB22E3" w14:textId="77777777" w:rsidTr="21DDC337">
        <w:trPr>
          <w:jc w:val="center"/>
        </w:trPr>
        <w:tc>
          <w:tcPr>
            <w:tcW w:w="0" w:type="auto"/>
            <w:hideMark/>
          </w:tcPr>
          <w:p w14:paraId="38AE2A11"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Age at first oestrus (days)</w:t>
            </w:r>
          </w:p>
        </w:tc>
        <w:tc>
          <w:tcPr>
            <w:tcW w:w="0" w:type="auto"/>
            <w:hideMark/>
          </w:tcPr>
          <w:p w14:paraId="0C90ADA3"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280.23 ± 0.47</w:t>
            </w:r>
          </w:p>
        </w:tc>
        <w:tc>
          <w:tcPr>
            <w:tcW w:w="0" w:type="auto"/>
            <w:hideMark/>
          </w:tcPr>
          <w:p w14:paraId="2562096D"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250–305</w:t>
            </w:r>
          </w:p>
        </w:tc>
        <w:tc>
          <w:tcPr>
            <w:tcW w:w="0" w:type="auto"/>
            <w:hideMark/>
          </w:tcPr>
          <w:p w14:paraId="3D1071D1"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6B6321DA" w14:textId="77777777" w:rsidTr="21DDC337">
        <w:trPr>
          <w:jc w:val="center"/>
        </w:trPr>
        <w:tc>
          <w:tcPr>
            <w:tcW w:w="0" w:type="auto"/>
            <w:hideMark/>
          </w:tcPr>
          <w:p w14:paraId="69A62EA3"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Oestrous cycle (days)</w:t>
            </w:r>
          </w:p>
        </w:tc>
        <w:tc>
          <w:tcPr>
            <w:tcW w:w="0" w:type="auto"/>
            <w:hideMark/>
          </w:tcPr>
          <w:p w14:paraId="27580AB1"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18.50 ± 0.14</w:t>
            </w:r>
          </w:p>
        </w:tc>
        <w:tc>
          <w:tcPr>
            <w:tcW w:w="0" w:type="auto"/>
            <w:hideMark/>
          </w:tcPr>
          <w:p w14:paraId="779EFC38"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16–21</w:t>
            </w:r>
          </w:p>
        </w:tc>
        <w:tc>
          <w:tcPr>
            <w:tcW w:w="0" w:type="auto"/>
            <w:hideMark/>
          </w:tcPr>
          <w:p w14:paraId="293EDAF8"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36CCFCBF" w14:textId="77777777" w:rsidTr="21DDC337">
        <w:trPr>
          <w:jc w:val="center"/>
        </w:trPr>
        <w:tc>
          <w:tcPr>
            <w:tcW w:w="0" w:type="auto"/>
            <w:hideMark/>
          </w:tcPr>
          <w:p w14:paraId="55168628"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Age at first kidding (days)</w:t>
            </w:r>
          </w:p>
        </w:tc>
        <w:tc>
          <w:tcPr>
            <w:tcW w:w="0" w:type="auto"/>
            <w:hideMark/>
          </w:tcPr>
          <w:p w14:paraId="5C257DFA"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496.15 ± 0.50</w:t>
            </w:r>
          </w:p>
        </w:tc>
        <w:tc>
          <w:tcPr>
            <w:tcW w:w="0" w:type="auto"/>
            <w:hideMark/>
          </w:tcPr>
          <w:p w14:paraId="255ECAAC"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450–550</w:t>
            </w:r>
          </w:p>
        </w:tc>
        <w:tc>
          <w:tcPr>
            <w:tcW w:w="0" w:type="auto"/>
            <w:hideMark/>
          </w:tcPr>
          <w:p w14:paraId="4091DCB6"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76F3C40E" w14:textId="77777777" w:rsidTr="21DDC337">
        <w:trPr>
          <w:jc w:val="center"/>
        </w:trPr>
        <w:tc>
          <w:tcPr>
            <w:tcW w:w="0" w:type="auto"/>
            <w:hideMark/>
          </w:tcPr>
          <w:p w14:paraId="710901ED"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Kidding interval (days)</w:t>
            </w:r>
          </w:p>
        </w:tc>
        <w:tc>
          <w:tcPr>
            <w:tcW w:w="0" w:type="auto"/>
            <w:hideMark/>
          </w:tcPr>
          <w:p w14:paraId="019BD970"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346.25 ± 2.81</w:t>
            </w:r>
          </w:p>
        </w:tc>
        <w:tc>
          <w:tcPr>
            <w:tcW w:w="0" w:type="auto"/>
            <w:hideMark/>
          </w:tcPr>
          <w:p w14:paraId="52F1465F"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265–415</w:t>
            </w:r>
          </w:p>
        </w:tc>
        <w:tc>
          <w:tcPr>
            <w:tcW w:w="0" w:type="auto"/>
            <w:hideMark/>
          </w:tcPr>
          <w:p w14:paraId="0D259C8F"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0018A008" w14:textId="77777777" w:rsidTr="21DDC337">
        <w:trPr>
          <w:jc w:val="center"/>
        </w:trPr>
        <w:tc>
          <w:tcPr>
            <w:tcW w:w="0" w:type="auto"/>
            <w:hideMark/>
          </w:tcPr>
          <w:p w14:paraId="00B55070"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Service period (days)</w:t>
            </w:r>
          </w:p>
        </w:tc>
        <w:tc>
          <w:tcPr>
            <w:tcW w:w="0" w:type="auto"/>
            <w:hideMark/>
          </w:tcPr>
          <w:p w14:paraId="46DB9C33"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55.67 ± 0.18</w:t>
            </w:r>
          </w:p>
        </w:tc>
        <w:tc>
          <w:tcPr>
            <w:tcW w:w="0" w:type="auto"/>
            <w:hideMark/>
          </w:tcPr>
          <w:p w14:paraId="72041D41"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50–60</w:t>
            </w:r>
          </w:p>
        </w:tc>
        <w:tc>
          <w:tcPr>
            <w:tcW w:w="0" w:type="auto"/>
            <w:hideMark/>
          </w:tcPr>
          <w:p w14:paraId="22E32BEB"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6019934E" w14:textId="77777777" w:rsidTr="21DDC337">
        <w:trPr>
          <w:jc w:val="center"/>
        </w:trPr>
        <w:tc>
          <w:tcPr>
            <w:tcW w:w="0" w:type="auto"/>
            <w:hideMark/>
          </w:tcPr>
          <w:p w14:paraId="4BBFF539"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Dry period (days)</w:t>
            </w:r>
          </w:p>
        </w:tc>
        <w:tc>
          <w:tcPr>
            <w:tcW w:w="0" w:type="auto"/>
            <w:hideMark/>
          </w:tcPr>
          <w:p w14:paraId="1E2F6CE5"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45.94 ± 1.22</w:t>
            </w:r>
          </w:p>
        </w:tc>
        <w:tc>
          <w:tcPr>
            <w:tcW w:w="0" w:type="auto"/>
            <w:hideMark/>
          </w:tcPr>
          <w:p w14:paraId="1C713E7F"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40–50</w:t>
            </w:r>
          </w:p>
        </w:tc>
        <w:tc>
          <w:tcPr>
            <w:tcW w:w="0" w:type="auto"/>
            <w:hideMark/>
          </w:tcPr>
          <w:p w14:paraId="3F77558B"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59E8A9A9" w14:textId="77777777" w:rsidTr="21DDC337">
        <w:trPr>
          <w:jc w:val="center"/>
        </w:trPr>
        <w:tc>
          <w:tcPr>
            <w:tcW w:w="0" w:type="auto"/>
            <w:hideMark/>
          </w:tcPr>
          <w:p w14:paraId="5035010F"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lastRenderedPageBreak/>
              <w:t>Gestation period (days)</w:t>
            </w:r>
          </w:p>
        </w:tc>
        <w:tc>
          <w:tcPr>
            <w:tcW w:w="0" w:type="auto"/>
            <w:hideMark/>
          </w:tcPr>
          <w:p w14:paraId="1C76819B"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146.88 ± 0.03</w:t>
            </w:r>
          </w:p>
        </w:tc>
        <w:tc>
          <w:tcPr>
            <w:tcW w:w="0" w:type="auto"/>
            <w:hideMark/>
          </w:tcPr>
          <w:p w14:paraId="0956D308"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145–150</w:t>
            </w:r>
          </w:p>
        </w:tc>
        <w:tc>
          <w:tcPr>
            <w:tcW w:w="0" w:type="auto"/>
            <w:hideMark/>
          </w:tcPr>
          <w:p w14:paraId="62EA8477"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3CDF2470" w14:textId="77777777" w:rsidTr="21DDC337">
        <w:trPr>
          <w:jc w:val="center"/>
        </w:trPr>
        <w:tc>
          <w:tcPr>
            <w:tcW w:w="0" w:type="auto"/>
            <w:hideMark/>
          </w:tcPr>
          <w:p w14:paraId="4DC1AFD4"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Litter size</w:t>
            </w:r>
          </w:p>
        </w:tc>
        <w:tc>
          <w:tcPr>
            <w:tcW w:w="0" w:type="auto"/>
            <w:hideMark/>
          </w:tcPr>
          <w:p w14:paraId="1A834663"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1.55 ± 0.10</w:t>
            </w:r>
          </w:p>
        </w:tc>
        <w:tc>
          <w:tcPr>
            <w:tcW w:w="0" w:type="auto"/>
            <w:hideMark/>
          </w:tcPr>
          <w:p w14:paraId="39300CCC"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1.20–2.00</w:t>
            </w:r>
          </w:p>
        </w:tc>
        <w:tc>
          <w:tcPr>
            <w:tcW w:w="0" w:type="auto"/>
            <w:hideMark/>
          </w:tcPr>
          <w:p w14:paraId="0367B6DE"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r w:rsidR="00F31754" w:rsidRPr="00951C18" w14:paraId="3A2EDBC3" w14:textId="77777777" w:rsidTr="21DDC337">
        <w:trPr>
          <w:jc w:val="center"/>
        </w:trPr>
        <w:tc>
          <w:tcPr>
            <w:tcW w:w="0" w:type="auto"/>
            <w:hideMark/>
          </w:tcPr>
          <w:p w14:paraId="5785A298"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 xml:space="preserve">Lifetime number of </w:t>
            </w:r>
            <w:proofErr w:type="spellStart"/>
            <w:r w:rsidRPr="00951C18">
              <w:rPr>
                <w:rFonts w:ascii="Times New Roman" w:hAnsi="Times New Roman" w:cs="Times New Roman"/>
              </w:rPr>
              <w:t>kiddings</w:t>
            </w:r>
            <w:proofErr w:type="spellEnd"/>
          </w:p>
        </w:tc>
        <w:tc>
          <w:tcPr>
            <w:tcW w:w="0" w:type="auto"/>
            <w:hideMark/>
          </w:tcPr>
          <w:p w14:paraId="3CBB8D1E"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11.10 ± 0.06</w:t>
            </w:r>
          </w:p>
        </w:tc>
        <w:tc>
          <w:tcPr>
            <w:tcW w:w="0" w:type="auto"/>
            <w:hideMark/>
          </w:tcPr>
          <w:p w14:paraId="022180F5"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10–12</w:t>
            </w:r>
          </w:p>
        </w:tc>
        <w:tc>
          <w:tcPr>
            <w:tcW w:w="0" w:type="auto"/>
            <w:hideMark/>
          </w:tcPr>
          <w:p w14:paraId="5A5CEE4D" w14:textId="77777777" w:rsidR="00F31754" w:rsidRPr="00951C18" w:rsidRDefault="00F31754" w:rsidP="00F31754">
            <w:pPr>
              <w:spacing w:after="160" w:line="276" w:lineRule="auto"/>
              <w:jc w:val="both"/>
              <w:rPr>
                <w:rFonts w:ascii="Times New Roman" w:hAnsi="Times New Roman" w:cs="Times New Roman"/>
              </w:rPr>
            </w:pPr>
            <w:r w:rsidRPr="00951C18">
              <w:rPr>
                <w:rFonts w:ascii="Times New Roman" w:hAnsi="Times New Roman" w:cs="Times New Roman"/>
              </w:rPr>
              <w:t>240</w:t>
            </w:r>
          </w:p>
        </w:tc>
      </w:tr>
    </w:tbl>
    <w:p w14:paraId="32B1A5E0" w14:textId="77777777" w:rsidR="005F3858" w:rsidRPr="00951C18" w:rsidRDefault="005F3858" w:rsidP="005F3858">
      <w:pPr>
        <w:spacing w:line="276" w:lineRule="auto"/>
        <w:jc w:val="both"/>
        <w:rPr>
          <w:rFonts w:ascii="Times New Roman" w:hAnsi="Times New Roman" w:cs="Times New Roman"/>
        </w:rPr>
      </w:pPr>
    </w:p>
    <w:p w14:paraId="64355AA3" w14:textId="77777777" w:rsidR="00125A38" w:rsidRPr="00951C18" w:rsidRDefault="00125A38" w:rsidP="005F3858">
      <w:pPr>
        <w:spacing w:line="276" w:lineRule="auto"/>
        <w:jc w:val="both"/>
        <w:rPr>
          <w:rFonts w:ascii="Times New Roman" w:hAnsi="Times New Roman" w:cs="Times New Roman"/>
          <w:b/>
          <w:bCs/>
        </w:rPr>
      </w:pPr>
      <w:r w:rsidRPr="00951C18">
        <w:rPr>
          <w:rFonts w:ascii="Times New Roman" w:hAnsi="Times New Roman" w:cs="Times New Roman"/>
          <w:b/>
          <w:bCs/>
        </w:rPr>
        <w:t>Conclusion</w:t>
      </w:r>
    </w:p>
    <w:p w14:paraId="6DE31E5E" w14:textId="77777777" w:rsidR="00125A38" w:rsidRDefault="00125A38" w:rsidP="21DDC337">
      <w:pPr>
        <w:spacing w:line="276" w:lineRule="auto"/>
        <w:jc w:val="both"/>
        <w:rPr>
          <w:rFonts w:ascii="Times New Roman" w:hAnsi="Times New Roman" w:cs="Times New Roman"/>
        </w:rPr>
      </w:pPr>
      <w:r w:rsidRPr="00951C18">
        <w:rPr>
          <w:rFonts w:ascii="Times New Roman" w:hAnsi="Times New Roman" w:cs="Times New Roman"/>
        </w:rPr>
        <w:tab/>
      </w:r>
      <w:r w:rsidR="4D5BB867" w:rsidRPr="00951C18">
        <w:rPr>
          <w:rFonts w:ascii="Times New Roman" w:hAnsi="Times New Roman" w:cs="Times New Roman"/>
        </w:rPr>
        <w:t xml:space="preserve">This study demonstrated that </w:t>
      </w:r>
      <w:proofErr w:type="spellStart"/>
      <w:r w:rsidR="4D5BB867" w:rsidRPr="00951C18">
        <w:rPr>
          <w:rFonts w:ascii="Times New Roman" w:hAnsi="Times New Roman" w:cs="Times New Roman"/>
        </w:rPr>
        <w:t>Sojat</w:t>
      </w:r>
      <w:proofErr w:type="spellEnd"/>
      <w:r w:rsidR="4D5BB867" w:rsidRPr="00951C18">
        <w:rPr>
          <w:rFonts w:ascii="Times New Roman" w:hAnsi="Times New Roman" w:cs="Times New Roman"/>
        </w:rPr>
        <w:t xml:space="preserve"> goats possess distinct morphological characteristics, good growth potential, appreciable milk production and favourable reproductive performance under field conditions. The predominance of large flocks and the substantial proportion of landless farmers indicate that goat rearing is an important livelihood enterprise in the native tract. However, management practices remain largely traditional, particularly with respect to scientific breeding, hygienic milking, vaccination, deworming, disease prevention and housing facilities. The high severity of </w:t>
      </w:r>
      <w:r w:rsidR="004C30EB" w:rsidRPr="00951C18">
        <w:rPr>
          <w:rFonts w:ascii="Times New Roman" w:hAnsi="Times New Roman" w:cs="Times New Roman"/>
        </w:rPr>
        <w:t>healthcare</w:t>
      </w:r>
      <w:r w:rsidR="4D5BB867" w:rsidRPr="00951C18">
        <w:rPr>
          <w:rFonts w:ascii="Times New Roman" w:hAnsi="Times New Roman" w:cs="Times New Roman"/>
        </w:rPr>
        <w:t xml:space="preserve"> and feeding constraints further emphasises the need for targeted extension programmes, accessible veterinary services, farmer training and improved input availability. Strengthening these areas would help enhance the productivity, profitability and conservation of the </w:t>
      </w:r>
      <w:proofErr w:type="spellStart"/>
      <w:r w:rsidR="4D5BB867" w:rsidRPr="00951C18">
        <w:rPr>
          <w:rFonts w:ascii="Times New Roman" w:hAnsi="Times New Roman" w:cs="Times New Roman"/>
        </w:rPr>
        <w:t>Sojat</w:t>
      </w:r>
      <w:proofErr w:type="spellEnd"/>
      <w:r w:rsidR="4D5BB867" w:rsidRPr="00951C18">
        <w:rPr>
          <w:rFonts w:ascii="Times New Roman" w:hAnsi="Times New Roman" w:cs="Times New Roman"/>
        </w:rPr>
        <w:t xml:space="preserve"> goat in its native tract.</w:t>
      </w:r>
    </w:p>
    <w:p w14:paraId="1224DE6B" w14:textId="77777777" w:rsidR="00233732" w:rsidRDefault="00233732" w:rsidP="21DDC337">
      <w:pPr>
        <w:spacing w:line="276" w:lineRule="auto"/>
        <w:jc w:val="both"/>
        <w:rPr>
          <w:rFonts w:ascii="Times New Roman" w:hAnsi="Times New Roman" w:cs="Times New Roman"/>
        </w:rPr>
      </w:pPr>
    </w:p>
    <w:p w14:paraId="54C01A2C" w14:textId="0DDD25DF" w:rsidR="00233732" w:rsidRPr="00212065" w:rsidRDefault="00233732" w:rsidP="21DDC337">
      <w:pPr>
        <w:spacing w:line="276" w:lineRule="auto"/>
        <w:jc w:val="both"/>
        <w:rPr>
          <w:rFonts w:ascii="Times New Roman" w:hAnsi="Times New Roman" w:cs="Times New Roman"/>
          <w:b/>
          <w:bCs/>
        </w:rPr>
      </w:pPr>
      <w:r w:rsidRPr="00212065">
        <w:rPr>
          <w:rFonts w:ascii="Times New Roman" w:hAnsi="Times New Roman" w:cs="Times New Roman"/>
          <w:b/>
          <w:bCs/>
        </w:rPr>
        <w:t>Limitation</w:t>
      </w:r>
    </w:p>
    <w:p w14:paraId="13CEF107" w14:textId="2FC3B427" w:rsidR="00233732" w:rsidRDefault="006D7567" w:rsidP="21DDC337">
      <w:pPr>
        <w:spacing w:line="276" w:lineRule="auto"/>
        <w:jc w:val="both"/>
        <w:rPr>
          <w:rFonts w:ascii="Times New Roman" w:hAnsi="Times New Roman" w:cs="Times New Roman"/>
        </w:rPr>
      </w:pPr>
      <w:r w:rsidRPr="006D7567">
        <w:rPr>
          <w:rFonts w:ascii="Times New Roman" w:hAnsi="Times New Roman" w:cs="Times New Roman"/>
        </w:rPr>
        <w:t xml:space="preserve">This field-based study was confined to 240 </w:t>
      </w:r>
      <w:proofErr w:type="spellStart"/>
      <w:r w:rsidRPr="006D7567">
        <w:rPr>
          <w:rFonts w:ascii="Times New Roman" w:hAnsi="Times New Roman" w:cs="Times New Roman"/>
        </w:rPr>
        <w:t>Sojat</w:t>
      </w:r>
      <w:proofErr w:type="spellEnd"/>
      <w:r w:rsidRPr="006D7567">
        <w:rPr>
          <w:rFonts w:ascii="Times New Roman" w:hAnsi="Times New Roman" w:cs="Times New Roman"/>
        </w:rPr>
        <w:t xml:space="preserve"> goat farmers from selected villages in Pali and Jodhpur districts during 2023–2024, which may limit generalisability beyond the surveyed production environments. Tehsils and villages were purposively selected based on </w:t>
      </w:r>
      <w:proofErr w:type="spellStart"/>
      <w:r w:rsidRPr="006D7567">
        <w:rPr>
          <w:rFonts w:ascii="Times New Roman" w:hAnsi="Times New Roman" w:cs="Times New Roman"/>
        </w:rPr>
        <w:t>Sojat</w:t>
      </w:r>
      <w:proofErr w:type="spellEnd"/>
      <w:r w:rsidRPr="006D7567">
        <w:rPr>
          <w:rFonts w:ascii="Times New Roman" w:hAnsi="Times New Roman" w:cs="Times New Roman"/>
        </w:rPr>
        <w:t xml:space="preserve"> goat availability and concentration. Production and reproductive data relied partly on farmer-reported information because systematic farm records were generally unavailable, introducing potential recall-related uncertainty. The observational design also did not separate the effects of management and environmental factors on animal performance. Future longitudinal studies using systematic farm records and broader geographic sampling would strengthen the findings.</w:t>
      </w:r>
    </w:p>
    <w:p w14:paraId="0B8F56F2" w14:textId="77777777" w:rsidR="009A4D0A" w:rsidRDefault="009A4D0A" w:rsidP="21DDC337">
      <w:pPr>
        <w:spacing w:line="276" w:lineRule="auto"/>
        <w:jc w:val="both"/>
        <w:rPr>
          <w:rFonts w:ascii="Times New Roman" w:hAnsi="Times New Roman" w:cs="Times New Roman"/>
        </w:rPr>
      </w:pPr>
    </w:p>
    <w:p w14:paraId="0198E140" w14:textId="77777777" w:rsidR="009A4D0A" w:rsidRPr="009A4D0A" w:rsidRDefault="009A4D0A" w:rsidP="009A4D0A">
      <w:pPr>
        <w:spacing w:line="276" w:lineRule="auto"/>
        <w:jc w:val="both"/>
        <w:rPr>
          <w:rFonts w:ascii="Times New Roman" w:eastAsia="Calibri" w:hAnsi="Times New Roman" w:cs="Times New Roman"/>
        </w:rPr>
      </w:pPr>
    </w:p>
    <w:p w14:paraId="61060481" w14:textId="77777777" w:rsidR="009A4D0A" w:rsidRPr="009A4D0A" w:rsidRDefault="009A4D0A" w:rsidP="009A4D0A">
      <w:pPr>
        <w:spacing w:after="200" w:line="276" w:lineRule="auto"/>
        <w:rPr>
          <w:rFonts w:ascii="Calibri" w:eastAsia="Calibri" w:hAnsi="Calibri" w:cs="Times New Roman"/>
          <w:b/>
          <w:kern w:val="0"/>
          <w:sz w:val="22"/>
          <w:szCs w:val="22"/>
          <w:lang w:val="en-US"/>
          <w14:ligatures w14:val="none"/>
        </w:rPr>
      </w:pPr>
      <w:r w:rsidRPr="009A4D0A">
        <w:rPr>
          <w:rFonts w:ascii="Calibri" w:eastAsia="Calibri" w:hAnsi="Calibri" w:cs="Times New Roman"/>
          <w:b/>
          <w:kern w:val="0"/>
          <w:sz w:val="22"/>
          <w:szCs w:val="22"/>
          <w:lang w:val="en-US"/>
          <w14:ligatures w14:val="none"/>
        </w:rPr>
        <w:t xml:space="preserve">Consent </w:t>
      </w:r>
    </w:p>
    <w:p w14:paraId="3EE7A1CE" w14:textId="77777777" w:rsidR="009A4D0A" w:rsidRPr="009A4D0A" w:rsidRDefault="009A4D0A" w:rsidP="009A4D0A">
      <w:pPr>
        <w:spacing w:after="200" w:line="276" w:lineRule="auto"/>
        <w:rPr>
          <w:rFonts w:ascii="Calibri" w:eastAsia="Calibri" w:hAnsi="Calibri" w:cs="Times New Roman"/>
          <w:kern w:val="0"/>
          <w:sz w:val="22"/>
          <w:szCs w:val="22"/>
          <w:lang w:val="en-US"/>
          <w14:ligatures w14:val="none"/>
        </w:rPr>
      </w:pPr>
      <w:r w:rsidRPr="009A4D0A">
        <w:rPr>
          <w:rFonts w:ascii="Calibri" w:eastAsia="Calibri" w:hAnsi="Calibri" w:cs="Times New Roman"/>
          <w:kern w:val="0"/>
          <w:sz w:val="22"/>
          <w:szCs w:val="22"/>
          <w:lang w:val="en-US"/>
          <w14:ligatures w14:val="none"/>
        </w:rPr>
        <w:t>As per international standards or university standards</w:t>
      </w:r>
      <w:r w:rsidRPr="009A4D0A">
        <w:rPr>
          <w:rFonts w:ascii="Calibri" w:eastAsia="Calibri" w:hAnsi="Calibri" w:cs="Times New Roman"/>
          <w:kern w:val="0"/>
          <w:sz w:val="22"/>
          <w:szCs w:val="22"/>
          <w:highlight w:val="yellow"/>
          <w:lang w:val="en-US"/>
          <w14:ligatures w14:val="none"/>
        </w:rPr>
        <w:t>, respondents’ written</w:t>
      </w:r>
      <w:r w:rsidRPr="009A4D0A">
        <w:rPr>
          <w:rFonts w:ascii="Calibri" w:eastAsia="Calibri" w:hAnsi="Calibri" w:cs="Times New Roman"/>
          <w:kern w:val="0"/>
          <w:sz w:val="22"/>
          <w:szCs w:val="22"/>
          <w:lang w:val="en-US"/>
          <w14:ligatures w14:val="none"/>
        </w:rPr>
        <w:t xml:space="preserve"> consent has been collected and preserved by the author(s).</w:t>
      </w:r>
    </w:p>
    <w:p w14:paraId="50085577" w14:textId="77777777" w:rsidR="009A4D0A" w:rsidRPr="00951C18" w:rsidRDefault="009A4D0A" w:rsidP="21DDC337">
      <w:pPr>
        <w:spacing w:line="276" w:lineRule="auto"/>
        <w:jc w:val="both"/>
        <w:rPr>
          <w:rFonts w:ascii="Times New Roman" w:hAnsi="Times New Roman" w:cs="Times New Roman"/>
        </w:rPr>
      </w:pPr>
    </w:p>
    <w:p w14:paraId="3D10DF5B" w14:textId="77777777" w:rsidR="00AB3B6E" w:rsidRPr="00951C18" w:rsidRDefault="00AB3B6E" w:rsidP="00125A38">
      <w:pPr>
        <w:spacing w:line="276" w:lineRule="auto"/>
        <w:jc w:val="both"/>
        <w:rPr>
          <w:rFonts w:ascii="Times New Roman" w:hAnsi="Times New Roman" w:cs="Times New Roman"/>
          <w:b/>
          <w:bCs/>
          <w:i/>
          <w:iCs/>
        </w:rPr>
      </w:pPr>
    </w:p>
    <w:p w14:paraId="4B556C6A" w14:textId="77777777" w:rsidR="0014764B" w:rsidRPr="00951C18" w:rsidRDefault="0014764B" w:rsidP="0014764B">
      <w:pPr>
        <w:spacing w:line="259" w:lineRule="auto"/>
        <w:rPr>
          <w:rFonts w:ascii="Arial" w:eastAsia="Calibri" w:hAnsi="Arial" w:cs="Arial"/>
          <w:b/>
          <w:bCs/>
          <w:sz w:val="22"/>
          <w:szCs w:val="22"/>
        </w:rPr>
      </w:pPr>
      <w:r w:rsidRPr="00951C18">
        <w:rPr>
          <w:rFonts w:ascii="Arial" w:eastAsia="Calibri" w:hAnsi="Arial" w:cs="Arial"/>
          <w:b/>
          <w:bCs/>
          <w:sz w:val="22"/>
          <w:szCs w:val="22"/>
        </w:rPr>
        <w:lastRenderedPageBreak/>
        <w:t>Declaration of AI Use</w:t>
      </w:r>
    </w:p>
    <w:p w14:paraId="272D0DDA" w14:textId="77777777" w:rsidR="0014764B" w:rsidRPr="00951C18" w:rsidRDefault="0014764B" w:rsidP="0014764B">
      <w:pPr>
        <w:spacing w:line="259" w:lineRule="auto"/>
        <w:rPr>
          <w:rFonts w:ascii="Arial" w:eastAsia="Calibri" w:hAnsi="Arial" w:cs="Arial"/>
          <w:sz w:val="22"/>
          <w:szCs w:val="22"/>
        </w:rPr>
      </w:pPr>
      <w:r w:rsidRPr="00951C18">
        <w:rPr>
          <w:rFonts w:ascii="Arial" w:eastAsia="Calibri" w:hAnsi="Arial" w:cs="Arial"/>
          <w:sz w:val="22"/>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6793AE4" w14:textId="77777777" w:rsidR="00AB3B6E" w:rsidRPr="00951C18" w:rsidRDefault="00AB3B6E" w:rsidP="00AB3B6E">
      <w:pPr>
        <w:spacing w:after="0" w:line="240" w:lineRule="auto"/>
        <w:jc w:val="both"/>
        <w:rPr>
          <w:rFonts w:ascii="Times New Roman" w:eastAsia="Calibri" w:hAnsi="Times New Roman" w:cs="Times New Roman"/>
          <w:kern w:val="0"/>
          <w:sz w:val="22"/>
          <w:szCs w:val="22"/>
          <w:lang w:val="en-US"/>
          <w14:ligatures w14:val="none"/>
        </w:rPr>
      </w:pPr>
    </w:p>
    <w:p w14:paraId="73D4F65F" w14:textId="77777777" w:rsidR="00AB3B6E" w:rsidRPr="00951C18" w:rsidRDefault="00AB3B6E" w:rsidP="00AB3B6E">
      <w:pPr>
        <w:spacing w:after="0" w:line="240" w:lineRule="auto"/>
        <w:jc w:val="both"/>
        <w:rPr>
          <w:rFonts w:ascii="Times New Roman" w:eastAsia="Calibri" w:hAnsi="Times New Roman" w:cs="Times New Roman"/>
          <w:kern w:val="0"/>
          <w:sz w:val="22"/>
          <w:szCs w:val="22"/>
          <w:lang w:val="en-US"/>
          <w14:ligatures w14:val="none"/>
        </w:rPr>
      </w:pPr>
    </w:p>
    <w:p w14:paraId="4BFC8788" w14:textId="77777777" w:rsidR="00AB3B6E" w:rsidRPr="00951C18" w:rsidRDefault="00AB3B6E" w:rsidP="00AB3B6E">
      <w:pPr>
        <w:spacing w:after="200" w:line="276" w:lineRule="auto"/>
        <w:rPr>
          <w:rFonts w:ascii="Cambria" w:eastAsia="Times New Roman" w:hAnsi="Cambria" w:cs="Arial"/>
          <w:b/>
          <w:bCs/>
          <w:kern w:val="0"/>
          <w:sz w:val="22"/>
          <w:szCs w:val="22"/>
          <w:lang w:val="en-GB" w:eastAsia="en-GB"/>
          <w14:ligatures w14:val="none"/>
        </w:rPr>
      </w:pPr>
      <w:r w:rsidRPr="00951C18">
        <w:rPr>
          <w:rFonts w:ascii="Cambria" w:eastAsia="Times New Roman" w:hAnsi="Cambria" w:cs="Arial"/>
          <w:b/>
          <w:bCs/>
          <w:kern w:val="0"/>
          <w:sz w:val="22"/>
          <w:szCs w:val="22"/>
          <w:lang w:val="en-GB" w:eastAsia="en-GB"/>
          <w14:ligatures w14:val="none"/>
        </w:rPr>
        <w:t>COMPETING INTERESTS DISCLAIMER:</w:t>
      </w:r>
    </w:p>
    <w:p w14:paraId="31E85156" w14:textId="77777777" w:rsidR="00AB3B6E" w:rsidRPr="00951C18" w:rsidRDefault="00AB3B6E" w:rsidP="00AB3B6E">
      <w:pPr>
        <w:spacing w:after="200" w:line="276" w:lineRule="auto"/>
        <w:rPr>
          <w:rFonts w:ascii="Cambria" w:eastAsia="Times New Roman" w:hAnsi="Cambria" w:cs="Times New Roman"/>
          <w:kern w:val="0"/>
          <w:sz w:val="22"/>
          <w:szCs w:val="22"/>
          <w:lang w:val="en-GB" w:eastAsia="en-GB"/>
          <w14:ligatures w14:val="none"/>
        </w:rPr>
      </w:pPr>
      <w:r w:rsidRPr="00951C18">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38851D6B" w14:textId="77777777" w:rsidR="00AB3B6E" w:rsidRPr="00951C18" w:rsidRDefault="00AB3B6E" w:rsidP="00125A38">
      <w:pPr>
        <w:spacing w:line="276" w:lineRule="auto"/>
        <w:jc w:val="both"/>
        <w:rPr>
          <w:rFonts w:ascii="Times New Roman" w:hAnsi="Times New Roman" w:cs="Times New Roman"/>
          <w:b/>
          <w:bCs/>
          <w:i/>
          <w:iCs/>
        </w:rPr>
      </w:pPr>
    </w:p>
    <w:p w14:paraId="65C66F28" w14:textId="77777777" w:rsidR="00AB3B6E" w:rsidRPr="00951C18" w:rsidRDefault="00AB3B6E" w:rsidP="00125A38">
      <w:pPr>
        <w:spacing w:line="276" w:lineRule="auto"/>
        <w:jc w:val="both"/>
        <w:rPr>
          <w:rFonts w:ascii="Times New Roman" w:hAnsi="Times New Roman" w:cs="Times New Roman"/>
          <w:b/>
          <w:bCs/>
          <w:i/>
          <w:iCs/>
        </w:rPr>
      </w:pPr>
    </w:p>
    <w:p w14:paraId="08A330D8" w14:textId="77777777" w:rsidR="00125A38" w:rsidRPr="00951C18" w:rsidRDefault="33FDD042" w:rsidP="21DDC337">
      <w:pPr>
        <w:spacing w:line="276" w:lineRule="auto"/>
        <w:jc w:val="both"/>
        <w:rPr>
          <w:rFonts w:ascii="Times New Roman" w:hAnsi="Times New Roman" w:cs="Times New Roman"/>
          <w:b/>
          <w:bCs/>
          <w:i/>
          <w:iCs/>
        </w:rPr>
      </w:pPr>
      <w:r w:rsidRPr="00951C18">
        <w:rPr>
          <w:rFonts w:ascii="Times New Roman" w:hAnsi="Times New Roman" w:cs="Times New Roman"/>
          <w:b/>
          <w:bCs/>
          <w:i/>
          <w:iCs/>
        </w:rPr>
        <w:t xml:space="preserve">REFERENCE </w:t>
      </w:r>
    </w:p>
    <w:p w14:paraId="779583BD" w14:textId="77777777" w:rsidR="00991431" w:rsidRPr="00951C18" w:rsidRDefault="00000000">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t xml:space="preserve">Acharya, R. M. (1982). </w:t>
      </w:r>
      <w:r w:rsidRPr="00951C18">
        <w:rPr>
          <w:i/>
          <w:iCs/>
        </w:rPr>
        <w:t>Sheep and goat breeds of India</w:t>
      </w:r>
      <w:r w:rsidRPr="00951C18">
        <w:t xml:space="preserve"> (FAO Animal Production and Health Paper No. 30). Food and Agriculture Organization of the United Nations. https://www.fao.org/4/x6532e/x6532e00.htm</w:t>
      </w:r>
    </w:p>
    <w:p w14:paraId="3DEBEF7C"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Alphonsus, C., Akpa, G. N., </w:t>
      </w:r>
      <w:proofErr w:type="spellStart"/>
      <w:r w:rsidRPr="00951C18">
        <w:rPr>
          <w:rFonts w:ascii="Times New Roman" w:eastAsia="Times New Roman" w:hAnsi="Times New Roman" w:cs="Times New Roman"/>
          <w:kern w:val="0"/>
          <w:lang w:val="en-US"/>
          <w14:ligatures w14:val="none"/>
        </w:rPr>
        <w:t>Barje</w:t>
      </w:r>
      <w:proofErr w:type="spellEnd"/>
      <w:r w:rsidRPr="00951C18">
        <w:rPr>
          <w:rFonts w:ascii="Times New Roman" w:eastAsia="Times New Roman" w:hAnsi="Times New Roman" w:cs="Times New Roman"/>
          <w:kern w:val="0"/>
          <w:lang w:val="en-US"/>
          <w14:ligatures w14:val="none"/>
        </w:rPr>
        <w:t xml:space="preserve">, P. P., </w:t>
      </w:r>
      <w:proofErr w:type="spellStart"/>
      <w:r w:rsidRPr="00951C18">
        <w:rPr>
          <w:rFonts w:ascii="Times New Roman" w:eastAsia="Times New Roman" w:hAnsi="Times New Roman" w:cs="Times New Roman"/>
          <w:kern w:val="0"/>
          <w:lang w:val="en-US"/>
          <w14:ligatures w14:val="none"/>
        </w:rPr>
        <w:t>Nwagu</w:t>
      </w:r>
      <w:proofErr w:type="spellEnd"/>
      <w:r w:rsidRPr="00951C18">
        <w:rPr>
          <w:rFonts w:ascii="Times New Roman" w:eastAsia="Times New Roman" w:hAnsi="Times New Roman" w:cs="Times New Roman"/>
          <w:kern w:val="0"/>
          <w:lang w:val="en-US"/>
          <w14:ligatures w14:val="none"/>
        </w:rPr>
        <w:t xml:space="preserve">, B. I., </w:t>
      </w:r>
      <w:proofErr w:type="spellStart"/>
      <w:r w:rsidRPr="00951C18">
        <w:rPr>
          <w:rFonts w:ascii="Times New Roman" w:eastAsia="Times New Roman" w:hAnsi="Times New Roman" w:cs="Times New Roman"/>
          <w:kern w:val="0"/>
          <w:lang w:val="en-US"/>
          <w14:ligatures w14:val="none"/>
        </w:rPr>
        <w:t>Orunmuyi</w:t>
      </w:r>
      <w:proofErr w:type="spellEnd"/>
      <w:r w:rsidRPr="00951C18">
        <w:rPr>
          <w:rFonts w:ascii="Times New Roman" w:eastAsia="Times New Roman" w:hAnsi="Times New Roman" w:cs="Times New Roman"/>
          <w:kern w:val="0"/>
          <w:lang w:val="en-US"/>
          <w14:ligatures w14:val="none"/>
        </w:rPr>
        <w:t xml:space="preserve">, M., Sam, I. M., &amp; Achi, N. P. (2017). Sexual dimorphism in morphological characteristics of two Nigerian indigenous goat breeds. </w:t>
      </w:r>
      <w:r w:rsidRPr="00951C18">
        <w:rPr>
          <w:rFonts w:ascii="Times New Roman" w:eastAsia="Times New Roman" w:hAnsi="Times New Roman" w:cs="Times New Roman"/>
          <w:i/>
          <w:iCs/>
          <w:kern w:val="0"/>
          <w:lang w:val="en-US"/>
          <w14:ligatures w14:val="none"/>
        </w:rPr>
        <w:t>Nigerian Journal of Animal Production, 44</w:t>
      </w:r>
      <w:r w:rsidRPr="00951C18">
        <w:rPr>
          <w:rFonts w:ascii="Times New Roman" w:eastAsia="Times New Roman" w:hAnsi="Times New Roman" w:cs="Times New Roman"/>
          <w:kern w:val="0"/>
          <w:lang w:val="en-US"/>
          <w14:ligatures w14:val="none"/>
        </w:rPr>
        <w:t xml:space="preserve">(5), 1–4. </w:t>
      </w:r>
      <w:hyperlink r:id="rId7" w:history="1">
        <w:r w:rsidRPr="00951C18">
          <w:rPr>
            <w:rFonts w:ascii="Times New Roman" w:eastAsia="Times New Roman" w:hAnsi="Times New Roman" w:cs="Times New Roman"/>
            <w:color w:val="0000FF"/>
            <w:kern w:val="0"/>
            <w:u w:val="single"/>
            <w:lang w:val="en-US"/>
            <w14:ligatures w14:val="none"/>
          </w:rPr>
          <w:t>https://doi.org/10.51791/njap.v44i5.1341</w:t>
        </w:r>
      </w:hyperlink>
    </w:p>
    <w:p w14:paraId="1F4F2B69" w14:textId="77777777" w:rsidR="00991431" w:rsidRPr="00951C18" w:rsidRDefault="00000000">
      <w:pPr>
        <w:spacing w:before="100" w:after="100" w:line="240" w:lineRule="auto"/>
        <w:ind w:left="540" w:hanging="540"/>
        <w:jc w:val="both"/>
      </w:pPr>
      <w:r w:rsidRPr="00951C18">
        <w:rPr>
          <w:rFonts w:ascii="Times New Roman" w:hAnsi="Times New Roman"/>
          <w:b/>
        </w:rPr>
        <w:t>Atta, A., Khan, M. I.-u.-R., Rehman, A., &amp; Ashraf, K. (2026). Understanding goat production systems in diverse agro-ecological zones under subtropical climate: A farmer-centered survey approach. International Journal of Biometeorology, 70, 176. https://doi.org/10.1007/s00484-026-03221-5</w:t>
      </w:r>
    </w:p>
    <w:p w14:paraId="3B4119EF"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Bagri, D. K., Gupta, L., </w:t>
      </w:r>
      <w:proofErr w:type="spellStart"/>
      <w:r w:rsidRPr="00951C18">
        <w:rPr>
          <w:rFonts w:ascii="Times New Roman" w:eastAsia="Times New Roman" w:hAnsi="Times New Roman" w:cs="Times New Roman"/>
          <w:kern w:val="0"/>
          <w:lang w:val="en-US"/>
          <w14:ligatures w14:val="none"/>
        </w:rPr>
        <w:t>Jingar</w:t>
      </w:r>
      <w:proofErr w:type="spellEnd"/>
      <w:r w:rsidRPr="00951C18">
        <w:rPr>
          <w:rFonts w:ascii="Times New Roman" w:eastAsia="Times New Roman" w:hAnsi="Times New Roman" w:cs="Times New Roman"/>
          <w:kern w:val="0"/>
          <w:lang w:val="en-US"/>
          <w14:ligatures w14:val="none"/>
        </w:rPr>
        <w:t xml:space="preserve">, S. C., Goswami, D. S., &amp; Bagdi, D. L. (2022). Economic characteristic of </w:t>
      </w:r>
      <w:proofErr w:type="spellStart"/>
      <w:r w:rsidRPr="00951C18">
        <w:rPr>
          <w:rFonts w:ascii="Times New Roman" w:eastAsia="Times New Roman" w:hAnsi="Times New Roman" w:cs="Times New Roman"/>
          <w:kern w:val="0"/>
          <w:lang w:val="en-US"/>
          <w14:ligatures w14:val="none"/>
        </w:rPr>
        <w:t>Sojat</w:t>
      </w:r>
      <w:proofErr w:type="spellEnd"/>
      <w:r w:rsidRPr="00951C18">
        <w:rPr>
          <w:rFonts w:ascii="Times New Roman" w:eastAsia="Times New Roman" w:hAnsi="Times New Roman" w:cs="Times New Roman"/>
          <w:kern w:val="0"/>
          <w:lang w:val="en-US"/>
          <w14:ligatures w14:val="none"/>
        </w:rPr>
        <w:t xml:space="preserve"> goat </w:t>
      </w:r>
      <w:proofErr w:type="spellStart"/>
      <w:r w:rsidRPr="00951C18">
        <w:rPr>
          <w:rFonts w:ascii="Times New Roman" w:eastAsia="Times New Roman" w:hAnsi="Times New Roman" w:cs="Times New Roman"/>
          <w:kern w:val="0"/>
          <w:lang w:val="en-US"/>
          <w14:ligatures w14:val="none"/>
        </w:rPr>
        <w:t>rearers</w:t>
      </w:r>
      <w:proofErr w:type="spellEnd"/>
      <w:r w:rsidRPr="00951C18">
        <w:rPr>
          <w:rFonts w:ascii="Times New Roman" w:eastAsia="Times New Roman" w:hAnsi="Times New Roman" w:cs="Times New Roman"/>
          <w:kern w:val="0"/>
          <w:lang w:val="en-US"/>
          <w14:ligatures w14:val="none"/>
        </w:rPr>
        <w:t xml:space="preserve"> in Rajasthan. </w:t>
      </w:r>
      <w:r w:rsidRPr="00951C18">
        <w:rPr>
          <w:rFonts w:ascii="Times New Roman" w:eastAsia="Times New Roman" w:hAnsi="Times New Roman" w:cs="Times New Roman"/>
          <w:i/>
          <w:iCs/>
          <w:kern w:val="0"/>
          <w:lang w:val="en-US"/>
          <w14:ligatures w14:val="none"/>
        </w:rPr>
        <w:t>The Pharma Innovation Journal, 11</w:t>
      </w:r>
      <w:r w:rsidRPr="00951C18">
        <w:rPr>
          <w:rFonts w:ascii="Times New Roman" w:eastAsia="Times New Roman" w:hAnsi="Times New Roman" w:cs="Times New Roman"/>
          <w:kern w:val="0"/>
          <w:lang w:val="en-US"/>
          <w14:ligatures w14:val="none"/>
        </w:rPr>
        <w:t xml:space="preserve">(2S), 854–857. </w:t>
      </w:r>
      <w:hyperlink r:id="rId8" w:history="1">
        <w:r w:rsidRPr="00951C18">
          <w:rPr>
            <w:rFonts w:ascii="Times New Roman" w:eastAsia="Times New Roman" w:hAnsi="Times New Roman" w:cs="Times New Roman"/>
            <w:color w:val="0000FF"/>
            <w:kern w:val="0"/>
            <w:u w:val="single"/>
            <w:lang w:val="en-US"/>
            <w14:ligatures w14:val="none"/>
          </w:rPr>
          <w:t>https://www.thepharmajournal.com/special-issue?ArticleId=10820&amp;issue=2S&amp;vol=11&amp;year=2022</w:t>
        </w:r>
      </w:hyperlink>
    </w:p>
    <w:p w14:paraId="4B8CC7E8" w14:textId="77777777" w:rsidR="00991431" w:rsidRPr="00951C18" w:rsidRDefault="00000000">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t xml:space="preserve">Bagri, D. K., Gupta, L., Goswami, D. S., &amp; Bagdi, D. L. (2024). Breeding management practices adopted by Sojat goat rearers in Rajasthan. </w:t>
      </w:r>
      <w:r w:rsidRPr="00951C18">
        <w:rPr>
          <w:i/>
          <w:iCs/>
        </w:rPr>
        <w:t>International Journal of Advanced Biochemistry Research, 8</w:t>
      </w:r>
      <w:r w:rsidRPr="00951C18">
        <w:t>(5S), 45–48. https://doi.org/10.33545/26174693.2024.v8.i5Sa.1117</w:t>
      </w:r>
    </w:p>
    <w:p w14:paraId="72DDE033"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Bhuarya, S., Mukherjee, K., Singh, M., &amp; Parveen, K. (2014). Characterization of local goats of Chhattisgarh plains. </w:t>
      </w:r>
      <w:r w:rsidRPr="00951C18">
        <w:rPr>
          <w:rFonts w:ascii="Times New Roman" w:eastAsia="Times New Roman" w:hAnsi="Times New Roman" w:cs="Times New Roman"/>
          <w:i/>
          <w:iCs/>
          <w:kern w:val="0"/>
          <w:lang w:val="en-US"/>
          <w14:ligatures w14:val="none"/>
        </w:rPr>
        <w:t>The Indian Journal of Animal Sciences, 84</w:t>
      </w:r>
      <w:r w:rsidRPr="00951C18">
        <w:rPr>
          <w:rFonts w:ascii="Times New Roman" w:eastAsia="Times New Roman" w:hAnsi="Times New Roman" w:cs="Times New Roman"/>
          <w:kern w:val="0"/>
          <w:lang w:val="en-US"/>
          <w14:ligatures w14:val="none"/>
        </w:rPr>
        <w:t xml:space="preserve">(10), 1080–1084. </w:t>
      </w:r>
      <w:hyperlink r:id="rId9" w:history="1">
        <w:r w:rsidRPr="00951C18">
          <w:rPr>
            <w:rFonts w:ascii="Times New Roman" w:eastAsia="Times New Roman" w:hAnsi="Times New Roman" w:cs="Times New Roman"/>
            <w:color w:val="0000FF"/>
            <w:kern w:val="0"/>
            <w:u w:val="single"/>
            <w:lang w:val="en-US"/>
            <w14:ligatures w14:val="none"/>
          </w:rPr>
          <w:t>https://doi.org/10.56093/ijans.v84i10.44267</w:t>
        </w:r>
      </w:hyperlink>
    </w:p>
    <w:p w14:paraId="44EF0B53" w14:textId="77777777" w:rsidR="005F3858" w:rsidRPr="00951C18" w:rsidRDefault="005F3858" w:rsidP="00125A38">
      <w:pPr>
        <w:spacing w:before="100" w:after="100" w:line="240" w:lineRule="auto"/>
        <w:ind w:left="540" w:hanging="540"/>
        <w:jc w:val="both"/>
        <w:rPr>
          <w:rFonts w:ascii="Times New Roman" w:hAnsi="Times New Roman" w:cs="Times New Roman"/>
        </w:rPr>
      </w:pPr>
      <w:r w:rsidRPr="00951C18">
        <w:rPr>
          <w:rFonts w:ascii="Times New Roman" w:hAnsi="Times New Roman"/>
          <w:b/>
        </w:rPr>
        <w:lastRenderedPageBreak/>
        <w:t>Chaudhari, J. D., Gupta, J. P., Purohit, P. B., &amp; Srivastava, A. K. (2025). Estimation of variability in body morphometric measurements using principal component analysis in Mehsana goats. Advances in Research, 26(4), 433–440. https://doi.org/10.9734/air/2025/v26i41423</w:t>
      </w:r>
    </w:p>
    <w:p w14:paraId="2192404D"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Chouhan, H., Gahlot, G. C., Agrawal, V. K., &amp; Meena, S. (2020). Phenotypic characterization of Marwari goats under field conditions. </w:t>
      </w:r>
      <w:r w:rsidRPr="00951C18">
        <w:rPr>
          <w:rFonts w:ascii="Times New Roman" w:eastAsia="Times New Roman" w:hAnsi="Times New Roman" w:cs="Times New Roman"/>
          <w:i/>
          <w:iCs/>
          <w:kern w:val="0"/>
          <w:lang w:val="en-US"/>
          <w14:ligatures w14:val="none"/>
        </w:rPr>
        <w:t>International Journal of Current Microbiology and Applied Sciences, 9</w:t>
      </w:r>
      <w:r w:rsidRPr="00951C18">
        <w:rPr>
          <w:rFonts w:ascii="Times New Roman" w:eastAsia="Times New Roman" w:hAnsi="Times New Roman" w:cs="Times New Roman"/>
          <w:kern w:val="0"/>
          <w:lang w:val="en-US"/>
          <w14:ligatures w14:val="none"/>
        </w:rPr>
        <w:t xml:space="preserve">(6), 1868–1876. </w:t>
      </w:r>
      <w:hyperlink r:id="rId10" w:history="1">
        <w:r w:rsidRPr="00951C18">
          <w:rPr>
            <w:rFonts w:ascii="Times New Roman" w:eastAsia="Times New Roman" w:hAnsi="Times New Roman" w:cs="Times New Roman"/>
            <w:color w:val="0000FF"/>
            <w:kern w:val="0"/>
            <w:u w:val="single"/>
            <w:lang w:val="en-US"/>
            <w14:ligatures w14:val="none"/>
          </w:rPr>
          <w:t>https://doi.org/10.20546/ijcmas.2020.906.232</w:t>
        </w:r>
      </w:hyperlink>
    </w:p>
    <w:p w14:paraId="02B998F3"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Deshpande, S. B., </w:t>
      </w:r>
      <w:proofErr w:type="spellStart"/>
      <w:r w:rsidRPr="00951C18">
        <w:rPr>
          <w:rFonts w:ascii="Times New Roman" w:eastAsia="Times New Roman" w:hAnsi="Times New Roman" w:cs="Times New Roman"/>
          <w:kern w:val="0"/>
          <w:lang w:val="en-US"/>
          <w14:ligatures w14:val="none"/>
        </w:rPr>
        <w:t>Sabapara</w:t>
      </w:r>
      <w:proofErr w:type="spellEnd"/>
      <w:r w:rsidRPr="00951C18">
        <w:rPr>
          <w:rFonts w:ascii="Times New Roman" w:eastAsia="Times New Roman" w:hAnsi="Times New Roman" w:cs="Times New Roman"/>
          <w:kern w:val="0"/>
          <w:lang w:val="en-US"/>
          <w14:ligatures w14:val="none"/>
        </w:rPr>
        <w:t xml:space="preserve">, G. P., Malik, P. K., Sadana, D. K., Singh, P. K., Singh, G., &amp; Joshi, B. K. (2010). Morpho-metric characteristics of Surti goats and socio-economic status of Surti goat keepers. </w:t>
      </w:r>
      <w:r w:rsidRPr="00951C18">
        <w:rPr>
          <w:rFonts w:ascii="Times New Roman" w:eastAsia="Times New Roman" w:hAnsi="Times New Roman" w:cs="Times New Roman"/>
          <w:i/>
          <w:iCs/>
          <w:kern w:val="0"/>
          <w:lang w:val="en-US"/>
          <w14:ligatures w14:val="none"/>
        </w:rPr>
        <w:t>The Indian Journal of Animal Sciences, 80</w:t>
      </w:r>
      <w:r w:rsidRPr="00951C18">
        <w:rPr>
          <w:rFonts w:ascii="Times New Roman" w:eastAsia="Times New Roman" w:hAnsi="Times New Roman" w:cs="Times New Roman"/>
          <w:kern w:val="0"/>
          <w:lang w:val="en-US"/>
          <w14:ligatures w14:val="none"/>
        </w:rPr>
        <w:t xml:space="preserve">(6), 575–577. </w:t>
      </w:r>
      <w:hyperlink r:id="rId11" w:history="1">
        <w:r w:rsidRPr="00951C18">
          <w:rPr>
            <w:rFonts w:ascii="Times New Roman" w:eastAsia="Times New Roman" w:hAnsi="Times New Roman" w:cs="Times New Roman"/>
            <w:color w:val="0000FF"/>
            <w:kern w:val="0"/>
            <w:u w:val="single"/>
            <w:lang w:val="en-US"/>
            <w14:ligatures w14:val="none"/>
          </w:rPr>
          <w:t>https://epubs.icar.org.in/index.php/IJAnS/article/view/58</w:t>
        </w:r>
      </w:hyperlink>
    </w:p>
    <w:p w14:paraId="252D66FD"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Dixit, A. K., &amp; Singh, M. K. (2014). Economic analysis of goat rearing under field conditions of Bundelkhand region. </w:t>
      </w:r>
      <w:r w:rsidRPr="00951C18">
        <w:rPr>
          <w:rFonts w:ascii="Times New Roman" w:eastAsia="Times New Roman" w:hAnsi="Times New Roman" w:cs="Times New Roman"/>
          <w:i/>
          <w:iCs/>
          <w:kern w:val="0"/>
          <w:lang w:val="en-US"/>
          <w14:ligatures w14:val="none"/>
        </w:rPr>
        <w:t>The Indian Journal of Small Ruminants, 20</w:t>
      </w:r>
      <w:r w:rsidRPr="00951C18">
        <w:rPr>
          <w:rFonts w:ascii="Times New Roman" w:eastAsia="Times New Roman" w:hAnsi="Times New Roman" w:cs="Times New Roman"/>
          <w:kern w:val="0"/>
          <w:lang w:val="en-US"/>
          <w14:ligatures w14:val="none"/>
        </w:rPr>
        <w:t xml:space="preserve">(2), 165–168. </w:t>
      </w:r>
    </w:p>
    <w:p w14:paraId="59D4C10B" w14:textId="77777777" w:rsidR="00991431" w:rsidRPr="00951C18" w:rsidRDefault="00000000">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t xml:space="preserve">Food and Agriculture Organization of the United Nations. (1990). </w:t>
      </w:r>
      <w:r w:rsidRPr="00951C18">
        <w:rPr>
          <w:i/>
          <w:iCs/>
        </w:rPr>
        <w:t>Animal genetic resources: A global programme for sustainable development</w:t>
      </w:r>
      <w:r w:rsidRPr="00951C18">
        <w:t xml:space="preserve"> (FAO Animal Production and Health Paper No. 80). https://www.fao.org/4/t0284e/t0284e00.htm</w:t>
      </w:r>
    </w:p>
    <w:p w14:paraId="51FE9844"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Gupta, L., Yadav, C. M., Mishra, S., </w:t>
      </w:r>
      <w:proofErr w:type="spellStart"/>
      <w:r w:rsidRPr="00951C18">
        <w:rPr>
          <w:rFonts w:ascii="Times New Roman" w:eastAsia="Times New Roman" w:hAnsi="Times New Roman" w:cs="Times New Roman"/>
          <w:kern w:val="0"/>
          <w:lang w:val="en-US"/>
          <w14:ligatures w14:val="none"/>
        </w:rPr>
        <w:t>Jingar</w:t>
      </w:r>
      <w:proofErr w:type="spellEnd"/>
      <w:r w:rsidRPr="00951C18">
        <w:rPr>
          <w:rFonts w:ascii="Times New Roman" w:eastAsia="Times New Roman" w:hAnsi="Times New Roman" w:cs="Times New Roman"/>
          <w:kern w:val="0"/>
          <w:lang w:val="en-US"/>
          <w14:ligatures w14:val="none"/>
        </w:rPr>
        <w:t xml:space="preserve">, S. C., &amp; </w:t>
      </w:r>
      <w:proofErr w:type="spellStart"/>
      <w:r w:rsidRPr="00951C18">
        <w:rPr>
          <w:rFonts w:ascii="Times New Roman" w:eastAsia="Times New Roman" w:hAnsi="Times New Roman" w:cs="Times New Roman"/>
          <w:kern w:val="0"/>
          <w:lang w:val="en-US"/>
          <w14:ligatures w14:val="none"/>
        </w:rPr>
        <w:t>Bugalia</w:t>
      </w:r>
      <w:proofErr w:type="spellEnd"/>
      <w:r w:rsidRPr="00951C18">
        <w:rPr>
          <w:rFonts w:ascii="Times New Roman" w:eastAsia="Times New Roman" w:hAnsi="Times New Roman" w:cs="Times New Roman"/>
          <w:kern w:val="0"/>
          <w:lang w:val="en-US"/>
          <w14:ligatures w14:val="none"/>
        </w:rPr>
        <w:t xml:space="preserve">, H. L. (2021). Performance of growth pattern of </w:t>
      </w:r>
      <w:proofErr w:type="spellStart"/>
      <w:r w:rsidRPr="00951C18">
        <w:rPr>
          <w:rFonts w:ascii="Times New Roman" w:eastAsia="Times New Roman" w:hAnsi="Times New Roman" w:cs="Times New Roman"/>
          <w:kern w:val="0"/>
          <w:lang w:val="en-US"/>
          <w14:ligatures w14:val="none"/>
        </w:rPr>
        <w:t>Sojat</w:t>
      </w:r>
      <w:proofErr w:type="spellEnd"/>
      <w:r w:rsidRPr="00951C18">
        <w:rPr>
          <w:rFonts w:ascii="Times New Roman" w:eastAsia="Times New Roman" w:hAnsi="Times New Roman" w:cs="Times New Roman"/>
          <w:kern w:val="0"/>
          <w:lang w:val="en-US"/>
          <w14:ligatures w14:val="none"/>
        </w:rPr>
        <w:t xml:space="preserve"> goat in their native tract. </w:t>
      </w:r>
      <w:r w:rsidRPr="00951C18">
        <w:rPr>
          <w:rFonts w:ascii="Times New Roman" w:eastAsia="Times New Roman" w:hAnsi="Times New Roman" w:cs="Times New Roman"/>
          <w:i/>
          <w:iCs/>
          <w:kern w:val="0"/>
          <w:lang w:val="en-US"/>
          <w14:ligatures w14:val="none"/>
        </w:rPr>
        <w:t>International Journal of Current Microbiology and Applied Sciences, 10</w:t>
      </w:r>
      <w:r w:rsidRPr="00951C18">
        <w:rPr>
          <w:rFonts w:ascii="Times New Roman" w:eastAsia="Times New Roman" w:hAnsi="Times New Roman" w:cs="Times New Roman"/>
          <w:kern w:val="0"/>
          <w:lang w:val="en-US"/>
          <w14:ligatures w14:val="none"/>
        </w:rPr>
        <w:t xml:space="preserve">(3), 2024–2029. </w:t>
      </w:r>
      <w:hyperlink r:id="rId12" w:history="1">
        <w:r w:rsidRPr="00951C18">
          <w:rPr>
            <w:rFonts w:ascii="Times New Roman" w:eastAsia="Times New Roman" w:hAnsi="Times New Roman" w:cs="Times New Roman"/>
            <w:color w:val="0000FF"/>
            <w:kern w:val="0"/>
            <w:u w:val="single"/>
            <w:lang w:val="en-US"/>
            <w14:ligatures w14:val="none"/>
          </w:rPr>
          <w:t>https://doi.org/10.20546/ijcmas.2021.1003.258</w:t>
        </w:r>
      </w:hyperlink>
    </w:p>
    <w:p w14:paraId="2F24374E" w14:textId="77777777" w:rsidR="00991431" w:rsidRPr="00951C18" w:rsidRDefault="00000000">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t xml:space="preserve">Gurjar, M. L., Siyak, S., &amp; Kumar, R. (2021). Socio-economic profile and management practices followed by the Sojat goat owners in the Marwar region of the Rajasthan under characterization of Sojat goat project. </w:t>
      </w:r>
      <w:r w:rsidRPr="00951C18">
        <w:rPr>
          <w:i/>
          <w:iCs/>
        </w:rPr>
        <w:t>The Pharma Innovation Journal, 10</w:t>
      </w:r>
      <w:r w:rsidRPr="00951C18">
        <w:t>(4S), 144–151. https://www.thepharmajournal.com/special-issue?ArticleId=6008&amp;issue=4S&amp;vol=10&amp;year=2021</w:t>
      </w:r>
    </w:p>
    <w:p w14:paraId="1B6A7392" w14:textId="77777777" w:rsidR="00991431" w:rsidRPr="00951C18" w:rsidRDefault="00000000">
      <w:pPr>
        <w:spacing w:before="100" w:after="100" w:line="240" w:lineRule="auto"/>
        <w:ind w:left="540" w:hanging="540"/>
        <w:jc w:val="both"/>
      </w:pPr>
      <w:r w:rsidRPr="00951C18">
        <w:rPr>
          <w:rFonts w:ascii="Times New Roman" w:hAnsi="Times New Roman"/>
          <w:b/>
        </w:rPr>
        <w:t>Karna, D. K., Mishra, C., Dash, S. K., Acharya, A. P., Panda, S., &amp; Chinnareddyvari, C. S. (2024). Exploring body morphometry and weight prediction in Ganjam goats in India through principal component analysis. Tropical Animal Health and Production, 56, 298. https://doi.org/10.1007/s11250-024-04114-8</w:t>
      </w:r>
    </w:p>
    <w:p w14:paraId="5DE05F69"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Koli, R. T., &amp; Koli, S. R. (2016). Study of relationship between personal, situational, psychological and socio-economical characteristics with adoption of goat farming technology by the goat keepers. </w:t>
      </w:r>
      <w:r w:rsidRPr="00951C18">
        <w:rPr>
          <w:rFonts w:ascii="Times New Roman" w:eastAsia="Times New Roman" w:hAnsi="Times New Roman" w:cs="Times New Roman"/>
          <w:i/>
          <w:iCs/>
          <w:kern w:val="0"/>
          <w:lang w:val="en-US"/>
          <w14:ligatures w14:val="none"/>
        </w:rPr>
        <w:t>Research Journal of Animal Husbandry and Dairy Science, 7</w:t>
      </w:r>
      <w:r w:rsidRPr="00951C18">
        <w:rPr>
          <w:rFonts w:ascii="Times New Roman" w:eastAsia="Times New Roman" w:hAnsi="Times New Roman" w:cs="Times New Roman"/>
          <w:kern w:val="0"/>
          <w:lang w:val="en-US"/>
          <w14:ligatures w14:val="none"/>
        </w:rPr>
        <w:t xml:space="preserve">(1), 11–15. </w:t>
      </w:r>
      <w:hyperlink r:id="rId13" w:history="1">
        <w:r w:rsidRPr="00951C18">
          <w:rPr>
            <w:rFonts w:ascii="Times New Roman" w:eastAsia="Times New Roman" w:hAnsi="Times New Roman" w:cs="Times New Roman"/>
            <w:color w:val="0000FF"/>
            <w:kern w:val="0"/>
            <w:u w:val="single"/>
            <w:lang w:val="en-US"/>
            <w14:ligatures w14:val="none"/>
          </w:rPr>
          <w:t>https://doi.org/10.15740/HAS/RJAHDS/7.1/11-15</w:t>
        </w:r>
      </w:hyperlink>
    </w:p>
    <w:p w14:paraId="03B921E7"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Kumar, R., Singh, B. P., Kumar, V., Maousami, &amp; Bharti, P. K. (2017). Constraints faced by goat farmers in adoption of scientific health technologies. </w:t>
      </w:r>
      <w:r w:rsidRPr="00951C18">
        <w:rPr>
          <w:rFonts w:ascii="Times New Roman" w:eastAsia="Times New Roman" w:hAnsi="Times New Roman" w:cs="Times New Roman"/>
          <w:i/>
          <w:iCs/>
          <w:kern w:val="0"/>
          <w:lang w:val="en-US"/>
          <w14:ligatures w14:val="none"/>
        </w:rPr>
        <w:t>International Journal of Livestock Research, 7</w:t>
      </w:r>
      <w:r w:rsidRPr="00951C18">
        <w:rPr>
          <w:rFonts w:ascii="Times New Roman" w:eastAsia="Times New Roman" w:hAnsi="Times New Roman" w:cs="Times New Roman"/>
          <w:kern w:val="0"/>
          <w:lang w:val="en-US"/>
          <w14:ligatures w14:val="none"/>
        </w:rPr>
        <w:t xml:space="preserve">(6), 238–244. </w:t>
      </w:r>
      <w:hyperlink r:id="rId14" w:history="1">
        <w:r w:rsidRPr="00951C18">
          <w:rPr>
            <w:rFonts w:ascii="Times New Roman" w:eastAsia="Times New Roman" w:hAnsi="Times New Roman" w:cs="Times New Roman"/>
            <w:color w:val="0000FF"/>
            <w:kern w:val="0"/>
            <w:u w:val="single"/>
            <w:lang w:val="en-US"/>
            <w14:ligatures w14:val="none"/>
          </w:rPr>
          <w:t>https://doi.org/10.5455/ijlr.20170423032034</w:t>
        </w:r>
      </w:hyperlink>
    </w:p>
    <w:p w14:paraId="70565DD4"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Kumar, R. D., Sangameswaran, R., Selvaraju, M., Arunachalam, K., </w:t>
      </w:r>
      <w:proofErr w:type="spellStart"/>
      <w:r w:rsidRPr="00951C18">
        <w:rPr>
          <w:rFonts w:ascii="Times New Roman" w:eastAsia="Times New Roman" w:hAnsi="Times New Roman" w:cs="Times New Roman"/>
          <w:kern w:val="0"/>
          <w:lang w:val="en-US"/>
          <w14:ligatures w14:val="none"/>
        </w:rPr>
        <w:t>Periyannan</w:t>
      </w:r>
      <w:proofErr w:type="spellEnd"/>
      <w:r w:rsidRPr="00951C18">
        <w:rPr>
          <w:rFonts w:ascii="Times New Roman" w:eastAsia="Times New Roman" w:hAnsi="Times New Roman" w:cs="Times New Roman"/>
          <w:kern w:val="0"/>
          <w:lang w:val="en-US"/>
          <w14:ligatures w14:val="none"/>
        </w:rPr>
        <w:t xml:space="preserve">, M., &amp; Gopi, M. (2021). Management practices of sheep and goat farmers in Karur district of Tamil Nadu. </w:t>
      </w:r>
      <w:r w:rsidRPr="00951C18">
        <w:rPr>
          <w:rFonts w:ascii="Times New Roman" w:eastAsia="Times New Roman" w:hAnsi="Times New Roman" w:cs="Times New Roman"/>
          <w:i/>
          <w:iCs/>
          <w:kern w:val="0"/>
          <w:lang w:val="en-US"/>
          <w14:ligatures w14:val="none"/>
        </w:rPr>
        <w:t>The Pharma Innovation Journal, 10</w:t>
      </w:r>
      <w:r w:rsidRPr="00951C18">
        <w:rPr>
          <w:rFonts w:ascii="Times New Roman" w:eastAsia="Times New Roman" w:hAnsi="Times New Roman" w:cs="Times New Roman"/>
          <w:kern w:val="0"/>
          <w:lang w:val="en-US"/>
          <w14:ligatures w14:val="none"/>
        </w:rPr>
        <w:t xml:space="preserve">(6S), 177–181. </w:t>
      </w:r>
      <w:hyperlink r:id="rId15" w:history="1">
        <w:r w:rsidRPr="00951C18">
          <w:rPr>
            <w:rFonts w:ascii="Times New Roman" w:eastAsia="Times New Roman" w:hAnsi="Times New Roman" w:cs="Times New Roman"/>
            <w:color w:val="0000FF"/>
            <w:kern w:val="0"/>
            <w:u w:val="single"/>
            <w:lang w:val="en-US"/>
            <w14:ligatures w14:val="none"/>
          </w:rPr>
          <w:t>https://www.thepharmajournal.com/special-issue?ArticleId=6567&amp;issue=6S&amp;vol=10&amp;year=2021</w:t>
        </w:r>
      </w:hyperlink>
    </w:p>
    <w:p w14:paraId="3C5A6FB9"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Mallikarjuna, R., </w:t>
      </w:r>
      <w:proofErr w:type="spellStart"/>
      <w:r w:rsidRPr="00951C18">
        <w:rPr>
          <w:rFonts w:ascii="Times New Roman" w:eastAsia="Times New Roman" w:hAnsi="Times New Roman" w:cs="Times New Roman"/>
          <w:kern w:val="0"/>
          <w:lang w:val="en-US"/>
          <w14:ligatures w14:val="none"/>
        </w:rPr>
        <w:t>Rajaganapathy</w:t>
      </w:r>
      <w:proofErr w:type="spellEnd"/>
      <w:r w:rsidRPr="00951C18">
        <w:rPr>
          <w:rFonts w:ascii="Times New Roman" w:eastAsia="Times New Roman" w:hAnsi="Times New Roman" w:cs="Times New Roman"/>
          <w:kern w:val="0"/>
          <w:lang w:val="en-US"/>
          <w14:ligatures w14:val="none"/>
        </w:rPr>
        <w:t xml:space="preserve">, V., Ganesan, R., </w:t>
      </w:r>
      <w:proofErr w:type="spellStart"/>
      <w:r w:rsidRPr="00951C18">
        <w:rPr>
          <w:rFonts w:ascii="Times New Roman" w:eastAsia="Times New Roman" w:hAnsi="Times New Roman" w:cs="Times New Roman"/>
          <w:kern w:val="0"/>
          <w:lang w:val="en-US"/>
          <w14:ligatures w14:val="none"/>
        </w:rPr>
        <w:t>Ponnuvel</w:t>
      </w:r>
      <w:proofErr w:type="spellEnd"/>
      <w:r w:rsidRPr="00951C18">
        <w:rPr>
          <w:rFonts w:ascii="Times New Roman" w:eastAsia="Times New Roman" w:hAnsi="Times New Roman" w:cs="Times New Roman"/>
          <w:kern w:val="0"/>
          <w:lang w:val="en-US"/>
          <w14:ligatures w14:val="none"/>
        </w:rPr>
        <w:t xml:space="preserve">, P., &amp; Sreekumar, D. (2021). Socio-economic profile of goat farmers in Puducherry. </w:t>
      </w:r>
      <w:r w:rsidRPr="00951C18">
        <w:rPr>
          <w:rFonts w:ascii="Times New Roman" w:eastAsia="Times New Roman" w:hAnsi="Times New Roman" w:cs="Times New Roman"/>
          <w:i/>
          <w:iCs/>
          <w:kern w:val="0"/>
          <w:lang w:val="en-US"/>
          <w14:ligatures w14:val="none"/>
        </w:rPr>
        <w:t xml:space="preserve">International Journal of </w:t>
      </w:r>
      <w:r w:rsidRPr="00951C18">
        <w:rPr>
          <w:rFonts w:ascii="Times New Roman" w:eastAsia="Times New Roman" w:hAnsi="Times New Roman" w:cs="Times New Roman"/>
          <w:i/>
          <w:iCs/>
          <w:kern w:val="0"/>
          <w:lang w:val="en-US"/>
          <w14:ligatures w14:val="none"/>
        </w:rPr>
        <w:lastRenderedPageBreak/>
        <w:t>Advanced Research in Biological Sciences, 8</w:t>
      </w:r>
      <w:r w:rsidRPr="00951C18">
        <w:rPr>
          <w:rFonts w:ascii="Times New Roman" w:eastAsia="Times New Roman" w:hAnsi="Times New Roman" w:cs="Times New Roman"/>
          <w:kern w:val="0"/>
          <w:lang w:val="en-US"/>
          <w14:ligatures w14:val="none"/>
        </w:rPr>
        <w:t xml:space="preserve">(5), 138–142. </w:t>
      </w:r>
      <w:hyperlink r:id="rId16" w:history="1">
        <w:r w:rsidRPr="00951C18">
          <w:rPr>
            <w:rFonts w:ascii="Times New Roman" w:eastAsia="Times New Roman" w:hAnsi="Times New Roman" w:cs="Times New Roman"/>
            <w:color w:val="0000FF"/>
            <w:kern w:val="0"/>
            <w:u w:val="single"/>
            <w:lang w:val="en-US"/>
            <w14:ligatures w14:val="none"/>
          </w:rPr>
          <w:t>https://doi.org/10.22192/ijarbs.2021.08.05.013</w:t>
        </w:r>
      </w:hyperlink>
    </w:p>
    <w:p w14:paraId="747CE0A6" w14:textId="77777777" w:rsidR="00991431" w:rsidRPr="00951C18" w:rsidRDefault="00000000">
      <w:pPr>
        <w:spacing w:before="100" w:after="100" w:line="240" w:lineRule="auto"/>
        <w:ind w:left="540" w:hanging="540"/>
        <w:jc w:val="both"/>
      </w:pPr>
      <w:r w:rsidRPr="00951C18">
        <w:rPr>
          <w:rFonts w:ascii="Times New Roman" w:hAnsi="Times New Roman"/>
          <w:b/>
        </w:rPr>
        <w:t>Manobhavan, M., Meenkashi Sundaram, S., Pasupathi, K., &amp; Gunasekaran, S. (2026). Effect of rearing system on growth performance and haematological parameters in Tellicherry crossbred goats. Journal of Biology and Nature, 18(1), 114–120. https://doi.org/10.56557/joban/2026/v18i110205</w:t>
      </w:r>
    </w:p>
    <w:p w14:paraId="75C33557"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Oseni, S. O., &amp; Ajayi, B. A. (2014). Phenotypic characterization and strategies for genetic improvement of WAD goats under backyard systems. </w:t>
      </w:r>
      <w:r w:rsidRPr="00951C18">
        <w:rPr>
          <w:rFonts w:ascii="Times New Roman" w:eastAsia="Times New Roman" w:hAnsi="Times New Roman" w:cs="Times New Roman"/>
          <w:i/>
          <w:iCs/>
          <w:kern w:val="0"/>
          <w:lang w:val="en-US"/>
          <w14:ligatures w14:val="none"/>
        </w:rPr>
        <w:t>Open Journal of Animal Sciences, 4</w:t>
      </w:r>
      <w:r w:rsidRPr="00951C18">
        <w:rPr>
          <w:rFonts w:ascii="Times New Roman" w:eastAsia="Times New Roman" w:hAnsi="Times New Roman" w:cs="Times New Roman"/>
          <w:kern w:val="0"/>
          <w:lang w:val="en-US"/>
          <w14:ligatures w14:val="none"/>
        </w:rPr>
        <w:t xml:space="preserve">(5), 253–262. </w:t>
      </w:r>
      <w:hyperlink r:id="rId17" w:history="1">
        <w:r w:rsidRPr="00951C18">
          <w:rPr>
            <w:rFonts w:ascii="Times New Roman" w:eastAsia="Times New Roman" w:hAnsi="Times New Roman" w:cs="Times New Roman"/>
            <w:color w:val="0000FF"/>
            <w:kern w:val="0"/>
            <w:u w:val="single"/>
            <w:lang w:val="en-US"/>
            <w14:ligatures w14:val="none"/>
          </w:rPr>
          <w:t>https://doi.org/10.4236/ojas.2014.45032</w:t>
        </w:r>
      </w:hyperlink>
    </w:p>
    <w:p w14:paraId="5CE24051"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Parvathi, A. L., Kumari, B. P., Devi, K. S., Reddy, Y. R., &amp; Vinod, U. (2020). Morphological characterization and reproductive performance of indigenous goats of Rayalaseema region of Andhra Pradesh. </w:t>
      </w:r>
      <w:r w:rsidRPr="00951C18">
        <w:rPr>
          <w:rFonts w:ascii="Times New Roman" w:eastAsia="Times New Roman" w:hAnsi="Times New Roman" w:cs="Times New Roman"/>
          <w:i/>
          <w:iCs/>
          <w:kern w:val="0"/>
          <w:lang w:val="en-US"/>
          <w14:ligatures w14:val="none"/>
        </w:rPr>
        <w:t>International Journal of Livestock Research, 10</w:t>
      </w:r>
      <w:r w:rsidRPr="00951C18">
        <w:rPr>
          <w:rFonts w:ascii="Times New Roman" w:eastAsia="Times New Roman" w:hAnsi="Times New Roman" w:cs="Times New Roman"/>
          <w:kern w:val="0"/>
          <w:lang w:val="en-US"/>
          <w14:ligatures w14:val="none"/>
        </w:rPr>
        <w:t xml:space="preserve">(12), 51–60. </w:t>
      </w:r>
      <w:hyperlink r:id="rId18" w:history="1">
        <w:r w:rsidRPr="00951C18">
          <w:rPr>
            <w:rFonts w:ascii="Times New Roman" w:eastAsia="Times New Roman" w:hAnsi="Times New Roman" w:cs="Times New Roman"/>
            <w:color w:val="0000FF"/>
            <w:kern w:val="0"/>
            <w:u w:val="single"/>
            <w:lang w:val="en-US"/>
            <w14:ligatures w14:val="none"/>
          </w:rPr>
          <w:t>https://doi.org/10.5455/ijlr.20201014094740</w:t>
        </w:r>
      </w:hyperlink>
    </w:p>
    <w:p w14:paraId="6ECA4B0D"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51C18">
        <w:rPr>
          <w:rFonts w:ascii="Times New Roman" w:eastAsia="Times New Roman" w:hAnsi="Times New Roman" w:cs="Times New Roman"/>
          <w:kern w:val="0"/>
          <w:lang w:val="en-US"/>
          <w14:ligatures w14:val="none"/>
        </w:rPr>
        <w:t>Paskaš</w:t>
      </w:r>
      <w:proofErr w:type="spellEnd"/>
      <w:r w:rsidRPr="00951C18">
        <w:rPr>
          <w:rFonts w:ascii="Times New Roman" w:eastAsia="Times New Roman" w:hAnsi="Times New Roman" w:cs="Times New Roman"/>
          <w:kern w:val="0"/>
          <w:lang w:val="en-US"/>
          <w14:ligatures w14:val="none"/>
        </w:rPr>
        <w:t xml:space="preserve">, S., </w:t>
      </w:r>
      <w:proofErr w:type="spellStart"/>
      <w:r w:rsidRPr="00951C18">
        <w:rPr>
          <w:rFonts w:ascii="Times New Roman" w:eastAsia="Times New Roman" w:hAnsi="Times New Roman" w:cs="Times New Roman"/>
          <w:kern w:val="0"/>
          <w:lang w:val="en-US"/>
          <w14:ligatures w14:val="none"/>
        </w:rPr>
        <w:t>Miočinović</w:t>
      </w:r>
      <w:proofErr w:type="spellEnd"/>
      <w:r w:rsidRPr="00951C18">
        <w:rPr>
          <w:rFonts w:ascii="Times New Roman" w:eastAsia="Times New Roman" w:hAnsi="Times New Roman" w:cs="Times New Roman"/>
          <w:kern w:val="0"/>
          <w:lang w:val="en-US"/>
          <w14:ligatures w14:val="none"/>
        </w:rPr>
        <w:t xml:space="preserve">, J., Savić, M., </w:t>
      </w:r>
      <w:proofErr w:type="spellStart"/>
      <w:r w:rsidRPr="00951C18">
        <w:rPr>
          <w:rFonts w:ascii="Times New Roman" w:eastAsia="Times New Roman" w:hAnsi="Times New Roman" w:cs="Times New Roman"/>
          <w:kern w:val="0"/>
          <w:lang w:val="en-US"/>
          <w14:ligatures w14:val="none"/>
        </w:rPr>
        <w:t>Vejnović</w:t>
      </w:r>
      <w:proofErr w:type="spellEnd"/>
      <w:r w:rsidRPr="00951C18">
        <w:rPr>
          <w:rFonts w:ascii="Times New Roman" w:eastAsia="Times New Roman" w:hAnsi="Times New Roman" w:cs="Times New Roman"/>
          <w:kern w:val="0"/>
          <w:lang w:val="en-US"/>
          <w14:ligatures w14:val="none"/>
        </w:rPr>
        <w:t xml:space="preserve">, B., &amp; Becskei, Z. (2020). The quality of goat milk and hygiene management practices on farms in Vojvodina. </w:t>
      </w:r>
      <w:r w:rsidRPr="00951C18">
        <w:rPr>
          <w:rFonts w:ascii="Times New Roman" w:eastAsia="Times New Roman" w:hAnsi="Times New Roman" w:cs="Times New Roman"/>
          <w:i/>
          <w:iCs/>
          <w:kern w:val="0"/>
          <w:lang w:val="en-US"/>
          <w14:ligatures w14:val="none"/>
        </w:rPr>
        <w:t>Bulgarian Journal of Agricultural Science, 26</w:t>
      </w:r>
      <w:r w:rsidRPr="00951C18">
        <w:rPr>
          <w:rFonts w:ascii="Times New Roman" w:eastAsia="Times New Roman" w:hAnsi="Times New Roman" w:cs="Times New Roman"/>
          <w:kern w:val="0"/>
          <w:lang w:val="en-US"/>
          <w14:ligatures w14:val="none"/>
        </w:rPr>
        <w:t xml:space="preserve">(5), 1053–1061. </w:t>
      </w:r>
      <w:hyperlink r:id="rId19" w:history="1">
        <w:r w:rsidRPr="00951C18">
          <w:rPr>
            <w:rFonts w:ascii="Times New Roman" w:eastAsia="Times New Roman" w:hAnsi="Times New Roman" w:cs="Times New Roman"/>
            <w:color w:val="0000FF"/>
            <w:kern w:val="0"/>
            <w:u w:val="single"/>
            <w:lang w:val="en-US"/>
            <w14:ligatures w14:val="none"/>
          </w:rPr>
          <w:t>https://agriacad.eu/ojs/index.php/bjas/article/view/2575</w:t>
        </w:r>
      </w:hyperlink>
    </w:p>
    <w:p w14:paraId="61AE1394"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51C18">
        <w:rPr>
          <w:rFonts w:ascii="Times New Roman" w:eastAsia="Times New Roman" w:hAnsi="Times New Roman" w:cs="Times New Roman"/>
          <w:kern w:val="0"/>
          <w:lang w:val="en-US"/>
          <w14:ligatures w14:val="none"/>
        </w:rPr>
        <w:t>Raskar</w:t>
      </w:r>
      <w:proofErr w:type="spellEnd"/>
      <w:r w:rsidRPr="00951C18">
        <w:rPr>
          <w:rFonts w:ascii="Times New Roman" w:eastAsia="Times New Roman" w:hAnsi="Times New Roman" w:cs="Times New Roman"/>
          <w:kern w:val="0"/>
          <w:lang w:val="en-US"/>
          <w14:ligatures w14:val="none"/>
        </w:rPr>
        <w:t xml:space="preserve">, B. R., Chauhan, D. S., &amp; </w:t>
      </w:r>
      <w:proofErr w:type="spellStart"/>
      <w:r w:rsidRPr="00951C18">
        <w:rPr>
          <w:rFonts w:ascii="Times New Roman" w:eastAsia="Times New Roman" w:hAnsi="Times New Roman" w:cs="Times New Roman"/>
          <w:kern w:val="0"/>
          <w:lang w:val="en-US"/>
          <w14:ligatures w14:val="none"/>
        </w:rPr>
        <w:t>Singerwad</w:t>
      </w:r>
      <w:proofErr w:type="spellEnd"/>
      <w:r w:rsidRPr="00951C18">
        <w:rPr>
          <w:rFonts w:ascii="Times New Roman" w:eastAsia="Times New Roman" w:hAnsi="Times New Roman" w:cs="Times New Roman"/>
          <w:kern w:val="0"/>
          <w:lang w:val="en-US"/>
          <w14:ligatures w14:val="none"/>
        </w:rPr>
        <w:t xml:space="preserve">, P. S. (2018). Morphological characterization of </w:t>
      </w:r>
      <w:proofErr w:type="spellStart"/>
      <w:r w:rsidRPr="00951C18">
        <w:rPr>
          <w:rFonts w:ascii="Times New Roman" w:eastAsia="Times New Roman" w:hAnsi="Times New Roman" w:cs="Times New Roman"/>
          <w:kern w:val="0"/>
          <w:lang w:val="en-US"/>
          <w14:ligatures w14:val="none"/>
        </w:rPr>
        <w:t>Osmanabadi</w:t>
      </w:r>
      <w:proofErr w:type="spellEnd"/>
      <w:r w:rsidRPr="00951C18">
        <w:rPr>
          <w:rFonts w:ascii="Times New Roman" w:eastAsia="Times New Roman" w:hAnsi="Times New Roman" w:cs="Times New Roman"/>
          <w:kern w:val="0"/>
          <w:lang w:val="en-US"/>
          <w14:ligatures w14:val="none"/>
        </w:rPr>
        <w:t xml:space="preserve"> goat in its breeding tract. </w:t>
      </w:r>
      <w:r w:rsidRPr="00951C18">
        <w:rPr>
          <w:rFonts w:ascii="Times New Roman" w:eastAsia="Times New Roman" w:hAnsi="Times New Roman" w:cs="Times New Roman"/>
          <w:i/>
          <w:iCs/>
          <w:kern w:val="0"/>
          <w:lang w:val="en-US"/>
          <w14:ligatures w14:val="none"/>
        </w:rPr>
        <w:t>Journal in Science, Agriculture &amp; Engineering</w:t>
      </w:r>
      <w:r w:rsidRPr="00951C18">
        <w:rPr>
          <w:rFonts w:ascii="Times New Roman" w:eastAsia="Times New Roman" w:hAnsi="Times New Roman" w:cs="Times New Roman"/>
          <w:kern w:val="0"/>
          <w:lang w:val="en-US"/>
          <w14:ligatures w14:val="none"/>
        </w:rPr>
        <w:t xml:space="preserve">, 286–291. </w:t>
      </w:r>
      <w:hyperlink r:id="rId20" w:history="1">
        <w:r w:rsidRPr="00951C18">
          <w:rPr>
            <w:rFonts w:ascii="Times New Roman" w:eastAsia="Times New Roman" w:hAnsi="Times New Roman" w:cs="Times New Roman"/>
            <w:color w:val="0000FF"/>
            <w:kern w:val="0"/>
            <w:u w:val="single"/>
            <w:lang w:val="en-US"/>
            <w14:ligatures w14:val="none"/>
          </w:rPr>
          <w:t>https://www.researchgate.net/publication/326369967_MORPHOLOGICAL_CHARACTERIZATION_OF_OSMANABADI_GOAT_IN_ITS_BREEDING_TRACT</w:t>
        </w:r>
      </w:hyperlink>
    </w:p>
    <w:p w14:paraId="6E31F74B"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Rawat, S. K., &amp; Gupta, R. (2016). Phenotypic characteristics of indigenous goat of Bundelkhand. </w:t>
      </w:r>
      <w:r w:rsidRPr="00951C18">
        <w:rPr>
          <w:rFonts w:ascii="Times New Roman" w:eastAsia="Times New Roman" w:hAnsi="Times New Roman" w:cs="Times New Roman"/>
          <w:i/>
          <w:iCs/>
          <w:kern w:val="0"/>
          <w:lang w:val="en-US"/>
          <w14:ligatures w14:val="none"/>
        </w:rPr>
        <w:t>Journal of Animal Research, 6</w:t>
      </w:r>
      <w:r w:rsidRPr="00951C18">
        <w:rPr>
          <w:rFonts w:ascii="Times New Roman" w:eastAsia="Times New Roman" w:hAnsi="Times New Roman" w:cs="Times New Roman"/>
          <w:kern w:val="0"/>
          <w:lang w:val="en-US"/>
          <w14:ligatures w14:val="none"/>
        </w:rPr>
        <w:t xml:space="preserve">(1), 145–150. </w:t>
      </w:r>
      <w:hyperlink r:id="rId21" w:history="1">
        <w:r w:rsidRPr="00951C18">
          <w:rPr>
            <w:rFonts w:ascii="Times New Roman" w:eastAsia="Times New Roman" w:hAnsi="Times New Roman" w:cs="Times New Roman"/>
            <w:color w:val="0000FF"/>
            <w:kern w:val="0"/>
            <w:u w:val="single"/>
            <w:lang w:val="en-US"/>
            <w14:ligatures w14:val="none"/>
          </w:rPr>
          <w:t>https://doi.org/10.5958/2277-940X.2016.00024.3</w:t>
        </w:r>
      </w:hyperlink>
    </w:p>
    <w:p w14:paraId="0DE8F2FB"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Regar, P. C., Kamboj, M. L., Sawant, M., Ojha, S. N., &amp; Roat, B. L. (2019). Housing and management system practiced by tribal farmers in Rajasthan. </w:t>
      </w:r>
      <w:r w:rsidRPr="00951C18">
        <w:rPr>
          <w:rFonts w:ascii="Times New Roman" w:eastAsia="Times New Roman" w:hAnsi="Times New Roman" w:cs="Times New Roman"/>
          <w:i/>
          <w:iCs/>
          <w:kern w:val="0"/>
          <w:lang w:val="en-US"/>
          <w14:ligatures w14:val="none"/>
        </w:rPr>
        <w:t>Asian Journal of Agricultural Extension, Economics &amp; Sociology, 32</w:t>
      </w:r>
      <w:r w:rsidRPr="00951C18">
        <w:rPr>
          <w:rFonts w:ascii="Times New Roman" w:eastAsia="Times New Roman" w:hAnsi="Times New Roman" w:cs="Times New Roman"/>
          <w:kern w:val="0"/>
          <w:lang w:val="en-US"/>
          <w14:ligatures w14:val="none"/>
        </w:rPr>
        <w:t xml:space="preserve">(2), 1–6. </w:t>
      </w:r>
      <w:hyperlink r:id="rId22" w:history="1">
        <w:r w:rsidRPr="00951C18">
          <w:rPr>
            <w:rFonts w:ascii="Times New Roman" w:eastAsia="Times New Roman" w:hAnsi="Times New Roman" w:cs="Times New Roman"/>
            <w:color w:val="0000FF"/>
            <w:kern w:val="0"/>
            <w:u w:val="single"/>
            <w:lang w:val="en-US"/>
            <w14:ligatures w14:val="none"/>
          </w:rPr>
          <w:t>https://doi.org/10.9734/AJAEES/2019/v32i230148</w:t>
        </w:r>
      </w:hyperlink>
    </w:p>
    <w:p w14:paraId="3CBE4F0A"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Regar, P. C., Kamboj, M. L., Shinde, K. P., &amp; Gupta, S. K. (2023). Economics of goat farming in tribal areas of Rajasthan. </w:t>
      </w:r>
      <w:r w:rsidRPr="00951C18">
        <w:rPr>
          <w:rFonts w:ascii="Times New Roman" w:eastAsia="Times New Roman" w:hAnsi="Times New Roman" w:cs="Times New Roman"/>
          <w:i/>
          <w:iCs/>
          <w:kern w:val="0"/>
          <w:lang w:val="en-US"/>
          <w14:ligatures w14:val="none"/>
        </w:rPr>
        <w:t>The Pharma Innovation Journal, 12</w:t>
      </w:r>
      <w:r w:rsidRPr="00951C18">
        <w:rPr>
          <w:rFonts w:ascii="Times New Roman" w:eastAsia="Times New Roman" w:hAnsi="Times New Roman" w:cs="Times New Roman"/>
          <w:kern w:val="0"/>
          <w:lang w:val="en-US"/>
          <w14:ligatures w14:val="none"/>
        </w:rPr>
        <w:t xml:space="preserve">(5), 4247–4249. </w:t>
      </w:r>
      <w:hyperlink r:id="rId23" w:history="1">
        <w:r w:rsidRPr="00951C18">
          <w:rPr>
            <w:rFonts w:ascii="Times New Roman" w:eastAsia="Times New Roman" w:hAnsi="Times New Roman" w:cs="Times New Roman"/>
            <w:color w:val="0000FF"/>
            <w:kern w:val="0"/>
            <w:u w:val="single"/>
            <w:lang w:val="en-US"/>
            <w14:ligatures w14:val="none"/>
          </w:rPr>
          <w:t>https://www.thepharmajournal.com/archives/?ArticleId=20437&amp;issue=5&amp;vol=12&amp;year=2023</w:t>
        </w:r>
      </w:hyperlink>
    </w:p>
    <w:p w14:paraId="6BEB13E3" w14:textId="77777777" w:rsidR="00991431" w:rsidRPr="00951C18" w:rsidRDefault="00000000">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t xml:space="preserve">Snedecor, G. W., &amp; Cochran, W. G. (1994). </w:t>
      </w:r>
      <w:r w:rsidRPr="00951C18">
        <w:rPr>
          <w:i/>
          <w:iCs/>
        </w:rPr>
        <w:t>Statistical methods</w:t>
      </w:r>
      <w:r w:rsidRPr="00951C18">
        <w:t xml:space="preserve"> (8th ed.). Oxford &amp; IBH Publishing Co.</w:t>
      </w:r>
    </w:p>
    <w:p w14:paraId="3466E2D4"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51C18">
        <w:rPr>
          <w:rFonts w:ascii="Times New Roman" w:eastAsia="Times New Roman" w:hAnsi="Times New Roman" w:cs="Times New Roman"/>
          <w:kern w:val="0"/>
          <w:lang w:val="en-US"/>
          <w14:ligatures w14:val="none"/>
        </w:rPr>
        <w:lastRenderedPageBreak/>
        <w:t>Sorathiya</w:t>
      </w:r>
      <w:proofErr w:type="spellEnd"/>
      <w:r w:rsidRPr="00951C18">
        <w:rPr>
          <w:rFonts w:ascii="Times New Roman" w:eastAsia="Times New Roman" w:hAnsi="Times New Roman" w:cs="Times New Roman"/>
          <w:kern w:val="0"/>
          <w:lang w:val="en-US"/>
          <w14:ligatures w14:val="none"/>
        </w:rPr>
        <w:t xml:space="preserve">, L. M., </w:t>
      </w:r>
      <w:proofErr w:type="spellStart"/>
      <w:r w:rsidRPr="00951C18">
        <w:rPr>
          <w:rFonts w:ascii="Times New Roman" w:eastAsia="Times New Roman" w:hAnsi="Times New Roman" w:cs="Times New Roman"/>
          <w:kern w:val="0"/>
          <w:lang w:val="en-US"/>
          <w14:ligatures w14:val="none"/>
        </w:rPr>
        <w:t>Fulsoundar</w:t>
      </w:r>
      <w:proofErr w:type="spellEnd"/>
      <w:r w:rsidRPr="00951C18">
        <w:rPr>
          <w:rFonts w:ascii="Times New Roman" w:eastAsia="Times New Roman" w:hAnsi="Times New Roman" w:cs="Times New Roman"/>
          <w:kern w:val="0"/>
          <w:lang w:val="en-US"/>
          <w14:ligatures w14:val="none"/>
        </w:rPr>
        <w:t xml:space="preserve">, A. B., Tyagi, K. K., &amp; Patel, M. D. (2013). Effect of social groups and flock size on economic returns from traditional goat rearing in South Gujarat. </w:t>
      </w:r>
      <w:r w:rsidRPr="00951C18">
        <w:rPr>
          <w:rFonts w:ascii="Times New Roman" w:eastAsia="Times New Roman" w:hAnsi="Times New Roman" w:cs="Times New Roman"/>
          <w:i/>
          <w:iCs/>
          <w:kern w:val="0"/>
          <w:lang w:val="en-US"/>
          <w14:ligatures w14:val="none"/>
        </w:rPr>
        <w:t>Indian Journal of Animal Production and Management, 29</w:t>
      </w:r>
      <w:r w:rsidRPr="00951C18">
        <w:rPr>
          <w:rFonts w:ascii="Times New Roman" w:eastAsia="Times New Roman" w:hAnsi="Times New Roman" w:cs="Times New Roman"/>
          <w:kern w:val="0"/>
          <w:lang w:val="en-US"/>
          <w14:ligatures w14:val="none"/>
        </w:rPr>
        <w:t xml:space="preserve">(1–2), 102–109. </w:t>
      </w:r>
      <w:hyperlink r:id="rId24" w:history="1">
        <w:r w:rsidRPr="00951C18">
          <w:rPr>
            <w:rFonts w:ascii="Times New Roman" w:eastAsia="Times New Roman" w:hAnsi="Times New Roman" w:cs="Times New Roman"/>
            <w:color w:val="0000FF"/>
            <w:kern w:val="0"/>
            <w:u w:val="single"/>
            <w:lang w:val="en-US"/>
            <w14:ligatures w14:val="none"/>
          </w:rPr>
          <w:t>https://epubs.icar.org.in/index.php/IJAPM/article/view/74113</w:t>
        </w:r>
      </w:hyperlink>
    </w:p>
    <w:p w14:paraId="6A18A020"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Talukder, M. A. I., Rahman, M. M., Alam, M. A., &amp; </w:t>
      </w:r>
      <w:proofErr w:type="spellStart"/>
      <w:r w:rsidRPr="00951C18">
        <w:rPr>
          <w:rFonts w:ascii="Times New Roman" w:eastAsia="Times New Roman" w:hAnsi="Times New Roman" w:cs="Times New Roman"/>
          <w:kern w:val="0"/>
          <w:lang w:val="en-US"/>
          <w14:ligatures w14:val="none"/>
        </w:rPr>
        <w:t>Hemayet</w:t>
      </w:r>
      <w:proofErr w:type="spellEnd"/>
      <w:r w:rsidRPr="00951C18">
        <w:rPr>
          <w:rFonts w:ascii="Times New Roman" w:eastAsia="Times New Roman" w:hAnsi="Times New Roman" w:cs="Times New Roman"/>
          <w:kern w:val="0"/>
          <w:lang w:val="en-US"/>
          <w14:ligatures w14:val="none"/>
        </w:rPr>
        <w:t xml:space="preserve">, M. A. (2016). Productive and reproductive performances of Brown Bengal goat (Hilly goat) at research farm level. </w:t>
      </w:r>
      <w:r w:rsidRPr="00951C18">
        <w:rPr>
          <w:rFonts w:ascii="Times New Roman" w:eastAsia="Times New Roman" w:hAnsi="Times New Roman" w:cs="Times New Roman"/>
          <w:i/>
          <w:iCs/>
          <w:kern w:val="0"/>
          <w:lang w:val="en-US"/>
          <w14:ligatures w14:val="none"/>
        </w:rPr>
        <w:t>Asian Journal of Medical and Biological Research, 2</w:t>
      </w:r>
      <w:r w:rsidRPr="00951C18">
        <w:rPr>
          <w:rFonts w:ascii="Times New Roman" w:eastAsia="Times New Roman" w:hAnsi="Times New Roman" w:cs="Times New Roman"/>
          <w:kern w:val="0"/>
          <w:lang w:val="en-US"/>
          <w14:ligatures w14:val="none"/>
        </w:rPr>
        <w:t xml:space="preserve">(3), 477–482. </w:t>
      </w:r>
      <w:hyperlink r:id="rId25" w:history="1">
        <w:r w:rsidRPr="00951C18">
          <w:rPr>
            <w:rFonts w:ascii="Times New Roman" w:eastAsia="Times New Roman" w:hAnsi="Times New Roman" w:cs="Times New Roman"/>
            <w:color w:val="0000FF"/>
            <w:kern w:val="0"/>
            <w:u w:val="single"/>
            <w:lang w:val="en-US"/>
            <w14:ligatures w14:val="none"/>
          </w:rPr>
          <w:t>https://doi.org/10.3329/ajmbr.v2i3.30121</w:t>
        </w:r>
      </w:hyperlink>
    </w:p>
    <w:p w14:paraId="4DC3E5E8"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51C18">
        <w:rPr>
          <w:rFonts w:ascii="Times New Roman" w:eastAsia="Times New Roman" w:hAnsi="Times New Roman" w:cs="Times New Roman"/>
          <w:kern w:val="0"/>
          <w:lang w:val="en-US"/>
          <w14:ligatures w14:val="none"/>
        </w:rPr>
        <w:t>Tantia</w:t>
      </w:r>
      <w:proofErr w:type="spellEnd"/>
      <w:r w:rsidRPr="00951C18">
        <w:rPr>
          <w:rFonts w:ascii="Times New Roman" w:eastAsia="Times New Roman" w:hAnsi="Times New Roman" w:cs="Times New Roman"/>
          <w:kern w:val="0"/>
          <w:lang w:val="en-US"/>
          <w14:ligatures w14:val="none"/>
        </w:rPr>
        <w:t xml:space="preserve">, M. S., Vij, P. K., Yathish, H. M., Kulkarni, V. S., Shettar, V. B., Gopala, G. T., Sharma, H., &amp; Sharma, R. (2018). Characterization of </w:t>
      </w:r>
      <w:proofErr w:type="spellStart"/>
      <w:r w:rsidRPr="00951C18">
        <w:rPr>
          <w:rFonts w:ascii="Times New Roman" w:eastAsia="Times New Roman" w:hAnsi="Times New Roman" w:cs="Times New Roman"/>
          <w:kern w:val="0"/>
          <w:lang w:val="en-US"/>
          <w14:ligatures w14:val="none"/>
        </w:rPr>
        <w:t>Nandidurga</w:t>
      </w:r>
      <w:proofErr w:type="spellEnd"/>
      <w:r w:rsidRPr="00951C18">
        <w:rPr>
          <w:rFonts w:ascii="Times New Roman" w:eastAsia="Times New Roman" w:hAnsi="Times New Roman" w:cs="Times New Roman"/>
          <w:kern w:val="0"/>
          <w:lang w:val="en-US"/>
          <w14:ligatures w14:val="none"/>
        </w:rPr>
        <w:t xml:space="preserve"> and </w:t>
      </w:r>
      <w:proofErr w:type="spellStart"/>
      <w:r w:rsidRPr="00951C18">
        <w:rPr>
          <w:rFonts w:ascii="Times New Roman" w:eastAsia="Times New Roman" w:hAnsi="Times New Roman" w:cs="Times New Roman"/>
          <w:kern w:val="0"/>
          <w:lang w:val="en-US"/>
          <w14:ligatures w14:val="none"/>
        </w:rPr>
        <w:t>Bidri</w:t>
      </w:r>
      <w:proofErr w:type="spellEnd"/>
      <w:r w:rsidRPr="00951C18">
        <w:rPr>
          <w:rFonts w:ascii="Times New Roman" w:eastAsia="Times New Roman" w:hAnsi="Times New Roman" w:cs="Times New Roman"/>
          <w:kern w:val="0"/>
          <w:lang w:val="en-US"/>
          <w14:ligatures w14:val="none"/>
        </w:rPr>
        <w:t xml:space="preserve"> goat populations of Karnataka. </w:t>
      </w:r>
      <w:r w:rsidRPr="00951C18">
        <w:rPr>
          <w:rFonts w:ascii="Times New Roman" w:eastAsia="Times New Roman" w:hAnsi="Times New Roman" w:cs="Times New Roman"/>
          <w:i/>
          <w:iCs/>
          <w:kern w:val="0"/>
          <w:lang w:val="en-US"/>
          <w14:ligatures w14:val="none"/>
        </w:rPr>
        <w:t>The Indian Journal of Animal Sciences, 88</w:t>
      </w:r>
      <w:r w:rsidRPr="00951C18">
        <w:rPr>
          <w:rFonts w:ascii="Times New Roman" w:eastAsia="Times New Roman" w:hAnsi="Times New Roman" w:cs="Times New Roman"/>
          <w:kern w:val="0"/>
          <w:lang w:val="en-US"/>
          <w14:ligatures w14:val="none"/>
        </w:rPr>
        <w:t xml:space="preserve">(9), 1058–1063. </w:t>
      </w:r>
      <w:hyperlink r:id="rId26" w:history="1">
        <w:r w:rsidRPr="00951C18">
          <w:rPr>
            <w:rFonts w:ascii="Times New Roman" w:eastAsia="Times New Roman" w:hAnsi="Times New Roman" w:cs="Times New Roman"/>
            <w:color w:val="0000FF"/>
            <w:kern w:val="0"/>
            <w:u w:val="single"/>
            <w:lang w:val="en-US"/>
            <w14:ligatures w14:val="none"/>
          </w:rPr>
          <w:t>https://doi.org/10.56093/ijans.v88i9.83550</w:t>
        </w:r>
      </w:hyperlink>
    </w:p>
    <w:p w14:paraId="6F57DFE7"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Verma, N. K., Mishra, P., Aggarwal, R. A. K., Dixit, S. P., Dangi, P. S., &amp; Dash, S. K. (2015). Characterization, performance and genetic diversity among goats of Odisha. </w:t>
      </w:r>
      <w:r w:rsidRPr="00951C18">
        <w:rPr>
          <w:rFonts w:ascii="Times New Roman" w:eastAsia="Times New Roman" w:hAnsi="Times New Roman" w:cs="Times New Roman"/>
          <w:i/>
          <w:iCs/>
          <w:kern w:val="0"/>
          <w:lang w:val="en-US"/>
          <w14:ligatures w14:val="none"/>
        </w:rPr>
        <w:t>The Indian Journal of Animal Sciences, 85</w:t>
      </w:r>
      <w:r w:rsidRPr="00951C18">
        <w:rPr>
          <w:rFonts w:ascii="Times New Roman" w:eastAsia="Times New Roman" w:hAnsi="Times New Roman" w:cs="Times New Roman"/>
          <w:kern w:val="0"/>
          <w:lang w:val="en-US"/>
          <w14:ligatures w14:val="none"/>
        </w:rPr>
        <w:t xml:space="preserve">(2), 165–171. </w:t>
      </w:r>
      <w:hyperlink r:id="rId27" w:history="1">
        <w:r w:rsidRPr="00951C18">
          <w:rPr>
            <w:rFonts w:ascii="Times New Roman" w:eastAsia="Times New Roman" w:hAnsi="Times New Roman" w:cs="Times New Roman"/>
            <w:color w:val="0000FF"/>
            <w:kern w:val="0"/>
            <w:u w:val="single"/>
            <w:lang w:val="en-US"/>
            <w14:ligatures w14:val="none"/>
          </w:rPr>
          <w:t>https://doi.org/10.56093/ijans.v85i2.46609</w:t>
        </w:r>
      </w:hyperlink>
    </w:p>
    <w:p w14:paraId="19358CF8"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nl-BE"/>
          <w14:ligatures w14:val="none"/>
        </w:rPr>
        <w:t xml:space="preserve">Vishnoi, S., Meena, G. L., Sharma, L., &amp; Burrak, S. S. (2022). </w:t>
      </w:r>
      <w:r w:rsidRPr="00951C18">
        <w:rPr>
          <w:rFonts w:ascii="Times New Roman" w:eastAsia="Times New Roman" w:hAnsi="Times New Roman" w:cs="Times New Roman"/>
          <w:kern w:val="0"/>
          <w:lang w:val="en-US"/>
          <w14:ligatures w14:val="none"/>
        </w:rPr>
        <w:t xml:space="preserve">Socio economic status of goat farmers in tribal sub plan area of Rajasthan. </w:t>
      </w:r>
      <w:r w:rsidRPr="00951C18">
        <w:rPr>
          <w:rFonts w:ascii="Times New Roman" w:eastAsia="Times New Roman" w:hAnsi="Times New Roman" w:cs="Times New Roman"/>
          <w:i/>
          <w:iCs/>
          <w:kern w:val="0"/>
          <w:lang w:val="en-US"/>
          <w14:ligatures w14:val="none"/>
        </w:rPr>
        <w:t>The Pharma Innovation Journal, 11</w:t>
      </w:r>
      <w:r w:rsidRPr="00951C18">
        <w:rPr>
          <w:rFonts w:ascii="Times New Roman" w:eastAsia="Times New Roman" w:hAnsi="Times New Roman" w:cs="Times New Roman"/>
          <w:kern w:val="0"/>
          <w:lang w:val="en-US"/>
          <w14:ligatures w14:val="none"/>
        </w:rPr>
        <w:t xml:space="preserve">(4S), 841–843. </w:t>
      </w:r>
      <w:hyperlink r:id="rId28" w:history="1">
        <w:r w:rsidRPr="00951C18">
          <w:rPr>
            <w:rFonts w:ascii="Times New Roman" w:eastAsia="Times New Roman" w:hAnsi="Times New Roman" w:cs="Times New Roman"/>
            <w:color w:val="0000FF"/>
            <w:kern w:val="0"/>
            <w:u w:val="single"/>
            <w:lang w:val="en-US"/>
            <w14:ligatures w14:val="none"/>
          </w:rPr>
          <w:t>https://www.thepharmajournal.com/special-issue?ArticleId=11997&amp;issue=4S&amp;vol=11&amp;year=2022</w:t>
        </w:r>
      </w:hyperlink>
    </w:p>
    <w:p w14:paraId="366DB6DF" w14:textId="77777777" w:rsidR="006535DC" w:rsidRPr="00951C18" w:rsidRDefault="006535DC" w:rsidP="006535DC">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51C18">
        <w:rPr>
          <w:rFonts w:ascii="Times New Roman" w:eastAsia="Times New Roman" w:hAnsi="Times New Roman" w:cs="Times New Roman"/>
          <w:kern w:val="0"/>
          <w:lang w:val="en-US"/>
          <w14:ligatures w14:val="none"/>
        </w:rPr>
        <w:t xml:space="preserve">Waiz, H., Gautam, L., Nagda, R., &amp; Sharma, M. (2018). Growth performance of </w:t>
      </w:r>
      <w:proofErr w:type="spellStart"/>
      <w:r w:rsidRPr="00951C18">
        <w:rPr>
          <w:rFonts w:ascii="Times New Roman" w:eastAsia="Times New Roman" w:hAnsi="Times New Roman" w:cs="Times New Roman"/>
          <w:kern w:val="0"/>
          <w:lang w:val="en-US"/>
          <w14:ligatures w14:val="none"/>
        </w:rPr>
        <w:t>Sirohi</w:t>
      </w:r>
      <w:proofErr w:type="spellEnd"/>
      <w:r w:rsidRPr="00951C18">
        <w:rPr>
          <w:rFonts w:ascii="Times New Roman" w:eastAsia="Times New Roman" w:hAnsi="Times New Roman" w:cs="Times New Roman"/>
          <w:kern w:val="0"/>
          <w:lang w:val="en-US"/>
          <w14:ligatures w14:val="none"/>
        </w:rPr>
        <w:t xml:space="preserve"> goats under farm and field conditions in Southern Rajasthan. </w:t>
      </w:r>
      <w:r w:rsidRPr="00951C18">
        <w:rPr>
          <w:rFonts w:ascii="Times New Roman" w:eastAsia="Times New Roman" w:hAnsi="Times New Roman" w:cs="Times New Roman"/>
          <w:i/>
          <w:iCs/>
          <w:kern w:val="0"/>
          <w:lang w:val="en-US"/>
          <w14:ligatures w14:val="none"/>
        </w:rPr>
        <w:t>International Journal of Livestock Research, 8</w:t>
      </w:r>
      <w:r w:rsidRPr="00951C18">
        <w:rPr>
          <w:rFonts w:ascii="Times New Roman" w:eastAsia="Times New Roman" w:hAnsi="Times New Roman" w:cs="Times New Roman"/>
          <w:kern w:val="0"/>
          <w:lang w:val="en-US"/>
          <w14:ligatures w14:val="none"/>
        </w:rPr>
        <w:t xml:space="preserve">(6), 293–303. </w:t>
      </w:r>
      <w:hyperlink r:id="rId29" w:history="1">
        <w:r w:rsidRPr="00951C18">
          <w:rPr>
            <w:rFonts w:ascii="Times New Roman" w:eastAsia="Times New Roman" w:hAnsi="Times New Roman" w:cs="Times New Roman"/>
            <w:color w:val="0000FF"/>
            <w:kern w:val="0"/>
            <w:u w:val="single"/>
            <w:lang w:val="en-US"/>
            <w14:ligatures w14:val="none"/>
          </w:rPr>
          <w:t>https://doi.org/10.5455/ijlr.20171028071436</w:t>
        </w:r>
      </w:hyperlink>
    </w:p>
    <w:p w14:paraId="2A0D6C5E" w14:textId="77777777" w:rsidR="00991431" w:rsidRDefault="00000000">
      <w:pPr>
        <w:spacing w:before="100" w:after="100" w:line="240" w:lineRule="auto"/>
        <w:ind w:left="540" w:hanging="540"/>
        <w:jc w:val="both"/>
      </w:pPr>
      <w:r w:rsidRPr="00951C18">
        <w:rPr>
          <w:rFonts w:ascii="Times New Roman" w:hAnsi="Times New Roman"/>
          <w:b/>
        </w:rPr>
        <w:t>Yavuz, E., Önder, H., Şen, U., Şahin, M., &amp; Yilmaz, Ö. F. (2026). Discriminant analysis of morphometric traits across growth stages in native goat breeds. BMC Veterinary Research, 22, 427. https://doi.org/10.1186/s12917-026-05579-5</w:t>
      </w:r>
    </w:p>
    <w:sectPr w:rsidR="00991431" w:rsidSect="005F3858">
      <w:headerReference w:type="even" r:id="rId30"/>
      <w:headerReference w:type="default" r:id="rId31"/>
      <w:footerReference w:type="even" r:id="rId32"/>
      <w:footerReference w:type="default" r:id="rId33"/>
      <w:headerReference w:type="first" r:id="rId34"/>
      <w:footerReference w:type="first" r:id="rId35"/>
      <w:pgSz w:w="11906" w:h="16838" w:code="9"/>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448E9" w14:textId="77777777" w:rsidR="002450B5" w:rsidRDefault="002450B5" w:rsidP="00A34E9B">
      <w:pPr>
        <w:spacing w:after="0" w:line="240" w:lineRule="auto"/>
      </w:pPr>
      <w:r>
        <w:separator/>
      </w:r>
    </w:p>
  </w:endnote>
  <w:endnote w:type="continuationSeparator" w:id="0">
    <w:p w14:paraId="07DE05A4" w14:textId="77777777" w:rsidR="002450B5" w:rsidRDefault="002450B5" w:rsidP="00A34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F2F8" w14:textId="77777777" w:rsidR="00C47090" w:rsidRDefault="00C470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7C47" w14:textId="77777777" w:rsidR="00C47090" w:rsidRDefault="00C470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2DE7" w14:textId="77777777" w:rsidR="00C47090" w:rsidRDefault="00C47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ED5C" w14:textId="77777777" w:rsidR="002450B5" w:rsidRDefault="002450B5" w:rsidP="00A34E9B">
      <w:pPr>
        <w:spacing w:after="0" w:line="240" w:lineRule="auto"/>
      </w:pPr>
      <w:r>
        <w:separator/>
      </w:r>
    </w:p>
  </w:footnote>
  <w:footnote w:type="continuationSeparator" w:id="0">
    <w:p w14:paraId="2FE9A024" w14:textId="77777777" w:rsidR="002450B5" w:rsidRDefault="002450B5" w:rsidP="00A34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EF18" w14:textId="77777777" w:rsidR="00C47090" w:rsidRDefault="00000000">
    <w:pPr>
      <w:pStyle w:val="Header"/>
    </w:pPr>
    <w:r>
      <w:rPr>
        <w:noProof/>
      </w:rPr>
      <w:pict w14:anchorId="3547CB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19" o:spid="_x0000_s1026" type="#_x0000_t136" style="position:absolute;margin-left:0;margin-top:0;width:504.8pt;height:9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B729" w14:textId="77777777" w:rsidR="00C47090" w:rsidRDefault="00000000">
    <w:pPr>
      <w:pStyle w:val="Header"/>
    </w:pPr>
    <w:r>
      <w:rPr>
        <w:noProof/>
      </w:rPr>
      <w:pict w14:anchorId="408C6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20" o:spid="_x0000_s1027" type="#_x0000_t136" style="position:absolute;margin-left:0;margin-top:0;width:504.8pt;height:9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BB80C" w14:textId="77777777" w:rsidR="00C47090" w:rsidRDefault="00000000">
    <w:pPr>
      <w:pStyle w:val="Header"/>
    </w:pPr>
    <w:r>
      <w:rPr>
        <w:noProof/>
      </w:rPr>
      <w:pict w14:anchorId="6E4952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18" o:spid="_x0000_s1025" type="#_x0000_t136" style="position:absolute;margin-left:0;margin-top:0;width:504.8pt;height:9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76CA3"/>
    <w:multiLevelType w:val="multilevel"/>
    <w:tmpl w:val="FFDE7C6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A12A1A"/>
    <w:multiLevelType w:val="multilevel"/>
    <w:tmpl w:val="B5642DB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D96AC9"/>
    <w:multiLevelType w:val="multilevel"/>
    <w:tmpl w:val="D6784E1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31F82"/>
    <w:multiLevelType w:val="multilevel"/>
    <w:tmpl w:val="D6A0533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F90516"/>
    <w:multiLevelType w:val="multilevel"/>
    <w:tmpl w:val="9E06CE7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302CCD"/>
    <w:multiLevelType w:val="multilevel"/>
    <w:tmpl w:val="BC386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85583B"/>
    <w:multiLevelType w:val="hybridMultilevel"/>
    <w:tmpl w:val="87BCE158"/>
    <w:lvl w:ilvl="0" w:tplc="F29A8F8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9C01187"/>
    <w:multiLevelType w:val="hybridMultilevel"/>
    <w:tmpl w:val="2E4C9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36765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9995797">
    <w:abstractNumId w:val="5"/>
  </w:num>
  <w:num w:numId="3" w16cid:durableId="1617717755">
    <w:abstractNumId w:val="2"/>
  </w:num>
  <w:num w:numId="4" w16cid:durableId="130683338">
    <w:abstractNumId w:val="1"/>
  </w:num>
  <w:num w:numId="5" w16cid:durableId="623922262">
    <w:abstractNumId w:val="0"/>
  </w:num>
  <w:num w:numId="6" w16cid:durableId="1088968708">
    <w:abstractNumId w:val="3"/>
  </w:num>
  <w:num w:numId="7" w16cid:durableId="94518409">
    <w:abstractNumId w:val="4"/>
  </w:num>
  <w:num w:numId="8" w16cid:durableId="1170170724">
    <w:abstractNumId w:val="6"/>
  </w:num>
  <w:num w:numId="9" w16cid:durableId="2125804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S1tDQwNTWwMDUwMrVQ0lEKTi0uzszPAykwrAUA0T8SzSwAAAA="/>
  </w:docVars>
  <w:rsids>
    <w:rsidRoot w:val="005F3858"/>
    <w:rsid w:val="00007825"/>
    <w:rsid w:val="000465F8"/>
    <w:rsid w:val="00090F59"/>
    <w:rsid w:val="0009608B"/>
    <w:rsid w:val="000C62DE"/>
    <w:rsid w:val="000F41B7"/>
    <w:rsid w:val="00111402"/>
    <w:rsid w:val="00125A38"/>
    <w:rsid w:val="0014764B"/>
    <w:rsid w:val="00160038"/>
    <w:rsid w:val="00171E59"/>
    <w:rsid w:val="00212065"/>
    <w:rsid w:val="00233732"/>
    <w:rsid w:val="002450B5"/>
    <w:rsid w:val="002B3433"/>
    <w:rsid w:val="002F7674"/>
    <w:rsid w:val="00312E2B"/>
    <w:rsid w:val="004160EB"/>
    <w:rsid w:val="00420F79"/>
    <w:rsid w:val="00435658"/>
    <w:rsid w:val="004A7F83"/>
    <w:rsid w:val="004C30EB"/>
    <w:rsid w:val="004D0149"/>
    <w:rsid w:val="004D224A"/>
    <w:rsid w:val="004F7E6A"/>
    <w:rsid w:val="00530591"/>
    <w:rsid w:val="00572329"/>
    <w:rsid w:val="005E3F30"/>
    <w:rsid w:val="005F3858"/>
    <w:rsid w:val="00650548"/>
    <w:rsid w:val="006535DC"/>
    <w:rsid w:val="006D7567"/>
    <w:rsid w:val="00772CD2"/>
    <w:rsid w:val="00823E32"/>
    <w:rsid w:val="00841DBA"/>
    <w:rsid w:val="008463BC"/>
    <w:rsid w:val="008F01B6"/>
    <w:rsid w:val="008F5A48"/>
    <w:rsid w:val="009013CB"/>
    <w:rsid w:val="00951C18"/>
    <w:rsid w:val="00991431"/>
    <w:rsid w:val="009A4D0A"/>
    <w:rsid w:val="009E5663"/>
    <w:rsid w:val="00A34E9B"/>
    <w:rsid w:val="00AB3B6E"/>
    <w:rsid w:val="00AB3E3E"/>
    <w:rsid w:val="00B00250"/>
    <w:rsid w:val="00BD2895"/>
    <w:rsid w:val="00C02B76"/>
    <w:rsid w:val="00C47090"/>
    <w:rsid w:val="00CD1419"/>
    <w:rsid w:val="00F01339"/>
    <w:rsid w:val="00F22696"/>
    <w:rsid w:val="00F22B92"/>
    <w:rsid w:val="00F24562"/>
    <w:rsid w:val="00F31754"/>
    <w:rsid w:val="00F34F37"/>
    <w:rsid w:val="00F41F44"/>
    <w:rsid w:val="00F60CAF"/>
    <w:rsid w:val="00FD1036"/>
    <w:rsid w:val="0181B541"/>
    <w:rsid w:val="0B9BE996"/>
    <w:rsid w:val="10E781D2"/>
    <w:rsid w:val="131ABC99"/>
    <w:rsid w:val="139308CF"/>
    <w:rsid w:val="1D7EAD04"/>
    <w:rsid w:val="21DDC337"/>
    <w:rsid w:val="23EF5694"/>
    <w:rsid w:val="2644020C"/>
    <w:rsid w:val="3133C64B"/>
    <w:rsid w:val="33FDD042"/>
    <w:rsid w:val="37BA10D4"/>
    <w:rsid w:val="3B2ED209"/>
    <w:rsid w:val="3D6F37CA"/>
    <w:rsid w:val="45314314"/>
    <w:rsid w:val="4703FF63"/>
    <w:rsid w:val="4B4875ED"/>
    <w:rsid w:val="4D5BB867"/>
    <w:rsid w:val="4DA4A628"/>
    <w:rsid w:val="4E59E5DB"/>
    <w:rsid w:val="4FF43C0A"/>
    <w:rsid w:val="5A6E6DE3"/>
    <w:rsid w:val="5C079C72"/>
    <w:rsid w:val="5E450C16"/>
    <w:rsid w:val="5F4E70D0"/>
    <w:rsid w:val="60637618"/>
    <w:rsid w:val="66B3D090"/>
    <w:rsid w:val="6AB752A1"/>
    <w:rsid w:val="7BBA0A91"/>
    <w:rsid w:val="7BCEF7D5"/>
    <w:rsid w:val="7DA1EC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E56C3"/>
  <w15:chartTrackingRefBased/>
  <w15:docId w15:val="{1058B0A5-2463-48AB-9A9E-FF9D7D2F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8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8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8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8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8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8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8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8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858"/>
    <w:rPr>
      <w:rFonts w:eastAsiaTheme="majorEastAsia" w:cstheme="majorBidi"/>
      <w:color w:val="272727" w:themeColor="text1" w:themeTint="D8"/>
    </w:rPr>
  </w:style>
  <w:style w:type="paragraph" w:styleId="Title">
    <w:name w:val="Title"/>
    <w:basedOn w:val="Normal"/>
    <w:next w:val="Normal"/>
    <w:link w:val="TitleChar"/>
    <w:uiPriority w:val="10"/>
    <w:qFormat/>
    <w:rsid w:val="005F3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858"/>
    <w:pPr>
      <w:spacing w:before="160"/>
      <w:jc w:val="center"/>
    </w:pPr>
    <w:rPr>
      <w:i/>
      <w:iCs/>
      <w:color w:val="404040" w:themeColor="text1" w:themeTint="BF"/>
    </w:rPr>
  </w:style>
  <w:style w:type="character" w:customStyle="1" w:styleId="QuoteChar">
    <w:name w:val="Quote Char"/>
    <w:basedOn w:val="DefaultParagraphFont"/>
    <w:link w:val="Quote"/>
    <w:uiPriority w:val="29"/>
    <w:rsid w:val="005F3858"/>
    <w:rPr>
      <w:i/>
      <w:iCs/>
      <w:color w:val="404040" w:themeColor="text1" w:themeTint="BF"/>
    </w:rPr>
  </w:style>
  <w:style w:type="paragraph" w:styleId="ListParagraph">
    <w:name w:val="List Paragraph"/>
    <w:basedOn w:val="Normal"/>
    <w:uiPriority w:val="34"/>
    <w:qFormat/>
    <w:rsid w:val="005F3858"/>
    <w:pPr>
      <w:ind w:left="720"/>
      <w:contextualSpacing/>
    </w:pPr>
  </w:style>
  <w:style w:type="character" w:styleId="IntenseEmphasis">
    <w:name w:val="Intense Emphasis"/>
    <w:basedOn w:val="DefaultParagraphFont"/>
    <w:uiPriority w:val="21"/>
    <w:qFormat/>
    <w:rsid w:val="005F3858"/>
    <w:rPr>
      <w:i/>
      <w:iCs/>
      <w:color w:val="2F5496" w:themeColor="accent1" w:themeShade="BF"/>
    </w:rPr>
  </w:style>
  <w:style w:type="paragraph" w:styleId="IntenseQuote">
    <w:name w:val="Intense Quote"/>
    <w:basedOn w:val="Normal"/>
    <w:next w:val="Normal"/>
    <w:link w:val="IntenseQuoteChar"/>
    <w:uiPriority w:val="30"/>
    <w:qFormat/>
    <w:rsid w:val="005F3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858"/>
    <w:rPr>
      <w:i/>
      <w:iCs/>
      <w:color w:val="2F5496" w:themeColor="accent1" w:themeShade="BF"/>
    </w:rPr>
  </w:style>
  <w:style w:type="character" w:styleId="IntenseReference">
    <w:name w:val="Intense Reference"/>
    <w:basedOn w:val="DefaultParagraphFont"/>
    <w:uiPriority w:val="32"/>
    <w:qFormat/>
    <w:rsid w:val="005F3858"/>
    <w:rPr>
      <w:b/>
      <w:bCs/>
      <w:smallCaps/>
      <w:color w:val="2F5496" w:themeColor="accent1" w:themeShade="BF"/>
      <w:spacing w:val="5"/>
    </w:rPr>
  </w:style>
  <w:style w:type="table" w:styleId="PlainTable1">
    <w:name w:val="Plain Table 1"/>
    <w:basedOn w:val="TableNormal"/>
    <w:uiPriority w:val="41"/>
    <w:rsid w:val="00F317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A34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4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E9B"/>
  </w:style>
  <w:style w:type="paragraph" w:styleId="Footer">
    <w:name w:val="footer"/>
    <w:basedOn w:val="Normal"/>
    <w:link w:val="FooterChar"/>
    <w:uiPriority w:val="99"/>
    <w:unhideWhenUsed/>
    <w:rsid w:val="00A34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E9B"/>
  </w:style>
  <w:style w:type="character" w:styleId="Hyperlink">
    <w:name w:val="Hyperlink"/>
    <w:basedOn w:val="DefaultParagraphFont"/>
    <w:uiPriority w:val="99"/>
    <w:unhideWhenUsed/>
    <w:rsid w:val="00530591"/>
    <w:rPr>
      <w:color w:val="0563C1" w:themeColor="hyperlink"/>
      <w:u w:val="single"/>
    </w:rPr>
  </w:style>
  <w:style w:type="character" w:styleId="UnresolvedMention">
    <w:name w:val="Unresolved Mention"/>
    <w:basedOn w:val="DefaultParagraphFont"/>
    <w:uiPriority w:val="99"/>
    <w:semiHidden/>
    <w:unhideWhenUsed/>
    <w:rsid w:val="00530591"/>
    <w:rPr>
      <w:color w:val="605E5C"/>
      <w:shd w:val="clear" w:color="auto" w:fill="E1DFDD"/>
    </w:rPr>
  </w:style>
  <w:style w:type="paragraph" w:styleId="Revision">
    <w:name w:val="Revision"/>
    <w:hidden/>
    <w:uiPriority w:val="99"/>
    <w:semiHidden/>
    <w:rsid w:val="009013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5740/HAS/RJAHDS/7.1/11-15" TargetMode="External"/><Relationship Id="rId18" Type="http://schemas.openxmlformats.org/officeDocument/2006/relationships/hyperlink" Target="https://doi.org/10.5455/ijlr.20201014094740" TargetMode="External"/><Relationship Id="rId26" Type="http://schemas.openxmlformats.org/officeDocument/2006/relationships/hyperlink" Target="https://doi.org/10.56093/ijans.v88i9.83550" TargetMode="External"/><Relationship Id="rId21" Type="http://schemas.openxmlformats.org/officeDocument/2006/relationships/hyperlink" Target="https://doi.org/10.5958/2277-940X.2016.00024.3" TargetMode="External"/><Relationship Id="rId34" Type="http://schemas.openxmlformats.org/officeDocument/2006/relationships/header" Target="header3.xml"/><Relationship Id="rId7" Type="http://schemas.openxmlformats.org/officeDocument/2006/relationships/hyperlink" Target="https://doi.org/10.51791/njap.v44i5.1341" TargetMode="External"/><Relationship Id="rId12" Type="http://schemas.openxmlformats.org/officeDocument/2006/relationships/hyperlink" Target="https://doi.org/10.20546/ijcmas.2021.1003.258" TargetMode="External"/><Relationship Id="rId17" Type="http://schemas.openxmlformats.org/officeDocument/2006/relationships/hyperlink" Target="https://doi.org/10.4236/ojas.2014.45032" TargetMode="External"/><Relationship Id="rId25" Type="http://schemas.openxmlformats.org/officeDocument/2006/relationships/hyperlink" Target="https://doi.org/10.3329/ajmbr.v2i3.30121"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22192/ijarbs.2021.08.05.013" TargetMode="External"/><Relationship Id="rId20" Type="http://schemas.openxmlformats.org/officeDocument/2006/relationships/hyperlink" Target="https://www.researchgate.net/publication/326369967_MORPHOLOGICAL_CHARACTERIZATION_OF_OSMANABADI_GOAT_IN_ITS_BREEDING_TRACT" TargetMode="External"/><Relationship Id="rId29" Type="http://schemas.openxmlformats.org/officeDocument/2006/relationships/hyperlink" Target="https://doi.org/10.5455/ijlr.2017102807143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pubs.icar.org.in/index.php/IJAnS/article/view/58" TargetMode="External"/><Relationship Id="rId24" Type="http://schemas.openxmlformats.org/officeDocument/2006/relationships/hyperlink" Target="https://epubs.icar.org.in/index.php/IJAPM/article/view/74113"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thepharmajournal.com/special-issue?ArticleId=6567&amp;issue=6S&amp;vol=10&amp;year=2021" TargetMode="External"/><Relationship Id="rId23" Type="http://schemas.openxmlformats.org/officeDocument/2006/relationships/hyperlink" Target="https://www.thepharmajournal.com/archives/?ArticleId=20437&amp;issue=5&amp;vol=12&amp;year=2023" TargetMode="External"/><Relationship Id="rId28" Type="http://schemas.openxmlformats.org/officeDocument/2006/relationships/hyperlink" Target="https://www.thepharmajournal.com/special-issue?ArticleId=11997&amp;issue=4S&amp;vol=11&amp;year=2022" TargetMode="External"/><Relationship Id="rId36" Type="http://schemas.openxmlformats.org/officeDocument/2006/relationships/fontTable" Target="fontTable.xml"/><Relationship Id="rId10" Type="http://schemas.openxmlformats.org/officeDocument/2006/relationships/hyperlink" Target="https://doi.org/10.20546/ijcmas.2020.906.232" TargetMode="External"/><Relationship Id="rId19" Type="http://schemas.openxmlformats.org/officeDocument/2006/relationships/hyperlink" Target="https://agriacad.eu/ojs/index.php/bjas/article/view/2575"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56093/ijans.v84i10.44267" TargetMode="External"/><Relationship Id="rId14" Type="http://schemas.openxmlformats.org/officeDocument/2006/relationships/hyperlink" Target="https://doi.org/10.5455/ijlr.20170423032034" TargetMode="External"/><Relationship Id="rId22" Type="http://schemas.openxmlformats.org/officeDocument/2006/relationships/hyperlink" Target="https://doi.org/10.9734/AJAEES/2019/v32i230148" TargetMode="External"/><Relationship Id="rId27" Type="http://schemas.openxmlformats.org/officeDocument/2006/relationships/hyperlink" Target="https://doi.org/10.56093/ijans.v85i2.46609"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thepharmajournal.com/special-issue?ArticleId=10820&amp;issue=2S&amp;vol=11&amp;year=2022"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17</Pages>
  <Words>6904</Words>
  <Characters>39359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Nikhil Thakur</dc:creator>
  <cp:keywords/>
  <dc:description/>
  <cp:lastModifiedBy>SDI 1158</cp:lastModifiedBy>
  <cp:revision>31</cp:revision>
  <dcterms:created xsi:type="dcterms:W3CDTF">2026-08-13T14:41:00Z</dcterms:created>
  <dcterms:modified xsi:type="dcterms:W3CDTF">2026-08-19T07:50:00Z</dcterms:modified>
</cp:coreProperties>
</file>