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CA851" w14:textId="77777777" w:rsidR="00CB42E7" w:rsidRDefault="00000000" w:rsidP="00817D95">
      <w:pPr>
        <w:spacing w:after="320" w:line="340" w:lineRule="auto"/>
        <w:jc w:val="both"/>
        <w:rPr>
          <w:b/>
          <w:bCs/>
          <w:sz w:val="30"/>
          <w:szCs w:val="30"/>
        </w:rPr>
      </w:pPr>
      <w:r>
        <w:rPr>
          <w:b/>
          <w:bCs/>
          <w:sz w:val="30"/>
          <w:szCs w:val="30"/>
        </w:rPr>
        <w:t xml:space="preserve">Heavy metal bioaccumulation in </w:t>
      </w:r>
      <w:proofErr w:type="spellStart"/>
      <w:r>
        <w:rPr>
          <w:b/>
          <w:bCs/>
          <w:sz w:val="30"/>
          <w:szCs w:val="30"/>
        </w:rPr>
        <w:t>catla</w:t>
      </w:r>
      <w:proofErr w:type="spellEnd"/>
      <w:r>
        <w:rPr>
          <w:b/>
          <w:bCs/>
          <w:sz w:val="30"/>
          <w:szCs w:val="30"/>
        </w:rPr>
        <w:t xml:space="preserve"> (</w:t>
      </w:r>
      <w:proofErr w:type="spellStart"/>
      <w:r>
        <w:rPr>
          <w:b/>
          <w:bCs/>
          <w:i/>
          <w:iCs/>
          <w:sz w:val="30"/>
          <w:szCs w:val="30"/>
        </w:rPr>
        <w:t>Labeo</w:t>
      </w:r>
      <w:proofErr w:type="spellEnd"/>
      <w:r>
        <w:rPr>
          <w:b/>
          <w:bCs/>
          <w:i/>
          <w:iCs/>
          <w:sz w:val="30"/>
          <w:szCs w:val="30"/>
        </w:rPr>
        <w:t xml:space="preserve"> </w:t>
      </w:r>
      <w:proofErr w:type="spellStart"/>
      <w:r>
        <w:rPr>
          <w:b/>
          <w:bCs/>
          <w:i/>
          <w:iCs/>
          <w:sz w:val="30"/>
          <w:szCs w:val="30"/>
        </w:rPr>
        <w:t>catla</w:t>
      </w:r>
      <w:proofErr w:type="spellEnd"/>
      <w:r>
        <w:rPr>
          <w:b/>
          <w:bCs/>
          <w:sz w:val="30"/>
          <w:szCs w:val="30"/>
        </w:rPr>
        <w:t>), rohu (</w:t>
      </w:r>
      <w:proofErr w:type="spellStart"/>
      <w:r>
        <w:rPr>
          <w:b/>
          <w:bCs/>
          <w:i/>
          <w:iCs/>
          <w:sz w:val="30"/>
          <w:szCs w:val="30"/>
        </w:rPr>
        <w:t>Labeo</w:t>
      </w:r>
      <w:proofErr w:type="spellEnd"/>
      <w:r>
        <w:rPr>
          <w:b/>
          <w:bCs/>
          <w:i/>
          <w:iCs/>
          <w:sz w:val="30"/>
          <w:szCs w:val="30"/>
        </w:rPr>
        <w:t xml:space="preserve"> </w:t>
      </w:r>
      <w:proofErr w:type="spellStart"/>
      <w:r>
        <w:rPr>
          <w:b/>
          <w:bCs/>
          <w:i/>
          <w:iCs/>
          <w:sz w:val="30"/>
          <w:szCs w:val="30"/>
        </w:rPr>
        <w:t>rohita</w:t>
      </w:r>
      <w:proofErr w:type="spellEnd"/>
      <w:r>
        <w:rPr>
          <w:b/>
          <w:bCs/>
          <w:sz w:val="30"/>
          <w:szCs w:val="30"/>
        </w:rPr>
        <w:t>) and hilsa (</w:t>
      </w:r>
      <w:proofErr w:type="spellStart"/>
      <w:r>
        <w:rPr>
          <w:b/>
          <w:bCs/>
          <w:i/>
          <w:iCs/>
          <w:sz w:val="30"/>
          <w:szCs w:val="30"/>
        </w:rPr>
        <w:t>Tenualosa</w:t>
      </w:r>
      <w:proofErr w:type="spellEnd"/>
      <w:r>
        <w:rPr>
          <w:b/>
          <w:bCs/>
          <w:i/>
          <w:iCs/>
          <w:sz w:val="30"/>
          <w:szCs w:val="30"/>
        </w:rPr>
        <w:t xml:space="preserve"> </w:t>
      </w:r>
      <w:proofErr w:type="spellStart"/>
      <w:r>
        <w:rPr>
          <w:b/>
          <w:bCs/>
          <w:i/>
          <w:iCs/>
          <w:sz w:val="30"/>
          <w:szCs w:val="30"/>
        </w:rPr>
        <w:t>ilisha</w:t>
      </w:r>
      <w:proofErr w:type="spellEnd"/>
      <w:r>
        <w:rPr>
          <w:b/>
          <w:bCs/>
          <w:sz w:val="30"/>
          <w:szCs w:val="30"/>
        </w:rPr>
        <w:t>) of North-East India: a critical narrative review of an inferential evidence base</w:t>
      </w:r>
    </w:p>
    <w:p w14:paraId="1131FB3A" w14:textId="77777777" w:rsidR="008D7B47" w:rsidRDefault="008D7B47" w:rsidP="00817D95">
      <w:pPr>
        <w:spacing w:after="320" w:line="340" w:lineRule="auto"/>
        <w:jc w:val="both"/>
      </w:pPr>
    </w:p>
    <w:p w14:paraId="457FA4B4" w14:textId="77777777" w:rsidR="00CB42E7" w:rsidRDefault="00000000" w:rsidP="00817D95">
      <w:pPr>
        <w:keepNext/>
        <w:spacing w:before="260" w:after="140" w:line="300" w:lineRule="auto"/>
        <w:jc w:val="both"/>
      </w:pPr>
      <w:r>
        <w:rPr>
          <w:b/>
          <w:bCs/>
          <w:sz w:val="25"/>
          <w:szCs w:val="25"/>
        </w:rPr>
        <w:t>Abstract</w:t>
      </w:r>
    </w:p>
    <w:p w14:paraId="4CDE75EA" w14:textId="77777777" w:rsidR="00CB42E7" w:rsidRDefault="00000000" w:rsidP="00817D95">
      <w:pPr>
        <w:spacing w:after="160" w:line="360" w:lineRule="auto"/>
        <w:jc w:val="both"/>
      </w:pPr>
      <w:r>
        <w:t xml:space="preserve">Fish is a dietary staple across North-East India, and the three species that dominate consumption and trade in the region are </w:t>
      </w:r>
      <w:proofErr w:type="spellStart"/>
      <w:r>
        <w:t>catla</w:t>
      </w:r>
      <w:proofErr w:type="spellEnd"/>
      <w:r>
        <w:t xml:space="preserve">, rohu and hilsa. The Brahmaputra and Barak river systems, their associated floodplain wetlands and the adjoining hill catchments carry a well-documented burden of geogenic arsenic, mining-derived acidity and metals, and urban and industrial effluent, which has generated a widespread assumption that these three species carry correspondingly elevated tissue burdens of toxic metals. This review examines whether that assumption is supported. The available literature was appraised critically rather than catalogued, with attention to what has actually been measured in fish tissue within the region, what has been measured only in water, sediment, soil or groundwater, and what has been imported from other species or other river basins. The regional evidence proves to be strikingly asymmetric. Contaminant pressure in the abiotic compartments is documented in considerable detail across the Brahmaputra floodplain, the Guwahati urban corridor, the Meghalaya coal belts and several floodplain lakes, yet direct tissue measurements for the three target species are almost absent, amounting for practical purposes to a single dataset for rohu from one polluted river in central Assam. No verified tissue dataset for </w:t>
      </w:r>
      <w:proofErr w:type="spellStart"/>
      <w:r>
        <w:t>catla</w:t>
      </w:r>
      <w:proofErr w:type="spellEnd"/>
      <w:r>
        <w:t xml:space="preserve"> or for hilsa captured within North-East India was retrieved. Statements about bioaccumulation in these species in the region therefore rest on three successive extrapolations, from abiotic concentrations to biotic burdens, from surrogate species to target species, and from other basins to the Brahmaputra and Barak systems. Each of these links is shown to be weaker than the confident tone of much of the applied literature implies, because uptake is governed by bioavailability and speciation rather than by total ambient concentration, because feeding guild and vertical niche differ sharply among the three species, and because the contaminant signature of the Brahmaputra floodplain is dominated by geogenic arsenic in a way that Gangetic and Bangladeshi comparators are not. Anadromy makes hilsa a distinct case, since tissue burdens integrate marine, estuarine and riverine exposure and the provenance of hilsa sold in regional markets is largely undocumented. Recurrent methodological weaknesses further constrain inference: inconsistent reporting of wet or dry mass, sparse quality-assurance documentation, neglect of arsenic speciation, absence of size and age standardisation, and risk calculations parameterised with consumption rates that are unlikely to describe North-East Indian diets. The most defensible conclusion is that regional risk remains undetermined rather than demonstrated to be either acceptable or unacceptable, and that species-resolved, speciation-aware and provenance-aware monitoring is the necessary next step.</w:t>
      </w:r>
    </w:p>
    <w:p w14:paraId="0D5E7AC3" w14:textId="77777777" w:rsidR="00CB42E7" w:rsidRDefault="00000000" w:rsidP="00817D95">
      <w:pPr>
        <w:keepNext/>
        <w:spacing w:before="260" w:after="140" w:line="300" w:lineRule="auto"/>
        <w:jc w:val="both"/>
      </w:pPr>
      <w:r>
        <w:rPr>
          <w:b/>
          <w:bCs/>
          <w:sz w:val="25"/>
          <w:szCs w:val="25"/>
        </w:rPr>
        <w:lastRenderedPageBreak/>
        <w:t>Keywords</w:t>
      </w:r>
    </w:p>
    <w:p w14:paraId="7C983BC4" w14:textId="77777777" w:rsidR="00CB42E7" w:rsidRDefault="00000000" w:rsidP="00817D95">
      <w:pPr>
        <w:spacing w:after="160" w:line="360" w:lineRule="auto"/>
        <w:jc w:val="both"/>
      </w:pPr>
      <w:r>
        <w:t xml:space="preserve">Arsenic speciation; bioaccumulation; Brahmaputra basin; dietary exposure assessment; </w:t>
      </w:r>
      <w:proofErr w:type="spellStart"/>
      <w:r>
        <w:rPr>
          <w:i/>
          <w:iCs/>
        </w:rPr>
        <w:t>Labeo</w:t>
      </w:r>
      <w:proofErr w:type="spellEnd"/>
      <w:r>
        <w:rPr>
          <w:i/>
          <w:iCs/>
        </w:rPr>
        <w:t xml:space="preserve"> </w:t>
      </w:r>
      <w:proofErr w:type="spellStart"/>
      <w:r>
        <w:rPr>
          <w:i/>
          <w:iCs/>
        </w:rPr>
        <w:t>rohita</w:t>
      </w:r>
      <w:proofErr w:type="spellEnd"/>
      <w:r>
        <w:t xml:space="preserve">; potentially toxic elements; </w:t>
      </w:r>
      <w:proofErr w:type="spellStart"/>
      <w:r>
        <w:rPr>
          <w:i/>
          <w:iCs/>
        </w:rPr>
        <w:t>Tenualosa</w:t>
      </w:r>
      <w:proofErr w:type="spellEnd"/>
      <w:r>
        <w:rPr>
          <w:i/>
          <w:iCs/>
        </w:rPr>
        <w:t xml:space="preserve"> </w:t>
      </w:r>
      <w:proofErr w:type="spellStart"/>
      <w:r>
        <w:rPr>
          <w:i/>
          <w:iCs/>
        </w:rPr>
        <w:t>ilisha</w:t>
      </w:r>
      <w:proofErr w:type="spellEnd"/>
      <w:r>
        <w:t>; tissue partitioning</w:t>
      </w:r>
    </w:p>
    <w:p w14:paraId="7739BF7E" w14:textId="77777777" w:rsidR="00CB42E7" w:rsidRDefault="00000000" w:rsidP="00817D95">
      <w:pPr>
        <w:keepNext/>
        <w:spacing w:before="260" w:after="140" w:line="300" w:lineRule="auto"/>
        <w:jc w:val="both"/>
      </w:pPr>
      <w:r>
        <w:rPr>
          <w:b/>
          <w:bCs/>
          <w:sz w:val="25"/>
          <w:szCs w:val="25"/>
        </w:rPr>
        <w:t>1. Introduction</w:t>
      </w:r>
    </w:p>
    <w:p w14:paraId="7D74372F" w14:textId="77777777" w:rsidR="00CB42E7" w:rsidRDefault="00000000" w:rsidP="00817D95">
      <w:pPr>
        <w:spacing w:after="160" w:line="360" w:lineRule="auto"/>
        <w:jc w:val="both"/>
      </w:pPr>
      <w:r>
        <w:t>North-East India occupies a distinctive position in the environmental geochemistry of South Asia. The region drains two large river systems, the Brahmaputra and the Barak, which rise in tectonically active and heavily weathered terrain, carry exceptionally high suspended sediment loads, and inundate extensive floodplains during a monsoon that delivers some of the highest rainfall totals recorded anywhere. Superimposed on this natural setting are anthropogenic pressures that have intensified over three decades: unsewered urban expansion around Guwahati and other valley towns, petroleum refining and tea cultivation across upper Assam, unregulated rat-hole coal extraction in the Meghalaya hills, and the progressive conversion of floodplain wetlands to settlement and agriculture. The resulting contaminant profile is unusual because a strong geogenic signal, principally arsenic mobilised from Holocene alluvium, coexists with metal inputs of clearly anthropogenic origin (Baruah et al., 2021; Patel et al., 2019).</w:t>
      </w:r>
    </w:p>
    <w:p w14:paraId="6E76145C" w14:textId="77777777" w:rsidR="00CB42E7" w:rsidRPr="00817D95" w:rsidRDefault="00000000" w:rsidP="00817D95">
      <w:pPr>
        <w:spacing w:after="160" w:line="360" w:lineRule="auto"/>
        <w:jc w:val="both"/>
      </w:pPr>
      <w:r>
        <w:t xml:space="preserve">Against this background, fish carries an importance that is simultaneously nutritional, economic and cultural. Freshwater and floodplain fisheries supply a substantial share of animal protein across Assam, Manipur, Tripura and the hill states, and three species dominate the consumed and traded biomass. </w:t>
      </w:r>
      <w:proofErr w:type="spellStart"/>
      <w:r>
        <w:t>Catla</w:t>
      </w:r>
      <w:proofErr w:type="spellEnd"/>
      <w:r>
        <w:t xml:space="preserve"> and rohu, the two Indian major carps that anchor pond and reservoir production as well as riverine capture, are consumed across all income groups. Hilsa, an anadromous clupeid of extraordinary cultural salience in the eastern subcontinent, reaches the region mainly through trade, its historical migratory access to the upper Ganga and Brahmaputra systems having been substantially curtailed. The species are not interchangeable ecologically. </w:t>
      </w:r>
      <w:proofErr w:type="spellStart"/>
      <w:r>
        <w:t>Catla</w:t>
      </w:r>
      <w:proofErr w:type="spellEnd"/>
      <w:r>
        <w:t xml:space="preserve"> feeds predominantly in the surface and sub-surface layers, rohu occupies the water </w:t>
      </w:r>
      <w:r w:rsidRPr="00817D95">
        <w:t>column and the sediment-water interface with a more benthopelagic habit, and hilsa spends much of its life at sea before entering rivers to spawn (Basak et al., 2026; Hossain et al., 2019).</w:t>
      </w:r>
    </w:p>
    <w:p w14:paraId="42F80B3A" w14:textId="77777777" w:rsidR="009C068F" w:rsidRPr="00817D95" w:rsidRDefault="00000000" w:rsidP="00817D95">
      <w:pPr>
        <w:spacing w:after="160" w:line="360" w:lineRule="auto"/>
        <w:jc w:val="both"/>
      </w:pPr>
      <w:r w:rsidRPr="00817D95">
        <w:rPr>
          <w:highlight w:val="yellow"/>
        </w:rPr>
        <w:t>Recent comparative evidence from South Asian freshwater systems similarly indicates that feeding zone, season and species identity can materially influence tissue metal burdens, reinforcing the need for species-resolved interpretation rather than transfer of results between taxa or sites (Kumari et al., 2025; Ujan et al., 2026).</w:t>
      </w:r>
    </w:p>
    <w:p w14:paraId="40D38903" w14:textId="77777777" w:rsidR="00CB42E7" w:rsidRPr="00817D95" w:rsidRDefault="00000000" w:rsidP="00817D95">
      <w:pPr>
        <w:spacing w:after="160" w:line="360" w:lineRule="auto"/>
        <w:jc w:val="both"/>
      </w:pPr>
      <w:r w:rsidRPr="00817D95">
        <w:t xml:space="preserve">Metal accumulation in fish is not a passive process. Uptake proceeds through the gill epithelium and the gastrointestinal tract, is modulated by water chemistry, competitive interactions among divalent cations and the chemical form of the element, and is followed by internal redistribution, sequestration by inducible ligands and, for essential elements, homeostatic regulation (Ali &amp; Khan, 2018; Le </w:t>
      </w:r>
      <w:proofErr w:type="spellStart"/>
      <w:r w:rsidRPr="00817D95">
        <w:t>Croizier</w:t>
      </w:r>
      <w:proofErr w:type="spellEnd"/>
      <w:r w:rsidRPr="00817D95">
        <w:t xml:space="preserve"> </w:t>
      </w:r>
      <w:r w:rsidRPr="00817D95">
        <w:lastRenderedPageBreak/>
        <w:t>et al., 2018). Non-essential elements such as cadmium, lead and mercury are regulated poorly or not at all and therefore accumulate with age and exposure duration, whereas zinc, copper and manganese are held within relatively narrow tissue ranges until regulatory capacity is exceeded. Trophic position further modifies burdens, though only mercury shows consistent biomagnification along aquatic food chains, most other metals being diluted or held approximately constant with increasing trophic level (Ali &amp; Khan, 2019). These distinctions matter because they determine whether an elevated concentration in water or sediment translates into an elevated concentration in edible muscle, and whether one species can be used to predict another.</w:t>
      </w:r>
    </w:p>
    <w:p w14:paraId="0E3C02DF" w14:textId="77777777" w:rsidR="009C068F" w:rsidRPr="00817D95" w:rsidRDefault="00000000" w:rsidP="00817D95">
      <w:pPr>
        <w:spacing w:after="160" w:line="360" w:lineRule="auto"/>
        <w:jc w:val="both"/>
      </w:pPr>
      <w:r w:rsidRPr="00817D95">
        <w:rPr>
          <w:highlight w:val="yellow"/>
        </w:rPr>
        <w:t>Recent experimental studies in rohu further show that chromium and cadmium exposure can produce tissue-specific accumulation together with oxidative, histological or nutritional alterations, underscoring the importance of contaminant-specific and tissue-resolved assessment (Ray et al., 2025; Begum et al., 2025).</w:t>
      </w:r>
    </w:p>
    <w:p w14:paraId="2F46E321" w14:textId="77777777" w:rsidR="00CB42E7" w:rsidRPr="00817D95" w:rsidRDefault="00000000" w:rsidP="00817D95">
      <w:pPr>
        <w:spacing w:after="160" w:line="360" w:lineRule="auto"/>
        <w:jc w:val="both"/>
      </w:pPr>
      <w:r w:rsidRPr="00817D95">
        <w:t>A considerable body of work now describes metal distributions in the abiotic compartments of the Brahmaputra and Barak systems. Bed sediments of the main stem and of tributaries such as the Bharali have been characterised for solid-phase speciation and mobility (Borah et al., 2018; Hoque et al., 2011; Tsering et al., 2020), seasonal partitioning between dissolved and particulate phases has been traced through the hydrological year (Gogoi et al., 2020), urban tributaries and Ramsar-listed wetlands have been assessed with contamination indices and receptor modelling (Bhuyan et al., 2023; Dash et al., 2019, 2020), and groundwater arsenic has been mapped across affected districts with both field campaigns and statistical prediction (Chetia et al., 2011; Nath et al., 2022). Comparable attention has not been directed at fish tissue. The imbalance is not merely quantitative. It shapes what can legitimately be claimed, because abiotic contamination establishes the potential for exposure without establishing its realisation.</w:t>
      </w:r>
    </w:p>
    <w:p w14:paraId="4D8432B8" w14:textId="77777777" w:rsidR="00CB42E7" w:rsidRDefault="00000000" w:rsidP="00817D95">
      <w:pPr>
        <w:spacing w:after="160" w:line="360" w:lineRule="auto"/>
        <w:jc w:val="both"/>
      </w:pPr>
      <w:r w:rsidRPr="00817D95">
        <w:t>Existing reviews compound rather than resolve this difficulty. Syntheses of metal bioaccumulation in Indian freshwater fish are typically national or global in scope, drawing predominantly on Gangetic, peninsular and Pakistani datasets, and they subsume North-East India within generalisations derived elsewhere. Reviews of the Brahmaputra basin, conversely, concentrate on hydrology, sediment geochemistry and groundwater quality, treating biota peripherally. Neither literature interrogates the inferential chain by which regional fish-consumption advice is currently</w:t>
      </w:r>
      <w:r>
        <w:t xml:space="preserve"> generated, and neither distinguishes the three commercially dominant species by their ecology. The consequence is a body of secondary literature in which confident claims about contaminated carp and hilsa in North-East India circulate without a primary evidential foundation that has been examined.</w:t>
      </w:r>
    </w:p>
    <w:p w14:paraId="639A8C7E" w14:textId="77777777" w:rsidR="00CB42E7" w:rsidRDefault="00000000" w:rsidP="00817D95">
      <w:pPr>
        <w:keepNext/>
        <w:spacing w:before="260" w:after="140" w:line="300" w:lineRule="auto"/>
        <w:jc w:val="both"/>
      </w:pPr>
      <w:r>
        <w:rPr>
          <w:b/>
          <w:bCs/>
          <w:sz w:val="23"/>
          <w:szCs w:val="23"/>
        </w:rPr>
        <w:lastRenderedPageBreak/>
        <w:t>1.1 Scope, Research Gap and Objectives</w:t>
      </w:r>
    </w:p>
    <w:p w14:paraId="3B0C9AD6" w14:textId="77777777" w:rsidR="00CB42E7" w:rsidRDefault="00000000" w:rsidP="00817D95">
      <w:pPr>
        <w:spacing w:after="160" w:line="360" w:lineRule="auto"/>
        <w:jc w:val="both"/>
      </w:pPr>
      <w:r>
        <w:t xml:space="preserve">This review is bounded to </w:t>
      </w:r>
      <w:proofErr w:type="spellStart"/>
      <w:r>
        <w:t>catla</w:t>
      </w:r>
      <w:proofErr w:type="spellEnd"/>
      <w:r>
        <w:t>, rohu and hilsa as consumed and captured in the eight states of North-East India, with the Brahmaputra and Barak drainage systems, their floodplain wetlands and the adjoining hill catchments as the geographical frame. It concerns metals and metalloids of toxicological or nutritional relevance in fish tissue, principally arsenic, cadmium, chromium, lead, mercury, nickel, copper, zinc, manganese and iron. Laboratory toxicity studies are considered only where they illuminate mechanisms of uptake, sequestration or regulation; they are not treated as evidence of field burdens. Organic contaminants, microplastics and radionuclides fall outside the scope, as do questions of fishery stock assessment and aquaculture productivity except where they bear on exposure pathways.</w:t>
      </w:r>
    </w:p>
    <w:p w14:paraId="6D9CCE25" w14:textId="77777777" w:rsidR="00CB42E7" w:rsidRDefault="00000000" w:rsidP="00817D95">
      <w:pPr>
        <w:spacing w:after="160" w:line="360" w:lineRule="auto"/>
        <w:jc w:val="both"/>
      </w:pPr>
      <w:r>
        <w:t>The gap addressed is specific. It is not that the region lacks contamination data, nor that carp and hilsa have never been analysed anywhere. It is that the chain of reasoning linking documented regional contamination to putative species-specific tissue burdens and consumer risk has never been assembled and tested, with the result that the regional evidence base is inferential in character while being presented and used as though it were observational. The distinction has practical weight, because consumption advisories, fishery management decisions and public communication in the region currently rest on this untested chain.</w:t>
      </w:r>
    </w:p>
    <w:p w14:paraId="339D4971" w14:textId="77777777" w:rsidR="00CB42E7" w:rsidRDefault="00000000" w:rsidP="00817D95">
      <w:pPr>
        <w:spacing w:after="160" w:line="360" w:lineRule="auto"/>
        <w:jc w:val="both"/>
      </w:pPr>
      <w:r>
        <w:t xml:space="preserve">Four objectives follow. The first is to establish what has genuinely been measured in fish tissue within North-East India and to separate this from what has been measured in abiotic compartments or in other regions. The second is to evaluate, link by link, the extrapolations on which regional claims depend, and to state where each </w:t>
      </w:r>
      <w:proofErr w:type="gramStart"/>
      <w:r>
        <w:t>fails</w:t>
      </w:r>
      <w:proofErr w:type="gramEnd"/>
      <w:r>
        <w:t>. The third is to appraise the methodological quality of the retrievable evidence against the requirements of defensible exposure assessment, with particular attention to speciation, tissue selection, sampling design and risk parameterisation. The fourth is to derive research priorities that are proportionate to the identified weaknesses rather than aspirational. The review deliberately excludes quantitative pooling of reported concentrations, since the heterogeneity of tissues, mass bases, species and analytical protocols across the retrieved studies would render any pooled estimate uninterpretable.</w:t>
      </w:r>
    </w:p>
    <w:p w14:paraId="34175263" w14:textId="77777777" w:rsidR="00CB42E7" w:rsidRDefault="00000000" w:rsidP="00817D95">
      <w:pPr>
        <w:keepNext/>
        <w:spacing w:before="260" w:after="140" w:line="300" w:lineRule="auto"/>
        <w:jc w:val="both"/>
      </w:pPr>
      <w:r>
        <w:rPr>
          <w:b/>
          <w:bCs/>
          <w:sz w:val="25"/>
          <w:szCs w:val="25"/>
        </w:rPr>
        <w:t>2. Methods for Literature Selection</w:t>
      </w:r>
    </w:p>
    <w:p w14:paraId="7DC06DBD" w14:textId="77777777" w:rsidR="00CB42E7" w:rsidRDefault="00000000" w:rsidP="00817D95">
      <w:pPr>
        <w:keepNext/>
        <w:spacing w:before="260" w:after="140" w:line="300" w:lineRule="auto"/>
        <w:jc w:val="both"/>
      </w:pPr>
      <w:r>
        <w:rPr>
          <w:b/>
          <w:bCs/>
          <w:sz w:val="23"/>
          <w:szCs w:val="23"/>
        </w:rPr>
        <w:t>2.1 Review Design and Rationale</w:t>
      </w:r>
    </w:p>
    <w:p w14:paraId="5A3EDA54" w14:textId="77777777" w:rsidR="00CB42E7" w:rsidRDefault="00000000" w:rsidP="00817D95">
      <w:pPr>
        <w:spacing w:after="160" w:line="360" w:lineRule="auto"/>
        <w:jc w:val="both"/>
      </w:pPr>
      <w:r>
        <w:t xml:space="preserve">A critical narrative design was selected because the review question concerns the structure and adequacy of an evidence base rather than the magnitude of a defined effect. A systematic review or meta-analysis presupposes a body of comparable studies addressing a common question with comparable outcome measures. That precondition is not met here: the retrievable studies differ in species, tissue, element suite, mass basis, analytical platform and geographical setting, and the central analytical task is to expose these incompatibilities rather than to average across them. A scoping review </w:t>
      </w:r>
      <w:r>
        <w:lastRenderedPageBreak/>
        <w:t>would map the literature without adjudicating the validity of the inferences drawn from it, which is precisely the deficiency this review seeks to remedy. Narrative synthesis is appropriate where the objective is interpretive integration across heterogeneous and partly incommensurable sources, provided that transparency of sources, explicitness of appraisal and calibration of claims to evidence are maintained (Greenhalgh et al., 2018).</w:t>
      </w:r>
    </w:p>
    <w:p w14:paraId="384AAD4C" w14:textId="77777777" w:rsidR="00CB42E7" w:rsidRDefault="00000000" w:rsidP="00817D95">
      <w:pPr>
        <w:spacing w:after="160" w:line="360" w:lineRule="auto"/>
        <w:jc w:val="both"/>
      </w:pPr>
      <w:r>
        <w:t>The absence of a formal protocol does not license opacity. The review was conducted against the quality dimensions articulated for narrative reviews, namely justification of importance, statement of aims, description of the literature search, referencing of claims, evidence-calibrated presentation and appropriate treatment of data (</w:t>
      </w:r>
      <w:proofErr w:type="spellStart"/>
      <w:r>
        <w:t>Baethge</w:t>
      </w:r>
      <w:proofErr w:type="spellEnd"/>
      <w:r>
        <w:t xml:space="preserve"> et al., 2019). Search sources, search period, eligibility rules and appraisal criteria are reported below so that the selection can be scrutinised and repeated, and evidential confidence is stated explicitly throughout the synthesis rather than left implicit.</w:t>
      </w:r>
    </w:p>
    <w:p w14:paraId="23E6FBDA" w14:textId="77777777" w:rsidR="00CB42E7" w:rsidRDefault="00000000" w:rsidP="00817D95">
      <w:pPr>
        <w:keepNext/>
        <w:spacing w:before="260" w:after="140" w:line="300" w:lineRule="auto"/>
        <w:jc w:val="both"/>
      </w:pPr>
      <w:r>
        <w:rPr>
          <w:b/>
          <w:bCs/>
          <w:sz w:val="23"/>
          <w:szCs w:val="23"/>
        </w:rPr>
        <w:t>2.2 Information Sources</w:t>
      </w:r>
    </w:p>
    <w:p w14:paraId="6F58995B" w14:textId="77777777" w:rsidR="00CB42E7" w:rsidRDefault="00000000" w:rsidP="00817D95">
      <w:pPr>
        <w:spacing w:after="160" w:line="360" w:lineRule="auto"/>
        <w:jc w:val="both"/>
      </w:pPr>
      <w:r>
        <w:t xml:space="preserve">Six scholarly information sources were searched: Europe PMC, PubMed, </w:t>
      </w:r>
      <w:proofErr w:type="spellStart"/>
      <w:r>
        <w:t>Crossref</w:t>
      </w:r>
      <w:proofErr w:type="spellEnd"/>
      <w:r>
        <w:t>, Semantic Scholar, the Directory of Open Access Journals and Google Scholar. Publisher and journal landing pages and Digital Object Identifier registry records were consulted to verify bibliographic details and to obtain full author lists, volume, issue, article numbers and pagination where indexing records were incomplete. Searching was supplemented by backward citation searching from retrieved reviews and primary studies, by forward and related-article searching within the retrieval platforms, and by targeted checks for corrections, expressions of concern and retractions affecting candidate sources. No claim is made to have searched subscription indexes to which access was unavailable, and the implications of that restriction are stated in the Limitations section.</w:t>
      </w:r>
    </w:p>
    <w:p w14:paraId="35003CFB" w14:textId="77777777" w:rsidR="00CB42E7" w:rsidRDefault="00000000" w:rsidP="00817D95">
      <w:pPr>
        <w:keepNext/>
        <w:spacing w:before="260" w:after="140" w:line="300" w:lineRule="auto"/>
        <w:jc w:val="both"/>
      </w:pPr>
      <w:r>
        <w:rPr>
          <w:b/>
          <w:bCs/>
          <w:sz w:val="23"/>
          <w:szCs w:val="23"/>
        </w:rPr>
        <w:t>2.3 Search Strategy and Search Period</w:t>
      </w:r>
    </w:p>
    <w:p w14:paraId="65304C03" w14:textId="77777777" w:rsidR="00CB42E7" w:rsidRDefault="00000000" w:rsidP="00817D95">
      <w:pPr>
        <w:spacing w:after="160" w:line="360" w:lineRule="auto"/>
        <w:jc w:val="both"/>
      </w:pPr>
      <w:r>
        <w:t>Search concepts were constructed from four axes: the target organisms, the contaminant class, the biological process, and the geographical setting. Organism terms combined scientific and vernacular usage, including current and superseded binomials, because much of the applied literature retains older nomenclature. Contaminant terms combined the collective descriptors with element-specific terms. Process terms captured accumulation, tissue distribution and exposure assessment. Geographical terms were nested from the regional to the sub-basin and district scale, and were also expressed hydrologically, since much regional work is indexed by river name rather than by state.</w:t>
      </w:r>
    </w:p>
    <w:p w14:paraId="08E0FF56" w14:textId="77777777" w:rsidR="00CB42E7" w:rsidRDefault="00000000" w:rsidP="00817D95">
      <w:pPr>
        <w:spacing w:after="160" w:line="360" w:lineRule="auto"/>
        <w:jc w:val="both"/>
      </w:pPr>
      <w:r>
        <w:t>Representative strings, adapted to the syntax of each source, took the following form. For the organism and contaminant axes: ("</w:t>
      </w:r>
      <w:proofErr w:type="spellStart"/>
      <w:r>
        <w:rPr>
          <w:i/>
          <w:iCs/>
        </w:rPr>
        <w:t>Labeo</w:t>
      </w:r>
      <w:proofErr w:type="spellEnd"/>
      <w:r>
        <w:rPr>
          <w:i/>
          <w:iCs/>
        </w:rPr>
        <w:t xml:space="preserve"> </w:t>
      </w:r>
      <w:proofErr w:type="spellStart"/>
      <w:r>
        <w:rPr>
          <w:i/>
          <w:iCs/>
        </w:rPr>
        <w:t>rohita</w:t>
      </w:r>
      <w:proofErr w:type="spellEnd"/>
      <w:r>
        <w:t>" OR "rohu" OR "</w:t>
      </w:r>
      <w:proofErr w:type="spellStart"/>
      <w:r>
        <w:rPr>
          <w:i/>
          <w:iCs/>
        </w:rPr>
        <w:t>Labeo</w:t>
      </w:r>
      <w:proofErr w:type="spellEnd"/>
      <w:r>
        <w:rPr>
          <w:i/>
          <w:iCs/>
        </w:rPr>
        <w:t xml:space="preserve"> </w:t>
      </w:r>
      <w:proofErr w:type="spellStart"/>
      <w:r>
        <w:rPr>
          <w:i/>
          <w:iCs/>
        </w:rPr>
        <w:t>catla</w:t>
      </w:r>
      <w:proofErr w:type="spellEnd"/>
      <w:r>
        <w:t>" OR "</w:t>
      </w:r>
      <w:proofErr w:type="spellStart"/>
      <w:r>
        <w:rPr>
          <w:i/>
          <w:iCs/>
        </w:rPr>
        <w:t>Catla</w:t>
      </w:r>
      <w:proofErr w:type="spellEnd"/>
      <w:r>
        <w:rPr>
          <w:i/>
          <w:iCs/>
        </w:rPr>
        <w:t xml:space="preserve"> </w:t>
      </w:r>
      <w:proofErr w:type="spellStart"/>
      <w:r>
        <w:rPr>
          <w:i/>
          <w:iCs/>
        </w:rPr>
        <w:t>catla</w:t>
      </w:r>
      <w:proofErr w:type="spellEnd"/>
      <w:r>
        <w:t>" OR "</w:t>
      </w:r>
      <w:proofErr w:type="spellStart"/>
      <w:r>
        <w:rPr>
          <w:i/>
          <w:iCs/>
        </w:rPr>
        <w:t>Gibelion</w:t>
      </w:r>
      <w:proofErr w:type="spellEnd"/>
      <w:r>
        <w:rPr>
          <w:i/>
          <w:iCs/>
        </w:rPr>
        <w:t xml:space="preserve"> </w:t>
      </w:r>
      <w:proofErr w:type="spellStart"/>
      <w:r>
        <w:rPr>
          <w:i/>
          <w:iCs/>
        </w:rPr>
        <w:t>catla</w:t>
      </w:r>
      <w:proofErr w:type="spellEnd"/>
      <w:r>
        <w:t>" OR "</w:t>
      </w:r>
      <w:proofErr w:type="spellStart"/>
      <w:r>
        <w:t>catla</w:t>
      </w:r>
      <w:proofErr w:type="spellEnd"/>
      <w:r>
        <w:t>" OR "Indian major carp" OR "</w:t>
      </w:r>
      <w:proofErr w:type="spellStart"/>
      <w:r>
        <w:rPr>
          <w:i/>
          <w:iCs/>
        </w:rPr>
        <w:t>Tenualosa</w:t>
      </w:r>
      <w:proofErr w:type="spellEnd"/>
      <w:r>
        <w:rPr>
          <w:i/>
          <w:iCs/>
        </w:rPr>
        <w:t xml:space="preserve"> </w:t>
      </w:r>
      <w:proofErr w:type="spellStart"/>
      <w:r>
        <w:rPr>
          <w:i/>
          <w:iCs/>
        </w:rPr>
        <w:t>ilisha</w:t>
      </w:r>
      <w:proofErr w:type="spellEnd"/>
      <w:r>
        <w:t>" OR "hilsa" OR "</w:t>
      </w:r>
      <w:proofErr w:type="spellStart"/>
      <w:r>
        <w:t>ilish</w:t>
      </w:r>
      <w:proofErr w:type="spellEnd"/>
      <w:r>
        <w:t xml:space="preserve">") AND ("heavy metal*" OR "trace metal*" OR "potentially toxic element*" OR "metalloid*" OR arsenic OR cadmium OR lead OR mercury OR chromium OR nickel OR zinc OR copper OR manganese). For the process </w:t>
      </w:r>
      <w:r>
        <w:lastRenderedPageBreak/>
        <w:t>and setting axes: (</w:t>
      </w:r>
      <w:proofErr w:type="spellStart"/>
      <w:r>
        <w:t>bioaccumulat</w:t>
      </w:r>
      <w:proofErr w:type="spellEnd"/>
      <w:r>
        <w:t xml:space="preserve">* OR </w:t>
      </w:r>
      <w:proofErr w:type="spellStart"/>
      <w:r>
        <w:t>accumulat</w:t>
      </w:r>
      <w:proofErr w:type="spellEnd"/>
      <w:r>
        <w:t>* OR "tissue distribution" OR "bioconcentration factor" OR "biota-sediment accumulation factor" OR "health risk" OR "target hazard quotient" OR "estimated daily intake") AND (Brahmaputra OR Barak OR Assam OR Meghalaya OR Manipur OR Tripura OR Nagaland OR Mizoram OR "Arunachal Pradesh" OR Sikkim OR "north-east India" OR "northeast India" OR "</w:t>
      </w:r>
      <w:proofErr w:type="spellStart"/>
      <w:r>
        <w:t>Deepor</w:t>
      </w:r>
      <w:proofErr w:type="spellEnd"/>
      <w:r>
        <w:t xml:space="preserve"> Beel" OR "</w:t>
      </w:r>
      <w:proofErr w:type="spellStart"/>
      <w:r>
        <w:t>Kolong</w:t>
      </w:r>
      <w:proofErr w:type="spellEnd"/>
      <w:r>
        <w:t>" OR "</w:t>
      </w:r>
      <w:proofErr w:type="spellStart"/>
      <w:r>
        <w:t>Loktak</w:t>
      </w:r>
      <w:proofErr w:type="spellEnd"/>
      <w:r>
        <w:t>" OR "</w:t>
      </w:r>
      <w:proofErr w:type="spellStart"/>
      <w:r>
        <w:t>Umiam</w:t>
      </w:r>
      <w:proofErr w:type="spellEnd"/>
      <w:r>
        <w:t>" OR "</w:t>
      </w:r>
      <w:proofErr w:type="spellStart"/>
      <w:r>
        <w:t>Simsang</w:t>
      </w:r>
      <w:proofErr w:type="spellEnd"/>
      <w:r>
        <w:t>" OR "</w:t>
      </w:r>
      <w:proofErr w:type="spellStart"/>
      <w:r>
        <w:t>Kopili</w:t>
      </w:r>
      <w:proofErr w:type="spellEnd"/>
      <w:r>
        <w:t xml:space="preserve">" OR </w:t>
      </w:r>
      <w:proofErr w:type="spellStart"/>
      <w:r>
        <w:t>beel</w:t>
      </w:r>
      <w:proofErr w:type="spellEnd"/>
      <w:r>
        <w:t>). Supplementary strings addressed the abiotic compartments, arsenic speciation, feeding-guild effects and narrative-review methodology.</w:t>
      </w:r>
    </w:p>
    <w:p w14:paraId="3AB03D77" w14:textId="77777777" w:rsidR="00CB42E7" w:rsidRDefault="00000000" w:rsidP="00817D95">
      <w:pPr>
        <w:spacing w:after="160" w:line="360" w:lineRule="auto"/>
        <w:jc w:val="both"/>
      </w:pPr>
      <w:r>
        <w:t xml:space="preserve">The search period ran from 1 January 1990 to 17 June </w:t>
      </w:r>
      <w:proofErr w:type="gramStart"/>
      <w:r>
        <w:t>2026,</w:t>
      </w:r>
      <w:proofErr w:type="gramEnd"/>
      <w:r>
        <w:t xml:space="preserve"> the final search having been conducted on 17 June 2026. The starting year reflects the point from which systematic environmental metal monitoring in the Brahmaputra and Barak catchments becomes retrievable in the indexed literature; earlier publications were admitted where they were necessary to establish historical baselines or foundational method.</w:t>
      </w:r>
    </w:p>
    <w:p w14:paraId="1632D30D" w14:textId="77777777" w:rsidR="00CB42E7" w:rsidRDefault="00000000" w:rsidP="00817D95">
      <w:pPr>
        <w:keepNext/>
        <w:spacing w:before="260" w:after="140" w:line="300" w:lineRule="auto"/>
        <w:jc w:val="both"/>
      </w:pPr>
      <w:r>
        <w:rPr>
          <w:b/>
          <w:bCs/>
          <w:sz w:val="23"/>
          <w:szCs w:val="23"/>
        </w:rPr>
        <w:t>2.4 Eligibility Criteria</w:t>
      </w:r>
    </w:p>
    <w:p w14:paraId="36D764E0" w14:textId="77777777" w:rsidR="00CB42E7" w:rsidRDefault="00000000" w:rsidP="00817D95">
      <w:pPr>
        <w:spacing w:after="160" w:line="360" w:lineRule="auto"/>
        <w:jc w:val="both"/>
      </w:pPr>
      <w:r>
        <w:t>Peer-reviewed primary studies, systematic and narrative reviews, and methodological papers were eligible. Studies were included where they reported measured concentrations of metals or metalloids in fish tissue, in the abiotic compartments of the study region, or in adjacent basins where the data bore directly on the extrapolation questions under examination; where they addressed mechanisms of uptake, sequestration or regulation relevant to interpreting field burdens; or where they addressed the conduct or appraisal of narrative reviews. Publications in English were eligible without restriction on country of origin.</w:t>
      </w:r>
    </w:p>
    <w:p w14:paraId="0045C656" w14:textId="77777777" w:rsidR="00CB42E7" w:rsidRDefault="00000000" w:rsidP="00817D95">
      <w:pPr>
        <w:spacing w:after="160" w:line="360" w:lineRule="auto"/>
        <w:jc w:val="both"/>
      </w:pPr>
      <w:r>
        <w:t>Studies were excluded where bibliographic identity could not be confirmed against an authoritative record, where the outlet showed features inconsistent with functioning peer review, where results were reported without any indication of analytical method, and where laboratory exposure experiments were presented as evidence of environmental burdens. Preprints were excluded in favour of peer-reviewed evidence. Conference abstracts, theses, promotional material and secondary compilations without primary data were excluded. Publications appearing after the final search date were not incorporated, including sources identified during verification whose online publication postdated 17 June 2026.</w:t>
      </w:r>
    </w:p>
    <w:p w14:paraId="0FD6865F" w14:textId="77777777" w:rsidR="00CB42E7" w:rsidRDefault="00000000" w:rsidP="00817D95">
      <w:pPr>
        <w:keepNext/>
        <w:spacing w:before="260" w:after="140" w:line="300" w:lineRule="auto"/>
        <w:jc w:val="both"/>
      </w:pPr>
      <w:r>
        <w:rPr>
          <w:b/>
          <w:bCs/>
          <w:sz w:val="23"/>
          <w:szCs w:val="23"/>
        </w:rPr>
        <w:t>2.5 Screening, Duplicate Handling and Study Selection</w:t>
      </w:r>
    </w:p>
    <w:p w14:paraId="33ED95AC" w14:textId="77777777" w:rsidR="00CB42E7" w:rsidRDefault="00000000" w:rsidP="00817D95">
      <w:pPr>
        <w:spacing w:after="160" w:line="360" w:lineRule="auto"/>
        <w:jc w:val="both"/>
      </w:pPr>
      <w:r>
        <w:t xml:space="preserve">Records were screened first by title and abstract against the eligibility criteria, then at full text or, where full text was inaccessible, against the abstract together with any structured metadata sufficient to establish species, matrix, elements and setting. Studies whose relevance could not be established at that level were not carried forward. Duplicates arising from overlapping coverage of the search sources were identified by Digital Object Identifier where available and otherwise by matching of author, title, journal, volume and pagination; preprint and version-of-record pairs were resolved in favour of the </w:t>
      </w:r>
      <w:r>
        <w:lastRenderedPageBreak/>
        <w:t>version of record. Where indexing records disagreed on year, volume or pagination, the publisher record was treated as authoritative and the year of the version of record was adopted. No numerical screening counts are reported, since the selection process was purposive and iterative rather than systematic, and reporting counts would misrepresent its character.</w:t>
      </w:r>
    </w:p>
    <w:p w14:paraId="3C93C14E" w14:textId="77777777" w:rsidR="00CB42E7" w:rsidRDefault="00000000" w:rsidP="00817D95">
      <w:pPr>
        <w:keepNext/>
        <w:spacing w:before="260" w:after="140" w:line="300" w:lineRule="auto"/>
        <w:jc w:val="both"/>
      </w:pPr>
      <w:r>
        <w:rPr>
          <w:b/>
          <w:bCs/>
          <w:sz w:val="23"/>
          <w:szCs w:val="23"/>
        </w:rPr>
        <w:t>2.6 Critical Appraisal and Evidence Synthesis</w:t>
      </w:r>
    </w:p>
    <w:p w14:paraId="0B6BA6E1" w14:textId="77777777" w:rsidR="00CB42E7" w:rsidRDefault="00000000" w:rsidP="00817D95">
      <w:pPr>
        <w:spacing w:after="160" w:line="360" w:lineRule="auto"/>
        <w:jc w:val="both"/>
      </w:pPr>
      <w:r>
        <w:t>Each included empirical study was appraised against criteria appropriate to environmental exposure research: clarity of sampling design including site selection, replication and seasonal coverage; specification of species identity, size and life stage; explicit statement of tissue and mass basis; description of digestion and instrumental procedure; documentation of quality assurance through certified reference materials, spike recovery, blanks and detection limits; adequacy of statistical treatment; and transparency in the parameterisation of any exposure or risk calculation. No formal risk-of-bias instrument was applied, since no recognised tool exists for this study type and the reporting in many retrieved sources would not support scored appraisal.</w:t>
      </w:r>
    </w:p>
    <w:p w14:paraId="3BEDBB8A" w14:textId="77777777" w:rsidR="00CB42E7" w:rsidRDefault="00000000" w:rsidP="00817D95">
      <w:pPr>
        <w:spacing w:after="160" w:line="360" w:lineRule="auto"/>
        <w:jc w:val="both"/>
      </w:pPr>
      <w:r>
        <w:t>Synthesis proceeded thematically. Studies were grouped by the inferential role they could play rather than by chronology or geography: direct regional evidence for the target species, surrogate regional evidence from other taxa, external evidence for the target species from other basins, abiotic evidence establishing exposure potential, and mechanistic evidence constraining interpretation. Disagreement among studies was interpreted by examining whether it originated in genuine environmental heterogeneity, in species and tissue differences, or in methodological artefact, and this diagnosis is stated wherever conflicting results are presented. Where evidence was sparse, the sparseness is reported as a finding rather than filled by inference.</w:t>
      </w:r>
    </w:p>
    <w:p w14:paraId="2A4060A5" w14:textId="77777777" w:rsidR="00CB42E7" w:rsidRDefault="00000000" w:rsidP="00817D95">
      <w:pPr>
        <w:keepNext/>
        <w:spacing w:before="260" w:after="140" w:line="300" w:lineRule="auto"/>
        <w:jc w:val="both"/>
      </w:pPr>
      <w:r>
        <w:rPr>
          <w:b/>
          <w:bCs/>
          <w:sz w:val="25"/>
          <w:szCs w:val="25"/>
        </w:rPr>
        <w:t>3. Contaminant Pressures in the Brahmaputra and Barak Systems and Adjoining Catchments</w:t>
      </w:r>
    </w:p>
    <w:p w14:paraId="02C866AC" w14:textId="77777777" w:rsidR="00CB42E7" w:rsidRDefault="00000000" w:rsidP="00817D95">
      <w:pPr>
        <w:spacing w:after="160" w:line="360" w:lineRule="auto"/>
        <w:jc w:val="both"/>
      </w:pPr>
      <w:r>
        <w:t>Any assessment of bioaccumulation must begin with the exposure field, and in North-East India that field is unusually heterogeneous. Four pressure regimes can be distinguished, each with a characteristic element signature and each implying a different exposure pathway for fish.</w:t>
      </w:r>
    </w:p>
    <w:p w14:paraId="5D1787F5" w14:textId="77777777" w:rsidR="00CB42E7" w:rsidRDefault="00000000" w:rsidP="00817D95">
      <w:pPr>
        <w:keepNext/>
        <w:spacing w:before="260" w:after="140" w:line="300" w:lineRule="auto"/>
        <w:jc w:val="both"/>
      </w:pPr>
      <w:r>
        <w:rPr>
          <w:b/>
          <w:bCs/>
          <w:sz w:val="23"/>
          <w:szCs w:val="23"/>
        </w:rPr>
        <w:t>3.1 Geogenic arsenic and redox-controlled mobilisation</w:t>
      </w:r>
    </w:p>
    <w:p w14:paraId="6AC7BA0A" w14:textId="77777777" w:rsidR="00CB42E7" w:rsidRDefault="00000000" w:rsidP="00817D95">
      <w:pPr>
        <w:spacing w:after="160" w:line="360" w:lineRule="auto"/>
        <w:jc w:val="both"/>
      </w:pPr>
      <w:r>
        <w:t xml:space="preserve">The dominant regional signal is arsenic released from Holocene alluvial sediments under reducing conditions. Depth-resolved work across the Brahmaputra alluvium has shown that arsenic mobilisation is layered rather than uniform, with redox conditions varying systematically along the vertical profile and with co-enrichment of several other elements following the same redox controls (Patel et al., 2019). District-scale assessments in </w:t>
      </w:r>
      <w:proofErr w:type="spellStart"/>
      <w:r>
        <w:t>Golaghat</w:t>
      </w:r>
      <w:proofErr w:type="spellEnd"/>
      <w:r>
        <w:t xml:space="preserve"> and </w:t>
      </w:r>
      <w:proofErr w:type="spellStart"/>
      <w:r>
        <w:t>Barpeta</w:t>
      </w:r>
      <w:proofErr w:type="spellEnd"/>
      <w:r>
        <w:t xml:space="preserve"> established that affected groundwaters exceed drinking-water guidance and carry associated iron and manganese burdens (Chetia et al., 2011; </w:t>
      </w:r>
      <w:proofErr w:type="spellStart"/>
      <w:r>
        <w:t>Haloi</w:t>
      </w:r>
      <w:proofErr w:type="spellEnd"/>
      <w:r>
        <w:t xml:space="preserve"> </w:t>
      </w:r>
      <w:r>
        <w:lastRenderedPageBreak/>
        <w:t>&amp; Sarma, 2012), and subsequent work across the upper floodplains extended the element suite and quantified associated exposure (Dutta et al., 2022). Predictive mapping in the two most affected districts indicates that the affected population is substantial and that distribution is patchy at the scale at which households draw water (Nath et al., 2022). On Majuli, exposure coexists with limited public awareness of risk, which has implications for the reception of any subsequent dietary advisory (Goswami et al., 2020).</w:t>
      </w:r>
    </w:p>
    <w:p w14:paraId="0B390207" w14:textId="77777777" w:rsidR="00CB42E7" w:rsidRDefault="00000000" w:rsidP="00817D95">
      <w:pPr>
        <w:spacing w:after="160" w:line="360" w:lineRule="auto"/>
        <w:jc w:val="both"/>
      </w:pPr>
      <w:r>
        <w:t>For fish exposure, the critical point is that this arsenic is largely dissolved and reduced in the subsurface, and its transfer to surface waters is neither uniform nor well quantified. Bed sediment studies on the main stem show arsenic present alongside copper and zinc in phases whose mobility depends on redox and pH conditions that shift through the hydrological year (Borah et al., 2018). Whether that reservoir becomes bioavailable to benthic and benthopelagic feeders depends on partitioning behaviour that has been characterised for the abiotic phases but not traced into biota (Gogoi et al., 2020; Tsering et al., 2020).</w:t>
      </w:r>
    </w:p>
    <w:p w14:paraId="250F8BB4" w14:textId="77777777" w:rsidR="00CB42E7" w:rsidRDefault="00000000" w:rsidP="00817D95">
      <w:pPr>
        <w:keepNext/>
        <w:spacing w:before="260" w:after="140" w:line="300" w:lineRule="auto"/>
        <w:jc w:val="both"/>
      </w:pPr>
      <w:r>
        <w:rPr>
          <w:b/>
          <w:bCs/>
          <w:sz w:val="23"/>
          <w:szCs w:val="23"/>
        </w:rPr>
        <w:t>3.2 Urban, industrial and mining pressures</w:t>
      </w:r>
    </w:p>
    <w:p w14:paraId="606F44F7" w14:textId="77777777" w:rsidR="00CB42E7" w:rsidRDefault="00000000" w:rsidP="00817D95">
      <w:pPr>
        <w:spacing w:after="160" w:line="360" w:lineRule="auto"/>
        <w:jc w:val="both"/>
      </w:pPr>
      <w:r>
        <w:t xml:space="preserve">A second regime is anthropogenic and spatially concentrated. The Bharalu, which drains central Guwahati before joining the Brahmaputra, carries sediment metal concentrations indicative of untreated municipal and commercial discharge (Bhuyan et al., 2023), and main-stem monitoring across Dibrugarh, Guwahati and Dhubri found the highest pollution index values at the Guwahati station (Hazarika &amp; Kalita, 2020). The adjacent Ramsar-listed </w:t>
      </w:r>
      <w:proofErr w:type="spellStart"/>
      <w:r>
        <w:t>Deepor</w:t>
      </w:r>
      <w:proofErr w:type="spellEnd"/>
      <w:r>
        <w:t xml:space="preserve"> Beel shows sediment contamination that indexing and receptor modelling attribute to a combination of municipal waste disposal, drainage and traffic-related sources (Dash et al., 2019, 2020). Earlier work in the Shillong streams documented metal transfer from water into periphytic algae, detritus and insects, establishing that transfer to biota occurs in the region’s urbanised hill catchments even where concentrations are modest (Gupta, 1996), and comparative sampling of a riverine and a lacustrine gastropod population demonstrated that accumulation differs between habitats subject to the same regional inputs (Gupta, 1998).</w:t>
      </w:r>
    </w:p>
    <w:p w14:paraId="27B5A9FF" w14:textId="77777777" w:rsidR="00CB42E7" w:rsidRDefault="00000000" w:rsidP="00817D95">
      <w:pPr>
        <w:spacing w:after="160" w:line="360" w:lineRule="auto"/>
        <w:jc w:val="both"/>
      </w:pPr>
      <w:r>
        <w:t xml:space="preserve">A third regime is specific to the Meghalaya coal belts. Unregulated extraction has produced acid mine drainage that depresses stream pH and elevates sulphate and iron in the Jaintia Hills (Das &amp; </w:t>
      </w:r>
      <w:proofErr w:type="spellStart"/>
      <w:r>
        <w:t>Semy</w:t>
      </w:r>
      <w:proofErr w:type="spellEnd"/>
      <w:r>
        <w:t xml:space="preserve">, 2023), with comparable conditions in the Garo Hills where affected reaches of the </w:t>
      </w:r>
      <w:proofErr w:type="spellStart"/>
      <w:r>
        <w:t>Simsang</w:t>
      </w:r>
      <w:proofErr w:type="spellEnd"/>
      <w:r>
        <w:t xml:space="preserve"> River show low pH, elevated sulphate and iron above permissible limits together with polycyclic aromatic hydrocarbon contamination (Talukdar et al., 2016). Acidification alters metal speciation and increases the free-ion fraction of several divalent metals, which is the fraction most available for gill uptake, so this regime is likely to be disproportionately important for bioaccumulation relative to its spatial extent.</w:t>
      </w:r>
    </w:p>
    <w:p w14:paraId="7F47758C" w14:textId="77777777" w:rsidR="00CB42E7" w:rsidRDefault="00000000" w:rsidP="00817D95">
      <w:pPr>
        <w:keepNext/>
        <w:spacing w:before="260" w:after="140" w:line="300" w:lineRule="auto"/>
        <w:jc w:val="both"/>
      </w:pPr>
      <w:r>
        <w:rPr>
          <w:b/>
          <w:bCs/>
          <w:sz w:val="23"/>
          <w:szCs w:val="23"/>
        </w:rPr>
        <w:lastRenderedPageBreak/>
        <w:t>3.3 Hydrological pulsing and the wetland-floodplain interface</w:t>
      </w:r>
    </w:p>
    <w:p w14:paraId="73757ADC" w14:textId="77777777" w:rsidR="00CB42E7" w:rsidRDefault="00000000" w:rsidP="00817D95">
      <w:pPr>
        <w:spacing w:after="160" w:line="360" w:lineRule="auto"/>
        <w:jc w:val="both"/>
      </w:pPr>
      <w:r>
        <w:t xml:space="preserve">The fourth regime is temporal rather than spatial. Metal phase distributions in the Brahmaputra vary seasonally in ways that shift the balance between dissolved and particle-bound fractions (Gogoi et al., 2020), and flooding remobilises catchment deposits into both surface water and shallow groundwater, with measurable increases in metal concentrations after inundation and severe pollution index values in affected riverine settlements (Kalita &amp; Das, 2025). Agricultural soils of the lower valley carry metal and metalloid burdens sufficient to generate estimated exposure through the rice pathway (Baruah et al., 2021), and these soils are hydrologically continuous with the floodplain wetlands in which carps are captured and cultured. In Manipur, macrophytes of </w:t>
      </w:r>
      <w:proofErr w:type="spellStart"/>
      <w:r>
        <w:t>Loktak</w:t>
      </w:r>
      <w:proofErr w:type="spellEnd"/>
      <w:r>
        <w:t xml:space="preserve"> Lake accumulate metals to concentrations that in several cases exceed guidance for edible plants, indicating that the transfer of metals into the wetland food base is occurring (Laishram et al., 2023).</w:t>
      </w:r>
    </w:p>
    <w:p w14:paraId="7CF745A0" w14:textId="77777777" w:rsidR="00CB42E7" w:rsidRDefault="00000000" w:rsidP="00817D95">
      <w:pPr>
        <w:spacing w:after="160" w:line="360" w:lineRule="auto"/>
        <w:jc w:val="both"/>
      </w:pPr>
      <w:r>
        <w:t xml:space="preserve">The practical implication of this heterogeneity is that a single regional characterisation of exposure is untenable. A rohu captured in a Nagaon oxbow, a </w:t>
      </w:r>
      <w:proofErr w:type="spellStart"/>
      <w:r>
        <w:t>catla</w:t>
      </w:r>
      <w:proofErr w:type="spellEnd"/>
      <w:r>
        <w:t xml:space="preserve"> harvested from a Barak valley </w:t>
      </w:r>
      <w:proofErr w:type="spellStart"/>
      <w:r>
        <w:t>beel</w:t>
      </w:r>
      <w:proofErr w:type="spellEnd"/>
      <w:r>
        <w:t xml:space="preserve"> and a hilsa landed in a Guwahati market have exposure histories that share almost nothing beyond the name of the region. The following table sets out the principal pressure regimes, the elements implicated in each, and the specific reason why each body of evidence cannot by itself support a statement about tissue burdens in the three target species. Its purpose is diagnostic: read across the final two columns, it shows that the regional literature is rich in exposure-potential data and almost silent on exposure realisation, and that this silence is not confined to one sub-region but is general.</w:t>
      </w:r>
    </w:p>
    <w:p w14:paraId="35370722" w14:textId="77777777" w:rsidR="00CB42E7" w:rsidRDefault="00000000" w:rsidP="00817D95">
      <w:pPr>
        <w:keepNext/>
        <w:spacing w:before="200" w:after="100" w:line="260" w:lineRule="auto"/>
        <w:jc w:val="both"/>
      </w:pPr>
      <w:r>
        <w:rPr>
          <w:b/>
          <w:bCs/>
          <w:sz w:val="20"/>
          <w:szCs w:val="20"/>
        </w:rPr>
        <w:t>Table 1. Principal contaminant pressure regimes across North-East India and their evidential standing for fish tissue exposure.</w:t>
      </w:r>
    </w:p>
    <w:tbl>
      <w:tblPr>
        <w:tblW w:w="9026" w:type="dxa"/>
        <w:tblBorders>
          <w:top w:val="single" w:sz="4" w:space="0" w:color="444444"/>
          <w:left w:val="single" w:sz="2" w:space="0" w:color="999999"/>
          <w:bottom w:val="single" w:sz="4" w:space="0" w:color="444444"/>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1500"/>
        <w:gridCol w:w="1600"/>
        <w:gridCol w:w="1700"/>
        <w:gridCol w:w="2300"/>
        <w:gridCol w:w="1926"/>
      </w:tblGrid>
      <w:tr w:rsidR="00CB42E7" w14:paraId="45E79DB5" w14:textId="77777777">
        <w:trPr>
          <w:tblHeader/>
        </w:trPr>
        <w:tc>
          <w:tcPr>
            <w:tcW w:w="1500" w:type="dxa"/>
            <w:shd w:val="clear" w:color="auto" w:fill="E8E8E8"/>
            <w:tcMar>
              <w:top w:w="60" w:type="dxa"/>
              <w:left w:w="90" w:type="dxa"/>
              <w:bottom w:w="60" w:type="dxa"/>
              <w:right w:w="90" w:type="dxa"/>
            </w:tcMar>
          </w:tcPr>
          <w:p w14:paraId="1B196E82" w14:textId="77777777" w:rsidR="00CB42E7" w:rsidRDefault="00000000" w:rsidP="00817D95">
            <w:pPr>
              <w:jc w:val="both"/>
            </w:pPr>
            <w:r>
              <w:rPr>
                <w:b/>
                <w:bCs/>
                <w:sz w:val="17"/>
                <w:szCs w:val="17"/>
              </w:rPr>
              <w:t>Sub-region or setting</w:t>
            </w:r>
          </w:p>
        </w:tc>
        <w:tc>
          <w:tcPr>
            <w:tcW w:w="1600" w:type="dxa"/>
            <w:shd w:val="clear" w:color="auto" w:fill="E8E8E8"/>
            <w:tcMar>
              <w:top w:w="60" w:type="dxa"/>
              <w:left w:w="90" w:type="dxa"/>
              <w:bottom w:w="60" w:type="dxa"/>
              <w:right w:w="90" w:type="dxa"/>
            </w:tcMar>
          </w:tcPr>
          <w:p w14:paraId="39B12BD2" w14:textId="77777777" w:rsidR="00CB42E7" w:rsidRDefault="00000000" w:rsidP="00817D95">
            <w:pPr>
              <w:jc w:val="both"/>
            </w:pPr>
            <w:r>
              <w:rPr>
                <w:b/>
                <w:bCs/>
                <w:sz w:val="17"/>
                <w:szCs w:val="17"/>
              </w:rPr>
              <w:t>Elements principally implicated</w:t>
            </w:r>
          </w:p>
        </w:tc>
        <w:tc>
          <w:tcPr>
            <w:tcW w:w="1700" w:type="dxa"/>
            <w:shd w:val="clear" w:color="auto" w:fill="E8E8E8"/>
            <w:tcMar>
              <w:top w:w="60" w:type="dxa"/>
              <w:left w:w="90" w:type="dxa"/>
              <w:bottom w:w="60" w:type="dxa"/>
              <w:right w:w="90" w:type="dxa"/>
            </w:tcMar>
          </w:tcPr>
          <w:p w14:paraId="5CEAF2C6" w14:textId="77777777" w:rsidR="00CB42E7" w:rsidRDefault="00000000" w:rsidP="00817D95">
            <w:pPr>
              <w:jc w:val="both"/>
            </w:pPr>
            <w:r>
              <w:rPr>
                <w:b/>
                <w:bCs/>
                <w:sz w:val="17"/>
                <w:szCs w:val="17"/>
              </w:rPr>
              <w:t>Dominant driver</w:t>
            </w:r>
          </w:p>
        </w:tc>
        <w:tc>
          <w:tcPr>
            <w:tcW w:w="2300" w:type="dxa"/>
            <w:shd w:val="clear" w:color="auto" w:fill="E8E8E8"/>
            <w:tcMar>
              <w:top w:w="60" w:type="dxa"/>
              <w:left w:w="90" w:type="dxa"/>
              <w:bottom w:w="60" w:type="dxa"/>
              <w:right w:w="90" w:type="dxa"/>
            </w:tcMar>
          </w:tcPr>
          <w:p w14:paraId="3C708DD1" w14:textId="77777777" w:rsidR="00CB42E7" w:rsidRDefault="00000000" w:rsidP="00817D95">
            <w:pPr>
              <w:jc w:val="both"/>
            </w:pPr>
            <w:r>
              <w:rPr>
                <w:b/>
                <w:bCs/>
                <w:sz w:val="17"/>
                <w:szCs w:val="17"/>
              </w:rPr>
              <w:t>Evidential basis and its limitation for the target species</w:t>
            </w:r>
          </w:p>
        </w:tc>
        <w:tc>
          <w:tcPr>
            <w:tcW w:w="1926" w:type="dxa"/>
            <w:shd w:val="clear" w:color="auto" w:fill="E8E8E8"/>
            <w:tcMar>
              <w:top w:w="60" w:type="dxa"/>
              <w:left w:w="90" w:type="dxa"/>
              <w:bottom w:w="60" w:type="dxa"/>
              <w:right w:w="90" w:type="dxa"/>
            </w:tcMar>
          </w:tcPr>
          <w:p w14:paraId="44FD5661" w14:textId="77777777" w:rsidR="00CB42E7" w:rsidRDefault="00000000" w:rsidP="00817D95">
            <w:pPr>
              <w:jc w:val="both"/>
            </w:pPr>
            <w:r>
              <w:rPr>
                <w:b/>
                <w:bCs/>
                <w:sz w:val="17"/>
                <w:szCs w:val="17"/>
              </w:rPr>
              <w:t>Supporting references</w:t>
            </w:r>
          </w:p>
        </w:tc>
      </w:tr>
      <w:tr w:rsidR="00CB42E7" w14:paraId="2F103C40" w14:textId="77777777">
        <w:tc>
          <w:tcPr>
            <w:tcW w:w="1500" w:type="dxa"/>
            <w:tcMar>
              <w:top w:w="60" w:type="dxa"/>
              <w:left w:w="90" w:type="dxa"/>
              <w:bottom w:w="60" w:type="dxa"/>
              <w:right w:w="90" w:type="dxa"/>
            </w:tcMar>
          </w:tcPr>
          <w:p w14:paraId="6199F3C1" w14:textId="77777777" w:rsidR="00CB42E7" w:rsidRDefault="00000000" w:rsidP="00817D95">
            <w:pPr>
              <w:jc w:val="both"/>
            </w:pPr>
            <w:r>
              <w:rPr>
                <w:sz w:val="17"/>
                <w:szCs w:val="17"/>
              </w:rPr>
              <w:t>Upper and mid Brahmaputra floodplain (</w:t>
            </w:r>
            <w:proofErr w:type="spellStart"/>
            <w:r>
              <w:rPr>
                <w:sz w:val="17"/>
                <w:szCs w:val="17"/>
              </w:rPr>
              <w:t>Golaghat</w:t>
            </w:r>
            <w:proofErr w:type="spellEnd"/>
            <w:r>
              <w:rPr>
                <w:sz w:val="17"/>
                <w:szCs w:val="17"/>
              </w:rPr>
              <w:t xml:space="preserve">, </w:t>
            </w:r>
            <w:proofErr w:type="spellStart"/>
            <w:r>
              <w:rPr>
                <w:sz w:val="17"/>
                <w:szCs w:val="17"/>
              </w:rPr>
              <w:t>Barpeta</w:t>
            </w:r>
            <w:proofErr w:type="spellEnd"/>
            <w:r>
              <w:rPr>
                <w:sz w:val="17"/>
                <w:szCs w:val="17"/>
              </w:rPr>
              <w:t>, Majuli, Nagaon)</w:t>
            </w:r>
          </w:p>
        </w:tc>
        <w:tc>
          <w:tcPr>
            <w:tcW w:w="1600" w:type="dxa"/>
            <w:tcMar>
              <w:top w:w="60" w:type="dxa"/>
              <w:left w:w="90" w:type="dxa"/>
              <w:bottom w:w="60" w:type="dxa"/>
              <w:right w:w="90" w:type="dxa"/>
            </w:tcMar>
          </w:tcPr>
          <w:p w14:paraId="6A292C7F" w14:textId="77777777" w:rsidR="00CB42E7" w:rsidRDefault="00000000" w:rsidP="00817D95">
            <w:pPr>
              <w:jc w:val="both"/>
            </w:pPr>
            <w:r>
              <w:rPr>
                <w:sz w:val="17"/>
                <w:szCs w:val="17"/>
              </w:rPr>
              <w:t>Arsenic, iron, manganese, with co-enriched trace elements</w:t>
            </w:r>
          </w:p>
        </w:tc>
        <w:tc>
          <w:tcPr>
            <w:tcW w:w="1700" w:type="dxa"/>
            <w:tcMar>
              <w:top w:w="60" w:type="dxa"/>
              <w:left w:w="90" w:type="dxa"/>
              <w:bottom w:w="60" w:type="dxa"/>
              <w:right w:w="90" w:type="dxa"/>
            </w:tcMar>
          </w:tcPr>
          <w:p w14:paraId="489CE7DE" w14:textId="77777777" w:rsidR="00CB42E7" w:rsidRDefault="00000000" w:rsidP="00817D95">
            <w:pPr>
              <w:jc w:val="both"/>
            </w:pPr>
            <w:r>
              <w:rPr>
                <w:sz w:val="17"/>
                <w:szCs w:val="17"/>
              </w:rPr>
              <w:t>Reductive mobilisation from Holocene alluvium; redox stratification with depth</w:t>
            </w:r>
          </w:p>
        </w:tc>
        <w:tc>
          <w:tcPr>
            <w:tcW w:w="2300" w:type="dxa"/>
            <w:tcMar>
              <w:top w:w="60" w:type="dxa"/>
              <w:left w:w="90" w:type="dxa"/>
              <w:bottom w:w="60" w:type="dxa"/>
              <w:right w:w="90" w:type="dxa"/>
            </w:tcMar>
          </w:tcPr>
          <w:p w14:paraId="4678006C" w14:textId="77777777" w:rsidR="00CB42E7" w:rsidRDefault="00000000" w:rsidP="00817D95">
            <w:pPr>
              <w:jc w:val="both"/>
            </w:pPr>
            <w:r>
              <w:rPr>
                <w:sz w:val="17"/>
                <w:szCs w:val="17"/>
              </w:rPr>
              <w:t>Groundwater and depth-profile sediment measurements; no paired measurement in fish tissue, and no quantification of transfer from subsurface to surface waters</w:t>
            </w:r>
          </w:p>
        </w:tc>
        <w:tc>
          <w:tcPr>
            <w:tcW w:w="1926" w:type="dxa"/>
            <w:tcMar>
              <w:top w:w="60" w:type="dxa"/>
              <w:left w:w="90" w:type="dxa"/>
              <w:bottom w:w="60" w:type="dxa"/>
              <w:right w:w="90" w:type="dxa"/>
            </w:tcMar>
          </w:tcPr>
          <w:p w14:paraId="04B501BC" w14:textId="77777777" w:rsidR="00CB42E7" w:rsidRDefault="00000000" w:rsidP="00817D95">
            <w:pPr>
              <w:jc w:val="both"/>
            </w:pPr>
            <w:r>
              <w:rPr>
                <w:sz w:val="17"/>
                <w:szCs w:val="17"/>
              </w:rPr>
              <w:t xml:space="preserve">Chetia et al. (2011); Dutta et al. (2022); Goswami et al. (2020); </w:t>
            </w:r>
            <w:proofErr w:type="spellStart"/>
            <w:r>
              <w:rPr>
                <w:sz w:val="17"/>
                <w:szCs w:val="17"/>
              </w:rPr>
              <w:t>Haloi</w:t>
            </w:r>
            <w:proofErr w:type="spellEnd"/>
            <w:r>
              <w:rPr>
                <w:sz w:val="17"/>
                <w:szCs w:val="17"/>
              </w:rPr>
              <w:t xml:space="preserve"> and Sarma (2012); Nath et al. (2022); Patel et al. (2019)</w:t>
            </w:r>
          </w:p>
        </w:tc>
      </w:tr>
      <w:tr w:rsidR="00CB42E7" w14:paraId="615D0064" w14:textId="77777777">
        <w:tc>
          <w:tcPr>
            <w:tcW w:w="1500" w:type="dxa"/>
            <w:tcMar>
              <w:top w:w="60" w:type="dxa"/>
              <w:left w:w="90" w:type="dxa"/>
              <w:bottom w:w="60" w:type="dxa"/>
              <w:right w:w="90" w:type="dxa"/>
            </w:tcMar>
          </w:tcPr>
          <w:p w14:paraId="1CE42A82" w14:textId="77777777" w:rsidR="00CB42E7" w:rsidRDefault="00000000" w:rsidP="00817D95">
            <w:pPr>
              <w:jc w:val="both"/>
            </w:pPr>
            <w:r>
              <w:rPr>
                <w:sz w:val="17"/>
                <w:szCs w:val="17"/>
              </w:rPr>
              <w:t>Brahmaputra main stem and Bharali tributary bed sediments</w:t>
            </w:r>
          </w:p>
        </w:tc>
        <w:tc>
          <w:tcPr>
            <w:tcW w:w="1600" w:type="dxa"/>
            <w:tcMar>
              <w:top w:w="60" w:type="dxa"/>
              <w:left w:w="90" w:type="dxa"/>
              <w:bottom w:w="60" w:type="dxa"/>
              <w:right w:w="90" w:type="dxa"/>
            </w:tcMar>
          </w:tcPr>
          <w:p w14:paraId="783F8D19" w14:textId="77777777" w:rsidR="00CB42E7" w:rsidRDefault="00000000" w:rsidP="00817D95">
            <w:pPr>
              <w:jc w:val="both"/>
            </w:pPr>
            <w:r>
              <w:rPr>
                <w:sz w:val="17"/>
                <w:szCs w:val="17"/>
              </w:rPr>
              <w:t>Arsenic, copper, zinc, and solid-phase-bound metals</w:t>
            </w:r>
          </w:p>
        </w:tc>
        <w:tc>
          <w:tcPr>
            <w:tcW w:w="1700" w:type="dxa"/>
            <w:tcMar>
              <w:top w:w="60" w:type="dxa"/>
              <w:left w:w="90" w:type="dxa"/>
              <w:bottom w:w="60" w:type="dxa"/>
              <w:right w:w="90" w:type="dxa"/>
            </w:tcMar>
          </w:tcPr>
          <w:p w14:paraId="3914EA0C" w14:textId="77777777" w:rsidR="00CB42E7" w:rsidRDefault="00000000" w:rsidP="00817D95">
            <w:pPr>
              <w:jc w:val="both"/>
            </w:pPr>
            <w:r>
              <w:rPr>
                <w:sz w:val="17"/>
                <w:szCs w:val="17"/>
              </w:rPr>
              <w:t>Sediment transport and seasonal redox and pH change</w:t>
            </w:r>
          </w:p>
        </w:tc>
        <w:tc>
          <w:tcPr>
            <w:tcW w:w="2300" w:type="dxa"/>
            <w:tcMar>
              <w:top w:w="60" w:type="dxa"/>
              <w:left w:w="90" w:type="dxa"/>
              <w:bottom w:w="60" w:type="dxa"/>
              <w:right w:w="90" w:type="dxa"/>
            </w:tcMar>
          </w:tcPr>
          <w:p w14:paraId="7263B2D6" w14:textId="77777777" w:rsidR="00CB42E7" w:rsidRDefault="00000000" w:rsidP="00817D95">
            <w:pPr>
              <w:jc w:val="both"/>
            </w:pPr>
            <w:r>
              <w:rPr>
                <w:sz w:val="17"/>
                <w:szCs w:val="17"/>
              </w:rPr>
              <w:t>Solid-phase speciation and mobility characterised; bioavailability inferred from extraction schemes rather than measured in organisms</w:t>
            </w:r>
          </w:p>
        </w:tc>
        <w:tc>
          <w:tcPr>
            <w:tcW w:w="1926" w:type="dxa"/>
            <w:tcMar>
              <w:top w:w="60" w:type="dxa"/>
              <w:left w:w="90" w:type="dxa"/>
              <w:bottom w:w="60" w:type="dxa"/>
              <w:right w:w="90" w:type="dxa"/>
            </w:tcMar>
          </w:tcPr>
          <w:p w14:paraId="75D0ABD5" w14:textId="77777777" w:rsidR="00CB42E7" w:rsidRDefault="00000000" w:rsidP="00817D95">
            <w:pPr>
              <w:jc w:val="both"/>
            </w:pPr>
            <w:r>
              <w:rPr>
                <w:sz w:val="17"/>
                <w:szCs w:val="17"/>
              </w:rPr>
              <w:t>Borah et al. (2018); Gogoi et al. (2020); Hoque et al. (2011); Tsering et al. (2020)</w:t>
            </w:r>
          </w:p>
        </w:tc>
      </w:tr>
      <w:tr w:rsidR="00CB42E7" w14:paraId="674B4EB2" w14:textId="77777777">
        <w:tc>
          <w:tcPr>
            <w:tcW w:w="1500" w:type="dxa"/>
            <w:tcMar>
              <w:top w:w="60" w:type="dxa"/>
              <w:left w:w="90" w:type="dxa"/>
              <w:bottom w:w="60" w:type="dxa"/>
              <w:right w:w="90" w:type="dxa"/>
            </w:tcMar>
          </w:tcPr>
          <w:p w14:paraId="47E4D977" w14:textId="77777777" w:rsidR="00CB42E7" w:rsidRDefault="00000000" w:rsidP="00817D95">
            <w:pPr>
              <w:jc w:val="both"/>
            </w:pPr>
            <w:r>
              <w:rPr>
                <w:sz w:val="17"/>
                <w:szCs w:val="17"/>
              </w:rPr>
              <w:t xml:space="preserve">Guwahati urban corridor: </w:t>
            </w:r>
            <w:proofErr w:type="spellStart"/>
            <w:r>
              <w:rPr>
                <w:sz w:val="17"/>
                <w:szCs w:val="17"/>
              </w:rPr>
              <w:t>Bharalu</w:t>
            </w:r>
            <w:proofErr w:type="spellEnd"/>
            <w:r>
              <w:rPr>
                <w:sz w:val="17"/>
                <w:szCs w:val="17"/>
              </w:rPr>
              <w:t xml:space="preserve"> river and </w:t>
            </w:r>
            <w:proofErr w:type="spellStart"/>
            <w:r>
              <w:rPr>
                <w:sz w:val="17"/>
                <w:szCs w:val="17"/>
              </w:rPr>
              <w:t>Deepor</w:t>
            </w:r>
            <w:proofErr w:type="spellEnd"/>
            <w:r>
              <w:rPr>
                <w:sz w:val="17"/>
                <w:szCs w:val="17"/>
              </w:rPr>
              <w:t xml:space="preserve"> Beel</w:t>
            </w:r>
          </w:p>
        </w:tc>
        <w:tc>
          <w:tcPr>
            <w:tcW w:w="1600" w:type="dxa"/>
            <w:tcMar>
              <w:top w:w="60" w:type="dxa"/>
              <w:left w:w="90" w:type="dxa"/>
              <w:bottom w:w="60" w:type="dxa"/>
              <w:right w:w="90" w:type="dxa"/>
            </w:tcMar>
          </w:tcPr>
          <w:p w14:paraId="31777B9B" w14:textId="77777777" w:rsidR="00CB42E7" w:rsidRDefault="00000000" w:rsidP="00817D95">
            <w:pPr>
              <w:jc w:val="both"/>
            </w:pPr>
            <w:r>
              <w:rPr>
                <w:sz w:val="17"/>
                <w:szCs w:val="17"/>
              </w:rPr>
              <w:t>Chromium, nickel, lead, zinc, copper, cadmium</w:t>
            </w:r>
          </w:p>
        </w:tc>
        <w:tc>
          <w:tcPr>
            <w:tcW w:w="1700" w:type="dxa"/>
            <w:tcMar>
              <w:top w:w="60" w:type="dxa"/>
              <w:left w:w="90" w:type="dxa"/>
              <w:bottom w:w="60" w:type="dxa"/>
              <w:right w:w="90" w:type="dxa"/>
            </w:tcMar>
          </w:tcPr>
          <w:p w14:paraId="4FCDA6D3" w14:textId="77777777" w:rsidR="00CB42E7" w:rsidRDefault="00000000" w:rsidP="00817D95">
            <w:pPr>
              <w:jc w:val="both"/>
            </w:pPr>
            <w:r>
              <w:rPr>
                <w:sz w:val="17"/>
                <w:szCs w:val="17"/>
              </w:rPr>
              <w:t>Untreated municipal sewage, solid waste disposal, urban drainage and traffic</w:t>
            </w:r>
          </w:p>
        </w:tc>
        <w:tc>
          <w:tcPr>
            <w:tcW w:w="2300" w:type="dxa"/>
            <w:tcMar>
              <w:top w:w="60" w:type="dxa"/>
              <w:left w:w="90" w:type="dxa"/>
              <w:bottom w:w="60" w:type="dxa"/>
              <w:right w:w="90" w:type="dxa"/>
            </w:tcMar>
          </w:tcPr>
          <w:p w14:paraId="1F85CB5D" w14:textId="77777777" w:rsidR="00CB42E7" w:rsidRDefault="00000000" w:rsidP="00817D95">
            <w:pPr>
              <w:jc w:val="both"/>
            </w:pPr>
            <w:r>
              <w:rPr>
                <w:sz w:val="17"/>
                <w:szCs w:val="17"/>
              </w:rPr>
              <w:t>Sediment contamination indices and receptor modelling; the highest main-stem pollution index in the region occurs here, but no fish tissue data for the target species</w:t>
            </w:r>
          </w:p>
        </w:tc>
        <w:tc>
          <w:tcPr>
            <w:tcW w:w="1926" w:type="dxa"/>
            <w:tcMar>
              <w:top w:w="60" w:type="dxa"/>
              <w:left w:w="90" w:type="dxa"/>
              <w:bottom w:w="60" w:type="dxa"/>
              <w:right w:w="90" w:type="dxa"/>
            </w:tcMar>
          </w:tcPr>
          <w:p w14:paraId="6AD77909" w14:textId="77777777" w:rsidR="00CB42E7" w:rsidRDefault="00000000" w:rsidP="00817D95">
            <w:pPr>
              <w:jc w:val="both"/>
            </w:pPr>
            <w:r>
              <w:rPr>
                <w:sz w:val="17"/>
                <w:szCs w:val="17"/>
              </w:rPr>
              <w:t>Bhuyan et al. (2023); Dash et al. (2019, 2020); Hazarika and Kalita (2020)</w:t>
            </w:r>
          </w:p>
        </w:tc>
      </w:tr>
      <w:tr w:rsidR="00CB42E7" w14:paraId="24D7C857" w14:textId="77777777">
        <w:tc>
          <w:tcPr>
            <w:tcW w:w="1500" w:type="dxa"/>
            <w:tcMar>
              <w:top w:w="60" w:type="dxa"/>
              <w:left w:w="90" w:type="dxa"/>
              <w:bottom w:w="60" w:type="dxa"/>
              <w:right w:w="90" w:type="dxa"/>
            </w:tcMar>
          </w:tcPr>
          <w:p w14:paraId="4F16E964" w14:textId="77777777" w:rsidR="00CB42E7" w:rsidRDefault="00000000" w:rsidP="00817D95">
            <w:pPr>
              <w:jc w:val="both"/>
            </w:pPr>
            <w:r>
              <w:rPr>
                <w:sz w:val="17"/>
                <w:szCs w:val="17"/>
              </w:rPr>
              <w:t xml:space="preserve">Meghalaya coal belts: Jaintia Hills and </w:t>
            </w:r>
            <w:proofErr w:type="spellStart"/>
            <w:r>
              <w:rPr>
                <w:sz w:val="17"/>
                <w:szCs w:val="17"/>
              </w:rPr>
              <w:t>Simsang</w:t>
            </w:r>
            <w:proofErr w:type="spellEnd"/>
            <w:r>
              <w:rPr>
                <w:sz w:val="17"/>
                <w:szCs w:val="17"/>
              </w:rPr>
              <w:t xml:space="preserve"> River, Garo Hills</w:t>
            </w:r>
          </w:p>
        </w:tc>
        <w:tc>
          <w:tcPr>
            <w:tcW w:w="1600" w:type="dxa"/>
            <w:tcMar>
              <w:top w:w="60" w:type="dxa"/>
              <w:left w:w="90" w:type="dxa"/>
              <w:bottom w:w="60" w:type="dxa"/>
              <w:right w:w="90" w:type="dxa"/>
            </w:tcMar>
          </w:tcPr>
          <w:p w14:paraId="3D047C4B" w14:textId="77777777" w:rsidR="00CB42E7" w:rsidRDefault="00000000" w:rsidP="00817D95">
            <w:pPr>
              <w:jc w:val="both"/>
            </w:pPr>
            <w:r>
              <w:rPr>
                <w:sz w:val="17"/>
                <w:szCs w:val="17"/>
              </w:rPr>
              <w:t>Iron, manganese and acidity-mobilised divalent metals; sulphate as an acidity marker</w:t>
            </w:r>
          </w:p>
        </w:tc>
        <w:tc>
          <w:tcPr>
            <w:tcW w:w="1700" w:type="dxa"/>
            <w:tcMar>
              <w:top w:w="60" w:type="dxa"/>
              <w:left w:w="90" w:type="dxa"/>
              <w:bottom w:w="60" w:type="dxa"/>
              <w:right w:w="90" w:type="dxa"/>
            </w:tcMar>
          </w:tcPr>
          <w:p w14:paraId="7021105A" w14:textId="77777777" w:rsidR="00CB42E7" w:rsidRDefault="00000000" w:rsidP="00817D95">
            <w:pPr>
              <w:jc w:val="both"/>
            </w:pPr>
            <w:r>
              <w:rPr>
                <w:sz w:val="17"/>
                <w:szCs w:val="17"/>
              </w:rPr>
              <w:t>Rat-hole coal extraction and acid mine drainage</w:t>
            </w:r>
          </w:p>
        </w:tc>
        <w:tc>
          <w:tcPr>
            <w:tcW w:w="2300" w:type="dxa"/>
            <w:tcMar>
              <w:top w:w="60" w:type="dxa"/>
              <w:left w:w="90" w:type="dxa"/>
              <w:bottom w:w="60" w:type="dxa"/>
              <w:right w:w="90" w:type="dxa"/>
            </w:tcMar>
          </w:tcPr>
          <w:p w14:paraId="3F7D34FF" w14:textId="77777777" w:rsidR="00CB42E7" w:rsidRDefault="00000000" w:rsidP="00817D95">
            <w:pPr>
              <w:jc w:val="both"/>
            </w:pPr>
            <w:r>
              <w:rPr>
                <w:sz w:val="17"/>
                <w:szCs w:val="17"/>
              </w:rPr>
              <w:t xml:space="preserve">Stream hydrochemistry documented and genotoxic response demonstrated in a resident teleost; tissue metal </w:t>
            </w:r>
            <w:r>
              <w:rPr>
                <w:sz w:val="17"/>
                <w:szCs w:val="17"/>
              </w:rPr>
              <w:lastRenderedPageBreak/>
              <w:t>burdens not quantified for the target species</w:t>
            </w:r>
          </w:p>
        </w:tc>
        <w:tc>
          <w:tcPr>
            <w:tcW w:w="1926" w:type="dxa"/>
            <w:tcMar>
              <w:top w:w="60" w:type="dxa"/>
              <w:left w:w="90" w:type="dxa"/>
              <w:bottom w:w="60" w:type="dxa"/>
              <w:right w:w="90" w:type="dxa"/>
            </w:tcMar>
          </w:tcPr>
          <w:p w14:paraId="4166EE7B" w14:textId="77777777" w:rsidR="00CB42E7" w:rsidRDefault="00000000" w:rsidP="00817D95">
            <w:pPr>
              <w:jc w:val="both"/>
            </w:pPr>
            <w:r>
              <w:rPr>
                <w:sz w:val="17"/>
                <w:szCs w:val="17"/>
              </w:rPr>
              <w:lastRenderedPageBreak/>
              <w:t xml:space="preserve">Das and </w:t>
            </w:r>
            <w:proofErr w:type="spellStart"/>
            <w:r>
              <w:rPr>
                <w:sz w:val="17"/>
                <w:szCs w:val="17"/>
              </w:rPr>
              <w:t>Semy</w:t>
            </w:r>
            <w:proofErr w:type="spellEnd"/>
            <w:r>
              <w:rPr>
                <w:sz w:val="17"/>
                <w:szCs w:val="17"/>
              </w:rPr>
              <w:t xml:space="preserve"> (2023); Talukdar et al. (2016)</w:t>
            </w:r>
          </w:p>
        </w:tc>
      </w:tr>
      <w:tr w:rsidR="00CB42E7" w14:paraId="4EEDD791" w14:textId="77777777">
        <w:tc>
          <w:tcPr>
            <w:tcW w:w="1500" w:type="dxa"/>
            <w:tcMar>
              <w:top w:w="60" w:type="dxa"/>
              <w:left w:w="90" w:type="dxa"/>
              <w:bottom w:w="60" w:type="dxa"/>
              <w:right w:w="90" w:type="dxa"/>
            </w:tcMar>
          </w:tcPr>
          <w:p w14:paraId="052D7B6A" w14:textId="77777777" w:rsidR="00CB42E7" w:rsidRDefault="00000000" w:rsidP="00817D95">
            <w:pPr>
              <w:jc w:val="both"/>
            </w:pPr>
            <w:r>
              <w:rPr>
                <w:sz w:val="17"/>
                <w:szCs w:val="17"/>
              </w:rPr>
              <w:t>Shillong hill streams and associated water bodies</w:t>
            </w:r>
          </w:p>
        </w:tc>
        <w:tc>
          <w:tcPr>
            <w:tcW w:w="1600" w:type="dxa"/>
            <w:tcMar>
              <w:top w:w="60" w:type="dxa"/>
              <w:left w:w="90" w:type="dxa"/>
              <w:bottom w:w="60" w:type="dxa"/>
              <w:right w:w="90" w:type="dxa"/>
            </w:tcMar>
          </w:tcPr>
          <w:p w14:paraId="3CE441C3" w14:textId="77777777" w:rsidR="00CB42E7" w:rsidRDefault="00000000" w:rsidP="00817D95">
            <w:pPr>
              <w:jc w:val="both"/>
            </w:pPr>
            <w:r>
              <w:rPr>
                <w:sz w:val="17"/>
                <w:szCs w:val="17"/>
              </w:rPr>
              <w:t>Iron, manganese, zinc, copper, lead</w:t>
            </w:r>
          </w:p>
        </w:tc>
        <w:tc>
          <w:tcPr>
            <w:tcW w:w="1700" w:type="dxa"/>
            <w:tcMar>
              <w:top w:w="60" w:type="dxa"/>
              <w:left w:w="90" w:type="dxa"/>
              <w:bottom w:w="60" w:type="dxa"/>
              <w:right w:w="90" w:type="dxa"/>
            </w:tcMar>
          </w:tcPr>
          <w:p w14:paraId="1BBBAEC8" w14:textId="77777777" w:rsidR="00CB42E7" w:rsidRDefault="00000000" w:rsidP="00817D95">
            <w:pPr>
              <w:jc w:val="both"/>
            </w:pPr>
            <w:r>
              <w:rPr>
                <w:sz w:val="17"/>
                <w:szCs w:val="17"/>
              </w:rPr>
              <w:t>Urbanised hill catchment runoff</w:t>
            </w:r>
          </w:p>
        </w:tc>
        <w:tc>
          <w:tcPr>
            <w:tcW w:w="2300" w:type="dxa"/>
            <w:tcMar>
              <w:top w:w="60" w:type="dxa"/>
              <w:left w:w="90" w:type="dxa"/>
              <w:bottom w:w="60" w:type="dxa"/>
              <w:right w:w="90" w:type="dxa"/>
            </w:tcMar>
          </w:tcPr>
          <w:p w14:paraId="0A2CF970" w14:textId="77777777" w:rsidR="00CB42E7" w:rsidRDefault="00000000" w:rsidP="00817D95">
            <w:pPr>
              <w:jc w:val="both"/>
            </w:pPr>
            <w:r>
              <w:rPr>
                <w:sz w:val="17"/>
                <w:szCs w:val="17"/>
              </w:rPr>
              <w:t>Transfer from water into algae, detritus, insects and gastropods demonstrated, establishing a functioning transfer pathway but at low trophic levels only</w:t>
            </w:r>
          </w:p>
        </w:tc>
        <w:tc>
          <w:tcPr>
            <w:tcW w:w="1926" w:type="dxa"/>
            <w:tcMar>
              <w:top w:w="60" w:type="dxa"/>
              <w:left w:w="90" w:type="dxa"/>
              <w:bottom w:w="60" w:type="dxa"/>
              <w:right w:w="90" w:type="dxa"/>
            </w:tcMar>
          </w:tcPr>
          <w:p w14:paraId="7A69FBCD" w14:textId="77777777" w:rsidR="00CB42E7" w:rsidRDefault="00000000" w:rsidP="00817D95">
            <w:pPr>
              <w:jc w:val="both"/>
            </w:pPr>
            <w:r>
              <w:rPr>
                <w:sz w:val="17"/>
                <w:szCs w:val="17"/>
              </w:rPr>
              <w:t>Gupta (1996, 1998)</w:t>
            </w:r>
          </w:p>
        </w:tc>
      </w:tr>
      <w:tr w:rsidR="00CB42E7" w14:paraId="07BED6F0" w14:textId="77777777">
        <w:tc>
          <w:tcPr>
            <w:tcW w:w="1500" w:type="dxa"/>
            <w:tcMar>
              <w:top w:w="60" w:type="dxa"/>
              <w:left w:w="90" w:type="dxa"/>
              <w:bottom w:w="60" w:type="dxa"/>
              <w:right w:w="90" w:type="dxa"/>
            </w:tcMar>
          </w:tcPr>
          <w:p w14:paraId="1573A554" w14:textId="77777777" w:rsidR="00CB42E7" w:rsidRDefault="00000000" w:rsidP="00817D95">
            <w:pPr>
              <w:jc w:val="both"/>
            </w:pPr>
            <w:r>
              <w:rPr>
                <w:sz w:val="17"/>
                <w:szCs w:val="17"/>
              </w:rPr>
              <w:t>Lower Brahmaputra valley agricultural soils</w:t>
            </w:r>
          </w:p>
        </w:tc>
        <w:tc>
          <w:tcPr>
            <w:tcW w:w="1600" w:type="dxa"/>
            <w:tcMar>
              <w:top w:w="60" w:type="dxa"/>
              <w:left w:w="90" w:type="dxa"/>
              <w:bottom w:w="60" w:type="dxa"/>
              <w:right w:w="90" w:type="dxa"/>
            </w:tcMar>
          </w:tcPr>
          <w:p w14:paraId="109A3E37" w14:textId="77777777" w:rsidR="00CB42E7" w:rsidRDefault="00000000" w:rsidP="00817D95">
            <w:pPr>
              <w:jc w:val="both"/>
            </w:pPr>
            <w:r>
              <w:rPr>
                <w:sz w:val="17"/>
                <w:szCs w:val="17"/>
              </w:rPr>
              <w:t>Arsenic, chromium, nickel, lead</w:t>
            </w:r>
          </w:p>
        </w:tc>
        <w:tc>
          <w:tcPr>
            <w:tcW w:w="1700" w:type="dxa"/>
            <w:tcMar>
              <w:top w:w="60" w:type="dxa"/>
              <w:left w:w="90" w:type="dxa"/>
              <w:bottom w:w="60" w:type="dxa"/>
              <w:right w:w="90" w:type="dxa"/>
            </w:tcMar>
          </w:tcPr>
          <w:p w14:paraId="08518E63" w14:textId="77777777" w:rsidR="00CB42E7" w:rsidRDefault="00000000" w:rsidP="00817D95">
            <w:pPr>
              <w:jc w:val="both"/>
            </w:pPr>
            <w:r>
              <w:rPr>
                <w:sz w:val="17"/>
                <w:szCs w:val="17"/>
              </w:rPr>
              <w:t>Irrigation with contaminated water, agrochemical inputs, peri-urban deposition</w:t>
            </w:r>
          </w:p>
        </w:tc>
        <w:tc>
          <w:tcPr>
            <w:tcW w:w="2300" w:type="dxa"/>
            <w:tcMar>
              <w:top w:w="60" w:type="dxa"/>
              <w:left w:w="90" w:type="dxa"/>
              <w:bottom w:w="60" w:type="dxa"/>
              <w:right w:w="90" w:type="dxa"/>
            </w:tcMar>
          </w:tcPr>
          <w:p w14:paraId="3BD02D9A" w14:textId="77777777" w:rsidR="00CB42E7" w:rsidRDefault="00000000" w:rsidP="00817D95">
            <w:pPr>
              <w:jc w:val="both"/>
            </w:pPr>
            <w:r>
              <w:rPr>
                <w:sz w:val="17"/>
                <w:szCs w:val="17"/>
              </w:rPr>
              <w:t>Soil and rice pathway exposure quantified; hydrologically continuous with capture and culture waters, but the fish pathway was not assessed</w:t>
            </w:r>
          </w:p>
        </w:tc>
        <w:tc>
          <w:tcPr>
            <w:tcW w:w="1926" w:type="dxa"/>
            <w:tcMar>
              <w:top w:w="60" w:type="dxa"/>
              <w:left w:w="90" w:type="dxa"/>
              <w:bottom w:w="60" w:type="dxa"/>
              <w:right w:w="90" w:type="dxa"/>
            </w:tcMar>
          </w:tcPr>
          <w:p w14:paraId="3C724B48" w14:textId="77777777" w:rsidR="00CB42E7" w:rsidRDefault="00000000" w:rsidP="00817D95">
            <w:pPr>
              <w:jc w:val="both"/>
            </w:pPr>
            <w:r>
              <w:rPr>
                <w:sz w:val="17"/>
                <w:szCs w:val="17"/>
              </w:rPr>
              <w:t>Baruah et al. (2021)</w:t>
            </w:r>
          </w:p>
        </w:tc>
      </w:tr>
      <w:tr w:rsidR="00CB42E7" w14:paraId="40548A48" w14:textId="77777777">
        <w:tc>
          <w:tcPr>
            <w:tcW w:w="1500" w:type="dxa"/>
            <w:tcMar>
              <w:top w:w="60" w:type="dxa"/>
              <w:left w:w="90" w:type="dxa"/>
              <w:bottom w:w="60" w:type="dxa"/>
              <w:right w:w="90" w:type="dxa"/>
            </w:tcMar>
          </w:tcPr>
          <w:p w14:paraId="3F485721" w14:textId="77777777" w:rsidR="00CB42E7" w:rsidRDefault="00000000" w:rsidP="00817D95">
            <w:pPr>
              <w:jc w:val="both"/>
            </w:pPr>
            <w:r>
              <w:rPr>
                <w:sz w:val="17"/>
                <w:szCs w:val="17"/>
              </w:rPr>
              <w:t>Flood-affected riverine settlements, mid-Brahmaputra valley</w:t>
            </w:r>
          </w:p>
        </w:tc>
        <w:tc>
          <w:tcPr>
            <w:tcW w:w="1600" w:type="dxa"/>
            <w:tcMar>
              <w:top w:w="60" w:type="dxa"/>
              <w:left w:w="90" w:type="dxa"/>
              <w:bottom w:w="60" w:type="dxa"/>
              <w:right w:w="90" w:type="dxa"/>
            </w:tcMar>
          </w:tcPr>
          <w:p w14:paraId="554371B1" w14:textId="77777777" w:rsidR="00CB42E7" w:rsidRDefault="00000000" w:rsidP="00817D95">
            <w:pPr>
              <w:jc w:val="both"/>
            </w:pPr>
            <w:r>
              <w:rPr>
                <w:sz w:val="17"/>
                <w:szCs w:val="17"/>
              </w:rPr>
              <w:t>Cadmium, chromium, nickel, lead, manganese, iron</w:t>
            </w:r>
          </w:p>
        </w:tc>
        <w:tc>
          <w:tcPr>
            <w:tcW w:w="1700" w:type="dxa"/>
            <w:tcMar>
              <w:top w:w="60" w:type="dxa"/>
              <w:left w:w="90" w:type="dxa"/>
              <w:bottom w:w="60" w:type="dxa"/>
              <w:right w:w="90" w:type="dxa"/>
            </w:tcMar>
          </w:tcPr>
          <w:p w14:paraId="176D71F0" w14:textId="77777777" w:rsidR="00CB42E7" w:rsidRDefault="00000000" w:rsidP="00817D95">
            <w:pPr>
              <w:jc w:val="both"/>
            </w:pPr>
            <w:r>
              <w:rPr>
                <w:sz w:val="17"/>
                <w:szCs w:val="17"/>
              </w:rPr>
              <w:t>Flood remobilisation of catchment and settlement deposits</w:t>
            </w:r>
          </w:p>
        </w:tc>
        <w:tc>
          <w:tcPr>
            <w:tcW w:w="2300" w:type="dxa"/>
            <w:tcMar>
              <w:top w:w="60" w:type="dxa"/>
              <w:left w:w="90" w:type="dxa"/>
              <w:bottom w:w="60" w:type="dxa"/>
              <w:right w:w="90" w:type="dxa"/>
            </w:tcMar>
          </w:tcPr>
          <w:p w14:paraId="5CB8C779" w14:textId="77777777" w:rsidR="00CB42E7" w:rsidRDefault="00000000" w:rsidP="00817D95">
            <w:pPr>
              <w:jc w:val="both"/>
            </w:pPr>
            <w:r>
              <w:rPr>
                <w:sz w:val="17"/>
                <w:szCs w:val="17"/>
              </w:rPr>
              <w:t>Pre- and post-flood water measurements with exposure modelling for ingestion, dermal and inhalation routes; the dietary fish route was not included</w:t>
            </w:r>
          </w:p>
        </w:tc>
        <w:tc>
          <w:tcPr>
            <w:tcW w:w="1926" w:type="dxa"/>
            <w:tcMar>
              <w:top w:w="60" w:type="dxa"/>
              <w:left w:w="90" w:type="dxa"/>
              <w:bottom w:w="60" w:type="dxa"/>
              <w:right w:w="90" w:type="dxa"/>
            </w:tcMar>
          </w:tcPr>
          <w:p w14:paraId="37C94B25" w14:textId="77777777" w:rsidR="00CB42E7" w:rsidRDefault="00000000" w:rsidP="00817D95">
            <w:pPr>
              <w:jc w:val="both"/>
            </w:pPr>
            <w:r>
              <w:rPr>
                <w:sz w:val="17"/>
                <w:szCs w:val="17"/>
              </w:rPr>
              <w:t>Kalita and Das (2025)</w:t>
            </w:r>
          </w:p>
        </w:tc>
      </w:tr>
      <w:tr w:rsidR="00CB42E7" w14:paraId="1DD91DAF" w14:textId="77777777">
        <w:tc>
          <w:tcPr>
            <w:tcW w:w="1500" w:type="dxa"/>
            <w:tcMar>
              <w:top w:w="60" w:type="dxa"/>
              <w:left w:w="90" w:type="dxa"/>
              <w:bottom w:w="60" w:type="dxa"/>
              <w:right w:w="90" w:type="dxa"/>
            </w:tcMar>
          </w:tcPr>
          <w:p w14:paraId="0649BCB5" w14:textId="77777777" w:rsidR="00CB42E7" w:rsidRDefault="00000000" w:rsidP="00817D95">
            <w:pPr>
              <w:jc w:val="both"/>
            </w:pPr>
            <w:proofErr w:type="spellStart"/>
            <w:r>
              <w:rPr>
                <w:sz w:val="17"/>
                <w:szCs w:val="17"/>
              </w:rPr>
              <w:t>Loktak</w:t>
            </w:r>
            <w:proofErr w:type="spellEnd"/>
            <w:r>
              <w:rPr>
                <w:sz w:val="17"/>
                <w:szCs w:val="17"/>
              </w:rPr>
              <w:t xml:space="preserve"> Lake and catchment, Manipur</w:t>
            </w:r>
          </w:p>
        </w:tc>
        <w:tc>
          <w:tcPr>
            <w:tcW w:w="1600" w:type="dxa"/>
            <w:tcMar>
              <w:top w:w="60" w:type="dxa"/>
              <w:left w:w="90" w:type="dxa"/>
              <w:bottom w:w="60" w:type="dxa"/>
              <w:right w:w="90" w:type="dxa"/>
            </w:tcMar>
          </w:tcPr>
          <w:p w14:paraId="55D92958" w14:textId="77777777" w:rsidR="00CB42E7" w:rsidRDefault="00000000" w:rsidP="00817D95">
            <w:pPr>
              <w:jc w:val="both"/>
            </w:pPr>
            <w:r>
              <w:rPr>
                <w:sz w:val="17"/>
                <w:szCs w:val="17"/>
              </w:rPr>
              <w:t>Iron, manganese, zinc, lead, cadmium</w:t>
            </w:r>
          </w:p>
        </w:tc>
        <w:tc>
          <w:tcPr>
            <w:tcW w:w="1700" w:type="dxa"/>
            <w:tcMar>
              <w:top w:w="60" w:type="dxa"/>
              <w:left w:w="90" w:type="dxa"/>
              <w:bottom w:w="60" w:type="dxa"/>
              <w:right w:w="90" w:type="dxa"/>
            </w:tcMar>
          </w:tcPr>
          <w:p w14:paraId="0713FAA6" w14:textId="77777777" w:rsidR="00CB42E7" w:rsidRDefault="00000000" w:rsidP="00817D95">
            <w:pPr>
              <w:jc w:val="both"/>
            </w:pPr>
            <w:r>
              <w:rPr>
                <w:sz w:val="17"/>
                <w:szCs w:val="17"/>
              </w:rPr>
              <w:t>Catchment runoff, settlement and agricultural inputs</w:t>
            </w:r>
          </w:p>
        </w:tc>
        <w:tc>
          <w:tcPr>
            <w:tcW w:w="2300" w:type="dxa"/>
            <w:tcMar>
              <w:top w:w="60" w:type="dxa"/>
              <w:left w:w="90" w:type="dxa"/>
              <w:bottom w:w="60" w:type="dxa"/>
              <w:right w:w="90" w:type="dxa"/>
            </w:tcMar>
          </w:tcPr>
          <w:p w14:paraId="24837871" w14:textId="77777777" w:rsidR="00CB42E7" w:rsidRDefault="00000000" w:rsidP="00817D95">
            <w:pPr>
              <w:jc w:val="both"/>
            </w:pPr>
            <w:r>
              <w:rPr>
                <w:sz w:val="17"/>
                <w:szCs w:val="17"/>
              </w:rPr>
              <w:t>Metal transfer into macrophytes and into small indigenous and larger fish species demonstrated; the target species were not among those examined</w:t>
            </w:r>
          </w:p>
        </w:tc>
        <w:tc>
          <w:tcPr>
            <w:tcW w:w="1926" w:type="dxa"/>
            <w:tcMar>
              <w:top w:w="60" w:type="dxa"/>
              <w:left w:w="90" w:type="dxa"/>
              <w:bottom w:w="60" w:type="dxa"/>
              <w:right w:w="90" w:type="dxa"/>
            </w:tcMar>
          </w:tcPr>
          <w:p w14:paraId="62B03B20" w14:textId="77777777" w:rsidR="00CB42E7" w:rsidRDefault="00000000" w:rsidP="00817D95">
            <w:pPr>
              <w:jc w:val="both"/>
            </w:pPr>
            <w:r>
              <w:rPr>
                <w:sz w:val="17"/>
                <w:szCs w:val="17"/>
              </w:rPr>
              <w:t xml:space="preserve">Laishram et al. (2023); </w:t>
            </w:r>
            <w:proofErr w:type="spellStart"/>
            <w:r>
              <w:rPr>
                <w:sz w:val="17"/>
                <w:szCs w:val="17"/>
              </w:rPr>
              <w:t>Mayanglambam</w:t>
            </w:r>
            <w:proofErr w:type="spellEnd"/>
            <w:r>
              <w:rPr>
                <w:sz w:val="17"/>
                <w:szCs w:val="17"/>
              </w:rPr>
              <w:t xml:space="preserve"> and Neelam (2024)</w:t>
            </w:r>
          </w:p>
        </w:tc>
      </w:tr>
    </w:tbl>
    <w:p w14:paraId="2D547AFF" w14:textId="77777777" w:rsidR="00CB42E7" w:rsidRDefault="00000000" w:rsidP="00817D95">
      <w:pPr>
        <w:spacing w:before="80" w:after="240"/>
        <w:jc w:val="both"/>
      </w:pPr>
      <w:r>
        <w:rPr>
          <w:sz w:val="17"/>
          <w:szCs w:val="17"/>
        </w:rPr>
        <w:t xml:space="preserve">Note. Elements are listed by the study authors’ own reporting and are not exhaustive for any setting. “Evidential standing” refers to the capacity of the cited work to support a claim about tissue concentrations in </w:t>
      </w:r>
      <w:proofErr w:type="spellStart"/>
      <w:r>
        <w:rPr>
          <w:sz w:val="17"/>
          <w:szCs w:val="17"/>
        </w:rPr>
        <w:t>catla</w:t>
      </w:r>
      <w:proofErr w:type="spellEnd"/>
      <w:r>
        <w:rPr>
          <w:sz w:val="17"/>
          <w:szCs w:val="17"/>
        </w:rPr>
        <w:t>, rohu or hilsa, not to the internal quality of the studies themselves, which is appraised separately in Section 7.</w:t>
      </w:r>
    </w:p>
    <w:p w14:paraId="1CFF59DD" w14:textId="77777777" w:rsidR="00CB42E7" w:rsidRDefault="00000000" w:rsidP="00817D95">
      <w:pPr>
        <w:keepNext/>
        <w:spacing w:before="260" w:after="140" w:line="300" w:lineRule="auto"/>
        <w:jc w:val="both"/>
      </w:pPr>
      <w:r>
        <w:rPr>
          <w:b/>
          <w:bCs/>
          <w:sz w:val="25"/>
          <w:szCs w:val="25"/>
        </w:rPr>
        <w:t>4. Species Ecology as a Determinant of Exposure</w:t>
      </w:r>
    </w:p>
    <w:p w14:paraId="0B2722DE" w14:textId="77777777" w:rsidR="00CB42E7" w:rsidRDefault="00000000" w:rsidP="00817D95">
      <w:pPr>
        <w:keepNext/>
        <w:spacing w:before="260" w:after="140" w:line="300" w:lineRule="auto"/>
        <w:jc w:val="both"/>
      </w:pPr>
      <w:r>
        <w:rPr>
          <w:b/>
          <w:bCs/>
          <w:sz w:val="23"/>
          <w:szCs w:val="23"/>
        </w:rPr>
        <w:t>4.1 Nomenclatural precision and its practical consequence</w:t>
      </w:r>
    </w:p>
    <w:p w14:paraId="77715F3C" w14:textId="77777777" w:rsidR="00CB42E7" w:rsidRDefault="00000000" w:rsidP="00817D95">
      <w:pPr>
        <w:spacing w:after="160" w:line="360" w:lineRule="auto"/>
        <w:jc w:val="both"/>
      </w:pPr>
      <w:proofErr w:type="spellStart"/>
      <w:r>
        <w:t>Catla</w:t>
      </w:r>
      <w:proofErr w:type="spellEnd"/>
      <w:r>
        <w:t xml:space="preserve"> presents a nomenclatural complication that has practical bearing on literature retrieval. The species described by Hamilton in 1822 has been placed successively in </w:t>
      </w:r>
      <w:proofErr w:type="spellStart"/>
      <w:r>
        <w:t>Catla</w:t>
      </w:r>
      <w:proofErr w:type="spellEnd"/>
      <w:r>
        <w:t xml:space="preserve">, </w:t>
      </w:r>
      <w:proofErr w:type="spellStart"/>
      <w:r>
        <w:t>Gibelion</w:t>
      </w:r>
      <w:proofErr w:type="spellEnd"/>
      <w:r>
        <w:t xml:space="preserve"> and </w:t>
      </w:r>
      <w:proofErr w:type="spellStart"/>
      <w:r>
        <w:t>Labeo</w:t>
      </w:r>
      <w:proofErr w:type="spellEnd"/>
      <w:r>
        <w:t xml:space="preserve">, and current taxonomic usage recognises </w:t>
      </w:r>
      <w:proofErr w:type="spellStart"/>
      <w:r>
        <w:rPr>
          <w:i/>
          <w:iCs/>
        </w:rPr>
        <w:t>Labeo</w:t>
      </w:r>
      <w:proofErr w:type="spellEnd"/>
      <w:r>
        <w:rPr>
          <w:i/>
          <w:iCs/>
        </w:rPr>
        <w:t xml:space="preserve"> </w:t>
      </w:r>
      <w:proofErr w:type="spellStart"/>
      <w:r>
        <w:rPr>
          <w:i/>
          <w:iCs/>
        </w:rPr>
        <w:t>catla</w:t>
      </w:r>
      <w:proofErr w:type="spellEnd"/>
      <w:r>
        <w:t xml:space="preserve"> (Hamilton, 1822), with </w:t>
      </w:r>
      <w:proofErr w:type="spellStart"/>
      <w:r>
        <w:rPr>
          <w:i/>
          <w:iCs/>
        </w:rPr>
        <w:t>Catla</w:t>
      </w:r>
      <w:proofErr w:type="spellEnd"/>
      <w:r>
        <w:rPr>
          <w:i/>
          <w:iCs/>
        </w:rPr>
        <w:t xml:space="preserve"> </w:t>
      </w:r>
      <w:proofErr w:type="spellStart"/>
      <w:r>
        <w:rPr>
          <w:i/>
          <w:iCs/>
        </w:rPr>
        <w:t>catla</w:t>
      </w:r>
      <w:proofErr w:type="spellEnd"/>
      <w:r>
        <w:t xml:space="preserve"> (Hamilton, 1822) and </w:t>
      </w:r>
      <w:proofErr w:type="spellStart"/>
      <w:r>
        <w:rPr>
          <w:i/>
          <w:iCs/>
        </w:rPr>
        <w:t>Gibelion</w:t>
      </w:r>
      <w:proofErr w:type="spellEnd"/>
      <w:r>
        <w:rPr>
          <w:i/>
          <w:iCs/>
        </w:rPr>
        <w:t xml:space="preserve"> </w:t>
      </w:r>
      <w:proofErr w:type="spellStart"/>
      <w:r>
        <w:rPr>
          <w:i/>
          <w:iCs/>
        </w:rPr>
        <w:t>catla</w:t>
      </w:r>
      <w:proofErr w:type="spellEnd"/>
      <w:r>
        <w:t xml:space="preserve"> (Hamilton, 1822) treated as synonyms. The applied ecotoxicological literature has not followed this change consistently, and recent primary work continues to publish under the older binomial (Basak et al., 2026). Rohu is </w:t>
      </w:r>
      <w:proofErr w:type="spellStart"/>
      <w:r>
        <w:rPr>
          <w:i/>
          <w:iCs/>
        </w:rPr>
        <w:t>Labeo</w:t>
      </w:r>
      <w:proofErr w:type="spellEnd"/>
      <w:r>
        <w:rPr>
          <w:i/>
          <w:iCs/>
        </w:rPr>
        <w:t xml:space="preserve"> </w:t>
      </w:r>
      <w:proofErr w:type="spellStart"/>
      <w:r>
        <w:rPr>
          <w:i/>
          <w:iCs/>
        </w:rPr>
        <w:t>rohita</w:t>
      </w:r>
      <w:proofErr w:type="spellEnd"/>
      <w:r>
        <w:t xml:space="preserve"> (Hamilton, 1822) and hilsa is </w:t>
      </w:r>
      <w:proofErr w:type="spellStart"/>
      <w:r>
        <w:rPr>
          <w:i/>
          <w:iCs/>
        </w:rPr>
        <w:t>Tenualosa</w:t>
      </w:r>
      <w:proofErr w:type="spellEnd"/>
      <w:r>
        <w:rPr>
          <w:i/>
          <w:iCs/>
        </w:rPr>
        <w:t xml:space="preserve"> </w:t>
      </w:r>
      <w:proofErr w:type="spellStart"/>
      <w:r>
        <w:rPr>
          <w:i/>
          <w:iCs/>
        </w:rPr>
        <w:t>ilisha</w:t>
      </w:r>
      <w:proofErr w:type="spellEnd"/>
      <w:r>
        <w:t xml:space="preserve"> (Hamilton, 1822), both stable in current usage. The practical consequence is that any search confined to the currently accepted binomial for </w:t>
      </w:r>
      <w:proofErr w:type="spellStart"/>
      <w:r>
        <w:t>catla</w:t>
      </w:r>
      <w:proofErr w:type="spellEnd"/>
      <w:r>
        <w:t xml:space="preserve"> will fail to retrieve most of the relevant literature, and any synthesis that does not reconcile the synonymy risks double-counting or omitting studies. This review uses </w:t>
      </w:r>
      <w:proofErr w:type="spellStart"/>
      <w:r>
        <w:rPr>
          <w:i/>
          <w:iCs/>
        </w:rPr>
        <w:t>Labeo</w:t>
      </w:r>
      <w:proofErr w:type="spellEnd"/>
      <w:r>
        <w:rPr>
          <w:i/>
          <w:iCs/>
        </w:rPr>
        <w:t xml:space="preserve"> </w:t>
      </w:r>
      <w:proofErr w:type="spellStart"/>
      <w:r>
        <w:rPr>
          <w:i/>
          <w:iCs/>
        </w:rPr>
        <w:t>catla</w:t>
      </w:r>
      <w:proofErr w:type="spellEnd"/>
      <w:r>
        <w:t xml:space="preserve"> in the text while retaining the binomial used by each cited study where the distinction matters for retrieval.</w:t>
      </w:r>
    </w:p>
    <w:p w14:paraId="535F70AA" w14:textId="77777777" w:rsidR="00CB42E7" w:rsidRDefault="00000000" w:rsidP="00817D95">
      <w:pPr>
        <w:keepNext/>
        <w:spacing w:before="260" w:after="140" w:line="300" w:lineRule="auto"/>
        <w:jc w:val="both"/>
      </w:pPr>
      <w:r>
        <w:rPr>
          <w:b/>
          <w:bCs/>
          <w:sz w:val="23"/>
          <w:szCs w:val="23"/>
        </w:rPr>
        <w:t>4.2 Feeding guild, vertical niche and the exposure route</w:t>
      </w:r>
    </w:p>
    <w:p w14:paraId="0F720AF1" w14:textId="77777777" w:rsidR="00CB42E7" w:rsidRDefault="00000000" w:rsidP="00817D95">
      <w:pPr>
        <w:spacing w:after="160" w:line="360" w:lineRule="auto"/>
        <w:jc w:val="both"/>
      </w:pPr>
      <w:r>
        <w:t xml:space="preserve">The three species differ in ways that bear directly on exposure. </w:t>
      </w:r>
      <w:proofErr w:type="spellStart"/>
      <w:r>
        <w:t>Catla</w:t>
      </w:r>
      <w:proofErr w:type="spellEnd"/>
      <w:r>
        <w:t xml:space="preserve"> is a surface and column feeder whose diet is dominated by zooplankton, whereas rohu occupies the column and the sediment-water </w:t>
      </w:r>
      <w:r>
        <w:lastRenderedPageBreak/>
        <w:t xml:space="preserve">interface with </w:t>
      </w:r>
      <w:proofErr w:type="gramStart"/>
      <w:r>
        <w:t>a</w:t>
      </w:r>
      <w:proofErr w:type="gramEnd"/>
      <w:r>
        <w:t xml:space="preserve"> herbivorous and </w:t>
      </w:r>
      <w:proofErr w:type="spellStart"/>
      <w:r>
        <w:t>detritivorous</w:t>
      </w:r>
      <w:proofErr w:type="spellEnd"/>
      <w:r>
        <w:t xml:space="preserve"> habit that brings it into closer and more sustained contact with sediment-associated material. This is not a taxonomic nicety. In a multi-district comparison across West Bengal, arsenic burdens in rohu were significantly higher than in </w:t>
      </w:r>
      <w:proofErr w:type="spellStart"/>
      <w:r>
        <w:t>catla</w:t>
      </w:r>
      <w:proofErr w:type="spellEnd"/>
      <w:r>
        <w:t xml:space="preserve"> in the same water bodies, and the authors attributed the difference to the more benthopelagic feeding behaviour of rohu (Basak et al., 2026). The same pattern recurs in other settings. In an aquaculture pond in the coal-mining belt of Dhanbad, the bottom-dwelling </w:t>
      </w:r>
      <w:proofErr w:type="spellStart"/>
      <w:r>
        <w:rPr>
          <w:i/>
          <w:iCs/>
        </w:rPr>
        <w:t>Labeo</w:t>
      </w:r>
      <w:proofErr w:type="spellEnd"/>
      <w:r>
        <w:rPr>
          <w:i/>
          <w:iCs/>
        </w:rPr>
        <w:t xml:space="preserve"> bata</w:t>
      </w:r>
      <w:r>
        <w:t xml:space="preserve"> accumulated metals more strongly than rohu, and the difference was ascribed to feeding position rather than to any physiological distinction (Pal &amp; Maiti, 2018). In the Old Brahmaputra River in Bangladesh, metal contents differed significantly among species according to feeding habit and habitat, with omnivorous species carrying higher arsenic, chromium, mercury and lead, and benthopelagic species carrying higher arsenic specifically (</w:t>
      </w:r>
      <w:proofErr w:type="spellStart"/>
      <w:r>
        <w:t>Shorna</w:t>
      </w:r>
      <w:proofErr w:type="spellEnd"/>
      <w:r>
        <w:t xml:space="preserve"> et al., 2021).</w:t>
      </w:r>
    </w:p>
    <w:p w14:paraId="251A8995" w14:textId="77777777" w:rsidR="00CB42E7" w:rsidRDefault="00000000" w:rsidP="00817D95">
      <w:pPr>
        <w:spacing w:after="160" w:line="360" w:lineRule="auto"/>
        <w:jc w:val="both"/>
      </w:pPr>
      <w:r>
        <w:t xml:space="preserve">Where the three Indian major carps have been examined together in the same system, species-specific as well as tissue-specific partitioning was apparent, with liver identified as the principal site of accumulation and gill in most cases the least affected among rohu, </w:t>
      </w:r>
      <w:proofErr w:type="spellStart"/>
      <w:r>
        <w:t>catla</w:t>
      </w:r>
      <w:proofErr w:type="spellEnd"/>
      <w:r>
        <w:t xml:space="preserve"> and mrigal (Aich et al., 2012). This finding is important for two reasons. It establishes that inter-species differences are detectable within the carp assemblage rather than being confined to comparisons between carps and other families, and it demonstrates that the direction and magnitude of those differences are element-dependent rather than uniform. A single ranking of species by contamination is therefore not a meaningful construct; rankings must be stated element by element and tissue by tissue.</w:t>
      </w:r>
    </w:p>
    <w:p w14:paraId="061CDE4B" w14:textId="77777777" w:rsidR="00CB42E7" w:rsidRDefault="00000000" w:rsidP="00817D95">
      <w:pPr>
        <w:spacing w:after="160" w:line="360" w:lineRule="auto"/>
        <w:jc w:val="both"/>
      </w:pPr>
      <w:r>
        <w:t xml:space="preserve">The consequence for North-East India is direct. Regional tissue data, where they exist at all, come predominantly from species whose ecology differs systematically from that of the target species. </w:t>
      </w:r>
      <w:r>
        <w:rPr>
          <w:i/>
          <w:iCs/>
        </w:rPr>
        <w:t>Channa punctatus</w:t>
      </w:r>
      <w:r>
        <w:t xml:space="preserve"> is a carnivorous air-breathing predator, </w:t>
      </w:r>
      <w:r>
        <w:rPr>
          <w:i/>
          <w:iCs/>
        </w:rPr>
        <w:t>Cyprinus carpio</w:t>
      </w:r>
      <w:r>
        <w:t xml:space="preserve"> is an introduced benthic omnivore, and </w:t>
      </w:r>
      <w:proofErr w:type="spellStart"/>
      <w:r>
        <w:rPr>
          <w:i/>
          <w:iCs/>
        </w:rPr>
        <w:t>Labeo</w:t>
      </w:r>
      <w:proofErr w:type="spellEnd"/>
      <w:r>
        <w:rPr>
          <w:i/>
          <w:iCs/>
        </w:rPr>
        <w:t xml:space="preserve"> </w:t>
      </w:r>
      <w:proofErr w:type="spellStart"/>
      <w:r>
        <w:rPr>
          <w:i/>
          <w:iCs/>
        </w:rPr>
        <w:t>angra</w:t>
      </w:r>
      <w:proofErr w:type="spellEnd"/>
      <w:r>
        <w:t xml:space="preserve"> is a small-bodied congener with a different size trajectory. Each of these differs from </w:t>
      </w:r>
      <w:proofErr w:type="spellStart"/>
      <w:r>
        <w:t>catla</w:t>
      </w:r>
      <w:proofErr w:type="spellEnd"/>
      <w:r>
        <w:t xml:space="preserve"> in vertical niche, from rohu in body size and growth rate, and from hilsa in essentially every relevant respect. Using them as proxies imports an unquantified and directionally uncertain error, and the literature that does so rarely acknowledges this.</w:t>
      </w:r>
    </w:p>
    <w:p w14:paraId="1C888976" w14:textId="77777777" w:rsidR="00CB42E7" w:rsidRDefault="00000000" w:rsidP="00817D95">
      <w:pPr>
        <w:keepNext/>
        <w:spacing w:before="260" w:after="140" w:line="300" w:lineRule="auto"/>
        <w:jc w:val="both"/>
      </w:pPr>
      <w:r>
        <w:rPr>
          <w:b/>
          <w:bCs/>
          <w:sz w:val="23"/>
          <w:szCs w:val="23"/>
        </w:rPr>
        <w:t>4.3 Anadromy and the exposure-history problem for hilsa</w:t>
      </w:r>
    </w:p>
    <w:p w14:paraId="3D0E3FC5" w14:textId="77777777" w:rsidR="00CB42E7" w:rsidRDefault="00000000" w:rsidP="00817D95">
      <w:pPr>
        <w:spacing w:after="160" w:line="360" w:lineRule="auto"/>
        <w:jc w:val="both"/>
      </w:pPr>
      <w:r>
        <w:t>Hilsa poses a distinct analytical problem. The species is anadromous, spending the greater part of its life in coastal and marine waters and entering rivers principally to spawn, with juveniles subsequently returning seawards (Hossain et al., 2019). Tissue burdens in any individual therefore integrate exposure across marine, estuarine and riverine environments whose contaminant fields differ in composition, in the dominant chemical forms of the elements present, and in the salinity and calcium concentrations that modulate gill uptake. A muscle concentration measured in a hilsa landed at a market cannot be attributed to the water body in which it was caught, still less to the region in which it is sold.</w:t>
      </w:r>
    </w:p>
    <w:p w14:paraId="66B1427A" w14:textId="77777777" w:rsidR="00CB42E7" w:rsidRDefault="00000000" w:rsidP="00817D95">
      <w:pPr>
        <w:spacing w:after="160" w:line="360" w:lineRule="auto"/>
        <w:jc w:val="both"/>
      </w:pPr>
      <w:r>
        <w:lastRenderedPageBreak/>
        <w:t>This complication is compounded in North-East India by the structure of supply. Migratory access to the upper reaches of the Ganga and Brahmaputra systems has been substantially constrained, and much of the hilsa consumed in the region reaches it through trade from the Bay of Bengal and its deltaic approaches rather than from local capture. No retrieved study establishes the provenance of hilsa sold in North-East Indian markets, and none reports tissue metal concentrations in hilsa captured within the region. The consequence is that the hilsa component of regional dietary exposure is governed largely by conditions outside the region, which reframes the question from an ecological one about the Brahmaputra to a food-safety one about traded fish. The distinction matters because the two questions imply entirely different monitoring designs and different regulatory levers.</w:t>
      </w:r>
    </w:p>
    <w:p w14:paraId="39504153" w14:textId="77777777" w:rsidR="00CB42E7" w:rsidRDefault="00000000" w:rsidP="00817D95">
      <w:pPr>
        <w:spacing w:after="160" w:line="360" w:lineRule="auto"/>
        <w:jc w:val="both"/>
      </w:pPr>
      <w:r>
        <w:t>Evidence from where hilsa has been analysed illustrates both the potential magnitude of the issue and the difficulty of transferring it. Organ-specific analysis of Bangladeshi hilsa found accumulation patterns that differed markedly among tissues and generated distinct risk conclusions depending on which organ was considered (</w:t>
      </w:r>
      <w:proofErr w:type="spellStart"/>
      <w:r>
        <w:t>Raknuzzaman</w:t>
      </w:r>
      <w:proofErr w:type="spellEnd"/>
      <w:r>
        <w:t xml:space="preserve"> et al., 2022). Market-based sampling stratified by fish size found that the smallest size group carried the highest metal concentrations and that non-carcinogenic risk was identified for children consuming that group, even though no hazard was indicated for adults (Hossain et al., 2024). Comparable work outside South Asia, in the northern Persian Gulf, reported accumulation in hilsa alongside a second commercial species, confirming that the species accumulates measurably in a quite different marine setting (Niri et al., 2015). These findings converge on the conclusion that hilsa burdens are strongly conditioned by size and by capture environment, which is precisely why they cannot be transferred wholesale to a regional market whose supply structure is undocumented.</w:t>
      </w:r>
    </w:p>
    <w:p w14:paraId="56E6E26B" w14:textId="77777777" w:rsidR="00CB42E7" w:rsidRDefault="00000000" w:rsidP="00817D95">
      <w:pPr>
        <w:spacing w:after="160" w:line="360" w:lineRule="auto"/>
        <w:jc w:val="both"/>
      </w:pPr>
      <w:r>
        <w:t xml:space="preserve">The table below summarises the ecological traits that determine exposure for each species and states the principal uncertainty attaching to each in the North-East Indian context. The pattern it reveals is that the uncertainties are not of the same kind: for </w:t>
      </w:r>
      <w:proofErr w:type="spellStart"/>
      <w:r>
        <w:t>catla</w:t>
      </w:r>
      <w:proofErr w:type="spellEnd"/>
      <w:r>
        <w:t xml:space="preserve"> and rohu the deficiency is an absence of local measurement against a background of reasonably well-understood ecology, whereas for hilsa the deficiency is more fundamental, since even a local measurement would be difficult to interpret without independent information on the individual fish’s migratory and geographical history.</w:t>
      </w:r>
    </w:p>
    <w:p w14:paraId="728917D5" w14:textId="77777777" w:rsidR="00CB42E7" w:rsidRDefault="00000000" w:rsidP="00817D95">
      <w:pPr>
        <w:keepNext/>
        <w:spacing w:before="200" w:after="100" w:line="260" w:lineRule="auto"/>
        <w:jc w:val="both"/>
      </w:pPr>
      <w:r>
        <w:rPr>
          <w:b/>
          <w:bCs/>
          <w:sz w:val="20"/>
          <w:szCs w:val="20"/>
        </w:rPr>
        <w:t>Table 2. Ecological traits of the three target species and their consequences for metal exposure and for the interpretation of tissue measurements.</w:t>
      </w:r>
    </w:p>
    <w:tbl>
      <w:tblPr>
        <w:tblW w:w="9026" w:type="dxa"/>
        <w:tblBorders>
          <w:top w:val="single" w:sz="4" w:space="0" w:color="444444"/>
          <w:left w:val="single" w:sz="2" w:space="0" w:color="999999"/>
          <w:bottom w:val="single" w:sz="4" w:space="0" w:color="444444"/>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1150"/>
        <w:gridCol w:w="1250"/>
        <w:gridCol w:w="1400"/>
        <w:gridCol w:w="1950"/>
        <w:gridCol w:w="2050"/>
        <w:gridCol w:w="1226"/>
      </w:tblGrid>
      <w:tr w:rsidR="00CB42E7" w14:paraId="30EC38E8" w14:textId="77777777">
        <w:trPr>
          <w:tblHeader/>
        </w:trPr>
        <w:tc>
          <w:tcPr>
            <w:tcW w:w="1150" w:type="dxa"/>
            <w:shd w:val="clear" w:color="auto" w:fill="E8E8E8"/>
            <w:tcMar>
              <w:top w:w="60" w:type="dxa"/>
              <w:left w:w="90" w:type="dxa"/>
              <w:bottom w:w="60" w:type="dxa"/>
              <w:right w:w="90" w:type="dxa"/>
            </w:tcMar>
          </w:tcPr>
          <w:p w14:paraId="106434FA" w14:textId="77777777" w:rsidR="00CB42E7" w:rsidRDefault="00000000" w:rsidP="00817D95">
            <w:pPr>
              <w:jc w:val="both"/>
            </w:pPr>
            <w:r>
              <w:rPr>
                <w:b/>
                <w:bCs/>
                <w:sz w:val="17"/>
                <w:szCs w:val="17"/>
              </w:rPr>
              <w:t>Species</w:t>
            </w:r>
          </w:p>
        </w:tc>
        <w:tc>
          <w:tcPr>
            <w:tcW w:w="1250" w:type="dxa"/>
            <w:shd w:val="clear" w:color="auto" w:fill="E8E8E8"/>
            <w:tcMar>
              <w:top w:w="60" w:type="dxa"/>
              <w:left w:w="90" w:type="dxa"/>
              <w:bottom w:w="60" w:type="dxa"/>
              <w:right w:w="90" w:type="dxa"/>
            </w:tcMar>
          </w:tcPr>
          <w:p w14:paraId="6F511231" w14:textId="77777777" w:rsidR="00CB42E7" w:rsidRDefault="00000000" w:rsidP="00817D95">
            <w:pPr>
              <w:jc w:val="both"/>
            </w:pPr>
            <w:r>
              <w:rPr>
                <w:b/>
                <w:bCs/>
                <w:sz w:val="17"/>
                <w:szCs w:val="17"/>
              </w:rPr>
              <w:t>Vertical niche and feeding habit</w:t>
            </w:r>
          </w:p>
        </w:tc>
        <w:tc>
          <w:tcPr>
            <w:tcW w:w="1400" w:type="dxa"/>
            <w:shd w:val="clear" w:color="auto" w:fill="E8E8E8"/>
            <w:tcMar>
              <w:top w:w="60" w:type="dxa"/>
              <w:left w:w="90" w:type="dxa"/>
              <w:bottom w:w="60" w:type="dxa"/>
              <w:right w:w="90" w:type="dxa"/>
            </w:tcMar>
          </w:tcPr>
          <w:p w14:paraId="1433C48F" w14:textId="77777777" w:rsidR="00CB42E7" w:rsidRDefault="00000000" w:rsidP="00817D95">
            <w:pPr>
              <w:jc w:val="both"/>
            </w:pPr>
            <w:r>
              <w:rPr>
                <w:b/>
                <w:bCs/>
                <w:sz w:val="17"/>
                <w:szCs w:val="17"/>
              </w:rPr>
              <w:t>Residency and life-history pattern</w:t>
            </w:r>
          </w:p>
        </w:tc>
        <w:tc>
          <w:tcPr>
            <w:tcW w:w="1950" w:type="dxa"/>
            <w:shd w:val="clear" w:color="auto" w:fill="E8E8E8"/>
            <w:tcMar>
              <w:top w:w="60" w:type="dxa"/>
              <w:left w:w="90" w:type="dxa"/>
              <w:bottom w:w="60" w:type="dxa"/>
              <w:right w:w="90" w:type="dxa"/>
            </w:tcMar>
          </w:tcPr>
          <w:p w14:paraId="21086503" w14:textId="77777777" w:rsidR="00CB42E7" w:rsidRDefault="00000000" w:rsidP="00817D95">
            <w:pPr>
              <w:jc w:val="both"/>
            </w:pPr>
            <w:r>
              <w:rPr>
                <w:b/>
                <w:bCs/>
                <w:sz w:val="17"/>
                <w:szCs w:val="17"/>
              </w:rPr>
              <w:t>Expected emphasis of exposure</w:t>
            </w:r>
          </w:p>
        </w:tc>
        <w:tc>
          <w:tcPr>
            <w:tcW w:w="2050" w:type="dxa"/>
            <w:shd w:val="clear" w:color="auto" w:fill="E8E8E8"/>
            <w:tcMar>
              <w:top w:w="60" w:type="dxa"/>
              <w:left w:w="90" w:type="dxa"/>
              <w:bottom w:w="60" w:type="dxa"/>
              <w:right w:w="90" w:type="dxa"/>
            </w:tcMar>
          </w:tcPr>
          <w:p w14:paraId="5A17ED5E" w14:textId="77777777" w:rsidR="00CB42E7" w:rsidRDefault="00000000" w:rsidP="00817D95">
            <w:pPr>
              <w:jc w:val="both"/>
            </w:pPr>
            <w:r>
              <w:rPr>
                <w:b/>
                <w:bCs/>
                <w:sz w:val="17"/>
                <w:szCs w:val="17"/>
              </w:rPr>
              <w:t>Principal interpretive uncertainty in North-East India</w:t>
            </w:r>
          </w:p>
        </w:tc>
        <w:tc>
          <w:tcPr>
            <w:tcW w:w="1226" w:type="dxa"/>
            <w:shd w:val="clear" w:color="auto" w:fill="E8E8E8"/>
            <w:tcMar>
              <w:top w:w="60" w:type="dxa"/>
              <w:left w:w="90" w:type="dxa"/>
              <w:bottom w:w="60" w:type="dxa"/>
              <w:right w:w="90" w:type="dxa"/>
            </w:tcMar>
          </w:tcPr>
          <w:p w14:paraId="62FA21B6" w14:textId="77777777" w:rsidR="00CB42E7" w:rsidRDefault="00000000" w:rsidP="00817D95">
            <w:pPr>
              <w:jc w:val="both"/>
            </w:pPr>
            <w:r>
              <w:rPr>
                <w:b/>
                <w:bCs/>
                <w:sz w:val="17"/>
                <w:szCs w:val="17"/>
              </w:rPr>
              <w:t>Supporting references</w:t>
            </w:r>
          </w:p>
        </w:tc>
      </w:tr>
      <w:tr w:rsidR="00CB42E7" w14:paraId="5CD6CB8F" w14:textId="77777777">
        <w:tc>
          <w:tcPr>
            <w:tcW w:w="1150" w:type="dxa"/>
            <w:tcMar>
              <w:top w:w="60" w:type="dxa"/>
              <w:left w:w="90" w:type="dxa"/>
              <w:bottom w:w="60" w:type="dxa"/>
              <w:right w:w="90" w:type="dxa"/>
            </w:tcMar>
          </w:tcPr>
          <w:p w14:paraId="714FE46F" w14:textId="77777777" w:rsidR="00CB42E7" w:rsidRDefault="00000000" w:rsidP="00817D95">
            <w:pPr>
              <w:jc w:val="both"/>
            </w:pPr>
            <w:proofErr w:type="spellStart"/>
            <w:r>
              <w:rPr>
                <w:i/>
                <w:iCs/>
                <w:sz w:val="17"/>
                <w:szCs w:val="17"/>
              </w:rPr>
              <w:t>Labeo</w:t>
            </w:r>
            <w:proofErr w:type="spellEnd"/>
            <w:r>
              <w:rPr>
                <w:i/>
                <w:iCs/>
                <w:sz w:val="17"/>
                <w:szCs w:val="17"/>
              </w:rPr>
              <w:t xml:space="preserve"> </w:t>
            </w:r>
            <w:proofErr w:type="spellStart"/>
            <w:r>
              <w:rPr>
                <w:i/>
                <w:iCs/>
                <w:sz w:val="17"/>
                <w:szCs w:val="17"/>
              </w:rPr>
              <w:t>catla</w:t>
            </w:r>
            <w:proofErr w:type="spellEnd"/>
            <w:r>
              <w:rPr>
                <w:sz w:val="17"/>
                <w:szCs w:val="17"/>
              </w:rPr>
              <w:t xml:space="preserve"> (Hamilton, 1822), also published as </w:t>
            </w:r>
            <w:proofErr w:type="spellStart"/>
            <w:r>
              <w:rPr>
                <w:i/>
                <w:iCs/>
                <w:sz w:val="17"/>
                <w:szCs w:val="17"/>
              </w:rPr>
              <w:t>Catla</w:t>
            </w:r>
            <w:proofErr w:type="spellEnd"/>
            <w:r>
              <w:rPr>
                <w:i/>
                <w:iCs/>
                <w:sz w:val="17"/>
                <w:szCs w:val="17"/>
              </w:rPr>
              <w:t xml:space="preserve"> </w:t>
            </w:r>
            <w:proofErr w:type="spellStart"/>
            <w:r>
              <w:rPr>
                <w:i/>
                <w:iCs/>
                <w:sz w:val="17"/>
                <w:szCs w:val="17"/>
              </w:rPr>
              <w:t>catla</w:t>
            </w:r>
            <w:proofErr w:type="spellEnd"/>
          </w:p>
        </w:tc>
        <w:tc>
          <w:tcPr>
            <w:tcW w:w="1250" w:type="dxa"/>
            <w:tcMar>
              <w:top w:w="60" w:type="dxa"/>
              <w:left w:w="90" w:type="dxa"/>
              <w:bottom w:w="60" w:type="dxa"/>
              <w:right w:w="90" w:type="dxa"/>
            </w:tcMar>
          </w:tcPr>
          <w:p w14:paraId="20FB7375" w14:textId="77777777" w:rsidR="00CB42E7" w:rsidRDefault="00000000" w:rsidP="00817D95">
            <w:pPr>
              <w:jc w:val="both"/>
            </w:pPr>
            <w:r>
              <w:rPr>
                <w:sz w:val="17"/>
                <w:szCs w:val="17"/>
              </w:rPr>
              <w:t>Surface and column feeder, predominantly planktivorous</w:t>
            </w:r>
          </w:p>
        </w:tc>
        <w:tc>
          <w:tcPr>
            <w:tcW w:w="1400" w:type="dxa"/>
            <w:tcMar>
              <w:top w:w="60" w:type="dxa"/>
              <w:left w:w="90" w:type="dxa"/>
              <w:bottom w:w="60" w:type="dxa"/>
              <w:right w:w="90" w:type="dxa"/>
            </w:tcMar>
          </w:tcPr>
          <w:p w14:paraId="6989102A" w14:textId="77777777" w:rsidR="00CB42E7" w:rsidRDefault="00000000" w:rsidP="00817D95">
            <w:pPr>
              <w:jc w:val="both"/>
            </w:pPr>
            <w:r>
              <w:rPr>
                <w:sz w:val="17"/>
                <w:szCs w:val="17"/>
              </w:rPr>
              <w:t>Resident in rivers, floodplain wetlands, reservoirs and culture ponds</w:t>
            </w:r>
          </w:p>
        </w:tc>
        <w:tc>
          <w:tcPr>
            <w:tcW w:w="1950" w:type="dxa"/>
            <w:tcMar>
              <w:top w:w="60" w:type="dxa"/>
              <w:left w:w="90" w:type="dxa"/>
              <w:bottom w:w="60" w:type="dxa"/>
              <w:right w:w="90" w:type="dxa"/>
            </w:tcMar>
          </w:tcPr>
          <w:p w14:paraId="4A3E1218" w14:textId="77777777" w:rsidR="00CB42E7" w:rsidRDefault="00000000" w:rsidP="00817D95">
            <w:pPr>
              <w:jc w:val="both"/>
            </w:pPr>
            <w:r>
              <w:rPr>
                <w:sz w:val="17"/>
                <w:szCs w:val="17"/>
              </w:rPr>
              <w:t>Waterborne uptake across the gill and dietary uptake through the planktonic pathway; comparatively limited direct contact with contaminated sediment</w:t>
            </w:r>
          </w:p>
        </w:tc>
        <w:tc>
          <w:tcPr>
            <w:tcW w:w="2050" w:type="dxa"/>
            <w:tcMar>
              <w:top w:w="60" w:type="dxa"/>
              <w:left w:w="90" w:type="dxa"/>
              <w:bottom w:w="60" w:type="dxa"/>
              <w:right w:w="90" w:type="dxa"/>
            </w:tcMar>
          </w:tcPr>
          <w:p w14:paraId="4A48FFB4" w14:textId="77777777" w:rsidR="00CB42E7" w:rsidRDefault="00000000" w:rsidP="00817D95">
            <w:pPr>
              <w:jc w:val="both"/>
            </w:pPr>
            <w:r>
              <w:rPr>
                <w:sz w:val="17"/>
                <w:szCs w:val="17"/>
              </w:rPr>
              <w:t>No verified tissue dataset from within the region; comparative data from other basins indicate lower burdens than rohu for arsenic, but the generality of that ordering across elements is untested</w:t>
            </w:r>
          </w:p>
        </w:tc>
        <w:tc>
          <w:tcPr>
            <w:tcW w:w="1226" w:type="dxa"/>
            <w:tcMar>
              <w:top w:w="60" w:type="dxa"/>
              <w:left w:w="90" w:type="dxa"/>
              <w:bottom w:w="60" w:type="dxa"/>
              <w:right w:w="90" w:type="dxa"/>
            </w:tcMar>
          </w:tcPr>
          <w:p w14:paraId="6D868630" w14:textId="77777777" w:rsidR="00CB42E7" w:rsidRDefault="00000000" w:rsidP="00817D95">
            <w:pPr>
              <w:jc w:val="both"/>
            </w:pPr>
            <w:r>
              <w:rPr>
                <w:sz w:val="17"/>
                <w:szCs w:val="17"/>
              </w:rPr>
              <w:t>Aich et al. (2012); Basak et al. (2026)</w:t>
            </w:r>
          </w:p>
        </w:tc>
      </w:tr>
      <w:tr w:rsidR="00CB42E7" w14:paraId="468C2AE6" w14:textId="77777777">
        <w:tc>
          <w:tcPr>
            <w:tcW w:w="1150" w:type="dxa"/>
            <w:tcMar>
              <w:top w:w="60" w:type="dxa"/>
              <w:left w:w="90" w:type="dxa"/>
              <w:bottom w:w="60" w:type="dxa"/>
              <w:right w:w="90" w:type="dxa"/>
            </w:tcMar>
          </w:tcPr>
          <w:p w14:paraId="374C0AFC" w14:textId="77777777" w:rsidR="00CB42E7" w:rsidRDefault="00000000" w:rsidP="00817D95">
            <w:pPr>
              <w:jc w:val="both"/>
            </w:pPr>
            <w:proofErr w:type="spellStart"/>
            <w:r>
              <w:rPr>
                <w:i/>
                <w:iCs/>
                <w:sz w:val="17"/>
                <w:szCs w:val="17"/>
              </w:rPr>
              <w:lastRenderedPageBreak/>
              <w:t>Labeo</w:t>
            </w:r>
            <w:proofErr w:type="spellEnd"/>
            <w:r>
              <w:rPr>
                <w:i/>
                <w:iCs/>
                <w:sz w:val="17"/>
                <w:szCs w:val="17"/>
              </w:rPr>
              <w:t xml:space="preserve"> </w:t>
            </w:r>
            <w:proofErr w:type="spellStart"/>
            <w:r>
              <w:rPr>
                <w:i/>
                <w:iCs/>
                <w:sz w:val="17"/>
                <w:szCs w:val="17"/>
              </w:rPr>
              <w:t>rohita</w:t>
            </w:r>
            <w:proofErr w:type="spellEnd"/>
            <w:r>
              <w:rPr>
                <w:sz w:val="17"/>
                <w:szCs w:val="17"/>
              </w:rPr>
              <w:t xml:space="preserve"> (Hamilton, 1822)</w:t>
            </w:r>
          </w:p>
        </w:tc>
        <w:tc>
          <w:tcPr>
            <w:tcW w:w="1250" w:type="dxa"/>
            <w:tcMar>
              <w:top w:w="60" w:type="dxa"/>
              <w:left w:w="90" w:type="dxa"/>
              <w:bottom w:w="60" w:type="dxa"/>
              <w:right w:w="90" w:type="dxa"/>
            </w:tcMar>
          </w:tcPr>
          <w:p w14:paraId="7B4E3DCF" w14:textId="77777777" w:rsidR="00CB42E7" w:rsidRDefault="00000000" w:rsidP="00817D95">
            <w:pPr>
              <w:jc w:val="both"/>
            </w:pPr>
            <w:r>
              <w:rPr>
                <w:sz w:val="17"/>
                <w:szCs w:val="17"/>
              </w:rPr>
              <w:t xml:space="preserve">Column and bottom-associated feeder with herbivorous and </w:t>
            </w:r>
            <w:proofErr w:type="spellStart"/>
            <w:r>
              <w:rPr>
                <w:sz w:val="17"/>
                <w:szCs w:val="17"/>
              </w:rPr>
              <w:t>detritivorous</w:t>
            </w:r>
            <w:proofErr w:type="spellEnd"/>
            <w:r>
              <w:rPr>
                <w:sz w:val="17"/>
                <w:szCs w:val="17"/>
              </w:rPr>
              <w:t xml:space="preserve"> habit; described as benthopelagic in comparative work</w:t>
            </w:r>
          </w:p>
        </w:tc>
        <w:tc>
          <w:tcPr>
            <w:tcW w:w="1400" w:type="dxa"/>
            <w:tcMar>
              <w:top w:w="60" w:type="dxa"/>
              <w:left w:w="90" w:type="dxa"/>
              <w:bottom w:w="60" w:type="dxa"/>
              <w:right w:w="90" w:type="dxa"/>
            </w:tcMar>
          </w:tcPr>
          <w:p w14:paraId="03A62D5B" w14:textId="77777777" w:rsidR="00CB42E7" w:rsidRDefault="00000000" w:rsidP="00817D95">
            <w:pPr>
              <w:jc w:val="both"/>
            </w:pPr>
            <w:r>
              <w:rPr>
                <w:sz w:val="17"/>
                <w:szCs w:val="17"/>
              </w:rPr>
              <w:t>Resident in rivers, wetlands, reservoirs and culture ponds</w:t>
            </w:r>
          </w:p>
        </w:tc>
        <w:tc>
          <w:tcPr>
            <w:tcW w:w="1950" w:type="dxa"/>
            <w:tcMar>
              <w:top w:w="60" w:type="dxa"/>
              <w:left w:w="90" w:type="dxa"/>
              <w:bottom w:w="60" w:type="dxa"/>
              <w:right w:w="90" w:type="dxa"/>
            </w:tcMar>
          </w:tcPr>
          <w:p w14:paraId="1926B8FA" w14:textId="77777777" w:rsidR="00CB42E7" w:rsidRDefault="00000000" w:rsidP="00817D95">
            <w:pPr>
              <w:jc w:val="both"/>
            </w:pPr>
            <w:r>
              <w:rPr>
                <w:sz w:val="17"/>
                <w:szCs w:val="17"/>
              </w:rPr>
              <w:t>Combined waterborne and sediment-associated dietary uptake, with greater exposure to particle-bound fractions</w:t>
            </w:r>
          </w:p>
        </w:tc>
        <w:tc>
          <w:tcPr>
            <w:tcW w:w="2050" w:type="dxa"/>
            <w:tcMar>
              <w:top w:w="60" w:type="dxa"/>
              <w:left w:w="90" w:type="dxa"/>
              <w:bottom w:w="60" w:type="dxa"/>
              <w:right w:w="90" w:type="dxa"/>
            </w:tcMar>
          </w:tcPr>
          <w:p w14:paraId="7D931C25" w14:textId="77777777" w:rsidR="00CB42E7" w:rsidRDefault="00000000" w:rsidP="00817D95">
            <w:pPr>
              <w:jc w:val="both"/>
            </w:pPr>
            <w:r>
              <w:rPr>
                <w:sz w:val="17"/>
                <w:szCs w:val="17"/>
              </w:rPr>
              <w:t>A single regional tissue dataset exists, from one heavily modified river, reporting an atypical organ distribution that has not been independently reproduced</w:t>
            </w:r>
          </w:p>
        </w:tc>
        <w:tc>
          <w:tcPr>
            <w:tcW w:w="1226" w:type="dxa"/>
            <w:tcMar>
              <w:top w:w="60" w:type="dxa"/>
              <w:left w:w="90" w:type="dxa"/>
              <w:bottom w:w="60" w:type="dxa"/>
              <w:right w:w="90" w:type="dxa"/>
            </w:tcMar>
          </w:tcPr>
          <w:p w14:paraId="0FABA2AB" w14:textId="77777777" w:rsidR="00CB42E7" w:rsidRDefault="00000000" w:rsidP="00817D95">
            <w:pPr>
              <w:jc w:val="both"/>
            </w:pPr>
            <w:r>
              <w:rPr>
                <w:sz w:val="17"/>
                <w:szCs w:val="17"/>
              </w:rPr>
              <w:t xml:space="preserve">Basak et al. (2026); Das et al. (2024); Pal and Maiti (2018); </w:t>
            </w:r>
            <w:proofErr w:type="spellStart"/>
            <w:r>
              <w:rPr>
                <w:sz w:val="17"/>
                <w:szCs w:val="17"/>
              </w:rPr>
              <w:t>Shorna</w:t>
            </w:r>
            <w:proofErr w:type="spellEnd"/>
            <w:r>
              <w:rPr>
                <w:sz w:val="17"/>
                <w:szCs w:val="17"/>
              </w:rPr>
              <w:t xml:space="preserve"> et al. (2021)</w:t>
            </w:r>
          </w:p>
        </w:tc>
      </w:tr>
      <w:tr w:rsidR="00CB42E7" w14:paraId="24CDD0BA" w14:textId="77777777">
        <w:tc>
          <w:tcPr>
            <w:tcW w:w="1150" w:type="dxa"/>
            <w:tcMar>
              <w:top w:w="60" w:type="dxa"/>
              <w:left w:w="90" w:type="dxa"/>
              <w:bottom w:w="60" w:type="dxa"/>
              <w:right w:w="90" w:type="dxa"/>
            </w:tcMar>
          </w:tcPr>
          <w:p w14:paraId="0A569CEA" w14:textId="77777777" w:rsidR="00CB42E7" w:rsidRDefault="00000000" w:rsidP="00817D95">
            <w:pPr>
              <w:jc w:val="both"/>
            </w:pPr>
            <w:proofErr w:type="spellStart"/>
            <w:r>
              <w:rPr>
                <w:i/>
                <w:iCs/>
                <w:sz w:val="17"/>
                <w:szCs w:val="17"/>
              </w:rPr>
              <w:t>Tenualosa</w:t>
            </w:r>
            <w:proofErr w:type="spellEnd"/>
            <w:r>
              <w:rPr>
                <w:i/>
                <w:iCs/>
                <w:sz w:val="17"/>
                <w:szCs w:val="17"/>
              </w:rPr>
              <w:t xml:space="preserve"> </w:t>
            </w:r>
            <w:proofErr w:type="spellStart"/>
            <w:r>
              <w:rPr>
                <w:i/>
                <w:iCs/>
                <w:sz w:val="17"/>
                <w:szCs w:val="17"/>
              </w:rPr>
              <w:t>ilisha</w:t>
            </w:r>
            <w:proofErr w:type="spellEnd"/>
            <w:r>
              <w:rPr>
                <w:sz w:val="17"/>
                <w:szCs w:val="17"/>
              </w:rPr>
              <w:t xml:space="preserve"> (Hamilton, 1822)</w:t>
            </w:r>
          </w:p>
        </w:tc>
        <w:tc>
          <w:tcPr>
            <w:tcW w:w="1250" w:type="dxa"/>
            <w:tcMar>
              <w:top w:w="60" w:type="dxa"/>
              <w:left w:w="90" w:type="dxa"/>
              <w:bottom w:w="60" w:type="dxa"/>
              <w:right w:w="90" w:type="dxa"/>
            </w:tcMar>
          </w:tcPr>
          <w:p w14:paraId="37CE6AF1" w14:textId="77777777" w:rsidR="00CB42E7" w:rsidRDefault="00000000" w:rsidP="00817D95">
            <w:pPr>
              <w:jc w:val="both"/>
            </w:pPr>
            <w:r>
              <w:rPr>
                <w:sz w:val="17"/>
                <w:szCs w:val="17"/>
              </w:rPr>
              <w:t>Filter and particulate feeder in the pelagic zone</w:t>
            </w:r>
          </w:p>
        </w:tc>
        <w:tc>
          <w:tcPr>
            <w:tcW w:w="1400" w:type="dxa"/>
            <w:tcMar>
              <w:top w:w="60" w:type="dxa"/>
              <w:left w:w="90" w:type="dxa"/>
              <w:bottom w:w="60" w:type="dxa"/>
              <w:right w:w="90" w:type="dxa"/>
            </w:tcMar>
          </w:tcPr>
          <w:p w14:paraId="04E9604B" w14:textId="77777777" w:rsidR="00CB42E7" w:rsidRDefault="00000000" w:rsidP="00817D95">
            <w:pPr>
              <w:jc w:val="both"/>
            </w:pPr>
            <w:r>
              <w:rPr>
                <w:sz w:val="17"/>
                <w:szCs w:val="17"/>
              </w:rPr>
              <w:t>Anadromous; principally marine and estuarine, entering rivers to spawn</w:t>
            </w:r>
          </w:p>
        </w:tc>
        <w:tc>
          <w:tcPr>
            <w:tcW w:w="1950" w:type="dxa"/>
            <w:tcMar>
              <w:top w:w="60" w:type="dxa"/>
              <w:left w:w="90" w:type="dxa"/>
              <w:bottom w:w="60" w:type="dxa"/>
              <w:right w:w="90" w:type="dxa"/>
            </w:tcMar>
          </w:tcPr>
          <w:p w14:paraId="081FCE54" w14:textId="77777777" w:rsidR="00CB42E7" w:rsidRDefault="00000000" w:rsidP="00817D95">
            <w:pPr>
              <w:jc w:val="both"/>
            </w:pPr>
            <w:r>
              <w:rPr>
                <w:sz w:val="17"/>
                <w:szCs w:val="17"/>
              </w:rPr>
              <w:t>Integrated marine, estuarine and riverine exposure, with burden strongly conditioned by size and by capture environment</w:t>
            </w:r>
          </w:p>
        </w:tc>
        <w:tc>
          <w:tcPr>
            <w:tcW w:w="2050" w:type="dxa"/>
            <w:tcMar>
              <w:top w:w="60" w:type="dxa"/>
              <w:left w:w="90" w:type="dxa"/>
              <w:bottom w:w="60" w:type="dxa"/>
              <w:right w:w="90" w:type="dxa"/>
            </w:tcMar>
          </w:tcPr>
          <w:p w14:paraId="473B1F04" w14:textId="77777777" w:rsidR="00CB42E7" w:rsidRDefault="00000000" w:rsidP="00817D95">
            <w:pPr>
              <w:jc w:val="both"/>
            </w:pPr>
            <w:r>
              <w:rPr>
                <w:sz w:val="17"/>
                <w:szCs w:val="17"/>
              </w:rPr>
              <w:t>No tissue dataset from fish captured within the region, and no documentation of the provenance of traded fish, so neither ecological nor food-safety attribution is currently possible</w:t>
            </w:r>
          </w:p>
        </w:tc>
        <w:tc>
          <w:tcPr>
            <w:tcW w:w="1226" w:type="dxa"/>
            <w:tcMar>
              <w:top w:w="60" w:type="dxa"/>
              <w:left w:w="90" w:type="dxa"/>
              <w:bottom w:w="60" w:type="dxa"/>
              <w:right w:w="90" w:type="dxa"/>
            </w:tcMar>
          </w:tcPr>
          <w:p w14:paraId="4221C6A0" w14:textId="77777777" w:rsidR="00CB42E7" w:rsidRDefault="00000000" w:rsidP="00817D95">
            <w:pPr>
              <w:jc w:val="both"/>
            </w:pPr>
            <w:r>
              <w:rPr>
                <w:sz w:val="17"/>
                <w:szCs w:val="17"/>
              </w:rPr>
              <w:t xml:space="preserve">Hossain et al. (2019, 2024); Niri et al. (2015); </w:t>
            </w:r>
            <w:proofErr w:type="spellStart"/>
            <w:r>
              <w:rPr>
                <w:sz w:val="17"/>
                <w:szCs w:val="17"/>
              </w:rPr>
              <w:t>Raknuzzaman</w:t>
            </w:r>
            <w:proofErr w:type="spellEnd"/>
            <w:r>
              <w:rPr>
                <w:sz w:val="17"/>
                <w:szCs w:val="17"/>
              </w:rPr>
              <w:t xml:space="preserve"> et al. (2022)</w:t>
            </w:r>
          </w:p>
        </w:tc>
      </w:tr>
    </w:tbl>
    <w:p w14:paraId="06CD38EE" w14:textId="77777777" w:rsidR="00CB42E7" w:rsidRDefault="00000000" w:rsidP="00817D95">
      <w:pPr>
        <w:spacing w:before="80" w:after="240"/>
        <w:jc w:val="both"/>
      </w:pPr>
      <w:r>
        <w:rPr>
          <w:sz w:val="17"/>
          <w:szCs w:val="17"/>
        </w:rPr>
        <w:t>Note. Vertical niche and feeding descriptions follow the characterisations used in the cited comparative studies. “Expected emphasis of exposure” denotes the pathway likely to dominate on current understanding and is not a measured quantity.</w:t>
      </w:r>
    </w:p>
    <w:p w14:paraId="0A0DAF46" w14:textId="77777777" w:rsidR="00CB42E7" w:rsidRDefault="00000000" w:rsidP="00817D95">
      <w:pPr>
        <w:keepNext/>
        <w:spacing w:before="260" w:after="140" w:line="300" w:lineRule="auto"/>
        <w:jc w:val="both"/>
      </w:pPr>
      <w:r>
        <w:rPr>
          <w:b/>
          <w:bCs/>
          <w:sz w:val="25"/>
          <w:szCs w:val="25"/>
        </w:rPr>
        <w:t>5. What the Regional Evidence Actually Shows</w:t>
      </w:r>
    </w:p>
    <w:p w14:paraId="4A09B55E" w14:textId="77777777" w:rsidR="00CB42E7" w:rsidRDefault="00000000" w:rsidP="00817D95">
      <w:pPr>
        <w:keepNext/>
        <w:spacing w:before="260" w:after="140" w:line="300" w:lineRule="auto"/>
        <w:jc w:val="both"/>
      </w:pPr>
      <w:r>
        <w:rPr>
          <w:b/>
          <w:bCs/>
          <w:sz w:val="23"/>
          <w:szCs w:val="23"/>
        </w:rPr>
        <w:t>5.1 Direct evidence for the target species within North-East India</w:t>
      </w:r>
    </w:p>
    <w:p w14:paraId="717FC60A" w14:textId="77777777" w:rsidR="00CB42E7" w:rsidRDefault="00000000" w:rsidP="00817D95">
      <w:pPr>
        <w:spacing w:after="160" w:line="360" w:lineRule="auto"/>
        <w:jc w:val="both"/>
      </w:pPr>
      <w:r>
        <w:t xml:space="preserve">The direct evidence is minimal. One retrievable peer-reviewed study reports tissue metal concentrations in a target species from within the region. Fish were sampled from the </w:t>
      </w:r>
      <w:proofErr w:type="spellStart"/>
      <w:r>
        <w:t>Kolong</w:t>
      </w:r>
      <w:proofErr w:type="spellEnd"/>
      <w:r>
        <w:t xml:space="preserve"> River at Nagaon, a channel whose flow was historically obstructed and which is among the more heavily impacted rivers of the Assam valley, and rohu was analysed alongside </w:t>
      </w:r>
      <w:r>
        <w:rPr>
          <w:i/>
          <w:iCs/>
        </w:rPr>
        <w:t xml:space="preserve">Puntius </w:t>
      </w:r>
      <w:proofErr w:type="spellStart"/>
      <w:r>
        <w:rPr>
          <w:i/>
          <w:iCs/>
        </w:rPr>
        <w:t>conchonius</w:t>
      </w:r>
      <w:proofErr w:type="spellEnd"/>
      <w:r>
        <w:t xml:space="preserve"> for arsenic, zinc, cadmium, chromium, mercury and lead (Das et al., 2024). Three of the six elements were detected, namely cadmium, arsenic and zinc. Rohu carried higher concentrations than the smaller cyprinid, which is consistent with the feeding-position argument developed above. Concentrations were reported as below permissible limits in all samples, and metal pollution index, estimated daily intake, target hazard quotient and carcinogenic risk values were interpreted as indicating that consumption is safe for adults. The authors nonetheless recommended discarding the brain and gills before consumption because arsenic was highest in those tissues.</w:t>
      </w:r>
    </w:p>
    <w:p w14:paraId="4DDD673E" w14:textId="77777777" w:rsidR="00CB42E7" w:rsidRDefault="00000000" w:rsidP="00817D95">
      <w:pPr>
        <w:spacing w:after="160" w:line="360" w:lineRule="auto"/>
        <w:jc w:val="both"/>
      </w:pPr>
      <w:r>
        <w:t xml:space="preserve">This study is valuable precisely because it is the only one of its kind, but it cannot bear the weight that its uniqueness invites. Its element detection pattern, in which chromium, mercury and lead were not detected at all, is notable in a river system where those elements have been documented in sediments and surface waters elsewhere in the valley (Bhuyan et al., 2023; Hazarika &amp; Kalita, 2020). Non-detection may reflect genuine absence in the sampled fish, but it may equally reflect detection limits or digestion efficiency, and the distinction cannot be resolved from the reporting. More significant is the reported organ distribution. The finding that detected elements were highest in the brain, followed by the gills, departs from the pattern reported in essentially every comparable study of Indian major carps, </w:t>
      </w:r>
      <w:r>
        <w:lastRenderedPageBreak/>
        <w:t>in which liver and kidney dominate (Aich et al., 2012; Choudhury et al., 2023). A finding of this kind is either an important observation about a specific exposure regime or an artefact of dissection, tissue mass or contamination during sample handling. Independent replication is required before it can be treated as either.</w:t>
      </w:r>
    </w:p>
    <w:p w14:paraId="41CE87DF" w14:textId="77777777" w:rsidR="00CB42E7" w:rsidRDefault="00000000" w:rsidP="00817D95">
      <w:pPr>
        <w:spacing w:after="160" w:line="360" w:lineRule="auto"/>
        <w:jc w:val="both"/>
      </w:pPr>
      <w:r>
        <w:t xml:space="preserve">No study reporting tissue metal concentrations in </w:t>
      </w:r>
      <w:proofErr w:type="spellStart"/>
      <w:r>
        <w:t>catla</w:t>
      </w:r>
      <w:proofErr w:type="spellEnd"/>
      <w:r>
        <w:t xml:space="preserve"> captured within North-East India was retrieved, and none reporting tissue metal concentrations in hilsa captured within the region. This is a substantive finding rather than a gap in the present search, and it should be stated plainly: the assertion that </w:t>
      </w:r>
      <w:proofErr w:type="spellStart"/>
      <w:r>
        <w:t>catla</w:t>
      </w:r>
      <w:proofErr w:type="spellEnd"/>
      <w:r>
        <w:t xml:space="preserve"> and hilsa in North-East India carry elevated metal burdens is not currently supported by any direct measurement.</w:t>
      </w:r>
    </w:p>
    <w:p w14:paraId="2B3F4164" w14:textId="77777777" w:rsidR="00CB42E7" w:rsidRDefault="00000000" w:rsidP="00817D95">
      <w:pPr>
        <w:keepNext/>
        <w:spacing w:before="260" w:after="140" w:line="300" w:lineRule="auto"/>
        <w:jc w:val="both"/>
      </w:pPr>
      <w:r>
        <w:rPr>
          <w:b/>
          <w:bCs/>
          <w:sz w:val="23"/>
          <w:szCs w:val="23"/>
        </w:rPr>
        <w:t>5.2 Surrogate evidence from other regional taxa</w:t>
      </w:r>
    </w:p>
    <w:p w14:paraId="34BC68D4" w14:textId="77777777" w:rsidR="00CB42E7" w:rsidRDefault="00000000" w:rsidP="00817D95">
      <w:pPr>
        <w:spacing w:after="160" w:line="360" w:lineRule="auto"/>
        <w:jc w:val="both"/>
      </w:pPr>
      <w:r>
        <w:t xml:space="preserve">Regional tissue data do exist for other species, and they are informative about the exposure field even though they cannot substitute for species-specific measurement. In a floodplain wetland of the Barak River, water and sediment metal concentrations exceeded relevant guidelines and accumulation in the tissues of </w:t>
      </w:r>
      <w:proofErr w:type="spellStart"/>
      <w:r>
        <w:rPr>
          <w:i/>
          <w:iCs/>
        </w:rPr>
        <w:t>Labeo</w:t>
      </w:r>
      <w:proofErr w:type="spellEnd"/>
      <w:r>
        <w:rPr>
          <w:i/>
          <w:iCs/>
        </w:rPr>
        <w:t xml:space="preserve"> </w:t>
      </w:r>
      <w:proofErr w:type="spellStart"/>
      <w:r>
        <w:rPr>
          <w:i/>
          <w:iCs/>
        </w:rPr>
        <w:t>angra</w:t>
      </w:r>
      <w:proofErr w:type="spellEnd"/>
      <w:r>
        <w:t xml:space="preserve"> exceeded international food safety recommendations for most elements, with high bioaccumulation factors and condition indices suggesting metabolic disturbance (Das &amp; Choudhury, 2016). At sites in southern Assam, mercury, cadmium, lead and chromium exceeded permissible ranges in water and were several-fold higher in the tissues of </w:t>
      </w:r>
      <w:r>
        <w:rPr>
          <w:i/>
          <w:iCs/>
        </w:rPr>
        <w:t>Channa punctatus</w:t>
      </w:r>
      <w:r>
        <w:t xml:space="preserve">, with kidney showing the highest metal pollution index followed by liver and gill, accompanied by oxidative stress, deoxyribonucleic acid damage and impaired innate immune function (Choudhury et al., 2023). In the </w:t>
      </w:r>
      <w:proofErr w:type="spellStart"/>
      <w:r>
        <w:t>Umiam</w:t>
      </w:r>
      <w:proofErr w:type="spellEnd"/>
      <w:r>
        <w:t xml:space="preserve"> reservoir of Meghalaya, seasonal analysis of water and </w:t>
      </w:r>
      <w:r>
        <w:rPr>
          <w:i/>
          <w:iCs/>
        </w:rPr>
        <w:t>Cyprinus carpio</w:t>
      </w:r>
      <w:r>
        <w:t xml:space="preserve"> found tissue-dependent accumulation in the order chromium, lead, copper, cadmium, with water concentrations exceeding national and international standards and health risk assessment indicating possible adverse effects from muscle consumption (</w:t>
      </w:r>
      <w:proofErr w:type="spellStart"/>
      <w:r>
        <w:t>Warjri</w:t>
      </w:r>
      <w:proofErr w:type="spellEnd"/>
      <w:r>
        <w:t xml:space="preserve"> et al., 2024). In and around </w:t>
      </w:r>
      <w:proofErr w:type="spellStart"/>
      <w:r>
        <w:t>Loktak</w:t>
      </w:r>
      <w:proofErr w:type="spellEnd"/>
      <w:r>
        <w:t xml:space="preserve"> Lake in Manipur, whole-fish analysis of small species and tissue analysis of larger species found iron, manganese and zinc relatively high among the biota, with metal pollution index values spanning very high to negligible contamination, target hazard quotients below unity, but lead and cadmium above safe limits in some samples (</w:t>
      </w:r>
      <w:proofErr w:type="spellStart"/>
      <w:r>
        <w:t>Mayanglambam</w:t>
      </w:r>
      <w:proofErr w:type="spellEnd"/>
      <w:r>
        <w:t xml:space="preserve"> &amp; Neelam, 2024). On the </w:t>
      </w:r>
      <w:proofErr w:type="spellStart"/>
      <w:r>
        <w:t>Simsang</w:t>
      </w:r>
      <w:proofErr w:type="spellEnd"/>
      <w:r>
        <w:t xml:space="preserve"> River in the Garo Hills, acid mine drainage from coal workings was associated with significant seasonal differences in comet assay, micronucleus and chromosome aberration endpoints in </w:t>
      </w:r>
      <w:r>
        <w:rPr>
          <w:i/>
          <w:iCs/>
        </w:rPr>
        <w:t>Channa punctata</w:t>
      </w:r>
      <w:r>
        <w:t>, with the highest frequency of damaged cells at affected sites during the monsoon (Talukdar et al., 2016).</w:t>
      </w:r>
    </w:p>
    <w:p w14:paraId="3B0E5C24" w14:textId="77777777" w:rsidR="00CB42E7" w:rsidRDefault="00000000" w:rsidP="00817D95">
      <w:pPr>
        <w:spacing w:after="160" w:line="360" w:lineRule="auto"/>
        <w:jc w:val="both"/>
      </w:pPr>
      <w:r>
        <w:t xml:space="preserve">Read together these studies establish two things and fail to establish a third. They establish that metals in the region do transfer into fish tissue at concentrations that are in several cases above food safety guidance, and they establish that biological effect endpoints respond at these exposures, which counters any argument that regional contamination is toxicologically inert. They do not establish what </w:t>
      </w:r>
      <w:proofErr w:type="spellStart"/>
      <w:r>
        <w:t>catla</w:t>
      </w:r>
      <w:proofErr w:type="spellEnd"/>
      <w:r>
        <w:t xml:space="preserve">, rohu or hilsa carry, because the species examined differ in the specific respects, feeding position and body </w:t>
      </w:r>
      <w:r>
        <w:lastRenderedPageBreak/>
        <w:t>size, that the comparative literature identifies as the strongest determinants of interspecies difference. It is also notable that these regional studies conflict in their bottom-line risk conclusions, with two reporting exceedances of food safety limits and two reporting hazard indices below unity. The conflict is best explained not by contradiction but by genuine spatial heterogeneity combined with differences in which tissue was analysed and which consumption parameters were assumed, a point developed in Section 7.</w:t>
      </w:r>
    </w:p>
    <w:p w14:paraId="30F1A3BA" w14:textId="77777777" w:rsidR="00CB42E7" w:rsidRDefault="00000000" w:rsidP="00817D95">
      <w:pPr>
        <w:spacing w:after="160" w:line="360" w:lineRule="auto"/>
        <w:jc w:val="both"/>
      </w:pPr>
      <w:r>
        <w:t>One further category of regional evidence concerns processed product. A multi-state survey of dried fish from India, which included Assam among the sampling states, reported an element profile in which arsenic was dominant, with dietary exposure assessment indicating higher risk for children than for adults although hazard indices remained within the acceptable range (</w:t>
      </w:r>
      <w:proofErr w:type="spellStart"/>
      <w:r>
        <w:t>Sonone</w:t>
      </w:r>
      <w:proofErr w:type="spellEnd"/>
      <w:r>
        <w:t xml:space="preserve"> et al., 2025). Dried fish is a significant component of the regional diet and involves a concentration step relative to fresh tissue, so this evidence extends the exposure picture in a direction that fresh-fish sampling does not capture.</w:t>
      </w:r>
    </w:p>
    <w:p w14:paraId="4122D775" w14:textId="77777777" w:rsidR="00CB42E7" w:rsidRDefault="00000000" w:rsidP="00817D95">
      <w:pPr>
        <w:keepNext/>
        <w:spacing w:before="260" w:after="140" w:line="300" w:lineRule="auto"/>
        <w:jc w:val="both"/>
      </w:pPr>
      <w:r>
        <w:rPr>
          <w:b/>
          <w:bCs/>
          <w:sz w:val="23"/>
          <w:szCs w:val="23"/>
        </w:rPr>
        <w:t>5.3 External evidence for the target species from other basins</w:t>
      </w:r>
    </w:p>
    <w:p w14:paraId="70B088E1" w14:textId="77777777" w:rsidR="00CB42E7" w:rsidRDefault="00000000" w:rsidP="00817D95">
      <w:pPr>
        <w:spacing w:after="160" w:line="360" w:lineRule="auto"/>
        <w:jc w:val="both"/>
      </w:pPr>
      <w:r>
        <w:t xml:space="preserve">The largest body of evidence concerning </w:t>
      </w:r>
      <w:proofErr w:type="spellStart"/>
      <w:r>
        <w:t>catla</w:t>
      </w:r>
      <w:proofErr w:type="spellEnd"/>
      <w:r>
        <w:t xml:space="preserve"> and rohu comes from outside the region. Across the Gangetic system, bioaccumulation has been reported in rohu, </w:t>
      </w:r>
      <w:proofErr w:type="spellStart"/>
      <w:r>
        <w:t>catla</w:t>
      </w:r>
      <w:proofErr w:type="spellEnd"/>
      <w:r>
        <w:t xml:space="preserve"> and mrigal with a consistent tissue ordering of liver above gill above muscle, and with copper and zinc concentrated in liver and gill (Maurya et al., 2019). Trophic-level biomonitoring in the Ganga documented metal transfer through water, sediment, plants and fishes (Kumar et al., 2020). In the lower Gangetic stretch, a survey of twelve economically important species found that all measured elements were below permissible limits except zinc in </w:t>
      </w:r>
      <w:proofErr w:type="spellStart"/>
      <w:r>
        <w:t>catla</w:t>
      </w:r>
      <w:proofErr w:type="spellEnd"/>
      <w:r>
        <w:t xml:space="preserve"> and rohu, with metal pollution index, target hazard quotient and hazard index values below unity (Kumar et al., 2024). In the East Kolkata Wetlands, a Ramsar site supplied by wastewater, metal contamination was documented across fish, water and sediment with an accompanying health risk assessment (Kumar et al., 2023), and earlier work in the same wetland system found liver to be the principal accumulation site and gill generally the least affected among the three Indian major carps (Aich et al., 2012). Arsenic-focused sampling across thirteen districts of West Bengal found liver above gill above muscle in both rohu and </w:t>
      </w:r>
      <w:proofErr w:type="spellStart"/>
      <w:r>
        <w:t>catla</w:t>
      </w:r>
      <w:proofErr w:type="spellEnd"/>
      <w:r>
        <w:t xml:space="preserve">, higher concentrations in rohu than </w:t>
      </w:r>
      <w:proofErr w:type="spellStart"/>
      <w:r>
        <w:t>catla</w:t>
      </w:r>
      <w:proofErr w:type="spellEnd"/>
      <w:r>
        <w:t>, and muscle arsenic above the food safety threshold in all severely affected districts as well as in one district previously classified as unaffected (Basak et al., 2026).</w:t>
      </w:r>
    </w:p>
    <w:p w14:paraId="3F8016BA" w14:textId="77777777" w:rsidR="00CB42E7" w:rsidRDefault="00000000" w:rsidP="00817D95">
      <w:pPr>
        <w:spacing w:after="160" w:line="360" w:lineRule="auto"/>
        <w:jc w:val="both"/>
      </w:pPr>
      <w:r>
        <w:t>For hilsa the external evidence is Bangladeshi and Middle Eastern. Organ-specific accumulation has been characterised in Bangladeshi hilsa with an accompanying risk assessment (</w:t>
      </w:r>
      <w:proofErr w:type="spellStart"/>
      <w:r>
        <w:t>Raknuzzaman</w:t>
      </w:r>
      <w:proofErr w:type="spellEnd"/>
      <w:r>
        <w:t xml:space="preserve"> et al., 2022), market sampling has demonstrated size dependence with the highest burdens in the smallest size class and non-carcinogenic risk identified for children (Hossain et al., 2024), commercial fishes from coastal areas and rivers have been assessed for consumer risk (Bristy et al., 2021), seasonal behaviour of toxic metals has been traced in commercial species of a tidal river (Ali et al., 2022), and probabilistic risk modelling has been applied to fishes consumed in Dhaka (Shaheen et al., 2025). In the Old </w:t>
      </w:r>
      <w:r>
        <w:lastRenderedPageBreak/>
        <w:t>Brahmaputra River, indigenous species showed metal-specific target hazard quotients below unity but a hazard index indicating chronic non-carcinogenic risk for one species, and target cancer risk values indicating carcinogenic risk from arsenic exposure through fish consumption (</w:t>
      </w:r>
      <w:proofErr w:type="spellStart"/>
      <w:r>
        <w:t>Shorna</w:t>
      </w:r>
      <w:proofErr w:type="spellEnd"/>
      <w:r>
        <w:t xml:space="preserve"> et al., 2021).</w:t>
      </w:r>
    </w:p>
    <w:p w14:paraId="2FF4A222" w14:textId="77777777" w:rsidR="00CB42E7" w:rsidRDefault="00000000" w:rsidP="00817D95">
      <w:pPr>
        <w:spacing w:after="160" w:line="360" w:lineRule="auto"/>
        <w:jc w:val="both"/>
      </w:pPr>
      <w:r>
        <w:t>Two cautions attach to this external corpus. The first is compositional. The Gangetic and East Kolkata datasets derive from systems whose contaminant signature is dominated by industrial and wastewater inputs of chromium, nickel, lead and zinc, whereas the Brahmaputra floodplain signature is dominated by geogenic arsenic with a spatially concentrated urban overlay. Transferring a Gangetic ranking of elements to the Brahmaputra would misdirect monitoring effort. The West Bengal arsenic dataset is the closest analogue in element terms, and it is notable that this is the study reporting the most concerning result, namely muscle arsenic above the food safety threshold in both target carps. The second caution is hydrological. The Old Brahmaputra in Bangladesh is a distributary of the same river, which makes it the nearest external analogue in physical terms, and its finding of arsenic-driven carcinogenic risk despite individually acceptable hazard quotients is directly pertinent. Even here, however, the species examined were small indigenous fishes rather than the target carps.</w:t>
      </w:r>
    </w:p>
    <w:p w14:paraId="56FCAD8B" w14:textId="77777777" w:rsidR="00CB42E7" w:rsidRDefault="00000000" w:rsidP="00817D95">
      <w:pPr>
        <w:spacing w:after="160" w:line="360" w:lineRule="auto"/>
        <w:jc w:val="both"/>
      </w:pPr>
      <w:r>
        <w:t>The following table sets out the regionally retrievable studies that report metal burdens in fish tissue, distinguishing what each contributes from what it cannot support. The column of principal outcomes should be read against the column of limitations rather than in isolation, because the most frequent error in secondary treatments of this literature is to cite a regional finding of exceedance and attach it to a species that was never sampled.</w:t>
      </w:r>
    </w:p>
    <w:p w14:paraId="369A9A5E" w14:textId="77777777" w:rsidR="00CB42E7" w:rsidRDefault="00000000" w:rsidP="00817D95">
      <w:pPr>
        <w:keepNext/>
        <w:spacing w:before="200" w:after="100" w:line="260" w:lineRule="auto"/>
        <w:jc w:val="both"/>
      </w:pPr>
      <w:r>
        <w:rPr>
          <w:b/>
          <w:bCs/>
          <w:sz w:val="20"/>
          <w:szCs w:val="20"/>
        </w:rPr>
        <w:t>Table 3. Retrievable studies reporting metal burdens in fish tissue from North-East India and the nearest external analogues.</w:t>
      </w:r>
    </w:p>
    <w:tbl>
      <w:tblPr>
        <w:tblW w:w="9026" w:type="dxa"/>
        <w:tblBorders>
          <w:top w:val="single" w:sz="4" w:space="0" w:color="444444"/>
          <w:left w:val="single" w:sz="2" w:space="0" w:color="999999"/>
          <w:bottom w:val="single" w:sz="4" w:space="0" w:color="444444"/>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1147"/>
        <w:gridCol w:w="1242"/>
        <w:gridCol w:w="1392"/>
        <w:gridCol w:w="1934"/>
        <w:gridCol w:w="2026"/>
        <w:gridCol w:w="1285"/>
      </w:tblGrid>
      <w:tr w:rsidR="00CB42E7" w14:paraId="5D34CDD1" w14:textId="77777777">
        <w:trPr>
          <w:tblHeader/>
        </w:trPr>
        <w:tc>
          <w:tcPr>
            <w:tcW w:w="1150" w:type="dxa"/>
            <w:shd w:val="clear" w:color="auto" w:fill="E8E8E8"/>
            <w:tcMar>
              <w:top w:w="60" w:type="dxa"/>
              <w:left w:w="90" w:type="dxa"/>
              <w:bottom w:w="60" w:type="dxa"/>
              <w:right w:w="90" w:type="dxa"/>
            </w:tcMar>
          </w:tcPr>
          <w:p w14:paraId="6420DF10" w14:textId="77777777" w:rsidR="00CB42E7" w:rsidRDefault="00000000" w:rsidP="00817D95">
            <w:pPr>
              <w:jc w:val="both"/>
            </w:pPr>
            <w:r>
              <w:rPr>
                <w:b/>
                <w:bCs/>
                <w:sz w:val="17"/>
                <w:szCs w:val="17"/>
              </w:rPr>
              <w:t>Setting</w:t>
            </w:r>
          </w:p>
        </w:tc>
        <w:tc>
          <w:tcPr>
            <w:tcW w:w="1250" w:type="dxa"/>
            <w:shd w:val="clear" w:color="auto" w:fill="E8E8E8"/>
            <w:tcMar>
              <w:top w:w="60" w:type="dxa"/>
              <w:left w:w="90" w:type="dxa"/>
              <w:bottom w:w="60" w:type="dxa"/>
              <w:right w:w="90" w:type="dxa"/>
            </w:tcMar>
          </w:tcPr>
          <w:p w14:paraId="5C1A5DA0" w14:textId="77777777" w:rsidR="00CB42E7" w:rsidRDefault="00000000" w:rsidP="00817D95">
            <w:pPr>
              <w:jc w:val="both"/>
            </w:pPr>
            <w:r>
              <w:rPr>
                <w:b/>
                <w:bCs/>
                <w:sz w:val="17"/>
                <w:szCs w:val="17"/>
              </w:rPr>
              <w:t>Taxa examined</w:t>
            </w:r>
          </w:p>
        </w:tc>
        <w:tc>
          <w:tcPr>
            <w:tcW w:w="1400" w:type="dxa"/>
            <w:shd w:val="clear" w:color="auto" w:fill="E8E8E8"/>
            <w:tcMar>
              <w:top w:w="60" w:type="dxa"/>
              <w:left w:w="90" w:type="dxa"/>
              <w:bottom w:w="60" w:type="dxa"/>
              <w:right w:w="90" w:type="dxa"/>
            </w:tcMar>
          </w:tcPr>
          <w:p w14:paraId="7A86A3C7" w14:textId="77777777" w:rsidR="00CB42E7" w:rsidRDefault="00000000" w:rsidP="00817D95">
            <w:pPr>
              <w:jc w:val="both"/>
            </w:pPr>
            <w:r>
              <w:rPr>
                <w:b/>
                <w:bCs/>
                <w:sz w:val="17"/>
                <w:szCs w:val="17"/>
              </w:rPr>
              <w:t>Elements and matrices</w:t>
            </w:r>
          </w:p>
        </w:tc>
        <w:tc>
          <w:tcPr>
            <w:tcW w:w="1950" w:type="dxa"/>
            <w:shd w:val="clear" w:color="auto" w:fill="E8E8E8"/>
            <w:tcMar>
              <w:top w:w="60" w:type="dxa"/>
              <w:left w:w="90" w:type="dxa"/>
              <w:bottom w:w="60" w:type="dxa"/>
              <w:right w:w="90" w:type="dxa"/>
            </w:tcMar>
          </w:tcPr>
          <w:p w14:paraId="1A4615A3" w14:textId="77777777" w:rsidR="00CB42E7" w:rsidRDefault="00000000" w:rsidP="00817D95">
            <w:pPr>
              <w:jc w:val="both"/>
            </w:pPr>
            <w:r>
              <w:rPr>
                <w:b/>
                <w:bCs/>
                <w:sz w:val="17"/>
                <w:szCs w:val="17"/>
              </w:rPr>
              <w:t>Principal reported outcome</w:t>
            </w:r>
          </w:p>
        </w:tc>
        <w:tc>
          <w:tcPr>
            <w:tcW w:w="2050" w:type="dxa"/>
            <w:shd w:val="clear" w:color="auto" w:fill="E8E8E8"/>
            <w:tcMar>
              <w:top w:w="60" w:type="dxa"/>
              <w:left w:w="90" w:type="dxa"/>
              <w:bottom w:w="60" w:type="dxa"/>
              <w:right w:w="90" w:type="dxa"/>
            </w:tcMar>
          </w:tcPr>
          <w:p w14:paraId="0DB8C9F0" w14:textId="77777777" w:rsidR="00CB42E7" w:rsidRDefault="00000000" w:rsidP="00817D95">
            <w:pPr>
              <w:jc w:val="both"/>
            </w:pPr>
            <w:r>
              <w:rPr>
                <w:b/>
                <w:bCs/>
                <w:sz w:val="17"/>
                <w:szCs w:val="17"/>
              </w:rPr>
              <w:t xml:space="preserve">Contribution and limitation for </w:t>
            </w:r>
            <w:proofErr w:type="spellStart"/>
            <w:r>
              <w:rPr>
                <w:b/>
                <w:bCs/>
                <w:sz w:val="17"/>
                <w:szCs w:val="17"/>
              </w:rPr>
              <w:t>catla</w:t>
            </w:r>
            <w:proofErr w:type="spellEnd"/>
            <w:r>
              <w:rPr>
                <w:b/>
                <w:bCs/>
                <w:sz w:val="17"/>
                <w:szCs w:val="17"/>
              </w:rPr>
              <w:t>, rohu and hilsa</w:t>
            </w:r>
          </w:p>
        </w:tc>
        <w:tc>
          <w:tcPr>
            <w:tcW w:w="1226" w:type="dxa"/>
            <w:shd w:val="clear" w:color="auto" w:fill="E8E8E8"/>
            <w:tcMar>
              <w:top w:w="60" w:type="dxa"/>
              <w:left w:w="90" w:type="dxa"/>
              <w:bottom w:w="60" w:type="dxa"/>
              <w:right w:w="90" w:type="dxa"/>
            </w:tcMar>
          </w:tcPr>
          <w:p w14:paraId="0527A6C0" w14:textId="77777777" w:rsidR="00CB42E7" w:rsidRDefault="00000000" w:rsidP="00817D95">
            <w:pPr>
              <w:jc w:val="both"/>
            </w:pPr>
            <w:r>
              <w:rPr>
                <w:b/>
                <w:bCs/>
                <w:sz w:val="17"/>
                <w:szCs w:val="17"/>
              </w:rPr>
              <w:t>Supporting references</w:t>
            </w:r>
          </w:p>
        </w:tc>
      </w:tr>
      <w:tr w:rsidR="00CB42E7" w14:paraId="6B69466F" w14:textId="77777777">
        <w:tc>
          <w:tcPr>
            <w:tcW w:w="1150" w:type="dxa"/>
            <w:tcMar>
              <w:top w:w="60" w:type="dxa"/>
              <w:left w:w="90" w:type="dxa"/>
              <w:bottom w:w="60" w:type="dxa"/>
              <w:right w:w="90" w:type="dxa"/>
            </w:tcMar>
          </w:tcPr>
          <w:p w14:paraId="4DC8C25C" w14:textId="77777777" w:rsidR="00CB42E7" w:rsidRDefault="00000000" w:rsidP="00817D95">
            <w:pPr>
              <w:jc w:val="both"/>
            </w:pPr>
            <w:proofErr w:type="spellStart"/>
            <w:r>
              <w:rPr>
                <w:sz w:val="17"/>
                <w:szCs w:val="17"/>
              </w:rPr>
              <w:t>Kolong</w:t>
            </w:r>
            <w:proofErr w:type="spellEnd"/>
            <w:r>
              <w:rPr>
                <w:sz w:val="17"/>
                <w:szCs w:val="17"/>
              </w:rPr>
              <w:t xml:space="preserve"> River, Nagaon, Assam</w:t>
            </w:r>
          </w:p>
        </w:tc>
        <w:tc>
          <w:tcPr>
            <w:tcW w:w="1250" w:type="dxa"/>
            <w:tcMar>
              <w:top w:w="60" w:type="dxa"/>
              <w:left w:w="90" w:type="dxa"/>
              <w:bottom w:w="60" w:type="dxa"/>
              <w:right w:w="90" w:type="dxa"/>
            </w:tcMar>
          </w:tcPr>
          <w:p w14:paraId="29D531CB" w14:textId="77777777" w:rsidR="00CB42E7" w:rsidRDefault="00000000" w:rsidP="00817D95">
            <w:pPr>
              <w:jc w:val="both"/>
            </w:pPr>
            <w:proofErr w:type="spellStart"/>
            <w:r>
              <w:rPr>
                <w:i/>
                <w:iCs/>
                <w:sz w:val="17"/>
                <w:szCs w:val="17"/>
              </w:rPr>
              <w:t>Labeo</w:t>
            </w:r>
            <w:proofErr w:type="spellEnd"/>
            <w:r>
              <w:rPr>
                <w:i/>
                <w:iCs/>
                <w:sz w:val="17"/>
                <w:szCs w:val="17"/>
              </w:rPr>
              <w:t xml:space="preserve"> </w:t>
            </w:r>
            <w:proofErr w:type="spellStart"/>
            <w:r>
              <w:rPr>
                <w:i/>
                <w:iCs/>
                <w:sz w:val="17"/>
                <w:szCs w:val="17"/>
              </w:rPr>
              <w:t>rohita</w:t>
            </w:r>
            <w:proofErr w:type="spellEnd"/>
            <w:r>
              <w:rPr>
                <w:sz w:val="17"/>
                <w:szCs w:val="17"/>
              </w:rPr>
              <w:t xml:space="preserve">; </w:t>
            </w:r>
            <w:r>
              <w:rPr>
                <w:i/>
                <w:iCs/>
                <w:sz w:val="17"/>
                <w:szCs w:val="17"/>
              </w:rPr>
              <w:t xml:space="preserve">Puntius </w:t>
            </w:r>
            <w:proofErr w:type="spellStart"/>
            <w:r>
              <w:rPr>
                <w:i/>
                <w:iCs/>
                <w:sz w:val="17"/>
                <w:szCs w:val="17"/>
              </w:rPr>
              <w:t>conchonius</w:t>
            </w:r>
            <w:proofErr w:type="spellEnd"/>
          </w:p>
        </w:tc>
        <w:tc>
          <w:tcPr>
            <w:tcW w:w="1400" w:type="dxa"/>
            <w:tcMar>
              <w:top w:w="60" w:type="dxa"/>
              <w:left w:w="90" w:type="dxa"/>
              <w:bottom w:w="60" w:type="dxa"/>
              <w:right w:w="90" w:type="dxa"/>
            </w:tcMar>
          </w:tcPr>
          <w:p w14:paraId="72E40193" w14:textId="77777777" w:rsidR="00CB42E7" w:rsidRDefault="00000000" w:rsidP="00817D95">
            <w:pPr>
              <w:jc w:val="both"/>
            </w:pPr>
            <w:r>
              <w:rPr>
                <w:sz w:val="17"/>
                <w:szCs w:val="17"/>
              </w:rPr>
              <w:t>Arsenic, zinc, cadmium, chromium, mercury, lead; multiple organs including brain, gill and muscle</w:t>
            </w:r>
          </w:p>
        </w:tc>
        <w:tc>
          <w:tcPr>
            <w:tcW w:w="1950" w:type="dxa"/>
            <w:tcMar>
              <w:top w:w="60" w:type="dxa"/>
              <w:left w:w="90" w:type="dxa"/>
              <w:bottom w:w="60" w:type="dxa"/>
              <w:right w:w="90" w:type="dxa"/>
            </w:tcMar>
          </w:tcPr>
          <w:p w14:paraId="301D5386" w14:textId="77777777" w:rsidR="00CB42E7" w:rsidRDefault="00000000" w:rsidP="00817D95">
            <w:pPr>
              <w:jc w:val="both"/>
            </w:pPr>
            <w:r>
              <w:rPr>
                <w:sz w:val="17"/>
                <w:szCs w:val="17"/>
              </w:rPr>
              <w:t>Only cadmium, arsenic and zinc detected; higher concentrations in rohu than in the smaller cyprinid; all below permissible limits; highest burdens reported in brain and gill; consumption judged safe for adults with brain and gill discarded</w:t>
            </w:r>
          </w:p>
        </w:tc>
        <w:tc>
          <w:tcPr>
            <w:tcW w:w="2050" w:type="dxa"/>
            <w:tcMar>
              <w:top w:w="60" w:type="dxa"/>
              <w:left w:w="90" w:type="dxa"/>
              <w:bottom w:w="60" w:type="dxa"/>
              <w:right w:w="90" w:type="dxa"/>
            </w:tcMar>
          </w:tcPr>
          <w:p w14:paraId="7019FD8A" w14:textId="77777777" w:rsidR="00CB42E7" w:rsidRDefault="00000000" w:rsidP="00817D95">
            <w:pPr>
              <w:jc w:val="both"/>
            </w:pPr>
            <w:r>
              <w:rPr>
                <w:sz w:val="17"/>
                <w:szCs w:val="17"/>
              </w:rPr>
              <w:t>The only direct regional dataset for a target species; single river, single sampling programme, and an organ distribution that departs from the wider literature and awaits replication</w:t>
            </w:r>
          </w:p>
        </w:tc>
        <w:tc>
          <w:tcPr>
            <w:tcW w:w="1226" w:type="dxa"/>
            <w:tcMar>
              <w:top w:w="60" w:type="dxa"/>
              <w:left w:w="90" w:type="dxa"/>
              <w:bottom w:w="60" w:type="dxa"/>
              <w:right w:w="90" w:type="dxa"/>
            </w:tcMar>
          </w:tcPr>
          <w:p w14:paraId="30208A60" w14:textId="77777777" w:rsidR="00CB42E7" w:rsidRDefault="00000000" w:rsidP="00817D95">
            <w:pPr>
              <w:jc w:val="both"/>
            </w:pPr>
            <w:r>
              <w:rPr>
                <w:sz w:val="17"/>
                <w:szCs w:val="17"/>
              </w:rPr>
              <w:t>Das et al. (2024)</w:t>
            </w:r>
          </w:p>
        </w:tc>
      </w:tr>
      <w:tr w:rsidR="00CB42E7" w14:paraId="69451638" w14:textId="77777777">
        <w:tc>
          <w:tcPr>
            <w:tcW w:w="1150" w:type="dxa"/>
            <w:tcMar>
              <w:top w:w="60" w:type="dxa"/>
              <w:left w:w="90" w:type="dxa"/>
              <w:bottom w:w="60" w:type="dxa"/>
              <w:right w:w="90" w:type="dxa"/>
            </w:tcMar>
          </w:tcPr>
          <w:p w14:paraId="40C00E0E" w14:textId="77777777" w:rsidR="00CB42E7" w:rsidRDefault="00000000" w:rsidP="00817D95">
            <w:pPr>
              <w:jc w:val="both"/>
            </w:pPr>
            <w:r>
              <w:rPr>
                <w:sz w:val="17"/>
                <w:szCs w:val="17"/>
              </w:rPr>
              <w:t>Floodplain oxbow lake of the Barak River, Assam</w:t>
            </w:r>
          </w:p>
        </w:tc>
        <w:tc>
          <w:tcPr>
            <w:tcW w:w="1250" w:type="dxa"/>
            <w:tcMar>
              <w:top w:w="60" w:type="dxa"/>
              <w:left w:w="90" w:type="dxa"/>
              <w:bottom w:w="60" w:type="dxa"/>
              <w:right w:w="90" w:type="dxa"/>
            </w:tcMar>
          </w:tcPr>
          <w:p w14:paraId="22E80122" w14:textId="77777777" w:rsidR="00CB42E7" w:rsidRDefault="00000000" w:rsidP="00817D95">
            <w:pPr>
              <w:jc w:val="both"/>
            </w:pPr>
            <w:proofErr w:type="spellStart"/>
            <w:r>
              <w:rPr>
                <w:i/>
                <w:iCs/>
                <w:sz w:val="17"/>
                <w:szCs w:val="17"/>
              </w:rPr>
              <w:t>Labeo</w:t>
            </w:r>
            <w:proofErr w:type="spellEnd"/>
            <w:r>
              <w:rPr>
                <w:i/>
                <w:iCs/>
                <w:sz w:val="17"/>
                <w:szCs w:val="17"/>
              </w:rPr>
              <w:t xml:space="preserve"> </w:t>
            </w:r>
            <w:proofErr w:type="spellStart"/>
            <w:r>
              <w:rPr>
                <w:i/>
                <w:iCs/>
                <w:sz w:val="17"/>
                <w:szCs w:val="17"/>
              </w:rPr>
              <w:t>angra</w:t>
            </w:r>
            <w:proofErr w:type="spellEnd"/>
          </w:p>
        </w:tc>
        <w:tc>
          <w:tcPr>
            <w:tcW w:w="1400" w:type="dxa"/>
            <w:tcMar>
              <w:top w:w="60" w:type="dxa"/>
              <w:left w:w="90" w:type="dxa"/>
              <w:bottom w:w="60" w:type="dxa"/>
              <w:right w:w="90" w:type="dxa"/>
            </w:tcMar>
          </w:tcPr>
          <w:p w14:paraId="39804B38" w14:textId="77777777" w:rsidR="00CB42E7" w:rsidRDefault="00000000" w:rsidP="00817D95">
            <w:pPr>
              <w:jc w:val="both"/>
            </w:pPr>
            <w:r>
              <w:rPr>
                <w:sz w:val="17"/>
                <w:szCs w:val="17"/>
              </w:rPr>
              <w:t>Manganese, iron, magnesium, calcium, copper, zinc, cadmium, chromium, lead, nickel; water, sediment and tissues</w:t>
            </w:r>
          </w:p>
        </w:tc>
        <w:tc>
          <w:tcPr>
            <w:tcW w:w="1950" w:type="dxa"/>
            <w:tcMar>
              <w:top w:w="60" w:type="dxa"/>
              <w:left w:w="90" w:type="dxa"/>
              <w:bottom w:w="60" w:type="dxa"/>
              <w:right w:w="90" w:type="dxa"/>
            </w:tcMar>
          </w:tcPr>
          <w:p w14:paraId="09D28355" w14:textId="77777777" w:rsidR="00CB42E7" w:rsidRDefault="00000000" w:rsidP="00817D95">
            <w:pPr>
              <w:jc w:val="both"/>
            </w:pPr>
            <w:r>
              <w:rPr>
                <w:sz w:val="17"/>
                <w:szCs w:val="17"/>
              </w:rPr>
              <w:t>Water and sediment exceeded relevant guidelines; tissue concentrations above international food safety recommendations for most elements; high bioaccumulation factors; condition indices indicating metabolic disturbance</w:t>
            </w:r>
          </w:p>
        </w:tc>
        <w:tc>
          <w:tcPr>
            <w:tcW w:w="2050" w:type="dxa"/>
            <w:tcMar>
              <w:top w:w="60" w:type="dxa"/>
              <w:left w:w="90" w:type="dxa"/>
              <w:bottom w:w="60" w:type="dxa"/>
              <w:right w:w="90" w:type="dxa"/>
            </w:tcMar>
          </w:tcPr>
          <w:p w14:paraId="6C04FB24" w14:textId="77777777" w:rsidR="00CB42E7" w:rsidRDefault="00000000" w:rsidP="00817D95">
            <w:pPr>
              <w:jc w:val="both"/>
            </w:pPr>
            <w:r>
              <w:rPr>
                <w:sz w:val="17"/>
                <w:szCs w:val="17"/>
              </w:rPr>
              <w:t xml:space="preserve">Demonstrates realised transfer into a congeneric cyprinid in a Barak valley wetland; different body size and growth trajectory from rohu and </w:t>
            </w:r>
            <w:proofErr w:type="spellStart"/>
            <w:r>
              <w:rPr>
                <w:sz w:val="17"/>
                <w:szCs w:val="17"/>
              </w:rPr>
              <w:t>catla</w:t>
            </w:r>
            <w:proofErr w:type="spellEnd"/>
            <w:r>
              <w:rPr>
                <w:sz w:val="17"/>
                <w:szCs w:val="17"/>
              </w:rPr>
              <w:t xml:space="preserve"> limits quantitative transfer</w:t>
            </w:r>
          </w:p>
        </w:tc>
        <w:tc>
          <w:tcPr>
            <w:tcW w:w="1226" w:type="dxa"/>
            <w:tcMar>
              <w:top w:w="60" w:type="dxa"/>
              <w:left w:w="90" w:type="dxa"/>
              <w:bottom w:w="60" w:type="dxa"/>
              <w:right w:w="90" w:type="dxa"/>
            </w:tcMar>
          </w:tcPr>
          <w:p w14:paraId="162374D0" w14:textId="77777777" w:rsidR="00CB42E7" w:rsidRDefault="00000000" w:rsidP="00817D95">
            <w:pPr>
              <w:jc w:val="both"/>
            </w:pPr>
            <w:r>
              <w:rPr>
                <w:sz w:val="17"/>
                <w:szCs w:val="17"/>
              </w:rPr>
              <w:t>Das and Choudhury (2016)</w:t>
            </w:r>
          </w:p>
        </w:tc>
      </w:tr>
      <w:tr w:rsidR="00CB42E7" w14:paraId="77366F8A" w14:textId="77777777">
        <w:tc>
          <w:tcPr>
            <w:tcW w:w="1150" w:type="dxa"/>
            <w:tcMar>
              <w:top w:w="60" w:type="dxa"/>
              <w:left w:w="90" w:type="dxa"/>
              <w:bottom w:w="60" w:type="dxa"/>
              <w:right w:w="90" w:type="dxa"/>
            </w:tcMar>
          </w:tcPr>
          <w:p w14:paraId="1A724733" w14:textId="77777777" w:rsidR="00CB42E7" w:rsidRDefault="00000000" w:rsidP="00817D95">
            <w:pPr>
              <w:jc w:val="both"/>
            </w:pPr>
            <w:r>
              <w:rPr>
                <w:sz w:val="17"/>
                <w:szCs w:val="17"/>
              </w:rPr>
              <w:lastRenderedPageBreak/>
              <w:t>Selected sites in southern Assam</w:t>
            </w:r>
          </w:p>
        </w:tc>
        <w:tc>
          <w:tcPr>
            <w:tcW w:w="1250" w:type="dxa"/>
            <w:tcMar>
              <w:top w:w="60" w:type="dxa"/>
              <w:left w:w="90" w:type="dxa"/>
              <w:bottom w:w="60" w:type="dxa"/>
              <w:right w:w="90" w:type="dxa"/>
            </w:tcMar>
          </w:tcPr>
          <w:p w14:paraId="2D2235BD" w14:textId="77777777" w:rsidR="00CB42E7" w:rsidRDefault="00000000" w:rsidP="00817D95">
            <w:pPr>
              <w:jc w:val="both"/>
            </w:pPr>
            <w:r>
              <w:rPr>
                <w:i/>
                <w:iCs/>
                <w:sz w:val="17"/>
                <w:szCs w:val="17"/>
              </w:rPr>
              <w:t>Channa punctatus</w:t>
            </w:r>
          </w:p>
        </w:tc>
        <w:tc>
          <w:tcPr>
            <w:tcW w:w="1400" w:type="dxa"/>
            <w:tcMar>
              <w:top w:w="60" w:type="dxa"/>
              <w:left w:w="90" w:type="dxa"/>
              <w:bottom w:w="60" w:type="dxa"/>
              <w:right w:w="90" w:type="dxa"/>
            </w:tcMar>
          </w:tcPr>
          <w:p w14:paraId="14744EB5" w14:textId="77777777" w:rsidR="00CB42E7" w:rsidRDefault="00000000" w:rsidP="00817D95">
            <w:pPr>
              <w:jc w:val="both"/>
            </w:pPr>
            <w:r>
              <w:rPr>
                <w:sz w:val="17"/>
                <w:szCs w:val="17"/>
              </w:rPr>
              <w:t>Mercury, cadmium, lead, chromium; water and tissues</w:t>
            </w:r>
          </w:p>
        </w:tc>
        <w:tc>
          <w:tcPr>
            <w:tcW w:w="1950" w:type="dxa"/>
            <w:tcMar>
              <w:top w:w="60" w:type="dxa"/>
              <w:left w:w="90" w:type="dxa"/>
              <w:bottom w:w="60" w:type="dxa"/>
              <w:right w:w="90" w:type="dxa"/>
            </w:tcMar>
          </w:tcPr>
          <w:p w14:paraId="4CFC2E53" w14:textId="77777777" w:rsidR="00CB42E7" w:rsidRDefault="00000000" w:rsidP="00817D95">
            <w:pPr>
              <w:jc w:val="both"/>
            </w:pPr>
            <w:r>
              <w:rPr>
                <w:sz w:val="17"/>
                <w:szCs w:val="17"/>
              </w:rPr>
              <w:t>All four elements above permissible ranges in water and several-fold higher in tissues; kidney showed the highest metal pollution index, then liver, then gill; oxidative stress, genotoxicity and impaired innate immunity</w:t>
            </w:r>
          </w:p>
        </w:tc>
        <w:tc>
          <w:tcPr>
            <w:tcW w:w="2050" w:type="dxa"/>
            <w:tcMar>
              <w:top w:w="60" w:type="dxa"/>
              <w:left w:w="90" w:type="dxa"/>
              <w:bottom w:w="60" w:type="dxa"/>
              <w:right w:w="90" w:type="dxa"/>
            </w:tcMar>
          </w:tcPr>
          <w:p w14:paraId="018A0551" w14:textId="77777777" w:rsidR="00CB42E7" w:rsidRDefault="00000000" w:rsidP="00817D95">
            <w:pPr>
              <w:jc w:val="both"/>
            </w:pPr>
            <w:r>
              <w:rPr>
                <w:sz w:val="17"/>
                <w:szCs w:val="17"/>
              </w:rPr>
              <w:t>Establishes that regional exposures are toxicologically active, not merely detectable; the species is a carnivorous predator with a different exposure route from the target carps</w:t>
            </w:r>
          </w:p>
        </w:tc>
        <w:tc>
          <w:tcPr>
            <w:tcW w:w="1226" w:type="dxa"/>
            <w:tcMar>
              <w:top w:w="60" w:type="dxa"/>
              <w:left w:w="90" w:type="dxa"/>
              <w:bottom w:w="60" w:type="dxa"/>
              <w:right w:w="90" w:type="dxa"/>
            </w:tcMar>
          </w:tcPr>
          <w:p w14:paraId="26FA9BC4" w14:textId="77777777" w:rsidR="00CB42E7" w:rsidRDefault="00000000" w:rsidP="00817D95">
            <w:pPr>
              <w:jc w:val="both"/>
            </w:pPr>
            <w:r>
              <w:rPr>
                <w:sz w:val="17"/>
                <w:szCs w:val="17"/>
              </w:rPr>
              <w:t>Choudhury et al. (2023)</w:t>
            </w:r>
          </w:p>
        </w:tc>
      </w:tr>
      <w:tr w:rsidR="00CB42E7" w14:paraId="1D0A4CE5" w14:textId="77777777">
        <w:tc>
          <w:tcPr>
            <w:tcW w:w="1150" w:type="dxa"/>
            <w:tcMar>
              <w:top w:w="60" w:type="dxa"/>
              <w:left w:w="90" w:type="dxa"/>
              <w:bottom w:w="60" w:type="dxa"/>
              <w:right w:w="90" w:type="dxa"/>
            </w:tcMar>
          </w:tcPr>
          <w:p w14:paraId="7E61F575" w14:textId="77777777" w:rsidR="00CB42E7" w:rsidRDefault="00000000" w:rsidP="00817D95">
            <w:pPr>
              <w:jc w:val="both"/>
            </w:pPr>
            <w:proofErr w:type="spellStart"/>
            <w:r>
              <w:rPr>
                <w:sz w:val="17"/>
                <w:szCs w:val="17"/>
              </w:rPr>
              <w:t>Simsang</w:t>
            </w:r>
            <w:proofErr w:type="spellEnd"/>
            <w:r>
              <w:rPr>
                <w:sz w:val="17"/>
                <w:szCs w:val="17"/>
              </w:rPr>
              <w:t xml:space="preserve"> River, Garo Hills, Meghalaya</w:t>
            </w:r>
          </w:p>
        </w:tc>
        <w:tc>
          <w:tcPr>
            <w:tcW w:w="1250" w:type="dxa"/>
            <w:tcMar>
              <w:top w:w="60" w:type="dxa"/>
              <w:left w:w="90" w:type="dxa"/>
              <w:bottom w:w="60" w:type="dxa"/>
              <w:right w:w="90" w:type="dxa"/>
            </w:tcMar>
          </w:tcPr>
          <w:p w14:paraId="0F127687" w14:textId="77777777" w:rsidR="00CB42E7" w:rsidRDefault="00000000" w:rsidP="00817D95">
            <w:pPr>
              <w:jc w:val="both"/>
            </w:pPr>
            <w:r>
              <w:rPr>
                <w:i/>
                <w:iCs/>
                <w:sz w:val="17"/>
                <w:szCs w:val="17"/>
              </w:rPr>
              <w:t>Channa punctata</w:t>
            </w:r>
          </w:p>
        </w:tc>
        <w:tc>
          <w:tcPr>
            <w:tcW w:w="1400" w:type="dxa"/>
            <w:tcMar>
              <w:top w:w="60" w:type="dxa"/>
              <w:left w:w="90" w:type="dxa"/>
              <w:bottom w:w="60" w:type="dxa"/>
              <w:right w:w="90" w:type="dxa"/>
            </w:tcMar>
          </w:tcPr>
          <w:p w14:paraId="5259D79B" w14:textId="77777777" w:rsidR="00CB42E7" w:rsidRDefault="00000000" w:rsidP="00817D95">
            <w:pPr>
              <w:jc w:val="both"/>
            </w:pPr>
            <w:r>
              <w:rPr>
                <w:sz w:val="17"/>
                <w:szCs w:val="17"/>
              </w:rPr>
              <w:t>Acidity, sulphate, iron and polycyclic aromatic hydrocarbons in water; genotoxicity endpoints in fish</w:t>
            </w:r>
          </w:p>
        </w:tc>
        <w:tc>
          <w:tcPr>
            <w:tcW w:w="1950" w:type="dxa"/>
            <w:tcMar>
              <w:top w:w="60" w:type="dxa"/>
              <w:left w:w="90" w:type="dxa"/>
              <w:bottom w:w="60" w:type="dxa"/>
              <w:right w:w="90" w:type="dxa"/>
            </w:tcMar>
          </w:tcPr>
          <w:p w14:paraId="5BB148D9" w14:textId="77777777" w:rsidR="00CB42E7" w:rsidRDefault="00000000" w:rsidP="00817D95">
            <w:pPr>
              <w:jc w:val="both"/>
            </w:pPr>
            <w:r>
              <w:rPr>
                <w:sz w:val="17"/>
                <w:szCs w:val="17"/>
              </w:rPr>
              <w:t>Low pH, elevated sulphate and iron above permissible limits at affected sites; significant seasonal differences in comet, micronucleus and chromosome aberration endpoints, highest in monsoon</w:t>
            </w:r>
          </w:p>
        </w:tc>
        <w:tc>
          <w:tcPr>
            <w:tcW w:w="2050" w:type="dxa"/>
            <w:tcMar>
              <w:top w:w="60" w:type="dxa"/>
              <w:left w:w="90" w:type="dxa"/>
              <w:bottom w:w="60" w:type="dxa"/>
              <w:right w:w="90" w:type="dxa"/>
            </w:tcMar>
          </w:tcPr>
          <w:p w14:paraId="3B448A1E" w14:textId="77777777" w:rsidR="00CB42E7" w:rsidRDefault="00000000" w:rsidP="00817D95">
            <w:pPr>
              <w:jc w:val="both"/>
            </w:pPr>
            <w:r>
              <w:rPr>
                <w:sz w:val="17"/>
                <w:szCs w:val="17"/>
              </w:rPr>
              <w:t>Identifies acid mine drainage catchments as a distinct and probably high-uptake exposure regime; tissue metal burdens were not quantified</w:t>
            </w:r>
          </w:p>
        </w:tc>
        <w:tc>
          <w:tcPr>
            <w:tcW w:w="1226" w:type="dxa"/>
            <w:tcMar>
              <w:top w:w="60" w:type="dxa"/>
              <w:left w:w="90" w:type="dxa"/>
              <w:bottom w:w="60" w:type="dxa"/>
              <w:right w:w="90" w:type="dxa"/>
            </w:tcMar>
          </w:tcPr>
          <w:p w14:paraId="4F738035" w14:textId="77777777" w:rsidR="00CB42E7" w:rsidRDefault="00000000" w:rsidP="00817D95">
            <w:pPr>
              <w:jc w:val="both"/>
            </w:pPr>
            <w:r>
              <w:rPr>
                <w:sz w:val="17"/>
                <w:szCs w:val="17"/>
              </w:rPr>
              <w:t>Talukdar et al. (2016)</w:t>
            </w:r>
          </w:p>
        </w:tc>
      </w:tr>
      <w:tr w:rsidR="00CB42E7" w14:paraId="566CF487" w14:textId="77777777">
        <w:tc>
          <w:tcPr>
            <w:tcW w:w="1150" w:type="dxa"/>
            <w:tcMar>
              <w:top w:w="60" w:type="dxa"/>
              <w:left w:w="90" w:type="dxa"/>
              <w:bottom w:w="60" w:type="dxa"/>
              <w:right w:w="90" w:type="dxa"/>
            </w:tcMar>
          </w:tcPr>
          <w:p w14:paraId="2F34A64A" w14:textId="77777777" w:rsidR="00CB42E7" w:rsidRDefault="00000000" w:rsidP="00817D95">
            <w:pPr>
              <w:jc w:val="both"/>
            </w:pPr>
            <w:proofErr w:type="spellStart"/>
            <w:r>
              <w:rPr>
                <w:sz w:val="17"/>
                <w:szCs w:val="17"/>
              </w:rPr>
              <w:t>Umiam</w:t>
            </w:r>
            <w:proofErr w:type="spellEnd"/>
            <w:r>
              <w:rPr>
                <w:sz w:val="17"/>
                <w:szCs w:val="17"/>
              </w:rPr>
              <w:t xml:space="preserve"> Lake reservoir, Ri Bhoi, Meghalaya</w:t>
            </w:r>
          </w:p>
        </w:tc>
        <w:tc>
          <w:tcPr>
            <w:tcW w:w="1250" w:type="dxa"/>
            <w:tcMar>
              <w:top w:w="60" w:type="dxa"/>
              <w:left w:w="90" w:type="dxa"/>
              <w:bottom w:w="60" w:type="dxa"/>
              <w:right w:w="90" w:type="dxa"/>
            </w:tcMar>
          </w:tcPr>
          <w:p w14:paraId="11DC2819" w14:textId="77777777" w:rsidR="00CB42E7" w:rsidRDefault="00000000" w:rsidP="00817D95">
            <w:pPr>
              <w:jc w:val="both"/>
            </w:pPr>
            <w:r>
              <w:rPr>
                <w:i/>
                <w:iCs/>
                <w:sz w:val="17"/>
                <w:szCs w:val="17"/>
              </w:rPr>
              <w:t>Cyprinus carpio</w:t>
            </w:r>
          </w:p>
        </w:tc>
        <w:tc>
          <w:tcPr>
            <w:tcW w:w="1400" w:type="dxa"/>
            <w:tcMar>
              <w:top w:w="60" w:type="dxa"/>
              <w:left w:w="90" w:type="dxa"/>
              <w:bottom w:w="60" w:type="dxa"/>
              <w:right w:w="90" w:type="dxa"/>
            </w:tcMar>
          </w:tcPr>
          <w:p w14:paraId="45FAF7EF" w14:textId="77777777" w:rsidR="00CB42E7" w:rsidRDefault="00000000" w:rsidP="00817D95">
            <w:pPr>
              <w:jc w:val="both"/>
            </w:pPr>
            <w:r>
              <w:rPr>
                <w:sz w:val="17"/>
                <w:szCs w:val="17"/>
              </w:rPr>
              <w:t>Chromium, lead, copper, cadmium; water and multiple tissues</w:t>
            </w:r>
          </w:p>
        </w:tc>
        <w:tc>
          <w:tcPr>
            <w:tcW w:w="1950" w:type="dxa"/>
            <w:tcMar>
              <w:top w:w="60" w:type="dxa"/>
              <w:left w:w="90" w:type="dxa"/>
              <w:bottom w:w="60" w:type="dxa"/>
              <w:right w:w="90" w:type="dxa"/>
            </w:tcMar>
          </w:tcPr>
          <w:p w14:paraId="48067626" w14:textId="77777777" w:rsidR="00CB42E7" w:rsidRDefault="00000000" w:rsidP="00817D95">
            <w:pPr>
              <w:jc w:val="both"/>
            </w:pPr>
            <w:r>
              <w:rPr>
                <w:sz w:val="17"/>
                <w:szCs w:val="17"/>
              </w:rPr>
              <w:t>Significant seasonal differences; tissue-dependent accumulation in the order chromium, lead, copper, cadmium; water above national and international standards; risk assessment indicating possible adverse effects from muscle consumption</w:t>
            </w:r>
          </w:p>
        </w:tc>
        <w:tc>
          <w:tcPr>
            <w:tcW w:w="2050" w:type="dxa"/>
            <w:tcMar>
              <w:top w:w="60" w:type="dxa"/>
              <w:left w:w="90" w:type="dxa"/>
              <w:bottom w:w="60" w:type="dxa"/>
              <w:right w:w="90" w:type="dxa"/>
            </w:tcMar>
          </w:tcPr>
          <w:p w14:paraId="3AEF5FFB" w14:textId="77777777" w:rsidR="00CB42E7" w:rsidRDefault="00000000" w:rsidP="00817D95">
            <w:pPr>
              <w:jc w:val="both"/>
            </w:pPr>
            <w:r>
              <w:rPr>
                <w:sz w:val="17"/>
                <w:szCs w:val="17"/>
              </w:rPr>
              <w:t>A reservoir setting comparable to those in which carps are captured regionally; the species is an introduced benthic omnivore, so partitioning cannot be transferred directly</w:t>
            </w:r>
          </w:p>
        </w:tc>
        <w:tc>
          <w:tcPr>
            <w:tcW w:w="1226" w:type="dxa"/>
            <w:tcMar>
              <w:top w:w="60" w:type="dxa"/>
              <w:left w:w="90" w:type="dxa"/>
              <w:bottom w:w="60" w:type="dxa"/>
              <w:right w:w="90" w:type="dxa"/>
            </w:tcMar>
          </w:tcPr>
          <w:p w14:paraId="0C41E14D" w14:textId="77777777" w:rsidR="00CB42E7" w:rsidRDefault="00000000" w:rsidP="00817D95">
            <w:pPr>
              <w:jc w:val="both"/>
            </w:pPr>
            <w:proofErr w:type="spellStart"/>
            <w:r>
              <w:rPr>
                <w:sz w:val="17"/>
                <w:szCs w:val="17"/>
              </w:rPr>
              <w:t>Warjri</w:t>
            </w:r>
            <w:proofErr w:type="spellEnd"/>
            <w:r>
              <w:rPr>
                <w:sz w:val="17"/>
                <w:szCs w:val="17"/>
              </w:rPr>
              <w:t xml:space="preserve"> et al. (2024)</w:t>
            </w:r>
          </w:p>
        </w:tc>
      </w:tr>
      <w:tr w:rsidR="00CB42E7" w14:paraId="0CD3D911" w14:textId="77777777">
        <w:tc>
          <w:tcPr>
            <w:tcW w:w="1150" w:type="dxa"/>
            <w:tcMar>
              <w:top w:w="60" w:type="dxa"/>
              <w:left w:w="90" w:type="dxa"/>
              <w:bottom w:w="60" w:type="dxa"/>
              <w:right w:w="90" w:type="dxa"/>
            </w:tcMar>
          </w:tcPr>
          <w:p w14:paraId="2CEDC9AB" w14:textId="77777777" w:rsidR="00CB42E7" w:rsidRDefault="00000000" w:rsidP="00817D95">
            <w:pPr>
              <w:jc w:val="both"/>
            </w:pPr>
            <w:proofErr w:type="spellStart"/>
            <w:r>
              <w:rPr>
                <w:sz w:val="17"/>
                <w:szCs w:val="17"/>
              </w:rPr>
              <w:t>Loktak</w:t>
            </w:r>
            <w:proofErr w:type="spellEnd"/>
            <w:r>
              <w:rPr>
                <w:sz w:val="17"/>
                <w:szCs w:val="17"/>
              </w:rPr>
              <w:t xml:space="preserve"> Lake and surrounds, Manipur</w:t>
            </w:r>
          </w:p>
        </w:tc>
        <w:tc>
          <w:tcPr>
            <w:tcW w:w="1250" w:type="dxa"/>
            <w:tcMar>
              <w:top w:w="60" w:type="dxa"/>
              <w:left w:w="90" w:type="dxa"/>
              <w:bottom w:w="60" w:type="dxa"/>
              <w:right w:w="90" w:type="dxa"/>
            </w:tcMar>
          </w:tcPr>
          <w:p w14:paraId="395E6ACE" w14:textId="77777777" w:rsidR="00CB42E7" w:rsidRDefault="00000000" w:rsidP="00817D95">
            <w:pPr>
              <w:jc w:val="both"/>
            </w:pPr>
            <w:r>
              <w:rPr>
                <w:sz w:val="17"/>
                <w:szCs w:val="17"/>
              </w:rPr>
              <w:t>Small indigenous species analysed whole; larger species analysed by tissue</w:t>
            </w:r>
          </w:p>
        </w:tc>
        <w:tc>
          <w:tcPr>
            <w:tcW w:w="1400" w:type="dxa"/>
            <w:tcMar>
              <w:top w:w="60" w:type="dxa"/>
              <w:left w:w="90" w:type="dxa"/>
              <w:bottom w:w="60" w:type="dxa"/>
              <w:right w:w="90" w:type="dxa"/>
            </w:tcMar>
          </w:tcPr>
          <w:p w14:paraId="763437D3" w14:textId="77777777" w:rsidR="00CB42E7" w:rsidRDefault="00000000" w:rsidP="00817D95">
            <w:pPr>
              <w:jc w:val="both"/>
            </w:pPr>
            <w:r>
              <w:rPr>
                <w:sz w:val="17"/>
                <w:szCs w:val="17"/>
              </w:rPr>
              <w:t>Copper, nickel, iron, manganese, zinc, cadmium, chromium, cobalt, lead, arsenic</w:t>
            </w:r>
          </w:p>
        </w:tc>
        <w:tc>
          <w:tcPr>
            <w:tcW w:w="1950" w:type="dxa"/>
            <w:tcMar>
              <w:top w:w="60" w:type="dxa"/>
              <w:left w:w="90" w:type="dxa"/>
              <w:bottom w:w="60" w:type="dxa"/>
              <w:right w:w="90" w:type="dxa"/>
            </w:tcMar>
          </w:tcPr>
          <w:p w14:paraId="4C4E956F" w14:textId="77777777" w:rsidR="00CB42E7" w:rsidRDefault="00000000" w:rsidP="00817D95">
            <w:pPr>
              <w:jc w:val="both"/>
            </w:pPr>
            <w:r>
              <w:rPr>
                <w:sz w:val="17"/>
                <w:szCs w:val="17"/>
              </w:rPr>
              <w:t>Iron, manganese and zinc relatively high across biota; metal pollution index from very high to negligible; target hazard quotients below unity; lead and cadmium above safe limits in some samples</w:t>
            </w:r>
          </w:p>
        </w:tc>
        <w:tc>
          <w:tcPr>
            <w:tcW w:w="2050" w:type="dxa"/>
            <w:tcMar>
              <w:top w:w="60" w:type="dxa"/>
              <w:left w:w="90" w:type="dxa"/>
              <w:bottom w:w="60" w:type="dxa"/>
              <w:right w:w="90" w:type="dxa"/>
            </w:tcMar>
          </w:tcPr>
          <w:p w14:paraId="7DC79FDB" w14:textId="77777777" w:rsidR="00CB42E7" w:rsidRDefault="00000000" w:rsidP="00817D95">
            <w:pPr>
              <w:jc w:val="both"/>
            </w:pPr>
            <w:r>
              <w:rPr>
                <w:sz w:val="17"/>
                <w:szCs w:val="17"/>
              </w:rPr>
              <w:t>Establishes wetland transfer in a second North-East Indian state and illustrates within-site heterogeneity; the target species were not examined</w:t>
            </w:r>
          </w:p>
        </w:tc>
        <w:tc>
          <w:tcPr>
            <w:tcW w:w="1226" w:type="dxa"/>
            <w:tcMar>
              <w:top w:w="60" w:type="dxa"/>
              <w:left w:w="90" w:type="dxa"/>
              <w:bottom w:w="60" w:type="dxa"/>
              <w:right w:w="90" w:type="dxa"/>
            </w:tcMar>
          </w:tcPr>
          <w:p w14:paraId="6E4CA145" w14:textId="77777777" w:rsidR="00CB42E7" w:rsidRDefault="00000000" w:rsidP="00817D95">
            <w:pPr>
              <w:jc w:val="both"/>
            </w:pPr>
            <w:proofErr w:type="spellStart"/>
            <w:r>
              <w:rPr>
                <w:sz w:val="17"/>
                <w:szCs w:val="17"/>
              </w:rPr>
              <w:t>Mayanglambam</w:t>
            </w:r>
            <w:proofErr w:type="spellEnd"/>
            <w:r>
              <w:rPr>
                <w:sz w:val="17"/>
                <w:szCs w:val="17"/>
              </w:rPr>
              <w:t xml:space="preserve"> and Neelam (2024)</w:t>
            </w:r>
          </w:p>
        </w:tc>
      </w:tr>
      <w:tr w:rsidR="00CB42E7" w14:paraId="3451DD4D" w14:textId="77777777">
        <w:tc>
          <w:tcPr>
            <w:tcW w:w="1150" w:type="dxa"/>
            <w:tcMar>
              <w:top w:w="60" w:type="dxa"/>
              <w:left w:w="90" w:type="dxa"/>
              <w:bottom w:w="60" w:type="dxa"/>
              <w:right w:w="90" w:type="dxa"/>
            </w:tcMar>
          </w:tcPr>
          <w:p w14:paraId="363B248A" w14:textId="77777777" w:rsidR="00CB42E7" w:rsidRDefault="00000000" w:rsidP="00817D95">
            <w:pPr>
              <w:jc w:val="both"/>
            </w:pPr>
            <w:r>
              <w:rPr>
                <w:sz w:val="17"/>
                <w:szCs w:val="17"/>
              </w:rPr>
              <w:t>Dried fish sampled across Indian states including Assam</w:t>
            </w:r>
          </w:p>
        </w:tc>
        <w:tc>
          <w:tcPr>
            <w:tcW w:w="1250" w:type="dxa"/>
            <w:tcMar>
              <w:top w:w="60" w:type="dxa"/>
              <w:left w:w="90" w:type="dxa"/>
              <w:bottom w:w="60" w:type="dxa"/>
              <w:right w:w="90" w:type="dxa"/>
            </w:tcMar>
          </w:tcPr>
          <w:p w14:paraId="15F580ED" w14:textId="77777777" w:rsidR="00CB42E7" w:rsidRDefault="00000000" w:rsidP="00817D95">
            <w:pPr>
              <w:jc w:val="both"/>
            </w:pPr>
            <w:r>
              <w:rPr>
                <w:sz w:val="17"/>
                <w:szCs w:val="17"/>
              </w:rPr>
              <w:t>Multiple species as marketed dry product</w:t>
            </w:r>
          </w:p>
        </w:tc>
        <w:tc>
          <w:tcPr>
            <w:tcW w:w="1400" w:type="dxa"/>
            <w:tcMar>
              <w:top w:w="60" w:type="dxa"/>
              <w:left w:w="90" w:type="dxa"/>
              <w:bottom w:w="60" w:type="dxa"/>
              <w:right w:w="90" w:type="dxa"/>
            </w:tcMar>
          </w:tcPr>
          <w:p w14:paraId="065FBFD2" w14:textId="77777777" w:rsidR="00CB42E7" w:rsidRDefault="00000000" w:rsidP="00817D95">
            <w:pPr>
              <w:jc w:val="both"/>
            </w:pPr>
            <w:r>
              <w:rPr>
                <w:sz w:val="17"/>
                <w:szCs w:val="17"/>
              </w:rPr>
              <w:t>Arsenic, cadmium, chromium, cobalt, nickel, vanadium, lead, mercury</w:t>
            </w:r>
          </w:p>
        </w:tc>
        <w:tc>
          <w:tcPr>
            <w:tcW w:w="1950" w:type="dxa"/>
            <w:tcMar>
              <w:top w:w="60" w:type="dxa"/>
              <w:left w:w="90" w:type="dxa"/>
              <w:bottom w:w="60" w:type="dxa"/>
              <w:right w:w="90" w:type="dxa"/>
            </w:tcMar>
          </w:tcPr>
          <w:p w14:paraId="224E85DA" w14:textId="77777777" w:rsidR="00CB42E7" w:rsidRDefault="00000000" w:rsidP="00817D95">
            <w:pPr>
              <w:jc w:val="both"/>
            </w:pPr>
            <w:r>
              <w:rPr>
                <w:sz w:val="17"/>
                <w:szCs w:val="17"/>
              </w:rPr>
              <w:t>Arsenic-dominated element profile; dietary exposure higher for children than adults; hazard indices within the acceptable range</w:t>
            </w:r>
          </w:p>
        </w:tc>
        <w:tc>
          <w:tcPr>
            <w:tcW w:w="2050" w:type="dxa"/>
            <w:tcMar>
              <w:top w:w="60" w:type="dxa"/>
              <w:left w:w="90" w:type="dxa"/>
              <w:bottom w:w="60" w:type="dxa"/>
              <w:right w:w="90" w:type="dxa"/>
            </w:tcMar>
          </w:tcPr>
          <w:p w14:paraId="3971B644" w14:textId="77777777" w:rsidR="00CB42E7" w:rsidRDefault="00000000" w:rsidP="00817D95">
            <w:pPr>
              <w:jc w:val="both"/>
            </w:pPr>
            <w:r>
              <w:rPr>
                <w:sz w:val="17"/>
                <w:szCs w:val="17"/>
              </w:rPr>
              <w:t>Captures a processing pathway with a concentration step that fresh-fish surveys omit; species identity and provenance of the dried product constrain attribution</w:t>
            </w:r>
          </w:p>
        </w:tc>
        <w:tc>
          <w:tcPr>
            <w:tcW w:w="1226" w:type="dxa"/>
            <w:tcMar>
              <w:top w:w="60" w:type="dxa"/>
              <w:left w:w="90" w:type="dxa"/>
              <w:bottom w:w="60" w:type="dxa"/>
              <w:right w:w="90" w:type="dxa"/>
            </w:tcMar>
          </w:tcPr>
          <w:p w14:paraId="5A6A1FC6" w14:textId="77777777" w:rsidR="00CB42E7" w:rsidRDefault="00000000" w:rsidP="00817D95">
            <w:pPr>
              <w:jc w:val="both"/>
            </w:pPr>
            <w:proofErr w:type="spellStart"/>
            <w:r>
              <w:rPr>
                <w:sz w:val="17"/>
                <w:szCs w:val="17"/>
              </w:rPr>
              <w:t>Sonone</w:t>
            </w:r>
            <w:proofErr w:type="spellEnd"/>
            <w:r>
              <w:rPr>
                <w:sz w:val="17"/>
                <w:szCs w:val="17"/>
              </w:rPr>
              <w:t xml:space="preserve"> et al. (2025)</w:t>
            </w:r>
          </w:p>
        </w:tc>
      </w:tr>
      <w:tr w:rsidR="00CB42E7" w14:paraId="1CC08FCC" w14:textId="77777777">
        <w:tc>
          <w:tcPr>
            <w:tcW w:w="1150" w:type="dxa"/>
            <w:tcMar>
              <w:top w:w="60" w:type="dxa"/>
              <w:left w:w="90" w:type="dxa"/>
              <w:bottom w:w="60" w:type="dxa"/>
              <w:right w:w="90" w:type="dxa"/>
            </w:tcMar>
          </w:tcPr>
          <w:p w14:paraId="43A39BCE" w14:textId="77777777" w:rsidR="00CB42E7" w:rsidRDefault="00000000" w:rsidP="00817D95">
            <w:pPr>
              <w:jc w:val="both"/>
            </w:pPr>
            <w:r>
              <w:rPr>
                <w:sz w:val="17"/>
                <w:szCs w:val="17"/>
              </w:rPr>
              <w:t>Old Brahmaputra River, Bangladesh</w:t>
            </w:r>
          </w:p>
        </w:tc>
        <w:tc>
          <w:tcPr>
            <w:tcW w:w="1250" w:type="dxa"/>
            <w:tcMar>
              <w:top w:w="60" w:type="dxa"/>
              <w:left w:w="90" w:type="dxa"/>
              <w:bottom w:w="60" w:type="dxa"/>
              <w:right w:w="90" w:type="dxa"/>
            </w:tcMar>
          </w:tcPr>
          <w:p w14:paraId="769CF697" w14:textId="77777777" w:rsidR="00CB42E7" w:rsidRDefault="00000000" w:rsidP="00817D95">
            <w:pPr>
              <w:jc w:val="both"/>
            </w:pPr>
            <w:r>
              <w:rPr>
                <w:sz w:val="17"/>
                <w:szCs w:val="17"/>
              </w:rPr>
              <w:t>Six indigenous species, whole body</w:t>
            </w:r>
          </w:p>
        </w:tc>
        <w:tc>
          <w:tcPr>
            <w:tcW w:w="1400" w:type="dxa"/>
            <w:tcMar>
              <w:top w:w="60" w:type="dxa"/>
              <w:left w:w="90" w:type="dxa"/>
              <w:bottom w:w="60" w:type="dxa"/>
              <w:right w:w="90" w:type="dxa"/>
            </w:tcMar>
          </w:tcPr>
          <w:p w14:paraId="7EACE701" w14:textId="77777777" w:rsidR="00CB42E7" w:rsidRDefault="00000000" w:rsidP="00817D95">
            <w:pPr>
              <w:jc w:val="both"/>
            </w:pPr>
            <w:r>
              <w:rPr>
                <w:sz w:val="17"/>
                <w:szCs w:val="17"/>
              </w:rPr>
              <w:t>Arsenic, cadmium, chromium, mercury, nickel, lead</w:t>
            </w:r>
          </w:p>
        </w:tc>
        <w:tc>
          <w:tcPr>
            <w:tcW w:w="1950" w:type="dxa"/>
            <w:tcMar>
              <w:top w:w="60" w:type="dxa"/>
              <w:left w:w="90" w:type="dxa"/>
              <w:bottom w:w="60" w:type="dxa"/>
              <w:right w:w="90" w:type="dxa"/>
            </w:tcMar>
          </w:tcPr>
          <w:p w14:paraId="4A26FDC9" w14:textId="77777777" w:rsidR="00CB42E7" w:rsidRDefault="00000000" w:rsidP="00817D95">
            <w:pPr>
              <w:jc w:val="both"/>
            </w:pPr>
            <w:r>
              <w:rPr>
                <w:sz w:val="17"/>
                <w:szCs w:val="17"/>
              </w:rPr>
              <w:t>Contents varied significantly with feeding habit and habitat; omnivores higher in arsenic, chromium, mercury and lead; benthopelagic species higher in arsenic; hazard quotients below unity but hazard index indicating chronic risk for one species and target cancer risk indicating carcinogenic risk from arsenic</w:t>
            </w:r>
          </w:p>
        </w:tc>
        <w:tc>
          <w:tcPr>
            <w:tcW w:w="2050" w:type="dxa"/>
            <w:tcMar>
              <w:top w:w="60" w:type="dxa"/>
              <w:left w:w="90" w:type="dxa"/>
              <w:bottom w:w="60" w:type="dxa"/>
              <w:right w:w="90" w:type="dxa"/>
            </w:tcMar>
          </w:tcPr>
          <w:p w14:paraId="54E2DB90" w14:textId="77777777" w:rsidR="00CB42E7" w:rsidRDefault="00000000" w:rsidP="00817D95">
            <w:pPr>
              <w:jc w:val="both"/>
            </w:pPr>
            <w:r>
              <w:rPr>
                <w:sz w:val="17"/>
                <w:szCs w:val="17"/>
              </w:rPr>
              <w:t>The nearest hydrological analogue outside India and a direct demonstration of feeding-guild effects; whole-body analysis and non-target species prevent transfer to edible muscle of the target carps</w:t>
            </w:r>
          </w:p>
        </w:tc>
        <w:tc>
          <w:tcPr>
            <w:tcW w:w="1226" w:type="dxa"/>
            <w:tcMar>
              <w:top w:w="60" w:type="dxa"/>
              <w:left w:w="90" w:type="dxa"/>
              <w:bottom w:w="60" w:type="dxa"/>
              <w:right w:w="90" w:type="dxa"/>
            </w:tcMar>
          </w:tcPr>
          <w:p w14:paraId="1E0E1176" w14:textId="77777777" w:rsidR="00CB42E7" w:rsidRDefault="00000000" w:rsidP="00817D95">
            <w:pPr>
              <w:jc w:val="both"/>
            </w:pPr>
            <w:proofErr w:type="spellStart"/>
            <w:r>
              <w:rPr>
                <w:sz w:val="17"/>
                <w:szCs w:val="17"/>
              </w:rPr>
              <w:t>Shorna</w:t>
            </w:r>
            <w:proofErr w:type="spellEnd"/>
            <w:r>
              <w:rPr>
                <w:sz w:val="17"/>
                <w:szCs w:val="17"/>
              </w:rPr>
              <w:t xml:space="preserve"> et al. (2021)</w:t>
            </w:r>
          </w:p>
        </w:tc>
      </w:tr>
    </w:tbl>
    <w:p w14:paraId="225933DE" w14:textId="77777777" w:rsidR="00CB42E7" w:rsidRDefault="00000000" w:rsidP="00817D95">
      <w:pPr>
        <w:spacing w:before="80" w:after="240"/>
        <w:jc w:val="both"/>
      </w:pPr>
      <w:r>
        <w:rPr>
          <w:sz w:val="17"/>
          <w:szCs w:val="17"/>
        </w:rPr>
        <w:lastRenderedPageBreak/>
        <w:t>Note. “Permissible limits” and “safe limits” denote the reference standards used by the respective authors, which are not identical across studies; concentrations are therefore not directly comparable between rows. This table is not exhaustive of fish tissue studies in South Asia and is confined to work within North-East India together with the nearest external hydrological analogue.</w:t>
      </w:r>
    </w:p>
    <w:p w14:paraId="53278C50" w14:textId="77777777" w:rsidR="00CB42E7" w:rsidRDefault="00000000" w:rsidP="00817D95">
      <w:pPr>
        <w:keepNext/>
        <w:spacing w:before="260" w:after="140" w:line="300" w:lineRule="auto"/>
        <w:jc w:val="both"/>
      </w:pPr>
      <w:r>
        <w:rPr>
          <w:b/>
          <w:bCs/>
          <w:sz w:val="25"/>
          <w:szCs w:val="25"/>
        </w:rPr>
        <w:t>6. Tissue Partitioning, Regulatory Mechanism and the Muscle-Only Problem</w:t>
      </w:r>
    </w:p>
    <w:p w14:paraId="2F3EA989" w14:textId="77777777" w:rsidR="00CB42E7" w:rsidRDefault="00000000" w:rsidP="00817D95">
      <w:pPr>
        <w:keepNext/>
        <w:spacing w:before="260" w:after="140" w:line="300" w:lineRule="auto"/>
        <w:jc w:val="both"/>
      </w:pPr>
      <w:r>
        <w:rPr>
          <w:b/>
          <w:bCs/>
          <w:sz w:val="23"/>
          <w:szCs w:val="23"/>
        </w:rPr>
        <w:t>6.1 The consensus ordering and its physiological basis</w:t>
      </w:r>
    </w:p>
    <w:p w14:paraId="11FAC9C2" w14:textId="77777777" w:rsidR="00CB42E7" w:rsidRDefault="00000000" w:rsidP="00817D95">
      <w:pPr>
        <w:spacing w:after="160" w:line="360" w:lineRule="auto"/>
        <w:jc w:val="both"/>
      </w:pPr>
      <w:r>
        <w:t xml:space="preserve">Across the retrieved literature the dominant reported ordering places liver and kidney above gill, with muscle lowest. This has been reported for Indian major carps in wastewater-fed ponds (Aich et al., 2012), for rohu and </w:t>
      </w:r>
      <w:proofErr w:type="spellStart"/>
      <w:r>
        <w:t>catla</w:t>
      </w:r>
      <w:proofErr w:type="spellEnd"/>
      <w:r>
        <w:t xml:space="preserve"> in arsenic-affected districts (Basak et al., 2026), for Gangetic fishes including </w:t>
      </w:r>
      <w:proofErr w:type="spellStart"/>
      <w:r>
        <w:t>catla</w:t>
      </w:r>
      <w:proofErr w:type="spellEnd"/>
      <w:r>
        <w:t xml:space="preserve"> (Maurya et al., 2019), and for a predatory species in southern Assam where kidney exceeded liver and gill (Choudhury et al., 2023). The physiological basis is well established. Liver and kidney are the principal sites of detoxification and excretion and express inducible metal-binding ligands at high capacity, whereas muscle is poorly perfused relative to these organs and lacks comparable sequestration machinery. The gill occupies an intermediate position as the primary uptake surface, and its burden tends to track waterborne concentrations more closely than that of internal organs.</w:t>
      </w:r>
    </w:p>
    <w:p w14:paraId="5D1ADAE9" w14:textId="77777777" w:rsidR="00CB42E7" w:rsidRDefault="00000000" w:rsidP="00817D95">
      <w:pPr>
        <w:spacing w:after="160" w:line="360" w:lineRule="auto"/>
        <w:jc w:val="both"/>
      </w:pPr>
      <w:r>
        <w:t xml:space="preserve">The mechanism is not merely descriptive. Controlled comparison of two marine species demonstrated that differential cadmium accumulation kinetics were attributable to metallothionein expression capacity rather than to differences in uptake rate (Le </w:t>
      </w:r>
      <w:proofErr w:type="spellStart"/>
      <w:r>
        <w:t>Croizier</w:t>
      </w:r>
      <w:proofErr w:type="spellEnd"/>
      <w:r>
        <w:t xml:space="preserve"> et al., 2018). This has an important interpretive consequence. Where two species inhabit the same water and one carries a higher hepatic burden, the difference may reflect greater sequestration capacity rather than greater exposure, and the species with the higher liver concentration may in fact be better protected. Ranking species by organ concentration as a proxy for exposure is therefore unreliable unless the sequestration capacity of each is known.</w:t>
      </w:r>
    </w:p>
    <w:p w14:paraId="6A4D08C4" w14:textId="77777777" w:rsidR="00CB42E7" w:rsidRDefault="00000000" w:rsidP="00817D95">
      <w:pPr>
        <w:spacing w:after="160" w:line="360" w:lineRule="auto"/>
        <w:jc w:val="both"/>
      </w:pPr>
      <w:r>
        <w:t xml:space="preserve">A parallel caution applies to essential elements. Zinc, copper and manganese are </w:t>
      </w:r>
      <w:proofErr w:type="spellStart"/>
      <w:r>
        <w:t>homeostatically</w:t>
      </w:r>
      <w:proofErr w:type="spellEnd"/>
      <w:r>
        <w:t xml:space="preserve"> regulated across a broad range of ambient concentrations, so tissue concentrations respond weakly to environmental gradients until regulatory capacity is saturated (Ali &amp; Khan, 2018). Reports that zinc is the most abundant element in fish tissue, which recur throughout the retrieved literature, therefore convey little about contamination and much about normal physiology. The finding that zinc exceeded permissible limits in </w:t>
      </w:r>
      <w:proofErr w:type="spellStart"/>
      <w:r>
        <w:t>catla</w:t>
      </w:r>
      <w:proofErr w:type="spellEnd"/>
      <w:r>
        <w:t xml:space="preserve"> and rohu in the lower Gangetic stretch while all other elements remained below limits (Kumar et al., 2024) is more plausibly read as a comment on the permissible limit than as evidence of pollution.</w:t>
      </w:r>
    </w:p>
    <w:p w14:paraId="2856252A" w14:textId="77777777" w:rsidR="00CB42E7" w:rsidRDefault="00000000" w:rsidP="00817D95">
      <w:pPr>
        <w:keepNext/>
        <w:spacing w:before="260" w:after="140" w:line="300" w:lineRule="auto"/>
        <w:jc w:val="both"/>
      </w:pPr>
      <w:r>
        <w:rPr>
          <w:b/>
          <w:bCs/>
          <w:sz w:val="23"/>
          <w:szCs w:val="23"/>
        </w:rPr>
        <w:t>6.2 Functional consequences at environmentally realistic burdens</w:t>
      </w:r>
    </w:p>
    <w:p w14:paraId="0BDC8D8F" w14:textId="77777777" w:rsidR="00CB42E7" w:rsidRDefault="00000000" w:rsidP="00817D95">
      <w:pPr>
        <w:spacing w:after="160" w:line="360" w:lineRule="auto"/>
        <w:jc w:val="both"/>
      </w:pPr>
      <w:r>
        <w:t xml:space="preserve">Sub-lethal effect endpoints provide an independent line of evidence on whether measured burdens are biologically meaningful. Tissue-specific antioxidant responses in Indian major carps have been shown to vary with metal exposure in a manner that differs among organs (Das et al., 2017), and oxidative damage with mitochondrial dysfunction has been linked to alteration of the muscle fatty acid profile in </w:t>
      </w:r>
      <w:r>
        <w:lastRenderedPageBreak/>
        <w:t>the same species group under metal exposure (Das et al., 2018). The latter finding carries a nutritional implication that is rarely acknowledged in risk assessments: metal exposure may degrade the nutritional quality of the edible tissue independently of whether the metal concentration itself exceeds a regulatory threshold. Regional evidence points in the same direction, with oxidative stress, genotoxicity and immunosuppression documented in a resident species from southern Assam at exposures characterised as several-fold above permissible ranges (Choudhury et al., 2023), and with genotoxic responses documented in fish from an acid mine drainage catchment in Meghalaya (Talukdar et al., 2016).</w:t>
      </w:r>
    </w:p>
    <w:p w14:paraId="272F5D80" w14:textId="77777777" w:rsidR="00CB42E7" w:rsidRDefault="00000000" w:rsidP="00817D95">
      <w:pPr>
        <w:spacing w:after="160" w:line="360" w:lineRule="auto"/>
        <w:jc w:val="both"/>
      </w:pPr>
      <w:r>
        <w:t>These findings complicate the reassuring conclusions that dominate the risk-assessment literature. A hazard quotient below unity calculated from muscle concentrations addresses only the consumer, and only through a single pathway, and says nothing about whether the population being harvested is itself compromised. Where effect endpoints respond at exposures that generate acceptable consumer hazard quotients, the two literatures are not in contradiction; they are answering different questions, and conflating them produces an unwarranted impression that the ecosystem has been assessed.</w:t>
      </w:r>
    </w:p>
    <w:p w14:paraId="5F22B3F7" w14:textId="77777777" w:rsidR="00CB42E7" w:rsidRDefault="00000000" w:rsidP="00817D95">
      <w:pPr>
        <w:keepNext/>
        <w:spacing w:before="260" w:after="140" w:line="300" w:lineRule="auto"/>
        <w:jc w:val="both"/>
      </w:pPr>
      <w:r>
        <w:rPr>
          <w:b/>
          <w:bCs/>
          <w:sz w:val="23"/>
          <w:szCs w:val="23"/>
        </w:rPr>
        <w:t>6.3 The muscle-only problem and the significance of atypical distributions</w:t>
      </w:r>
    </w:p>
    <w:p w14:paraId="515EFAF9" w14:textId="77777777" w:rsidR="00CB42E7" w:rsidRDefault="00000000" w:rsidP="00817D95">
      <w:pPr>
        <w:spacing w:after="160" w:line="360" w:lineRule="auto"/>
        <w:jc w:val="both"/>
      </w:pPr>
      <w:r>
        <w:t xml:space="preserve">Most consumer risk assessment is conducted on muscle alone, which is defensible where muscle is the only tissue consumed. In the North-East Indian context that assumption is questionable. Small fish are frequently consumed whole, heads are used in preparations across the region, and the practice of consuming or discarding particular organs varies by community and by preparation. Where the organ distribution is steep, the difference between muscle-only and whole-fish exposure is large. The </w:t>
      </w:r>
      <w:proofErr w:type="spellStart"/>
      <w:r>
        <w:t>Loktak</w:t>
      </w:r>
      <w:proofErr w:type="spellEnd"/>
      <w:r>
        <w:t xml:space="preserve"> study, which analysed small species whole and larger species by tissue, found the highest estimated daily intakes among tissues to be through gills (</w:t>
      </w:r>
      <w:proofErr w:type="spellStart"/>
      <w:r>
        <w:t>Mayanglambam</w:t>
      </w:r>
      <w:proofErr w:type="spellEnd"/>
      <w:r>
        <w:t xml:space="preserve"> &amp; Neelam, 2024), and the </w:t>
      </w:r>
      <w:proofErr w:type="spellStart"/>
      <w:r>
        <w:t>Kolong</w:t>
      </w:r>
      <w:proofErr w:type="spellEnd"/>
      <w:r>
        <w:t xml:space="preserve"> study explicitly recommended discarding brain and gills because of elevated arsenic (Das et al., 2024). Both findings indicate that muscle-only assessment understates exposure for a proportion of the consuming population.</w:t>
      </w:r>
    </w:p>
    <w:p w14:paraId="43CF000B" w14:textId="77777777" w:rsidR="00CB42E7" w:rsidRDefault="00000000" w:rsidP="00817D95">
      <w:pPr>
        <w:spacing w:after="160" w:line="360" w:lineRule="auto"/>
        <w:jc w:val="both"/>
      </w:pPr>
      <w:r>
        <w:t xml:space="preserve">The </w:t>
      </w:r>
      <w:proofErr w:type="spellStart"/>
      <w:r>
        <w:t>Kolong</w:t>
      </w:r>
      <w:proofErr w:type="spellEnd"/>
      <w:r>
        <w:t xml:space="preserve"> finding of maximal accumulation in brain warrants specific comment because of its potential importance and its isolation. Neural accumulation of arsenic is not implausible mechanistically, and organic arsenic species and methylmercury are known to cross the blood-brain barrier in vertebrates, but a reported ordering in which brain exceeds liver in a cyprinid is inconsistent with the body of comparable work. Three explanations compete: a genuine and locally specific exposure pattern; an analytical or dissection artefact, since brain tissue is small, difficult to isolate without contamination from surrounding bone and blood, and yields low sample mass; or an element-specific effect confined to the three elements detected. The available reporting does not discriminate among these. Treating the finding as established would be premature; dismissing it would forfeit a potentially important observation. It should be designated as a replication priority.</w:t>
      </w:r>
    </w:p>
    <w:p w14:paraId="77417AD0" w14:textId="77777777" w:rsidR="00CB42E7" w:rsidRDefault="00000000" w:rsidP="00817D95">
      <w:pPr>
        <w:spacing w:after="160" w:line="360" w:lineRule="auto"/>
        <w:jc w:val="both"/>
      </w:pPr>
      <w:r>
        <w:lastRenderedPageBreak/>
        <w:t>The table below draws together the reported tissue orderings, the mechanism most plausibly responsible for each, and the interpretive caution that follows. The pattern it exposes is that tissue orderings are reasonably consistent across studies for the internal organs but that the position of gill and muscle varies with the element and the exposure route, which is why element-blind statements about which tissue is safest are unreliable.</w:t>
      </w:r>
    </w:p>
    <w:p w14:paraId="26116F15" w14:textId="77777777" w:rsidR="00CB42E7" w:rsidRDefault="00000000" w:rsidP="00817D95">
      <w:pPr>
        <w:keepNext/>
        <w:spacing w:before="200" w:after="100" w:line="260" w:lineRule="auto"/>
        <w:jc w:val="both"/>
      </w:pPr>
      <w:r>
        <w:rPr>
          <w:b/>
          <w:bCs/>
          <w:sz w:val="20"/>
          <w:szCs w:val="20"/>
        </w:rPr>
        <w:t>Table 4. Reported tissue partitioning patterns, their probable mechanistic basis, and cautions for interpretation.</w:t>
      </w:r>
    </w:p>
    <w:tbl>
      <w:tblPr>
        <w:tblW w:w="9026" w:type="dxa"/>
        <w:tblBorders>
          <w:top w:val="single" w:sz="4" w:space="0" w:color="444444"/>
          <w:left w:val="single" w:sz="2" w:space="0" w:color="999999"/>
          <w:bottom w:val="single" w:sz="4" w:space="0" w:color="444444"/>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1500"/>
        <w:gridCol w:w="1600"/>
        <w:gridCol w:w="1700"/>
        <w:gridCol w:w="2300"/>
        <w:gridCol w:w="1926"/>
      </w:tblGrid>
      <w:tr w:rsidR="00CB42E7" w14:paraId="2D0EB505" w14:textId="77777777">
        <w:trPr>
          <w:tblHeader/>
        </w:trPr>
        <w:tc>
          <w:tcPr>
            <w:tcW w:w="1500" w:type="dxa"/>
            <w:shd w:val="clear" w:color="auto" w:fill="E8E8E8"/>
            <w:tcMar>
              <w:top w:w="60" w:type="dxa"/>
              <w:left w:w="90" w:type="dxa"/>
              <w:bottom w:w="60" w:type="dxa"/>
              <w:right w:w="90" w:type="dxa"/>
            </w:tcMar>
          </w:tcPr>
          <w:p w14:paraId="05DF334D" w14:textId="77777777" w:rsidR="00CB42E7" w:rsidRDefault="00000000" w:rsidP="00817D95">
            <w:pPr>
              <w:jc w:val="both"/>
            </w:pPr>
            <w:r>
              <w:rPr>
                <w:b/>
                <w:bCs/>
                <w:sz w:val="17"/>
                <w:szCs w:val="17"/>
              </w:rPr>
              <w:t>Reported ordering</w:t>
            </w:r>
          </w:p>
        </w:tc>
        <w:tc>
          <w:tcPr>
            <w:tcW w:w="1600" w:type="dxa"/>
            <w:shd w:val="clear" w:color="auto" w:fill="E8E8E8"/>
            <w:tcMar>
              <w:top w:w="60" w:type="dxa"/>
              <w:left w:w="90" w:type="dxa"/>
              <w:bottom w:w="60" w:type="dxa"/>
              <w:right w:w="90" w:type="dxa"/>
            </w:tcMar>
          </w:tcPr>
          <w:p w14:paraId="5EBFCD10" w14:textId="77777777" w:rsidR="00CB42E7" w:rsidRDefault="00000000" w:rsidP="00817D95">
            <w:pPr>
              <w:jc w:val="both"/>
            </w:pPr>
            <w:r>
              <w:rPr>
                <w:b/>
                <w:bCs/>
                <w:sz w:val="17"/>
                <w:szCs w:val="17"/>
              </w:rPr>
              <w:t>Species and setting</w:t>
            </w:r>
          </w:p>
        </w:tc>
        <w:tc>
          <w:tcPr>
            <w:tcW w:w="1700" w:type="dxa"/>
            <w:shd w:val="clear" w:color="auto" w:fill="E8E8E8"/>
            <w:tcMar>
              <w:top w:w="60" w:type="dxa"/>
              <w:left w:w="90" w:type="dxa"/>
              <w:bottom w:w="60" w:type="dxa"/>
              <w:right w:w="90" w:type="dxa"/>
            </w:tcMar>
          </w:tcPr>
          <w:p w14:paraId="7F2AD293" w14:textId="77777777" w:rsidR="00CB42E7" w:rsidRDefault="00000000" w:rsidP="00817D95">
            <w:pPr>
              <w:jc w:val="both"/>
            </w:pPr>
            <w:r>
              <w:rPr>
                <w:b/>
                <w:bCs/>
                <w:sz w:val="17"/>
                <w:szCs w:val="17"/>
              </w:rPr>
              <w:t>Probable mechanistic basis</w:t>
            </w:r>
          </w:p>
        </w:tc>
        <w:tc>
          <w:tcPr>
            <w:tcW w:w="2300" w:type="dxa"/>
            <w:shd w:val="clear" w:color="auto" w:fill="E8E8E8"/>
            <w:tcMar>
              <w:top w:w="60" w:type="dxa"/>
              <w:left w:w="90" w:type="dxa"/>
              <w:bottom w:w="60" w:type="dxa"/>
              <w:right w:w="90" w:type="dxa"/>
            </w:tcMar>
          </w:tcPr>
          <w:p w14:paraId="28DD4398" w14:textId="77777777" w:rsidR="00CB42E7" w:rsidRDefault="00000000" w:rsidP="00817D95">
            <w:pPr>
              <w:jc w:val="both"/>
            </w:pPr>
            <w:r>
              <w:rPr>
                <w:b/>
                <w:bCs/>
                <w:sz w:val="17"/>
                <w:szCs w:val="17"/>
              </w:rPr>
              <w:t>Interpretive caution</w:t>
            </w:r>
          </w:p>
        </w:tc>
        <w:tc>
          <w:tcPr>
            <w:tcW w:w="1926" w:type="dxa"/>
            <w:shd w:val="clear" w:color="auto" w:fill="E8E8E8"/>
            <w:tcMar>
              <w:top w:w="60" w:type="dxa"/>
              <w:left w:w="90" w:type="dxa"/>
              <w:bottom w:w="60" w:type="dxa"/>
              <w:right w:w="90" w:type="dxa"/>
            </w:tcMar>
          </w:tcPr>
          <w:p w14:paraId="4B76F12A" w14:textId="77777777" w:rsidR="00CB42E7" w:rsidRDefault="00000000" w:rsidP="00817D95">
            <w:pPr>
              <w:jc w:val="both"/>
            </w:pPr>
            <w:r>
              <w:rPr>
                <w:b/>
                <w:bCs/>
                <w:sz w:val="17"/>
                <w:szCs w:val="17"/>
              </w:rPr>
              <w:t>Supporting references</w:t>
            </w:r>
          </w:p>
        </w:tc>
      </w:tr>
      <w:tr w:rsidR="00CB42E7" w14:paraId="361D02C9" w14:textId="77777777">
        <w:tc>
          <w:tcPr>
            <w:tcW w:w="1500" w:type="dxa"/>
            <w:tcMar>
              <w:top w:w="60" w:type="dxa"/>
              <w:left w:w="90" w:type="dxa"/>
              <w:bottom w:w="60" w:type="dxa"/>
              <w:right w:w="90" w:type="dxa"/>
            </w:tcMar>
          </w:tcPr>
          <w:p w14:paraId="284355B6" w14:textId="77777777" w:rsidR="00CB42E7" w:rsidRDefault="00000000" w:rsidP="00817D95">
            <w:pPr>
              <w:jc w:val="both"/>
            </w:pPr>
            <w:r>
              <w:rPr>
                <w:sz w:val="17"/>
                <w:szCs w:val="17"/>
              </w:rPr>
              <w:t>Liver highest, gill generally lowest among the tissues examined</w:t>
            </w:r>
          </w:p>
        </w:tc>
        <w:tc>
          <w:tcPr>
            <w:tcW w:w="1600" w:type="dxa"/>
            <w:tcMar>
              <w:top w:w="60" w:type="dxa"/>
              <w:left w:w="90" w:type="dxa"/>
              <w:bottom w:w="60" w:type="dxa"/>
              <w:right w:w="90" w:type="dxa"/>
            </w:tcMar>
          </w:tcPr>
          <w:p w14:paraId="3A3BF93D" w14:textId="77777777" w:rsidR="00CB42E7" w:rsidRDefault="00000000" w:rsidP="00817D95">
            <w:pPr>
              <w:jc w:val="both"/>
            </w:pPr>
            <w:r>
              <w:rPr>
                <w:sz w:val="17"/>
                <w:szCs w:val="17"/>
              </w:rPr>
              <w:t xml:space="preserve">Rohu, </w:t>
            </w:r>
            <w:proofErr w:type="spellStart"/>
            <w:r>
              <w:rPr>
                <w:sz w:val="17"/>
                <w:szCs w:val="17"/>
              </w:rPr>
              <w:t>catla</w:t>
            </w:r>
            <w:proofErr w:type="spellEnd"/>
            <w:r>
              <w:rPr>
                <w:sz w:val="17"/>
                <w:szCs w:val="17"/>
              </w:rPr>
              <w:t xml:space="preserve"> and mrigal in wastewater-fed ponds of the East Calcutta Wetlands</w:t>
            </w:r>
          </w:p>
        </w:tc>
        <w:tc>
          <w:tcPr>
            <w:tcW w:w="1700" w:type="dxa"/>
            <w:tcMar>
              <w:top w:w="60" w:type="dxa"/>
              <w:left w:w="90" w:type="dxa"/>
              <w:bottom w:w="60" w:type="dxa"/>
              <w:right w:w="90" w:type="dxa"/>
            </w:tcMar>
          </w:tcPr>
          <w:p w14:paraId="29D575FF" w14:textId="77777777" w:rsidR="00CB42E7" w:rsidRDefault="00000000" w:rsidP="00817D95">
            <w:pPr>
              <w:jc w:val="both"/>
            </w:pPr>
            <w:r>
              <w:rPr>
                <w:sz w:val="17"/>
                <w:szCs w:val="17"/>
              </w:rPr>
              <w:t>Hepatic sequestration by inducible metal-binding ligands; low perfusion and low ligand capacity in muscle</w:t>
            </w:r>
          </w:p>
        </w:tc>
        <w:tc>
          <w:tcPr>
            <w:tcW w:w="2300" w:type="dxa"/>
            <w:tcMar>
              <w:top w:w="60" w:type="dxa"/>
              <w:left w:w="90" w:type="dxa"/>
              <w:bottom w:w="60" w:type="dxa"/>
              <w:right w:w="90" w:type="dxa"/>
            </w:tcMar>
          </w:tcPr>
          <w:p w14:paraId="7D1C937F" w14:textId="77777777" w:rsidR="00CB42E7" w:rsidRDefault="00000000" w:rsidP="00817D95">
            <w:pPr>
              <w:jc w:val="both"/>
            </w:pPr>
            <w:r>
              <w:rPr>
                <w:sz w:val="17"/>
                <w:szCs w:val="17"/>
              </w:rPr>
              <w:t>Species-specific as well as tissue-specific partitioning was observed, so an ordering established for one species does not transfer to another even within the same assemblage</w:t>
            </w:r>
          </w:p>
        </w:tc>
        <w:tc>
          <w:tcPr>
            <w:tcW w:w="1926" w:type="dxa"/>
            <w:tcMar>
              <w:top w:w="60" w:type="dxa"/>
              <w:left w:w="90" w:type="dxa"/>
              <w:bottom w:w="60" w:type="dxa"/>
              <w:right w:w="90" w:type="dxa"/>
            </w:tcMar>
          </w:tcPr>
          <w:p w14:paraId="4C536380" w14:textId="77777777" w:rsidR="00CB42E7" w:rsidRDefault="00000000" w:rsidP="00817D95">
            <w:pPr>
              <w:jc w:val="both"/>
            </w:pPr>
            <w:r>
              <w:rPr>
                <w:sz w:val="17"/>
                <w:szCs w:val="17"/>
              </w:rPr>
              <w:t>Aich et al. (2012)</w:t>
            </w:r>
          </w:p>
        </w:tc>
      </w:tr>
      <w:tr w:rsidR="00CB42E7" w14:paraId="1E0C2ED9" w14:textId="77777777">
        <w:tc>
          <w:tcPr>
            <w:tcW w:w="1500" w:type="dxa"/>
            <w:tcMar>
              <w:top w:w="60" w:type="dxa"/>
              <w:left w:w="90" w:type="dxa"/>
              <w:bottom w:w="60" w:type="dxa"/>
              <w:right w:w="90" w:type="dxa"/>
            </w:tcMar>
          </w:tcPr>
          <w:p w14:paraId="1200B855" w14:textId="77777777" w:rsidR="00CB42E7" w:rsidRDefault="00000000" w:rsidP="00817D95">
            <w:pPr>
              <w:jc w:val="both"/>
            </w:pPr>
            <w:r>
              <w:rPr>
                <w:sz w:val="17"/>
                <w:szCs w:val="17"/>
              </w:rPr>
              <w:t>Liver above gill above muscle</w:t>
            </w:r>
          </w:p>
        </w:tc>
        <w:tc>
          <w:tcPr>
            <w:tcW w:w="1600" w:type="dxa"/>
            <w:tcMar>
              <w:top w:w="60" w:type="dxa"/>
              <w:left w:w="90" w:type="dxa"/>
              <w:bottom w:w="60" w:type="dxa"/>
              <w:right w:w="90" w:type="dxa"/>
            </w:tcMar>
          </w:tcPr>
          <w:p w14:paraId="40AC4A27" w14:textId="77777777" w:rsidR="00CB42E7" w:rsidRDefault="00000000" w:rsidP="00817D95">
            <w:pPr>
              <w:jc w:val="both"/>
            </w:pPr>
            <w:r>
              <w:rPr>
                <w:sz w:val="17"/>
                <w:szCs w:val="17"/>
              </w:rPr>
              <w:t xml:space="preserve">Rohu and </w:t>
            </w:r>
            <w:proofErr w:type="spellStart"/>
            <w:r>
              <w:rPr>
                <w:sz w:val="17"/>
                <w:szCs w:val="17"/>
              </w:rPr>
              <w:t>catla</w:t>
            </w:r>
            <w:proofErr w:type="spellEnd"/>
            <w:r>
              <w:rPr>
                <w:sz w:val="17"/>
                <w:szCs w:val="17"/>
              </w:rPr>
              <w:t xml:space="preserve"> across arsenic-affected districts of West Bengal; Gangetic fishes including </w:t>
            </w:r>
            <w:proofErr w:type="spellStart"/>
            <w:r>
              <w:rPr>
                <w:sz w:val="17"/>
                <w:szCs w:val="17"/>
              </w:rPr>
              <w:t>catla</w:t>
            </w:r>
            <w:proofErr w:type="spellEnd"/>
          </w:p>
        </w:tc>
        <w:tc>
          <w:tcPr>
            <w:tcW w:w="1700" w:type="dxa"/>
            <w:tcMar>
              <w:top w:w="60" w:type="dxa"/>
              <w:left w:w="90" w:type="dxa"/>
              <w:bottom w:w="60" w:type="dxa"/>
              <w:right w:w="90" w:type="dxa"/>
            </w:tcMar>
          </w:tcPr>
          <w:p w14:paraId="2CA599A1" w14:textId="77777777" w:rsidR="00CB42E7" w:rsidRDefault="00000000" w:rsidP="00817D95">
            <w:pPr>
              <w:jc w:val="both"/>
            </w:pPr>
            <w:r>
              <w:rPr>
                <w:sz w:val="17"/>
                <w:szCs w:val="17"/>
              </w:rPr>
              <w:t>Detoxification and storage in liver; gill reflects waterborne exposure at the uptake surface</w:t>
            </w:r>
          </w:p>
        </w:tc>
        <w:tc>
          <w:tcPr>
            <w:tcW w:w="2300" w:type="dxa"/>
            <w:tcMar>
              <w:top w:w="60" w:type="dxa"/>
              <w:left w:w="90" w:type="dxa"/>
              <w:bottom w:w="60" w:type="dxa"/>
              <w:right w:w="90" w:type="dxa"/>
            </w:tcMar>
          </w:tcPr>
          <w:p w14:paraId="680378B2" w14:textId="77777777" w:rsidR="00CB42E7" w:rsidRDefault="00000000" w:rsidP="00817D95">
            <w:pPr>
              <w:jc w:val="both"/>
            </w:pPr>
            <w:r>
              <w:rPr>
                <w:sz w:val="17"/>
                <w:szCs w:val="17"/>
              </w:rPr>
              <w:t>Muscle arsenic nonetheless exceeded the food safety threshold in severely affected districts, so a low relative concentration in muscle does not imply an acceptable absolute concentration</w:t>
            </w:r>
          </w:p>
        </w:tc>
        <w:tc>
          <w:tcPr>
            <w:tcW w:w="1926" w:type="dxa"/>
            <w:tcMar>
              <w:top w:w="60" w:type="dxa"/>
              <w:left w:w="90" w:type="dxa"/>
              <w:bottom w:w="60" w:type="dxa"/>
              <w:right w:w="90" w:type="dxa"/>
            </w:tcMar>
          </w:tcPr>
          <w:p w14:paraId="683A423E" w14:textId="77777777" w:rsidR="00CB42E7" w:rsidRDefault="00000000" w:rsidP="00817D95">
            <w:pPr>
              <w:jc w:val="both"/>
            </w:pPr>
            <w:r>
              <w:rPr>
                <w:sz w:val="17"/>
                <w:szCs w:val="17"/>
              </w:rPr>
              <w:t>Basak et al. (2026); Maurya et al. (2019)</w:t>
            </w:r>
          </w:p>
        </w:tc>
      </w:tr>
      <w:tr w:rsidR="00CB42E7" w14:paraId="1BD3B176" w14:textId="77777777">
        <w:tc>
          <w:tcPr>
            <w:tcW w:w="1500" w:type="dxa"/>
            <w:tcMar>
              <w:top w:w="60" w:type="dxa"/>
              <w:left w:w="90" w:type="dxa"/>
              <w:bottom w:w="60" w:type="dxa"/>
              <w:right w:w="90" w:type="dxa"/>
            </w:tcMar>
          </w:tcPr>
          <w:p w14:paraId="546E0B01" w14:textId="77777777" w:rsidR="00CB42E7" w:rsidRDefault="00000000" w:rsidP="00817D95">
            <w:pPr>
              <w:jc w:val="both"/>
            </w:pPr>
            <w:r>
              <w:rPr>
                <w:sz w:val="17"/>
                <w:szCs w:val="17"/>
              </w:rPr>
              <w:t>Kidney above liver above gill above muscle</w:t>
            </w:r>
          </w:p>
        </w:tc>
        <w:tc>
          <w:tcPr>
            <w:tcW w:w="1600" w:type="dxa"/>
            <w:tcMar>
              <w:top w:w="60" w:type="dxa"/>
              <w:left w:w="90" w:type="dxa"/>
              <w:bottom w:w="60" w:type="dxa"/>
              <w:right w:w="90" w:type="dxa"/>
            </w:tcMar>
          </w:tcPr>
          <w:p w14:paraId="1CA90CD7" w14:textId="77777777" w:rsidR="00CB42E7" w:rsidRDefault="00000000" w:rsidP="00817D95">
            <w:pPr>
              <w:jc w:val="both"/>
            </w:pPr>
            <w:r>
              <w:rPr>
                <w:i/>
                <w:iCs/>
                <w:sz w:val="17"/>
                <w:szCs w:val="17"/>
              </w:rPr>
              <w:t>Channa punctatus</w:t>
            </w:r>
            <w:r>
              <w:rPr>
                <w:sz w:val="17"/>
                <w:szCs w:val="17"/>
              </w:rPr>
              <w:t xml:space="preserve"> at sites in southern Assam</w:t>
            </w:r>
          </w:p>
        </w:tc>
        <w:tc>
          <w:tcPr>
            <w:tcW w:w="1700" w:type="dxa"/>
            <w:tcMar>
              <w:top w:w="60" w:type="dxa"/>
              <w:left w:w="90" w:type="dxa"/>
              <w:bottom w:w="60" w:type="dxa"/>
              <w:right w:w="90" w:type="dxa"/>
            </w:tcMar>
          </w:tcPr>
          <w:p w14:paraId="1C5E6807" w14:textId="77777777" w:rsidR="00CB42E7" w:rsidRDefault="00000000" w:rsidP="00817D95">
            <w:pPr>
              <w:jc w:val="both"/>
            </w:pPr>
            <w:r>
              <w:rPr>
                <w:sz w:val="17"/>
                <w:szCs w:val="17"/>
              </w:rPr>
              <w:t>Renal excretion and storage; predatory feeding delivering dietary metal load</w:t>
            </w:r>
          </w:p>
        </w:tc>
        <w:tc>
          <w:tcPr>
            <w:tcW w:w="2300" w:type="dxa"/>
            <w:tcMar>
              <w:top w:w="60" w:type="dxa"/>
              <w:left w:w="90" w:type="dxa"/>
              <w:bottom w:w="60" w:type="dxa"/>
              <w:right w:w="90" w:type="dxa"/>
            </w:tcMar>
          </w:tcPr>
          <w:p w14:paraId="6CC998CD" w14:textId="77777777" w:rsidR="00CB42E7" w:rsidRDefault="00000000" w:rsidP="00817D95">
            <w:pPr>
              <w:jc w:val="both"/>
            </w:pPr>
            <w:r>
              <w:rPr>
                <w:sz w:val="17"/>
                <w:szCs w:val="17"/>
              </w:rPr>
              <w:t xml:space="preserve">Reported in a carnivorous species; the ordering is not automatically applicable to planktivorous or </w:t>
            </w:r>
            <w:proofErr w:type="spellStart"/>
            <w:r>
              <w:rPr>
                <w:sz w:val="17"/>
                <w:szCs w:val="17"/>
              </w:rPr>
              <w:t>detritivorous</w:t>
            </w:r>
            <w:proofErr w:type="spellEnd"/>
            <w:r>
              <w:rPr>
                <w:sz w:val="17"/>
                <w:szCs w:val="17"/>
              </w:rPr>
              <w:t xml:space="preserve"> carps</w:t>
            </w:r>
          </w:p>
        </w:tc>
        <w:tc>
          <w:tcPr>
            <w:tcW w:w="1926" w:type="dxa"/>
            <w:tcMar>
              <w:top w:w="60" w:type="dxa"/>
              <w:left w:w="90" w:type="dxa"/>
              <w:bottom w:w="60" w:type="dxa"/>
              <w:right w:w="90" w:type="dxa"/>
            </w:tcMar>
          </w:tcPr>
          <w:p w14:paraId="0CF7DC86" w14:textId="77777777" w:rsidR="00CB42E7" w:rsidRDefault="00000000" w:rsidP="00817D95">
            <w:pPr>
              <w:jc w:val="both"/>
            </w:pPr>
            <w:r>
              <w:rPr>
                <w:sz w:val="17"/>
                <w:szCs w:val="17"/>
              </w:rPr>
              <w:t>Choudhury et al. (2023)</w:t>
            </w:r>
          </w:p>
        </w:tc>
      </w:tr>
      <w:tr w:rsidR="00CB42E7" w14:paraId="0FBD1ABF" w14:textId="77777777">
        <w:tc>
          <w:tcPr>
            <w:tcW w:w="1500" w:type="dxa"/>
            <w:tcMar>
              <w:top w:w="60" w:type="dxa"/>
              <w:left w:w="90" w:type="dxa"/>
              <w:bottom w:w="60" w:type="dxa"/>
              <w:right w:w="90" w:type="dxa"/>
            </w:tcMar>
          </w:tcPr>
          <w:p w14:paraId="234BB8DC" w14:textId="77777777" w:rsidR="00CB42E7" w:rsidRDefault="00000000" w:rsidP="00817D95">
            <w:pPr>
              <w:jc w:val="both"/>
            </w:pPr>
            <w:r>
              <w:rPr>
                <w:sz w:val="17"/>
                <w:szCs w:val="17"/>
              </w:rPr>
              <w:t>Brain above gill, with muscle lower</w:t>
            </w:r>
          </w:p>
        </w:tc>
        <w:tc>
          <w:tcPr>
            <w:tcW w:w="1600" w:type="dxa"/>
            <w:tcMar>
              <w:top w:w="60" w:type="dxa"/>
              <w:left w:w="90" w:type="dxa"/>
              <w:bottom w:w="60" w:type="dxa"/>
              <w:right w:w="90" w:type="dxa"/>
            </w:tcMar>
          </w:tcPr>
          <w:p w14:paraId="2AFFA438" w14:textId="77777777" w:rsidR="00CB42E7" w:rsidRDefault="00000000" w:rsidP="00817D95">
            <w:pPr>
              <w:jc w:val="both"/>
            </w:pPr>
            <w:r>
              <w:rPr>
                <w:sz w:val="17"/>
                <w:szCs w:val="17"/>
              </w:rPr>
              <w:t xml:space="preserve">Rohu from the </w:t>
            </w:r>
            <w:proofErr w:type="spellStart"/>
            <w:r>
              <w:rPr>
                <w:sz w:val="17"/>
                <w:szCs w:val="17"/>
              </w:rPr>
              <w:t>Kolong</w:t>
            </w:r>
            <w:proofErr w:type="spellEnd"/>
            <w:r>
              <w:rPr>
                <w:sz w:val="17"/>
                <w:szCs w:val="17"/>
              </w:rPr>
              <w:t xml:space="preserve"> River, Assam</w:t>
            </w:r>
          </w:p>
        </w:tc>
        <w:tc>
          <w:tcPr>
            <w:tcW w:w="1700" w:type="dxa"/>
            <w:tcMar>
              <w:top w:w="60" w:type="dxa"/>
              <w:left w:w="90" w:type="dxa"/>
              <w:bottom w:w="60" w:type="dxa"/>
              <w:right w:w="90" w:type="dxa"/>
            </w:tcMar>
          </w:tcPr>
          <w:p w14:paraId="2C4BB915" w14:textId="77777777" w:rsidR="00CB42E7" w:rsidRDefault="00000000" w:rsidP="00817D95">
            <w:pPr>
              <w:jc w:val="both"/>
            </w:pPr>
            <w:r>
              <w:rPr>
                <w:sz w:val="17"/>
                <w:szCs w:val="17"/>
              </w:rPr>
              <w:t>Not established; possible neural accumulation of specific arsenic species, or artefact of low-mass tissue dissection</w:t>
            </w:r>
          </w:p>
        </w:tc>
        <w:tc>
          <w:tcPr>
            <w:tcW w:w="2300" w:type="dxa"/>
            <w:tcMar>
              <w:top w:w="60" w:type="dxa"/>
              <w:left w:w="90" w:type="dxa"/>
              <w:bottom w:w="60" w:type="dxa"/>
              <w:right w:w="90" w:type="dxa"/>
            </w:tcMar>
          </w:tcPr>
          <w:p w14:paraId="70083211" w14:textId="77777777" w:rsidR="00CB42E7" w:rsidRDefault="00000000" w:rsidP="00817D95">
            <w:pPr>
              <w:jc w:val="both"/>
            </w:pPr>
            <w:r>
              <w:rPr>
                <w:sz w:val="17"/>
                <w:szCs w:val="17"/>
              </w:rPr>
              <w:t>Departs from the consensus ordering and is unreplicated; should be treated as a hypothesis requiring targeted confirmation rather than as an established regional pattern</w:t>
            </w:r>
          </w:p>
        </w:tc>
        <w:tc>
          <w:tcPr>
            <w:tcW w:w="1926" w:type="dxa"/>
            <w:tcMar>
              <w:top w:w="60" w:type="dxa"/>
              <w:left w:w="90" w:type="dxa"/>
              <w:bottom w:w="60" w:type="dxa"/>
              <w:right w:w="90" w:type="dxa"/>
            </w:tcMar>
          </w:tcPr>
          <w:p w14:paraId="0575B568" w14:textId="77777777" w:rsidR="00CB42E7" w:rsidRDefault="00000000" w:rsidP="00817D95">
            <w:pPr>
              <w:jc w:val="both"/>
            </w:pPr>
            <w:r>
              <w:rPr>
                <w:sz w:val="17"/>
                <w:szCs w:val="17"/>
              </w:rPr>
              <w:t>Das et al. (2024)</w:t>
            </w:r>
          </w:p>
        </w:tc>
      </w:tr>
      <w:tr w:rsidR="00CB42E7" w14:paraId="7FBDCAAB" w14:textId="77777777">
        <w:tc>
          <w:tcPr>
            <w:tcW w:w="1500" w:type="dxa"/>
            <w:tcMar>
              <w:top w:w="60" w:type="dxa"/>
              <w:left w:w="90" w:type="dxa"/>
              <w:bottom w:w="60" w:type="dxa"/>
              <w:right w:w="90" w:type="dxa"/>
            </w:tcMar>
          </w:tcPr>
          <w:p w14:paraId="64B7BB32" w14:textId="77777777" w:rsidR="00CB42E7" w:rsidRDefault="00000000" w:rsidP="00817D95">
            <w:pPr>
              <w:jc w:val="both"/>
            </w:pPr>
            <w:r>
              <w:rPr>
                <w:sz w:val="17"/>
                <w:szCs w:val="17"/>
              </w:rPr>
              <w:t>Highest estimated intake through gills among the tissues assessed</w:t>
            </w:r>
          </w:p>
        </w:tc>
        <w:tc>
          <w:tcPr>
            <w:tcW w:w="1600" w:type="dxa"/>
            <w:tcMar>
              <w:top w:w="60" w:type="dxa"/>
              <w:left w:w="90" w:type="dxa"/>
              <w:bottom w:w="60" w:type="dxa"/>
              <w:right w:w="90" w:type="dxa"/>
            </w:tcMar>
          </w:tcPr>
          <w:p w14:paraId="779554A3" w14:textId="77777777" w:rsidR="00CB42E7" w:rsidRDefault="00000000" w:rsidP="00817D95">
            <w:pPr>
              <w:jc w:val="both"/>
            </w:pPr>
            <w:r>
              <w:rPr>
                <w:sz w:val="17"/>
                <w:szCs w:val="17"/>
              </w:rPr>
              <w:t xml:space="preserve">Fish from and around </w:t>
            </w:r>
            <w:proofErr w:type="spellStart"/>
            <w:r>
              <w:rPr>
                <w:sz w:val="17"/>
                <w:szCs w:val="17"/>
              </w:rPr>
              <w:t>Loktak</w:t>
            </w:r>
            <w:proofErr w:type="spellEnd"/>
            <w:r>
              <w:rPr>
                <w:sz w:val="17"/>
                <w:szCs w:val="17"/>
              </w:rPr>
              <w:t xml:space="preserve"> Lake, Manipur</w:t>
            </w:r>
          </w:p>
        </w:tc>
        <w:tc>
          <w:tcPr>
            <w:tcW w:w="1700" w:type="dxa"/>
            <w:tcMar>
              <w:top w:w="60" w:type="dxa"/>
              <w:left w:w="90" w:type="dxa"/>
              <w:bottom w:w="60" w:type="dxa"/>
              <w:right w:w="90" w:type="dxa"/>
            </w:tcMar>
          </w:tcPr>
          <w:p w14:paraId="36DCEB80" w14:textId="77777777" w:rsidR="00CB42E7" w:rsidRDefault="00000000" w:rsidP="00817D95">
            <w:pPr>
              <w:jc w:val="both"/>
            </w:pPr>
            <w:r>
              <w:rPr>
                <w:sz w:val="17"/>
                <w:szCs w:val="17"/>
              </w:rPr>
              <w:t>Gill as the primary uptake surface with direct and continuous contact with ambient water</w:t>
            </w:r>
          </w:p>
        </w:tc>
        <w:tc>
          <w:tcPr>
            <w:tcW w:w="2300" w:type="dxa"/>
            <w:tcMar>
              <w:top w:w="60" w:type="dxa"/>
              <w:left w:w="90" w:type="dxa"/>
              <w:bottom w:w="60" w:type="dxa"/>
              <w:right w:w="90" w:type="dxa"/>
            </w:tcMar>
          </w:tcPr>
          <w:p w14:paraId="544351C2" w14:textId="77777777" w:rsidR="00CB42E7" w:rsidRDefault="00000000" w:rsidP="00817D95">
            <w:pPr>
              <w:jc w:val="both"/>
            </w:pPr>
            <w:r>
              <w:rPr>
                <w:sz w:val="17"/>
                <w:szCs w:val="17"/>
              </w:rPr>
              <w:t>Relevant only where gill is consumed or where whole fish are eaten; the exposure implication is therefore consumption-practice dependent</w:t>
            </w:r>
          </w:p>
        </w:tc>
        <w:tc>
          <w:tcPr>
            <w:tcW w:w="1926" w:type="dxa"/>
            <w:tcMar>
              <w:top w:w="60" w:type="dxa"/>
              <w:left w:w="90" w:type="dxa"/>
              <w:bottom w:w="60" w:type="dxa"/>
              <w:right w:w="90" w:type="dxa"/>
            </w:tcMar>
          </w:tcPr>
          <w:p w14:paraId="35A46B86" w14:textId="77777777" w:rsidR="00CB42E7" w:rsidRDefault="00000000" w:rsidP="00817D95">
            <w:pPr>
              <w:jc w:val="both"/>
            </w:pPr>
            <w:proofErr w:type="spellStart"/>
            <w:r>
              <w:rPr>
                <w:sz w:val="17"/>
                <w:szCs w:val="17"/>
              </w:rPr>
              <w:t>Mayanglambam</w:t>
            </w:r>
            <w:proofErr w:type="spellEnd"/>
            <w:r>
              <w:rPr>
                <w:sz w:val="17"/>
                <w:szCs w:val="17"/>
              </w:rPr>
              <w:t xml:space="preserve"> and Neelam (2024)</w:t>
            </w:r>
          </w:p>
        </w:tc>
      </w:tr>
      <w:tr w:rsidR="00CB42E7" w14:paraId="595CA45D" w14:textId="77777777">
        <w:tc>
          <w:tcPr>
            <w:tcW w:w="1500" w:type="dxa"/>
            <w:tcMar>
              <w:top w:w="60" w:type="dxa"/>
              <w:left w:w="90" w:type="dxa"/>
              <w:bottom w:w="60" w:type="dxa"/>
              <w:right w:w="90" w:type="dxa"/>
            </w:tcMar>
          </w:tcPr>
          <w:p w14:paraId="2F14FDE7" w14:textId="77777777" w:rsidR="00CB42E7" w:rsidRDefault="00000000" w:rsidP="00817D95">
            <w:pPr>
              <w:jc w:val="both"/>
            </w:pPr>
            <w:r>
              <w:rPr>
                <w:sz w:val="17"/>
                <w:szCs w:val="17"/>
              </w:rPr>
              <w:t>Tissue-dependent accumulation with element-specific ordering</w:t>
            </w:r>
          </w:p>
        </w:tc>
        <w:tc>
          <w:tcPr>
            <w:tcW w:w="1600" w:type="dxa"/>
            <w:tcMar>
              <w:top w:w="60" w:type="dxa"/>
              <w:left w:w="90" w:type="dxa"/>
              <w:bottom w:w="60" w:type="dxa"/>
              <w:right w:w="90" w:type="dxa"/>
            </w:tcMar>
          </w:tcPr>
          <w:p w14:paraId="535D6374" w14:textId="77777777" w:rsidR="00CB42E7" w:rsidRDefault="00000000" w:rsidP="00817D95">
            <w:pPr>
              <w:jc w:val="both"/>
            </w:pPr>
            <w:r>
              <w:rPr>
                <w:i/>
                <w:iCs/>
                <w:sz w:val="17"/>
                <w:szCs w:val="17"/>
              </w:rPr>
              <w:t>Cyprinus carpio</w:t>
            </w:r>
            <w:r>
              <w:rPr>
                <w:sz w:val="17"/>
                <w:szCs w:val="17"/>
              </w:rPr>
              <w:t xml:space="preserve"> in </w:t>
            </w:r>
            <w:proofErr w:type="spellStart"/>
            <w:r>
              <w:rPr>
                <w:sz w:val="17"/>
                <w:szCs w:val="17"/>
              </w:rPr>
              <w:t>Umiam</w:t>
            </w:r>
            <w:proofErr w:type="spellEnd"/>
            <w:r>
              <w:rPr>
                <w:sz w:val="17"/>
                <w:szCs w:val="17"/>
              </w:rPr>
              <w:t xml:space="preserve"> reservoir, Meghalaya</w:t>
            </w:r>
          </w:p>
        </w:tc>
        <w:tc>
          <w:tcPr>
            <w:tcW w:w="1700" w:type="dxa"/>
            <w:tcMar>
              <w:top w:w="60" w:type="dxa"/>
              <w:left w:w="90" w:type="dxa"/>
              <w:bottom w:w="60" w:type="dxa"/>
              <w:right w:w="90" w:type="dxa"/>
            </w:tcMar>
          </w:tcPr>
          <w:p w14:paraId="40BD3F7E" w14:textId="77777777" w:rsidR="00CB42E7" w:rsidRDefault="00000000" w:rsidP="00817D95">
            <w:pPr>
              <w:jc w:val="both"/>
            </w:pPr>
            <w:r>
              <w:rPr>
                <w:sz w:val="17"/>
                <w:szCs w:val="17"/>
              </w:rPr>
              <w:t>Differential affinity of elements for specific ligands and tissues</w:t>
            </w:r>
          </w:p>
        </w:tc>
        <w:tc>
          <w:tcPr>
            <w:tcW w:w="2300" w:type="dxa"/>
            <w:tcMar>
              <w:top w:w="60" w:type="dxa"/>
              <w:left w:w="90" w:type="dxa"/>
              <w:bottom w:w="60" w:type="dxa"/>
              <w:right w:w="90" w:type="dxa"/>
            </w:tcMar>
          </w:tcPr>
          <w:p w14:paraId="3739A342" w14:textId="77777777" w:rsidR="00CB42E7" w:rsidRDefault="00000000" w:rsidP="00817D95">
            <w:pPr>
              <w:jc w:val="both"/>
            </w:pPr>
            <w:r>
              <w:rPr>
                <w:sz w:val="17"/>
                <w:szCs w:val="17"/>
              </w:rPr>
              <w:t>Demonstrates that a single tissue ranking cannot be stated element-blind; orderings must be reported element by element</w:t>
            </w:r>
          </w:p>
        </w:tc>
        <w:tc>
          <w:tcPr>
            <w:tcW w:w="1926" w:type="dxa"/>
            <w:tcMar>
              <w:top w:w="60" w:type="dxa"/>
              <w:left w:w="90" w:type="dxa"/>
              <w:bottom w:w="60" w:type="dxa"/>
              <w:right w:w="90" w:type="dxa"/>
            </w:tcMar>
          </w:tcPr>
          <w:p w14:paraId="3938F6B1" w14:textId="77777777" w:rsidR="00CB42E7" w:rsidRDefault="00000000" w:rsidP="00817D95">
            <w:pPr>
              <w:jc w:val="both"/>
            </w:pPr>
            <w:proofErr w:type="spellStart"/>
            <w:r>
              <w:rPr>
                <w:sz w:val="17"/>
                <w:szCs w:val="17"/>
              </w:rPr>
              <w:t>Warjri</w:t>
            </w:r>
            <w:proofErr w:type="spellEnd"/>
            <w:r>
              <w:rPr>
                <w:sz w:val="17"/>
                <w:szCs w:val="17"/>
              </w:rPr>
              <w:t xml:space="preserve"> et al. (2024)</w:t>
            </w:r>
          </w:p>
        </w:tc>
      </w:tr>
      <w:tr w:rsidR="00CB42E7" w14:paraId="5530BBA1" w14:textId="77777777">
        <w:tc>
          <w:tcPr>
            <w:tcW w:w="1500" w:type="dxa"/>
            <w:tcMar>
              <w:top w:w="60" w:type="dxa"/>
              <w:left w:w="90" w:type="dxa"/>
              <w:bottom w:w="60" w:type="dxa"/>
              <w:right w:w="90" w:type="dxa"/>
            </w:tcMar>
          </w:tcPr>
          <w:p w14:paraId="521A693D" w14:textId="77777777" w:rsidR="00CB42E7" w:rsidRDefault="00000000" w:rsidP="00817D95">
            <w:pPr>
              <w:jc w:val="both"/>
            </w:pPr>
            <w:r>
              <w:rPr>
                <w:sz w:val="17"/>
                <w:szCs w:val="17"/>
              </w:rPr>
              <w:t>Organ-specific differences generating divergent risk conclusions</w:t>
            </w:r>
          </w:p>
        </w:tc>
        <w:tc>
          <w:tcPr>
            <w:tcW w:w="1600" w:type="dxa"/>
            <w:tcMar>
              <w:top w:w="60" w:type="dxa"/>
              <w:left w:w="90" w:type="dxa"/>
              <w:bottom w:w="60" w:type="dxa"/>
              <w:right w:w="90" w:type="dxa"/>
            </w:tcMar>
          </w:tcPr>
          <w:p w14:paraId="5A4420C0" w14:textId="77777777" w:rsidR="00CB42E7" w:rsidRDefault="00000000" w:rsidP="00817D95">
            <w:pPr>
              <w:jc w:val="both"/>
            </w:pPr>
            <w:r>
              <w:rPr>
                <w:sz w:val="17"/>
                <w:szCs w:val="17"/>
              </w:rPr>
              <w:t>Hilsa from Bangladesh</w:t>
            </w:r>
          </w:p>
        </w:tc>
        <w:tc>
          <w:tcPr>
            <w:tcW w:w="1700" w:type="dxa"/>
            <w:tcMar>
              <w:top w:w="60" w:type="dxa"/>
              <w:left w:w="90" w:type="dxa"/>
              <w:bottom w:w="60" w:type="dxa"/>
              <w:right w:w="90" w:type="dxa"/>
            </w:tcMar>
          </w:tcPr>
          <w:p w14:paraId="02A94C8E" w14:textId="77777777" w:rsidR="00CB42E7" w:rsidRDefault="00000000" w:rsidP="00817D95">
            <w:pPr>
              <w:jc w:val="both"/>
            </w:pPr>
            <w:r>
              <w:rPr>
                <w:sz w:val="17"/>
                <w:szCs w:val="17"/>
              </w:rPr>
              <w:t>Anadromous exposure history combined with organ-specific sequestration</w:t>
            </w:r>
          </w:p>
        </w:tc>
        <w:tc>
          <w:tcPr>
            <w:tcW w:w="2300" w:type="dxa"/>
            <w:tcMar>
              <w:top w:w="60" w:type="dxa"/>
              <w:left w:w="90" w:type="dxa"/>
              <w:bottom w:w="60" w:type="dxa"/>
              <w:right w:w="90" w:type="dxa"/>
            </w:tcMar>
          </w:tcPr>
          <w:p w14:paraId="33EA9F28" w14:textId="77777777" w:rsidR="00CB42E7" w:rsidRDefault="00000000" w:rsidP="00817D95">
            <w:pPr>
              <w:jc w:val="both"/>
            </w:pPr>
            <w:r>
              <w:rPr>
                <w:sz w:val="17"/>
                <w:szCs w:val="17"/>
              </w:rPr>
              <w:t>Risk conclusions for hilsa depend materially on which organ is assessed, so a muscle-only assessment is not a complete statement of consumer exposure</w:t>
            </w:r>
          </w:p>
        </w:tc>
        <w:tc>
          <w:tcPr>
            <w:tcW w:w="1926" w:type="dxa"/>
            <w:tcMar>
              <w:top w:w="60" w:type="dxa"/>
              <w:left w:w="90" w:type="dxa"/>
              <w:bottom w:w="60" w:type="dxa"/>
              <w:right w:w="90" w:type="dxa"/>
            </w:tcMar>
          </w:tcPr>
          <w:p w14:paraId="4AE88485" w14:textId="77777777" w:rsidR="00CB42E7" w:rsidRDefault="00000000" w:rsidP="00817D95">
            <w:pPr>
              <w:jc w:val="both"/>
            </w:pPr>
            <w:proofErr w:type="spellStart"/>
            <w:r>
              <w:rPr>
                <w:sz w:val="17"/>
                <w:szCs w:val="17"/>
              </w:rPr>
              <w:t>Raknuzzaman</w:t>
            </w:r>
            <w:proofErr w:type="spellEnd"/>
            <w:r>
              <w:rPr>
                <w:sz w:val="17"/>
                <w:szCs w:val="17"/>
              </w:rPr>
              <w:t xml:space="preserve"> et al. (2022)</w:t>
            </w:r>
          </w:p>
        </w:tc>
      </w:tr>
    </w:tbl>
    <w:p w14:paraId="499AFD1C" w14:textId="77777777" w:rsidR="00CB42E7" w:rsidRDefault="00000000" w:rsidP="00817D95">
      <w:pPr>
        <w:spacing w:before="80" w:after="240"/>
        <w:jc w:val="both"/>
      </w:pPr>
      <w:r>
        <w:rPr>
          <w:sz w:val="17"/>
          <w:szCs w:val="17"/>
        </w:rPr>
        <w:t>Note. Orderings are as reported by the cited authors and refer to the tissues each study examined; absence of a tissue from an ordering indicates that it was not analysed rather than that it carried a low burden.</w:t>
      </w:r>
    </w:p>
    <w:p w14:paraId="59ECEB0B" w14:textId="77777777" w:rsidR="00CB42E7" w:rsidRDefault="00000000" w:rsidP="00817D95">
      <w:pPr>
        <w:keepNext/>
        <w:spacing w:before="260" w:after="140" w:line="300" w:lineRule="auto"/>
        <w:jc w:val="both"/>
      </w:pPr>
      <w:r>
        <w:rPr>
          <w:b/>
          <w:bCs/>
          <w:sz w:val="25"/>
          <w:szCs w:val="25"/>
        </w:rPr>
        <w:lastRenderedPageBreak/>
        <w:t>7. Methodological Weaknesses that Constrain Inference</w:t>
      </w:r>
    </w:p>
    <w:p w14:paraId="7101F6F6" w14:textId="77777777" w:rsidR="00CB42E7" w:rsidRDefault="00000000" w:rsidP="00817D95">
      <w:pPr>
        <w:keepNext/>
        <w:spacing w:before="260" w:after="140" w:line="300" w:lineRule="auto"/>
        <w:jc w:val="both"/>
      </w:pPr>
      <w:r>
        <w:rPr>
          <w:b/>
          <w:bCs/>
          <w:sz w:val="23"/>
          <w:szCs w:val="23"/>
        </w:rPr>
        <w:t>7.1 Reporting basis, quality assurance and comparability</w:t>
      </w:r>
    </w:p>
    <w:p w14:paraId="736C1FC5" w14:textId="77777777" w:rsidR="00CB42E7" w:rsidRDefault="00000000" w:rsidP="00817D95">
      <w:pPr>
        <w:spacing w:after="160" w:line="360" w:lineRule="auto"/>
        <w:jc w:val="both"/>
      </w:pPr>
      <w:r>
        <w:t>The most pervasive obstacle to synthesis is not disagreement among studies but incomparability. Concentrations in the retrieved literature are variously reported on a wet-mass and a dry-mass basis, and the conversion factor for fish muscle is large enough that the same tissue can appear compliant or non-compliant with a food safety limit depending on which basis is used. Several studies do not state the basis explicitly, and where moisture content is not reported the conversion cannot be reconstructed. Regulatory limits for fish are generally expressed on a wet-mass basis, so a dry-mass concentration compared directly against such a limit will overstate exceedance, sometimes by a factor of four or more.</w:t>
      </w:r>
    </w:p>
    <w:p w14:paraId="160BB1B2" w14:textId="77777777" w:rsidR="00CB42E7" w:rsidRDefault="00000000" w:rsidP="00817D95">
      <w:pPr>
        <w:spacing w:after="160" w:line="360" w:lineRule="auto"/>
        <w:jc w:val="both"/>
      </w:pPr>
      <w:r>
        <w:t>Quality assurance reporting is similarly uneven. Certified reference material recovery, procedural blanks, spike recoveries and instrument detection limits are reported in some studies and omitted in others. The omission matters most where non-detection is a substantive finding. When three of six target elements were not detected in fish from a heavily impacted river (Das et al., 2024), the reader cannot determine whether the elements were absent or below a detection limit that was itself high relative to the concentrations reported elsewhere in comparable species. Studies applying probabilistic rather than deterministic risk methods are better placed in this respect, because they require explicit treatment of censored data and of parameter distributions (Shaheen et al., 2025), and the wider adoption of such approaches would improve comparability considerably.</w:t>
      </w:r>
    </w:p>
    <w:p w14:paraId="59ACA725" w14:textId="77777777" w:rsidR="00CB42E7" w:rsidRDefault="00000000" w:rsidP="00817D95">
      <w:pPr>
        <w:spacing w:after="160" w:line="360" w:lineRule="auto"/>
        <w:jc w:val="both"/>
      </w:pPr>
      <w:r>
        <w:t>Analytical platform also conditions what can be measured. Flame atomic absorption spectrometry, graphite furnace atomic absorption spectrometry, energy-dispersive X-ray fluorescence and inductively coupled plasma mass spectrometry differ by orders of magnitude in sensitivity and differ in their susceptibility to matrix interference. Studies using X-ray fluorescence on carp tissues (Aich et al., 2012) are not directly comparable with those using graphite furnace methods (Basak et al., 2026) at the low concentrations that determine compliance for cadmium and lead. Cross-platform comparison is defensible only where method performance is documented.</w:t>
      </w:r>
    </w:p>
    <w:p w14:paraId="4F951A18" w14:textId="77777777" w:rsidR="00CB42E7" w:rsidRDefault="00000000" w:rsidP="00817D95">
      <w:pPr>
        <w:keepNext/>
        <w:spacing w:before="260" w:after="140" w:line="300" w:lineRule="auto"/>
        <w:jc w:val="both"/>
      </w:pPr>
      <w:r>
        <w:rPr>
          <w:b/>
          <w:bCs/>
          <w:sz w:val="23"/>
          <w:szCs w:val="23"/>
        </w:rPr>
        <w:t>7.2 Speciation, and the specific problem of arsenic</w:t>
      </w:r>
    </w:p>
    <w:p w14:paraId="2616FAE3" w14:textId="77777777" w:rsidR="00CB42E7" w:rsidRDefault="00000000" w:rsidP="00817D95">
      <w:pPr>
        <w:spacing w:after="160" w:line="360" w:lineRule="auto"/>
        <w:jc w:val="both"/>
      </w:pPr>
      <w:r>
        <w:t xml:space="preserve">The most consequential methodological weakness in this literature is the near-universal reporting of total element concentrations without speciation, and the problem is acute for arsenic because arsenic is the element of greatest regional concern. Toxicity differs by orders of magnitude among arsenic species, with inorganic </w:t>
      </w:r>
      <w:proofErr w:type="spellStart"/>
      <w:r>
        <w:t>arsenite</w:t>
      </w:r>
      <w:proofErr w:type="spellEnd"/>
      <w:r>
        <w:t xml:space="preserve"> and arsenate carcinogenic and the organic species that predominate in many fish, principally </w:t>
      </w:r>
      <w:proofErr w:type="spellStart"/>
      <w:r>
        <w:t>arsenobetaine</w:t>
      </w:r>
      <w:proofErr w:type="spellEnd"/>
      <w:r>
        <w:t xml:space="preserve">, of low toxicological significance. Large-scale speciation work on freshwater fish, covering more than 1600 samples from fifty-three water bodies, demonstrated that the proportion of total arsenic present as inorganic species varies substantially among water bodies and </w:t>
      </w:r>
      <w:r>
        <w:lastRenderedPageBreak/>
        <w:t>among species, so that total arsenic is an unreliable predictor of the toxicologically relevant fraction (Lau et al., 2025).</w:t>
      </w:r>
    </w:p>
    <w:p w14:paraId="5AA3AD15" w14:textId="77777777" w:rsidR="00CB42E7" w:rsidRDefault="00000000" w:rsidP="00817D95">
      <w:pPr>
        <w:spacing w:after="160" w:line="360" w:lineRule="auto"/>
        <w:jc w:val="both"/>
      </w:pPr>
      <w:r>
        <w:t xml:space="preserve">The implication for North-East India is direct and largely unrecognised. Every regional and near-regional risk conclusion involving arsenic rests on total arsenic. This includes the conclusion that consumption from the </w:t>
      </w:r>
      <w:proofErr w:type="spellStart"/>
      <w:r>
        <w:t>Kolong</w:t>
      </w:r>
      <w:proofErr w:type="spellEnd"/>
      <w:r>
        <w:t xml:space="preserve"> River is safe for adults (Das et al., 2024), the conclusion that arsenic drove carcinogenic risk in the Old Brahmaputra (</w:t>
      </w:r>
      <w:proofErr w:type="spellStart"/>
      <w:r>
        <w:t>Shorna</w:t>
      </w:r>
      <w:proofErr w:type="spellEnd"/>
      <w:r>
        <w:t xml:space="preserve"> et al., 2021), the conclusion that muscle arsenic exceeded the food safety threshold in West Bengal carps (Basak et al., 2026), and the arsenic-dominated profile reported for Indian dried fish (</w:t>
      </w:r>
      <w:proofErr w:type="spellStart"/>
      <w:r>
        <w:t>Sonone</w:t>
      </w:r>
      <w:proofErr w:type="spellEnd"/>
      <w:r>
        <w:t xml:space="preserve"> et al., 2025). The direction of the resulting error is not uniform. Where the organic fraction predominates, total arsenic overstates risk and the regional picture is less alarming than it appears; where inorganic arsenic predominates, as may occur in freshwater systems with high dissolved inorganic arsenic loading, applying a generic organic-dominance assumption would understate risk. Because the Brahmaputra floodplain is characterised precisely by high dissolved inorganic arsenic in the subsurface (Patel et al., 2019), the assumption cannot be resolved by analogy and must be resolved by measurement. Until it is, arsenic-based risk statements for the region should be regarded as unquantified rather than as either reassuring or alarming.</w:t>
      </w:r>
    </w:p>
    <w:p w14:paraId="5433D791" w14:textId="77777777" w:rsidR="00CB42E7" w:rsidRDefault="00000000" w:rsidP="00817D95">
      <w:pPr>
        <w:keepNext/>
        <w:spacing w:before="260" w:after="140" w:line="300" w:lineRule="auto"/>
        <w:jc w:val="both"/>
      </w:pPr>
      <w:r>
        <w:rPr>
          <w:b/>
          <w:bCs/>
          <w:sz w:val="23"/>
          <w:szCs w:val="23"/>
        </w:rPr>
        <w:t>7.3 Sampling design, size and age confounding</w:t>
      </w:r>
    </w:p>
    <w:p w14:paraId="63E1C6D1" w14:textId="77777777" w:rsidR="00CB42E7" w:rsidRDefault="00000000" w:rsidP="00817D95">
      <w:pPr>
        <w:spacing w:after="160" w:line="360" w:lineRule="auto"/>
        <w:jc w:val="both"/>
      </w:pPr>
      <w:r>
        <w:t>Non-essential metals accumulate over time, so body size and age are systematic confounders in any comparison of species or sites. The retrieved literature shows that this is not a hypothetical concern: market sampling of hilsa stratified by size found the highest metal concentrations in the smallest size group, with a health risk conclusion for children that did not apply to adults (Hossain et al., 2024). Whatever the mechanism, whether a growth-dilution effect, a difference in feeding zone with size, or a difference in provenance among size classes in the market chain, the finding demonstrates that unstratified sampling can produce misleading averages. Few regional studies report the size distribution of the fish analysed, and fewer standardise for it statistically.</w:t>
      </w:r>
    </w:p>
    <w:p w14:paraId="67952467" w14:textId="77777777" w:rsidR="00CB42E7" w:rsidRDefault="00000000" w:rsidP="00817D95">
      <w:pPr>
        <w:spacing w:after="160" w:line="360" w:lineRule="auto"/>
        <w:jc w:val="both"/>
      </w:pPr>
      <w:r>
        <w:t>Pooling of individuals into composite samples, which is common where instrument access is limited, compounds the problem by eliminating the variance information needed to detect size effects or to characterise the upper tail of the exposure distribution. Since dietary risk is determined substantially by high consumers eating high-concentration individuals, loss of the upper tail is not a minor sacrifice of precision. Seasonal coverage is a further weakness. Studies that did sample seasonally found significant seasonal differences (</w:t>
      </w:r>
      <w:proofErr w:type="spellStart"/>
      <w:r>
        <w:t>Warjri</w:t>
      </w:r>
      <w:proofErr w:type="spellEnd"/>
      <w:r>
        <w:t xml:space="preserve"> et al., 2024), and seasonal variation in metal phase distributions in the Brahmaputra has been documented independently (Gogoi et al., 2020), yet many regional studies report a single sampling occasion without acknowledging the temporal restriction on their conclusions.</w:t>
      </w:r>
    </w:p>
    <w:p w14:paraId="5FA27382" w14:textId="77777777" w:rsidR="00CB42E7" w:rsidRDefault="00000000" w:rsidP="00817D95">
      <w:pPr>
        <w:keepNext/>
        <w:spacing w:before="260" w:after="140" w:line="300" w:lineRule="auto"/>
        <w:jc w:val="both"/>
      </w:pPr>
      <w:r>
        <w:rPr>
          <w:b/>
          <w:bCs/>
          <w:sz w:val="23"/>
          <w:szCs w:val="23"/>
        </w:rPr>
        <w:lastRenderedPageBreak/>
        <w:t>7.4 Parameterisation of exposure and risk calculations</w:t>
      </w:r>
    </w:p>
    <w:p w14:paraId="7636383C" w14:textId="77777777" w:rsidR="00CB42E7" w:rsidRDefault="00000000" w:rsidP="00817D95">
      <w:pPr>
        <w:spacing w:after="160" w:line="360" w:lineRule="auto"/>
        <w:jc w:val="both"/>
      </w:pPr>
      <w:r>
        <w:t>Target hazard quotients, estimated daily intakes and carcinogenic risk estimates dominate the conclusions of this literature, and their apparent precision is misleading because they are highly sensitive to input parameters that are frequently adopted by default rather than derived locally. Three parameters matter most: the fish consumption rate, the body weight of the exposed individual, and the assumed edible portion. Where a national or default consumption rate is substituted for a local one, the resulting hazard quotient is a statement about a hypothetical consumer rather than about the population at issue. This is a serious matter in North-East India, where fish consumption is high by national standards and where consumption within fishing and floodplain communities is higher still.</w:t>
      </w:r>
    </w:p>
    <w:p w14:paraId="19185939" w14:textId="77777777" w:rsidR="00CB42E7" w:rsidRDefault="00000000" w:rsidP="00817D95">
      <w:pPr>
        <w:spacing w:after="160" w:line="360" w:lineRule="auto"/>
        <w:jc w:val="both"/>
      </w:pPr>
      <w:r>
        <w:t xml:space="preserve">The consequence can be seen by comparing conclusions across the retrieved studies. Hazard indices below unity were reported for the </w:t>
      </w:r>
      <w:proofErr w:type="spellStart"/>
      <w:r>
        <w:t>Kolong</w:t>
      </w:r>
      <w:proofErr w:type="spellEnd"/>
      <w:r>
        <w:t xml:space="preserve"> River (Das et al., 2024), for </w:t>
      </w:r>
      <w:proofErr w:type="spellStart"/>
      <w:r>
        <w:t>Loktak</w:t>
      </w:r>
      <w:proofErr w:type="spellEnd"/>
      <w:r>
        <w:t xml:space="preserve"> Lake (</w:t>
      </w:r>
      <w:proofErr w:type="spellStart"/>
      <w:r>
        <w:t>Mayanglambam</w:t>
      </w:r>
      <w:proofErr w:type="spellEnd"/>
      <w:r>
        <w:t xml:space="preserve"> &amp; Neelam, 2024), for the lower Gangetic stretch (Kumar et al., 2024) and for Indian dried fish (</w:t>
      </w:r>
      <w:proofErr w:type="spellStart"/>
      <w:r>
        <w:t>Sonone</w:t>
      </w:r>
      <w:proofErr w:type="spellEnd"/>
      <w:r>
        <w:t xml:space="preserve"> et al., 2025), while risk was identified for muscle consumption from </w:t>
      </w:r>
      <w:proofErr w:type="spellStart"/>
      <w:r>
        <w:t>Umiam</w:t>
      </w:r>
      <w:proofErr w:type="spellEnd"/>
      <w:r>
        <w:t xml:space="preserve"> reservoir (</w:t>
      </w:r>
      <w:proofErr w:type="spellStart"/>
      <w:r>
        <w:t>Warjri</w:t>
      </w:r>
      <w:proofErr w:type="spellEnd"/>
      <w:r>
        <w:t xml:space="preserve"> et al., 2024), for children consuming small hilsa (Hossain et al., 2024) and, in cumulative and carcinogenic terms, for consumers of Old Brahmaputra fishes (</w:t>
      </w:r>
      <w:proofErr w:type="spellStart"/>
      <w:r>
        <w:t>Shorna</w:t>
      </w:r>
      <w:proofErr w:type="spellEnd"/>
      <w:r>
        <w:t xml:space="preserve"> et al., 2021). These are not straightforwardly contradictory. They reflect different sites and different species, but they also reflect different consumption assumptions, different treatment of cumulative exposure across elements, and different decisions about whether to model children separately. The studies that disaggregate by age consistently find higher risk for children (Hossain et al., 2024; Pal &amp; Maiti, 2018; </w:t>
      </w:r>
      <w:proofErr w:type="spellStart"/>
      <w:r>
        <w:t>Sonone</w:t>
      </w:r>
      <w:proofErr w:type="spellEnd"/>
      <w:r>
        <w:t xml:space="preserve"> et al., 2025), which suggests that studies reporting acceptable risk for a generic adult may be systematically understating the risk to the most vulnerable consumers.</w:t>
      </w:r>
    </w:p>
    <w:p w14:paraId="5623AA42" w14:textId="77777777" w:rsidR="00CB42E7" w:rsidRDefault="00000000" w:rsidP="00817D95">
      <w:pPr>
        <w:spacing w:after="160" w:line="360" w:lineRule="auto"/>
        <w:jc w:val="both"/>
      </w:pPr>
      <w:r>
        <w:t>A further limitation is that these indices assess fish in isolation. Where a population is simultaneously exposed to arsenic through drinking water and through rice, an acceptable fish-only hazard quotient may nonetheless sit atop an aggregate exposure that is not acceptable. Studies that assessed exposure through the rice pathway in the lower Brahmaputra valley (Baruah et al., 2021) and through groundwater across affected districts (Dutta et al., 2022; Nath et al., 2022) establish that the co-exposure exists; no retrieved study integrates the pathways.</w:t>
      </w:r>
    </w:p>
    <w:p w14:paraId="31479BEA" w14:textId="77777777" w:rsidR="00CB42E7" w:rsidRDefault="00000000" w:rsidP="00817D95">
      <w:pPr>
        <w:spacing w:after="160" w:line="360" w:lineRule="auto"/>
        <w:jc w:val="both"/>
      </w:pPr>
      <w:r>
        <w:t>The table that follows organises these weaknesses against the specific remedies that would address them, with attention to what is achievable given realistic constraints on analytical capacity in the region. It is arranged so that the remedies escalate in cost from left to right within each row, and the point it makes collectively is that a substantial part of the current uncertainty could be removed by reporting practice alone, without additional instrumentation.</w:t>
      </w:r>
    </w:p>
    <w:p w14:paraId="2335361A" w14:textId="77777777" w:rsidR="00CB42E7" w:rsidRDefault="00000000" w:rsidP="00817D95">
      <w:pPr>
        <w:keepNext/>
        <w:spacing w:before="200" w:after="100" w:line="260" w:lineRule="auto"/>
        <w:jc w:val="both"/>
      </w:pPr>
      <w:r>
        <w:rPr>
          <w:b/>
          <w:bCs/>
          <w:sz w:val="20"/>
          <w:szCs w:val="20"/>
        </w:rPr>
        <w:lastRenderedPageBreak/>
        <w:t>Table 5. Recurrent methodological weaknesses in the retrieved literature and proportionate remedies.</w:t>
      </w:r>
    </w:p>
    <w:tbl>
      <w:tblPr>
        <w:tblW w:w="9026" w:type="dxa"/>
        <w:tblBorders>
          <w:top w:val="single" w:sz="4" w:space="0" w:color="444444"/>
          <w:left w:val="single" w:sz="2" w:space="0" w:color="999999"/>
          <w:bottom w:val="single" w:sz="4" w:space="0" w:color="444444"/>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1500"/>
        <w:gridCol w:w="1600"/>
        <w:gridCol w:w="1700"/>
        <w:gridCol w:w="2300"/>
        <w:gridCol w:w="1926"/>
      </w:tblGrid>
      <w:tr w:rsidR="00CB42E7" w14:paraId="4AB576B7" w14:textId="77777777">
        <w:trPr>
          <w:tblHeader/>
        </w:trPr>
        <w:tc>
          <w:tcPr>
            <w:tcW w:w="1500" w:type="dxa"/>
            <w:shd w:val="clear" w:color="auto" w:fill="E8E8E8"/>
            <w:tcMar>
              <w:top w:w="60" w:type="dxa"/>
              <w:left w:w="90" w:type="dxa"/>
              <w:bottom w:w="60" w:type="dxa"/>
              <w:right w:w="90" w:type="dxa"/>
            </w:tcMar>
          </w:tcPr>
          <w:p w14:paraId="4B6951F8" w14:textId="77777777" w:rsidR="00CB42E7" w:rsidRDefault="00000000" w:rsidP="00817D95">
            <w:pPr>
              <w:jc w:val="both"/>
            </w:pPr>
            <w:r>
              <w:rPr>
                <w:b/>
                <w:bCs/>
                <w:sz w:val="17"/>
                <w:szCs w:val="17"/>
              </w:rPr>
              <w:t>Weakness</w:t>
            </w:r>
          </w:p>
        </w:tc>
        <w:tc>
          <w:tcPr>
            <w:tcW w:w="1600" w:type="dxa"/>
            <w:shd w:val="clear" w:color="auto" w:fill="E8E8E8"/>
            <w:tcMar>
              <w:top w:w="60" w:type="dxa"/>
              <w:left w:w="90" w:type="dxa"/>
              <w:bottom w:w="60" w:type="dxa"/>
              <w:right w:w="90" w:type="dxa"/>
            </w:tcMar>
          </w:tcPr>
          <w:p w14:paraId="227A7EB9" w14:textId="77777777" w:rsidR="00CB42E7" w:rsidRDefault="00000000" w:rsidP="00817D95">
            <w:pPr>
              <w:jc w:val="both"/>
            </w:pPr>
            <w:r>
              <w:rPr>
                <w:b/>
                <w:bCs/>
                <w:sz w:val="17"/>
                <w:szCs w:val="17"/>
              </w:rPr>
              <w:t>Manifestation in the retrieved literature</w:t>
            </w:r>
          </w:p>
        </w:tc>
        <w:tc>
          <w:tcPr>
            <w:tcW w:w="1700" w:type="dxa"/>
            <w:shd w:val="clear" w:color="auto" w:fill="E8E8E8"/>
            <w:tcMar>
              <w:top w:w="60" w:type="dxa"/>
              <w:left w:w="90" w:type="dxa"/>
              <w:bottom w:w="60" w:type="dxa"/>
              <w:right w:w="90" w:type="dxa"/>
            </w:tcMar>
          </w:tcPr>
          <w:p w14:paraId="505C3AB3" w14:textId="77777777" w:rsidR="00CB42E7" w:rsidRDefault="00000000" w:rsidP="00817D95">
            <w:pPr>
              <w:jc w:val="both"/>
            </w:pPr>
            <w:r>
              <w:rPr>
                <w:b/>
                <w:bCs/>
                <w:sz w:val="17"/>
                <w:szCs w:val="17"/>
              </w:rPr>
              <w:t>Consequence for inference</w:t>
            </w:r>
          </w:p>
        </w:tc>
        <w:tc>
          <w:tcPr>
            <w:tcW w:w="2300" w:type="dxa"/>
            <w:shd w:val="clear" w:color="auto" w:fill="E8E8E8"/>
            <w:tcMar>
              <w:top w:w="60" w:type="dxa"/>
              <w:left w:w="90" w:type="dxa"/>
              <w:bottom w:w="60" w:type="dxa"/>
              <w:right w:w="90" w:type="dxa"/>
            </w:tcMar>
          </w:tcPr>
          <w:p w14:paraId="7D44C768" w14:textId="77777777" w:rsidR="00CB42E7" w:rsidRDefault="00000000" w:rsidP="00817D95">
            <w:pPr>
              <w:jc w:val="both"/>
            </w:pPr>
            <w:r>
              <w:rPr>
                <w:b/>
                <w:bCs/>
                <w:sz w:val="17"/>
                <w:szCs w:val="17"/>
              </w:rPr>
              <w:t>Proportionate remedy</w:t>
            </w:r>
          </w:p>
        </w:tc>
        <w:tc>
          <w:tcPr>
            <w:tcW w:w="1926" w:type="dxa"/>
            <w:shd w:val="clear" w:color="auto" w:fill="E8E8E8"/>
            <w:tcMar>
              <w:top w:w="60" w:type="dxa"/>
              <w:left w:w="90" w:type="dxa"/>
              <w:bottom w:w="60" w:type="dxa"/>
              <w:right w:w="90" w:type="dxa"/>
            </w:tcMar>
          </w:tcPr>
          <w:p w14:paraId="52A2CD94" w14:textId="77777777" w:rsidR="00CB42E7" w:rsidRDefault="00000000" w:rsidP="00817D95">
            <w:pPr>
              <w:jc w:val="both"/>
            </w:pPr>
            <w:r>
              <w:rPr>
                <w:b/>
                <w:bCs/>
                <w:sz w:val="17"/>
                <w:szCs w:val="17"/>
              </w:rPr>
              <w:t>Supporting references</w:t>
            </w:r>
          </w:p>
        </w:tc>
      </w:tr>
      <w:tr w:rsidR="00CB42E7" w14:paraId="4DDE72FE" w14:textId="77777777">
        <w:tc>
          <w:tcPr>
            <w:tcW w:w="1500" w:type="dxa"/>
            <w:tcMar>
              <w:top w:w="60" w:type="dxa"/>
              <w:left w:w="90" w:type="dxa"/>
              <w:bottom w:w="60" w:type="dxa"/>
              <w:right w:w="90" w:type="dxa"/>
            </w:tcMar>
          </w:tcPr>
          <w:p w14:paraId="2E981D0E" w14:textId="77777777" w:rsidR="00CB42E7" w:rsidRDefault="00000000" w:rsidP="00817D95">
            <w:pPr>
              <w:jc w:val="both"/>
            </w:pPr>
            <w:r>
              <w:rPr>
                <w:sz w:val="17"/>
                <w:szCs w:val="17"/>
              </w:rPr>
              <w:t>Ambiguous or inconsistent mass basis</w:t>
            </w:r>
          </w:p>
        </w:tc>
        <w:tc>
          <w:tcPr>
            <w:tcW w:w="1600" w:type="dxa"/>
            <w:tcMar>
              <w:top w:w="60" w:type="dxa"/>
              <w:left w:w="90" w:type="dxa"/>
              <w:bottom w:w="60" w:type="dxa"/>
              <w:right w:w="90" w:type="dxa"/>
            </w:tcMar>
          </w:tcPr>
          <w:p w14:paraId="1C9F5C02" w14:textId="77777777" w:rsidR="00CB42E7" w:rsidRDefault="00000000" w:rsidP="00817D95">
            <w:pPr>
              <w:jc w:val="both"/>
            </w:pPr>
            <w:r>
              <w:rPr>
                <w:sz w:val="17"/>
                <w:szCs w:val="17"/>
              </w:rPr>
              <w:t>Concentrations reported on wet and dry bases, sometimes without explicit statement and without moisture content</w:t>
            </w:r>
          </w:p>
        </w:tc>
        <w:tc>
          <w:tcPr>
            <w:tcW w:w="1700" w:type="dxa"/>
            <w:tcMar>
              <w:top w:w="60" w:type="dxa"/>
              <w:left w:w="90" w:type="dxa"/>
              <w:bottom w:w="60" w:type="dxa"/>
              <w:right w:w="90" w:type="dxa"/>
            </w:tcMar>
          </w:tcPr>
          <w:p w14:paraId="28997BDD" w14:textId="77777777" w:rsidR="00CB42E7" w:rsidRDefault="00000000" w:rsidP="00817D95">
            <w:pPr>
              <w:jc w:val="both"/>
            </w:pPr>
            <w:r>
              <w:rPr>
                <w:sz w:val="17"/>
                <w:szCs w:val="17"/>
              </w:rPr>
              <w:t>Direct comparison against wet-mass regulatory limits can overstate exceedance several-fold; cross-study synthesis becomes unreliable</w:t>
            </w:r>
          </w:p>
        </w:tc>
        <w:tc>
          <w:tcPr>
            <w:tcW w:w="2300" w:type="dxa"/>
            <w:tcMar>
              <w:top w:w="60" w:type="dxa"/>
              <w:left w:w="90" w:type="dxa"/>
              <w:bottom w:w="60" w:type="dxa"/>
              <w:right w:w="90" w:type="dxa"/>
            </w:tcMar>
          </w:tcPr>
          <w:p w14:paraId="23319D89" w14:textId="77777777" w:rsidR="00CB42E7" w:rsidRDefault="00000000" w:rsidP="00817D95">
            <w:pPr>
              <w:jc w:val="both"/>
            </w:pPr>
            <w:r>
              <w:rPr>
                <w:sz w:val="17"/>
                <w:szCs w:val="17"/>
              </w:rPr>
              <w:t>Report both bases and moisture content; state explicitly which basis is compared against which standard</w:t>
            </w:r>
          </w:p>
        </w:tc>
        <w:tc>
          <w:tcPr>
            <w:tcW w:w="1926" w:type="dxa"/>
            <w:tcMar>
              <w:top w:w="60" w:type="dxa"/>
              <w:left w:w="90" w:type="dxa"/>
              <w:bottom w:w="60" w:type="dxa"/>
              <w:right w:w="90" w:type="dxa"/>
            </w:tcMar>
          </w:tcPr>
          <w:p w14:paraId="417558DA" w14:textId="77777777" w:rsidR="00CB42E7" w:rsidRDefault="00000000" w:rsidP="00817D95">
            <w:pPr>
              <w:jc w:val="both"/>
            </w:pPr>
            <w:r>
              <w:rPr>
                <w:sz w:val="17"/>
                <w:szCs w:val="17"/>
              </w:rPr>
              <w:t xml:space="preserve">Aich et al. (2012); Basak et al. (2026); </w:t>
            </w:r>
            <w:proofErr w:type="spellStart"/>
            <w:r>
              <w:rPr>
                <w:sz w:val="17"/>
                <w:szCs w:val="17"/>
              </w:rPr>
              <w:t>Shorna</w:t>
            </w:r>
            <w:proofErr w:type="spellEnd"/>
            <w:r>
              <w:rPr>
                <w:sz w:val="17"/>
                <w:szCs w:val="17"/>
              </w:rPr>
              <w:t xml:space="preserve"> et al. (2021)</w:t>
            </w:r>
          </w:p>
        </w:tc>
      </w:tr>
      <w:tr w:rsidR="00CB42E7" w14:paraId="1D84AD15" w14:textId="77777777">
        <w:tc>
          <w:tcPr>
            <w:tcW w:w="1500" w:type="dxa"/>
            <w:tcMar>
              <w:top w:w="60" w:type="dxa"/>
              <w:left w:w="90" w:type="dxa"/>
              <w:bottom w:w="60" w:type="dxa"/>
              <w:right w:w="90" w:type="dxa"/>
            </w:tcMar>
          </w:tcPr>
          <w:p w14:paraId="69EE6545" w14:textId="77777777" w:rsidR="00CB42E7" w:rsidRDefault="00000000" w:rsidP="00817D95">
            <w:pPr>
              <w:jc w:val="both"/>
            </w:pPr>
            <w:r>
              <w:rPr>
                <w:sz w:val="17"/>
                <w:szCs w:val="17"/>
              </w:rPr>
              <w:t>Incomplete quality assurance reporting</w:t>
            </w:r>
          </w:p>
        </w:tc>
        <w:tc>
          <w:tcPr>
            <w:tcW w:w="1600" w:type="dxa"/>
            <w:tcMar>
              <w:top w:w="60" w:type="dxa"/>
              <w:left w:w="90" w:type="dxa"/>
              <w:bottom w:w="60" w:type="dxa"/>
              <w:right w:w="90" w:type="dxa"/>
            </w:tcMar>
          </w:tcPr>
          <w:p w14:paraId="79AFF097" w14:textId="77777777" w:rsidR="00CB42E7" w:rsidRDefault="00000000" w:rsidP="00817D95">
            <w:pPr>
              <w:jc w:val="both"/>
            </w:pPr>
            <w:r>
              <w:rPr>
                <w:sz w:val="17"/>
                <w:szCs w:val="17"/>
              </w:rPr>
              <w:t>Certified reference material recovery, blanks, spike recoveries and detection limits reported inconsistently</w:t>
            </w:r>
          </w:p>
        </w:tc>
        <w:tc>
          <w:tcPr>
            <w:tcW w:w="1700" w:type="dxa"/>
            <w:tcMar>
              <w:top w:w="60" w:type="dxa"/>
              <w:left w:w="90" w:type="dxa"/>
              <w:bottom w:w="60" w:type="dxa"/>
              <w:right w:w="90" w:type="dxa"/>
            </w:tcMar>
          </w:tcPr>
          <w:p w14:paraId="6DADB99A" w14:textId="77777777" w:rsidR="00CB42E7" w:rsidRDefault="00000000" w:rsidP="00817D95">
            <w:pPr>
              <w:jc w:val="both"/>
            </w:pPr>
            <w:r>
              <w:rPr>
                <w:sz w:val="17"/>
                <w:szCs w:val="17"/>
              </w:rPr>
              <w:t>Non-detection cannot be distinguished from detection-limit censoring, which is decisive where absence of an element is a headline finding</w:t>
            </w:r>
          </w:p>
        </w:tc>
        <w:tc>
          <w:tcPr>
            <w:tcW w:w="2300" w:type="dxa"/>
            <w:tcMar>
              <w:top w:w="60" w:type="dxa"/>
              <w:left w:w="90" w:type="dxa"/>
              <w:bottom w:w="60" w:type="dxa"/>
              <w:right w:w="90" w:type="dxa"/>
            </w:tcMar>
          </w:tcPr>
          <w:p w14:paraId="3CB646C0" w14:textId="77777777" w:rsidR="00CB42E7" w:rsidRDefault="00000000" w:rsidP="00817D95">
            <w:pPr>
              <w:jc w:val="both"/>
            </w:pPr>
            <w:r>
              <w:rPr>
                <w:sz w:val="17"/>
                <w:szCs w:val="17"/>
              </w:rPr>
              <w:t>Report detection limits and recovery for every element; treat censored values explicitly rather than as zero</w:t>
            </w:r>
          </w:p>
        </w:tc>
        <w:tc>
          <w:tcPr>
            <w:tcW w:w="1926" w:type="dxa"/>
            <w:tcMar>
              <w:top w:w="60" w:type="dxa"/>
              <w:left w:w="90" w:type="dxa"/>
              <w:bottom w:w="60" w:type="dxa"/>
              <w:right w:w="90" w:type="dxa"/>
            </w:tcMar>
          </w:tcPr>
          <w:p w14:paraId="37C50CB1" w14:textId="77777777" w:rsidR="00CB42E7" w:rsidRDefault="00000000" w:rsidP="00817D95">
            <w:pPr>
              <w:jc w:val="both"/>
            </w:pPr>
            <w:r>
              <w:rPr>
                <w:sz w:val="17"/>
                <w:szCs w:val="17"/>
              </w:rPr>
              <w:t>Das et al. (2024); Shaheen et al. (2025)</w:t>
            </w:r>
          </w:p>
        </w:tc>
      </w:tr>
      <w:tr w:rsidR="00CB42E7" w14:paraId="2056329C" w14:textId="77777777">
        <w:tc>
          <w:tcPr>
            <w:tcW w:w="1500" w:type="dxa"/>
            <w:tcMar>
              <w:top w:w="60" w:type="dxa"/>
              <w:left w:w="90" w:type="dxa"/>
              <w:bottom w:w="60" w:type="dxa"/>
              <w:right w:w="90" w:type="dxa"/>
            </w:tcMar>
          </w:tcPr>
          <w:p w14:paraId="05F0BCC0" w14:textId="77777777" w:rsidR="00CB42E7" w:rsidRDefault="00000000" w:rsidP="00817D95">
            <w:pPr>
              <w:jc w:val="both"/>
            </w:pPr>
            <w:r>
              <w:rPr>
                <w:sz w:val="17"/>
                <w:szCs w:val="17"/>
              </w:rPr>
              <w:t>Total element measurement without speciation</w:t>
            </w:r>
          </w:p>
        </w:tc>
        <w:tc>
          <w:tcPr>
            <w:tcW w:w="1600" w:type="dxa"/>
            <w:tcMar>
              <w:top w:w="60" w:type="dxa"/>
              <w:left w:w="90" w:type="dxa"/>
              <w:bottom w:w="60" w:type="dxa"/>
              <w:right w:w="90" w:type="dxa"/>
            </w:tcMar>
          </w:tcPr>
          <w:p w14:paraId="7F85B51D" w14:textId="77777777" w:rsidR="00CB42E7" w:rsidRDefault="00000000" w:rsidP="00817D95">
            <w:pPr>
              <w:jc w:val="both"/>
            </w:pPr>
            <w:r>
              <w:rPr>
                <w:sz w:val="17"/>
                <w:szCs w:val="17"/>
              </w:rPr>
              <w:t>Arsenic reported as total in every regional and near-regional study retrieved</w:t>
            </w:r>
          </w:p>
        </w:tc>
        <w:tc>
          <w:tcPr>
            <w:tcW w:w="1700" w:type="dxa"/>
            <w:tcMar>
              <w:top w:w="60" w:type="dxa"/>
              <w:left w:w="90" w:type="dxa"/>
              <w:bottom w:w="60" w:type="dxa"/>
              <w:right w:w="90" w:type="dxa"/>
            </w:tcMar>
          </w:tcPr>
          <w:p w14:paraId="47820F8C" w14:textId="77777777" w:rsidR="00CB42E7" w:rsidRDefault="00000000" w:rsidP="00817D95">
            <w:pPr>
              <w:jc w:val="both"/>
            </w:pPr>
            <w:r>
              <w:rPr>
                <w:sz w:val="17"/>
                <w:szCs w:val="17"/>
              </w:rPr>
              <w:t>Risk may be overstated where organic species predominate and understated where inorganic species do; the direction of error is unknown for the region</w:t>
            </w:r>
          </w:p>
        </w:tc>
        <w:tc>
          <w:tcPr>
            <w:tcW w:w="2300" w:type="dxa"/>
            <w:tcMar>
              <w:top w:w="60" w:type="dxa"/>
              <w:left w:w="90" w:type="dxa"/>
              <w:bottom w:w="60" w:type="dxa"/>
              <w:right w:w="90" w:type="dxa"/>
            </w:tcMar>
          </w:tcPr>
          <w:p w14:paraId="639B4AFE" w14:textId="77777777" w:rsidR="00CB42E7" w:rsidRDefault="00000000" w:rsidP="00817D95">
            <w:pPr>
              <w:jc w:val="both"/>
            </w:pPr>
            <w:r>
              <w:rPr>
                <w:sz w:val="17"/>
                <w:szCs w:val="17"/>
              </w:rPr>
              <w:t>Speciated arsenic determination on a subset of samples to establish local inorganic fractions, then apply those fractions to the wider survey</w:t>
            </w:r>
          </w:p>
        </w:tc>
        <w:tc>
          <w:tcPr>
            <w:tcW w:w="1926" w:type="dxa"/>
            <w:tcMar>
              <w:top w:w="60" w:type="dxa"/>
              <w:left w:w="90" w:type="dxa"/>
              <w:bottom w:w="60" w:type="dxa"/>
              <w:right w:w="90" w:type="dxa"/>
            </w:tcMar>
          </w:tcPr>
          <w:p w14:paraId="5798EA02" w14:textId="77777777" w:rsidR="00CB42E7" w:rsidRDefault="00000000" w:rsidP="00817D95">
            <w:pPr>
              <w:jc w:val="both"/>
            </w:pPr>
            <w:r>
              <w:rPr>
                <w:sz w:val="17"/>
                <w:szCs w:val="17"/>
              </w:rPr>
              <w:t xml:space="preserve">Basak et al. (2026); Das et al. (2024); Lau et al. (2025); </w:t>
            </w:r>
            <w:proofErr w:type="spellStart"/>
            <w:r>
              <w:rPr>
                <w:sz w:val="17"/>
                <w:szCs w:val="17"/>
              </w:rPr>
              <w:t>Shorna</w:t>
            </w:r>
            <w:proofErr w:type="spellEnd"/>
            <w:r>
              <w:rPr>
                <w:sz w:val="17"/>
                <w:szCs w:val="17"/>
              </w:rPr>
              <w:t xml:space="preserve"> et al. (2021)</w:t>
            </w:r>
          </w:p>
        </w:tc>
      </w:tr>
      <w:tr w:rsidR="00CB42E7" w14:paraId="6164631A" w14:textId="77777777">
        <w:tc>
          <w:tcPr>
            <w:tcW w:w="1500" w:type="dxa"/>
            <w:tcMar>
              <w:top w:w="60" w:type="dxa"/>
              <w:left w:w="90" w:type="dxa"/>
              <w:bottom w:w="60" w:type="dxa"/>
              <w:right w:w="90" w:type="dxa"/>
            </w:tcMar>
          </w:tcPr>
          <w:p w14:paraId="25E04305" w14:textId="77777777" w:rsidR="00CB42E7" w:rsidRDefault="00000000" w:rsidP="00817D95">
            <w:pPr>
              <w:jc w:val="both"/>
            </w:pPr>
            <w:r>
              <w:rPr>
                <w:sz w:val="17"/>
                <w:szCs w:val="17"/>
              </w:rPr>
              <w:t>Absence of size and age standardisation</w:t>
            </w:r>
          </w:p>
        </w:tc>
        <w:tc>
          <w:tcPr>
            <w:tcW w:w="1600" w:type="dxa"/>
            <w:tcMar>
              <w:top w:w="60" w:type="dxa"/>
              <w:left w:w="90" w:type="dxa"/>
              <w:bottom w:w="60" w:type="dxa"/>
              <w:right w:w="90" w:type="dxa"/>
            </w:tcMar>
          </w:tcPr>
          <w:p w14:paraId="2777E112" w14:textId="77777777" w:rsidR="00CB42E7" w:rsidRDefault="00000000" w:rsidP="00817D95">
            <w:pPr>
              <w:jc w:val="both"/>
            </w:pPr>
            <w:r>
              <w:rPr>
                <w:sz w:val="17"/>
                <w:szCs w:val="17"/>
              </w:rPr>
              <w:t>Size distribution of sampled fish often unreported; composite pooling common</w:t>
            </w:r>
          </w:p>
        </w:tc>
        <w:tc>
          <w:tcPr>
            <w:tcW w:w="1700" w:type="dxa"/>
            <w:tcMar>
              <w:top w:w="60" w:type="dxa"/>
              <w:left w:w="90" w:type="dxa"/>
              <w:bottom w:w="60" w:type="dxa"/>
              <w:right w:w="90" w:type="dxa"/>
            </w:tcMar>
          </w:tcPr>
          <w:p w14:paraId="3D02499A" w14:textId="77777777" w:rsidR="00CB42E7" w:rsidRDefault="00000000" w:rsidP="00817D95">
            <w:pPr>
              <w:jc w:val="both"/>
            </w:pPr>
            <w:r>
              <w:rPr>
                <w:sz w:val="17"/>
                <w:szCs w:val="17"/>
              </w:rPr>
              <w:t>Systematic confounding of species and site comparisons; loss of the upper tail of the exposure distribution that determines risk for high consumers</w:t>
            </w:r>
          </w:p>
        </w:tc>
        <w:tc>
          <w:tcPr>
            <w:tcW w:w="2300" w:type="dxa"/>
            <w:tcMar>
              <w:top w:w="60" w:type="dxa"/>
              <w:left w:w="90" w:type="dxa"/>
              <w:bottom w:w="60" w:type="dxa"/>
              <w:right w:w="90" w:type="dxa"/>
            </w:tcMar>
          </w:tcPr>
          <w:p w14:paraId="1BCE7F86" w14:textId="77777777" w:rsidR="00CB42E7" w:rsidRDefault="00000000" w:rsidP="00817D95">
            <w:pPr>
              <w:jc w:val="both"/>
            </w:pPr>
            <w:r>
              <w:rPr>
                <w:sz w:val="17"/>
                <w:szCs w:val="17"/>
              </w:rPr>
              <w:t>Record length and mass for every individual; analyse individuals rather than pools where feasible; report concentration as a function of size</w:t>
            </w:r>
          </w:p>
        </w:tc>
        <w:tc>
          <w:tcPr>
            <w:tcW w:w="1926" w:type="dxa"/>
            <w:tcMar>
              <w:top w:w="60" w:type="dxa"/>
              <w:left w:w="90" w:type="dxa"/>
              <w:bottom w:w="60" w:type="dxa"/>
              <w:right w:w="90" w:type="dxa"/>
            </w:tcMar>
          </w:tcPr>
          <w:p w14:paraId="5BFF04B4" w14:textId="77777777" w:rsidR="00CB42E7" w:rsidRDefault="00000000" w:rsidP="00817D95">
            <w:pPr>
              <w:jc w:val="both"/>
            </w:pPr>
            <w:r>
              <w:rPr>
                <w:sz w:val="17"/>
                <w:szCs w:val="17"/>
              </w:rPr>
              <w:t xml:space="preserve">Hossain et al. (2024); </w:t>
            </w:r>
            <w:proofErr w:type="spellStart"/>
            <w:r>
              <w:rPr>
                <w:sz w:val="17"/>
                <w:szCs w:val="17"/>
              </w:rPr>
              <w:t>Warjri</w:t>
            </w:r>
            <w:proofErr w:type="spellEnd"/>
            <w:r>
              <w:rPr>
                <w:sz w:val="17"/>
                <w:szCs w:val="17"/>
              </w:rPr>
              <w:t xml:space="preserve"> et al. (2024)</w:t>
            </w:r>
          </w:p>
        </w:tc>
      </w:tr>
      <w:tr w:rsidR="00CB42E7" w14:paraId="084C2678" w14:textId="77777777">
        <w:tc>
          <w:tcPr>
            <w:tcW w:w="1500" w:type="dxa"/>
            <w:tcMar>
              <w:top w:w="60" w:type="dxa"/>
              <w:left w:w="90" w:type="dxa"/>
              <w:bottom w:w="60" w:type="dxa"/>
              <w:right w:w="90" w:type="dxa"/>
            </w:tcMar>
          </w:tcPr>
          <w:p w14:paraId="633AC3FF" w14:textId="77777777" w:rsidR="00CB42E7" w:rsidRDefault="00000000" w:rsidP="00817D95">
            <w:pPr>
              <w:jc w:val="both"/>
            </w:pPr>
            <w:r>
              <w:rPr>
                <w:sz w:val="17"/>
                <w:szCs w:val="17"/>
              </w:rPr>
              <w:t>Single-occasion sampling</w:t>
            </w:r>
          </w:p>
        </w:tc>
        <w:tc>
          <w:tcPr>
            <w:tcW w:w="1600" w:type="dxa"/>
            <w:tcMar>
              <w:top w:w="60" w:type="dxa"/>
              <w:left w:w="90" w:type="dxa"/>
              <w:bottom w:w="60" w:type="dxa"/>
              <w:right w:w="90" w:type="dxa"/>
            </w:tcMar>
          </w:tcPr>
          <w:p w14:paraId="607DE886" w14:textId="77777777" w:rsidR="00CB42E7" w:rsidRDefault="00000000" w:rsidP="00817D95">
            <w:pPr>
              <w:jc w:val="both"/>
            </w:pPr>
            <w:r>
              <w:rPr>
                <w:sz w:val="17"/>
                <w:szCs w:val="17"/>
              </w:rPr>
              <w:t>Seasonal replication absent in several regional studies despite documented seasonality in the abiotic compartments</w:t>
            </w:r>
          </w:p>
        </w:tc>
        <w:tc>
          <w:tcPr>
            <w:tcW w:w="1700" w:type="dxa"/>
            <w:tcMar>
              <w:top w:w="60" w:type="dxa"/>
              <w:left w:w="90" w:type="dxa"/>
              <w:bottom w:w="60" w:type="dxa"/>
              <w:right w:w="90" w:type="dxa"/>
            </w:tcMar>
          </w:tcPr>
          <w:p w14:paraId="594E432E" w14:textId="77777777" w:rsidR="00CB42E7" w:rsidRDefault="00000000" w:rsidP="00817D95">
            <w:pPr>
              <w:jc w:val="both"/>
            </w:pPr>
            <w:r>
              <w:rPr>
                <w:sz w:val="17"/>
                <w:szCs w:val="17"/>
              </w:rPr>
              <w:t>Conclusions valid for one hydrological phase are presented as general, in a system with pronounced monsoonal pulsing</w:t>
            </w:r>
          </w:p>
        </w:tc>
        <w:tc>
          <w:tcPr>
            <w:tcW w:w="2300" w:type="dxa"/>
            <w:tcMar>
              <w:top w:w="60" w:type="dxa"/>
              <w:left w:w="90" w:type="dxa"/>
              <w:bottom w:w="60" w:type="dxa"/>
              <w:right w:w="90" w:type="dxa"/>
            </w:tcMar>
          </w:tcPr>
          <w:p w14:paraId="2A742822" w14:textId="77777777" w:rsidR="00CB42E7" w:rsidRDefault="00000000" w:rsidP="00817D95">
            <w:pPr>
              <w:jc w:val="both"/>
            </w:pPr>
            <w:r>
              <w:rPr>
                <w:sz w:val="17"/>
                <w:szCs w:val="17"/>
              </w:rPr>
              <w:t>Sample at least in pre-monsoon, monsoon and post-monsoon phases; state the hydrological phase where full replication is impossible</w:t>
            </w:r>
          </w:p>
        </w:tc>
        <w:tc>
          <w:tcPr>
            <w:tcW w:w="1926" w:type="dxa"/>
            <w:tcMar>
              <w:top w:w="60" w:type="dxa"/>
              <w:left w:w="90" w:type="dxa"/>
              <w:bottom w:w="60" w:type="dxa"/>
              <w:right w:w="90" w:type="dxa"/>
            </w:tcMar>
          </w:tcPr>
          <w:p w14:paraId="453473D2" w14:textId="77777777" w:rsidR="00CB42E7" w:rsidRDefault="00000000" w:rsidP="00817D95">
            <w:pPr>
              <w:jc w:val="both"/>
            </w:pPr>
            <w:r>
              <w:rPr>
                <w:sz w:val="17"/>
                <w:szCs w:val="17"/>
              </w:rPr>
              <w:t xml:space="preserve">Gogoi et al. (2020); Talukdar et al. (2016); </w:t>
            </w:r>
            <w:proofErr w:type="spellStart"/>
            <w:r>
              <w:rPr>
                <w:sz w:val="17"/>
                <w:szCs w:val="17"/>
              </w:rPr>
              <w:t>Warjri</w:t>
            </w:r>
            <w:proofErr w:type="spellEnd"/>
            <w:r>
              <w:rPr>
                <w:sz w:val="17"/>
                <w:szCs w:val="17"/>
              </w:rPr>
              <w:t xml:space="preserve"> et al. (2024)</w:t>
            </w:r>
          </w:p>
        </w:tc>
      </w:tr>
      <w:tr w:rsidR="00CB42E7" w14:paraId="418B43C7" w14:textId="77777777">
        <w:tc>
          <w:tcPr>
            <w:tcW w:w="1500" w:type="dxa"/>
            <w:tcMar>
              <w:top w:w="60" w:type="dxa"/>
              <w:left w:w="90" w:type="dxa"/>
              <w:bottom w:w="60" w:type="dxa"/>
              <w:right w:w="90" w:type="dxa"/>
            </w:tcMar>
          </w:tcPr>
          <w:p w14:paraId="6C6C81A3" w14:textId="77777777" w:rsidR="00CB42E7" w:rsidRDefault="00000000" w:rsidP="00817D95">
            <w:pPr>
              <w:jc w:val="both"/>
            </w:pPr>
            <w:r>
              <w:rPr>
                <w:sz w:val="17"/>
                <w:szCs w:val="17"/>
              </w:rPr>
              <w:t>Muscle-only exposure assessment</w:t>
            </w:r>
          </w:p>
        </w:tc>
        <w:tc>
          <w:tcPr>
            <w:tcW w:w="1600" w:type="dxa"/>
            <w:tcMar>
              <w:top w:w="60" w:type="dxa"/>
              <w:left w:w="90" w:type="dxa"/>
              <w:bottom w:w="60" w:type="dxa"/>
              <w:right w:w="90" w:type="dxa"/>
            </w:tcMar>
          </w:tcPr>
          <w:p w14:paraId="19B64553" w14:textId="77777777" w:rsidR="00CB42E7" w:rsidRDefault="00000000" w:rsidP="00817D95">
            <w:pPr>
              <w:jc w:val="both"/>
            </w:pPr>
            <w:r>
              <w:rPr>
                <w:sz w:val="17"/>
                <w:szCs w:val="17"/>
              </w:rPr>
              <w:t>Consumer risk calculated from muscle although other tissues carry higher burdens and are consumed in the region</w:t>
            </w:r>
          </w:p>
        </w:tc>
        <w:tc>
          <w:tcPr>
            <w:tcW w:w="1700" w:type="dxa"/>
            <w:tcMar>
              <w:top w:w="60" w:type="dxa"/>
              <w:left w:w="90" w:type="dxa"/>
              <w:bottom w:w="60" w:type="dxa"/>
              <w:right w:w="90" w:type="dxa"/>
            </w:tcMar>
          </w:tcPr>
          <w:p w14:paraId="008E456B" w14:textId="77777777" w:rsidR="00CB42E7" w:rsidRDefault="00000000" w:rsidP="00817D95">
            <w:pPr>
              <w:jc w:val="both"/>
            </w:pPr>
            <w:r>
              <w:rPr>
                <w:sz w:val="17"/>
                <w:szCs w:val="17"/>
              </w:rPr>
              <w:t>Understates exposure for consumers of whole fish, heads or gills, a practice that varies by community and preparation</w:t>
            </w:r>
          </w:p>
        </w:tc>
        <w:tc>
          <w:tcPr>
            <w:tcW w:w="2300" w:type="dxa"/>
            <w:tcMar>
              <w:top w:w="60" w:type="dxa"/>
              <w:left w:w="90" w:type="dxa"/>
              <w:bottom w:w="60" w:type="dxa"/>
              <w:right w:w="90" w:type="dxa"/>
            </w:tcMar>
          </w:tcPr>
          <w:p w14:paraId="6D09B930" w14:textId="77777777" w:rsidR="00CB42E7" w:rsidRDefault="00000000" w:rsidP="00817D95">
            <w:pPr>
              <w:jc w:val="both"/>
            </w:pPr>
            <w:r>
              <w:rPr>
                <w:sz w:val="17"/>
                <w:szCs w:val="17"/>
              </w:rPr>
              <w:t>Analyse the tissues actually consumed and weight exposure by locally documented consumption practice</w:t>
            </w:r>
          </w:p>
        </w:tc>
        <w:tc>
          <w:tcPr>
            <w:tcW w:w="1926" w:type="dxa"/>
            <w:tcMar>
              <w:top w:w="60" w:type="dxa"/>
              <w:left w:w="90" w:type="dxa"/>
              <w:bottom w:w="60" w:type="dxa"/>
              <w:right w:w="90" w:type="dxa"/>
            </w:tcMar>
          </w:tcPr>
          <w:p w14:paraId="291263CC" w14:textId="77777777" w:rsidR="00CB42E7" w:rsidRDefault="00000000" w:rsidP="00817D95">
            <w:pPr>
              <w:jc w:val="both"/>
            </w:pPr>
            <w:r>
              <w:rPr>
                <w:sz w:val="17"/>
                <w:szCs w:val="17"/>
              </w:rPr>
              <w:t xml:space="preserve">Das et al. (2024); </w:t>
            </w:r>
            <w:proofErr w:type="spellStart"/>
            <w:r>
              <w:rPr>
                <w:sz w:val="17"/>
                <w:szCs w:val="17"/>
              </w:rPr>
              <w:t>Mayanglambam</w:t>
            </w:r>
            <w:proofErr w:type="spellEnd"/>
            <w:r>
              <w:rPr>
                <w:sz w:val="17"/>
                <w:szCs w:val="17"/>
              </w:rPr>
              <w:t xml:space="preserve"> and Neelam (2024); </w:t>
            </w:r>
            <w:proofErr w:type="spellStart"/>
            <w:r>
              <w:rPr>
                <w:sz w:val="17"/>
                <w:szCs w:val="17"/>
              </w:rPr>
              <w:t>Raknuzzaman</w:t>
            </w:r>
            <w:proofErr w:type="spellEnd"/>
            <w:r>
              <w:rPr>
                <w:sz w:val="17"/>
                <w:szCs w:val="17"/>
              </w:rPr>
              <w:t xml:space="preserve"> et al. (2022)</w:t>
            </w:r>
          </w:p>
        </w:tc>
      </w:tr>
      <w:tr w:rsidR="00CB42E7" w14:paraId="5D5BE1B8" w14:textId="77777777">
        <w:tc>
          <w:tcPr>
            <w:tcW w:w="1500" w:type="dxa"/>
            <w:tcMar>
              <w:top w:w="60" w:type="dxa"/>
              <w:left w:w="90" w:type="dxa"/>
              <w:bottom w:w="60" w:type="dxa"/>
              <w:right w:w="90" w:type="dxa"/>
            </w:tcMar>
          </w:tcPr>
          <w:p w14:paraId="16B40BC0" w14:textId="77777777" w:rsidR="00CB42E7" w:rsidRDefault="00000000" w:rsidP="00817D95">
            <w:pPr>
              <w:jc w:val="both"/>
            </w:pPr>
            <w:r>
              <w:rPr>
                <w:sz w:val="17"/>
                <w:szCs w:val="17"/>
              </w:rPr>
              <w:t>Default consumption and body-weight parameters</w:t>
            </w:r>
          </w:p>
        </w:tc>
        <w:tc>
          <w:tcPr>
            <w:tcW w:w="1600" w:type="dxa"/>
            <w:tcMar>
              <w:top w:w="60" w:type="dxa"/>
              <w:left w:w="90" w:type="dxa"/>
              <w:bottom w:w="60" w:type="dxa"/>
              <w:right w:w="90" w:type="dxa"/>
            </w:tcMar>
          </w:tcPr>
          <w:p w14:paraId="14339227" w14:textId="77777777" w:rsidR="00CB42E7" w:rsidRDefault="00000000" w:rsidP="00817D95">
            <w:pPr>
              <w:jc w:val="both"/>
            </w:pPr>
            <w:r>
              <w:rPr>
                <w:sz w:val="17"/>
                <w:szCs w:val="17"/>
              </w:rPr>
              <w:t>Generic or national values substituted for local intake rates in a region with high fish consumption</w:t>
            </w:r>
          </w:p>
        </w:tc>
        <w:tc>
          <w:tcPr>
            <w:tcW w:w="1700" w:type="dxa"/>
            <w:tcMar>
              <w:top w:w="60" w:type="dxa"/>
              <w:left w:w="90" w:type="dxa"/>
              <w:bottom w:w="60" w:type="dxa"/>
              <w:right w:w="90" w:type="dxa"/>
            </w:tcMar>
          </w:tcPr>
          <w:p w14:paraId="197AAE00" w14:textId="77777777" w:rsidR="00CB42E7" w:rsidRDefault="00000000" w:rsidP="00817D95">
            <w:pPr>
              <w:jc w:val="both"/>
            </w:pPr>
            <w:r>
              <w:rPr>
                <w:sz w:val="17"/>
                <w:szCs w:val="17"/>
              </w:rPr>
              <w:t>Hazard quotients describe a hypothetical consumer; risk to high consumers and to children is likely to be understated</w:t>
            </w:r>
          </w:p>
        </w:tc>
        <w:tc>
          <w:tcPr>
            <w:tcW w:w="2300" w:type="dxa"/>
            <w:tcMar>
              <w:top w:w="60" w:type="dxa"/>
              <w:left w:w="90" w:type="dxa"/>
              <w:bottom w:w="60" w:type="dxa"/>
              <w:right w:w="90" w:type="dxa"/>
            </w:tcMar>
          </w:tcPr>
          <w:p w14:paraId="1271E296" w14:textId="77777777" w:rsidR="00CB42E7" w:rsidRDefault="00000000" w:rsidP="00817D95">
            <w:pPr>
              <w:jc w:val="both"/>
            </w:pPr>
            <w:r>
              <w:rPr>
                <w:sz w:val="17"/>
                <w:szCs w:val="17"/>
              </w:rPr>
              <w:t>Derive intake rates from local dietary survey; report risk separately for adults and children and at upper percentiles of intake</w:t>
            </w:r>
          </w:p>
        </w:tc>
        <w:tc>
          <w:tcPr>
            <w:tcW w:w="1926" w:type="dxa"/>
            <w:tcMar>
              <w:top w:w="60" w:type="dxa"/>
              <w:left w:w="90" w:type="dxa"/>
              <w:bottom w:w="60" w:type="dxa"/>
              <w:right w:w="90" w:type="dxa"/>
            </w:tcMar>
          </w:tcPr>
          <w:p w14:paraId="360E4AE4" w14:textId="77777777" w:rsidR="00CB42E7" w:rsidRDefault="00000000" w:rsidP="00817D95">
            <w:pPr>
              <w:jc w:val="both"/>
            </w:pPr>
            <w:r>
              <w:rPr>
                <w:sz w:val="17"/>
                <w:szCs w:val="17"/>
              </w:rPr>
              <w:t xml:space="preserve">Hossain et al. (2024); Kumar et al. (2024); Pal and Maiti (2018); </w:t>
            </w:r>
            <w:proofErr w:type="spellStart"/>
            <w:r>
              <w:rPr>
                <w:sz w:val="17"/>
                <w:szCs w:val="17"/>
              </w:rPr>
              <w:t>Sonone</w:t>
            </w:r>
            <w:proofErr w:type="spellEnd"/>
            <w:r>
              <w:rPr>
                <w:sz w:val="17"/>
                <w:szCs w:val="17"/>
              </w:rPr>
              <w:t xml:space="preserve"> et al. (2025)</w:t>
            </w:r>
          </w:p>
        </w:tc>
      </w:tr>
      <w:tr w:rsidR="00CB42E7" w14:paraId="3141C888" w14:textId="77777777">
        <w:tc>
          <w:tcPr>
            <w:tcW w:w="1500" w:type="dxa"/>
            <w:tcMar>
              <w:top w:w="60" w:type="dxa"/>
              <w:left w:w="90" w:type="dxa"/>
              <w:bottom w:w="60" w:type="dxa"/>
              <w:right w:w="90" w:type="dxa"/>
            </w:tcMar>
          </w:tcPr>
          <w:p w14:paraId="28EF4855" w14:textId="77777777" w:rsidR="00CB42E7" w:rsidRDefault="00000000" w:rsidP="00817D95">
            <w:pPr>
              <w:jc w:val="both"/>
            </w:pPr>
            <w:r>
              <w:rPr>
                <w:sz w:val="17"/>
                <w:szCs w:val="17"/>
              </w:rPr>
              <w:t>Single-pathway assessment</w:t>
            </w:r>
          </w:p>
        </w:tc>
        <w:tc>
          <w:tcPr>
            <w:tcW w:w="1600" w:type="dxa"/>
            <w:tcMar>
              <w:top w:w="60" w:type="dxa"/>
              <w:left w:w="90" w:type="dxa"/>
              <w:bottom w:w="60" w:type="dxa"/>
              <w:right w:w="90" w:type="dxa"/>
            </w:tcMar>
          </w:tcPr>
          <w:p w14:paraId="7EB69B59" w14:textId="77777777" w:rsidR="00CB42E7" w:rsidRDefault="00000000" w:rsidP="00817D95">
            <w:pPr>
              <w:jc w:val="both"/>
            </w:pPr>
            <w:r>
              <w:rPr>
                <w:sz w:val="17"/>
                <w:szCs w:val="17"/>
              </w:rPr>
              <w:t>Fish assessed in isolation from concurrent exposure through drinking water and rice</w:t>
            </w:r>
          </w:p>
        </w:tc>
        <w:tc>
          <w:tcPr>
            <w:tcW w:w="1700" w:type="dxa"/>
            <w:tcMar>
              <w:top w:w="60" w:type="dxa"/>
              <w:left w:w="90" w:type="dxa"/>
              <w:bottom w:w="60" w:type="dxa"/>
              <w:right w:w="90" w:type="dxa"/>
            </w:tcMar>
          </w:tcPr>
          <w:p w14:paraId="3E72A78F" w14:textId="77777777" w:rsidR="00CB42E7" w:rsidRDefault="00000000" w:rsidP="00817D95">
            <w:pPr>
              <w:jc w:val="both"/>
            </w:pPr>
            <w:r>
              <w:rPr>
                <w:sz w:val="17"/>
                <w:szCs w:val="17"/>
              </w:rPr>
              <w:t>An acceptable fish-only hazard quotient may sit atop an unacceptable aggregate exposure in arsenic-affected districts</w:t>
            </w:r>
          </w:p>
        </w:tc>
        <w:tc>
          <w:tcPr>
            <w:tcW w:w="2300" w:type="dxa"/>
            <w:tcMar>
              <w:top w:w="60" w:type="dxa"/>
              <w:left w:w="90" w:type="dxa"/>
              <w:bottom w:w="60" w:type="dxa"/>
              <w:right w:w="90" w:type="dxa"/>
            </w:tcMar>
          </w:tcPr>
          <w:p w14:paraId="4F92E719" w14:textId="77777777" w:rsidR="00CB42E7" w:rsidRDefault="00000000" w:rsidP="00817D95">
            <w:pPr>
              <w:jc w:val="both"/>
            </w:pPr>
            <w:r>
              <w:rPr>
                <w:sz w:val="17"/>
                <w:szCs w:val="17"/>
              </w:rPr>
              <w:t>Combine dietary and drinking-water pathways in a single aggregate exposure estimate for the same population</w:t>
            </w:r>
          </w:p>
        </w:tc>
        <w:tc>
          <w:tcPr>
            <w:tcW w:w="1926" w:type="dxa"/>
            <w:tcMar>
              <w:top w:w="60" w:type="dxa"/>
              <w:left w:w="90" w:type="dxa"/>
              <w:bottom w:w="60" w:type="dxa"/>
              <w:right w:w="90" w:type="dxa"/>
            </w:tcMar>
          </w:tcPr>
          <w:p w14:paraId="51B8953B" w14:textId="77777777" w:rsidR="00CB42E7" w:rsidRDefault="00000000" w:rsidP="00817D95">
            <w:pPr>
              <w:jc w:val="both"/>
            </w:pPr>
            <w:r>
              <w:rPr>
                <w:sz w:val="17"/>
                <w:szCs w:val="17"/>
              </w:rPr>
              <w:t>Baruah et al. (2021); Dutta et al. (2022); Nath et al. (2022)</w:t>
            </w:r>
          </w:p>
        </w:tc>
      </w:tr>
    </w:tbl>
    <w:p w14:paraId="43B6E9EA" w14:textId="77777777" w:rsidR="00CB42E7" w:rsidRDefault="00000000" w:rsidP="00817D95">
      <w:pPr>
        <w:spacing w:before="80" w:after="240"/>
        <w:jc w:val="both"/>
      </w:pPr>
      <w:r>
        <w:rPr>
          <w:sz w:val="17"/>
          <w:szCs w:val="17"/>
        </w:rPr>
        <w:lastRenderedPageBreak/>
        <w:t>Note. The listed weaknesses are not uniformly present in every cited study; the supporting references identify work in which the weakness is illustrated, in which it is explicitly addressed, or which establishes the basis for the stated consequence.</w:t>
      </w:r>
    </w:p>
    <w:p w14:paraId="5B388E0C" w14:textId="77777777" w:rsidR="00CB42E7" w:rsidRDefault="00000000" w:rsidP="00817D95">
      <w:pPr>
        <w:keepNext/>
        <w:spacing w:before="260" w:after="140" w:line="300" w:lineRule="auto"/>
        <w:jc w:val="both"/>
      </w:pPr>
      <w:r>
        <w:rPr>
          <w:b/>
          <w:bCs/>
          <w:sz w:val="25"/>
          <w:szCs w:val="25"/>
        </w:rPr>
        <w:t>8. Human Exposure and the Defensibility of Regional Risk Statements</w:t>
      </w:r>
    </w:p>
    <w:p w14:paraId="23AE4C9C" w14:textId="77777777" w:rsidR="00CB42E7" w:rsidRDefault="00000000" w:rsidP="00817D95">
      <w:pPr>
        <w:spacing w:after="160" w:line="360" w:lineRule="auto"/>
        <w:jc w:val="both"/>
      </w:pPr>
      <w:r>
        <w:t>The consumption context distinguishes North-East India from the settings that supply most of the comparative evidence. Fish occupies a central and near-daily place in the diet across much of the region, and floodplain and wetland fisheries deliver a substantial part of that supply directly to riparian households without passing through a market. Two features follow. First, exposure is concentrated in populations living closest to the most contaminated water bodies, which inverts the usual assumption that market distribution dilutes local contamination across a wider consumer base. Second, small fish consumed whole and dried products form a significant part of intake, and both bypass the muscle-only assumption on which most risk estimates rest (</w:t>
      </w:r>
      <w:proofErr w:type="spellStart"/>
      <w:r>
        <w:t>Mayanglambam</w:t>
      </w:r>
      <w:proofErr w:type="spellEnd"/>
      <w:r>
        <w:t xml:space="preserve"> &amp; Neelam, 2024; </w:t>
      </w:r>
      <w:proofErr w:type="spellStart"/>
      <w:r>
        <w:t>Sonone</w:t>
      </w:r>
      <w:proofErr w:type="spellEnd"/>
      <w:r>
        <w:t xml:space="preserve"> et al., 2025).</w:t>
      </w:r>
    </w:p>
    <w:p w14:paraId="70BDC5E0" w14:textId="77777777" w:rsidR="00CB42E7" w:rsidRDefault="00000000" w:rsidP="00817D95">
      <w:pPr>
        <w:spacing w:after="160" w:line="360" w:lineRule="auto"/>
        <w:jc w:val="both"/>
      </w:pPr>
      <w:r>
        <w:t xml:space="preserve">Against this background, the co-exposure question is unavoidable. Substantial populations in the Brahmaputra floodplain districts draw drinking water from arsenic-affected aquifers, with exceedances documented in </w:t>
      </w:r>
      <w:proofErr w:type="spellStart"/>
      <w:r>
        <w:t>Golaghat</w:t>
      </w:r>
      <w:proofErr w:type="spellEnd"/>
      <w:r>
        <w:t xml:space="preserve">, </w:t>
      </w:r>
      <w:proofErr w:type="spellStart"/>
      <w:r>
        <w:t>Barpeta</w:t>
      </w:r>
      <w:proofErr w:type="spellEnd"/>
      <w:r>
        <w:t xml:space="preserve"> and the upper floodplains, and with spatial prediction indicating that the affected population in the worst-affected districts is large (Chetia et al., 2011; Dutta et al., 2022; </w:t>
      </w:r>
      <w:proofErr w:type="spellStart"/>
      <w:r>
        <w:t>Haloi</w:t>
      </w:r>
      <w:proofErr w:type="spellEnd"/>
      <w:r>
        <w:t xml:space="preserve"> &amp; Sarma, 2012; Nath et al., 2022). Awareness of the hazard among affected communities has been reported as limited (Goswami et al., 2020). Chronic exposure to drinking-water arsenic has been associated with gallbladder cancer risk in endemic regions of India in preliminary epidemiological work (Shridhar et al., 2023), which establishes that the exposure has measurable health consequences at the population level rather than only in modelled terms. In this setting a fish-derived increment that would be trivial against a low background may be material against a high one, and the fish-only hazard quotients that dominate the literature cannot address this because they exclude the dominant pathway by construction.</w:t>
      </w:r>
    </w:p>
    <w:p w14:paraId="3B5D0DF9" w14:textId="77777777" w:rsidR="00CB42E7" w:rsidRDefault="00000000" w:rsidP="00817D95">
      <w:pPr>
        <w:spacing w:after="160" w:line="360" w:lineRule="auto"/>
        <w:jc w:val="both"/>
      </w:pPr>
      <w:r>
        <w:t>What, then, can be defended? Three statements can. First, the exposure potential in parts of the region is high, and this is well evidenced across water, sediment, soil and groundwater. Second, transfer of metals into fish tissue does occur regionally at concentrations that in several documented instances exceed food safety guidance, and it occurs with measurable biological effect (Choudhury et al., 2023; Das &amp; Choudhury, 2016; Talukdar et al., 2016). Third, where the target species have been examined in comparable arsenic-affected settings elsewhere, muscle concentrations have exceeded food safety thresholds (Basak et al., 2026), so the possibility of exceedance in North-East India is not speculative.</w:t>
      </w:r>
    </w:p>
    <w:p w14:paraId="7BEDDD00" w14:textId="77777777" w:rsidR="00CB42E7" w:rsidRDefault="00000000" w:rsidP="00817D95">
      <w:pPr>
        <w:spacing w:after="160" w:line="360" w:lineRule="auto"/>
        <w:jc w:val="both"/>
      </w:pPr>
      <w:r>
        <w:t xml:space="preserve">Three statements cannot be defended. It cannot be asserted that </w:t>
      </w:r>
      <w:proofErr w:type="spellStart"/>
      <w:r>
        <w:t>catla</w:t>
      </w:r>
      <w:proofErr w:type="spellEnd"/>
      <w:r>
        <w:t xml:space="preserve">, rohu or hilsa in North-East India carry elevated metal burdens, because with a single exception for rohu no such measurement exists. It cannot be asserted that consumption of these species in the region is safe, because the one regional study reaching that conclusion did so for adults only, at one site, using total arsenic, with three of six elements undetected, and with default rather than local consumption parameters (Das et al., 2024). Nor </w:t>
      </w:r>
      <w:r>
        <w:lastRenderedPageBreak/>
        <w:t>can the Bangladeshi and Gangetic literature be used to fill either gap, because the element signatures differ, the species examined frequently differ, and for hilsa the anadromous life history severs the link between where a fish is eaten and where it was exposed. The defensible position is that regional risk is undetermined, and that describing it as either acceptable or unacceptable overstates what the evidence supports.</w:t>
      </w:r>
    </w:p>
    <w:p w14:paraId="6F443724" w14:textId="77777777" w:rsidR="00CB42E7" w:rsidRDefault="00000000" w:rsidP="00817D95">
      <w:pPr>
        <w:spacing w:after="160" w:line="360" w:lineRule="auto"/>
        <w:jc w:val="both"/>
      </w:pPr>
      <w:r>
        <w:t>This conclusion has a practical corollary that is easily mistaken for inaction. Undetermined risk is not a reason to withhold precautionary guidance where cheap and low-cost measures exist, such as advising that liver, kidney, gill and brain be discarded from large fish taken in known contaminated reaches, since the tissue-partitioning evidence supports this irrespective of the unresolved quantitative questions (Aich et al., 2012; Choudhury et al., 2023; Das et al., 2024). It is, however, a reason to resist confident public statements in either direction, because a reassurance that is later contradicted and an alarm that is later withdrawn both damage the credibility on which future advisories depend.</w:t>
      </w:r>
    </w:p>
    <w:p w14:paraId="270460E2" w14:textId="77777777" w:rsidR="00CB42E7" w:rsidRDefault="00000000" w:rsidP="00817D95">
      <w:pPr>
        <w:keepNext/>
        <w:spacing w:before="260" w:after="140" w:line="300" w:lineRule="auto"/>
        <w:jc w:val="both"/>
      </w:pPr>
      <w:r>
        <w:rPr>
          <w:b/>
          <w:bCs/>
          <w:sz w:val="25"/>
          <w:szCs w:val="25"/>
        </w:rPr>
        <w:t>9. Future Directions</w:t>
      </w:r>
    </w:p>
    <w:p w14:paraId="6E057ADE" w14:textId="77777777" w:rsidR="00CB42E7" w:rsidRDefault="00000000" w:rsidP="00817D95">
      <w:pPr>
        <w:spacing w:after="160" w:line="360" w:lineRule="auto"/>
        <w:jc w:val="both"/>
      </w:pPr>
      <w:r>
        <w:t>The research priorities that follow are ordered by the extent to which they would remove uncertainty per unit of effort, and they are stated so that each addresses a deficiency identified above rather than expanding the field indiscriminately.</w:t>
      </w:r>
    </w:p>
    <w:p w14:paraId="63477C66" w14:textId="77777777" w:rsidR="00CB42E7" w:rsidRDefault="00000000" w:rsidP="00817D95">
      <w:pPr>
        <w:spacing w:after="160" w:line="360" w:lineRule="auto"/>
        <w:jc w:val="both"/>
      </w:pPr>
      <w:r>
        <w:t xml:space="preserve">The first and most immediate priority is a species-resolved baseline survey of </w:t>
      </w:r>
      <w:proofErr w:type="spellStart"/>
      <w:r>
        <w:t>catla</w:t>
      </w:r>
      <w:proofErr w:type="spellEnd"/>
      <w:r>
        <w:t xml:space="preserve">, rohu and hilsa across the Brahmaputra and Barak sub-basins. The unresolved problem is elementary: there is no measurement of two of the three species within the region and a single measurement of the third. Current evidence is inadequate because it consists of surrogate species and external basins, both of which the comparative literature shows to be unreliable proxies (Basak et al., 2026; </w:t>
      </w:r>
      <w:proofErr w:type="spellStart"/>
      <w:r>
        <w:t>Shorna</w:t>
      </w:r>
      <w:proofErr w:type="spellEnd"/>
      <w:r>
        <w:t xml:space="preserve"> et al., 2021). The appropriate design is a stratified survey with sites selected to span the identified pressure regimes, namely the arsenic-affected floodplain, the Guwahati urban corridor, the Barak valley wetlands, an acid mine drainage-influenced catchment and a comparatively unimpacted reference reach. Sampling should cover at least three hydrological phases, should analyse individuals rather than pools, should record length and mass for every specimen, and should report liver, kidney, gill and muscle separately on both mass bases with full quality assurance documentation. Outcome measures should include element concentrations by tissue, bioaccumulation and biota-sediment accumulation factors calculated against contemporaneously sampled water and sediment, and condition indices. Such a survey would convert the regional evidence base from inferential to observational, which no other single investment would achieve.</w:t>
      </w:r>
    </w:p>
    <w:p w14:paraId="487C48AB" w14:textId="77777777" w:rsidR="00CB42E7" w:rsidRDefault="00000000" w:rsidP="00817D95">
      <w:pPr>
        <w:spacing w:after="160" w:line="360" w:lineRule="auto"/>
        <w:jc w:val="both"/>
      </w:pPr>
      <w:r>
        <w:t xml:space="preserve">The second priority is speciated arsenic determination. The unresolved problem is that the toxicologically relevant fraction of the dominant regional contaminant is unknown, and every existing arsenic-based risk statement for the region is therefore uninterpretable in either direction (Lau et al., </w:t>
      </w:r>
      <w:r>
        <w:lastRenderedPageBreak/>
        <w:t>2025). Current evidence is inadequate because total arsenic has been reported universally. Chromatographic separation coupled to inductively coupled plasma mass spectrometry applied to a representative subset of the baseline survey samples would establish local inorganic fractions by species, tissue and site, after which those fractions could be applied to the wider survey without repeating the speciation on every sample. This is the single change that would most alter regional risk conclusions, and it is achievable at modest scale.</w:t>
      </w:r>
    </w:p>
    <w:p w14:paraId="62FCAC60" w14:textId="77777777" w:rsidR="00CB42E7" w:rsidRDefault="00000000" w:rsidP="00817D95">
      <w:pPr>
        <w:spacing w:after="160" w:line="360" w:lineRule="auto"/>
        <w:jc w:val="both"/>
      </w:pPr>
      <w:r>
        <w:t xml:space="preserve">The third priority concerns hilsa specifically and is a provenance question rather than an ecological one. The unresolved problem is that the hilsa entering regional diets is of undocumented origin, so neither its exposure history nor the regulatory jurisdiction responsible for it can be identified. Current evidence is inadequate because all available hilsa tissue data derive from capture locations outside the region and because market chains have not been characterised (Hossain et al., 2024; </w:t>
      </w:r>
      <w:proofErr w:type="spellStart"/>
      <w:r>
        <w:t>Raknuzzaman</w:t>
      </w:r>
      <w:proofErr w:type="spellEnd"/>
      <w:r>
        <w:t xml:space="preserve"> et al., 2022). The appropriate approach </w:t>
      </w:r>
      <w:proofErr w:type="gramStart"/>
      <w:r>
        <w:t>couples</w:t>
      </w:r>
      <w:proofErr w:type="gramEnd"/>
      <w:r>
        <w:t xml:space="preserve"> market-chain tracing with natural-tag methods capable of discriminating capture environments in an anadromous species, applied to fish sampled at the point of retail sale rather than at capture. Outcome measures should include the proportion of regional supply originating from each source area and element concentrations stratified by origin and by size class, since size dependence has already been demonstrated. The implication for policy is direct, because a contaminated traded commodity requires food-safety instruments rather than catchment management.</w:t>
      </w:r>
    </w:p>
    <w:p w14:paraId="126DBA11" w14:textId="77777777" w:rsidR="00CB42E7" w:rsidRDefault="00000000" w:rsidP="00817D95">
      <w:pPr>
        <w:spacing w:after="160" w:line="360" w:lineRule="auto"/>
        <w:jc w:val="both"/>
      </w:pPr>
      <w:r>
        <w:t xml:space="preserve">The fourth priority is the derivation of local exposure parameters. The unresolved problem is that risk estimates for the region are parameterised with values that do not describe its population. Current evidence is inadequate because no retrieved study derived consumption rates locally, and because the studies that disaggregated by age consistently identified higher risk in children (Hossain et al., 2024; Pal &amp; Maiti, 2018; </w:t>
      </w:r>
      <w:proofErr w:type="spellStart"/>
      <w:r>
        <w:t>Sonone</w:t>
      </w:r>
      <w:proofErr w:type="spellEnd"/>
      <w:r>
        <w:t xml:space="preserve"> et al., 2025). A dietary survey stratified by state, by rural and urban residence, by community and by age, recording species, quantity, frequency, tissues consumed and the fresh or dried form of the product, would allow all subsequent risk estimates to be recalculated against real intake distributions and at upper percentiles rather than at the mean. This is a lower-cost undertaking than the chemical work and would improve the interpretability of every existing dataset retrospectively.</w:t>
      </w:r>
    </w:p>
    <w:p w14:paraId="1687D3D4" w14:textId="77777777" w:rsidR="00CB42E7" w:rsidRDefault="00000000" w:rsidP="00817D95">
      <w:pPr>
        <w:spacing w:after="160" w:line="360" w:lineRule="auto"/>
        <w:jc w:val="both"/>
      </w:pPr>
      <w:r>
        <w:t>The fifth priority is aggregate exposure assessment integrating fish, drinking water and rice for the same population in arsenic-affected districts. The unresolved problem is that pathway-specific assessments cannot establish whether total exposure is acceptable. The components already exist separately (Baruah et al., 2021; Dutta et al., 2022; Nath et al., 2022), and the required advance is a co-located design in which the same households are characterised for all three pathways, with biomarker confirmation where feasible. This would place the fish contribution in its true proportion, which may prove to be small, and would prevent the misallocation of regulatory attention that pathway-specific assessment invites.</w:t>
      </w:r>
    </w:p>
    <w:p w14:paraId="73D62196" w14:textId="77777777" w:rsidR="00CB42E7" w:rsidRDefault="00000000" w:rsidP="00817D95">
      <w:pPr>
        <w:spacing w:after="160" w:line="360" w:lineRule="auto"/>
        <w:jc w:val="both"/>
      </w:pPr>
      <w:r>
        <w:t>Two further priorities belong to a longer horizon. One is the coupling of tissue burdens to functional endpoints under field conditions, extending the effect-based work already conducted regionally on non-</w:t>
      </w:r>
      <w:r>
        <w:lastRenderedPageBreak/>
        <w:t xml:space="preserve">target species and on Indian major carps in controlled settings (Choudhury et al., 2023; Das et al., 2017, 2018; Talukdar et al., 2016) to the target species in situ, with attention to whether metal exposure degrades the nutritional quality of edible tissue as well as elevating its metal content. The other is the establishment of acid mine drainage-affected catchments in Meghalaya as sentinel monitoring sites, since acidification alters speciation in the direction of greater bioavailability and these catchments therefore represent the plausible worst case for the region (Das &amp; </w:t>
      </w:r>
      <w:proofErr w:type="spellStart"/>
      <w:r>
        <w:t>Semy</w:t>
      </w:r>
      <w:proofErr w:type="spellEnd"/>
      <w:r>
        <w:t>, 2023; Talukdar et al., 2016). Both would benefit from a shared regional data repository with agreed minimum reporting requirements, without which the comparability problems documented in Section 7 will simply be reproduced by the next generation of studies.</w:t>
      </w:r>
    </w:p>
    <w:p w14:paraId="78D372D2" w14:textId="77777777" w:rsidR="00CB42E7" w:rsidRDefault="00000000" w:rsidP="00817D95">
      <w:pPr>
        <w:keepNext/>
        <w:spacing w:before="260" w:after="140" w:line="300" w:lineRule="auto"/>
        <w:jc w:val="both"/>
      </w:pPr>
      <w:r>
        <w:rPr>
          <w:b/>
          <w:bCs/>
          <w:sz w:val="25"/>
          <w:szCs w:val="25"/>
        </w:rPr>
        <w:t>10. Conclusions</w:t>
      </w:r>
    </w:p>
    <w:p w14:paraId="62E8E1E4" w14:textId="77777777" w:rsidR="00CB42E7" w:rsidRDefault="00000000" w:rsidP="00817D95">
      <w:pPr>
        <w:spacing w:after="160" w:line="360" w:lineRule="auto"/>
        <w:jc w:val="both"/>
      </w:pPr>
      <w:r>
        <w:t xml:space="preserve">This review set out to determine what is actually known about heavy metal bioaccumulation in </w:t>
      </w:r>
      <w:proofErr w:type="spellStart"/>
      <w:r>
        <w:t>catla</w:t>
      </w:r>
      <w:proofErr w:type="spellEnd"/>
      <w:r>
        <w:t>, rohu and hilsa of North-East India, to test the inferential chain on which regional claims depend, to appraise the methodological adequacy of the available work, and to derive proportionate research priorities. The answer to the first question is uncomfortable but clear. The region possesses a substantial and methodologically respectable literature on metals in water, sediment, soil and groundwater, and a small but genuine literature on metal burdens and biological effects in fish species other than the three of greatest dietary importance. It possesses one study reporting tissue concentrations in one of the three target species, at one site, and no study at all for the other two. The widespread impression that bioaccumulation in these species has been characterised regionally is therefore mistaken, and it appears to arise from the conflation of exposure potential with exposure realisation.</w:t>
      </w:r>
    </w:p>
    <w:p w14:paraId="1B2ECE8F" w14:textId="77777777" w:rsidR="00CB42E7" w:rsidRDefault="00000000" w:rsidP="00817D95">
      <w:pPr>
        <w:spacing w:after="160" w:line="360" w:lineRule="auto"/>
        <w:jc w:val="both"/>
      </w:pPr>
      <w:r>
        <w:t>The inferential chain by which that impression is sustained does not hold. Its first link, from abiotic concentrations to tissue burdens, fails because uptake is governed by bioavailability, speciation and physiological regulation rather than by total ambient concentration, so that high sediment indices establish possibility rather than magnitude. Its second link, from surrogate species to target species, fails because the strongest determinants of interspecies difference are feeding position and body size, and the regionally studied taxa differ from the target species in precisely those respects. Its third link, from other basins to the Brahmaputra and Barak systems, fails because the regional contaminant signature is dominated by geogenic arsenic whereas the principal comparators are dominated by industrial and wastewater metals. For hilsa a fourth failure applies, since anadromy and an undocumented trade chain sever the connection between the place of consumption and the place of exposure.</w:t>
      </w:r>
    </w:p>
    <w:p w14:paraId="6DB6F88C" w14:textId="77777777" w:rsidR="00CB42E7" w:rsidRDefault="00000000" w:rsidP="00817D95">
      <w:pPr>
        <w:spacing w:after="160" w:line="360" w:lineRule="auto"/>
        <w:jc w:val="both"/>
      </w:pPr>
      <w:r>
        <w:t xml:space="preserve">Several conclusions are nonetheless well supported. Transfer of metals into fish tissue demonstrably occurs in the region, at concentrations that have exceeded food safety guidance in more than one setting and with accompanying oxidative, genotoxic and immunological responses, so the exposure is not toxicologically inert. Tissue partitioning consistently concentrates burdens in liver and kidney relative </w:t>
      </w:r>
      <w:r>
        <w:lastRenderedPageBreak/>
        <w:t xml:space="preserve">to muscle, which supports simple precautionary handling advice independently of the unresolved quantitative questions. Where the target carps have been examined in an arsenic-affected setting outside the region, edible muscle has exceeded the food safety threshold, which places the possibility of regional exceedance beyond speculation. Conclusions that remain tentative include the reported concentration of arsenic in the brain of rohu from a single </w:t>
      </w:r>
      <w:proofErr w:type="gramStart"/>
      <w:r>
        <w:t>Assam river</w:t>
      </w:r>
      <w:proofErr w:type="gramEnd"/>
      <w:r>
        <w:t>, which is inconsistent with the wider literature and unreplicated, and the several reassuring hazard-quotient results, which rest on total arsenic, default consumption parameters and single-pathway assessment.</w:t>
      </w:r>
    </w:p>
    <w:p w14:paraId="1F6A0055" w14:textId="77777777" w:rsidR="00CB42E7" w:rsidRDefault="00000000" w:rsidP="00817D95">
      <w:pPr>
        <w:spacing w:after="160" w:line="360" w:lineRule="auto"/>
        <w:jc w:val="both"/>
      </w:pPr>
      <w:r>
        <w:t xml:space="preserve">The broader significance of this synthesis lies in the distinction between an absence of evidence and evidence of absence. The correct statement about metal risk from </w:t>
      </w:r>
      <w:proofErr w:type="spellStart"/>
      <w:r>
        <w:t>catla</w:t>
      </w:r>
      <w:proofErr w:type="spellEnd"/>
      <w:r>
        <w:t>, rohu and hilsa in North-East India is that it is undetermined. That is not a neutral or comfortable position, because a region combining high fish consumption, documented environmental contamination, extensive geogenic arsenic exposure through other pathways, and populations with limited awareness of the hazard is one in which an undetermined dietary risk carries real public health weight. The remedy is neither reassurance nor alarm but measurement, and the measurements required are specific, feasible and modest in scale relative to the monitoring effort the region has already invested in its water and sediments.</w:t>
      </w:r>
    </w:p>
    <w:p w14:paraId="409B7EE4" w14:textId="77777777" w:rsidR="00CB42E7" w:rsidRDefault="00000000" w:rsidP="00817D95">
      <w:pPr>
        <w:keepNext/>
        <w:spacing w:before="260" w:after="140" w:line="300" w:lineRule="auto"/>
        <w:jc w:val="both"/>
      </w:pPr>
      <w:r>
        <w:rPr>
          <w:b/>
          <w:bCs/>
          <w:sz w:val="25"/>
          <w:szCs w:val="25"/>
        </w:rPr>
        <w:t>11. Limitations</w:t>
      </w:r>
    </w:p>
    <w:p w14:paraId="285FCBA5" w14:textId="77777777" w:rsidR="00CB42E7" w:rsidRDefault="00000000" w:rsidP="00817D95">
      <w:pPr>
        <w:spacing w:after="160" w:line="360" w:lineRule="auto"/>
        <w:jc w:val="both"/>
      </w:pPr>
      <w:r>
        <w:t>The limitations of this review begin with those intrinsic to its design. A narrative review involves judgement at every stage, in the framing of the question, the construction of search concepts, the decision to include or exclude a source and the weight attached to conflicting findings. Selection and interpretive bias cannot be eliminated by a transparent search and an explicit appraisal framework, only constrained, and a differently constituted review team applying the same criteria might reasonably have assembled a somewhat different corpus or emphasised different tensions within it. The synthesis presented here should be read as a defensible reading of the evidence rather than as the only possible one.</w:t>
      </w:r>
    </w:p>
    <w:p w14:paraId="7E14321C" w14:textId="77777777" w:rsidR="00CB42E7" w:rsidRDefault="00000000" w:rsidP="00817D95">
      <w:pPr>
        <w:spacing w:after="160" w:line="360" w:lineRule="auto"/>
        <w:jc w:val="both"/>
      </w:pPr>
      <w:r>
        <w:t>Access constraints affected retrieval. Searching was confined to sources that were genuinely available, and subscription indexes were not searched. Regionally indexed literature published in journals with limited international indexing may therefore have been missed, and this is a material concern for a region whose research output includes work published in national and institutional outlets. The restriction to publications in English introduces a further and unquantifiable gap. Because the central finding of this review is the near-absence of direct evidence, these restrictions bear on it directly: the existence of unretrieved regional datasets cannot be excluded, and the finding should be understood as applying to the retrievable and verifiable literature rather than as an assertion that no measurement has ever been made.</w:t>
      </w:r>
    </w:p>
    <w:p w14:paraId="67D34CB6" w14:textId="77777777" w:rsidR="00CB42E7" w:rsidRDefault="00000000" w:rsidP="00817D95">
      <w:pPr>
        <w:spacing w:after="160" w:line="360" w:lineRule="auto"/>
        <w:jc w:val="both"/>
      </w:pPr>
      <w:r>
        <w:lastRenderedPageBreak/>
        <w:t>The evidence base itself imposes constraints that no review can overcome. Heterogeneity in species, tissue, element suite, mass basis, analytical platform and reference standard made quantitative synthesis impossible, and no pooled estimate of tissue concentration or of risk is offered. Geographical representation within the region is markedly uneven, with the Assam valley and Meghalaya better represented than Nagaland, Mizoram, Arunachal Pradesh, Sikkim and Tripura, from which no fish tissue data were retrieved. Temporal coverage is sparse, few studies report seasonal replication, and long-term series are absent, so trends over time cannot be assessed. Reliance on observational field data means that no causal attribution of tissue burdens to particular sources is possible from the reviewed material. Publication bias is a plausible additional influence, since studies reporting exceedances are more likely to be submitted and accepted than those reporting compliance, which may render the picture of regional contamination somewhat more severe than the underlying reality.</w:t>
      </w:r>
    </w:p>
    <w:p w14:paraId="3032DBBA" w14:textId="77777777" w:rsidR="00CB42E7" w:rsidRDefault="00000000" w:rsidP="00817D95">
      <w:pPr>
        <w:spacing w:after="160" w:line="360" w:lineRule="auto"/>
        <w:jc w:val="both"/>
      </w:pPr>
      <w:r>
        <w:t>Finally, the field is developing, and the boundary imposed by the search period necessarily excludes work appearing after it, including sources identified during verification whose publication postdated that boundary. Given how thin the direct evidence base is, a small number of new primary studies could alter the conclusions of this review substantially, and its findings should be revisited as those studies appear.</w:t>
      </w:r>
    </w:p>
    <w:p w14:paraId="2A2440D8" w14:textId="77777777" w:rsidR="00591F3D" w:rsidRDefault="00591F3D" w:rsidP="00817D95">
      <w:pPr>
        <w:spacing w:after="160" w:line="360" w:lineRule="auto"/>
        <w:jc w:val="both"/>
      </w:pPr>
    </w:p>
    <w:p w14:paraId="4BD862E1" w14:textId="77777777" w:rsidR="00591F3D" w:rsidRPr="00591F3D" w:rsidRDefault="00591F3D" w:rsidP="00817D95">
      <w:pPr>
        <w:jc w:val="both"/>
        <w:rPr>
          <w:rFonts w:ascii="Arial" w:eastAsia="Calibri" w:hAnsi="Arial" w:cs="Arial"/>
          <w:b/>
          <w:sz w:val="20"/>
          <w:szCs w:val="20"/>
          <w:lang w:val="en-US" w:eastAsia="en-US" w:bidi="ar-SA"/>
        </w:rPr>
      </w:pPr>
      <w:r w:rsidRPr="00591F3D">
        <w:rPr>
          <w:rFonts w:ascii="Arial" w:eastAsia="Calibri" w:hAnsi="Arial" w:cs="Arial"/>
          <w:b/>
          <w:sz w:val="20"/>
          <w:szCs w:val="20"/>
          <w:lang w:val="en-US" w:eastAsia="en-US" w:bidi="ar-SA"/>
        </w:rPr>
        <w:t>Declaration of AI Use</w:t>
      </w:r>
    </w:p>
    <w:p w14:paraId="4756255C" w14:textId="77777777" w:rsidR="00591F3D" w:rsidRPr="00591F3D" w:rsidRDefault="00591F3D" w:rsidP="00817D95">
      <w:pPr>
        <w:jc w:val="both"/>
        <w:rPr>
          <w:rFonts w:ascii="Arial" w:eastAsia="Calibri" w:hAnsi="Arial" w:cs="Arial"/>
          <w:sz w:val="20"/>
          <w:szCs w:val="20"/>
          <w:lang w:val="en-US" w:eastAsia="en-US" w:bidi="ar-SA"/>
        </w:rPr>
      </w:pPr>
    </w:p>
    <w:p w14:paraId="4EE4092C" w14:textId="77777777" w:rsidR="00591F3D" w:rsidRPr="00591F3D" w:rsidRDefault="00591F3D" w:rsidP="00817D95">
      <w:pPr>
        <w:jc w:val="both"/>
        <w:rPr>
          <w:rFonts w:ascii="Arial" w:eastAsia="Calibri" w:hAnsi="Arial" w:cs="Arial"/>
          <w:sz w:val="20"/>
          <w:szCs w:val="20"/>
          <w:lang w:val="en-US" w:eastAsia="en-US" w:bidi="ar-SA"/>
        </w:rPr>
      </w:pPr>
      <w:r w:rsidRPr="00591F3D">
        <w:rPr>
          <w:rFonts w:ascii="Arial" w:eastAsia="Calibri" w:hAnsi="Arial" w:cs="Arial"/>
          <w:sz w:val="20"/>
          <w:szCs w:val="20"/>
          <w:lang w:val="en-US" w:eastAsia="en-US" w:bidi="ar-SA"/>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D40B328" w14:textId="77777777" w:rsidR="00591F3D" w:rsidRPr="00591F3D" w:rsidRDefault="00591F3D" w:rsidP="00817D95">
      <w:pPr>
        <w:jc w:val="both"/>
        <w:rPr>
          <w:rFonts w:eastAsia="Calibri"/>
          <w:lang w:val="en-US" w:eastAsia="en-US" w:bidi="ar-SA"/>
        </w:rPr>
      </w:pPr>
    </w:p>
    <w:p w14:paraId="5625B4A9" w14:textId="77777777" w:rsidR="00591F3D" w:rsidRPr="00591F3D" w:rsidRDefault="00591F3D" w:rsidP="00817D95">
      <w:pPr>
        <w:jc w:val="both"/>
        <w:rPr>
          <w:rFonts w:eastAsia="Calibri"/>
          <w:lang w:val="en-US" w:eastAsia="en-US" w:bidi="ar-SA"/>
        </w:rPr>
      </w:pPr>
    </w:p>
    <w:p w14:paraId="7F909AE5" w14:textId="77777777" w:rsidR="00591F3D" w:rsidRPr="00591F3D" w:rsidRDefault="00591F3D" w:rsidP="00817D95">
      <w:pPr>
        <w:spacing w:after="200" w:line="276" w:lineRule="auto"/>
        <w:jc w:val="both"/>
        <w:rPr>
          <w:rFonts w:ascii="Cambria" w:hAnsi="Cambria" w:cs="Arial"/>
          <w:b/>
          <w:bCs/>
          <w:lang w:bidi="ar-SA"/>
        </w:rPr>
      </w:pPr>
      <w:r w:rsidRPr="00591F3D">
        <w:rPr>
          <w:rFonts w:ascii="Cambria" w:hAnsi="Cambria" w:cs="Arial"/>
          <w:b/>
          <w:bCs/>
          <w:lang w:bidi="ar-SA"/>
        </w:rPr>
        <w:t>COMPETING INTERESTS DISCLAIMER:</w:t>
      </w:r>
    </w:p>
    <w:p w14:paraId="69934BC9" w14:textId="77777777" w:rsidR="00591F3D" w:rsidRPr="00591F3D" w:rsidRDefault="00591F3D" w:rsidP="00817D95">
      <w:pPr>
        <w:spacing w:after="200" w:line="276" w:lineRule="auto"/>
        <w:jc w:val="both"/>
        <w:rPr>
          <w:rFonts w:ascii="Cambria" w:hAnsi="Cambria"/>
          <w:lang w:bidi="ar-SA"/>
        </w:rPr>
      </w:pPr>
      <w:r w:rsidRPr="00591F3D">
        <w:rPr>
          <w:rFonts w:ascii="Cambria" w:hAnsi="Cambria" w:cs="Arial"/>
          <w:lang w:bidi="ar-SA"/>
        </w:rPr>
        <w:t>Authors have declared that they have no known competing financial interests OR non-financial interests OR personal relationships that could have appeared to influence the work reported in this paper.</w:t>
      </w:r>
    </w:p>
    <w:p w14:paraId="52CF3CF4" w14:textId="77777777" w:rsidR="00591F3D" w:rsidRDefault="00591F3D" w:rsidP="00817D95">
      <w:pPr>
        <w:spacing w:after="160" w:line="360" w:lineRule="auto"/>
        <w:jc w:val="both"/>
      </w:pPr>
    </w:p>
    <w:p w14:paraId="73623BCC" w14:textId="77777777" w:rsidR="00CB42E7" w:rsidRDefault="00000000" w:rsidP="00817D95">
      <w:pPr>
        <w:keepNext/>
        <w:spacing w:before="260" w:after="140" w:line="300" w:lineRule="auto"/>
        <w:jc w:val="both"/>
      </w:pPr>
      <w:r>
        <w:rPr>
          <w:b/>
          <w:bCs/>
          <w:sz w:val="25"/>
          <w:szCs w:val="25"/>
        </w:rPr>
        <w:t>References</w:t>
      </w:r>
    </w:p>
    <w:p w14:paraId="1A9CF52D" w14:textId="77777777" w:rsidR="00CB42E7" w:rsidRDefault="00000000" w:rsidP="00817D95">
      <w:pPr>
        <w:spacing w:after="120" w:line="360" w:lineRule="auto"/>
        <w:ind w:left="720" w:hanging="720"/>
        <w:jc w:val="both"/>
      </w:pPr>
      <w:r>
        <w:t xml:space="preserve">Aich, A., Chakraborty, A., Sudarshan, M., Chattopadhyay, B., &amp; Mukhopadhyay, S. K. (2012). Study of trace metals in Indian major carp species from wastewater-fed fishponds of East Calcutta Wetlands. </w:t>
      </w:r>
      <w:r>
        <w:rPr>
          <w:i/>
          <w:iCs/>
        </w:rPr>
        <w:t>Aquaculture Research</w:t>
      </w:r>
      <w:r>
        <w:t xml:space="preserve">, </w:t>
      </w:r>
      <w:r>
        <w:rPr>
          <w:i/>
          <w:iCs/>
        </w:rPr>
        <w:t>43</w:t>
      </w:r>
      <w:r>
        <w:t>(1), 53–65. https://doi.org/10.1111/j.1365-2109.2011.02800.x</w:t>
      </w:r>
    </w:p>
    <w:p w14:paraId="127680C3" w14:textId="77777777" w:rsidR="00CB42E7" w:rsidRDefault="00000000" w:rsidP="00817D95">
      <w:pPr>
        <w:spacing w:after="120" w:line="360" w:lineRule="auto"/>
        <w:ind w:left="720" w:hanging="720"/>
        <w:jc w:val="both"/>
      </w:pPr>
      <w:r>
        <w:lastRenderedPageBreak/>
        <w:t xml:space="preserve">Ali, H., &amp; Khan, E. (2018). Bioaccumulation of non-essential hazardous heavy metals and metalloids in freshwater fish. Risk to human health. </w:t>
      </w:r>
      <w:r>
        <w:rPr>
          <w:i/>
          <w:iCs/>
        </w:rPr>
        <w:t>Environmental Chemistry Letters</w:t>
      </w:r>
      <w:r>
        <w:t xml:space="preserve">, </w:t>
      </w:r>
      <w:r>
        <w:rPr>
          <w:i/>
          <w:iCs/>
        </w:rPr>
        <w:t>16</w:t>
      </w:r>
      <w:r>
        <w:t>(3), 903–917. https://doi.org/10.1007/s10311-018-0734-7</w:t>
      </w:r>
    </w:p>
    <w:p w14:paraId="67368244" w14:textId="77777777" w:rsidR="00CB42E7" w:rsidRDefault="00000000" w:rsidP="00817D95">
      <w:pPr>
        <w:spacing w:after="120" w:line="360" w:lineRule="auto"/>
        <w:ind w:left="720" w:hanging="720"/>
        <w:jc w:val="both"/>
      </w:pPr>
      <w:r>
        <w:t xml:space="preserve">Ali, H., &amp; Khan, E. (2019). Trophic transfer, bioaccumulation, and biomagnification of non-essential hazardous heavy metals and metalloids in food chains/webs—Concepts and implications for wildlife and human health. </w:t>
      </w:r>
      <w:r>
        <w:rPr>
          <w:i/>
          <w:iCs/>
        </w:rPr>
        <w:t>Human and Ecological Risk Assessment: An International Journal</w:t>
      </w:r>
      <w:r>
        <w:t xml:space="preserve">, </w:t>
      </w:r>
      <w:r>
        <w:rPr>
          <w:i/>
          <w:iCs/>
        </w:rPr>
        <w:t>25</w:t>
      </w:r>
      <w:r>
        <w:t>(6), 1353–1376. https://doi.org/10.1080/10807039.2018.1469398</w:t>
      </w:r>
    </w:p>
    <w:p w14:paraId="31306B35" w14:textId="77777777" w:rsidR="00CB42E7" w:rsidRDefault="00000000" w:rsidP="00817D95">
      <w:pPr>
        <w:spacing w:after="120" w:line="360" w:lineRule="auto"/>
        <w:ind w:left="720" w:hanging="720"/>
        <w:jc w:val="both"/>
      </w:pPr>
      <w:r>
        <w:t xml:space="preserve">Ali, M. M., Ali, M. L., Rakib, M. R. J., Islam, M. S., Bhuyan, M. S., </w:t>
      </w:r>
      <w:proofErr w:type="spellStart"/>
      <w:r>
        <w:t>Senapathi</w:t>
      </w:r>
      <w:proofErr w:type="spellEnd"/>
      <w:r>
        <w:t xml:space="preserve">, V., Chung, S. Y., Roy, P. D., Sekar, S., Islam, A. R. M. T., &amp; Rahman, M. Z. (2022). Seasonal </w:t>
      </w:r>
      <w:proofErr w:type="spellStart"/>
      <w:r>
        <w:t>behavior</w:t>
      </w:r>
      <w:proofErr w:type="spellEnd"/>
      <w:r>
        <w:t xml:space="preserve"> and accumulation of some toxic metals in commercial fishes from </w:t>
      </w:r>
      <w:proofErr w:type="spellStart"/>
      <w:r>
        <w:t>Kirtankhola</w:t>
      </w:r>
      <w:proofErr w:type="spellEnd"/>
      <w:r>
        <w:t xml:space="preserve"> tidal river of Bangladesh – A health risk taxation. </w:t>
      </w:r>
      <w:r>
        <w:rPr>
          <w:i/>
          <w:iCs/>
        </w:rPr>
        <w:t>Chemosphere</w:t>
      </w:r>
      <w:r>
        <w:t xml:space="preserve">, </w:t>
      </w:r>
      <w:r>
        <w:rPr>
          <w:i/>
          <w:iCs/>
        </w:rPr>
        <w:t>301</w:t>
      </w:r>
      <w:r>
        <w:t>, 134660. https://doi.org/10.1016/j.chemosphere.2022.134660</w:t>
      </w:r>
    </w:p>
    <w:p w14:paraId="298D9770" w14:textId="77777777" w:rsidR="00CB42E7" w:rsidRDefault="00000000" w:rsidP="00817D95">
      <w:pPr>
        <w:spacing w:after="120" w:line="360" w:lineRule="auto"/>
        <w:ind w:left="720" w:hanging="720"/>
        <w:jc w:val="both"/>
      </w:pPr>
      <w:proofErr w:type="spellStart"/>
      <w:r>
        <w:t>Baethge</w:t>
      </w:r>
      <w:proofErr w:type="spellEnd"/>
      <w:r>
        <w:t xml:space="preserve">, C., Goldbeck-Wood, S., &amp; Mertens, S. (2019). SANRA—a scale for the quality assessment of narrative review articles. </w:t>
      </w:r>
      <w:r>
        <w:rPr>
          <w:i/>
          <w:iCs/>
        </w:rPr>
        <w:t>Research Integrity and Peer Review</w:t>
      </w:r>
      <w:r>
        <w:t xml:space="preserve">, </w:t>
      </w:r>
      <w:r>
        <w:rPr>
          <w:i/>
          <w:iCs/>
        </w:rPr>
        <w:t>4</w:t>
      </w:r>
      <w:r>
        <w:t>, Article 5. https://doi.org/10.1186/s41073-019-0064-8</w:t>
      </w:r>
    </w:p>
    <w:p w14:paraId="37F76C98" w14:textId="77777777" w:rsidR="00CB42E7" w:rsidRDefault="00000000" w:rsidP="00817D95">
      <w:pPr>
        <w:spacing w:after="120" w:line="360" w:lineRule="auto"/>
        <w:ind w:left="720" w:hanging="720"/>
        <w:jc w:val="both"/>
      </w:pPr>
      <w:r>
        <w:t xml:space="preserve">Baruah, S. G., Ahmed, I., Das, B., </w:t>
      </w:r>
      <w:proofErr w:type="spellStart"/>
      <w:r>
        <w:t>Ingtipi</w:t>
      </w:r>
      <w:proofErr w:type="spellEnd"/>
      <w:r>
        <w:t xml:space="preserve">, B., Boruah, H., Gupta, S. K., Nema, A. K., &amp; </w:t>
      </w:r>
      <w:proofErr w:type="spellStart"/>
      <w:r>
        <w:t>Chabukdhara</w:t>
      </w:r>
      <w:proofErr w:type="spellEnd"/>
      <w:r>
        <w:t xml:space="preserve">, M. (2021). Heavy metal(loid)s contamination and health risk assessment of soil–rice system in rural and peri-urban areas of lower Brahmaputra valley, northeast India. </w:t>
      </w:r>
      <w:r>
        <w:rPr>
          <w:i/>
          <w:iCs/>
        </w:rPr>
        <w:t>Chemosphere</w:t>
      </w:r>
      <w:r>
        <w:t xml:space="preserve">, </w:t>
      </w:r>
      <w:r>
        <w:rPr>
          <w:i/>
          <w:iCs/>
        </w:rPr>
        <w:t>266</w:t>
      </w:r>
      <w:r>
        <w:t>, 129150. https://doi.org/10.1016/j.chemosphere.2020.129150</w:t>
      </w:r>
    </w:p>
    <w:p w14:paraId="2A0DD2F2" w14:textId="77777777" w:rsidR="00CB42E7" w:rsidRDefault="00000000" w:rsidP="00817D95">
      <w:pPr>
        <w:spacing w:after="120" w:line="360" w:lineRule="auto"/>
        <w:ind w:left="720" w:hanging="720"/>
        <w:jc w:val="both"/>
      </w:pPr>
      <w:r>
        <w:t xml:space="preserve">Basak, T., Banik, R. D., De, D., Pal, P., &amp; Pal, P. (2026). Tissue-specific arsenic bioaccumulation in </w:t>
      </w:r>
      <w:proofErr w:type="spellStart"/>
      <w:r>
        <w:rPr>
          <w:i/>
          <w:iCs/>
        </w:rPr>
        <w:t>Labeo</w:t>
      </w:r>
      <w:proofErr w:type="spellEnd"/>
      <w:r>
        <w:rPr>
          <w:i/>
          <w:iCs/>
        </w:rPr>
        <w:t xml:space="preserve"> </w:t>
      </w:r>
      <w:proofErr w:type="spellStart"/>
      <w:r>
        <w:rPr>
          <w:i/>
          <w:iCs/>
        </w:rPr>
        <w:t>rohita</w:t>
      </w:r>
      <w:proofErr w:type="spellEnd"/>
      <w:r>
        <w:t xml:space="preserve"> and </w:t>
      </w:r>
      <w:proofErr w:type="spellStart"/>
      <w:r>
        <w:rPr>
          <w:i/>
          <w:iCs/>
        </w:rPr>
        <w:t>Catla</w:t>
      </w:r>
      <w:proofErr w:type="spellEnd"/>
      <w:r>
        <w:rPr>
          <w:i/>
          <w:iCs/>
        </w:rPr>
        <w:t xml:space="preserve"> </w:t>
      </w:r>
      <w:proofErr w:type="spellStart"/>
      <w:r>
        <w:rPr>
          <w:i/>
          <w:iCs/>
        </w:rPr>
        <w:t>catla</w:t>
      </w:r>
      <w:proofErr w:type="spellEnd"/>
      <w:r>
        <w:t xml:space="preserve"> across contaminated districts of West Bengal, India. </w:t>
      </w:r>
      <w:r>
        <w:rPr>
          <w:i/>
          <w:iCs/>
        </w:rPr>
        <w:t>Bulletin of Environmental Contamination and Toxicology</w:t>
      </w:r>
      <w:r>
        <w:t xml:space="preserve">, </w:t>
      </w:r>
      <w:r>
        <w:rPr>
          <w:i/>
          <w:iCs/>
        </w:rPr>
        <w:t>116</w:t>
      </w:r>
      <w:r>
        <w:t>(3), Article 50. https://doi.org/10.1007/s00128-026-04210-5</w:t>
      </w:r>
    </w:p>
    <w:p w14:paraId="6F624B94" w14:textId="77777777" w:rsidR="009C068F" w:rsidRDefault="00000000" w:rsidP="00817D95">
      <w:pPr>
        <w:spacing w:after="120" w:line="360" w:lineRule="auto"/>
        <w:ind w:left="720" w:hanging="720"/>
        <w:jc w:val="both"/>
      </w:pPr>
      <w:r>
        <w:rPr>
          <w:b/>
          <w:highlight w:val="yellow"/>
        </w:rPr>
        <w:t xml:space="preserve">Begum, A., Rabbane, M. G., Moniruzzaman, M., Hasan, M. R., &amp; Chang, X. (2025). Cadmium pollution deteriorates the muscle quality of </w:t>
      </w:r>
      <w:r>
        <w:rPr>
          <w:b/>
          <w:i/>
          <w:highlight w:val="yellow"/>
        </w:rPr>
        <w:t>Labeo rohita</w:t>
      </w:r>
      <w:r>
        <w:rPr>
          <w:b/>
          <w:highlight w:val="yellow"/>
        </w:rPr>
        <w:t xml:space="preserve"> by altering its nutrients and intestinal microbiota diversity. </w:t>
      </w:r>
      <w:r>
        <w:rPr>
          <w:b/>
          <w:i/>
          <w:highlight w:val="yellow"/>
        </w:rPr>
        <w:t>Biological Trace Element Research</w:t>
      </w:r>
      <w:r>
        <w:rPr>
          <w:b/>
          <w:highlight w:val="yellow"/>
        </w:rPr>
        <w:t xml:space="preserve">, </w:t>
      </w:r>
      <w:r>
        <w:rPr>
          <w:b/>
          <w:i/>
          <w:highlight w:val="yellow"/>
        </w:rPr>
        <w:t>203</w:t>
      </w:r>
      <w:r>
        <w:rPr>
          <w:b/>
          <w:highlight w:val="yellow"/>
        </w:rPr>
        <w:t>(9), 4835–4852. https://doi.org/10.1007/s12011-025-04524-1</w:t>
      </w:r>
    </w:p>
    <w:p w14:paraId="28FA596A" w14:textId="77777777" w:rsidR="00CB42E7" w:rsidRDefault="00000000" w:rsidP="00817D95">
      <w:pPr>
        <w:spacing w:after="120" w:line="360" w:lineRule="auto"/>
        <w:ind w:left="720" w:hanging="720"/>
        <w:jc w:val="both"/>
      </w:pPr>
      <w:r>
        <w:t xml:space="preserve">Bhuyan, R., Brahma, P., </w:t>
      </w:r>
      <w:proofErr w:type="spellStart"/>
      <w:r>
        <w:t>Chabukdhara</w:t>
      </w:r>
      <w:proofErr w:type="spellEnd"/>
      <w:r>
        <w:t xml:space="preserve">, M., Tyagi, N., Gupta, S. K., &amp; Malik, T. (2023). Heavy metals contamination in sediments of Bharalu river, Guwahati, Assam, India: A tributary of river Brahmaputra. </w:t>
      </w:r>
      <w:r>
        <w:rPr>
          <w:i/>
          <w:iCs/>
        </w:rPr>
        <w:t>PLOS ONE</w:t>
      </w:r>
      <w:r>
        <w:t xml:space="preserve">, </w:t>
      </w:r>
      <w:r>
        <w:rPr>
          <w:i/>
          <w:iCs/>
        </w:rPr>
        <w:t>18</w:t>
      </w:r>
      <w:r>
        <w:t>(4), e0283665. https://doi.org/10.1371/journal.pone.0283665</w:t>
      </w:r>
    </w:p>
    <w:p w14:paraId="2744F9AC" w14:textId="77777777" w:rsidR="00CB42E7" w:rsidRDefault="00000000" w:rsidP="00817D95">
      <w:pPr>
        <w:spacing w:after="120" w:line="360" w:lineRule="auto"/>
        <w:ind w:left="720" w:hanging="720"/>
        <w:jc w:val="both"/>
      </w:pPr>
      <w:r>
        <w:t xml:space="preserve">Borah, R., Taki, K., Gogoi, A., Das, P., &amp; Kumar, M. (2018). Contemporary distribution and impending mobility of arsenic, copper and zinc in a </w:t>
      </w:r>
      <w:proofErr w:type="gramStart"/>
      <w:r>
        <w:t>tropical (Brahmaputra) river bed sediments</w:t>
      </w:r>
      <w:proofErr w:type="gramEnd"/>
      <w:r>
        <w:t xml:space="preserve">, Assam, India. </w:t>
      </w:r>
      <w:r>
        <w:rPr>
          <w:i/>
          <w:iCs/>
        </w:rPr>
        <w:t>Ecotoxicology and Environmental Safety</w:t>
      </w:r>
      <w:r>
        <w:t xml:space="preserve">, </w:t>
      </w:r>
      <w:r>
        <w:rPr>
          <w:i/>
          <w:iCs/>
        </w:rPr>
        <w:t>161</w:t>
      </w:r>
      <w:r>
        <w:t>, 769–776. https://doi.org/10.1016/j.ecoenv.2018.06.038</w:t>
      </w:r>
    </w:p>
    <w:p w14:paraId="1C2AFDE0" w14:textId="77777777" w:rsidR="00CB42E7" w:rsidRDefault="00000000" w:rsidP="00817D95">
      <w:pPr>
        <w:spacing w:after="120" w:line="360" w:lineRule="auto"/>
        <w:ind w:left="720" w:hanging="720"/>
        <w:jc w:val="both"/>
      </w:pPr>
      <w:r>
        <w:lastRenderedPageBreak/>
        <w:t xml:space="preserve">Bristy, M. S., Sarker, K. K., Baki, M. A., Quraishi, S. B., Hossain, M. M., Islam, A., &amp; Khan, M. F. (2021). Health risk estimation of metals bioaccumulated in commercial fish from coastal areas and rivers in Bangladesh. </w:t>
      </w:r>
      <w:r>
        <w:rPr>
          <w:i/>
          <w:iCs/>
        </w:rPr>
        <w:t>Environmental Toxicology and Pharmacology</w:t>
      </w:r>
      <w:r>
        <w:t xml:space="preserve">, </w:t>
      </w:r>
      <w:r>
        <w:rPr>
          <w:i/>
          <w:iCs/>
        </w:rPr>
        <w:t>86</w:t>
      </w:r>
      <w:r>
        <w:t>, 103666. https://doi.org/10.1016/j.etap.2021.103666</w:t>
      </w:r>
    </w:p>
    <w:p w14:paraId="385A2B4E" w14:textId="77777777" w:rsidR="00CB42E7" w:rsidRDefault="00000000" w:rsidP="00817D95">
      <w:pPr>
        <w:spacing w:after="120" w:line="360" w:lineRule="auto"/>
        <w:ind w:left="720" w:hanging="720"/>
        <w:jc w:val="both"/>
      </w:pPr>
      <w:r>
        <w:t xml:space="preserve">Chetia, M., Chatterjee, S., Banerjee, S., Nath, M. J., Singh, L., Srivastava, R. B., &amp; Sarma, H. P. (2011). Groundwater arsenic contamination in Brahmaputra river basin: A water quality assessment in </w:t>
      </w:r>
      <w:proofErr w:type="spellStart"/>
      <w:r>
        <w:t>Golaghat</w:t>
      </w:r>
      <w:proofErr w:type="spellEnd"/>
      <w:r>
        <w:t xml:space="preserve"> (Assam), India. </w:t>
      </w:r>
      <w:r>
        <w:rPr>
          <w:i/>
          <w:iCs/>
        </w:rPr>
        <w:t>Environmental Monitoring and Assessment</w:t>
      </w:r>
      <w:r>
        <w:t xml:space="preserve">, </w:t>
      </w:r>
      <w:r>
        <w:rPr>
          <w:i/>
          <w:iCs/>
        </w:rPr>
        <w:t>173</w:t>
      </w:r>
      <w:r>
        <w:t>(1–4), 371–385. https://doi.org/10.1007/s10661-010-1393-8</w:t>
      </w:r>
    </w:p>
    <w:p w14:paraId="763C1A43" w14:textId="77777777" w:rsidR="00CB42E7" w:rsidRDefault="00000000" w:rsidP="00817D95">
      <w:pPr>
        <w:spacing w:after="120" w:line="360" w:lineRule="auto"/>
        <w:ind w:left="720" w:hanging="720"/>
        <w:jc w:val="both"/>
      </w:pPr>
      <w:r>
        <w:t xml:space="preserve">Choudhury, C., Giri, S., Mazumder, R., Das, R., </w:t>
      </w:r>
      <w:proofErr w:type="spellStart"/>
      <w:r>
        <w:t>Barhoi</w:t>
      </w:r>
      <w:proofErr w:type="spellEnd"/>
      <w:r>
        <w:t xml:space="preserve">, D., &amp; Sengupta, M. (2023). Heavy metal bioaccumulation triggers </w:t>
      </w:r>
      <w:proofErr w:type="spellStart"/>
      <w:r>
        <w:t>oxystress</w:t>
      </w:r>
      <w:proofErr w:type="spellEnd"/>
      <w:r>
        <w:t xml:space="preserve">, genotoxicity and immunomodulation in head kidney macrophages of </w:t>
      </w:r>
      <w:r>
        <w:rPr>
          <w:i/>
          <w:iCs/>
        </w:rPr>
        <w:t>Channa punctatus</w:t>
      </w:r>
      <w:r>
        <w:t xml:space="preserve"> Bloch. </w:t>
      </w:r>
      <w:r>
        <w:rPr>
          <w:i/>
          <w:iCs/>
        </w:rPr>
        <w:t>Ecotoxicology</w:t>
      </w:r>
      <w:r>
        <w:t xml:space="preserve">, </w:t>
      </w:r>
      <w:r>
        <w:rPr>
          <w:i/>
          <w:iCs/>
        </w:rPr>
        <w:t>32</w:t>
      </w:r>
      <w:r>
        <w:t>(5), 553–568. https://doi.org/10.1007/s10646-023-02659-2</w:t>
      </w:r>
    </w:p>
    <w:p w14:paraId="7AC86EC1" w14:textId="77777777" w:rsidR="00CB42E7" w:rsidRDefault="00000000" w:rsidP="00817D95">
      <w:pPr>
        <w:spacing w:after="120" w:line="360" w:lineRule="auto"/>
        <w:ind w:left="720" w:hanging="720"/>
        <w:jc w:val="both"/>
      </w:pPr>
      <w:r>
        <w:t xml:space="preserve">Das, B., Borah, M. P., Goswami, L. M., &amp; Sharma, P. (2024). Detection of heavy metal accumulation and potential health risk assessment of selected fish species from </w:t>
      </w:r>
      <w:proofErr w:type="spellStart"/>
      <w:r>
        <w:t>Kolong</w:t>
      </w:r>
      <w:proofErr w:type="spellEnd"/>
      <w:r>
        <w:t xml:space="preserve"> River, Assam, India. </w:t>
      </w:r>
      <w:r>
        <w:rPr>
          <w:i/>
          <w:iCs/>
        </w:rPr>
        <w:t>Toxicology International</w:t>
      </w:r>
      <w:r>
        <w:t xml:space="preserve">, </w:t>
      </w:r>
      <w:r>
        <w:rPr>
          <w:i/>
          <w:iCs/>
        </w:rPr>
        <w:t>31</w:t>
      </w:r>
      <w:r>
        <w:t>(4), 657–667. https://doi.org/10.18311/ti/2024/v31i4/36466</w:t>
      </w:r>
    </w:p>
    <w:p w14:paraId="764DCA09" w14:textId="77777777" w:rsidR="00CB42E7" w:rsidRDefault="00000000" w:rsidP="00817D95">
      <w:pPr>
        <w:spacing w:after="120" w:line="360" w:lineRule="auto"/>
        <w:ind w:left="720" w:hanging="720"/>
        <w:jc w:val="both"/>
      </w:pPr>
      <w:r>
        <w:t xml:space="preserve">Das, D., Das, P., </w:t>
      </w:r>
      <w:proofErr w:type="spellStart"/>
      <w:r>
        <w:t>Moniruzzaman</w:t>
      </w:r>
      <w:proofErr w:type="spellEnd"/>
      <w:r>
        <w:t xml:space="preserve">, M., Poddar Sarkar, M., Mukherjee, J., &amp; Chakraborty, S. B. (2018). Consequences of oxidative damage and mitochondrial dysfunction on the fatty acid profile of muscle of Indian major carps considering metal toxicity. </w:t>
      </w:r>
      <w:r>
        <w:rPr>
          <w:i/>
          <w:iCs/>
        </w:rPr>
        <w:t>Chemosphere</w:t>
      </w:r>
      <w:r>
        <w:t xml:space="preserve">, </w:t>
      </w:r>
      <w:r>
        <w:rPr>
          <w:i/>
          <w:iCs/>
        </w:rPr>
        <w:t>207</w:t>
      </w:r>
      <w:r>
        <w:t>, 385–396. https://doi.org/10.1016/j.chemosphere.2018.05.108</w:t>
      </w:r>
    </w:p>
    <w:p w14:paraId="214CB914" w14:textId="77777777" w:rsidR="00CB42E7" w:rsidRDefault="00000000" w:rsidP="00817D95">
      <w:pPr>
        <w:spacing w:after="120" w:line="360" w:lineRule="auto"/>
        <w:ind w:left="720" w:hanging="720"/>
        <w:jc w:val="both"/>
      </w:pPr>
      <w:r>
        <w:t xml:space="preserve">Das, D., </w:t>
      </w:r>
      <w:proofErr w:type="spellStart"/>
      <w:r>
        <w:t>Moniruzzaman</w:t>
      </w:r>
      <w:proofErr w:type="spellEnd"/>
      <w:r>
        <w:t xml:space="preserve">, M., </w:t>
      </w:r>
      <w:proofErr w:type="spellStart"/>
      <w:r>
        <w:t>Sarbajna</w:t>
      </w:r>
      <w:proofErr w:type="spellEnd"/>
      <w:r>
        <w:t xml:space="preserve">, A., &amp; Chakraborty, S. B. (2017). Effect of heavy metals on tissue-specific antioxidant response in Indian major carps. </w:t>
      </w:r>
      <w:r>
        <w:rPr>
          <w:i/>
          <w:iCs/>
        </w:rPr>
        <w:t>Environmental Science and Pollution Research</w:t>
      </w:r>
      <w:r>
        <w:t xml:space="preserve">, </w:t>
      </w:r>
      <w:r>
        <w:rPr>
          <w:i/>
          <w:iCs/>
        </w:rPr>
        <w:t>24</w:t>
      </w:r>
      <w:r>
        <w:t>(22), 18010–18024. https://doi.org/10.1007/s11356-017-9415-5</w:t>
      </w:r>
    </w:p>
    <w:p w14:paraId="1764E6D8" w14:textId="77777777" w:rsidR="00CB42E7" w:rsidRDefault="00000000" w:rsidP="00817D95">
      <w:pPr>
        <w:spacing w:after="120" w:line="360" w:lineRule="auto"/>
        <w:ind w:left="720" w:hanging="720"/>
        <w:jc w:val="both"/>
      </w:pPr>
      <w:r>
        <w:t xml:space="preserve">Das, M., &amp; </w:t>
      </w:r>
      <w:proofErr w:type="spellStart"/>
      <w:r>
        <w:t>Semy</w:t>
      </w:r>
      <w:proofErr w:type="spellEnd"/>
      <w:r>
        <w:t xml:space="preserve">, K. (2023). Monitoring the dynamics of acid mine drainage affected stream surface water hydrochemistry at Jaintia Hills, Meghalaya, India. </w:t>
      </w:r>
      <w:r>
        <w:rPr>
          <w:i/>
          <w:iCs/>
        </w:rPr>
        <w:t>Environmental Science and Pollution Research</w:t>
      </w:r>
      <w:r>
        <w:t xml:space="preserve">, </w:t>
      </w:r>
      <w:r>
        <w:rPr>
          <w:i/>
          <w:iCs/>
        </w:rPr>
        <w:t>30</w:t>
      </w:r>
      <w:r>
        <w:t>(30), 75489–75499. https://doi.org/10.1007/s11356-023-27606-w</w:t>
      </w:r>
    </w:p>
    <w:p w14:paraId="14F8B740" w14:textId="77777777" w:rsidR="00CB42E7" w:rsidRDefault="00000000" w:rsidP="00817D95">
      <w:pPr>
        <w:spacing w:after="120" w:line="360" w:lineRule="auto"/>
        <w:ind w:left="720" w:hanging="720"/>
        <w:jc w:val="both"/>
      </w:pPr>
      <w:r>
        <w:t xml:space="preserve">Das, S., &amp; Choudhury, S. S. (2016). Analysis of heavy metals from water, sediment, and tissues of </w:t>
      </w:r>
      <w:proofErr w:type="spellStart"/>
      <w:r>
        <w:rPr>
          <w:i/>
          <w:iCs/>
        </w:rPr>
        <w:t>Labeo</w:t>
      </w:r>
      <w:proofErr w:type="spellEnd"/>
      <w:r>
        <w:rPr>
          <w:i/>
          <w:iCs/>
        </w:rPr>
        <w:t xml:space="preserve"> </w:t>
      </w:r>
      <w:proofErr w:type="spellStart"/>
      <w:r>
        <w:rPr>
          <w:i/>
          <w:iCs/>
        </w:rPr>
        <w:t>angra</w:t>
      </w:r>
      <w:proofErr w:type="spellEnd"/>
      <w:r>
        <w:t xml:space="preserve"> (Hamilton, 1822), from an ox-box lake—</w:t>
      </w:r>
      <w:proofErr w:type="gramStart"/>
      <w:r>
        <w:t>An</w:t>
      </w:r>
      <w:proofErr w:type="gramEnd"/>
      <w:r>
        <w:t xml:space="preserve"> wetland site from Assam, India. </w:t>
      </w:r>
      <w:r>
        <w:rPr>
          <w:i/>
          <w:iCs/>
        </w:rPr>
        <w:t>Journal of Environmental Science and Health, Part A</w:t>
      </w:r>
      <w:r>
        <w:t xml:space="preserve">, </w:t>
      </w:r>
      <w:r>
        <w:rPr>
          <w:i/>
          <w:iCs/>
        </w:rPr>
        <w:t>51</w:t>
      </w:r>
      <w:r>
        <w:t>(1), 21–33. https://doi.org/10.1080/10934529.2015.1079102</w:t>
      </w:r>
    </w:p>
    <w:p w14:paraId="249AD05E" w14:textId="77777777" w:rsidR="00CB42E7" w:rsidRDefault="00000000" w:rsidP="00817D95">
      <w:pPr>
        <w:spacing w:after="120" w:line="360" w:lineRule="auto"/>
        <w:ind w:left="720" w:hanging="720"/>
        <w:jc w:val="both"/>
      </w:pPr>
      <w:r>
        <w:t xml:space="preserve">Dash, S., Borah, S. S., &amp; </w:t>
      </w:r>
      <w:proofErr w:type="spellStart"/>
      <w:r>
        <w:t>Kalamdhad</w:t>
      </w:r>
      <w:proofErr w:type="spellEnd"/>
      <w:r>
        <w:t xml:space="preserve">, A. (2019). A modified indexing approach for assessment of heavy metal contamination in </w:t>
      </w:r>
      <w:proofErr w:type="spellStart"/>
      <w:r>
        <w:t>Deepor</w:t>
      </w:r>
      <w:proofErr w:type="spellEnd"/>
      <w:r>
        <w:t xml:space="preserve"> Beel, India. </w:t>
      </w:r>
      <w:r>
        <w:rPr>
          <w:i/>
          <w:iCs/>
        </w:rPr>
        <w:t>Ecological Indicators</w:t>
      </w:r>
      <w:r>
        <w:t xml:space="preserve">, </w:t>
      </w:r>
      <w:r>
        <w:rPr>
          <w:i/>
          <w:iCs/>
        </w:rPr>
        <w:t>106</w:t>
      </w:r>
      <w:r>
        <w:t>, 105444. https://doi.org/10.1016/j.ecolind.2019.105444</w:t>
      </w:r>
    </w:p>
    <w:p w14:paraId="62386FE0" w14:textId="77777777" w:rsidR="00CB42E7" w:rsidRDefault="00000000" w:rsidP="00817D95">
      <w:pPr>
        <w:spacing w:after="120" w:line="360" w:lineRule="auto"/>
        <w:ind w:left="720" w:hanging="720"/>
        <w:jc w:val="both"/>
      </w:pPr>
      <w:r>
        <w:t xml:space="preserve">Dash, S., Borah, S. S., &amp; </w:t>
      </w:r>
      <w:proofErr w:type="spellStart"/>
      <w:r>
        <w:t>Kalamdhad</w:t>
      </w:r>
      <w:proofErr w:type="spellEnd"/>
      <w:r>
        <w:t xml:space="preserve">, A. S. (2020). Application of positive matrix factorization receptor model and elemental analysis for the assessment of sediment contamination and their source </w:t>
      </w:r>
      <w:r>
        <w:lastRenderedPageBreak/>
        <w:t xml:space="preserve">apportionment of </w:t>
      </w:r>
      <w:proofErr w:type="spellStart"/>
      <w:r>
        <w:t>Deepor</w:t>
      </w:r>
      <w:proofErr w:type="spellEnd"/>
      <w:r>
        <w:t xml:space="preserve"> Beel, Assam, India. </w:t>
      </w:r>
      <w:r>
        <w:rPr>
          <w:i/>
          <w:iCs/>
        </w:rPr>
        <w:t>Ecological Indicators</w:t>
      </w:r>
      <w:r>
        <w:t xml:space="preserve">, </w:t>
      </w:r>
      <w:r>
        <w:rPr>
          <w:i/>
          <w:iCs/>
        </w:rPr>
        <w:t>114</w:t>
      </w:r>
      <w:r>
        <w:t>, 106291. https://doi.org/10.1016/j.ecolind.2020.106291</w:t>
      </w:r>
    </w:p>
    <w:p w14:paraId="2A28DA64" w14:textId="77777777" w:rsidR="00CB42E7" w:rsidRDefault="00000000" w:rsidP="00817D95">
      <w:pPr>
        <w:spacing w:after="120" w:line="360" w:lineRule="auto"/>
        <w:ind w:left="720" w:hanging="720"/>
        <w:jc w:val="both"/>
      </w:pPr>
      <w:r>
        <w:t xml:space="preserve">Dutta, S., Barman, R., </w:t>
      </w:r>
      <w:proofErr w:type="spellStart"/>
      <w:r>
        <w:t>Radhapyari</w:t>
      </w:r>
      <w:proofErr w:type="spellEnd"/>
      <w:r>
        <w:t xml:space="preserve">, K., Datta, S., Lale, K., Ray, B., Chakraborty, T., &amp; Srivastava, S. K. (2022). Potentially toxic elements in groundwater of the upper Brahmaputra floodplains of Assam, India: Water quality and health risk. </w:t>
      </w:r>
      <w:r>
        <w:rPr>
          <w:i/>
          <w:iCs/>
        </w:rPr>
        <w:t>Environmental Monitoring and Assessment</w:t>
      </w:r>
      <w:r>
        <w:t xml:space="preserve">, </w:t>
      </w:r>
      <w:r>
        <w:rPr>
          <w:i/>
          <w:iCs/>
        </w:rPr>
        <w:t>194</w:t>
      </w:r>
      <w:r>
        <w:t>(12), Article 923. https://doi.org/10.1007/s10661-022-10637-0</w:t>
      </w:r>
    </w:p>
    <w:p w14:paraId="7C4EE506" w14:textId="77777777" w:rsidR="00CB42E7" w:rsidRDefault="00000000" w:rsidP="00817D95">
      <w:pPr>
        <w:spacing w:after="120" w:line="360" w:lineRule="auto"/>
        <w:ind w:left="720" w:hanging="720"/>
        <w:jc w:val="both"/>
      </w:pPr>
      <w:r>
        <w:t xml:space="preserve">Gogoi, A., Taki, K., &amp; Kumar, M. (2020). Seasonal dynamics of metal phase distributions in the perennial tropical (Brahmaputra) river: Environmental fate and transport perspective. </w:t>
      </w:r>
      <w:r>
        <w:rPr>
          <w:i/>
          <w:iCs/>
        </w:rPr>
        <w:t>Environmental Research</w:t>
      </w:r>
      <w:r>
        <w:t xml:space="preserve">, </w:t>
      </w:r>
      <w:r>
        <w:rPr>
          <w:i/>
          <w:iCs/>
        </w:rPr>
        <w:t>183</w:t>
      </w:r>
      <w:r>
        <w:t>, 109265. https://doi.org/10.1016/j.envres.2020.109265</w:t>
      </w:r>
    </w:p>
    <w:p w14:paraId="79B507F2" w14:textId="77777777" w:rsidR="00CB42E7" w:rsidRDefault="00000000" w:rsidP="00817D95">
      <w:pPr>
        <w:spacing w:after="120" w:line="360" w:lineRule="auto"/>
        <w:ind w:left="720" w:hanging="720"/>
        <w:jc w:val="both"/>
      </w:pPr>
      <w:r>
        <w:t xml:space="preserve">Goswami, R., Kumar, M., Biyani, N., &amp; Shea, P. J. (2020). Arsenic exposure and perception of health risk due to groundwater contamination in Majuli (river island), Assam, India. </w:t>
      </w:r>
      <w:r>
        <w:rPr>
          <w:i/>
          <w:iCs/>
        </w:rPr>
        <w:t>Environmental Geochemistry and Health</w:t>
      </w:r>
      <w:r>
        <w:t xml:space="preserve">, </w:t>
      </w:r>
      <w:r>
        <w:rPr>
          <w:i/>
          <w:iCs/>
        </w:rPr>
        <w:t>42</w:t>
      </w:r>
      <w:r>
        <w:t>(2), 443–460. https://doi.org/10.1007/s10653-019-00373-9</w:t>
      </w:r>
    </w:p>
    <w:p w14:paraId="30FEB6FE" w14:textId="77777777" w:rsidR="00CB42E7" w:rsidRDefault="00000000" w:rsidP="00817D95">
      <w:pPr>
        <w:spacing w:after="120" w:line="360" w:lineRule="auto"/>
        <w:ind w:left="720" w:hanging="720"/>
        <w:jc w:val="both"/>
      </w:pPr>
      <w:r>
        <w:t xml:space="preserve">Greenhalgh, T., Thorne, S., &amp; </w:t>
      </w:r>
      <w:proofErr w:type="spellStart"/>
      <w:r>
        <w:t>Malterud</w:t>
      </w:r>
      <w:proofErr w:type="spellEnd"/>
      <w:r>
        <w:t xml:space="preserve">, K. (2018). </w:t>
      </w:r>
      <w:r>
        <w:rPr>
          <w:i/>
          <w:iCs/>
        </w:rPr>
        <w:t>Time to challenge the spurious hierarchy of systematic over narrative reviews? European Journal of Clinical Investigation</w:t>
      </w:r>
      <w:r>
        <w:t xml:space="preserve">, </w:t>
      </w:r>
      <w:r>
        <w:rPr>
          <w:i/>
          <w:iCs/>
        </w:rPr>
        <w:t>48</w:t>
      </w:r>
      <w:r>
        <w:t>(6), e12931. https://doi.org/10.1111/eci.12931</w:t>
      </w:r>
    </w:p>
    <w:p w14:paraId="36BEED4A" w14:textId="77777777" w:rsidR="00CB42E7" w:rsidRDefault="00000000" w:rsidP="00817D95">
      <w:pPr>
        <w:spacing w:after="120" w:line="360" w:lineRule="auto"/>
        <w:ind w:left="720" w:hanging="720"/>
        <w:jc w:val="both"/>
      </w:pPr>
      <w:r>
        <w:t xml:space="preserve">Gupta, A. (1996). Heavy metals in water, </w:t>
      </w:r>
      <w:proofErr w:type="spellStart"/>
      <w:r>
        <w:t>periphytonic</w:t>
      </w:r>
      <w:proofErr w:type="spellEnd"/>
      <w:r>
        <w:t xml:space="preserve"> algae, detritus, and insects from two streams in Shillong, northeastern India. </w:t>
      </w:r>
      <w:r>
        <w:rPr>
          <w:i/>
          <w:iCs/>
        </w:rPr>
        <w:t>Environmental Monitoring and Assessment</w:t>
      </w:r>
      <w:r>
        <w:t xml:space="preserve">, </w:t>
      </w:r>
      <w:r>
        <w:rPr>
          <w:i/>
          <w:iCs/>
        </w:rPr>
        <w:t>40</w:t>
      </w:r>
      <w:r>
        <w:t>(3), 215–223. https://doi.org/10.1007/BF00398867</w:t>
      </w:r>
    </w:p>
    <w:p w14:paraId="55A20081" w14:textId="77777777" w:rsidR="00CB42E7" w:rsidRDefault="00000000" w:rsidP="00817D95">
      <w:pPr>
        <w:spacing w:after="120" w:line="360" w:lineRule="auto"/>
        <w:ind w:left="720" w:hanging="720"/>
        <w:jc w:val="both"/>
      </w:pPr>
      <w:r>
        <w:t xml:space="preserve">Gupta, A. (1998). Metal accumulation by riverine and lacustrine populations of </w:t>
      </w:r>
      <w:proofErr w:type="spellStart"/>
      <w:r>
        <w:rPr>
          <w:i/>
          <w:iCs/>
        </w:rPr>
        <w:t>Angulyagra</w:t>
      </w:r>
      <w:proofErr w:type="spellEnd"/>
      <w:r>
        <w:rPr>
          <w:i/>
          <w:iCs/>
        </w:rPr>
        <w:t xml:space="preserve"> </w:t>
      </w:r>
      <w:proofErr w:type="spellStart"/>
      <w:r>
        <w:rPr>
          <w:i/>
          <w:iCs/>
        </w:rPr>
        <w:t>oxytropis</w:t>
      </w:r>
      <w:proofErr w:type="spellEnd"/>
      <w:r>
        <w:t xml:space="preserve"> (Benson) (</w:t>
      </w:r>
      <w:proofErr w:type="spellStart"/>
      <w:r>
        <w:t>Gastropoda</w:t>
      </w:r>
      <w:proofErr w:type="spellEnd"/>
      <w:r>
        <w:t xml:space="preserve">: </w:t>
      </w:r>
      <w:proofErr w:type="spellStart"/>
      <w:r>
        <w:t>Viviparidae</w:t>
      </w:r>
      <w:proofErr w:type="spellEnd"/>
      <w:r>
        <w:t xml:space="preserve">). </w:t>
      </w:r>
      <w:r>
        <w:rPr>
          <w:i/>
          <w:iCs/>
        </w:rPr>
        <w:t>Environmental Monitoring and Assessment</w:t>
      </w:r>
      <w:r>
        <w:t xml:space="preserve">, </w:t>
      </w:r>
      <w:r>
        <w:rPr>
          <w:i/>
          <w:iCs/>
        </w:rPr>
        <w:t>50</w:t>
      </w:r>
      <w:r>
        <w:t>(3), 249–254. https://doi.org/10.1023/A:1005858314811</w:t>
      </w:r>
    </w:p>
    <w:p w14:paraId="42FA3FC9" w14:textId="77777777" w:rsidR="00CB42E7" w:rsidRDefault="00000000" w:rsidP="00817D95">
      <w:pPr>
        <w:spacing w:after="120" w:line="360" w:lineRule="auto"/>
        <w:ind w:left="720" w:hanging="720"/>
        <w:jc w:val="both"/>
      </w:pPr>
      <w:proofErr w:type="spellStart"/>
      <w:r>
        <w:t>Haloi</w:t>
      </w:r>
      <w:proofErr w:type="spellEnd"/>
      <w:r>
        <w:t xml:space="preserve">, N., &amp; Sarma, H. P. (2012). Heavy metal contaminations in the groundwater of Brahmaputra flood plain: An assessment of water quality in </w:t>
      </w:r>
      <w:proofErr w:type="spellStart"/>
      <w:r>
        <w:t>Barpeta</w:t>
      </w:r>
      <w:proofErr w:type="spellEnd"/>
      <w:r>
        <w:t xml:space="preserve"> District, Assam (India). </w:t>
      </w:r>
      <w:r>
        <w:rPr>
          <w:i/>
          <w:iCs/>
        </w:rPr>
        <w:t>Environmental Monitoring and Assessment</w:t>
      </w:r>
      <w:r>
        <w:t xml:space="preserve">, </w:t>
      </w:r>
      <w:r>
        <w:rPr>
          <w:i/>
          <w:iCs/>
        </w:rPr>
        <w:t>184</w:t>
      </w:r>
      <w:r>
        <w:t>(10), 6229–6237. https://doi.org/10.1007/s10661-011-2415-x</w:t>
      </w:r>
    </w:p>
    <w:p w14:paraId="156DE394" w14:textId="77777777" w:rsidR="00CB42E7" w:rsidRDefault="00000000" w:rsidP="00817D95">
      <w:pPr>
        <w:spacing w:after="120" w:line="360" w:lineRule="auto"/>
        <w:ind w:left="720" w:hanging="720"/>
        <w:jc w:val="both"/>
      </w:pPr>
      <w:r>
        <w:t xml:space="preserve">Hazarika, A. K., &amp; Kalita, U. (2020). Incidence of heavy metals and river restoration assessment of a major South Asian transboundary river. </w:t>
      </w:r>
      <w:r>
        <w:rPr>
          <w:i/>
          <w:iCs/>
        </w:rPr>
        <w:t>Environmental Science and Pollution Research</w:t>
      </w:r>
      <w:r>
        <w:t xml:space="preserve">, </w:t>
      </w:r>
      <w:r>
        <w:rPr>
          <w:i/>
          <w:iCs/>
        </w:rPr>
        <w:t>27</w:t>
      </w:r>
      <w:r>
        <w:t>(25), 31595–31614. https://doi.org/10.1007/s11356-020-09328-5</w:t>
      </w:r>
    </w:p>
    <w:p w14:paraId="33C06B46" w14:textId="77777777" w:rsidR="00CB42E7" w:rsidRDefault="00000000" w:rsidP="00817D95">
      <w:pPr>
        <w:spacing w:after="120" w:line="360" w:lineRule="auto"/>
        <w:ind w:left="720" w:hanging="720"/>
        <w:jc w:val="both"/>
      </w:pPr>
      <w:r>
        <w:t xml:space="preserve">Hoque, R. R., Goswami, K. G., </w:t>
      </w:r>
      <w:proofErr w:type="spellStart"/>
      <w:r>
        <w:t>Kusre</w:t>
      </w:r>
      <w:proofErr w:type="spellEnd"/>
      <w:r>
        <w:t xml:space="preserve">, B. C., &amp; Sarma, K. P. (2011). Distribution and solid-phase speciation of toxic heavy metals of bed sediments of Bharali tributary of Brahmaputra River. </w:t>
      </w:r>
      <w:r>
        <w:rPr>
          <w:i/>
          <w:iCs/>
        </w:rPr>
        <w:t>Environmental Monitoring and Assessment</w:t>
      </w:r>
      <w:r>
        <w:t xml:space="preserve">, </w:t>
      </w:r>
      <w:r>
        <w:rPr>
          <w:i/>
          <w:iCs/>
        </w:rPr>
        <w:t>177</w:t>
      </w:r>
      <w:r>
        <w:t>(1–4), 457–466. https://doi.org/10.1007/s10661-010-1647-5</w:t>
      </w:r>
    </w:p>
    <w:p w14:paraId="77E03358" w14:textId="77777777" w:rsidR="00CB42E7" w:rsidRDefault="00000000" w:rsidP="00817D95">
      <w:pPr>
        <w:spacing w:after="120" w:line="360" w:lineRule="auto"/>
        <w:ind w:left="720" w:hanging="720"/>
        <w:jc w:val="both"/>
      </w:pPr>
      <w:r>
        <w:lastRenderedPageBreak/>
        <w:t xml:space="preserve">Hossain, M. A. R., Das, I., </w:t>
      </w:r>
      <w:proofErr w:type="spellStart"/>
      <w:r>
        <w:t>Genevier</w:t>
      </w:r>
      <w:proofErr w:type="spellEnd"/>
      <w:r>
        <w:t xml:space="preserve">, L., Hazra, S., Rahman, M., </w:t>
      </w:r>
      <w:proofErr w:type="spellStart"/>
      <w:r>
        <w:t>Barange</w:t>
      </w:r>
      <w:proofErr w:type="spellEnd"/>
      <w:r>
        <w:t xml:space="preserve">, M., &amp; Fernandes, J. A. (2019). Biology and fisheries of hilsa shad in Bay of Bengal. </w:t>
      </w:r>
      <w:r>
        <w:rPr>
          <w:i/>
          <w:iCs/>
        </w:rPr>
        <w:t>Science of the Total Environment</w:t>
      </w:r>
      <w:r>
        <w:t xml:space="preserve">, </w:t>
      </w:r>
      <w:r>
        <w:rPr>
          <w:i/>
          <w:iCs/>
        </w:rPr>
        <w:t>651</w:t>
      </w:r>
      <w:r>
        <w:t>, 1720–1734. https://doi.org/10.1016/j.scitotenv.2018.10.034</w:t>
      </w:r>
    </w:p>
    <w:p w14:paraId="6F1EABC8" w14:textId="77777777" w:rsidR="00CB42E7" w:rsidRDefault="00000000" w:rsidP="00817D95">
      <w:pPr>
        <w:spacing w:after="120" w:line="360" w:lineRule="auto"/>
        <w:ind w:left="720" w:hanging="720"/>
        <w:jc w:val="both"/>
      </w:pPr>
      <w:r>
        <w:t xml:space="preserve">Hossain, M. K., Parvin, A., Parvin, A., Islam, F., Saha, B., Kabir, M. A., </w:t>
      </w:r>
      <w:proofErr w:type="spellStart"/>
      <w:r>
        <w:t>Shahjadee</w:t>
      </w:r>
      <w:proofErr w:type="spellEnd"/>
      <w:r>
        <w:t xml:space="preserve">, U. F., Hossain, A., </w:t>
      </w:r>
      <w:proofErr w:type="spellStart"/>
      <w:r>
        <w:t>Moniruzzaman</w:t>
      </w:r>
      <w:proofErr w:type="spellEnd"/>
      <w:r>
        <w:t xml:space="preserve">, M., &amp; Suchi, P. D. (2024). Health hazardous </w:t>
      </w:r>
      <w:proofErr w:type="gramStart"/>
      <w:r>
        <w:t>index based</w:t>
      </w:r>
      <w:proofErr w:type="gramEnd"/>
      <w:r>
        <w:t xml:space="preserve"> trace metals and essential acids analysis of size-dependent market available Hilsa fish, Bangladesh: Experimental and chemometric approaches. </w:t>
      </w:r>
      <w:r>
        <w:rPr>
          <w:i/>
          <w:iCs/>
        </w:rPr>
        <w:t>Marine Pollution Bulletin</w:t>
      </w:r>
      <w:r>
        <w:t xml:space="preserve">, </w:t>
      </w:r>
      <w:r>
        <w:rPr>
          <w:i/>
          <w:iCs/>
        </w:rPr>
        <w:t>208</w:t>
      </w:r>
      <w:r>
        <w:t>, 116975. https://doi.org/10.1016/j.marpolbul.2024.116975</w:t>
      </w:r>
    </w:p>
    <w:p w14:paraId="06B0F864" w14:textId="77777777" w:rsidR="00CB42E7" w:rsidRDefault="00000000" w:rsidP="00817D95">
      <w:pPr>
        <w:spacing w:after="120" w:line="360" w:lineRule="auto"/>
        <w:ind w:left="720" w:hanging="720"/>
        <w:jc w:val="both"/>
      </w:pPr>
      <w:r>
        <w:t xml:space="preserve">Kalita, D., &amp; Das, A. K. (2025). Flood-induced heavy metal contamination and associated human health risk assessment over a riverine settlement in mid-Brahmaputra Valley, India. </w:t>
      </w:r>
      <w:r>
        <w:rPr>
          <w:i/>
          <w:iCs/>
        </w:rPr>
        <w:t>Environmental Monitoring and Assessment</w:t>
      </w:r>
      <w:r>
        <w:t xml:space="preserve">, </w:t>
      </w:r>
      <w:r>
        <w:rPr>
          <w:i/>
          <w:iCs/>
        </w:rPr>
        <w:t>197</w:t>
      </w:r>
      <w:r>
        <w:t>(9), Article 1033. https://doi.org/10.1007/s10661-025-14446-z</w:t>
      </w:r>
    </w:p>
    <w:p w14:paraId="4E35DAFC" w14:textId="77777777" w:rsidR="00CB42E7" w:rsidRPr="00817D95" w:rsidRDefault="00000000" w:rsidP="00817D95">
      <w:pPr>
        <w:spacing w:after="120" w:line="360" w:lineRule="auto"/>
        <w:ind w:left="720" w:hanging="720"/>
        <w:jc w:val="both"/>
      </w:pPr>
      <w:r w:rsidRPr="00817D95">
        <w:t xml:space="preserve">Kumar, M., Gupta, N., Ratn, A., Awasthi, Y., Prasad, R., Trivedi, A., &amp; Trivedi, S. P. (2020). Biomonitoring of heavy metals in river Ganga water, sediments, plant, and fishes of different trophic levels. </w:t>
      </w:r>
      <w:r w:rsidRPr="00817D95">
        <w:rPr>
          <w:i/>
          <w:iCs/>
        </w:rPr>
        <w:t>Biological Trace Element Research</w:t>
      </w:r>
      <w:r w:rsidRPr="00817D95">
        <w:t xml:space="preserve">, </w:t>
      </w:r>
      <w:r w:rsidRPr="00817D95">
        <w:rPr>
          <w:i/>
          <w:iCs/>
        </w:rPr>
        <w:t>193</w:t>
      </w:r>
      <w:r w:rsidRPr="00817D95">
        <w:t>(2), 536–547. https://doi.org/10.1007/s12011-019-01736-0</w:t>
      </w:r>
    </w:p>
    <w:p w14:paraId="031EDA68" w14:textId="77777777" w:rsidR="00CB42E7" w:rsidRPr="00817D95" w:rsidRDefault="00000000" w:rsidP="00817D95">
      <w:pPr>
        <w:spacing w:after="120" w:line="360" w:lineRule="auto"/>
        <w:ind w:left="720" w:hanging="720"/>
        <w:jc w:val="both"/>
      </w:pPr>
      <w:r w:rsidRPr="00817D95">
        <w:t xml:space="preserve">Kumar, N., Chandan, N. K., Bhushan, S., Singh, D. K., &amp; Kumar, S. (2023). Health risk assessment and metal contamination in fish, water and soil sediments in the East Kolkata Wetlands, India, Ramsar site. </w:t>
      </w:r>
      <w:r w:rsidRPr="00817D95">
        <w:rPr>
          <w:i/>
          <w:iCs/>
        </w:rPr>
        <w:t>Scientific Reports</w:t>
      </w:r>
      <w:r w:rsidRPr="00817D95">
        <w:t xml:space="preserve">, </w:t>
      </w:r>
      <w:r w:rsidRPr="00817D95">
        <w:rPr>
          <w:i/>
          <w:iCs/>
        </w:rPr>
        <w:t>13</w:t>
      </w:r>
      <w:r w:rsidRPr="00817D95">
        <w:t>(1), Article 1546. https://doi.org/10.1038/s41598-023-28801-y</w:t>
      </w:r>
    </w:p>
    <w:p w14:paraId="51AD67A0" w14:textId="77777777" w:rsidR="00CB42E7" w:rsidRPr="00817D95" w:rsidRDefault="00000000" w:rsidP="00817D95">
      <w:pPr>
        <w:spacing w:after="120" w:line="360" w:lineRule="auto"/>
        <w:ind w:left="720" w:hanging="720"/>
        <w:jc w:val="both"/>
      </w:pPr>
      <w:r w:rsidRPr="00817D95">
        <w:t xml:space="preserve">Kumar, V., Swain, H. S., Upadhyay, A., Ramteke, M. H., Sarkar, D. J., Roy, S., &amp; Das, B. K. (2024). Bioaccumulation of potentially toxic elements in commercially important food fish species from lower Gangetic stretch: Food security and human health risk assessment. </w:t>
      </w:r>
      <w:r w:rsidRPr="00817D95">
        <w:rPr>
          <w:i/>
          <w:iCs/>
        </w:rPr>
        <w:t>Biological Trace Element Research</w:t>
      </w:r>
      <w:r w:rsidRPr="00817D95">
        <w:t xml:space="preserve">, </w:t>
      </w:r>
      <w:r w:rsidRPr="00817D95">
        <w:rPr>
          <w:i/>
          <w:iCs/>
        </w:rPr>
        <w:t>202</w:t>
      </w:r>
      <w:r w:rsidRPr="00817D95">
        <w:t>(3), 1235–1248. https://doi.org/10.1007/s12011-023-03743-8</w:t>
      </w:r>
    </w:p>
    <w:p w14:paraId="046D468A" w14:textId="77777777" w:rsidR="009C068F" w:rsidRPr="00817D95" w:rsidRDefault="00000000" w:rsidP="00817D95">
      <w:pPr>
        <w:spacing w:after="120" w:line="360" w:lineRule="auto"/>
        <w:ind w:left="720" w:hanging="720"/>
        <w:jc w:val="both"/>
      </w:pPr>
      <w:r w:rsidRPr="00817D95">
        <w:rPr>
          <w:highlight w:val="yellow"/>
        </w:rPr>
        <w:t xml:space="preserve">Kumari, P., Parida, V. K., Raj, D., Kumar, P., Narayan, M., &amp; Gupta, U. (2025). Assessment of water, sediment, and fish contamination by metals in the lentic ecosystems of a mineral-rich state in India. </w:t>
      </w:r>
      <w:r w:rsidRPr="00817D95">
        <w:rPr>
          <w:i/>
          <w:highlight w:val="yellow"/>
        </w:rPr>
        <w:t>Biological Trace Element Research</w:t>
      </w:r>
      <w:r w:rsidRPr="00817D95">
        <w:rPr>
          <w:highlight w:val="yellow"/>
        </w:rPr>
        <w:t xml:space="preserve">, </w:t>
      </w:r>
      <w:r w:rsidRPr="00817D95">
        <w:rPr>
          <w:i/>
          <w:highlight w:val="yellow"/>
        </w:rPr>
        <w:t>203</w:t>
      </w:r>
      <w:r w:rsidRPr="00817D95">
        <w:rPr>
          <w:highlight w:val="yellow"/>
        </w:rPr>
        <w:t>(12), 6337–6352. https://doi.org/10.1007/s12011-025-04644-8</w:t>
      </w:r>
    </w:p>
    <w:p w14:paraId="6F37C557" w14:textId="77777777" w:rsidR="00CB42E7" w:rsidRPr="00817D95" w:rsidRDefault="00000000" w:rsidP="00817D95">
      <w:pPr>
        <w:spacing w:after="120" w:line="360" w:lineRule="auto"/>
        <w:ind w:left="720" w:hanging="720"/>
        <w:jc w:val="both"/>
      </w:pPr>
      <w:r w:rsidRPr="00817D95">
        <w:t xml:space="preserve">Laishram, R. J., Singh, T. B., &amp; Alam, W. (2023). A comprehensive health risk assessment associated with bioaccumulation of heavy metals and nutrients in selected macrophytes of </w:t>
      </w:r>
      <w:proofErr w:type="spellStart"/>
      <w:r w:rsidRPr="00817D95">
        <w:t>Loktak</w:t>
      </w:r>
      <w:proofErr w:type="spellEnd"/>
      <w:r w:rsidRPr="00817D95">
        <w:t xml:space="preserve"> Lake, Manipur, India. </w:t>
      </w:r>
      <w:r w:rsidRPr="00817D95">
        <w:rPr>
          <w:i/>
          <w:iCs/>
        </w:rPr>
        <w:t>Environmental Science and Pollution Research</w:t>
      </w:r>
      <w:r w:rsidRPr="00817D95">
        <w:t xml:space="preserve">, </w:t>
      </w:r>
      <w:r w:rsidRPr="00817D95">
        <w:rPr>
          <w:i/>
          <w:iCs/>
        </w:rPr>
        <w:t>30</w:t>
      </w:r>
      <w:r w:rsidRPr="00817D95">
        <w:t>(48), 105329–105352. https://doi.org/10.1007/s11356-023-29606-2</w:t>
      </w:r>
    </w:p>
    <w:p w14:paraId="499A9710" w14:textId="77777777" w:rsidR="00CB42E7" w:rsidRPr="00817D95" w:rsidRDefault="00000000" w:rsidP="00817D95">
      <w:pPr>
        <w:spacing w:after="120" w:line="360" w:lineRule="auto"/>
        <w:ind w:left="720" w:hanging="720"/>
        <w:jc w:val="both"/>
      </w:pPr>
      <w:r w:rsidRPr="00817D95">
        <w:t xml:space="preserve">Lau, C., Lu, X., Chen, X., Hoy, K. S., Davydiuk, T., Graydon, J. A., Reichert, M., LeBlanc, A., </w:t>
      </w:r>
      <w:proofErr w:type="spellStart"/>
      <w:r w:rsidRPr="00817D95">
        <w:t>Donadt</w:t>
      </w:r>
      <w:proofErr w:type="spellEnd"/>
      <w:r w:rsidRPr="00817D95">
        <w:t xml:space="preserve">, C., </w:t>
      </w:r>
      <w:proofErr w:type="spellStart"/>
      <w:r w:rsidRPr="00817D95">
        <w:t>Jhangri</w:t>
      </w:r>
      <w:proofErr w:type="spellEnd"/>
      <w:r w:rsidRPr="00817D95">
        <w:t xml:space="preserve">, G., &amp; Le, X. C. (2025). Arsenic speciation in more than 1600 freshwater fish </w:t>
      </w:r>
      <w:r w:rsidRPr="00817D95">
        <w:lastRenderedPageBreak/>
        <w:t xml:space="preserve">samples from fifty-three waterbodies in Alberta, Canada. </w:t>
      </w:r>
      <w:r w:rsidRPr="00817D95">
        <w:rPr>
          <w:i/>
          <w:iCs/>
        </w:rPr>
        <w:t>Journal of Environmental Sciences</w:t>
      </w:r>
      <w:r w:rsidRPr="00817D95">
        <w:t xml:space="preserve">, </w:t>
      </w:r>
      <w:r w:rsidRPr="00817D95">
        <w:rPr>
          <w:i/>
          <w:iCs/>
        </w:rPr>
        <w:t>153</w:t>
      </w:r>
      <w:r w:rsidRPr="00817D95">
        <w:t>, 289–301. https://doi.org/10.1016/j.jes.2024.12.009</w:t>
      </w:r>
    </w:p>
    <w:p w14:paraId="4AA20F69" w14:textId="77777777" w:rsidR="00CB42E7" w:rsidRPr="00817D95" w:rsidRDefault="00000000" w:rsidP="00817D95">
      <w:pPr>
        <w:spacing w:after="120" w:line="360" w:lineRule="auto"/>
        <w:ind w:left="720" w:hanging="720"/>
        <w:jc w:val="both"/>
      </w:pPr>
      <w:r w:rsidRPr="00817D95">
        <w:t xml:space="preserve">Le </w:t>
      </w:r>
      <w:proofErr w:type="spellStart"/>
      <w:r w:rsidRPr="00817D95">
        <w:t>Croizier</w:t>
      </w:r>
      <w:proofErr w:type="spellEnd"/>
      <w:r w:rsidRPr="00817D95">
        <w:t xml:space="preserve">, G., Lacroix, C., Artigaud, S., Le Floch, S., Raffray, J., </w:t>
      </w:r>
      <w:proofErr w:type="spellStart"/>
      <w:r w:rsidRPr="00817D95">
        <w:t>Penicaud</w:t>
      </w:r>
      <w:proofErr w:type="spellEnd"/>
      <w:r w:rsidRPr="00817D95">
        <w:t xml:space="preserve">, V., Coquillé, V., </w:t>
      </w:r>
      <w:proofErr w:type="spellStart"/>
      <w:r w:rsidRPr="00817D95">
        <w:t>Autier</w:t>
      </w:r>
      <w:proofErr w:type="spellEnd"/>
      <w:r w:rsidRPr="00817D95">
        <w:t xml:space="preserve">, J., Rouget, M. L., Le Bayon, N., </w:t>
      </w:r>
      <w:proofErr w:type="spellStart"/>
      <w:r w:rsidRPr="00817D95">
        <w:t>Laë</w:t>
      </w:r>
      <w:proofErr w:type="spellEnd"/>
      <w:r w:rsidRPr="00817D95">
        <w:t xml:space="preserve">, R., &amp; Tito De Morais, L. (2018). Significance of </w:t>
      </w:r>
      <w:proofErr w:type="spellStart"/>
      <w:r w:rsidRPr="00817D95">
        <w:t>metallothioneins</w:t>
      </w:r>
      <w:proofErr w:type="spellEnd"/>
      <w:r w:rsidRPr="00817D95">
        <w:t xml:space="preserve"> in differential cadmium accumulation kinetics between two marine fish species. </w:t>
      </w:r>
      <w:r w:rsidRPr="00817D95">
        <w:rPr>
          <w:i/>
          <w:iCs/>
        </w:rPr>
        <w:t>Environmental Pollution</w:t>
      </w:r>
      <w:r w:rsidRPr="00817D95">
        <w:t xml:space="preserve">, </w:t>
      </w:r>
      <w:r w:rsidRPr="00817D95">
        <w:rPr>
          <w:i/>
          <w:iCs/>
        </w:rPr>
        <w:t>236</w:t>
      </w:r>
      <w:r w:rsidRPr="00817D95">
        <w:t>, 462–476. https://doi.org/10.1016/j.envpol.2018.01.002</w:t>
      </w:r>
    </w:p>
    <w:p w14:paraId="46361DBD" w14:textId="77777777" w:rsidR="00CB42E7" w:rsidRPr="00817D95" w:rsidRDefault="00000000" w:rsidP="00817D95">
      <w:pPr>
        <w:spacing w:after="120" w:line="360" w:lineRule="auto"/>
        <w:ind w:left="720" w:hanging="720"/>
        <w:jc w:val="both"/>
      </w:pPr>
      <w:proofErr w:type="spellStart"/>
      <w:r w:rsidRPr="00817D95">
        <w:t>Mayanglambam</w:t>
      </w:r>
      <w:proofErr w:type="spellEnd"/>
      <w:r w:rsidRPr="00817D95">
        <w:t xml:space="preserve">, B., &amp; Neelam, S. S. (2024). Assessment of metal contamination in fish and vegetables/macrophytes from and around </w:t>
      </w:r>
      <w:proofErr w:type="spellStart"/>
      <w:r w:rsidRPr="00817D95">
        <w:t>Loktak</w:t>
      </w:r>
      <w:proofErr w:type="spellEnd"/>
      <w:r w:rsidRPr="00817D95">
        <w:t xml:space="preserve"> Lake, Manipur, India. </w:t>
      </w:r>
      <w:r w:rsidRPr="00817D95">
        <w:rPr>
          <w:i/>
          <w:iCs/>
        </w:rPr>
        <w:t>Arabian Journal of Geosciences</w:t>
      </w:r>
      <w:r w:rsidRPr="00817D95">
        <w:t xml:space="preserve">, </w:t>
      </w:r>
      <w:r w:rsidRPr="00817D95">
        <w:rPr>
          <w:i/>
          <w:iCs/>
        </w:rPr>
        <w:t>17</w:t>
      </w:r>
      <w:r w:rsidRPr="00817D95">
        <w:t>(1), Article 2. https://doi.org/10.1007/s12517-023-11808-0</w:t>
      </w:r>
    </w:p>
    <w:p w14:paraId="251FB966" w14:textId="77777777" w:rsidR="00CB42E7" w:rsidRPr="00817D95" w:rsidRDefault="00000000" w:rsidP="00817D95">
      <w:pPr>
        <w:spacing w:after="120" w:line="360" w:lineRule="auto"/>
        <w:ind w:left="720" w:hanging="720"/>
        <w:jc w:val="both"/>
      </w:pPr>
      <w:r w:rsidRPr="00817D95">
        <w:t xml:space="preserve">Maurya, P. K., Malik, D. S., Yadav, K. K., Kumar, A., Kumar, S., &amp; </w:t>
      </w:r>
      <w:proofErr w:type="spellStart"/>
      <w:r w:rsidRPr="00817D95">
        <w:t>Kamyab</w:t>
      </w:r>
      <w:proofErr w:type="spellEnd"/>
      <w:r w:rsidRPr="00817D95">
        <w:t xml:space="preserve">, H. (2019). Bioaccumulation and potential sources of heavy metal contamination in fish species in River Ganga basin: Possible human health risks evaluation. </w:t>
      </w:r>
      <w:r w:rsidRPr="00817D95">
        <w:rPr>
          <w:i/>
          <w:iCs/>
        </w:rPr>
        <w:t>Toxicology Reports</w:t>
      </w:r>
      <w:r w:rsidRPr="00817D95">
        <w:t xml:space="preserve">, </w:t>
      </w:r>
      <w:r w:rsidRPr="00817D95">
        <w:rPr>
          <w:i/>
          <w:iCs/>
        </w:rPr>
        <w:t>6</w:t>
      </w:r>
      <w:r w:rsidRPr="00817D95">
        <w:t>, 472–481. https://doi.org/10.1016/j.toxrep.2019.05.012</w:t>
      </w:r>
    </w:p>
    <w:p w14:paraId="4D183A72" w14:textId="77777777" w:rsidR="00CB42E7" w:rsidRPr="00817D95" w:rsidRDefault="00000000" w:rsidP="00817D95">
      <w:pPr>
        <w:spacing w:after="120" w:line="360" w:lineRule="auto"/>
        <w:ind w:left="720" w:hanging="720"/>
        <w:jc w:val="both"/>
      </w:pPr>
      <w:r w:rsidRPr="00817D95">
        <w:t xml:space="preserve">Nath, B., Chowdhury, R., Ni-Meister, W., &amp; Mahanta, C. (2022). Predicting the distribution of arsenic in groundwater by a geospatial machine learning technique in the two most affected districts of Assam, India: The public health implications. </w:t>
      </w:r>
      <w:proofErr w:type="spellStart"/>
      <w:r w:rsidRPr="00817D95">
        <w:rPr>
          <w:i/>
          <w:iCs/>
        </w:rPr>
        <w:t>GeoHealth</w:t>
      </w:r>
      <w:proofErr w:type="spellEnd"/>
      <w:r w:rsidRPr="00817D95">
        <w:t xml:space="preserve">, </w:t>
      </w:r>
      <w:r w:rsidRPr="00817D95">
        <w:rPr>
          <w:i/>
          <w:iCs/>
        </w:rPr>
        <w:t>6</w:t>
      </w:r>
      <w:r w:rsidRPr="00817D95">
        <w:t>(3), e2021GH000585. https://doi.org/10.1029/2021GH000585</w:t>
      </w:r>
    </w:p>
    <w:p w14:paraId="358710B0" w14:textId="77777777" w:rsidR="00CB42E7" w:rsidRPr="00817D95" w:rsidRDefault="00000000" w:rsidP="00817D95">
      <w:pPr>
        <w:spacing w:after="120" w:line="360" w:lineRule="auto"/>
        <w:ind w:left="720" w:hanging="720"/>
        <w:jc w:val="both"/>
      </w:pPr>
      <w:r w:rsidRPr="00817D95">
        <w:t>Niri, A. S., Sharifian, S., &amp; Ahmadi, R. (2015). Assessment of metal accumulation in two fish species (</w:t>
      </w:r>
      <w:proofErr w:type="spellStart"/>
      <w:r w:rsidRPr="00817D95">
        <w:rPr>
          <w:i/>
          <w:iCs/>
        </w:rPr>
        <w:t>Tenualosa</w:t>
      </w:r>
      <w:proofErr w:type="spellEnd"/>
      <w:r w:rsidRPr="00817D95">
        <w:rPr>
          <w:i/>
          <w:iCs/>
        </w:rPr>
        <w:t xml:space="preserve"> </w:t>
      </w:r>
      <w:proofErr w:type="spellStart"/>
      <w:r w:rsidRPr="00817D95">
        <w:rPr>
          <w:i/>
          <w:iCs/>
        </w:rPr>
        <w:t>ilisha</w:t>
      </w:r>
      <w:proofErr w:type="spellEnd"/>
      <w:r w:rsidRPr="00817D95">
        <w:t xml:space="preserve"> and </w:t>
      </w:r>
      <w:proofErr w:type="spellStart"/>
      <w:r w:rsidRPr="00817D95">
        <w:rPr>
          <w:i/>
          <w:iCs/>
        </w:rPr>
        <w:t>Otolithes</w:t>
      </w:r>
      <w:proofErr w:type="spellEnd"/>
      <w:r w:rsidRPr="00817D95">
        <w:rPr>
          <w:i/>
          <w:iCs/>
        </w:rPr>
        <w:t xml:space="preserve"> </w:t>
      </w:r>
      <w:proofErr w:type="spellStart"/>
      <w:r w:rsidRPr="00817D95">
        <w:rPr>
          <w:i/>
          <w:iCs/>
        </w:rPr>
        <w:t>ruber</w:t>
      </w:r>
      <w:proofErr w:type="spellEnd"/>
      <w:r w:rsidRPr="00817D95">
        <w:t xml:space="preserve">), captured from the north of Persian Gulf. </w:t>
      </w:r>
      <w:r w:rsidRPr="00817D95">
        <w:rPr>
          <w:i/>
          <w:iCs/>
        </w:rPr>
        <w:t>Bulletin of Environmental Contamination and Toxicology</w:t>
      </w:r>
      <w:r w:rsidRPr="00817D95">
        <w:t xml:space="preserve">, </w:t>
      </w:r>
      <w:r w:rsidRPr="00817D95">
        <w:rPr>
          <w:i/>
          <w:iCs/>
        </w:rPr>
        <w:t>94</w:t>
      </w:r>
      <w:r w:rsidRPr="00817D95">
        <w:t>(1), 71–76. https://doi.org/10.1007/s00128-014-1429-9</w:t>
      </w:r>
    </w:p>
    <w:p w14:paraId="199811A6" w14:textId="77777777" w:rsidR="00CB42E7" w:rsidRPr="00817D95" w:rsidRDefault="00000000" w:rsidP="00817D95">
      <w:pPr>
        <w:spacing w:after="120" w:line="360" w:lineRule="auto"/>
        <w:ind w:left="720" w:hanging="720"/>
        <w:jc w:val="both"/>
      </w:pPr>
      <w:r w:rsidRPr="00817D95">
        <w:t>Pal, D., &amp; Maiti, S. K. (2018). Seasonal variation of heavy metals in water, sediment, and highly consumed cultured fish (</w:t>
      </w:r>
      <w:proofErr w:type="spellStart"/>
      <w:r w:rsidRPr="00817D95">
        <w:rPr>
          <w:i/>
          <w:iCs/>
        </w:rPr>
        <w:t>Labeo</w:t>
      </w:r>
      <w:proofErr w:type="spellEnd"/>
      <w:r w:rsidRPr="00817D95">
        <w:rPr>
          <w:i/>
          <w:iCs/>
        </w:rPr>
        <w:t xml:space="preserve"> </w:t>
      </w:r>
      <w:proofErr w:type="spellStart"/>
      <w:r w:rsidRPr="00817D95">
        <w:rPr>
          <w:i/>
          <w:iCs/>
        </w:rPr>
        <w:t>rohita</w:t>
      </w:r>
      <w:proofErr w:type="spellEnd"/>
      <w:r w:rsidRPr="00817D95">
        <w:t xml:space="preserve"> and </w:t>
      </w:r>
      <w:proofErr w:type="spellStart"/>
      <w:r w:rsidRPr="00817D95">
        <w:rPr>
          <w:i/>
          <w:iCs/>
        </w:rPr>
        <w:t>Labeo</w:t>
      </w:r>
      <w:proofErr w:type="spellEnd"/>
      <w:r w:rsidRPr="00817D95">
        <w:rPr>
          <w:i/>
          <w:iCs/>
        </w:rPr>
        <w:t xml:space="preserve"> bata</w:t>
      </w:r>
      <w:r w:rsidRPr="00817D95">
        <w:t xml:space="preserve">) and potential health risk assessment in aquaculture pond of the coal city, Dhanbad (India). </w:t>
      </w:r>
      <w:r w:rsidRPr="00817D95">
        <w:rPr>
          <w:i/>
          <w:iCs/>
        </w:rPr>
        <w:t>Environmental Science and Pollution Research</w:t>
      </w:r>
      <w:r w:rsidRPr="00817D95">
        <w:t xml:space="preserve">, </w:t>
      </w:r>
      <w:r w:rsidRPr="00817D95">
        <w:rPr>
          <w:i/>
          <w:iCs/>
        </w:rPr>
        <w:t>25</w:t>
      </w:r>
      <w:r w:rsidRPr="00817D95">
        <w:t>(13), 12464–12480. https://doi.org/10.1007/s11356-018-1424-5</w:t>
      </w:r>
    </w:p>
    <w:p w14:paraId="79E9BB62" w14:textId="77777777" w:rsidR="00CB42E7" w:rsidRPr="00817D95" w:rsidRDefault="00000000" w:rsidP="00817D95">
      <w:pPr>
        <w:spacing w:after="120" w:line="360" w:lineRule="auto"/>
        <w:ind w:left="720" w:hanging="720"/>
        <w:jc w:val="both"/>
      </w:pPr>
      <w:r w:rsidRPr="00817D95">
        <w:t xml:space="preserve">Patel, A. K., Das, N., &amp; Kumar, M. (2019). Multilayer arsenic mobilization and </w:t>
      </w:r>
      <w:proofErr w:type="spellStart"/>
      <w:r w:rsidRPr="00817D95">
        <w:t>multimetal</w:t>
      </w:r>
      <w:proofErr w:type="spellEnd"/>
      <w:r w:rsidRPr="00817D95">
        <w:t xml:space="preserve"> co-enrichment in the alluvium (Brahmaputra) plains of India: A tale of redox domination along the depth. </w:t>
      </w:r>
      <w:r w:rsidRPr="00817D95">
        <w:rPr>
          <w:i/>
          <w:iCs/>
        </w:rPr>
        <w:t>Chemosphere</w:t>
      </w:r>
      <w:r w:rsidRPr="00817D95">
        <w:t xml:space="preserve">, </w:t>
      </w:r>
      <w:r w:rsidRPr="00817D95">
        <w:rPr>
          <w:i/>
          <w:iCs/>
        </w:rPr>
        <w:t>224</w:t>
      </w:r>
      <w:r w:rsidRPr="00817D95">
        <w:t>, 140–150. https://doi.org/10.1016/j.chemosphere.2019.02.097</w:t>
      </w:r>
    </w:p>
    <w:p w14:paraId="16C693A4" w14:textId="77777777" w:rsidR="00CB42E7" w:rsidRPr="00817D95" w:rsidRDefault="00000000" w:rsidP="00817D95">
      <w:pPr>
        <w:spacing w:after="120" w:line="360" w:lineRule="auto"/>
        <w:ind w:left="720" w:hanging="720"/>
        <w:jc w:val="both"/>
      </w:pPr>
      <w:proofErr w:type="spellStart"/>
      <w:r w:rsidRPr="00817D95">
        <w:t>Raknuzzaman</w:t>
      </w:r>
      <w:proofErr w:type="spellEnd"/>
      <w:r w:rsidRPr="00817D95">
        <w:t xml:space="preserve">, M., Habibullah-Al-Mamun, M., Hossain, A., </w:t>
      </w:r>
      <w:proofErr w:type="spellStart"/>
      <w:r w:rsidRPr="00817D95">
        <w:t>Tokumura</w:t>
      </w:r>
      <w:proofErr w:type="spellEnd"/>
      <w:r w:rsidRPr="00817D95">
        <w:t>, M., &amp; Masunaga, S. (2022). Organ-specific accumulation of toxic elements in hilsa shad (</w:t>
      </w:r>
      <w:proofErr w:type="spellStart"/>
      <w:r w:rsidRPr="00817D95">
        <w:rPr>
          <w:i/>
          <w:iCs/>
        </w:rPr>
        <w:t>Tenualosa</w:t>
      </w:r>
      <w:proofErr w:type="spellEnd"/>
      <w:r w:rsidRPr="00817D95">
        <w:rPr>
          <w:i/>
          <w:iCs/>
        </w:rPr>
        <w:t xml:space="preserve"> </w:t>
      </w:r>
      <w:proofErr w:type="spellStart"/>
      <w:r w:rsidRPr="00817D95">
        <w:rPr>
          <w:i/>
          <w:iCs/>
        </w:rPr>
        <w:t>ilisha</w:t>
      </w:r>
      <w:proofErr w:type="spellEnd"/>
      <w:r w:rsidRPr="00817D95">
        <w:t xml:space="preserve">) from Bangladesh and human health risk assessment. </w:t>
      </w:r>
      <w:r w:rsidRPr="00817D95">
        <w:rPr>
          <w:i/>
          <w:iCs/>
        </w:rPr>
        <w:t>Journal of Environmental Exposure Assessment</w:t>
      </w:r>
      <w:r w:rsidRPr="00817D95">
        <w:t xml:space="preserve">, </w:t>
      </w:r>
      <w:r w:rsidRPr="00817D95">
        <w:rPr>
          <w:i/>
          <w:iCs/>
        </w:rPr>
        <w:t>1</w:t>
      </w:r>
      <w:r w:rsidRPr="00817D95">
        <w:t>(1), Article 4. https://doi.org/10.20517/jeea.2021.05</w:t>
      </w:r>
    </w:p>
    <w:p w14:paraId="5B1AC9ED" w14:textId="77777777" w:rsidR="009C068F" w:rsidRPr="00817D95" w:rsidRDefault="00000000" w:rsidP="00817D95">
      <w:pPr>
        <w:spacing w:after="120" w:line="360" w:lineRule="auto"/>
        <w:ind w:left="720" w:hanging="720"/>
        <w:jc w:val="both"/>
      </w:pPr>
      <w:r w:rsidRPr="00817D95">
        <w:rPr>
          <w:highlight w:val="yellow"/>
        </w:rPr>
        <w:t xml:space="preserve">Ray, A., Mondal, D., Mukherjee, D., &amp; Chakraborty, N. (2025). Hexavalent chromium induced bioaccumulation, oxidative responses and histological anomalies in freshwater carp </w:t>
      </w:r>
      <w:r w:rsidRPr="00817D95">
        <w:rPr>
          <w:i/>
          <w:highlight w:val="yellow"/>
        </w:rPr>
        <w:t xml:space="preserve">Labeo </w:t>
      </w:r>
      <w:r w:rsidRPr="00817D95">
        <w:rPr>
          <w:i/>
          <w:highlight w:val="yellow"/>
        </w:rPr>
        <w:lastRenderedPageBreak/>
        <w:t>rohita</w:t>
      </w:r>
      <w:r w:rsidRPr="00817D95">
        <w:rPr>
          <w:highlight w:val="yellow"/>
        </w:rPr>
        <w:t xml:space="preserve"> (Hamilton, 1822). </w:t>
      </w:r>
      <w:r w:rsidRPr="00817D95">
        <w:rPr>
          <w:i/>
          <w:highlight w:val="yellow"/>
        </w:rPr>
        <w:t>BioMetals</w:t>
      </w:r>
      <w:r w:rsidRPr="00817D95">
        <w:rPr>
          <w:highlight w:val="yellow"/>
        </w:rPr>
        <w:t xml:space="preserve">, </w:t>
      </w:r>
      <w:r w:rsidRPr="00817D95">
        <w:rPr>
          <w:i/>
          <w:highlight w:val="yellow"/>
        </w:rPr>
        <w:t>38</w:t>
      </w:r>
      <w:r w:rsidRPr="00817D95">
        <w:rPr>
          <w:highlight w:val="yellow"/>
        </w:rPr>
        <w:t>(4), 1315–1335. https://doi.org/10.1007/s10534-025-00708-3</w:t>
      </w:r>
    </w:p>
    <w:p w14:paraId="2DC170A6" w14:textId="77777777" w:rsidR="00CB42E7" w:rsidRPr="00817D95" w:rsidRDefault="00000000" w:rsidP="00817D95">
      <w:pPr>
        <w:spacing w:after="120" w:line="360" w:lineRule="auto"/>
        <w:ind w:left="720" w:hanging="720"/>
        <w:jc w:val="both"/>
      </w:pPr>
      <w:r w:rsidRPr="00817D95">
        <w:t xml:space="preserve">Shaheen, N., Sultana, M., Hasan, T., Khan, I. N., Irfan, N. M., &amp; Ahmed, M. K. (2025). Heavy metals in common fishes consumed in Dhaka, a megacity of Asia: A probabilistic carcinogenic and non-carcinogenic health hazard. </w:t>
      </w:r>
      <w:r w:rsidRPr="00817D95">
        <w:rPr>
          <w:i/>
          <w:iCs/>
        </w:rPr>
        <w:t>Biological Trace Element Research</w:t>
      </w:r>
      <w:r w:rsidRPr="00817D95">
        <w:t xml:space="preserve">, </w:t>
      </w:r>
      <w:r w:rsidRPr="00817D95">
        <w:rPr>
          <w:i/>
          <w:iCs/>
        </w:rPr>
        <w:t>203</w:t>
      </w:r>
      <w:r w:rsidRPr="00817D95">
        <w:t>(1), 384–399. https://doi.org/10.1007/s12011-024-04140-5</w:t>
      </w:r>
    </w:p>
    <w:p w14:paraId="710B6B31" w14:textId="77777777" w:rsidR="00CB42E7" w:rsidRPr="00817D95" w:rsidRDefault="00000000" w:rsidP="00817D95">
      <w:pPr>
        <w:spacing w:after="120" w:line="360" w:lineRule="auto"/>
        <w:ind w:left="720" w:hanging="720"/>
        <w:jc w:val="both"/>
      </w:pPr>
      <w:proofErr w:type="spellStart"/>
      <w:r w:rsidRPr="00817D95">
        <w:t>Shorna</w:t>
      </w:r>
      <w:proofErr w:type="spellEnd"/>
      <w:r w:rsidRPr="00817D95">
        <w:t xml:space="preserve">, S., Shawkat, S., Hossain, A., Quraishi, S. B., Ullah, A. K. M. A., Hosen, M. M., Hossain, M. K., Saha, B., Paul, B., &amp; Habibullah-Al-Mamun, M. (2021). Accumulation of trace metals in indigenous fish species from the Old Brahmaputra River in Bangladesh and human health risk implications. </w:t>
      </w:r>
      <w:r w:rsidRPr="00817D95">
        <w:rPr>
          <w:i/>
          <w:iCs/>
        </w:rPr>
        <w:t>Biological Trace Element Research</w:t>
      </w:r>
      <w:r w:rsidRPr="00817D95">
        <w:t xml:space="preserve">, </w:t>
      </w:r>
      <w:r w:rsidRPr="00817D95">
        <w:rPr>
          <w:i/>
          <w:iCs/>
        </w:rPr>
        <w:t>199</w:t>
      </w:r>
      <w:r w:rsidRPr="00817D95">
        <w:t>(9), 3478–3488. https://doi.org/10.1007/s12011-020-02450-y</w:t>
      </w:r>
    </w:p>
    <w:p w14:paraId="5E1C1D4D" w14:textId="77777777" w:rsidR="00CB42E7" w:rsidRPr="00817D95" w:rsidRDefault="00000000" w:rsidP="00817D95">
      <w:pPr>
        <w:spacing w:after="120" w:line="360" w:lineRule="auto"/>
        <w:ind w:left="720" w:hanging="720"/>
        <w:jc w:val="both"/>
      </w:pPr>
      <w:r w:rsidRPr="00817D95">
        <w:t xml:space="preserve">Shridhar, K., Krishnatreya, M., Sarkar, S., Kumar, R., Kondal, D., Kuriakose, S., Rs, V., Singh, A. K., Kataki, A. C., Ghosh, A., Mukherjee, A., Prabhakaran, D., Mondal, D., Prabhakaran, P., &amp; Dhillon, P. K. (2023). Chronic exposure to drinking water arsenic and gallbladder cancer risk: Preliminary evidence from endemic regions of India. </w:t>
      </w:r>
      <w:r w:rsidRPr="00817D95">
        <w:rPr>
          <w:i/>
          <w:iCs/>
        </w:rPr>
        <w:t>Cancer Epidemiology, Biomarkers &amp; Prevention</w:t>
      </w:r>
      <w:r w:rsidRPr="00817D95">
        <w:t xml:space="preserve">, </w:t>
      </w:r>
      <w:r w:rsidRPr="00817D95">
        <w:rPr>
          <w:i/>
          <w:iCs/>
        </w:rPr>
        <w:t>32</w:t>
      </w:r>
      <w:r w:rsidRPr="00817D95">
        <w:t>(3), 406–414. https://doi.org/10.1158/1055-9965.EPI-22-0926</w:t>
      </w:r>
    </w:p>
    <w:p w14:paraId="779CFF64" w14:textId="77777777" w:rsidR="00CB42E7" w:rsidRPr="00817D95" w:rsidRDefault="00000000" w:rsidP="00817D95">
      <w:pPr>
        <w:spacing w:after="120" w:line="360" w:lineRule="auto"/>
        <w:ind w:left="720" w:hanging="720"/>
        <w:jc w:val="both"/>
      </w:pPr>
      <w:proofErr w:type="spellStart"/>
      <w:r w:rsidRPr="00817D95">
        <w:t>Sonone</w:t>
      </w:r>
      <w:proofErr w:type="spellEnd"/>
      <w:r w:rsidRPr="00817D95">
        <w:t xml:space="preserve">, S. D., </w:t>
      </w:r>
      <w:proofErr w:type="spellStart"/>
      <w:r w:rsidRPr="00817D95">
        <w:t>Jorvekar</w:t>
      </w:r>
      <w:proofErr w:type="spellEnd"/>
      <w:r w:rsidRPr="00817D95">
        <w:t xml:space="preserve">, S. B., Naik, D. D., </w:t>
      </w:r>
      <w:proofErr w:type="spellStart"/>
      <w:r w:rsidRPr="00817D95">
        <w:t>Saharia</w:t>
      </w:r>
      <w:proofErr w:type="spellEnd"/>
      <w:r w:rsidRPr="00817D95">
        <w:t xml:space="preserve">, N., &amp; Borkar, R. M. (2025). Assessment of heavy metal contamination risk in dry fish from India: A comprehensive study. </w:t>
      </w:r>
      <w:r w:rsidRPr="00817D95">
        <w:rPr>
          <w:i/>
          <w:iCs/>
        </w:rPr>
        <w:t>Food Control</w:t>
      </w:r>
      <w:r w:rsidRPr="00817D95">
        <w:t xml:space="preserve">, </w:t>
      </w:r>
      <w:r w:rsidRPr="00817D95">
        <w:rPr>
          <w:i/>
          <w:iCs/>
        </w:rPr>
        <w:t>167</w:t>
      </w:r>
      <w:r w:rsidRPr="00817D95">
        <w:t>, 110804. https://doi.org/10.1016/j.foodcont.2024.110804</w:t>
      </w:r>
    </w:p>
    <w:p w14:paraId="5CFE9929" w14:textId="77777777" w:rsidR="00CB42E7" w:rsidRPr="00817D95" w:rsidRDefault="00000000" w:rsidP="00817D95">
      <w:pPr>
        <w:spacing w:after="120" w:line="360" w:lineRule="auto"/>
        <w:ind w:left="720" w:hanging="720"/>
        <w:jc w:val="both"/>
      </w:pPr>
      <w:r w:rsidRPr="00817D95">
        <w:t xml:space="preserve">Talukdar, B., Kalita, H. K., Baishya, R. A., Basumatary, S., &amp; Sarma, D. (2016). Evaluation of genetic toxicity caused by acid mine drainage of coal mines on fish fauna of </w:t>
      </w:r>
      <w:proofErr w:type="spellStart"/>
      <w:r w:rsidRPr="00817D95">
        <w:t>Simsang</w:t>
      </w:r>
      <w:proofErr w:type="spellEnd"/>
      <w:r w:rsidRPr="00817D95">
        <w:t xml:space="preserve"> River, Garohills, Meghalaya, India. </w:t>
      </w:r>
      <w:r w:rsidRPr="00817D95">
        <w:rPr>
          <w:i/>
          <w:iCs/>
        </w:rPr>
        <w:t>Ecotoxicology and Environmental Safety</w:t>
      </w:r>
      <w:r w:rsidRPr="00817D95">
        <w:t xml:space="preserve">, </w:t>
      </w:r>
      <w:r w:rsidRPr="00817D95">
        <w:rPr>
          <w:i/>
          <w:iCs/>
        </w:rPr>
        <w:t>131</w:t>
      </w:r>
      <w:r w:rsidRPr="00817D95">
        <w:t>, 65–71. https://doi.org/10.1016/j.ecoenv.2016.05.011</w:t>
      </w:r>
    </w:p>
    <w:p w14:paraId="2E46A139" w14:textId="77777777" w:rsidR="00CB42E7" w:rsidRPr="00817D95" w:rsidRDefault="00000000" w:rsidP="00817D95">
      <w:pPr>
        <w:spacing w:after="120" w:line="360" w:lineRule="auto"/>
        <w:ind w:left="720" w:hanging="720"/>
        <w:jc w:val="both"/>
      </w:pPr>
      <w:r w:rsidRPr="00817D95">
        <w:t xml:space="preserve">Tsering, T., Sillanpää, M., Reinikainen, S. P., &amp; Abdel Wahed, M. S. M. (2020). Metal fractionation in surface sediments of the Brahmaputra River and implications for their mobilization. </w:t>
      </w:r>
      <w:r w:rsidRPr="00817D95">
        <w:rPr>
          <w:i/>
          <w:iCs/>
        </w:rPr>
        <w:t>International Journal of Environmental Research and Public Health</w:t>
      </w:r>
      <w:r w:rsidRPr="00817D95">
        <w:t xml:space="preserve">, </w:t>
      </w:r>
      <w:r w:rsidRPr="00817D95">
        <w:rPr>
          <w:i/>
          <w:iCs/>
        </w:rPr>
        <w:t>17</w:t>
      </w:r>
      <w:r w:rsidRPr="00817D95">
        <w:t>(24), Article 9214. https://doi.org/10.3390/ijerph17249214</w:t>
      </w:r>
    </w:p>
    <w:p w14:paraId="66A3CDB0" w14:textId="77777777" w:rsidR="009C068F" w:rsidRPr="00817D95" w:rsidRDefault="00000000" w:rsidP="00817D95">
      <w:pPr>
        <w:spacing w:after="120" w:line="360" w:lineRule="auto"/>
        <w:ind w:left="720" w:hanging="720"/>
        <w:jc w:val="both"/>
      </w:pPr>
      <w:r w:rsidRPr="00817D95">
        <w:rPr>
          <w:highlight w:val="yellow"/>
        </w:rPr>
        <w:t xml:space="preserve">Ujan, J. A., Arshad, M., Latif, F., Rahim, A., Naz, S., Mohany, M., &amp; Al-Rejaie, S. S. (2026). Influence of feeding zones and seasonal dynamics on metal bioaccumulation and human health risk assessment in riverine fish. </w:t>
      </w:r>
      <w:r w:rsidRPr="00817D95">
        <w:rPr>
          <w:i/>
          <w:highlight w:val="yellow"/>
        </w:rPr>
        <w:t>Journal of Trace Elements in Medicine and Biology</w:t>
      </w:r>
      <w:r w:rsidRPr="00817D95">
        <w:rPr>
          <w:highlight w:val="yellow"/>
        </w:rPr>
        <w:t xml:space="preserve">, </w:t>
      </w:r>
      <w:r w:rsidRPr="00817D95">
        <w:rPr>
          <w:i/>
          <w:highlight w:val="yellow"/>
        </w:rPr>
        <w:t>93</w:t>
      </w:r>
      <w:r w:rsidRPr="00817D95">
        <w:rPr>
          <w:highlight w:val="yellow"/>
        </w:rPr>
        <w:t>, 127814. https://doi.org/10.1016/j.jtemb.2025.127814</w:t>
      </w:r>
    </w:p>
    <w:p w14:paraId="3516CBCE" w14:textId="77777777" w:rsidR="00CB42E7" w:rsidRDefault="00000000" w:rsidP="00817D95">
      <w:pPr>
        <w:spacing w:after="120" w:line="360" w:lineRule="auto"/>
        <w:ind w:left="720" w:hanging="720"/>
        <w:jc w:val="both"/>
      </w:pPr>
      <w:proofErr w:type="spellStart"/>
      <w:r w:rsidRPr="00817D95">
        <w:t>Warjri</w:t>
      </w:r>
      <w:proofErr w:type="spellEnd"/>
      <w:r w:rsidRPr="00817D95">
        <w:t xml:space="preserve">, C. D., </w:t>
      </w:r>
      <w:proofErr w:type="spellStart"/>
      <w:r w:rsidRPr="00817D95">
        <w:t>Kshetriya</w:t>
      </w:r>
      <w:proofErr w:type="spellEnd"/>
      <w:r w:rsidRPr="00817D95">
        <w:t xml:space="preserve">, D., &amp; Ghosh, S. (2024). Seasonal variation of heavy metals in water and </w:t>
      </w:r>
      <w:r w:rsidRPr="00817D95">
        <w:rPr>
          <w:i/>
          <w:iCs/>
        </w:rPr>
        <w:t>Cyprinus carpio</w:t>
      </w:r>
      <w:r w:rsidRPr="00817D95">
        <w:t xml:space="preserve"> L. from </w:t>
      </w:r>
      <w:proofErr w:type="spellStart"/>
      <w:r w:rsidRPr="00817D95">
        <w:t>Umiam</w:t>
      </w:r>
      <w:proofErr w:type="spellEnd"/>
      <w:r w:rsidRPr="00817D95">
        <w:t xml:space="preserve"> Lake reservoir of Meghalaya, India: Potential health risk </w:t>
      </w:r>
      <w:r w:rsidRPr="00817D95">
        <w:lastRenderedPageBreak/>
        <w:t xml:space="preserve">assessment for human consumption. </w:t>
      </w:r>
      <w:r w:rsidRPr="00817D95">
        <w:rPr>
          <w:i/>
          <w:iCs/>
        </w:rPr>
        <w:t>Environmental</w:t>
      </w:r>
      <w:r>
        <w:rPr>
          <w:i/>
          <w:iCs/>
        </w:rPr>
        <w:t xml:space="preserve"> Science and Pollution Research</w:t>
      </w:r>
      <w:r>
        <w:t xml:space="preserve">, </w:t>
      </w:r>
      <w:r>
        <w:rPr>
          <w:i/>
          <w:iCs/>
        </w:rPr>
        <w:t>31</w:t>
      </w:r>
      <w:r>
        <w:t>(27), 39782–39793. https://doi.org/10.1007/s11356-024-33778-w</w:t>
      </w:r>
    </w:p>
    <w:sectPr w:rsidR="00CB42E7">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32D52" w14:textId="77777777" w:rsidR="00F732F5" w:rsidRDefault="00F732F5" w:rsidP="007A6177">
      <w:r>
        <w:separator/>
      </w:r>
    </w:p>
  </w:endnote>
  <w:endnote w:type="continuationSeparator" w:id="0">
    <w:p w14:paraId="1BC96505" w14:textId="77777777" w:rsidR="00F732F5" w:rsidRDefault="00F732F5" w:rsidP="007A6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250F0" w14:textId="77777777" w:rsidR="007A6177" w:rsidRDefault="007A61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6E1BE" w14:textId="77777777" w:rsidR="007A6177" w:rsidRDefault="007A61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BE90E" w14:textId="77777777" w:rsidR="007A6177" w:rsidRDefault="007A61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3FD05" w14:textId="77777777" w:rsidR="00F732F5" w:rsidRDefault="00F732F5" w:rsidP="007A6177">
      <w:r>
        <w:separator/>
      </w:r>
    </w:p>
  </w:footnote>
  <w:footnote w:type="continuationSeparator" w:id="0">
    <w:p w14:paraId="66B36013" w14:textId="77777777" w:rsidR="00F732F5" w:rsidRDefault="00F732F5" w:rsidP="007A61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803B1" w14:textId="77777777" w:rsidR="007A6177" w:rsidRDefault="00000000">
    <w:pPr>
      <w:pStyle w:val="Header"/>
    </w:pPr>
    <w:r>
      <w:rPr>
        <w:noProof/>
      </w:rPr>
      <w:pict w14:anchorId="22F474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4748719"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2EE24" w14:textId="77777777" w:rsidR="007A6177" w:rsidRDefault="00000000">
    <w:pPr>
      <w:pStyle w:val="Header"/>
    </w:pPr>
    <w:r>
      <w:rPr>
        <w:noProof/>
      </w:rPr>
      <w:pict w14:anchorId="2E2A9F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4748720"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0D0AE" w14:textId="77777777" w:rsidR="007A6177" w:rsidRDefault="00000000">
    <w:pPr>
      <w:pStyle w:val="Header"/>
    </w:pPr>
    <w:r>
      <w:rPr>
        <w:noProof/>
      </w:rPr>
      <w:pict w14:anchorId="464173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4748718"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12EB6"/>
    <w:multiLevelType w:val="hybridMultilevel"/>
    <w:tmpl w:val="66462760"/>
    <w:lvl w:ilvl="0" w:tplc="1B063E1C">
      <w:start w:val="1"/>
      <w:numFmt w:val="bullet"/>
      <w:lvlText w:val="●"/>
      <w:lvlJc w:val="left"/>
      <w:pPr>
        <w:ind w:left="720" w:hanging="360"/>
      </w:pPr>
    </w:lvl>
    <w:lvl w:ilvl="1" w:tplc="2E500960">
      <w:start w:val="1"/>
      <w:numFmt w:val="bullet"/>
      <w:lvlText w:val="○"/>
      <w:lvlJc w:val="left"/>
      <w:pPr>
        <w:ind w:left="1440" w:hanging="360"/>
      </w:pPr>
    </w:lvl>
    <w:lvl w:ilvl="2" w:tplc="19C88F9C">
      <w:start w:val="1"/>
      <w:numFmt w:val="bullet"/>
      <w:lvlText w:val="■"/>
      <w:lvlJc w:val="left"/>
      <w:pPr>
        <w:ind w:left="2160" w:hanging="360"/>
      </w:pPr>
    </w:lvl>
    <w:lvl w:ilvl="3" w:tplc="D95ACB9E">
      <w:start w:val="1"/>
      <w:numFmt w:val="bullet"/>
      <w:lvlText w:val="●"/>
      <w:lvlJc w:val="left"/>
      <w:pPr>
        <w:ind w:left="2880" w:hanging="360"/>
      </w:pPr>
    </w:lvl>
    <w:lvl w:ilvl="4" w:tplc="13920DCE">
      <w:start w:val="1"/>
      <w:numFmt w:val="bullet"/>
      <w:lvlText w:val="○"/>
      <w:lvlJc w:val="left"/>
      <w:pPr>
        <w:ind w:left="3600" w:hanging="360"/>
      </w:pPr>
    </w:lvl>
    <w:lvl w:ilvl="5" w:tplc="154C8856">
      <w:start w:val="1"/>
      <w:numFmt w:val="bullet"/>
      <w:lvlText w:val="■"/>
      <w:lvlJc w:val="left"/>
      <w:pPr>
        <w:ind w:left="4320" w:hanging="360"/>
      </w:pPr>
    </w:lvl>
    <w:lvl w:ilvl="6" w:tplc="EADA3998">
      <w:start w:val="1"/>
      <w:numFmt w:val="bullet"/>
      <w:lvlText w:val="●"/>
      <w:lvlJc w:val="left"/>
      <w:pPr>
        <w:ind w:left="5040" w:hanging="360"/>
      </w:pPr>
    </w:lvl>
    <w:lvl w:ilvl="7" w:tplc="E0B643D4">
      <w:start w:val="1"/>
      <w:numFmt w:val="bullet"/>
      <w:lvlText w:val="●"/>
      <w:lvlJc w:val="left"/>
      <w:pPr>
        <w:ind w:left="5760" w:hanging="360"/>
      </w:pPr>
    </w:lvl>
    <w:lvl w:ilvl="8" w:tplc="6AD00C8E">
      <w:start w:val="1"/>
      <w:numFmt w:val="bullet"/>
      <w:lvlText w:val="●"/>
      <w:lvlJc w:val="left"/>
      <w:pPr>
        <w:ind w:left="6480" w:hanging="360"/>
      </w:pPr>
    </w:lvl>
  </w:abstractNum>
  <w:num w:numId="1" w16cid:durableId="137457829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2E7"/>
    <w:rsid w:val="0018717D"/>
    <w:rsid w:val="00591F3D"/>
    <w:rsid w:val="007013E3"/>
    <w:rsid w:val="007A6177"/>
    <w:rsid w:val="00817D95"/>
    <w:rsid w:val="008D7B47"/>
    <w:rsid w:val="009C068F"/>
    <w:rsid w:val="00B65AF6"/>
    <w:rsid w:val="00CB42E7"/>
    <w:rsid w:val="00EA4075"/>
    <w:rsid w:val="00EF5E2B"/>
    <w:rsid w:val="00F732F5"/>
  </w:rsids>
  <m:mathPr>
    <m:mathFont m:val="Cambria Math"/>
    <m:brkBin m:val="before"/>
    <m:brkBinSub m:val="--"/>
    <m:smallFrac m:val="0"/>
    <m:dispDef/>
    <m:lMargin m:val="0"/>
    <m:rMargin m:val="0"/>
    <m:defJc m:val="centerGroup"/>
    <m:wrapIndent m:val="1440"/>
    <m:intLim m:val="subSup"/>
    <m:naryLim m:val="undOvr"/>
  </m:mathPr>
  <w:themeFontLang w:val="en-GB"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F321BC"/>
  <w15:docId w15:val="{0731ACC4-2B8C-4CD7-ACDC-09385598D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bn-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7A6177"/>
    <w:pPr>
      <w:tabs>
        <w:tab w:val="center" w:pos="4680"/>
        <w:tab w:val="right" w:pos="9360"/>
      </w:tabs>
    </w:pPr>
    <w:rPr>
      <w:szCs w:val="28"/>
    </w:rPr>
  </w:style>
  <w:style w:type="character" w:customStyle="1" w:styleId="HeaderChar">
    <w:name w:val="Header Char"/>
    <w:basedOn w:val="DefaultParagraphFont"/>
    <w:link w:val="Header"/>
    <w:uiPriority w:val="99"/>
    <w:rsid w:val="007A6177"/>
    <w:rPr>
      <w:szCs w:val="28"/>
    </w:rPr>
  </w:style>
  <w:style w:type="paragraph" w:styleId="Footer">
    <w:name w:val="footer"/>
    <w:basedOn w:val="Normal"/>
    <w:link w:val="FooterChar"/>
    <w:uiPriority w:val="99"/>
    <w:unhideWhenUsed/>
    <w:rsid w:val="007A6177"/>
    <w:pPr>
      <w:tabs>
        <w:tab w:val="center" w:pos="4680"/>
        <w:tab w:val="right" w:pos="9360"/>
      </w:tabs>
    </w:pPr>
    <w:rPr>
      <w:szCs w:val="28"/>
    </w:rPr>
  </w:style>
  <w:style w:type="character" w:customStyle="1" w:styleId="FooterChar">
    <w:name w:val="Footer Char"/>
    <w:basedOn w:val="DefaultParagraphFont"/>
    <w:link w:val="Footer"/>
    <w:uiPriority w:val="99"/>
    <w:rsid w:val="007A6177"/>
    <w:rPr>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37</Pages>
  <Words>16815</Words>
  <Characters>95847</Characters>
  <Application>Microsoft Office Word</Application>
  <DocSecurity>0</DocSecurity>
  <Lines>798</Lines>
  <Paragraphs>224</Paragraphs>
  <ScaleCrop>false</ScaleCrop>
  <Company>HP</Company>
  <LinksUpToDate>false</LinksUpToDate>
  <CharactersWithSpaces>112438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Heavy metal bioaccumulation in catla, rohu and hilsa of North-East India</dc:title>
  <dc:creator>Manuscript</dc:creator>
  <cp:lastModifiedBy>SDI PC New 16</cp:lastModifiedBy>
  <cp:revision>6</cp:revision>
  <dcterms:created xsi:type="dcterms:W3CDTF">2026-08-16T10:05:00Z</dcterms:created>
  <dcterms:modified xsi:type="dcterms:W3CDTF">2026-08-24T11:34:00Z</dcterms:modified>
</cp:coreProperties>
</file>