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CB692" w14:textId="77777777" w:rsidR="004A0308" w:rsidRPr="00D37026" w:rsidRDefault="004A0308" w:rsidP="004A0308">
      <w:pPr>
        <w:pStyle w:val="NormalWeb"/>
        <w:rPr>
          <w:b/>
          <w:u w:val="single"/>
        </w:rPr>
      </w:pPr>
      <w:r w:rsidRPr="00D37026">
        <w:rPr>
          <w:b/>
          <w:u w:val="single"/>
        </w:rPr>
        <w:t>Original Research Article</w:t>
      </w:r>
    </w:p>
    <w:p w14:paraId="7014B9C8" w14:textId="77777777" w:rsidR="004A0308" w:rsidRPr="00D37026" w:rsidRDefault="004A0308" w:rsidP="00FC7414">
      <w:pPr>
        <w:pStyle w:val="NormalWeb"/>
        <w:jc w:val="right"/>
        <w:rPr>
          <w:b/>
        </w:rPr>
      </w:pPr>
    </w:p>
    <w:p w14:paraId="66281714" w14:textId="77777777" w:rsidR="00B37BE7" w:rsidRPr="00D37026" w:rsidRDefault="00CF62D2" w:rsidP="00FC7414">
      <w:pPr>
        <w:pStyle w:val="NormalWeb"/>
        <w:jc w:val="right"/>
        <w:rPr>
          <w:b/>
        </w:rPr>
      </w:pPr>
      <w:r w:rsidRPr="00D37026">
        <w:rPr>
          <w:b/>
        </w:rPr>
        <w:t xml:space="preserve">A </w:t>
      </w:r>
      <w:r w:rsidR="00981799">
        <w:rPr>
          <w:b/>
        </w:rPr>
        <w:t>Preliminary Assessment</w:t>
      </w:r>
      <w:r w:rsidRPr="00D37026">
        <w:rPr>
          <w:b/>
        </w:rPr>
        <w:t xml:space="preserve"> of </w:t>
      </w:r>
      <w:r w:rsidR="00AB6F15" w:rsidRPr="00D37026">
        <w:rPr>
          <w:b/>
        </w:rPr>
        <w:t xml:space="preserve">Butterfly Diversity in and around </w:t>
      </w:r>
      <w:proofErr w:type="spellStart"/>
      <w:r w:rsidR="00AB6F15" w:rsidRPr="00D37026">
        <w:rPr>
          <w:b/>
        </w:rPr>
        <w:t>Bongaigaon</w:t>
      </w:r>
      <w:proofErr w:type="spellEnd"/>
      <w:r w:rsidR="00AB6F15" w:rsidRPr="00D37026">
        <w:rPr>
          <w:b/>
        </w:rPr>
        <w:t xml:space="preserve"> Tea Estate, </w:t>
      </w:r>
      <w:proofErr w:type="spellStart"/>
      <w:r w:rsidR="00AB6F15" w:rsidRPr="00D37026">
        <w:rPr>
          <w:b/>
        </w:rPr>
        <w:t>Bongaigaon</w:t>
      </w:r>
      <w:proofErr w:type="spellEnd"/>
      <w:r w:rsidR="00AB6F15" w:rsidRPr="00D37026">
        <w:rPr>
          <w:b/>
        </w:rPr>
        <w:t>, Assam, India</w:t>
      </w:r>
    </w:p>
    <w:p w14:paraId="2B0A49FC" w14:textId="77777777" w:rsidR="009B125A" w:rsidRPr="00D37026" w:rsidRDefault="004D3515" w:rsidP="009B125A">
      <w:pPr>
        <w:pStyle w:val="NormalWeb"/>
        <w:jc w:val="both"/>
        <w:rPr>
          <w:b/>
        </w:rPr>
      </w:pPr>
      <w:r w:rsidRPr="00D37026">
        <w:rPr>
          <w:b/>
        </w:rPr>
        <w:t>_________________________________________________________________________</w:t>
      </w:r>
      <w:r w:rsidR="00491C89" w:rsidRPr="00D37026">
        <w:rPr>
          <w:b/>
        </w:rPr>
        <w:t>___</w:t>
      </w:r>
    </w:p>
    <w:p w14:paraId="44C51BB8" w14:textId="77777777" w:rsidR="009B125A" w:rsidRPr="00D37026" w:rsidRDefault="004D3515" w:rsidP="009B125A">
      <w:pPr>
        <w:pStyle w:val="NormalWeb"/>
        <w:jc w:val="both"/>
        <w:rPr>
          <w:b/>
        </w:rPr>
      </w:pPr>
      <w:r w:rsidRPr="00D37026">
        <w:rPr>
          <w:b/>
        </w:rPr>
        <w:t>Abstract</w:t>
      </w:r>
    </w:p>
    <w:p w14:paraId="58C52D25" w14:textId="77777777" w:rsidR="00AD67BA" w:rsidRDefault="00AD67BA" w:rsidP="009B125A">
      <w:pPr>
        <w:pStyle w:val="NormalWeb"/>
        <w:jc w:val="both"/>
      </w:pPr>
      <w:r>
        <w:t>Butterflies are ecologically important organisms and are widely recogni</w:t>
      </w:r>
      <w:r>
        <w:rPr>
          <w:highlight w:val="yellow"/>
        </w:rPr>
        <w:t>s</w:t>
      </w:r>
      <w:r>
        <w:t>ed as useful bio-indicators of environmental changes. The present study aimed to document butterfly diversity in and around Bongaigaon Tea Estate, Bongaigaon, Assam, India, where locality-specific information on butterfly assemblages was previously unavailable. A 12-month survey was conducted from August 2025 to July 2026 across the approximately 1.55 km² study area. Line transects and visual encounter surveys were employed for field documentation, while photographic evidence was obtained using an iPhone 16 and a Canon 3000D equipped with a 300 mm zoom lens. A total of 42 butterfly species belonging to six families were recorded. Nymphalidae was the most species-rich family, comprising 18 species, followed by Lycaenidae (7), Papilionidae (6), Pieridae (6), Hesperiidae (4), and Riodinidae (1). Lemon Pansy (</w:t>
      </w:r>
      <w:r>
        <w:rPr>
          <w:rStyle w:val="Emphasis"/>
        </w:rPr>
        <w:t>Junonia lemonias</w:t>
      </w:r>
      <w:r>
        <w:t>), Common Mormon (</w:t>
      </w:r>
      <w:r>
        <w:rPr>
          <w:rStyle w:val="Emphasis"/>
        </w:rPr>
        <w:t>Papilio polytes</w:t>
      </w:r>
      <w:r>
        <w:t>), Common Evening Brown (</w:t>
      </w:r>
      <w:r>
        <w:rPr>
          <w:rStyle w:val="Emphasis"/>
        </w:rPr>
        <w:t>Melanitis leda</w:t>
      </w:r>
      <w:r>
        <w:t>), and Great Eggfly (</w:t>
      </w:r>
      <w:r>
        <w:rPr>
          <w:rStyle w:val="Emphasis"/>
        </w:rPr>
        <w:t>Hypolimnas bolina</w:t>
      </w:r>
      <w:r>
        <w:t>) were among the commonly observed species. Conservation-status assessment indicated that several recorded species are categori</w:t>
      </w:r>
      <w:r>
        <w:rPr>
          <w:highlight w:val="yellow"/>
        </w:rPr>
        <w:t>s</w:t>
      </w:r>
      <w:r>
        <w:t>ed as Least Concern under the IUCN Red List, while others currently lack a global assessment. Five recorded species were identified as legally protected</w:t>
      </w:r>
      <w:r>
        <w:rPr>
          <w:highlight w:val="yellow"/>
        </w:rPr>
        <w:t>:</w:t>
      </w:r>
      <w:r>
        <w:t xml:space="preserve"> </w:t>
      </w:r>
      <w:r>
        <w:rPr>
          <w:rStyle w:val="Emphasis"/>
        </w:rPr>
        <w:t>Papilio clytia, Troides aeacus, Troides helena, Euploea mulciber,</w:t>
      </w:r>
      <w:r>
        <w:t xml:space="preserve"> and </w:t>
      </w:r>
      <w:r>
        <w:rPr>
          <w:rStyle w:val="Emphasis"/>
        </w:rPr>
        <w:t>Baoris farri</w:t>
      </w:r>
      <w:r>
        <w:t>. Despite the relatively small size and human-modified nature of the study area, the occurrence of 42 species highlights the potential of the tea-estate landscape and surrounding vegetation to support local butterfly diversity. However, noticeable habitat fragmentation and habitat loss associated with ongoing development may threaten the persistence of this diversity. As a preliminary faunal assessment, the study provides baseline information for Bongaigaon Tea Estate and can serve as a reference for future monitoring, comparative studies, and landscape-level conservation planning</w:t>
      </w:r>
      <w:r>
        <w:rPr>
          <w:highlight w:val="yellow"/>
        </w:rPr>
        <w:t>.</w:t>
      </w:r>
    </w:p>
    <w:p w14:paraId="1F61D356" w14:textId="7201D331" w:rsidR="009B125A" w:rsidRPr="00D37026" w:rsidRDefault="00821B51" w:rsidP="009B125A">
      <w:pPr>
        <w:pStyle w:val="NormalWeb"/>
        <w:jc w:val="both"/>
        <w:rPr>
          <w:b/>
        </w:rPr>
      </w:pPr>
      <w:r w:rsidRPr="00D37026">
        <w:rPr>
          <w:i/>
        </w:rPr>
        <w:t>Keywords:</w:t>
      </w:r>
      <w:r w:rsidR="00615301">
        <w:rPr>
          <w:i/>
        </w:rPr>
        <w:t xml:space="preserve"> </w:t>
      </w:r>
      <w:r w:rsidR="00995A8C" w:rsidRPr="00D37026">
        <w:rPr>
          <w:i/>
        </w:rPr>
        <w:t>Butterflies . bio-indicators .</w:t>
      </w:r>
      <w:r w:rsidR="00615301">
        <w:rPr>
          <w:i/>
        </w:rPr>
        <w:t xml:space="preserve">. </w:t>
      </w:r>
      <w:r w:rsidR="00070B16">
        <w:rPr>
          <w:i/>
        </w:rPr>
        <w:t xml:space="preserve">habitat fragmentation . </w:t>
      </w:r>
      <w:r w:rsidR="006E094B" w:rsidRPr="00D37026">
        <w:rPr>
          <w:i/>
        </w:rPr>
        <w:t xml:space="preserve"> habitat loss .</w:t>
      </w:r>
      <w:r w:rsidR="00DD343F">
        <w:rPr>
          <w:i/>
        </w:rPr>
        <w:t xml:space="preserve">  </w:t>
      </w:r>
      <w:r w:rsidR="008B1C97">
        <w:rPr>
          <w:i/>
        </w:rPr>
        <w:t>p</w:t>
      </w:r>
      <w:r w:rsidR="00DD343F">
        <w:rPr>
          <w:i/>
        </w:rPr>
        <w:t xml:space="preserve">rotected species . </w:t>
      </w:r>
      <w:r w:rsidR="005A05BE" w:rsidRPr="00D37026">
        <w:rPr>
          <w:i/>
        </w:rPr>
        <w:t>tea estate . urban ecology</w:t>
      </w:r>
    </w:p>
    <w:p w14:paraId="06F55D7E" w14:textId="77777777" w:rsidR="009B125A" w:rsidRPr="00D37026" w:rsidRDefault="009B125A" w:rsidP="009B125A">
      <w:pPr>
        <w:pStyle w:val="NormalWeb"/>
        <w:jc w:val="both"/>
        <w:rPr>
          <w:b/>
        </w:rPr>
      </w:pPr>
    </w:p>
    <w:p w14:paraId="0E1056AF" w14:textId="77777777" w:rsidR="009C3354" w:rsidRPr="00D37026" w:rsidRDefault="0071626B" w:rsidP="009752E2">
      <w:pPr>
        <w:pStyle w:val="NormalWeb"/>
        <w:numPr>
          <w:ilvl w:val="0"/>
          <w:numId w:val="4"/>
        </w:numPr>
        <w:ind w:left="360"/>
        <w:jc w:val="both"/>
        <w:rPr>
          <w:b/>
        </w:rPr>
      </w:pPr>
      <w:r w:rsidRPr="00D37026">
        <w:rPr>
          <w:b/>
        </w:rPr>
        <w:t>INTRODUCTION</w:t>
      </w:r>
    </w:p>
    <w:p w14:paraId="23DA3BFC" w14:textId="77777777" w:rsidR="002725C1" w:rsidRPr="00D37026" w:rsidRDefault="002725C1" w:rsidP="00FC69FC">
      <w:pPr>
        <w:pStyle w:val="NormalWeb"/>
        <w:jc w:val="both"/>
      </w:pPr>
      <w:r>
        <w:t>The order Lepidoptera, co</w:t>
      </w:r>
      <w:r>
        <w:rPr>
          <w:highlight w:val="yellow"/>
        </w:rPr>
        <w:t>mpr</w:t>
      </w:r>
      <w:r>
        <w:t>i</w:t>
      </w:r>
      <w:r>
        <w:rPr>
          <w:highlight w:val="yellow"/>
        </w:rPr>
        <w:t>s</w:t>
      </w:r>
      <w:r>
        <w:t xml:space="preserve">ing butterflies and moths, </w:t>
      </w:r>
      <w:r>
        <w:rPr>
          <w:highlight w:val="yellow"/>
        </w:rPr>
        <w:t>i</w:t>
      </w:r>
      <w:r>
        <w:t>s among the most taxonomically and ecologically prominent components of terrestrial biodiversity. With approx</w:t>
      </w:r>
      <w:r>
        <w:rPr>
          <w:highlight w:val="yellow"/>
        </w:rPr>
        <w:t>imately</w:t>
      </w:r>
      <w:r>
        <w:t xml:space="preserve"> 160,000–174,250 described species distributed across 126 families and 46 superfamilies, the order constitutes 10% of all known species of living organisms and occurs on every continent except Antarctica (Adams </w:t>
      </w:r>
      <w:r>
        <w:rPr>
          <w:i/>
        </w:rPr>
        <w:t>et al</w:t>
      </w:r>
      <w:r>
        <w:t>., 2016; Perveen &amp; Khan, 2024). Lepidoptera is the second</w:t>
      </w:r>
      <w:r>
        <w:rPr>
          <w:highlight w:val="yellow"/>
        </w:rPr>
        <w:t>-</w:t>
      </w:r>
      <w:r>
        <w:t xml:space="preserve">largest insect </w:t>
      </w:r>
      <w:r>
        <w:lastRenderedPageBreak/>
        <w:t>order after Coleoptera</w:t>
      </w:r>
      <w:r>
        <w:rPr>
          <w:highlight w:val="yellow"/>
        </w:rPr>
        <w:t>,</w:t>
      </w:r>
      <w:r>
        <w:t xml:space="preserve"> and its evolutionary radiation has been closely intertwined with angiosperm diversification and long</w:t>
      </w:r>
      <w:r>
        <w:rPr>
          <w:highlight w:val="yellow"/>
        </w:rPr>
        <w:t>-</w:t>
      </w:r>
      <w:r>
        <w:t>standing plant</w:t>
      </w:r>
      <w:r>
        <w:rPr>
          <w:highlight w:val="yellow"/>
        </w:rPr>
        <w:t>–</w:t>
      </w:r>
      <w:r>
        <w:t xml:space="preserve">herbivore co-evolutionary dynamics (Adams </w:t>
      </w:r>
      <w:r>
        <w:rPr>
          <w:i/>
        </w:rPr>
        <w:t>et al</w:t>
      </w:r>
      <w:r>
        <w:t xml:space="preserve">., 2016; Narango </w:t>
      </w:r>
      <w:r>
        <w:rPr>
          <w:i/>
        </w:rPr>
        <w:t>et al</w:t>
      </w:r>
      <w:r>
        <w:t xml:space="preserve">., 2020). </w:t>
      </w:r>
      <w:r>
        <w:rPr>
          <w:highlight w:val="yellow"/>
        </w:rPr>
        <w:t>M</w:t>
      </w:r>
      <w:r>
        <w:t>embers of this order a</w:t>
      </w:r>
      <w:r>
        <w:rPr>
          <w:highlight w:val="yellow"/>
        </w:rPr>
        <w:t>r</w:t>
      </w:r>
      <w:r>
        <w:t xml:space="preserve">e </w:t>
      </w:r>
      <w:r>
        <w:rPr>
          <w:highlight w:val="yellow"/>
        </w:rPr>
        <w:t>als</w:t>
      </w:r>
      <w:r>
        <w:t>o</w:t>
      </w:r>
      <w:r>
        <w:rPr>
          <w:highlight w:val="yellow"/>
        </w:rPr>
        <w:t xml:space="preserve"> a</w:t>
      </w:r>
      <w:r>
        <w:t>mon</w:t>
      </w:r>
      <w:r>
        <w:rPr>
          <w:highlight w:val="yellow"/>
        </w:rPr>
        <w:t>g</w:t>
      </w:r>
      <w:r>
        <w:t xml:space="preserve"> the most widely used bio-indicators of environmental quality across both natural and human-modified landscapes </w:t>
      </w:r>
      <w:r>
        <w:rPr>
          <w:highlight w:val="yellow"/>
        </w:rPr>
        <w:t>bec</w:t>
      </w:r>
      <w:r>
        <w:t>a</w:t>
      </w:r>
      <w:r>
        <w:rPr>
          <w:highlight w:val="yellow"/>
        </w:rPr>
        <w:t>u</w:t>
      </w:r>
      <w:r>
        <w:t>s</w:t>
      </w:r>
      <w:r>
        <w:rPr>
          <w:highlight w:val="yellow"/>
        </w:rPr>
        <w:t>e</w:t>
      </w:r>
      <w:r>
        <w:t xml:space="preserve"> they are </w:t>
      </w:r>
      <w:r>
        <w:rPr>
          <w:highlight w:val="yellow"/>
        </w:rPr>
        <w:t>highl</w:t>
      </w:r>
      <w:r>
        <w:t xml:space="preserve">y sensitive to changes in </w:t>
      </w:r>
      <w:r>
        <w:rPr>
          <w:highlight w:val="yellow"/>
        </w:rPr>
        <w:t xml:space="preserve">their </w:t>
      </w:r>
      <w:r>
        <w:t>surroundings</w:t>
      </w:r>
      <w:r>
        <w:rPr>
          <w:highlight w:val="yellow"/>
        </w:rPr>
        <w:t xml:space="preserve"> </w:t>
      </w:r>
      <w:r>
        <w:t xml:space="preserve">(Ray </w:t>
      </w:r>
      <w:r>
        <w:rPr>
          <w:i/>
        </w:rPr>
        <w:t>et al</w:t>
      </w:r>
      <w:r>
        <w:t>., 2025).</w:t>
      </w:r>
    </w:p>
    <w:p w14:paraId="063C062C" w14:textId="77777777" w:rsidR="00F6185B" w:rsidRPr="00030E74" w:rsidRDefault="00000000">
      <w:pPr>
        <w:pStyle w:val="NormalWeb"/>
        <w:jc w:val="both"/>
        <w:rPr>
          <w:bCs/>
        </w:rPr>
      </w:pPr>
      <w:r w:rsidRPr="00030E74">
        <w:rPr>
          <w:bCs/>
          <w:color w:val="000000"/>
          <w:highlight w:val="yellow"/>
        </w:rPr>
        <w:t>Recent synthesis further indicates that the value of butterflies as ecological indicators depends on habitat quality, host-plant availability, microclimate, land-use intensity, and sampling design, requiring context-specific interpretation of observed responses (Kumar, 2026).</w:t>
      </w:r>
    </w:p>
    <w:p w14:paraId="47C56E5F" w14:textId="77777777" w:rsidR="00780B8A" w:rsidRPr="00D37026" w:rsidRDefault="003C35E4" w:rsidP="00780B8A">
      <w:pPr>
        <w:pStyle w:val="NormalWeb"/>
        <w:jc w:val="both"/>
      </w:pPr>
      <w:r>
        <w:t xml:space="preserve">Throughout their global distribution, </w:t>
      </w:r>
      <w:r>
        <w:rPr>
          <w:highlight w:val="yellow"/>
        </w:rPr>
        <w:t xml:space="preserve">members of </w:t>
      </w:r>
      <w:r>
        <w:t xml:space="preserve">Lepidoptera </w:t>
      </w:r>
      <w:r>
        <w:rPr>
          <w:highlight w:val="yellow"/>
        </w:rPr>
        <w:t>are</w:t>
      </w:r>
      <w:r>
        <w:t xml:space="preserve"> responsible for a broad suite of ecological functions. Butterflies are important pollinators that </w:t>
      </w:r>
      <w:r>
        <w:rPr>
          <w:highlight w:val="yellow"/>
        </w:rPr>
        <w:t>su</w:t>
      </w:r>
      <w:r>
        <w:t>p</w:t>
      </w:r>
      <w:r>
        <w:rPr>
          <w:highlight w:val="yellow"/>
        </w:rPr>
        <w:t xml:space="preserve">port </w:t>
      </w:r>
      <w:r>
        <w:t>many flowering plants, while their predominantly herbivorous larvae help transfer energy from plants to higher trophic levels</w:t>
      </w:r>
      <w:r>
        <w:rPr>
          <w:highlight w:val="yellow"/>
        </w:rPr>
        <w:t>, more</w:t>
      </w:r>
      <w:r>
        <w:t xml:space="preserve"> than all other insect herbivores combined,</w:t>
      </w:r>
      <w:r>
        <w:rPr>
          <w:highlight w:val="yellow"/>
        </w:rPr>
        <w:t xml:space="preserve"> thereby</w:t>
      </w:r>
      <w:r>
        <w:t xml:space="preserve"> anchoring the structure of terrestrial food webs in temperate and tropical regions (Bazinet </w:t>
      </w:r>
      <w:r>
        <w:rPr>
          <w:i/>
        </w:rPr>
        <w:t>et al</w:t>
      </w:r>
      <w:r>
        <w:t xml:space="preserve">., 2013; Adams </w:t>
      </w:r>
      <w:r>
        <w:rPr>
          <w:i/>
        </w:rPr>
        <w:t>et al</w:t>
      </w:r>
      <w:r>
        <w:t xml:space="preserve">., 2016; Narango </w:t>
      </w:r>
      <w:r>
        <w:rPr>
          <w:i/>
        </w:rPr>
        <w:t>et al</w:t>
      </w:r>
      <w:r>
        <w:t>., 2020). Apart from herbivory and pollination, Lepidoptera constitute a major prey base for insectivorous birds, bats, reptiles, amphibians</w:t>
      </w:r>
      <w:r>
        <w:rPr>
          <w:highlight w:val="yellow"/>
        </w:rPr>
        <w:t>,</w:t>
      </w:r>
      <w:r>
        <w:t xml:space="preserve"> and predatory arthropods and also </w:t>
      </w:r>
      <w:r>
        <w:rPr>
          <w:highlight w:val="yellow"/>
        </w:rPr>
        <w:t>contribut</w:t>
      </w:r>
      <w:r>
        <w:t xml:space="preserve">e </w:t>
      </w:r>
      <w:r>
        <w:rPr>
          <w:highlight w:val="yellow"/>
        </w:rPr>
        <w:t>to</w:t>
      </w:r>
      <w:r>
        <w:t xml:space="preserve"> nutrient cycling through </w:t>
      </w:r>
      <w:r>
        <w:rPr>
          <w:highlight w:val="yellow"/>
        </w:rPr>
        <w:t xml:space="preserve">the </w:t>
      </w:r>
      <w:r>
        <w:t>frass</w:t>
      </w:r>
      <w:r>
        <w:rPr>
          <w:highlight w:val="yellow"/>
        </w:rPr>
        <w:t>-</w:t>
      </w:r>
      <w:r>
        <w:t xml:space="preserve">mediated transfer of carbon and nitrogen from </w:t>
      </w:r>
      <w:r>
        <w:rPr>
          <w:highlight w:val="yellow"/>
        </w:rPr>
        <w:t xml:space="preserve">the </w:t>
      </w:r>
      <w:r>
        <w:t>canopy to</w:t>
      </w:r>
      <w:r>
        <w:rPr>
          <w:highlight w:val="yellow"/>
        </w:rPr>
        <w:t xml:space="preserve"> the</w:t>
      </w:r>
      <w:r>
        <w:t xml:space="preserve"> soil (Kagata</w:t>
      </w:r>
      <w:r>
        <w:rPr>
          <w:highlight w:val="yellow"/>
        </w:rPr>
        <w:t xml:space="preserve"> </w:t>
      </w:r>
      <w:r>
        <w:t>&amp;</w:t>
      </w:r>
      <w:r>
        <w:rPr>
          <w:highlight w:val="yellow"/>
        </w:rPr>
        <w:t xml:space="preserve"> </w:t>
      </w:r>
      <w:r>
        <w:t xml:space="preserve">Ohgushi, 2012; Habel </w:t>
      </w:r>
      <w:r>
        <w:rPr>
          <w:i/>
        </w:rPr>
        <w:t>et al</w:t>
      </w:r>
      <w:r>
        <w:t xml:space="preserve">., 2019; Narango </w:t>
      </w:r>
      <w:r>
        <w:rPr>
          <w:i/>
        </w:rPr>
        <w:t>et al</w:t>
      </w:r>
      <w:r>
        <w:t>., 2020). Moreover, the order's sensitivity to microclimate, vegetation structure</w:t>
      </w:r>
      <w:r>
        <w:rPr>
          <w:highlight w:val="yellow"/>
        </w:rPr>
        <w:t>,</w:t>
      </w:r>
      <w:r>
        <w:t xml:space="preserve"> and a range of anthropogenic factors has been formally documented, supporting its long</w:t>
      </w:r>
      <w:r>
        <w:rPr>
          <w:highlight w:val="yellow"/>
        </w:rPr>
        <w:t>-</w:t>
      </w:r>
      <w:r>
        <w:t xml:space="preserve">established role in biodiversity monitoring programmes (Kremen, 1992; </w:t>
      </w:r>
      <w:r>
        <w:rPr>
          <w:highlight w:val="yellow"/>
        </w:rPr>
        <w:t xml:space="preserve">Mauricio da </w:t>
      </w:r>
      <w:r>
        <w:t xml:space="preserve">Rocha </w:t>
      </w:r>
      <w:r>
        <w:rPr>
          <w:i/>
        </w:rPr>
        <w:t>et al</w:t>
      </w:r>
      <w:r>
        <w:t xml:space="preserve">., 2010; Chowdhury </w:t>
      </w:r>
      <w:r>
        <w:rPr>
          <w:i/>
        </w:rPr>
        <w:t>et al</w:t>
      </w:r>
      <w:r>
        <w:t>., 2023; Bhawnani</w:t>
      </w:r>
      <w:r>
        <w:rPr>
          <w:i/>
          <w:highlight w:val="yellow"/>
        </w:rPr>
        <w:t xml:space="preserve"> </w:t>
      </w:r>
      <w:r>
        <w:rPr>
          <w:i/>
        </w:rPr>
        <w:t>et al</w:t>
      </w:r>
      <w:r>
        <w:t>., 2025). These functions are intimately conditioned by speciali</w:t>
      </w:r>
      <w:r>
        <w:rPr>
          <w:highlight w:val="yellow"/>
        </w:rPr>
        <w:t>s</w:t>
      </w:r>
      <w:r>
        <w:t>ed larval–host</w:t>
      </w:r>
      <w:r>
        <w:rPr>
          <w:highlight w:val="yellow"/>
        </w:rPr>
        <w:t>-</w:t>
      </w:r>
      <w:r>
        <w:t>plant relationships, as</w:t>
      </w:r>
      <w:r>
        <w:rPr>
          <w:highlight w:val="yellow"/>
        </w:rPr>
        <w:t xml:space="preserve"> the</w:t>
      </w:r>
      <w:r>
        <w:t xml:space="preserve"> conservation of particular plant genera helps to maintain local </w:t>
      </w:r>
      <w:r>
        <w:rPr>
          <w:highlight w:val="yellow"/>
        </w:rPr>
        <w:t>l</w:t>
      </w:r>
      <w:r>
        <w:t xml:space="preserve">epidopteran richness (Futuyma, 1976; Altermatt &amp; Pearse, 2011; Narango </w:t>
      </w:r>
      <w:r>
        <w:rPr>
          <w:i/>
        </w:rPr>
        <w:t>et al</w:t>
      </w:r>
      <w:r>
        <w:t>., 2020).</w:t>
      </w:r>
    </w:p>
    <w:p w14:paraId="7C2808AD" w14:textId="77777777" w:rsidR="00EF2D0A" w:rsidRPr="00D37026" w:rsidRDefault="006B38D1" w:rsidP="00EF2D0A">
      <w:pPr>
        <w:pStyle w:val="NormalWeb"/>
        <w:jc w:val="both"/>
      </w:pPr>
      <w:r>
        <w:t xml:space="preserve">The ecological importance of Lepidoptera has </w:t>
      </w:r>
      <w:r>
        <w:rPr>
          <w:highlight w:val="yellow"/>
        </w:rPr>
        <w:t>drawn atte</w:t>
      </w:r>
      <w:r>
        <w:t>nt</w:t>
      </w:r>
      <w:r>
        <w:rPr>
          <w:highlight w:val="yellow"/>
        </w:rPr>
        <w:t>ion</w:t>
      </w:r>
      <w:r>
        <w:t xml:space="preserve"> to their well-documented global declines, a matter of considerable scientific and societal concern. Long-term biomonitoring in protected areas has revealed reductions</w:t>
      </w:r>
      <w:r>
        <w:rPr>
          <w:highlight w:val="yellow"/>
        </w:rPr>
        <w:t xml:space="preserve"> of</w:t>
      </w:r>
      <w:r>
        <w:t xml:space="preserve"> over 75% in total flying insect biomass over 27 years. A 50% decline in European grassland butterfly population</w:t>
      </w:r>
      <w:r>
        <w:rPr>
          <w:highlight w:val="yellow"/>
        </w:rPr>
        <w:t>s</w:t>
      </w:r>
      <w:r>
        <w:t xml:space="preserve"> between 1990 and 2011</w:t>
      </w:r>
      <w:r>
        <w:rPr>
          <w:highlight w:val="yellow"/>
        </w:rPr>
        <w:t xml:space="preserve"> has also been noted</w:t>
      </w:r>
      <w:r>
        <w:t xml:space="preserve"> (Hallmann </w:t>
      </w:r>
      <w:r>
        <w:rPr>
          <w:i/>
        </w:rPr>
        <w:t>et al</w:t>
      </w:r>
      <w:r>
        <w:t xml:space="preserve">., 2017). The primary factors </w:t>
      </w:r>
      <w:r>
        <w:rPr>
          <w:highlight w:val="yellow"/>
        </w:rPr>
        <w:t>ass</w:t>
      </w:r>
      <w:r>
        <w:t>o</w:t>
      </w:r>
      <w:r>
        <w:rPr>
          <w:highlight w:val="yellow"/>
        </w:rPr>
        <w:t>ciated with</w:t>
      </w:r>
      <w:r>
        <w:t xml:space="preserve"> these losses </w:t>
      </w:r>
      <w:r>
        <w:rPr>
          <w:highlight w:val="yellow"/>
        </w:rPr>
        <w:t>incl</w:t>
      </w:r>
      <w:r>
        <w:t>ude habitat loss, habitat fragmentation, agricultural intensification, pesticid</w:t>
      </w:r>
      <w:r>
        <w:rPr>
          <w:highlight w:val="yellow"/>
        </w:rPr>
        <w:t>e us</w:t>
      </w:r>
      <w:r>
        <w:t>e, climate change,</w:t>
      </w:r>
      <w:r>
        <w:rPr>
          <w:highlight w:val="yellow"/>
        </w:rPr>
        <w:t xml:space="preserve"> the</w:t>
      </w:r>
      <w:r>
        <w:t xml:space="preserve"> introduction of invasive species</w:t>
      </w:r>
      <w:r>
        <w:rPr>
          <w:highlight w:val="yellow"/>
        </w:rPr>
        <w:t>,</w:t>
      </w:r>
      <w:r>
        <w:t xml:space="preserve"> and atmospheric nitrification. These factors do not act in</w:t>
      </w:r>
      <w:r>
        <w:rPr>
          <w:highlight w:val="yellow"/>
        </w:rPr>
        <w:t>d</w:t>
      </w:r>
      <w:r>
        <w:t>ep</w:t>
      </w:r>
      <w:r>
        <w:rPr>
          <w:highlight w:val="yellow"/>
        </w:rPr>
        <w:t>enden</w:t>
      </w:r>
      <w:r>
        <w:t>tly but interact across spatial scales to erode ecosystem resilience (Wagner, 2020). The resulting effects threaten ecosystem</w:t>
      </w:r>
      <w:r>
        <w:rPr>
          <w:highlight w:val="yellow"/>
        </w:rPr>
        <w:t>s</w:t>
      </w:r>
      <w:r>
        <w:t xml:space="preserve"> by hampering pollination services, food-web stability</w:t>
      </w:r>
      <w:r>
        <w:rPr>
          <w:highlight w:val="yellow"/>
        </w:rPr>
        <w:t>,</w:t>
      </w:r>
      <w:r>
        <w:t xml:space="preserve"> and the maintenance of vertebrate insectivore populations and ha</w:t>
      </w:r>
      <w:r>
        <w:rPr>
          <w:highlight w:val="yellow"/>
        </w:rPr>
        <w:t>ve</w:t>
      </w:r>
      <w:r>
        <w:t xml:space="preserve"> emerged as a defining dimension of the </w:t>
      </w:r>
      <w:r>
        <w:rPr>
          <w:highlight w:val="yellow"/>
        </w:rPr>
        <w:t>A</w:t>
      </w:r>
      <w:r>
        <w:t xml:space="preserve">nthropocene biodiversity crisis (Habel </w:t>
      </w:r>
      <w:r>
        <w:rPr>
          <w:i/>
        </w:rPr>
        <w:t>et al</w:t>
      </w:r>
      <w:r>
        <w:t xml:space="preserve">., 2019; Narango </w:t>
      </w:r>
      <w:r>
        <w:rPr>
          <w:i/>
        </w:rPr>
        <w:t>et al</w:t>
      </w:r>
      <w:r>
        <w:t>., 2020; Wagner, 2020).</w:t>
      </w:r>
    </w:p>
    <w:p w14:paraId="26E1D0B5" w14:textId="77777777" w:rsidR="00F6185B" w:rsidRPr="00030E74" w:rsidRDefault="00000000">
      <w:pPr>
        <w:pStyle w:val="NormalWeb"/>
        <w:jc w:val="both"/>
        <w:rPr>
          <w:bCs/>
        </w:rPr>
      </w:pPr>
      <w:r w:rsidRPr="00030E74">
        <w:rPr>
          <w:bCs/>
          <w:color w:val="000000"/>
          <w:highlight w:val="yellow"/>
        </w:rPr>
        <w:t>Recent evidence from southern India shows that urban habitat fragments can retain distinct butterfly assemblages, highlighting the conservation relevance of heterogeneous green spaces within developed landscapes (Molleman &amp; Aydin, 2026).</w:t>
      </w:r>
    </w:p>
    <w:p w14:paraId="40106CF8" w14:textId="77777777" w:rsidR="00F6185B" w:rsidRPr="00030E74" w:rsidRDefault="00000000">
      <w:pPr>
        <w:pStyle w:val="NormalWeb"/>
        <w:jc w:val="both"/>
        <w:rPr>
          <w:bCs/>
        </w:rPr>
      </w:pPr>
      <w:r w:rsidRPr="00030E74">
        <w:rPr>
          <w:bCs/>
          <w:color w:val="000000"/>
          <w:highlight w:val="yellow"/>
        </w:rPr>
        <w:lastRenderedPageBreak/>
        <w:t>In Assam, a recent urban-gradient study in Guwahati also documented variation in butterfly diversity and abundance along urbanisation gradients, reinforcing the importance of fine-scale habitat context in northeastern Indian landscapes (Moran et al., 2026).</w:t>
      </w:r>
    </w:p>
    <w:p w14:paraId="51314F4B" w14:textId="77777777" w:rsidR="003C2988" w:rsidRPr="00D37026" w:rsidRDefault="00A40F55" w:rsidP="00C40227">
      <w:pPr>
        <w:pStyle w:val="NormalWeb"/>
        <w:jc w:val="both"/>
      </w:pPr>
      <w:r>
        <w:t>India is recogni</w:t>
      </w:r>
      <w:r>
        <w:rPr>
          <w:highlight w:val="yellow"/>
        </w:rPr>
        <w:t>s</w:t>
      </w:r>
      <w:r>
        <w:t>ed as a diversity</w:t>
      </w:r>
      <w:r>
        <w:rPr>
          <w:highlight w:val="yellow"/>
        </w:rPr>
        <w:t>-</w:t>
      </w:r>
      <w:r>
        <w:t xml:space="preserve">rich nation, hosting 1,501 butterfly species and over 13,199 Lepidoptera in total. </w:t>
      </w:r>
      <w:r>
        <w:rPr>
          <w:highlight w:val="yellow"/>
        </w:rPr>
        <w:t>However,</w:t>
      </w:r>
      <w:r>
        <w:t xml:space="preserve"> the country's north</w:t>
      </w:r>
      <w:r>
        <w:rPr>
          <w:highlight w:val="yellow"/>
        </w:rPr>
        <w:t>-</w:t>
      </w:r>
      <w:r>
        <w:t>eastern region functions as a particularly species</w:t>
      </w:r>
      <w:r>
        <w:rPr>
          <w:highlight w:val="yellow"/>
        </w:rPr>
        <w:t>-</w:t>
      </w:r>
      <w:r>
        <w:t>rich reservoir</w:t>
      </w:r>
      <w:r>
        <w:rPr>
          <w:highlight w:val="yellow"/>
        </w:rPr>
        <w:t>,</w:t>
      </w:r>
      <w:r>
        <w:t xml:space="preserve"> contributing a</w:t>
      </w:r>
      <w:r>
        <w:rPr>
          <w:highlight w:val="yellow"/>
        </w:rPr>
        <w:t>ppr</w:t>
      </w:r>
      <w:r>
        <w:t>o</w:t>
      </w:r>
      <w:r>
        <w:rPr>
          <w:highlight w:val="yellow"/>
        </w:rPr>
        <w:t>xima</w:t>
      </w:r>
      <w:r>
        <w:t>t</w:t>
      </w:r>
      <w:r>
        <w:rPr>
          <w:highlight w:val="yellow"/>
        </w:rPr>
        <w:t>ely</w:t>
      </w:r>
      <w:r>
        <w:t xml:space="preserve"> two-third</w:t>
      </w:r>
      <w:r>
        <w:rPr>
          <w:highlight w:val="yellow"/>
        </w:rPr>
        <w:t>s of the country's butterfly</w:t>
      </w:r>
      <w:r>
        <w:t xml:space="preserve"> species</w:t>
      </w:r>
      <w:r>
        <w:rPr>
          <w:highlight w:val="yellow"/>
        </w:rPr>
        <w:t>,</w:t>
      </w:r>
      <w:r>
        <w:t xml:space="preserve"> i.e. 962 species (Bhuyan </w:t>
      </w:r>
      <w:r>
        <w:rPr>
          <w:i/>
        </w:rPr>
        <w:t>et al</w:t>
      </w:r>
      <w:r>
        <w:t xml:space="preserve">., 2005; Sidhu, 2023; Singh </w:t>
      </w:r>
      <w:r>
        <w:rPr>
          <w:i/>
        </w:rPr>
        <w:t>et al</w:t>
      </w:r>
      <w:r>
        <w:t>., 2025). Although the eight north</w:t>
      </w:r>
      <w:r>
        <w:rPr>
          <w:highlight w:val="yellow"/>
        </w:rPr>
        <w:t>-</w:t>
      </w:r>
      <w:r>
        <w:t>eastern states occupy only about 8% of India's land area</w:t>
      </w:r>
      <w:r>
        <w:rPr>
          <w:highlight w:val="yellow"/>
        </w:rPr>
        <w:t>,</w:t>
      </w:r>
      <w:r>
        <w:t xml:space="preserve"> they collectively support about 32.92% of the country's documented Lepidoptera</w:t>
      </w:r>
      <w:r>
        <w:rPr>
          <w:highlight w:val="yellow"/>
        </w:rPr>
        <w:t>,</w:t>
      </w:r>
      <w:r>
        <w:t xml:space="preserve"> which </w:t>
      </w:r>
      <w:r>
        <w:rPr>
          <w:highlight w:val="yellow"/>
        </w:rPr>
        <w:t>s</w:t>
      </w:r>
      <w:r>
        <w:t>u</w:t>
      </w:r>
      <w:r>
        <w:rPr>
          <w:highlight w:val="yellow"/>
        </w:rPr>
        <w:t>ppor</w:t>
      </w:r>
      <w:r>
        <w:t>ts the inclusion of the region within the Indo-Burma Biodiversity Hotspot, where Palaearctic and Oriental biogeographic elements converge (Soibam</w:t>
      </w:r>
      <w:r>
        <w:rPr>
          <w:i/>
          <w:highlight w:val="yellow"/>
        </w:rPr>
        <w:t xml:space="preserve"> </w:t>
      </w:r>
      <w:r>
        <w:rPr>
          <w:i/>
        </w:rPr>
        <w:t>et al</w:t>
      </w:r>
      <w:r>
        <w:t xml:space="preserve">., 2016; Gogoi </w:t>
      </w:r>
      <w:r>
        <w:rPr>
          <w:i/>
        </w:rPr>
        <w:t>et al</w:t>
      </w:r>
      <w:r>
        <w:t xml:space="preserve">., 2023; Malsawmtluanga </w:t>
      </w:r>
      <w:r>
        <w:rPr>
          <w:i/>
        </w:rPr>
        <w:t>et al</w:t>
      </w:r>
      <w:r>
        <w:t xml:space="preserve">., 2025). Situated on the north bank of the Brahmaputra, Assam </w:t>
      </w:r>
      <w:r>
        <w:rPr>
          <w:highlight w:val="yellow"/>
        </w:rPr>
        <w:t>reflec</w:t>
      </w:r>
      <w:r>
        <w:t>ts this richness. Studies from eastern Assam have recorded up to 237 butterfly species</w:t>
      </w:r>
      <w:r>
        <w:rPr>
          <w:highlight w:val="yellow"/>
        </w:rPr>
        <w:t>,</w:t>
      </w:r>
      <w:r>
        <w:t xml:space="preserve"> </w:t>
      </w:r>
      <w:r>
        <w:rPr>
          <w:highlight w:val="yellow"/>
        </w:rPr>
        <w:t>of</w:t>
      </w:r>
      <w:r>
        <w:t xml:space="preserve"> which 33 are protected under the Wild</w:t>
      </w:r>
      <w:r>
        <w:rPr>
          <w:highlight w:val="yellow"/>
        </w:rPr>
        <w:t xml:space="preserve"> L</w:t>
      </w:r>
      <w:r>
        <w:t>ife</w:t>
      </w:r>
      <w:r>
        <w:rPr>
          <w:highlight w:val="yellow"/>
        </w:rPr>
        <w:t xml:space="preserve"> (Protection)</w:t>
      </w:r>
      <w:r>
        <w:t xml:space="preserve"> Act, 1972. A</w:t>
      </w:r>
      <w:r>
        <w:rPr>
          <w:highlight w:val="yellow"/>
        </w:rPr>
        <w:t>dditiona</w:t>
      </w:r>
      <w:r>
        <w:t>l</w:t>
      </w:r>
      <w:r>
        <w:rPr>
          <w:highlight w:val="yellow"/>
        </w:rPr>
        <w:t>ly</w:t>
      </w:r>
      <w:r>
        <w:t>, individual protected areas such as Dehing Patkai National Park and Borajan</w:t>
      </w:r>
      <w:r>
        <w:rPr>
          <w:highlight w:val="yellow"/>
        </w:rPr>
        <w:t>-</w:t>
      </w:r>
      <w:r>
        <w:t>Bherjan</w:t>
      </w:r>
      <w:r>
        <w:rPr>
          <w:highlight w:val="yellow"/>
        </w:rPr>
        <w:t>-</w:t>
      </w:r>
      <w:r>
        <w:t xml:space="preserve">Podumani Wildlife Sanctuary </w:t>
      </w:r>
      <w:r>
        <w:rPr>
          <w:highlight w:val="yellow"/>
        </w:rPr>
        <w:t>supp</w:t>
      </w:r>
      <w:r>
        <w:t>o</w:t>
      </w:r>
      <w:r>
        <w:rPr>
          <w:highlight w:val="yellow"/>
        </w:rPr>
        <w:t>r</w:t>
      </w:r>
      <w:r>
        <w:t xml:space="preserve">t diverse </w:t>
      </w:r>
      <w:r>
        <w:rPr>
          <w:highlight w:val="yellow"/>
        </w:rPr>
        <w:t>assemb</w:t>
      </w:r>
      <w:r>
        <w:t>la</w:t>
      </w:r>
      <w:r>
        <w:rPr>
          <w:highlight w:val="yellow"/>
        </w:rPr>
        <w:t>ge</w:t>
      </w:r>
      <w:r>
        <w:t xml:space="preserve">s of 92 and 89 species, respectively (Bhuyan </w:t>
      </w:r>
      <w:r>
        <w:rPr>
          <w:i/>
        </w:rPr>
        <w:t>et al</w:t>
      </w:r>
      <w:r>
        <w:t xml:space="preserve">., 2005; Singh, 2017; Gogoi </w:t>
      </w:r>
      <w:r>
        <w:rPr>
          <w:i/>
        </w:rPr>
        <w:t>et al</w:t>
      </w:r>
      <w:r>
        <w:t>., 2023; Das, 2026). Despite th</w:t>
      </w:r>
      <w:r>
        <w:rPr>
          <w:highlight w:val="yellow"/>
        </w:rPr>
        <w:t>e</w:t>
      </w:r>
      <w:r>
        <w:t>s</w:t>
      </w:r>
      <w:r>
        <w:rPr>
          <w:highlight w:val="yellow"/>
        </w:rPr>
        <w:t>e</w:t>
      </w:r>
      <w:r>
        <w:t xml:space="preserve"> growing </w:t>
      </w:r>
      <w:r>
        <w:rPr>
          <w:highlight w:val="yellow"/>
        </w:rPr>
        <w:t>r</w:t>
      </w:r>
      <w:r>
        <w:t>e</w:t>
      </w:r>
      <w:r>
        <w:rPr>
          <w:highlight w:val="yellow"/>
        </w:rPr>
        <w:t>co</w:t>
      </w:r>
      <w:r>
        <w:t>r</w:t>
      </w:r>
      <w:r>
        <w:rPr>
          <w:highlight w:val="yellow"/>
        </w:rPr>
        <w:t>d</w:t>
      </w:r>
      <w:r>
        <w:t>s, considerable gaps in taxonomic and ecological knowledge persist</w:t>
      </w:r>
      <w:r>
        <w:rPr>
          <w:highlight w:val="yellow"/>
        </w:rPr>
        <w:t>,</w:t>
      </w:r>
      <w:r>
        <w:t xml:space="preserve"> and locality</w:t>
      </w:r>
      <w:r>
        <w:rPr>
          <w:highlight w:val="yellow"/>
        </w:rPr>
        <w:t>-</w:t>
      </w:r>
      <w:r>
        <w:t>specific baseline data remain scarce for many places in Assam.</w:t>
      </w:r>
    </w:p>
    <w:p w14:paraId="6BBBCAFB" w14:textId="77777777" w:rsidR="00F6185B" w:rsidRPr="00030E74" w:rsidRDefault="00000000">
      <w:pPr>
        <w:pStyle w:val="NormalWeb"/>
        <w:jc w:val="both"/>
        <w:rPr>
          <w:bCs/>
        </w:rPr>
      </w:pPr>
      <w:r w:rsidRPr="00030E74">
        <w:rPr>
          <w:bCs/>
          <w:color w:val="000000"/>
          <w:highlight w:val="yellow"/>
        </w:rPr>
        <w:t>Recent locality-scale surveys from Assam and northern West Bengal have likewise documented diverse Lepidoptera or butterfly assemblages in human-modified habitat mosaics, supporting the usefulness of site-specific baseline assessments (Nath et al., 2026; Saha et al., 2024).</w:t>
      </w:r>
    </w:p>
    <w:p w14:paraId="1E66FE1D" w14:textId="77777777" w:rsidR="003D0315" w:rsidRPr="00D37026" w:rsidRDefault="00DB3630" w:rsidP="008421E8">
      <w:pPr>
        <w:pStyle w:val="NormalWeb"/>
        <w:jc w:val="both"/>
      </w:pPr>
      <w:r>
        <w:t xml:space="preserve">Bongaigaon district of Assam is </w:t>
      </w:r>
      <w:r>
        <w:rPr>
          <w:highlight w:val="yellow"/>
        </w:rPr>
        <w:t>kn</w:t>
      </w:r>
      <w:r>
        <w:t>o</w:t>
      </w:r>
      <w:r>
        <w:rPr>
          <w:highlight w:val="yellow"/>
        </w:rPr>
        <w:t>wn</w:t>
      </w:r>
      <w:r>
        <w:t xml:space="preserve"> for the endangered and endemic Golden Langur (</w:t>
      </w:r>
      <w:r>
        <w:rPr>
          <w:rStyle w:val="Emphasis"/>
        </w:rPr>
        <w:t>Trachypithecus geei</w:t>
      </w:r>
      <w:r>
        <w:t>) and its mosaic of moist deciduous forest, wetlands</w:t>
      </w:r>
      <w:r>
        <w:rPr>
          <w:highlight w:val="yellow"/>
        </w:rPr>
        <w:t>,</w:t>
      </w:r>
      <w:r>
        <w:t xml:space="preserve"> and riverine habitat. A preliminary checklist of 46 butterfly species </w:t>
      </w:r>
      <w:r>
        <w:rPr>
          <w:highlight w:val="yellow"/>
        </w:rPr>
        <w:t>belo</w:t>
      </w:r>
      <w:r>
        <w:t>n</w:t>
      </w:r>
      <w:r>
        <w:rPr>
          <w:highlight w:val="yellow"/>
        </w:rPr>
        <w:t>g</w:t>
      </w:r>
      <w:r>
        <w:t>ing</w:t>
      </w:r>
      <w:r>
        <w:rPr>
          <w:highlight w:val="yellow"/>
        </w:rPr>
        <w:t xml:space="preserve"> to</w:t>
      </w:r>
      <w:r>
        <w:t xml:space="preserve"> five families has recently been compiled </w:t>
      </w:r>
      <w:r>
        <w:rPr>
          <w:highlight w:val="yellow"/>
        </w:rPr>
        <w:t>fr</w:t>
      </w:r>
      <w:r>
        <w:t>om three main forest regions of th</w:t>
      </w:r>
      <w:r>
        <w:rPr>
          <w:highlight w:val="yellow"/>
        </w:rPr>
        <w:t>e</w:t>
      </w:r>
      <w:r>
        <w:t xml:space="preserve"> district, with Nymphalidae (19 species) being the dominant family, followed by Lycaenidae, Papilionidae, Pieridae, and Hesperiidae (Ray </w:t>
      </w:r>
      <w:r>
        <w:rPr>
          <w:i/>
        </w:rPr>
        <w:t>et al</w:t>
      </w:r>
      <w:r>
        <w:t>., 2025). However</w:t>
      </w:r>
      <w:r>
        <w:rPr>
          <w:highlight w:val="yellow"/>
        </w:rPr>
        <w:t>,</w:t>
      </w:r>
      <w:r>
        <w:t xml:space="preserve"> district</w:t>
      </w:r>
      <w:r>
        <w:rPr>
          <w:highlight w:val="yellow"/>
        </w:rPr>
        <w:t>-</w:t>
      </w:r>
      <w:r>
        <w:t xml:space="preserve">level data cannot capture butterfly assemblages within a </w:t>
      </w:r>
      <w:r>
        <w:rPr>
          <w:highlight w:val="yellow"/>
        </w:rPr>
        <w:t>part</w:t>
      </w:r>
      <w:r>
        <w:t>i</w:t>
      </w:r>
      <w:r>
        <w:rPr>
          <w:highlight w:val="yellow"/>
        </w:rPr>
        <w:t>cular</w:t>
      </w:r>
      <w:r>
        <w:t xml:space="preserve"> tea estate</w:t>
      </w:r>
      <w:r>
        <w:rPr>
          <w:highlight w:val="yellow"/>
        </w:rPr>
        <w:t>,</w:t>
      </w:r>
      <w:r>
        <w:t xml:space="preserve"> and no earlier study </w:t>
      </w:r>
      <w:r>
        <w:rPr>
          <w:highlight w:val="yellow"/>
        </w:rPr>
        <w:t>h</w:t>
      </w:r>
      <w:r>
        <w:t>as do</w:t>
      </w:r>
      <w:r>
        <w:rPr>
          <w:highlight w:val="yellow"/>
        </w:rPr>
        <w:t>cume</w:t>
      </w:r>
      <w:r>
        <w:t>n</w:t>
      </w:r>
      <w:r>
        <w:rPr>
          <w:highlight w:val="yellow"/>
        </w:rPr>
        <w:t>t</w:t>
      </w:r>
      <w:r>
        <w:t>ed the butterfly species o</w:t>
      </w:r>
      <w:r>
        <w:rPr>
          <w:highlight w:val="yellow"/>
        </w:rPr>
        <w:t>cc</w:t>
      </w:r>
      <w:r>
        <w:t>u</w:t>
      </w:r>
      <w:r>
        <w:rPr>
          <w:highlight w:val="yellow"/>
        </w:rPr>
        <w:t>rri</w:t>
      </w:r>
      <w:r>
        <w:t>n</w:t>
      </w:r>
      <w:r>
        <w:rPr>
          <w:highlight w:val="yellow"/>
        </w:rPr>
        <w:t>g</w:t>
      </w:r>
      <w:r>
        <w:t xml:space="preserve"> in and around Bongaigaon Tea Estate. Therefore, our objectives are to</w:t>
      </w:r>
      <w:r>
        <w:rPr>
          <w:highlight w:val="yellow"/>
        </w:rPr>
        <w:t>:</w:t>
      </w:r>
      <w:r>
        <w:t xml:space="preserve"> (a) prepare a checklist of butterflies occurring in and around the tea estate</w:t>
      </w:r>
      <w:r>
        <w:rPr>
          <w:highlight w:val="yellow"/>
        </w:rPr>
        <w:t>;</w:t>
      </w:r>
      <w:r>
        <w:t xml:space="preserve"> (b) assess family</w:t>
      </w:r>
      <w:r>
        <w:rPr>
          <w:highlight w:val="yellow"/>
        </w:rPr>
        <w:t>-</w:t>
      </w:r>
      <w:r>
        <w:t>level dominance</w:t>
      </w:r>
      <w:r>
        <w:rPr>
          <w:highlight w:val="yellow"/>
        </w:rPr>
        <w:t>; and</w:t>
      </w:r>
      <w:r>
        <w:t xml:space="preserve"> (c)</w:t>
      </w:r>
      <w:r>
        <w:rPr>
          <w:highlight w:val="yellow"/>
        </w:rPr>
        <w:t xml:space="preserve"> </w:t>
      </w:r>
      <w:r>
        <w:t>provide site</w:t>
      </w:r>
      <w:r>
        <w:rPr>
          <w:highlight w:val="yellow"/>
        </w:rPr>
        <w:t>-</w:t>
      </w:r>
      <w:r>
        <w:t>specific baseline data for long</w:t>
      </w:r>
      <w:r>
        <w:rPr>
          <w:highlight w:val="yellow"/>
        </w:rPr>
        <w:t>-</w:t>
      </w:r>
      <w:r>
        <w:t>term monitoring. Our findings are expected to enhance local and regional biodiversity databases and support landscape</w:t>
      </w:r>
      <w:r>
        <w:rPr>
          <w:highlight w:val="yellow"/>
        </w:rPr>
        <w:t>-</w:t>
      </w:r>
      <w:r>
        <w:t>level conservation planning.</w:t>
      </w:r>
    </w:p>
    <w:p w14:paraId="702F6CFC" w14:textId="77777777" w:rsidR="00B77704" w:rsidRPr="00D37026" w:rsidRDefault="00B948D8" w:rsidP="009752E2">
      <w:pPr>
        <w:pStyle w:val="NormalWeb"/>
        <w:numPr>
          <w:ilvl w:val="0"/>
          <w:numId w:val="4"/>
        </w:numPr>
        <w:ind w:left="360"/>
        <w:jc w:val="both"/>
        <w:rPr>
          <w:b/>
        </w:rPr>
      </w:pPr>
      <w:r w:rsidRPr="00D37026">
        <w:rPr>
          <w:b/>
        </w:rPr>
        <w:t>MATERIALS AND METHODS</w:t>
      </w:r>
    </w:p>
    <w:p w14:paraId="6674E034" w14:textId="77777777" w:rsidR="006664B3" w:rsidRPr="00D37026" w:rsidRDefault="00923823" w:rsidP="006A7801">
      <w:pPr>
        <w:pStyle w:val="NormalWeb"/>
        <w:jc w:val="both"/>
        <w:rPr>
          <w:b/>
        </w:rPr>
      </w:pPr>
      <w:r w:rsidRPr="00D37026">
        <w:rPr>
          <w:b/>
        </w:rPr>
        <w:t xml:space="preserve">2.1 </w:t>
      </w:r>
      <w:r w:rsidR="006664B3" w:rsidRPr="00D37026">
        <w:rPr>
          <w:b/>
        </w:rPr>
        <w:t>STUDY AREA</w:t>
      </w:r>
    </w:p>
    <w:p w14:paraId="2CCA1105" w14:textId="77777777" w:rsidR="007D5F13" w:rsidRPr="00D37026" w:rsidRDefault="0011157A" w:rsidP="00AF21B9">
      <w:pPr>
        <w:pStyle w:val="NormalWeb"/>
        <w:jc w:val="both"/>
      </w:pPr>
      <w:r>
        <w:t xml:space="preserve">Bongaigaon city is situated within the Aie Valley of </w:t>
      </w:r>
      <w:r>
        <w:rPr>
          <w:highlight w:val="yellow"/>
        </w:rPr>
        <w:t xml:space="preserve">the </w:t>
      </w:r>
      <w:r>
        <w:t xml:space="preserve">Brahmaputra </w:t>
      </w:r>
      <w:r>
        <w:rPr>
          <w:highlight w:val="yellow"/>
        </w:rPr>
        <w:t>R</w:t>
      </w:r>
      <w:r>
        <w:t xml:space="preserve">iver basin (Ray </w:t>
      </w:r>
      <w:r>
        <w:rPr>
          <w:i/>
        </w:rPr>
        <w:t>et al</w:t>
      </w:r>
      <w:r>
        <w:t xml:space="preserve">., 2025) and </w:t>
      </w:r>
      <w:r>
        <w:rPr>
          <w:highlight w:val="yellow"/>
        </w:rPr>
        <w:t xml:space="preserve">the </w:t>
      </w:r>
      <w:r>
        <w:t>North Eastern Himalayan sub</w:t>
      </w:r>
      <w:r>
        <w:rPr>
          <w:highlight w:val="yellow"/>
        </w:rPr>
        <w:t>-</w:t>
      </w:r>
      <w:r>
        <w:t>region of India (Government of Assam, 2026).</w:t>
      </w:r>
      <w:r>
        <w:rPr>
          <w:highlight w:val="yellow"/>
        </w:rPr>
        <w:t xml:space="preserve"> </w:t>
      </w:r>
      <w:r>
        <w:t>Our study area (Figure 1)</w:t>
      </w:r>
      <w:r>
        <w:rPr>
          <w:highlight w:val="yellow"/>
        </w:rPr>
        <w:t xml:space="preserve"> </w:t>
      </w:r>
      <w:r>
        <w:t>comprises Bongaigaon Tea Estate and its surrounding locality</w:t>
      </w:r>
      <w:r>
        <w:rPr>
          <w:highlight w:val="yellow"/>
        </w:rPr>
        <w:t>,</w:t>
      </w:r>
      <w:r>
        <w:t xml:space="preserve"> </w:t>
      </w:r>
      <w:r>
        <w:rPr>
          <w:highlight w:val="yellow"/>
        </w:rPr>
        <w:t>co</w:t>
      </w:r>
      <w:r>
        <w:t>v</w:t>
      </w:r>
      <w:r>
        <w:rPr>
          <w:highlight w:val="yellow"/>
        </w:rPr>
        <w:t>er</w:t>
      </w:r>
      <w:r>
        <w:t>ing a</w:t>
      </w:r>
      <w:r>
        <w:rPr>
          <w:highlight w:val="yellow"/>
        </w:rPr>
        <w:t>pproxim</w:t>
      </w:r>
      <w:r>
        <w:t>a</w:t>
      </w:r>
      <w:r>
        <w:rPr>
          <w:highlight w:val="yellow"/>
        </w:rPr>
        <w:t>t</w:t>
      </w:r>
      <w:r>
        <w:t>e</w:t>
      </w:r>
      <w:r>
        <w:rPr>
          <w:highlight w:val="yellow"/>
        </w:rPr>
        <w:t>ly</w:t>
      </w:r>
      <w:r>
        <w:t xml:space="preserve"> 1.55 km</w:t>
      </w:r>
      <w:r>
        <w:rPr>
          <w:highlight w:val="yellow"/>
          <w:vertAlign w:val="superscript"/>
        </w:rPr>
        <w:t>²</w:t>
      </w:r>
      <w:r>
        <w:t xml:space="preserve">. </w:t>
      </w:r>
      <w:r>
        <w:rPr>
          <w:highlight w:val="yellow"/>
        </w:rPr>
        <w:t>The c</w:t>
      </w:r>
      <w:r>
        <w:t xml:space="preserve">oordinates of our study location are 26°28'37.3"N 90°34'07.8"E. </w:t>
      </w:r>
      <w:r>
        <w:rPr>
          <w:highlight w:val="yellow"/>
        </w:rPr>
        <w:t>The</w:t>
      </w:r>
      <w:r>
        <w:t xml:space="preserve"> study area experiences a humid subtropical climate </w:t>
      </w:r>
      <w:r>
        <w:rPr>
          <w:highlight w:val="yellow"/>
        </w:rPr>
        <w:t>characteris</w:t>
      </w:r>
      <w:r>
        <w:t>ed by</w:t>
      </w:r>
      <w:r>
        <w:rPr>
          <w:highlight w:val="yellow"/>
        </w:rPr>
        <w:t xml:space="preserve"> a</w:t>
      </w:r>
      <w:r>
        <w:t xml:space="preserve"> heavy monsoon and hot summers. </w:t>
      </w:r>
      <w:r>
        <w:rPr>
          <w:highlight w:val="yellow"/>
        </w:rPr>
        <w:t>It has</w:t>
      </w:r>
      <w:r>
        <w:t xml:space="preserve"> an estimate</w:t>
      </w:r>
      <w:r>
        <w:rPr>
          <w:highlight w:val="yellow"/>
        </w:rPr>
        <w:t>d</w:t>
      </w:r>
      <w:r>
        <w:t xml:space="preserve"> minimum temperature of 13</w:t>
      </w:r>
      <w:r>
        <w:rPr>
          <w:rStyle w:val="field-content"/>
          <w:highlight w:val="yellow"/>
          <w:vertAlign w:val="superscript"/>
        </w:rPr>
        <w:t>°</w:t>
      </w:r>
      <w:r>
        <w:t>C</w:t>
      </w:r>
      <w:r>
        <w:rPr>
          <w:highlight w:val="yellow"/>
        </w:rPr>
        <w:t>,</w:t>
      </w:r>
      <w:r>
        <w:t xml:space="preserve"> a maximum temperature of </w:t>
      </w:r>
      <w:r>
        <w:lastRenderedPageBreak/>
        <w:t>32</w:t>
      </w:r>
      <w:r>
        <w:rPr>
          <w:highlight w:val="yellow"/>
          <w:vertAlign w:val="superscript"/>
        </w:rPr>
        <w:t>°</w:t>
      </w:r>
      <w:r>
        <w:t>C</w:t>
      </w:r>
      <w:r>
        <w:rPr>
          <w:highlight w:val="yellow"/>
        </w:rPr>
        <w:t>,</w:t>
      </w:r>
      <w:r>
        <w:t xml:space="preserve"> an</w:t>
      </w:r>
      <w:r>
        <w:rPr>
          <w:highlight w:val="yellow"/>
        </w:rPr>
        <w:t>d</w:t>
      </w:r>
      <w:r>
        <w:t xml:space="preserve"> average annual rainfall of 2</w:t>
      </w:r>
      <w:r>
        <w:rPr>
          <w:highlight w:val="yellow"/>
        </w:rPr>
        <w:t>,</w:t>
      </w:r>
      <w:r>
        <w:t>500</w:t>
      </w:r>
      <w:r>
        <w:rPr>
          <w:highlight w:val="yellow"/>
        </w:rPr>
        <w:t>–</w:t>
      </w:r>
      <w:r>
        <w:t>3</w:t>
      </w:r>
      <w:r>
        <w:rPr>
          <w:highlight w:val="yellow"/>
        </w:rPr>
        <w:t>,</w:t>
      </w:r>
      <w:r>
        <w:t xml:space="preserve">500 mm (Government of Assam, 2026). </w:t>
      </w:r>
      <w:r>
        <w:rPr>
          <w:highlight w:val="yellow"/>
        </w:rPr>
        <w:t>R</w:t>
      </w:r>
      <w:r>
        <w:t xml:space="preserve">ainfall peaks from June to September. </w:t>
      </w:r>
      <w:r>
        <w:rPr>
          <w:highlight w:val="yellow"/>
        </w:rPr>
        <w:t>T</w:t>
      </w:r>
      <w:r>
        <w:t>o the west of our study location l</w:t>
      </w:r>
      <w:r>
        <w:rPr>
          <w:highlight w:val="yellow"/>
        </w:rPr>
        <w:t>ie</w:t>
      </w:r>
      <w:r>
        <w:t>s Bongaigaon Police Station</w:t>
      </w:r>
      <w:r>
        <w:rPr>
          <w:highlight w:val="yellow"/>
        </w:rPr>
        <w:t>;</w:t>
      </w:r>
      <w:r>
        <w:t xml:space="preserve"> </w:t>
      </w:r>
      <w:r>
        <w:rPr>
          <w:highlight w:val="yellow"/>
        </w:rPr>
        <w:t>to</w:t>
      </w:r>
      <w:r>
        <w:t xml:space="preserve"> the south is Bageswari Hill Temple</w:t>
      </w:r>
      <w:r>
        <w:rPr>
          <w:highlight w:val="yellow"/>
        </w:rPr>
        <w:t>;</w:t>
      </w:r>
      <w:r>
        <w:t xml:space="preserve"> and </w:t>
      </w:r>
      <w:r>
        <w:rPr>
          <w:highlight w:val="yellow"/>
        </w:rPr>
        <w:t>t</w:t>
      </w:r>
      <w:r>
        <w:t xml:space="preserve">o the north </w:t>
      </w:r>
      <w:r>
        <w:rPr>
          <w:highlight w:val="yellow"/>
        </w:rPr>
        <w:t>l</w:t>
      </w:r>
      <w:r>
        <w:t>ies the Bongaigaon crematorium. Some of the prominent flora support</w:t>
      </w:r>
      <w:r>
        <w:rPr>
          <w:highlight w:val="yellow"/>
        </w:rPr>
        <w:t>ing</w:t>
      </w:r>
      <w:r>
        <w:t xml:space="preserve"> the butterfly assemblages observed </w:t>
      </w:r>
      <w:r>
        <w:rPr>
          <w:highlight w:val="yellow"/>
        </w:rPr>
        <w:t>at</w:t>
      </w:r>
      <w:r>
        <w:t xml:space="preserve"> this location include Gulmohar (</w:t>
      </w:r>
      <w:r>
        <w:rPr>
          <w:i/>
        </w:rPr>
        <w:t>Delonix regia</w:t>
      </w:r>
      <w:r>
        <w:t>), Hill glory bower (</w:t>
      </w:r>
      <w:r>
        <w:rPr>
          <w:i/>
        </w:rPr>
        <w:t>Clerodendrum infortunatum</w:t>
      </w:r>
      <w:r>
        <w:t>), Jamun tree (</w:t>
      </w:r>
      <w:r>
        <w:rPr>
          <w:i/>
        </w:rPr>
        <w:t>Syzygium cumini</w:t>
      </w:r>
      <w:r>
        <w:t>), Pinwheel flower (</w:t>
      </w:r>
      <w:r>
        <w:rPr>
          <w:i/>
        </w:rPr>
        <w:t>Tabernaemontana divaricata</w:t>
      </w:r>
      <w:r>
        <w:t>)</w:t>
      </w:r>
      <w:r>
        <w:rPr>
          <w:highlight w:val="yellow"/>
        </w:rPr>
        <w:t>,</w:t>
      </w:r>
      <w:r>
        <w:t xml:space="preserve"> and o</w:t>
      </w:r>
      <w:r>
        <w:rPr>
          <w:highlight w:val="yellow"/>
        </w:rPr>
        <w:t>the</w:t>
      </w:r>
      <w:r>
        <w:t>r</w:t>
      </w:r>
      <w:r>
        <w:rPr>
          <w:highlight w:val="yellow"/>
        </w:rPr>
        <w:t>s</w:t>
      </w:r>
      <w:r>
        <w:t xml:space="preserve"> (Figure 2).</w:t>
      </w:r>
    </w:p>
    <w:p w14:paraId="5EFBB665" w14:textId="77777777" w:rsidR="000C3CD9" w:rsidRPr="00D37026" w:rsidRDefault="000C3CD9" w:rsidP="00AF21B9">
      <w:pPr>
        <w:pStyle w:val="NormalWeb"/>
        <w:jc w:val="both"/>
      </w:pPr>
    </w:p>
    <w:p w14:paraId="799128C3" w14:textId="77777777" w:rsidR="000C3CD9" w:rsidRPr="00D37026" w:rsidRDefault="000C3CD9" w:rsidP="00AF21B9">
      <w:pPr>
        <w:pStyle w:val="NormalWeb"/>
        <w:jc w:val="both"/>
      </w:pPr>
    </w:p>
    <w:p w14:paraId="50D5CC81" w14:textId="77777777" w:rsidR="000C3CD9" w:rsidRPr="00D37026" w:rsidRDefault="00716E0A" w:rsidP="00AF21B9">
      <w:pPr>
        <w:pStyle w:val="NormalWeb"/>
        <w:jc w:val="both"/>
      </w:pPr>
      <w:r w:rsidRPr="00D37026">
        <w:rPr>
          <w:noProof/>
        </w:rPr>
        <w:drawing>
          <wp:inline distT="0" distB="0" distL="0" distR="0" wp14:anchorId="1A95AD72" wp14:editId="34A71EEB">
            <wp:extent cx="5943600" cy="417308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b="29744"/>
                    <a:stretch>
                      <a:fillRect/>
                    </a:stretch>
                  </pic:blipFill>
                  <pic:spPr bwMode="auto">
                    <a:xfrm>
                      <a:off x="0" y="0"/>
                      <a:ext cx="5943600" cy="4173085"/>
                    </a:xfrm>
                    <a:prstGeom prst="rect">
                      <a:avLst/>
                    </a:prstGeom>
                    <a:noFill/>
                    <a:ln w="9525">
                      <a:noFill/>
                      <a:miter lim="800000"/>
                      <a:headEnd/>
                      <a:tailEnd/>
                    </a:ln>
                  </pic:spPr>
                </pic:pic>
              </a:graphicData>
            </a:graphic>
          </wp:inline>
        </w:drawing>
      </w:r>
      <w:r w:rsidR="00254A22" w:rsidRPr="00D37026">
        <w:rPr>
          <w:noProof/>
        </w:rPr>
        <w:drawing>
          <wp:anchor distT="0" distB="0" distL="114300" distR="114300" simplePos="0" relativeHeight="251661312" behindDoc="0" locked="0" layoutInCell="1" allowOverlap="1" wp14:anchorId="7D520E09" wp14:editId="4FF16EF2">
            <wp:simplePos x="0" y="0"/>
            <wp:positionH relativeFrom="column">
              <wp:posOffset>3188970</wp:posOffset>
            </wp:positionH>
            <wp:positionV relativeFrom="paragraph">
              <wp:posOffset>4259580</wp:posOffset>
            </wp:positionV>
            <wp:extent cx="2693670" cy="2065020"/>
            <wp:effectExtent l="19050" t="0" r="0" b="0"/>
            <wp:wrapThrough wrapText="bothSides">
              <wp:wrapPolygon edited="0">
                <wp:start x="-153" y="0"/>
                <wp:lineTo x="-153" y="21321"/>
                <wp:lineTo x="21539" y="21321"/>
                <wp:lineTo x="21539" y="0"/>
                <wp:lineTo x="-153" y="0"/>
              </wp:wrapPolygon>
            </wp:wrapThrough>
            <wp:docPr id="4" name="Picture 3" descr="WhatsApp Image 2026-08-06 at 7.23.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06 at 7.23.16 PM.jpeg"/>
                    <pic:cNvPicPr/>
                  </pic:nvPicPr>
                  <pic:blipFill>
                    <a:blip r:embed="rId9" cstate="print"/>
                    <a:srcRect l="6762"/>
                    <a:stretch>
                      <a:fillRect/>
                    </a:stretch>
                  </pic:blipFill>
                  <pic:spPr>
                    <a:xfrm>
                      <a:off x="0" y="0"/>
                      <a:ext cx="2693670" cy="2065020"/>
                    </a:xfrm>
                    <a:prstGeom prst="rect">
                      <a:avLst/>
                    </a:prstGeom>
                  </pic:spPr>
                </pic:pic>
              </a:graphicData>
            </a:graphic>
          </wp:anchor>
        </w:drawing>
      </w:r>
      <w:r w:rsidR="00254A22" w:rsidRPr="00D37026">
        <w:rPr>
          <w:noProof/>
        </w:rPr>
        <w:drawing>
          <wp:anchor distT="0" distB="0" distL="114300" distR="114300" simplePos="0" relativeHeight="251660288" behindDoc="0" locked="0" layoutInCell="1" allowOverlap="1" wp14:anchorId="7C3A2788" wp14:editId="5E0B82A4">
            <wp:simplePos x="0" y="0"/>
            <wp:positionH relativeFrom="column">
              <wp:posOffset>247650</wp:posOffset>
            </wp:positionH>
            <wp:positionV relativeFrom="paragraph">
              <wp:posOffset>4259580</wp:posOffset>
            </wp:positionV>
            <wp:extent cx="2762250" cy="2065020"/>
            <wp:effectExtent l="19050" t="0" r="0" b="0"/>
            <wp:wrapThrough wrapText="bothSides">
              <wp:wrapPolygon edited="0">
                <wp:start x="-149" y="0"/>
                <wp:lineTo x="-149" y="21321"/>
                <wp:lineTo x="21600" y="21321"/>
                <wp:lineTo x="21600" y="0"/>
                <wp:lineTo x="-149" y="0"/>
              </wp:wrapPolygon>
            </wp:wrapThrough>
            <wp:docPr id="3" name="Picture 0" descr="Screenshot 2026-08-06 190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6-08-06 190007.png"/>
                    <pic:cNvPicPr/>
                  </pic:nvPicPr>
                  <pic:blipFill>
                    <a:blip r:embed="rId10" cstate="print"/>
                    <a:srcRect l="30173" t="27335" r="9536" b="16401"/>
                    <a:stretch>
                      <a:fillRect/>
                    </a:stretch>
                  </pic:blipFill>
                  <pic:spPr>
                    <a:xfrm>
                      <a:off x="0" y="0"/>
                      <a:ext cx="2762250" cy="2065020"/>
                    </a:xfrm>
                    <a:prstGeom prst="rect">
                      <a:avLst/>
                    </a:prstGeom>
                  </pic:spPr>
                </pic:pic>
              </a:graphicData>
            </a:graphic>
          </wp:anchor>
        </w:drawing>
      </w:r>
    </w:p>
    <w:p w14:paraId="351360E2" w14:textId="77777777" w:rsidR="005A0C33" w:rsidRPr="00D37026" w:rsidRDefault="005A0C33" w:rsidP="00AF21B9">
      <w:pPr>
        <w:pStyle w:val="NormalWeb"/>
        <w:jc w:val="both"/>
      </w:pPr>
    </w:p>
    <w:p w14:paraId="437886C8" w14:textId="77777777" w:rsidR="000C3CD9" w:rsidRPr="00D37026" w:rsidRDefault="000C3CD9" w:rsidP="00AF21B9">
      <w:pPr>
        <w:pStyle w:val="NormalWeb"/>
        <w:jc w:val="both"/>
        <w:rPr>
          <w:b/>
        </w:rPr>
      </w:pPr>
    </w:p>
    <w:p w14:paraId="01D787D8" w14:textId="77777777" w:rsidR="000C3CD9" w:rsidRPr="00D37026" w:rsidRDefault="000C3CD9" w:rsidP="00AF21B9">
      <w:pPr>
        <w:pStyle w:val="NormalWeb"/>
        <w:jc w:val="both"/>
        <w:rPr>
          <w:b/>
        </w:rPr>
      </w:pPr>
    </w:p>
    <w:p w14:paraId="44830D22" w14:textId="77777777" w:rsidR="000C3CD9" w:rsidRPr="00D37026" w:rsidRDefault="000C3CD9" w:rsidP="00AF21B9">
      <w:pPr>
        <w:pStyle w:val="NormalWeb"/>
        <w:jc w:val="both"/>
        <w:rPr>
          <w:b/>
        </w:rPr>
      </w:pPr>
    </w:p>
    <w:p w14:paraId="729BBCE0" w14:textId="77777777" w:rsidR="000C3CD9" w:rsidRPr="00D37026" w:rsidRDefault="000C3CD9" w:rsidP="00AF21B9">
      <w:pPr>
        <w:pStyle w:val="NormalWeb"/>
        <w:jc w:val="both"/>
        <w:rPr>
          <w:b/>
        </w:rPr>
      </w:pPr>
    </w:p>
    <w:p w14:paraId="5BA9C0F4" w14:textId="77777777" w:rsidR="000C3CD9" w:rsidRPr="00D37026" w:rsidRDefault="000C3CD9" w:rsidP="00AF21B9">
      <w:pPr>
        <w:pStyle w:val="NormalWeb"/>
        <w:jc w:val="both"/>
        <w:rPr>
          <w:b/>
        </w:rPr>
      </w:pPr>
    </w:p>
    <w:p w14:paraId="5F26A7B6" w14:textId="28AA57FA" w:rsidR="005C36AC" w:rsidRPr="00D37026" w:rsidRDefault="0037241A" w:rsidP="00AF21B9">
      <w:pPr>
        <w:pStyle w:val="NormalWeb"/>
        <w:jc w:val="both"/>
        <w:rPr>
          <w:b/>
        </w:rPr>
      </w:pPr>
      <w:r>
        <w:rPr>
          <w:b/>
        </w:rPr>
        <w:t xml:space="preserve">                          </w:t>
      </w:r>
      <w:r w:rsidR="005F6E1A" w:rsidRPr="00D37026">
        <w:rPr>
          <w:b/>
        </w:rPr>
        <w:t xml:space="preserve">Figure 1. </w:t>
      </w:r>
      <w:r w:rsidR="00C31493" w:rsidRPr="00C31493">
        <w:t xml:space="preserve">Map showing </w:t>
      </w:r>
      <w:proofErr w:type="spellStart"/>
      <w:r w:rsidR="00C31493" w:rsidRPr="00C31493">
        <w:t>Bongaigaon</w:t>
      </w:r>
      <w:proofErr w:type="spellEnd"/>
      <w:r w:rsidR="00C31493" w:rsidRPr="00C31493">
        <w:t xml:space="preserve"> Tea Estate and its surrounding areas</w:t>
      </w:r>
    </w:p>
    <w:p w14:paraId="68FCEBEC" w14:textId="77777777" w:rsidR="005C36AC" w:rsidRPr="00D37026" w:rsidRDefault="005C36AC" w:rsidP="00AF21B9">
      <w:pPr>
        <w:pStyle w:val="NormalWeb"/>
        <w:jc w:val="both"/>
        <w:rPr>
          <w:b/>
        </w:rPr>
      </w:pPr>
    </w:p>
    <w:p w14:paraId="49F3B1C6" w14:textId="77777777" w:rsidR="005C36AC" w:rsidRPr="00D37026" w:rsidRDefault="005C36AC" w:rsidP="00AF21B9">
      <w:pPr>
        <w:pStyle w:val="NormalWeb"/>
        <w:jc w:val="both"/>
        <w:rPr>
          <w:b/>
        </w:rPr>
      </w:pPr>
    </w:p>
    <w:p w14:paraId="24F7C822" w14:textId="77777777" w:rsidR="005C36AC" w:rsidRPr="00D37026" w:rsidRDefault="008340F8" w:rsidP="00AF21B9">
      <w:pPr>
        <w:pStyle w:val="NormalWeb"/>
        <w:jc w:val="both"/>
        <w:rPr>
          <w:b/>
        </w:rPr>
      </w:pPr>
      <w:r w:rsidRPr="00D37026">
        <w:rPr>
          <w:b/>
          <w:noProof/>
        </w:rPr>
        <w:drawing>
          <wp:anchor distT="0" distB="0" distL="114300" distR="114300" simplePos="0" relativeHeight="251665408" behindDoc="0" locked="0" layoutInCell="1" allowOverlap="1" wp14:anchorId="0CBC039D" wp14:editId="23E35A21">
            <wp:simplePos x="0" y="0"/>
            <wp:positionH relativeFrom="column">
              <wp:posOffset>3263900</wp:posOffset>
            </wp:positionH>
            <wp:positionV relativeFrom="paragraph">
              <wp:posOffset>277495</wp:posOffset>
            </wp:positionV>
            <wp:extent cx="3070860" cy="2303145"/>
            <wp:effectExtent l="19050" t="0" r="0" b="0"/>
            <wp:wrapThrough wrapText="bothSides">
              <wp:wrapPolygon edited="0">
                <wp:start x="-134" y="0"/>
                <wp:lineTo x="-134" y="21439"/>
                <wp:lineTo x="21573" y="21439"/>
                <wp:lineTo x="21573" y="0"/>
                <wp:lineTo x="-134" y="0"/>
              </wp:wrapPolygon>
            </wp:wrapThrough>
            <wp:docPr id="9" name="Picture 8" descr="Pinwheel flower ( Tabernaemontana divaricat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nwheel flower ( Tabernaemontana divaricata).jpeg"/>
                    <pic:cNvPicPr/>
                  </pic:nvPicPr>
                  <pic:blipFill>
                    <a:blip r:embed="rId11"/>
                    <a:stretch>
                      <a:fillRect/>
                    </a:stretch>
                  </pic:blipFill>
                  <pic:spPr>
                    <a:xfrm>
                      <a:off x="0" y="0"/>
                      <a:ext cx="3070860" cy="2303145"/>
                    </a:xfrm>
                    <a:prstGeom prst="rect">
                      <a:avLst/>
                    </a:prstGeom>
                  </pic:spPr>
                </pic:pic>
              </a:graphicData>
            </a:graphic>
          </wp:anchor>
        </w:drawing>
      </w:r>
      <w:r w:rsidRPr="00D37026">
        <w:rPr>
          <w:b/>
          <w:noProof/>
        </w:rPr>
        <w:drawing>
          <wp:anchor distT="0" distB="0" distL="114300" distR="114300" simplePos="0" relativeHeight="251662336" behindDoc="0" locked="0" layoutInCell="1" allowOverlap="1" wp14:anchorId="64057163" wp14:editId="3FDBD528">
            <wp:simplePos x="0" y="0"/>
            <wp:positionH relativeFrom="column">
              <wp:posOffset>19050</wp:posOffset>
            </wp:positionH>
            <wp:positionV relativeFrom="paragraph">
              <wp:posOffset>279400</wp:posOffset>
            </wp:positionV>
            <wp:extent cx="3070860" cy="2303145"/>
            <wp:effectExtent l="19050" t="0" r="0" b="0"/>
            <wp:wrapThrough wrapText="bothSides">
              <wp:wrapPolygon edited="0">
                <wp:start x="-134" y="0"/>
                <wp:lineTo x="-134" y="21439"/>
                <wp:lineTo x="21573" y="21439"/>
                <wp:lineTo x="21573" y="0"/>
                <wp:lineTo x="-134" y="0"/>
              </wp:wrapPolygon>
            </wp:wrapThrough>
            <wp:docPr id="6" name="Picture 5" descr="Gulmohar (Delonix regi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ulmohar (Delonix regia).jpeg"/>
                    <pic:cNvPicPr/>
                  </pic:nvPicPr>
                  <pic:blipFill>
                    <a:blip r:embed="rId12" cstate="print"/>
                    <a:stretch>
                      <a:fillRect/>
                    </a:stretch>
                  </pic:blipFill>
                  <pic:spPr>
                    <a:xfrm>
                      <a:off x="0" y="0"/>
                      <a:ext cx="3070860" cy="2303145"/>
                    </a:xfrm>
                    <a:prstGeom prst="rect">
                      <a:avLst/>
                    </a:prstGeom>
                  </pic:spPr>
                </pic:pic>
              </a:graphicData>
            </a:graphic>
          </wp:anchor>
        </w:drawing>
      </w:r>
    </w:p>
    <w:p w14:paraId="50C5739A" w14:textId="77777777" w:rsidR="005C36AC" w:rsidRPr="00D37026" w:rsidRDefault="008340F8" w:rsidP="00532EF8">
      <w:pPr>
        <w:pStyle w:val="NormalWeb"/>
        <w:jc w:val="both"/>
        <w:rPr>
          <w:b/>
        </w:rPr>
      </w:pPr>
      <w:r w:rsidRPr="00D37026">
        <w:rPr>
          <w:b/>
          <w:noProof/>
        </w:rPr>
        <w:drawing>
          <wp:anchor distT="0" distB="0" distL="114300" distR="114300" simplePos="0" relativeHeight="251664384" behindDoc="0" locked="0" layoutInCell="1" allowOverlap="1" wp14:anchorId="6F8D3279" wp14:editId="16D64F16">
            <wp:simplePos x="0" y="0"/>
            <wp:positionH relativeFrom="column">
              <wp:posOffset>3321685</wp:posOffset>
            </wp:positionH>
            <wp:positionV relativeFrom="paragraph">
              <wp:posOffset>366395</wp:posOffset>
            </wp:positionV>
            <wp:extent cx="3013075" cy="2175510"/>
            <wp:effectExtent l="19050" t="0" r="0" b="0"/>
            <wp:wrapThrough wrapText="bothSides">
              <wp:wrapPolygon edited="0">
                <wp:start x="-137" y="0"/>
                <wp:lineTo x="-137" y="21373"/>
                <wp:lineTo x="21577" y="21373"/>
                <wp:lineTo x="21577" y="0"/>
                <wp:lineTo x="-137" y="0"/>
              </wp:wrapPolygon>
            </wp:wrapThrough>
            <wp:docPr id="8" name="Picture 7" descr="Jamun tree (Syzygium cumin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mun tree (Syzygium cumini).jpeg"/>
                    <pic:cNvPicPr/>
                  </pic:nvPicPr>
                  <pic:blipFill>
                    <a:blip r:embed="rId13"/>
                    <a:stretch>
                      <a:fillRect/>
                    </a:stretch>
                  </pic:blipFill>
                  <pic:spPr>
                    <a:xfrm>
                      <a:off x="0" y="0"/>
                      <a:ext cx="3013075" cy="2175510"/>
                    </a:xfrm>
                    <a:prstGeom prst="rect">
                      <a:avLst/>
                    </a:prstGeom>
                  </pic:spPr>
                </pic:pic>
              </a:graphicData>
            </a:graphic>
          </wp:anchor>
        </w:drawing>
      </w:r>
      <w:r w:rsidRPr="00D37026">
        <w:rPr>
          <w:b/>
          <w:noProof/>
        </w:rPr>
        <w:drawing>
          <wp:anchor distT="0" distB="0" distL="114300" distR="114300" simplePos="0" relativeHeight="251663360" behindDoc="0" locked="0" layoutInCell="1" allowOverlap="1" wp14:anchorId="36A4ADAC" wp14:editId="66A77F8A">
            <wp:simplePos x="0" y="0"/>
            <wp:positionH relativeFrom="column">
              <wp:posOffset>19050</wp:posOffset>
            </wp:positionH>
            <wp:positionV relativeFrom="paragraph">
              <wp:posOffset>366395</wp:posOffset>
            </wp:positionV>
            <wp:extent cx="3070860" cy="2175510"/>
            <wp:effectExtent l="19050" t="0" r="0" b="0"/>
            <wp:wrapThrough wrapText="bothSides">
              <wp:wrapPolygon edited="0">
                <wp:start x="-134" y="0"/>
                <wp:lineTo x="-134" y="21373"/>
                <wp:lineTo x="21573" y="21373"/>
                <wp:lineTo x="21573" y="0"/>
                <wp:lineTo x="-134" y="0"/>
              </wp:wrapPolygon>
            </wp:wrapThrough>
            <wp:docPr id="7" name="Picture 6" descr="Hill glory bower( Clerodendrum infortunatu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ll glory bower( Clerodendrum infortunatum).jpeg"/>
                    <pic:cNvPicPr/>
                  </pic:nvPicPr>
                  <pic:blipFill>
                    <a:blip r:embed="rId14"/>
                    <a:stretch>
                      <a:fillRect/>
                    </a:stretch>
                  </pic:blipFill>
                  <pic:spPr>
                    <a:xfrm>
                      <a:off x="0" y="0"/>
                      <a:ext cx="3070860" cy="2175510"/>
                    </a:xfrm>
                    <a:prstGeom prst="rect">
                      <a:avLst/>
                    </a:prstGeom>
                  </pic:spPr>
                </pic:pic>
              </a:graphicData>
            </a:graphic>
          </wp:anchor>
        </w:drawing>
      </w:r>
      <w:r w:rsidR="005B660B">
        <w:rPr>
          <w:b/>
        </w:rPr>
        <w:t xml:space="preserve">                                   </w:t>
      </w:r>
      <w:r w:rsidR="00532EF8" w:rsidRPr="00D37026">
        <w:rPr>
          <w:b/>
        </w:rPr>
        <w:t xml:space="preserve"> (a)                                      </w:t>
      </w:r>
      <w:r w:rsidR="005B660B">
        <w:rPr>
          <w:b/>
        </w:rPr>
        <w:t xml:space="preserve">                             </w:t>
      </w:r>
      <w:r w:rsidR="00532EF8" w:rsidRPr="00D37026">
        <w:rPr>
          <w:b/>
        </w:rPr>
        <w:t xml:space="preserve"> (b)</w:t>
      </w:r>
    </w:p>
    <w:p w14:paraId="41F0BE13" w14:textId="77777777" w:rsidR="00134EBD" w:rsidRPr="00D37026" w:rsidRDefault="005B660B" w:rsidP="00AF21B9">
      <w:pPr>
        <w:pStyle w:val="NormalWeb"/>
        <w:jc w:val="both"/>
        <w:rPr>
          <w:b/>
        </w:rPr>
      </w:pPr>
      <w:r>
        <w:rPr>
          <w:b/>
        </w:rPr>
        <w:t xml:space="preserve">                                       </w:t>
      </w:r>
      <w:r w:rsidR="00614B51" w:rsidRPr="00D37026">
        <w:rPr>
          <w:b/>
        </w:rPr>
        <w:t xml:space="preserve">(c) </w:t>
      </w:r>
      <w:r>
        <w:rPr>
          <w:b/>
        </w:rPr>
        <w:t xml:space="preserve">                                                                   </w:t>
      </w:r>
      <w:r w:rsidR="00614B51" w:rsidRPr="00D37026">
        <w:rPr>
          <w:b/>
        </w:rPr>
        <w:t>(d)</w:t>
      </w:r>
    </w:p>
    <w:p w14:paraId="4BB8C4A8" w14:textId="77777777" w:rsidR="00134EBD" w:rsidRPr="00D37026" w:rsidRDefault="00867019" w:rsidP="00EE4143">
      <w:pPr>
        <w:pStyle w:val="NormalWeb"/>
        <w:jc w:val="center"/>
      </w:pPr>
      <w:r w:rsidRPr="00D37026">
        <w:rPr>
          <w:b/>
        </w:rPr>
        <w:t xml:space="preserve">Figure 2. </w:t>
      </w:r>
      <w:r w:rsidRPr="00D37026">
        <w:t>Some of the</w:t>
      </w:r>
      <w:r w:rsidR="00131DC0" w:rsidRPr="00D37026">
        <w:t xml:space="preserve"> prominent</w:t>
      </w:r>
      <w:r w:rsidRPr="00D37026">
        <w:t xml:space="preserve"> flora observed in and around </w:t>
      </w:r>
      <w:proofErr w:type="spellStart"/>
      <w:r w:rsidRPr="00D37026">
        <w:t>Bongaigaon</w:t>
      </w:r>
      <w:proofErr w:type="spellEnd"/>
      <w:r w:rsidRPr="00D37026">
        <w:t xml:space="preserve"> Tea Estate </w:t>
      </w:r>
      <w:r w:rsidR="004455FD" w:rsidRPr="00D37026">
        <w:t>(a)</w:t>
      </w:r>
      <w:r w:rsidR="000E7AD2" w:rsidRPr="00D37026">
        <w:t xml:space="preserve"> Gulmohar (</w:t>
      </w:r>
      <w:proofErr w:type="spellStart"/>
      <w:r w:rsidR="000E7AD2" w:rsidRPr="00D37026">
        <w:rPr>
          <w:i/>
        </w:rPr>
        <w:t>Delonix</w:t>
      </w:r>
      <w:proofErr w:type="spellEnd"/>
      <w:r w:rsidR="000E7AD2" w:rsidRPr="00D37026">
        <w:rPr>
          <w:i/>
        </w:rPr>
        <w:t xml:space="preserve"> regia</w:t>
      </w:r>
      <w:r w:rsidR="000E7AD2" w:rsidRPr="00D37026">
        <w:t xml:space="preserve">) </w:t>
      </w:r>
      <w:r w:rsidR="004455FD" w:rsidRPr="00D37026">
        <w:t>(b)</w:t>
      </w:r>
      <w:r w:rsidR="000E7AD2" w:rsidRPr="00D37026">
        <w:t xml:space="preserve"> Pinwheel flower (</w:t>
      </w:r>
      <w:proofErr w:type="spellStart"/>
      <w:r w:rsidR="000E7AD2" w:rsidRPr="00D37026">
        <w:rPr>
          <w:i/>
        </w:rPr>
        <w:t>Tabernaemontana</w:t>
      </w:r>
      <w:proofErr w:type="spellEnd"/>
      <w:r w:rsidR="009175D6">
        <w:rPr>
          <w:i/>
        </w:rPr>
        <w:t xml:space="preserve"> </w:t>
      </w:r>
      <w:proofErr w:type="spellStart"/>
      <w:r w:rsidR="000E7AD2" w:rsidRPr="00D37026">
        <w:rPr>
          <w:i/>
        </w:rPr>
        <w:t>divaricata</w:t>
      </w:r>
      <w:proofErr w:type="spellEnd"/>
      <w:r w:rsidR="000E7AD2" w:rsidRPr="00D37026">
        <w:t xml:space="preserve">) </w:t>
      </w:r>
      <w:r w:rsidR="004455FD" w:rsidRPr="00D37026">
        <w:t>(c)</w:t>
      </w:r>
      <w:r w:rsidR="00CC73AD">
        <w:t xml:space="preserve"> </w:t>
      </w:r>
      <w:r w:rsidR="00570DC1" w:rsidRPr="00D37026">
        <w:t>Hill glory bower (</w:t>
      </w:r>
      <w:r w:rsidR="000E7AD2" w:rsidRPr="00D37026">
        <w:rPr>
          <w:i/>
        </w:rPr>
        <w:t xml:space="preserve">Clerodendrum </w:t>
      </w:r>
      <w:proofErr w:type="spellStart"/>
      <w:r w:rsidR="000E7AD2" w:rsidRPr="00D37026">
        <w:rPr>
          <w:i/>
        </w:rPr>
        <w:t>infortunatum</w:t>
      </w:r>
      <w:proofErr w:type="spellEnd"/>
      <w:r w:rsidR="000E7AD2" w:rsidRPr="00D37026">
        <w:t xml:space="preserve">) </w:t>
      </w:r>
      <w:r w:rsidR="004455FD" w:rsidRPr="00D37026">
        <w:t>(d)</w:t>
      </w:r>
      <w:r w:rsidR="00570DC1" w:rsidRPr="00D37026">
        <w:t xml:space="preserve"> Jamun tree (</w:t>
      </w:r>
      <w:proofErr w:type="spellStart"/>
      <w:r w:rsidR="00570DC1" w:rsidRPr="00D37026">
        <w:rPr>
          <w:i/>
        </w:rPr>
        <w:t>Syzygium</w:t>
      </w:r>
      <w:proofErr w:type="spellEnd"/>
      <w:r w:rsidR="003C7B99">
        <w:rPr>
          <w:i/>
        </w:rPr>
        <w:t xml:space="preserve"> </w:t>
      </w:r>
      <w:proofErr w:type="spellStart"/>
      <w:r w:rsidR="00570DC1" w:rsidRPr="00D37026">
        <w:rPr>
          <w:i/>
        </w:rPr>
        <w:t>cumini</w:t>
      </w:r>
      <w:proofErr w:type="spellEnd"/>
      <w:r w:rsidR="00570DC1" w:rsidRPr="00D37026">
        <w:t>)</w:t>
      </w:r>
    </w:p>
    <w:p w14:paraId="0A5D2E23" w14:textId="77777777" w:rsidR="00134EBD" w:rsidRPr="00D37026" w:rsidRDefault="00134EBD" w:rsidP="00AF21B9">
      <w:pPr>
        <w:pStyle w:val="NormalWeb"/>
        <w:jc w:val="both"/>
        <w:rPr>
          <w:b/>
        </w:rPr>
      </w:pPr>
    </w:p>
    <w:p w14:paraId="33BFA4AC" w14:textId="77777777" w:rsidR="001E0F53" w:rsidRPr="00D37026" w:rsidRDefault="00923823" w:rsidP="00AF21B9">
      <w:pPr>
        <w:pStyle w:val="NormalWeb"/>
        <w:jc w:val="both"/>
        <w:rPr>
          <w:b/>
        </w:rPr>
      </w:pPr>
      <w:r w:rsidRPr="00D37026">
        <w:rPr>
          <w:b/>
        </w:rPr>
        <w:lastRenderedPageBreak/>
        <w:t xml:space="preserve">2.2 </w:t>
      </w:r>
      <w:r w:rsidR="001E0F53" w:rsidRPr="00D37026">
        <w:rPr>
          <w:b/>
        </w:rPr>
        <w:t>METHOD OF THE STUDY</w:t>
      </w:r>
    </w:p>
    <w:p w14:paraId="5A1D178D" w14:textId="77777777" w:rsidR="008F062D" w:rsidRPr="00D37026" w:rsidRDefault="008F062D" w:rsidP="00AF21B9">
      <w:pPr>
        <w:pStyle w:val="NormalWeb"/>
        <w:jc w:val="both"/>
      </w:pPr>
      <w:r>
        <w:t xml:space="preserve">Our study was conducted to record the butterflies present in and around Bongaigaon Tea Estate. We used the </w:t>
      </w:r>
      <w:r>
        <w:rPr>
          <w:highlight w:val="yellow"/>
        </w:rPr>
        <w:t>l</w:t>
      </w:r>
      <w:r>
        <w:t>ine</w:t>
      </w:r>
      <w:r>
        <w:rPr>
          <w:highlight w:val="yellow"/>
        </w:rPr>
        <w:t>-t</w:t>
      </w:r>
      <w:r>
        <w:t xml:space="preserve">ransect method (Crum </w:t>
      </w:r>
      <w:r>
        <w:rPr>
          <w:i/>
        </w:rPr>
        <w:t>et al</w:t>
      </w:r>
      <w:r>
        <w:t xml:space="preserve">., 2021) and </w:t>
      </w:r>
      <w:r>
        <w:rPr>
          <w:highlight w:val="yellow"/>
        </w:rPr>
        <w:t>v</w:t>
      </w:r>
      <w:r>
        <w:t xml:space="preserve">isual </w:t>
      </w:r>
      <w:r>
        <w:rPr>
          <w:highlight w:val="yellow"/>
        </w:rPr>
        <w:t>e</w:t>
      </w:r>
      <w:r>
        <w:t xml:space="preserve">ncounter </w:t>
      </w:r>
      <w:r>
        <w:rPr>
          <w:highlight w:val="yellow"/>
        </w:rPr>
        <w:t>s</w:t>
      </w:r>
      <w:r>
        <w:t xml:space="preserve">urveys (Boynton </w:t>
      </w:r>
      <w:r>
        <w:rPr>
          <w:i/>
        </w:rPr>
        <w:t>et al</w:t>
      </w:r>
      <w:r>
        <w:t>., 2021) to accomplish our aims and gather quantitative data. The study area map was created using QGIS software</w:t>
      </w:r>
      <w:r>
        <w:rPr>
          <w:highlight w:val="yellow"/>
        </w:rPr>
        <w:t>,</w:t>
      </w:r>
      <w:r>
        <w:t xml:space="preserve"> and the pie</w:t>
      </w:r>
      <w:r>
        <w:rPr>
          <w:highlight w:val="yellow"/>
        </w:rPr>
        <w:t xml:space="preserve"> </w:t>
      </w:r>
      <w:r>
        <w:t xml:space="preserve">chart was </w:t>
      </w:r>
      <w:r>
        <w:rPr>
          <w:highlight w:val="yellow"/>
        </w:rPr>
        <w:t>cre</w:t>
      </w:r>
      <w:r>
        <w:t>a</w:t>
      </w:r>
      <w:r>
        <w:rPr>
          <w:highlight w:val="yellow"/>
        </w:rPr>
        <w:t>te</w:t>
      </w:r>
      <w:r>
        <w:t>d using MS Office</w:t>
      </w:r>
      <w:r>
        <w:rPr>
          <w:highlight w:val="yellow"/>
        </w:rPr>
        <w:t xml:space="preserve"> </w:t>
      </w:r>
      <w:r>
        <w:t>Excel (2007).</w:t>
      </w:r>
    </w:p>
    <w:p w14:paraId="291D577D" w14:textId="77777777" w:rsidR="00FF63E9" w:rsidRPr="00D37026" w:rsidRDefault="00FF63E9" w:rsidP="00AF21B9">
      <w:pPr>
        <w:pStyle w:val="NormalWeb"/>
        <w:jc w:val="both"/>
      </w:pPr>
    </w:p>
    <w:p w14:paraId="65B21306" w14:textId="77777777" w:rsidR="00A172C4" w:rsidRPr="00D37026" w:rsidRDefault="00923823" w:rsidP="00AF21B9">
      <w:pPr>
        <w:pStyle w:val="NormalWeb"/>
        <w:jc w:val="both"/>
        <w:rPr>
          <w:b/>
        </w:rPr>
      </w:pPr>
      <w:r w:rsidRPr="00D37026">
        <w:rPr>
          <w:b/>
        </w:rPr>
        <w:t xml:space="preserve">2.3 </w:t>
      </w:r>
      <w:r w:rsidR="00A172C4" w:rsidRPr="00D37026">
        <w:rPr>
          <w:b/>
        </w:rPr>
        <w:t>STUDY DESIGN</w:t>
      </w:r>
    </w:p>
    <w:p w14:paraId="7B90CB5B" w14:textId="77777777" w:rsidR="00794301" w:rsidRDefault="00794301" w:rsidP="00794301">
      <w:pPr>
        <w:pStyle w:val="isselectedend"/>
        <w:jc w:val="both"/>
      </w:pPr>
      <w:r>
        <w:t>The study was conducted for a period of twelve months, from August 2025 to July 2026. Butterfly surveys were conducted regularly throughout the study period, primarily during the early morning hours when butterfly activity was r</w:t>
      </w:r>
      <w:r>
        <w:rPr>
          <w:highlight w:val="yellow"/>
        </w:rPr>
        <w:t>el</w:t>
      </w:r>
      <w:r>
        <w:t>atively high. Approximately three hours of field observation were targeted per survey day, with Saturdays and Sundays excluded from routine observations. Line-transect walks were conducted through accessible portions of Bongaigaon Tea Estate and its surrounding habitats, supplemented by visual encounter surveys to document species that were observed outside the immediate transect route. Photographic records were obtained whenever possible to support subsequent identification.</w:t>
      </w:r>
    </w:p>
    <w:p w14:paraId="7CD65DC3" w14:textId="77777777" w:rsidR="00794301" w:rsidRDefault="00794301" w:rsidP="00794301">
      <w:pPr>
        <w:pStyle w:val="NormalWeb"/>
        <w:jc w:val="both"/>
      </w:pPr>
      <w:r>
        <w:t xml:space="preserve">As the present investigation was primarily designed </w:t>
      </w:r>
      <w:r>
        <w:rPr>
          <w:highlight w:val="yellow"/>
        </w:rPr>
        <w:t>for</w:t>
      </w:r>
      <w:r>
        <w:t xml:space="preserve"> preliminary faunal documentation and</w:t>
      </w:r>
      <w:r>
        <w:rPr>
          <w:highlight w:val="yellow"/>
        </w:rPr>
        <w:t xml:space="preserve"> the preparation of a</w:t>
      </w:r>
      <w:r>
        <w:t xml:space="preserve"> baseline checklist of butterflies in and around the tea estate, standardi</w:t>
      </w:r>
      <w:r>
        <w:rPr>
          <w:highlight w:val="yellow"/>
        </w:rPr>
        <w:t>s</w:t>
      </w:r>
      <w:r>
        <w:t>ed measurements of transect length and width and the exact spatial coordinates of individual transect routes were not recorded during the original field surveys. Consequently, the present study is interpreted as a preliminary species-occurrence assessment rather than a standardi</w:t>
      </w:r>
      <w:r>
        <w:rPr>
          <w:highlight w:val="yellow"/>
        </w:rPr>
        <w:t>s</w:t>
      </w:r>
      <w:r>
        <w:t>ed distance-sampling or quantitative population-abundance study. This limitation is considered when interpreting the results.</w:t>
      </w:r>
    </w:p>
    <w:p w14:paraId="46D7FDD9" w14:textId="77777777" w:rsidR="00333F99" w:rsidRPr="00D37026" w:rsidRDefault="00923823" w:rsidP="00AF21B9">
      <w:pPr>
        <w:pStyle w:val="NormalWeb"/>
        <w:jc w:val="both"/>
        <w:rPr>
          <w:b/>
        </w:rPr>
      </w:pPr>
      <w:r w:rsidRPr="00D37026">
        <w:rPr>
          <w:b/>
        </w:rPr>
        <w:t xml:space="preserve">2.4 </w:t>
      </w:r>
      <w:r w:rsidR="00333F99" w:rsidRPr="00D37026">
        <w:rPr>
          <w:b/>
        </w:rPr>
        <w:t>DATA COLLECTION AND IDENTIFICATION</w:t>
      </w:r>
    </w:p>
    <w:p w14:paraId="673238FC" w14:textId="77777777" w:rsidR="00333F99" w:rsidRPr="00D37026" w:rsidRDefault="00333F99" w:rsidP="00AF21B9">
      <w:pPr>
        <w:pStyle w:val="NormalWeb"/>
        <w:jc w:val="both"/>
      </w:pPr>
      <w:r>
        <w:t>Data</w:t>
      </w:r>
      <w:r>
        <w:rPr>
          <w:highlight w:val="yellow"/>
        </w:rPr>
        <w:t xml:space="preserve"> were</w:t>
      </w:r>
      <w:r>
        <w:t xml:space="preserve"> collected systematically </w:t>
      </w:r>
      <w:r>
        <w:rPr>
          <w:highlight w:val="yellow"/>
        </w:rPr>
        <w:t>by rec</w:t>
      </w:r>
      <w:r>
        <w:t>o</w:t>
      </w:r>
      <w:r>
        <w:rPr>
          <w:highlight w:val="yellow"/>
        </w:rPr>
        <w:t>rd</w:t>
      </w:r>
      <w:r>
        <w:t>ing the</w:t>
      </w:r>
      <w:r>
        <w:rPr>
          <w:highlight w:val="yellow"/>
        </w:rPr>
        <w:t xml:space="preserve"> observed</w:t>
      </w:r>
      <w:r>
        <w:t xml:space="preserve"> species. Photographic evidence was captured using an iPhone 16 and </w:t>
      </w:r>
      <w:r>
        <w:rPr>
          <w:highlight w:val="yellow"/>
        </w:rPr>
        <w:t xml:space="preserve">a </w:t>
      </w:r>
      <w:r>
        <w:t xml:space="preserve">Canon 3000D paired with </w:t>
      </w:r>
      <w:r>
        <w:rPr>
          <w:highlight w:val="yellow"/>
        </w:rPr>
        <w:t xml:space="preserve">a </w:t>
      </w:r>
      <w:r>
        <w:t>300</w:t>
      </w:r>
      <w:r>
        <w:rPr>
          <w:highlight w:val="yellow"/>
        </w:rPr>
        <w:t xml:space="preserve"> </w:t>
      </w:r>
      <w:r>
        <w:t>mm zoom lens. Observed butterflies were categori</w:t>
      </w:r>
      <w:r>
        <w:rPr>
          <w:highlight w:val="yellow"/>
        </w:rPr>
        <w:t>s</w:t>
      </w:r>
      <w:r>
        <w:t xml:space="preserve">ed </w:t>
      </w:r>
      <w:r>
        <w:rPr>
          <w:highlight w:val="yellow"/>
        </w:rPr>
        <w:t>by</w:t>
      </w:r>
      <w:r>
        <w:t xml:space="preserve"> family</w:t>
      </w:r>
      <w:r>
        <w:rPr>
          <w:highlight w:val="yellow"/>
        </w:rPr>
        <w:t xml:space="preserve"> and</w:t>
      </w:r>
      <w:r>
        <w:t xml:space="preserve"> IUCN status and identified with the help of</w:t>
      </w:r>
      <w:r>
        <w:rPr>
          <w:highlight w:val="yellow"/>
        </w:rPr>
        <w:t xml:space="preserve"> a</w:t>
      </w:r>
      <w:r>
        <w:t xml:space="preserve"> field guide (Neog, 2026) and published articles. </w:t>
      </w:r>
      <w:r>
        <w:rPr>
          <w:highlight w:val="yellow"/>
        </w:rPr>
        <w:t>I</w:t>
      </w:r>
      <w:r>
        <w:t>n some instances</w:t>
      </w:r>
      <w:r>
        <w:rPr>
          <w:highlight w:val="yellow"/>
        </w:rPr>
        <w:t>,</w:t>
      </w:r>
      <w:r>
        <w:t xml:space="preserve"> personal knowledge was also applied.</w:t>
      </w:r>
    </w:p>
    <w:p w14:paraId="0CC0FC82" w14:textId="77777777" w:rsidR="004A0308" w:rsidRPr="00D37026" w:rsidRDefault="002E61C3" w:rsidP="004A0308">
      <w:pPr>
        <w:pStyle w:val="NormalWeb"/>
        <w:numPr>
          <w:ilvl w:val="0"/>
          <w:numId w:val="4"/>
        </w:numPr>
        <w:ind w:left="360"/>
        <w:jc w:val="both"/>
        <w:rPr>
          <w:b/>
        </w:rPr>
      </w:pPr>
      <w:r w:rsidRPr="00D37026">
        <w:rPr>
          <w:b/>
        </w:rPr>
        <w:t>3. RESULTS AND DISCUSSION</w:t>
      </w:r>
    </w:p>
    <w:p w14:paraId="62A3BC59" w14:textId="77777777" w:rsidR="00870574" w:rsidRPr="00D37026" w:rsidRDefault="008E38EB">
      <w:pPr>
        <w:pStyle w:val="NormalWeb"/>
      </w:pPr>
      <w:r w:rsidRPr="00D37026">
        <w:rPr>
          <w:b/>
        </w:rPr>
        <w:t>3.1 Species richness and family-wise composition</w:t>
      </w:r>
    </w:p>
    <w:p w14:paraId="3E7D9A38" w14:textId="77777777" w:rsidR="00E316F0" w:rsidRPr="00D37026" w:rsidRDefault="00E316F0" w:rsidP="00AD169B">
      <w:pPr>
        <w:pStyle w:val="NormalWeb"/>
        <w:jc w:val="both"/>
      </w:pPr>
      <w:r>
        <w:t>Our study record</w:t>
      </w:r>
      <w:r>
        <w:rPr>
          <w:highlight w:val="yellow"/>
        </w:rPr>
        <w:t>ed</w:t>
      </w:r>
      <w:r>
        <w:t xml:space="preserve"> 42 butterfly species belonging to six families of the order Lepidoptera (Table 1). The families </w:t>
      </w:r>
      <w:r>
        <w:rPr>
          <w:highlight w:val="yellow"/>
        </w:rPr>
        <w:t>we</w:t>
      </w:r>
      <w:r>
        <w:t>re Nymphalidae, Lycaenidae, Papilionidae, Pieridae, Riodinidae</w:t>
      </w:r>
      <w:r>
        <w:rPr>
          <w:highlight w:val="yellow"/>
        </w:rPr>
        <w:t>,</w:t>
      </w:r>
      <w:r>
        <w:t xml:space="preserve"> and Hesperiidae. </w:t>
      </w:r>
      <w:r>
        <w:rPr>
          <w:highlight w:val="yellow"/>
        </w:rPr>
        <w:t>The l</w:t>
      </w:r>
      <w:r>
        <w:t>ar</w:t>
      </w:r>
      <w:r>
        <w:rPr>
          <w:highlight w:val="yellow"/>
        </w:rPr>
        <w:t>ges</w:t>
      </w:r>
      <w:r>
        <w:t>t</w:t>
      </w:r>
      <w:r>
        <w:rPr>
          <w:highlight w:val="yellow"/>
        </w:rPr>
        <w:t xml:space="preserve"> number</w:t>
      </w:r>
      <w:r>
        <w:t xml:space="preserve"> of recorded </w:t>
      </w:r>
      <w:r>
        <w:rPr>
          <w:highlight w:val="yellow"/>
        </w:rPr>
        <w:t>species bel</w:t>
      </w:r>
      <w:r>
        <w:t>o</w:t>
      </w:r>
      <w:r>
        <w:rPr>
          <w:highlight w:val="yellow"/>
        </w:rPr>
        <w:t>nged</w:t>
      </w:r>
      <w:r>
        <w:t xml:space="preserve"> t</w:t>
      </w:r>
      <w:r>
        <w:rPr>
          <w:highlight w:val="yellow"/>
        </w:rPr>
        <w:t>o</w:t>
      </w:r>
      <w:r>
        <w:t xml:space="preserve"> Nymphalidae </w:t>
      </w:r>
      <w:r>
        <w:rPr>
          <w:highlight w:val="yellow"/>
        </w:rPr>
        <w:t>(</w:t>
      </w:r>
      <w:r>
        <w:t>18</w:t>
      </w:r>
      <w:r>
        <w:rPr>
          <w:highlight w:val="yellow"/>
        </w:rPr>
        <w:t>)</w:t>
      </w:r>
      <w:r>
        <w:t xml:space="preserve">. The </w:t>
      </w:r>
      <w:r>
        <w:rPr>
          <w:highlight w:val="yellow"/>
        </w:rPr>
        <w:t>family-wise</w:t>
      </w:r>
      <w:r>
        <w:t xml:space="preserve"> pattern </w:t>
      </w:r>
      <w:r>
        <w:rPr>
          <w:highlight w:val="yellow"/>
        </w:rPr>
        <w:t>wa</w:t>
      </w:r>
      <w:r>
        <w:t>s Nymphalidae (18) &gt; Lycaenidae (7) &gt; Papilionidae (6) &gt;</w:t>
      </w:r>
      <w:r>
        <w:rPr>
          <w:highlight w:val="yellow"/>
        </w:rPr>
        <w:t xml:space="preserve"> </w:t>
      </w:r>
      <w:r>
        <w:t xml:space="preserve">Pieridae (6) &gt; Hesperiidae (4) &gt; Riodinidae (1) (Figure 3). </w:t>
      </w:r>
      <w:r>
        <w:rPr>
          <w:highlight w:val="yellow"/>
        </w:rPr>
        <w:t>T</w:t>
      </w:r>
      <w:r>
        <w:t xml:space="preserve">he most commonly observed </w:t>
      </w:r>
      <w:r>
        <w:rPr>
          <w:highlight w:val="yellow"/>
        </w:rPr>
        <w:t>butt</w:t>
      </w:r>
      <w:r>
        <w:t>er</w:t>
      </w:r>
      <w:r>
        <w:rPr>
          <w:highlight w:val="yellow"/>
        </w:rPr>
        <w:t>fli</w:t>
      </w:r>
      <w:r>
        <w:t>e</w:t>
      </w:r>
      <w:r>
        <w:rPr>
          <w:highlight w:val="yellow"/>
        </w:rPr>
        <w:t>s included</w:t>
      </w:r>
      <w:r>
        <w:t xml:space="preserve"> Lemon Pansy (</w:t>
      </w:r>
      <w:r>
        <w:rPr>
          <w:i/>
        </w:rPr>
        <w:t>Junonia</w:t>
      </w:r>
      <w:r>
        <w:rPr>
          <w:i/>
          <w:highlight w:val="yellow"/>
        </w:rPr>
        <w:t xml:space="preserve"> </w:t>
      </w:r>
      <w:r>
        <w:rPr>
          <w:i/>
        </w:rPr>
        <w:t>lemonias</w:t>
      </w:r>
      <w:r>
        <w:t>), Common Mormon (</w:t>
      </w:r>
      <w:r>
        <w:rPr>
          <w:i/>
        </w:rPr>
        <w:t>Papilio polytes</w:t>
      </w:r>
      <w:r>
        <w:t xml:space="preserve">), Common Evening </w:t>
      </w:r>
      <w:r>
        <w:lastRenderedPageBreak/>
        <w:t>Brown (</w:t>
      </w:r>
      <w:r>
        <w:rPr>
          <w:i/>
        </w:rPr>
        <w:t>Melanitis leda</w:t>
      </w:r>
      <w:r>
        <w:t>)</w:t>
      </w:r>
      <w:r>
        <w:rPr>
          <w:highlight w:val="yellow"/>
        </w:rPr>
        <w:t>,</w:t>
      </w:r>
      <w:r>
        <w:t xml:space="preserve"> and Great Eggfly (</w:t>
      </w:r>
      <w:r>
        <w:rPr>
          <w:i/>
        </w:rPr>
        <w:t>Hypolimnas bolina</w:t>
      </w:r>
      <w:r>
        <w:t>). Among the 42 recorded species, five species</w:t>
      </w:r>
      <w:r>
        <w:rPr>
          <w:highlight w:val="yellow"/>
        </w:rPr>
        <w:t>,</w:t>
      </w:r>
      <w:r>
        <w:t xml:space="preserve"> </w:t>
      </w:r>
      <w:r>
        <w:rPr>
          <w:rStyle w:val="Emphasis"/>
        </w:rPr>
        <w:t>Papilio clytia, Troides aeacus, Troides helena, Euploea mulciber,</w:t>
      </w:r>
      <w:r>
        <w:t xml:space="preserve"> and </w:t>
      </w:r>
      <w:r>
        <w:rPr>
          <w:rStyle w:val="Emphasis"/>
        </w:rPr>
        <w:t>Baoris farri</w:t>
      </w:r>
      <w:r>
        <w:rPr>
          <w:highlight w:val="yellow"/>
        </w:rPr>
        <w:t>,</w:t>
      </w:r>
      <w:r>
        <w:t xml:space="preserve"> </w:t>
      </w:r>
      <w:r>
        <w:rPr>
          <w:highlight w:val="yellow"/>
        </w:rPr>
        <w:t>w</w:t>
      </w:r>
      <w:r>
        <w:t>e</w:t>
      </w:r>
      <w:r>
        <w:rPr>
          <w:highlight w:val="yellow"/>
        </w:rPr>
        <w:t>r</w:t>
      </w:r>
      <w:r>
        <w:t>e identified as legally protected under relevant schedules of the Wild</w:t>
      </w:r>
      <w:r>
        <w:rPr>
          <w:highlight w:val="yellow"/>
        </w:rPr>
        <w:t xml:space="preserve"> L</w:t>
      </w:r>
      <w:r>
        <w:t>ife (Protection) Act, as amended in 2022 (Ministry of Law and Justice, 2022; Table 2). The IUCN Red List status varie</w:t>
      </w:r>
      <w:r>
        <w:rPr>
          <w:highlight w:val="yellow"/>
        </w:rPr>
        <w:t>d</w:t>
      </w:r>
      <w:r>
        <w:t xml:space="preserve"> among the recorded species, with some assessed as Least Concern and others currently not evaluated (I</w:t>
      </w:r>
      <w:r>
        <w:rPr>
          <w:highlight w:val="yellow"/>
        </w:rPr>
        <w:t>nternational Union for Conservation of Nature [I</w:t>
      </w:r>
      <w:r>
        <w:t>UCN</w:t>
      </w:r>
      <w:r>
        <w:rPr>
          <w:highlight w:val="yellow"/>
        </w:rPr>
        <w:t>]</w:t>
      </w:r>
      <w:r>
        <w:t xml:space="preserve">, 2026). </w:t>
      </w:r>
      <w:r>
        <w:rPr>
          <w:highlight w:val="yellow"/>
        </w:rPr>
        <w:t xml:space="preserve">The </w:t>
      </w:r>
      <w:r>
        <w:t>o</w:t>
      </w:r>
      <w:r>
        <w:rPr>
          <w:highlight w:val="yellow"/>
        </w:rPr>
        <w:t>ccurr</w:t>
      </w:r>
      <w:r>
        <w:t>e</w:t>
      </w:r>
      <w:r>
        <w:rPr>
          <w:highlight w:val="yellow"/>
        </w:rPr>
        <w:t>nc</w:t>
      </w:r>
      <w:r>
        <w:t>e</w:t>
      </w:r>
      <w:r>
        <w:rPr>
          <w:highlight w:val="yellow"/>
        </w:rPr>
        <w:t xml:space="preserve"> of 42 </w:t>
      </w:r>
      <w:r>
        <w:t>r</w:t>
      </w:r>
      <w:r>
        <w:rPr>
          <w:highlight w:val="yellow"/>
        </w:rPr>
        <w:t>ecorded species in</w:t>
      </w:r>
      <w:r>
        <w:t xml:space="preserve"> the study area </w:t>
      </w:r>
      <w:r>
        <w:rPr>
          <w:highlight w:val="yellow"/>
        </w:rPr>
        <w:t>indica</w:t>
      </w:r>
      <w:r>
        <w:t>tes its</w:t>
      </w:r>
      <w:r>
        <w:rPr>
          <w:highlight w:val="yellow"/>
        </w:rPr>
        <w:t xml:space="preserve"> pot</w:t>
      </w:r>
      <w:r>
        <w:t>enti</w:t>
      </w:r>
      <w:r>
        <w:rPr>
          <w:highlight w:val="yellow"/>
        </w:rPr>
        <w:t>al to support butterfly diversity,</w:t>
      </w:r>
      <w:r>
        <w:t xml:space="preserve"> and efforts should be made to maintain th</w:t>
      </w:r>
      <w:r>
        <w:rPr>
          <w:highlight w:val="yellow"/>
        </w:rPr>
        <w:t>i</w:t>
      </w:r>
      <w:r>
        <w:t xml:space="preserve">s diversity </w:t>
      </w:r>
      <w:r>
        <w:rPr>
          <w:highlight w:val="yellow"/>
        </w:rPr>
        <w:t>i</w:t>
      </w:r>
      <w:r>
        <w:t xml:space="preserve">n </w:t>
      </w:r>
      <w:r>
        <w:rPr>
          <w:highlight w:val="yellow"/>
        </w:rPr>
        <w:t>th</w:t>
      </w:r>
      <w:r>
        <w:t>e future.</w:t>
      </w:r>
    </w:p>
    <w:p w14:paraId="739221CB" w14:textId="77777777" w:rsidR="00870574" w:rsidRPr="00D37026" w:rsidRDefault="008E38EB" w:rsidP="008D2E90">
      <w:pPr>
        <w:jc w:val="both"/>
      </w:pPr>
      <w:r w:rsidRPr="00D37026">
        <w:t xml:space="preserve">The finding of 42 species across six families indicates that the tea estate and adjacent habitats support a measurable but preliminary butterfly assemblage within a human-modified landscape. Similar use of modified or urban-associated landscapes by butterfly communities has been reported from organic tea estates and urban landscapes in northeastern India, where the availability of nectar plants, larval host plants and semi-natural vegetation influenced observed richness (Pradhan &amp; </w:t>
      </w:r>
      <w:proofErr w:type="spellStart"/>
      <w:r w:rsidRPr="00D37026">
        <w:t>Khaling</w:t>
      </w:r>
      <w:proofErr w:type="spellEnd"/>
      <w:r w:rsidRPr="00D37026">
        <w:t xml:space="preserve">, 2020; Bohra &amp; Purkayastha, 2021; Dutta </w:t>
      </w:r>
      <w:r w:rsidR="00AB370E" w:rsidRPr="00AB370E">
        <w:rPr>
          <w:i/>
        </w:rPr>
        <w:t>et al</w:t>
      </w:r>
      <w:r w:rsidRPr="00D37026">
        <w:t>., 2025). Therefore, the present checklist should be interpreted as baseline evidence of local species occurrence rather than as a complete estimate of regional butterfly diversity.</w:t>
      </w:r>
    </w:p>
    <w:p w14:paraId="48276594" w14:textId="77777777" w:rsidR="00FC282A" w:rsidRPr="00D37026" w:rsidRDefault="00A10671" w:rsidP="00B31CD0">
      <w:pPr>
        <w:pStyle w:val="NormalWeb"/>
        <w:ind w:right="-288"/>
        <w:jc w:val="both"/>
      </w:pPr>
      <w:r w:rsidRPr="00D37026">
        <w:rPr>
          <w:noProof/>
        </w:rPr>
        <w:drawing>
          <wp:anchor distT="0" distB="0" distL="114300" distR="114300" simplePos="0" relativeHeight="251666432" behindDoc="0" locked="0" layoutInCell="1" allowOverlap="1" wp14:anchorId="42D4CC17" wp14:editId="78A66AF7">
            <wp:simplePos x="0" y="0"/>
            <wp:positionH relativeFrom="column">
              <wp:posOffset>905510</wp:posOffset>
            </wp:positionH>
            <wp:positionV relativeFrom="paragraph">
              <wp:posOffset>307340</wp:posOffset>
            </wp:positionV>
            <wp:extent cx="4598670" cy="2770505"/>
            <wp:effectExtent l="19050" t="0" r="0" b="0"/>
            <wp:wrapThrough wrapText="bothSides">
              <wp:wrapPolygon edited="0">
                <wp:start x="-89" y="0"/>
                <wp:lineTo x="-89" y="21387"/>
                <wp:lineTo x="21564" y="21387"/>
                <wp:lineTo x="21564" y="0"/>
                <wp:lineTo x="-89" y="0"/>
              </wp:wrapPolygon>
            </wp:wrapThrough>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4598670" cy="2770505"/>
                    </a:xfrm>
                    <a:prstGeom prst="rect">
                      <a:avLst/>
                    </a:prstGeom>
                    <a:noFill/>
                  </pic:spPr>
                </pic:pic>
              </a:graphicData>
            </a:graphic>
          </wp:anchor>
        </w:drawing>
      </w:r>
    </w:p>
    <w:p w14:paraId="2A70A9EC" w14:textId="77777777" w:rsidR="005E2406" w:rsidRPr="00D37026" w:rsidRDefault="005E2406" w:rsidP="00E316F0">
      <w:pPr>
        <w:pStyle w:val="NormalWeb"/>
        <w:jc w:val="both"/>
      </w:pPr>
    </w:p>
    <w:p w14:paraId="3F337D54" w14:textId="77777777" w:rsidR="00A813E9" w:rsidRPr="00D37026" w:rsidRDefault="00A813E9" w:rsidP="00E316F0">
      <w:pPr>
        <w:pStyle w:val="NormalWeb"/>
        <w:jc w:val="both"/>
      </w:pPr>
    </w:p>
    <w:p w14:paraId="355BDB01" w14:textId="77777777" w:rsidR="00A813E9" w:rsidRPr="00D37026" w:rsidRDefault="00A813E9" w:rsidP="00E316F0">
      <w:pPr>
        <w:pStyle w:val="NormalWeb"/>
        <w:jc w:val="both"/>
      </w:pPr>
    </w:p>
    <w:p w14:paraId="1FED86E3" w14:textId="77777777" w:rsidR="00A813E9" w:rsidRPr="00D37026" w:rsidRDefault="00A813E9" w:rsidP="00E316F0">
      <w:pPr>
        <w:pStyle w:val="NormalWeb"/>
        <w:jc w:val="both"/>
      </w:pPr>
    </w:p>
    <w:p w14:paraId="765C7DEA" w14:textId="77777777" w:rsidR="00A813E9" w:rsidRPr="00D37026" w:rsidRDefault="00A813E9" w:rsidP="00E316F0">
      <w:pPr>
        <w:pStyle w:val="NormalWeb"/>
        <w:jc w:val="both"/>
      </w:pPr>
    </w:p>
    <w:p w14:paraId="555776D6" w14:textId="77777777" w:rsidR="00A813E9" w:rsidRPr="00D37026" w:rsidRDefault="00A813E9" w:rsidP="00E316F0">
      <w:pPr>
        <w:pStyle w:val="NormalWeb"/>
        <w:jc w:val="both"/>
      </w:pPr>
    </w:p>
    <w:p w14:paraId="1776E143" w14:textId="77777777" w:rsidR="00A813E9" w:rsidRPr="00D37026" w:rsidRDefault="00A813E9" w:rsidP="00E316F0">
      <w:pPr>
        <w:pStyle w:val="NormalWeb"/>
        <w:jc w:val="both"/>
      </w:pPr>
    </w:p>
    <w:p w14:paraId="46AC81EF" w14:textId="77777777" w:rsidR="00A813E9" w:rsidRPr="00D37026" w:rsidRDefault="00A813E9" w:rsidP="00E316F0">
      <w:pPr>
        <w:pStyle w:val="NormalWeb"/>
        <w:jc w:val="both"/>
      </w:pPr>
    </w:p>
    <w:p w14:paraId="6301894F" w14:textId="77777777" w:rsidR="000C2CBD" w:rsidRPr="00D37026" w:rsidRDefault="00E233B9" w:rsidP="00EB4467">
      <w:pPr>
        <w:pStyle w:val="NormalWeb"/>
        <w:ind w:left="720"/>
        <w:jc w:val="both"/>
      </w:pPr>
      <w:r w:rsidRPr="00D37026">
        <w:rPr>
          <w:b/>
        </w:rPr>
        <w:t>Figure 3. Pie chart showing number of species recorded for each family.</w:t>
      </w:r>
    </w:p>
    <w:p w14:paraId="4CFD9396" w14:textId="77777777" w:rsidR="00C31E8F" w:rsidRPr="00D37026" w:rsidRDefault="00C31E8F" w:rsidP="00393B41">
      <w:pPr>
        <w:pStyle w:val="NormalWeb"/>
        <w:suppressLineNumbers/>
        <w:suppressAutoHyphens/>
        <w:spacing w:before="0" w:beforeAutospacing="0" w:after="0" w:afterAutospacing="0"/>
        <w:jc w:val="both"/>
      </w:pPr>
      <w:r w:rsidRPr="00D37026">
        <w:rPr>
          <w:b/>
        </w:rPr>
        <w:t>Table 1.</w:t>
      </w:r>
      <w:r w:rsidRPr="00D37026">
        <w:t xml:space="preserve"> Annotated list of observed </w:t>
      </w:r>
      <w:r w:rsidR="00DA4F8E" w:rsidRPr="00D37026">
        <w:t>butterflies</w:t>
      </w:r>
    </w:p>
    <w:tbl>
      <w:tblPr>
        <w:tblStyle w:val="TableGrid"/>
        <w:tblW w:w="10008" w:type="dxa"/>
        <w:tblLayout w:type="fixed"/>
        <w:tblLook w:val="04A0" w:firstRow="1" w:lastRow="0" w:firstColumn="1" w:lastColumn="0" w:noHBand="0" w:noVBand="1"/>
      </w:tblPr>
      <w:tblGrid>
        <w:gridCol w:w="918"/>
        <w:gridCol w:w="1530"/>
        <w:gridCol w:w="2790"/>
        <w:gridCol w:w="2340"/>
        <w:gridCol w:w="2430"/>
      </w:tblGrid>
      <w:tr w:rsidR="00064875" w:rsidRPr="000B08F5" w14:paraId="7446A0A8" w14:textId="77777777" w:rsidTr="00F50124">
        <w:tc>
          <w:tcPr>
            <w:tcW w:w="918" w:type="dxa"/>
            <w:hideMark/>
          </w:tcPr>
          <w:p w14:paraId="3713ACF2" w14:textId="77777777" w:rsidR="00064875" w:rsidRPr="000B08F5" w:rsidRDefault="00064875" w:rsidP="00926411">
            <w:pPr>
              <w:jc w:val="center"/>
              <w:rPr>
                <w:rFonts w:ascii="Times New Roman" w:eastAsia="Times New Roman" w:hAnsi="Times New Roman" w:cs="Times New Roman"/>
                <w:b/>
                <w:bCs/>
                <w:sz w:val="24"/>
                <w:szCs w:val="24"/>
              </w:rPr>
            </w:pPr>
            <w:r w:rsidRPr="000B08F5">
              <w:rPr>
                <w:rFonts w:ascii="Times New Roman" w:eastAsia="Times New Roman" w:hAnsi="Times New Roman" w:cs="Times New Roman"/>
                <w:b/>
                <w:bCs/>
                <w:sz w:val="24"/>
                <w:szCs w:val="24"/>
              </w:rPr>
              <w:t>Sl. No.</w:t>
            </w:r>
          </w:p>
        </w:tc>
        <w:tc>
          <w:tcPr>
            <w:tcW w:w="1530" w:type="dxa"/>
            <w:hideMark/>
          </w:tcPr>
          <w:p w14:paraId="08DE9663" w14:textId="77777777" w:rsidR="00064875" w:rsidRPr="000B08F5" w:rsidRDefault="00064875" w:rsidP="00926411">
            <w:pPr>
              <w:jc w:val="center"/>
              <w:rPr>
                <w:rFonts w:ascii="Times New Roman" w:eastAsia="Times New Roman" w:hAnsi="Times New Roman" w:cs="Times New Roman"/>
                <w:b/>
                <w:bCs/>
                <w:sz w:val="24"/>
                <w:szCs w:val="24"/>
              </w:rPr>
            </w:pPr>
            <w:r w:rsidRPr="000B08F5">
              <w:rPr>
                <w:rFonts w:ascii="Times New Roman" w:eastAsia="Times New Roman" w:hAnsi="Times New Roman" w:cs="Times New Roman"/>
                <w:b/>
                <w:bCs/>
                <w:sz w:val="24"/>
                <w:szCs w:val="24"/>
              </w:rPr>
              <w:t>Family</w:t>
            </w:r>
          </w:p>
        </w:tc>
        <w:tc>
          <w:tcPr>
            <w:tcW w:w="2790" w:type="dxa"/>
            <w:hideMark/>
          </w:tcPr>
          <w:p w14:paraId="5E3BF89A" w14:textId="77777777" w:rsidR="00064875" w:rsidRPr="000B08F5" w:rsidRDefault="00064875" w:rsidP="00926411">
            <w:pPr>
              <w:jc w:val="center"/>
              <w:rPr>
                <w:rFonts w:ascii="Times New Roman" w:eastAsia="Times New Roman" w:hAnsi="Times New Roman" w:cs="Times New Roman"/>
                <w:b/>
                <w:bCs/>
                <w:sz w:val="24"/>
                <w:szCs w:val="24"/>
              </w:rPr>
            </w:pPr>
            <w:r w:rsidRPr="000B08F5">
              <w:rPr>
                <w:rFonts w:ascii="Times New Roman" w:eastAsia="Times New Roman" w:hAnsi="Times New Roman" w:cs="Times New Roman"/>
                <w:b/>
                <w:bCs/>
                <w:sz w:val="24"/>
                <w:szCs w:val="24"/>
              </w:rPr>
              <w:t>Common name</w:t>
            </w:r>
          </w:p>
        </w:tc>
        <w:tc>
          <w:tcPr>
            <w:tcW w:w="2340" w:type="dxa"/>
            <w:hideMark/>
          </w:tcPr>
          <w:p w14:paraId="3DBD2554" w14:textId="77777777" w:rsidR="00064875" w:rsidRPr="000B08F5" w:rsidRDefault="00064875" w:rsidP="00926411">
            <w:pPr>
              <w:jc w:val="center"/>
              <w:rPr>
                <w:rFonts w:ascii="Times New Roman" w:eastAsia="Times New Roman" w:hAnsi="Times New Roman" w:cs="Times New Roman"/>
                <w:b/>
                <w:bCs/>
                <w:sz w:val="24"/>
                <w:szCs w:val="24"/>
              </w:rPr>
            </w:pPr>
            <w:r w:rsidRPr="000B08F5">
              <w:rPr>
                <w:rFonts w:ascii="Times New Roman" w:eastAsia="Times New Roman" w:hAnsi="Times New Roman" w:cs="Times New Roman"/>
                <w:b/>
                <w:bCs/>
                <w:sz w:val="24"/>
                <w:szCs w:val="24"/>
              </w:rPr>
              <w:t>Scientific name</w:t>
            </w:r>
          </w:p>
        </w:tc>
        <w:tc>
          <w:tcPr>
            <w:tcW w:w="2430" w:type="dxa"/>
            <w:hideMark/>
          </w:tcPr>
          <w:p w14:paraId="1C4DEB3F" w14:textId="77777777" w:rsidR="00064875" w:rsidRPr="000B08F5" w:rsidRDefault="00064875" w:rsidP="00926411">
            <w:pPr>
              <w:jc w:val="center"/>
              <w:rPr>
                <w:rFonts w:ascii="Times New Roman" w:eastAsia="Times New Roman" w:hAnsi="Times New Roman" w:cs="Times New Roman"/>
                <w:b/>
                <w:bCs/>
                <w:sz w:val="24"/>
                <w:szCs w:val="24"/>
              </w:rPr>
            </w:pPr>
            <w:r w:rsidRPr="000B08F5">
              <w:rPr>
                <w:rFonts w:ascii="Times New Roman" w:eastAsia="Times New Roman" w:hAnsi="Times New Roman" w:cs="Times New Roman"/>
                <w:b/>
                <w:bCs/>
                <w:sz w:val="24"/>
                <w:szCs w:val="24"/>
              </w:rPr>
              <w:t>IUCN Red List status</w:t>
            </w:r>
          </w:p>
        </w:tc>
      </w:tr>
      <w:tr w:rsidR="00064875" w:rsidRPr="000B08F5" w14:paraId="3014C017" w14:textId="77777777" w:rsidTr="00F50124">
        <w:tc>
          <w:tcPr>
            <w:tcW w:w="918" w:type="dxa"/>
            <w:hideMark/>
          </w:tcPr>
          <w:p w14:paraId="548E45E4"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w:t>
            </w:r>
          </w:p>
        </w:tc>
        <w:tc>
          <w:tcPr>
            <w:tcW w:w="1530" w:type="dxa"/>
            <w:hideMark/>
          </w:tcPr>
          <w:p w14:paraId="711C1537"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Papilionidae</w:t>
            </w:r>
            <w:proofErr w:type="spellEnd"/>
          </w:p>
        </w:tc>
        <w:tc>
          <w:tcPr>
            <w:tcW w:w="2790" w:type="dxa"/>
            <w:hideMark/>
          </w:tcPr>
          <w:p w14:paraId="5D66D391"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Mormon</w:t>
            </w:r>
          </w:p>
        </w:tc>
        <w:tc>
          <w:tcPr>
            <w:tcW w:w="2340" w:type="dxa"/>
            <w:hideMark/>
          </w:tcPr>
          <w:p w14:paraId="4CCF53CB"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i/>
                <w:iCs/>
                <w:sz w:val="24"/>
                <w:szCs w:val="24"/>
              </w:rPr>
              <w:t xml:space="preserve">Papilio </w:t>
            </w:r>
            <w:proofErr w:type="spellStart"/>
            <w:r w:rsidRPr="000B08F5">
              <w:rPr>
                <w:rFonts w:ascii="Times New Roman" w:eastAsia="Times New Roman" w:hAnsi="Times New Roman" w:cs="Times New Roman"/>
                <w:i/>
                <w:iCs/>
                <w:sz w:val="24"/>
                <w:szCs w:val="24"/>
              </w:rPr>
              <w:t>polytes</w:t>
            </w:r>
            <w:proofErr w:type="spellEnd"/>
          </w:p>
        </w:tc>
        <w:tc>
          <w:tcPr>
            <w:tcW w:w="2430" w:type="dxa"/>
            <w:hideMark/>
          </w:tcPr>
          <w:p w14:paraId="48CE5EB9"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190D68F0" w14:textId="77777777" w:rsidTr="00F50124">
        <w:tc>
          <w:tcPr>
            <w:tcW w:w="918" w:type="dxa"/>
            <w:hideMark/>
          </w:tcPr>
          <w:p w14:paraId="271A06E0"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w:t>
            </w:r>
          </w:p>
        </w:tc>
        <w:tc>
          <w:tcPr>
            <w:tcW w:w="1530" w:type="dxa"/>
            <w:hideMark/>
          </w:tcPr>
          <w:p w14:paraId="2C869505"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Papilionidae</w:t>
            </w:r>
            <w:proofErr w:type="spellEnd"/>
          </w:p>
        </w:tc>
        <w:tc>
          <w:tcPr>
            <w:tcW w:w="2790" w:type="dxa"/>
            <w:hideMark/>
          </w:tcPr>
          <w:p w14:paraId="420FABE5"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Golden Birdwing</w:t>
            </w:r>
          </w:p>
        </w:tc>
        <w:tc>
          <w:tcPr>
            <w:tcW w:w="2340" w:type="dxa"/>
            <w:hideMark/>
          </w:tcPr>
          <w:p w14:paraId="6E424A2E"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Troides</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aeacus</w:t>
            </w:r>
            <w:proofErr w:type="spellEnd"/>
          </w:p>
        </w:tc>
        <w:tc>
          <w:tcPr>
            <w:tcW w:w="2430" w:type="dxa"/>
            <w:hideMark/>
          </w:tcPr>
          <w:p w14:paraId="0024A653" w14:textId="77777777" w:rsidR="00064875" w:rsidRPr="000B08F5" w:rsidRDefault="00064875" w:rsidP="00926411">
            <w:pPr>
              <w:jc w:val="center"/>
              <w:rPr>
                <w:rFonts w:ascii="Times New Roman" w:eastAsia="Times New Roman" w:hAnsi="Times New Roman" w:cs="Times New Roman"/>
                <w:sz w:val="24"/>
                <w:szCs w:val="24"/>
              </w:rPr>
            </w:pPr>
            <w:r w:rsidRPr="006853A7">
              <w:rPr>
                <w:rFonts w:ascii="Times New Roman" w:eastAsia="Times New Roman" w:hAnsi="Times New Roman" w:cs="Times New Roman"/>
                <w:bCs/>
                <w:sz w:val="24"/>
                <w:szCs w:val="24"/>
              </w:rPr>
              <w:t>LC</w:t>
            </w:r>
          </w:p>
        </w:tc>
      </w:tr>
      <w:tr w:rsidR="00064875" w:rsidRPr="000B08F5" w14:paraId="7180441B" w14:textId="77777777" w:rsidTr="00F50124">
        <w:tc>
          <w:tcPr>
            <w:tcW w:w="918" w:type="dxa"/>
            <w:hideMark/>
          </w:tcPr>
          <w:p w14:paraId="327F8E2A"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w:t>
            </w:r>
          </w:p>
        </w:tc>
        <w:tc>
          <w:tcPr>
            <w:tcW w:w="1530" w:type="dxa"/>
            <w:hideMark/>
          </w:tcPr>
          <w:p w14:paraId="627DB455"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Papilionidae</w:t>
            </w:r>
            <w:proofErr w:type="spellEnd"/>
          </w:p>
        </w:tc>
        <w:tc>
          <w:tcPr>
            <w:tcW w:w="2790" w:type="dxa"/>
            <w:hideMark/>
          </w:tcPr>
          <w:p w14:paraId="0B7C1373"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Mime</w:t>
            </w:r>
          </w:p>
        </w:tc>
        <w:tc>
          <w:tcPr>
            <w:tcW w:w="2340" w:type="dxa"/>
            <w:hideMark/>
          </w:tcPr>
          <w:p w14:paraId="3202CBD7"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i/>
                <w:iCs/>
                <w:sz w:val="24"/>
                <w:szCs w:val="24"/>
              </w:rPr>
              <w:t xml:space="preserve">Papilio </w:t>
            </w:r>
            <w:proofErr w:type="spellStart"/>
            <w:r w:rsidRPr="000B08F5">
              <w:rPr>
                <w:rFonts w:ascii="Times New Roman" w:eastAsia="Times New Roman" w:hAnsi="Times New Roman" w:cs="Times New Roman"/>
                <w:i/>
                <w:iCs/>
                <w:sz w:val="24"/>
                <w:szCs w:val="24"/>
              </w:rPr>
              <w:t>clytia</w:t>
            </w:r>
            <w:proofErr w:type="spellEnd"/>
          </w:p>
        </w:tc>
        <w:tc>
          <w:tcPr>
            <w:tcW w:w="2430" w:type="dxa"/>
            <w:hideMark/>
          </w:tcPr>
          <w:p w14:paraId="3052BF43"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708A9BF9" w14:textId="77777777" w:rsidTr="00F50124">
        <w:tc>
          <w:tcPr>
            <w:tcW w:w="918" w:type="dxa"/>
            <w:hideMark/>
          </w:tcPr>
          <w:p w14:paraId="60C1A6AF"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4</w:t>
            </w:r>
          </w:p>
        </w:tc>
        <w:tc>
          <w:tcPr>
            <w:tcW w:w="1530" w:type="dxa"/>
            <w:hideMark/>
          </w:tcPr>
          <w:p w14:paraId="0024708E"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Papilionidae</w:t>
            </w:r>
            <w:proofErr w:type="spellEnd"/>
          </w:p>
        </w:tc>
        <w:tc>
          <w:tcPr>
            <w:tcW w:w="2790" w:type="dxa"/>
            <w:hideMark/>
          </w:tcPr>
          <w:p w14:paraId="10FE970F"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Paris Peacock</w:t>
            </w:r>
          </w:p>
        </w:tc>
        <w:tc>
          <w:tcPr>
            <w:tcW w:w="2340" w:type="dxa"/>
            <w:hideMark/>
          </w:tcPr>
          <w:p w14:paraId="11F5D905"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i/>
                <w:iCs/>
                <w:sz w:val="24"/>
                <w:szCs w:val="24"/>
              </w:rPr>
              <w:t xml:space="preserve">Papilio </w:t>
            </w:r>
            <w:proofErr w:type="spellStart"/>
            <w:r w:rsidRPr="000B08F5">
              <w:rPr>
                <w:rFonts w:ascii="Times New Roman" w:eastAsia="Times New Roman" w:hAnsi="Times New Roman" w:cs="Times New Roman"/>
                <w:i/>
                <w:iCs/>
                <w:sz w:val="24"/>
                <w:szCs w:val="24"/>
              </w:rPr>
              <w:t>paris</w:t>
            </w:r>
            <w:proofErr w:type="spellEnd"/>
          </w:p>
        </w:tc>
        <w:tc>
          <w:tcPr>
            <w:tcW w:w="2430" w:type="dxa"/>
            <w:hideMark/>
          </w:tcPr>
          <w:p w14:paraId="1F934A00"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37D41E06" w14:textId="77777777" w:rsidTr="00F50124">
        <w:tc>
          <w:tcPr>
            <w:tcW w:w="918" w:type="dxa"/>
            <w:hideMark/>
          </w:tcPr>
          <w:p w14:paraId="108E97CC"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5</w:t>
            </w:r>
          </w:p>
        </w:tc>
        <w:tc>
          <w:tcPr>
            <w:tcW w:w="1530" w:type="dxa"/>
            <w:hideMark/>
          </w:tcPr>
          <w:p w14:paraId="496215CC"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Papilionidae</w:t>
            </w:r>
            <w:proofErr w:type="spellEnd"/>
          </w:p>
        </w:tc>
        <w:tc>
          <w:tcPr>
            <w:tcW w:w="2790" w:type="dxa"/>
            <w:hideMark/>
          </w:tcPr>
          <w:p w14:paraId="52EAFEC9"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Lime Butterfly</w:t>
            </w:r>
          </w:p>
        </w:tc>
        <w:tc>
          <w:tcPr>
            <w:tcW w:w="2340" w:type="dxa"/>
            <w:hideMark/>
          </w:tcPr>
          <w:p w14:paraId="1C3D5065"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i/>
                <w:iCs/>
                <w:sz w:val="24"/>
                <w:szCs w:val="24"/>
              </w:rPr>
              <w:t xml:space="preserve">Papilio </w:t>
            </w:r>
            <w:proofErr w:type="spellStart"/>
            <w:r w:rsidRPr="000B08F5">
              <w:rPr>
                <w:rFonts w:ascii="Times New Roman" w:eastAsia="Times New Roman" w:hAnsi="Times New Roman" w:cs="Times New Roman"/>
                <w:i/>
                <w:iCs/>
                <w:sz w:val="24"/>
                <w:szCs w:val="24"/>
              </w:rPr>
              <w:t>demoleus</w:t>
            </w:r>
            <w:proofErr w:type="spellEnd"/>
          </w:p>
        </w:tc>
        <w:tc>
          <w:tcPr>
            <w:tcW w:w="2430" w:type="dxa"/>
            <w:hideMark/>
          </w:tcPr>
          <w:p w14:paraId="7741F154"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69653C61" w14:textId="77777777" w:rsidTr="00F50124">
        <w:tc>
          <w:tcPr>
            <w:tcW w:w="918" w:type="dxa"/>
            <w:hideMark/>
          </w:tcPr>
          <w:p w14:paraId="5F90A56B"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lastRenderedPageBreak/>
              <w:t>6</w:t>
            </w:r>
          </w:p>
        </w:tc>
        <w:tc>
          <w:tcPr>
            <w:tcW w:w="1530" w:type="dxa"/>
            <w:hideMark/>
          </w:tcPr>
          <w:p w14:paraId="4B26E086"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Papilionidae</w:t>
            </w:r>
            <w:proofErr w:type="spellEnd"/>
          </w:p>
        </w:tc>
        <w:tc>
          <w:tcPr>
            <w:tcW w:w="2790" w:type="dxa"/>
            <w:hideMark/>
          </w:tcPr>
          <w:p w14:paraId="2D8048AD"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Birdwing</w:t>
            </w:r>
          </w:p>
        </w:tc>
        <w:tc>
          <w:tcPr>
            <w:tcW w:w="2340" w:type="dxa"/>
            <w:hideMark/>
          </w:tcPr>
          <w:p w14:paraId="2D70E014"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Troides</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helena</w:t>
            </w:r>
            <w:proofErr w:type="spellEnd"/>
          </w:p>
        </w:tc>
        <w:tc>
          <w:tcPr>
            <w:tcW w:w="2430" w:type="dxa"/>
            <w:hideMark/>
          </w:tcPr>
          <w:p w14:paraId="5E5120D4" w14:textId="77777777" w:rsidR="00064875" w:rsidRPr="000B08F5" w:rsidRDefault="00064875" w:rsidP="00926411">
            <w:pPr>
              <w:jc w:val="center"/>
              <w:rPr>
                <w:rFonts w:ascii="Times New Roman" w:eastAsia="Times New Roman" w:hAnsi="Times New Roman" w:cs="Times New Roman"/>
                <w:sz w:val="24"/>
                <w:szCs w:val="24"/>
              </w:rPr>
            </w:pPr>
            <w:r w:rsidRPr="006853A7">
              <w:rPr>
                <w:rFonts w:ascii="Times New Roman" w:eastAsia="Times New Roman" w:hAnsi="Times New Roman" w:cs="Times New Roman"/>
                <w:bCs/>
                <w:sz w:val="24"/>
                <w:szCs w:val="24"/>
              </w:rPr>
              <w:t>LC</w:t>
            </w:r>
          </w:p>
        </w:tc>
      </w:tr>
      <w:tr w:rsidR="00064875" w:rsidRPr="000B08F5" w14:paraId="07E2568A" w14:textId="77777777" w:rsidTr="00F50124">
        <w:tc>
          <w:tcPr>
            <w:tcW w:w="918" w:type="dxa"/>
            <w:hideMark/>
          </w:tcPr>
          <w:p w14:paraId="6BCA4D7F"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7</w:t>
            </w:r>
          </w:p>
        </w:tc>
        <w:tc>
          <w:tcPr>
            <w:tcW w:w="1530" w:type="dxa"/>
            <w:hideMark/>
          </w:tcPr>
          <w:p w14:paraId="4B0BEF6E"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Pieridae</w:t>
            </w:r>
            <w:proofErr w:type="spellEnd"/>
          </w:p>
        </w:tc>
        <w:tc>
          <w:tcPr>
            <w:tcW w:w="2790" w:type="dxa"/>
            <w:hideMark/>
          </w:tcPr>
          <w:p w14:paraId="23ED3730"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Emigrant</w:t>
            </w:r>
          </w:p>
        </w:tc>
        <w:tc>
          <w:tcPr>
            <w:tcW w:w="2340" w:type="dxa"/>
            <w:hideMark/>
          </w:tcPr>
          <w:p w14:paraId="5E6AF950"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Catopsilia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pomona</w:t>
            </w:r>
            <w:proofErr w:type="spellEnd"/>
          </w:p>
        </w:tc>
        <w:tc>
          <w:tcPr>
            <w:tcW w:w="2430" w:type="dxa"/>
            <w:hideMark/>
          </w:tcPr>
          <w:p w14:paraId="48EB59D7"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6D8D540D" w14:textId="77777777" w:rsidTr="00F50124">
        <w:tc>
          <w:tcPr>
            <w:tcW w:w="918" w:type="dxa"/>
            <w:hideMark/>
          </w:tcPr>
          <w:p w14:paraId="111E9FE9"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8</w:t>
            </w:r>
          </w:p>
        </w:tc>
        <w:tc>
          <w:tcPr>
            <w:tcW w:w="1530" w:type="dxa"/>
            <w:hideMark/>
          </w:tcPr>
          <w:p w14:paraId="5EE974D3"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Pieridae</w:t>
            </w:r>
            <w:proofErr w:type="spellEnd"/>
          </w:p>
        </w:tc>
        <w:tc>
          <w:tcPr>
            <w:tcW w:w="2790" w:type="dxa"/>
            <w:hideMark/>
          </w:tcPr>
          <w:p w14:paraId="3D33B1EC"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Mottled Emigrant</w:t>
            </w:r>
          </w:p>
        </w:tc>
        <w:tc>
          <w:tcPr>
            <w:tcW w:w="2340" w:type="dxa"/>
            <w:hideMark/>
          </w:tcPr>
          <w:p w14:paraId="033D7A76"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Catopsilia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pyranthe</w:t>
            </w:r>
            <w:proofErr w:type="spellEnd"/>
          </w:p>
        </w:tc>
        <w:tc>
          <w:tcPr>
            <w:tcW w:w="2430" w:type="dxa"/>
            <w:hideMark/>
          </w:tcPr>
          <w:p w14:paraId="688FBE88"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3D573A72" w14:textId="77777777" w:rsidTr="00F50124">
        <w:tc>
          <w:tcPr>
            <w:tcW w:w="918" w:type="dxa"/>
            <w:hideMark/>
          </w:tcPr>
          <w:p w14:paraId="61DE7619"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9</w:t>
            </w:r>
          </w:p>
        </w:tc>
        <w:tc>
          <w:tcPr>
            <w:tcW w:w="1530" w:type="dxa"/>
            <w:hideMark/>
          </w:tcPr>
          <w:p w14:paraId="2E659532"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Pieridae</w:t>
            </w:r>
            <w:proofErr w:type="spellEnd"/>
          </w:p>
        </w:tc>
        <w:tc>
          <w:tcPr>
            <w:tcW w:w="2790" w:type="dxa"/>
            <w:hideMark/>
          </w:tcPr>
          <w:p w14:paraId="0A19592A"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Grass Yellow</w:t>
            </w:r>
          </w:p>
        </w:tc>
        <w:tc>
          <w:tcPr>
            <w:tcW w:w="2340" w:type="dxa"/>
            <w:hideMark/>
          </w:tcPr>
          <w:p w14:paraId="097E4401"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Eurema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hecabe</w:t>
            </w:r>
            <w:proofErr w:type="spellEnd"/>
          </w:p>
        </w:tc>
        <w:tc>
          <w:tcPr>
            <w:tcW w:w="2430" w:type="dxa"/>
            <w:hideMark/>
          </w:tcPr>
          <w:p w14:paraId="4C038020"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614B8C1D" w14:textId="77777777" w:rsidTr="00F50124">
        <w:tc>
          <w:tcPr>
            <w:tcW w:w="918" w:type="dxa"/>
            <w:hideMark/>
          </w:tcPr>
          <w:p w14:paraId="5669F3B1"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10</w:t>
            </w:r>
          </w:p>
        </w:tc>
        <w:tc>
          <w:tcPr>
            <w:tcW w:w="1530" w:type="dxa"/>
            <w:hideMark/>
          </w:tcPr>
          <w:p w14:paraId="39B6A3B2"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Pieridae</w:t>
            </w:r>
            <w:proofErr w:type="spellEnd"/>
          </w:p>
        </w:tc>
        <w:tc>
          <w:tcPr>
            <w:tcW w:w="2790" w:type="dxa"/>
            <w:hideMark/>
          </w:tcPr>
          <w:p w14:paraId="2EB2A7B3"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Three-spot Grass Yellow</w:t>
            </w:r>
          </w:p>
        </w:tc>
        <w:tc>
          <w:tcPr>
            <w:tcW w:w="2340" w:type="dxa"/>
            <w:hideMark/>
          </w:tcPr>
          <w:p w14:paraId="16D8552C"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Eurema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blanda</w:t>
            </w:r>
            <w:proofErr w:type="spellEnd"/>
          </w:p>
        </w:tc>
        <w:tc>
          <w:tcPr>
            <w:tcW w:w="2430" w:type="dxa"/>
            <w:hideMark/>
          </w:tcPr>
          <w:p w14:paraId="044835FB"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575B0652" w14:textId="77777777" w:rsidTr="00F50124">
        <w:tc>
          <w:tcPr>
            <w:tcW w:w="918" w:type="dxa"/>
            <w:hideMark/>
          </w:tcPr>
          <w:p w14:paraId="2A4B1BA3"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11</w:t>
            </w:r>
          </w:p>
        </w:tc>
        <w:tc>
          <w:tcPr>
            <w:tcW w:w="1530" w:type="dxa"/>
            <w:hideMark/>
          </w:tcPr>
          <w:p w14:paraId="1E7013A9"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Pieridae</w:t>
            </w:r>
            <w:proofErr w:type="spellEnd"/>
          </w:p>
        </w:tc>
        <w:tc>
          <w:tcPr>
            <w:tcW w:w="2790" w:type="dxa"/>
            <w:hideMark/>
          </w:tcPr>
          <w:p w14:paraId="4CAEECE5"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Psyche</w:t>
            </w:r>
          </w:p>
        </w:tc>
        <w:tc>
          <w:tcPr>
            <w:tcW w:w="2340" w:type="dxa"/>
            <w:hideMark/>
          </w:tcPr>
          <w:p w14:paraId="6DC2F75D"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Leptosia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nina</w:t>
            </w:r>
            <w:proofErr w:type="spellEnd"/>
          </w:p>
        </w:tc>
        <w:tc>
          <w:tcPr>
            <w:tcW w:w="2430" w:type="dxa"/>
            <w:hideMark/>
          </w:tcPr>
          <w:p w14:paraId="6B989362"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281D2D2E" w14:textId="77777777" w:rsidTr="00F50124">
        <w:tc>
          <w:tcPr>
            <w:tcW w:w="918" w:type="dxa"/>
            <w:hideMark/>
          </w:tcPr>
          <w:p w14:paraId="5A0E4B08"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12</w:t>
            </w:r>
          </w:p>
        </w:tc>
        <w:tc>
          <w:tcPr>
            <w:tcW w:w="1530" w:type="dxa"/>
            <w:hideMark/>
          </w:tcPr>
          <w:p w14:paraId="71616A8A"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Pieridae</w:t>
            </w:r>
            <w:proofErr w:type="spellEnd"/>
          </w:p>
        </w:tc>
        <w:tc>
          <w:tcPr>
            <w:tcW w:w="2790" w:type="dxa"/>
            <w:hideMark/>
          </w:tcPr>
          <w:p w14:paraId="41411AE8"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Indian Cabbage White</w:t>
            </w:r>
          </w:p>
        </w:tc>
        <w:tc>
          <w:tcPr>
            <w:tcW w:w="2340" w:type="dxa"/>
            <w:hideMark/>
          </w:tcPr>
          <w:p w14:paraId="79B209F9"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i/>
                <w:iCs/>
                <w:sz w:val="24"/>
                <w:szCs w:val="24"/>
              </w:rPr>
              <w:t xml:space="preserve">Pieris </w:t>
            </w:r>
            <w:proofErr w:type="spellStart"/>
            <w:r w:rsidRPr="000B08F5">
              <w:rPr>
                <w:rFonts w:ascii="Times New Roman" w:eastAsia="Times New Roman" w:hAnsi="Times New Roman" w:cs="Times New Roman"/>
                <w:i/>
                <w:iCs/>
                <w:sz w:val="24"/>
                <w:szCs w:val="24"/>
              </w:rPr>
              <w:t>canidia</w:t>
            </w:r>
            <w:proofErr w:type="spellEnd"/>
          </w:p>
        </w:tc>
        <w:tc>
          <w:tcPr>
            <w:tcW w:w="2430" w:type="dxa"/>
            <w:hideMark/>
          </w:tcPr>
          <w:p w14:paraId="3E35918A"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6F60BAB1" w14:textId="77777777" w:rsidTr="00F50124">
        <w:tc>
          <w:tcPr>
            <w:tcW w:w="918" w:type="dxa"/>
            <w:hideMark/>
          </w:tcPr>
          <w:p w14:paraId="025B1395"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13</w:t>
            </w:r>
          </w:p>
        </w:tc>
        <w:tc>
          <w:tcPr>
            <w:tcW w:w="1530" w:type="dxa"/>
            <w:hideMark/>
          </w:tcPr>
          <w:p w14:paraId="7B0AF4B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Lycaenidae</w:t>
            </w:r>
            <w:proofErr w:type="spellEnd"/>
          </w:p>
        </w:tc>
        <w:tc>
          <w:tcPr>
            <w:tcW w:w="2790" w:type="dxa"/>
            <w:hideMark/>
          </w:tcPr>
          <w:p w14:paraId="6E5C3760"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Dark Grass Blue</w:t>
            </w:r>
          </w:p>
        </w:tc>
        <w:tc>
          <w:tcPr>
            <w:tcW w:w="2340" w:type="dxa"/>
            <w:hideMark/>
          </w:tcPr>
          <w:p w14:paraId="62C555A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Zizeeria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karsandra</w:t>
            </w:r>
            <w:proofErr w:type="spellEnd"/>
          </w:p>
        </w:tc>
        <w:tc>
          <w:tcPr>
            <w:tcW w:w="2430" w:type="dxa"/>
            <w:hideMark/>
          </w:tcPr>
          <w:p w14:paraId="4775057F"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4F1E8408" w14:textId="77777777" w:rsidTr="00F50124">
        <w:tc>
          <w:tcPr>
            <w:tcW w:w="918" w:type="dxa"/>
            <w:hideMark/>
          </w:tcPr>
          <w:p w14:paraId="6CE7052B"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14</w:t>
            </w:r>
          </w:p>
        </w:tc>
        <w:tc>
          <w:tcPr>
            <w:tcW w:w="1530" w:type="dxa"/>
            <w:hideMark/>
          </w:tcPr>
          <w:p w14:paraId="75BE3FF9"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Lycaenidae</w:t>
            </w:r>
            <w:proofErr w:type="spellEnd"/>
          </w:p>
        </w:tc>
        <w:tc>
          <w:tcPr>
            <w:tcW w:w="2790" w:type="dxa"/>
            <w:hideMark/>
          </w:tcPr>
          <w:p w14:paraId="1EA92F51"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Pale Grass Blue</w:t>
            </w:r>
          </w:p>
        </w:tc>
        <w:tc>
          <w:tcPr>
            <w:tcW w:w="2340" w:type="dxa"/>
            <w:hideMark/>
          </w:tcPr>
          <w:p w14:paraId="5B88F3A4"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Pseudozizeeria</w:t>
            </w:r>
            <w:proofErr w:type="spellEnd"/>
            <w:r w:rsidRPr="000B08F5">
              <w:rPr>
                <w:rFonts w:ascii="Times New Roman" w:eastAsia="Times New Roman" w:hAnsi="Times New Roman" w:cs="Times New Roman"/>
                <w:i/>
                <w:iCs/>
                <w:sz w:val="24"/>
                <w:szCs w:val="24"/>
              </w:rPr>
              <w:t xml:space="preserve"> maha</w:t>
            </w:r>
          </w:p>
        </w:tc>
        <w:tc>
          <w:tcPr>
            <w:tcW w:w="2430" w:type="dxa"/>
            <w:hideMark/>
          </w:tcPr>
          <w:p w14:paraId="2FF7C3C7"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2DFC7892" w14:textId="77777777" w:rsidTr="00F50124">
        <w:tc>
          <w:tcPr>
            <w:tcW w:w="918" w:type="dxa"/>
            <w:hideMark/>
          </w:tcPr>
          <w:p w14:paraId="60BBFF78"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15</w:t>
            </w:r>
          </w:p>
        </w:tc>
        <w:tc>
          <w:tcPr>
            <w:tcW w:w="1530" w:type="dxa"/>
            <w:hideMark/>
          </w:tcPr>
          <w:p w14:paraId="27449342"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Lycaenidae</w:t>
            </w:r>
            <w:proofErr w:type="spellEnd"/>
          </w:p>
        </w:tc>
        <w:tc>
          <w:tcPr>
            <w:tcW w:w="2790" w:type="dxa"/>
            <w:hideMark/>
          </w:tcPr>
          <w:p w14:paraId="0CD21DB3"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Lesser Grass Blue</w:t>
            </w:r>
          </w:p>
        </w:tc>
        <w:tc>
          <w:tcPr>
            <w:tcW w:w="2340" w:type="dxa"/>
            <w:hideMark/>
          </w:tcPr>
          <w:p w14:paraId="73CA23E1"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Zizina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otis</w:t>
            </w:r>
            <w:proofErr w:type="spellEnd"/>
          </w:p>
        </w:tc>
        <w:tc>
          <w:tcPr>
            <w:tcW w:w="2430" w:type="dxa"/>
            <w:hideMark/>
          </w:tcPr>
          <w:p w14:paraId="2CCF765C"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18EA05E0" w14:textId="77777777" w:rsidTr="00F50124">
        <w:tc>
          <w:tcPr>
            <w:tcW w:w="918" w:type="dxa"/>
            <w:hideMark/>
          </w:tcPr>
          <w:p w14:paraId="49AA4803"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16</w:t>
            </w:r>
          </w:p>
        </w:tc>
        <w:tc>
          <w:tcPr>
            <w:tcW w:w="1530" w:type="dxa"/>
            <w:hideMark/>
          </w:tcPr>
          <w:p w14:paraId="2499862A"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Lycaenidae</w:t>
            </w:r>
            <w:proofErr w:type="spellEnd"/>
          </w:p>
        </w:tc>
        <w:tc>
          <w:tcPr>
            <w:tcW w:w="2790" w:type="dxa"/>
            <w:hideMark/>
          </w:tcPr>
          <w:p w14:paraId="30BCC264"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Pierrot</w:t>
            </w:r>
          </w:p>
        </w:tc>
        <w:tc>
          <w:tcPr>
            <w:tcW w:w="2340" w:type="dxa"/>
            <w:hideMark/>
          </w:tcPr>
          <w:p w14:paraId="547A3498"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Castalius</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rosimon</w:t>
            </w:r>
            <w:proofErr w:type="spellEnd"/>
          </w:p>
        </w:tc>
        <w:tc>
          <w:tcPr>
            <w:tcW w:w="2430" w:type="dxa"/>
            <w:hideMark/>
          </w:tcPr>
          <w:p w14:paraId="6F4082E2" w14:textId="77777777" w:rsidR="00064875" w:rsidRPr="000B08F5" w:rsidRDefault="00064875" w:rsidP="00926411">
            <w:pPr>
              <w:jc w:val="center"/>
              <w:rPr>
                <w:rFonts w:ascii="Times New Roman" w:eastAsia="Times New Roman" w:hAnsi="Times New Roman" w:cs="Times New Roman"/>
                <w:sz w:val="24"/>
                <w:szCs w:val="24"/>
              </w:rPr>
            </w:pPr>
            <w:r w:rsidRPr="006853A7">
              <w:rPr>
                <w:rFonts w:ascii="Times New Roman" w:eastAsia="Times New Roman" w:hAnsi="Times New Roman" w:cs="Times New Roman"/>
                <w:bCs/>
                <w:sz w:val="24"/>
                <w:szCs w:val="24"/>
              </w:rPr>
              <w:t>LC</w:t>
            </w:r>
          </w:p>
        </w:tc>
      </w:tr>
      <w:tr w:rsidR="00064875" w:rsidRPr="000B08F5" w14:paraId="196A64C7" w14:textId="77777777" w:rsidTr="00F50124">
        <w:tc>
          <w:tcPr>
            <w:tcW w:w="918" w:type="dxa"/>
            <w:hideMark/>
          </w:tcPr>
          <w:p w14:paraId="64F019E5"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17</w:t>
            </w:r>
          </w:p>
        </w:tc>
        <w:tc>
          <w:tcPr>
            <w:tcW w:w="1530" w:type="dxa"/>
            <w:hideMark/>
          </w:tcPr>
          <w:p w14:paraId="6A1E56E2"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Lycaenidae</w:t>
            </w:r>
            <w:proofErr w:type="spellEnd"/>
          </w:p>
        </w:tc>
        <w:tc>
          <w:tcPr>
            <w:tcW w:w="2790" w:type="dxa"/>
            <w:hideMark/>
          </w:tcPr>
          <w:p w14:paraId="28F7FD23"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Slate Flash</w:t>
            </w:r>
          </w:p>
        </w:tc>
        <w:tc>
          <w:tcPr>
            <w:tcW w:w="2340" w:type="dxa"/>
            <w:hideMark/>
          </w:tcPr>
          <w:p w14:paraId="4CB6E3CF"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i/>
                <w:iCs/>
                <w:sz w:val="24"/>
                <w:szCs w:val="24"/>
              </w:rPr>
              <w:t xml:space="preserve">Rapala </w:t>
            </w:r>
            <w:proofErr w:type="spellStart"/>
            <w:r w:rsidRPr="000B08F5">
              <w:rPr>
                <w:rFonts w:ascii="Times New Roman" w:eastAsia="Times New Roman" w:hAnsi="Times New Roman" w:cs="Times New Roman"/>
                <w:i/>
                <w:iCs/>
                <w:sz w:val="24"/>
                <w:szCs w:val="24"/>
              </w:rPr>
              <w:t>manea</w:t>
            </w:r>
            <w:proofErr w:type="spellEnd"/>
          </w:p>
        </w:tc>
        <w:tc>
          <w:tcPr>
            <w:tcW w:w="2430" w:type="dxa"/>
            <w:hideMark/>
          </w:tcPr>
          <w:p w14:paraId="1F4E499A"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0AC03112" w14:textId="77777777" w:rsidTr="00F50124">
        <w:tc>
          <w:tcPr>
            <w:tcW w:w="918" w:type="dxa"/>
            <w:hideMark/>
          </w:tcPr>
          <w:p w14:paraId="21A8D2E1"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18</w:t>
            </w:r>
          </w:p>
        </w:tc>
        <w:tc>
          <w:tcPr>
            <w:tcW w:w="1530" w:type="dxa"/>
            <w:hideMark/>
          </w:tcPr>
          <w:p w14:paraId="64AEB822"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Lycaenidae</w:t>
            </w:r>
            <w:proofErr w:type="spellEnd"/>
          </w:p>
        </w:tc>
        <w:tc>
          <w:tcPr>
            <w:tcW w:w="2790" w:type="dxa"/>
            <w:hideMark/>
          </w:tcPr>
          <w:p w14:paraId="1DDAEB9C"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Copper Flash</w:t>
            </w:r>
          </w:p>
        </w:tc>
        <w:tc>
          <w:tcPr>
            <w:tcW w:w="2340" w:type="dxa"/>
            <w:hideMark/>
          </w:tcPr>
          <w:p w14:paraId="728D91CA"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i/>
                <w:iCs/>
                <w:sz w:val="24"/>
                <w:szCs w:val="24"/>
              </w:rPr>
              <w:t xml:space="preserve">Rapala </w:t>
            </w:r>
            <w:proofErr w:type="spellStart"/>
            <w:r w:rsidRPr="000B08F5">
              <w:rPr>
                <w:rFonts w:ascii="Times New Roman" w:eastAsia="Times New Roman" w:hAnsi="Times New Roman" w:cs="Times New Roman"/>
                <w:i/>
                <w:iCs/>
                <w:sz w:val="24"/>
                <w:szCs w:val="24"/>
              </w:rPr>
              <w:t>pheretima</w:t>
            </w:r>
            <w:proofErr w:type="spellEnd"/>
          </w:p>
        </w:tc>
        <w:tc>
          <w:tcPr>
            <w:tcW w:w="2430" w:type="dxa"/>
            <w:hideMark/>
          </w:tcPr>
          <w:p w14:paraId="3C1EF595"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5BDE22CA" w14:textId="77777777" w:rsidTr="00F50124">
        <w:tc>
          <w:tcPr>
            <w:tcW w:w="918" w:type="dxa"/>
            <w:hideMark/>
          </w:tcPr>
          <w:p w14:paraId="0A272E26"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19</w:t>
            </w:r>
          </w:p>
        </w:tc>
        <w:tc>
          <w:tcPr>
            <w:tcW w:w="1530" w:type="dxa"/>
            <w:hideMark/>
          </w:tcPr>
          <w:p w14:paraId="1C221A89"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Lycaenidae</w:t>
            </w:r>
            <w:proofErr w:type="spellEnd"/>
          </w:p>
        </w:tc>
        <w:tc>
          <w:tcPr>
            <w:tcW w:w="2790" w:type="dxa"/>
            <w:hideMark/>
          </w:tcPr>
          <w:p w14:paraId="6360AC1F"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Climate Blue</w:t>
            </w:r>
          </w:p>
        </w:tc>
        <w:tc>
          <w:tcPr>
            <w:tcW w:w="2340" w:type="dxa"/>
            <w:hideMark/>
          </w:tcPr>
          <w:p w14:paraId="0EB7FD80"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Anthene</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definita</w:t>
            </w:r>
            <w:proofErr w:type="spellEnd"/>
          </w:p>
        </w:tc>
        <w:tc>
          <w:tcPr>
            <w:tcW w:w="2430" w:type="dxa"/>
            <w:hideMark/>
          </w:tcPr>
          <w:p w14:paraId="4384E1FB"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6C966940" w14:textId="77777777" w:rsidTr="00F50124">
        <w:tc>
          <w:tcPr>
            <w:tcW w:w="918" w:type="dxa"/>
            <w:hideMark/>
          </w:tcPr>
          <w:p w14:paraId="73E97998"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20</w:t>
            </w:r>
          </w:p>
        </w:tc>
        <w:tc>
          <w:tcPr>
            <w:tcW w:w="1530" w:type="dxa"/>
            <w:hideMark/>
          </w:tcPr>
          <w:p w14:paraId="5EEAB0BB"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Riodinidae</w:t>
            </w:r>
          </w:p>
        </w:tc>
        <w:tc>
          <w:tcPr>
            <w:tcW w:w="2790" w:type="dxa"/>
            <w:hideMark/>
          </w:tcPr>
          <w:p w14:paraId="6C8AE127"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Punchinello</w:t>
            </w:r>
          </w:p>
        </w:tc>
        <w:tc>
          <w:tcPr>
            <w:tcW w:w="2340" w:type="dxa"/>
            <w:hideMark/>
          </w:tcPr>
          <w:p w14:paraId="26EC929A"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Zemeros</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flegyas</w:t>
            </w:r>
            <w:proofErr w:type="spellEnd"/>
          </w:p>
        </w:tc>
        <w:tc>
          <w:tcPr>
            <w:tcW w:w="2430" w:type="dxa"/>
            <w:hideMark/>
          </w:tcPr>
          <w:p w14:paraId="5CC0D41E"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0D36D7DF" w14:textId="77777777" w:rsidTr="00F50124">
        <w:tc>
          <w:tcPr>
            <w:tcW w:w="918" w:type="dxa"/>
            <w:hideMark/>
          </w:tcPr>
          <w:p w14:paraId="61509ABC"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21</w:t>
            </w:r>
          </w:p>
        </w:tc>
        <w:tc>
          <w:tcPr>
            <w:tcW w:w="1530" w:type="dxa"/>
            <w:hideMark/>
          </w:tcPr>
          <w:p w14:paraId="6C4CFA15"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6022E506"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Tawny Coster</w:t>
            </w:r>
          </w:p>
        </w:tc>
        <w:tc>
          <w:tcPr>
            <w:tcW w:w="2340" w:type="dxa"/>
            <w:hideMark/>
          </w:tcPr>
          <w:p w14:paraId="35B8F883"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i/>
                <w:iCs/>
                <w:sz w:val="24"/>
                <w:szCs w:val="24"/>
              </w:rPr>
              <w:t xml:space="preserve">Acraea </w:t>
            </w:r>
            <w:proofErr w:type="spellStart"/>
            <w:r w:rsidRPr="000B08F5">
              <w:rPr>
                <w:rFonts w:ascii="Times New Roman" w:eastAsia="Times New Roman" w:hAnsi="Times New Roman" w:cs="Times New Roman"/>
                <w:i/>
                <w:iCs/>
                <w:sz w:val="24"/>
                <w:szCs w:val="24"/>
              </w:rPr>
              <w:t>terpsicore</w:t>
            </w:r>
            <w:proofErr w:type="spellEnd"/>
          </w:p>
        </w:tc>
        <w:tc>
          <w:tcPr>
            <w:tcW w:w="2430" w:type="dxa"/>
            <w:hideMark/>
          </w:tcPr>
          <w:p w14:paraId="1422918F"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2CBD545A" w14:textId="77777777" w:rsidTr="00F50124">
        <w:tc>
          <w:tcPr>
            <w:tcW w:w="918" w:type="dxa"/>
            <w:hideMark/>
          </w:tcPr>
          <w:p w14:paraId="0C042CFA"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22</w:t>
            </w:r>
          </w:p>
        </w:tc>
        <w:tc>
          <w:tcPr>
            <w:tcW w:w="1530" w:type="dxa"/>
            <w:hideMark/>
          </w:tcPr>
          <w:p w14:paraId="173E37A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48EAE547"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Five-ring</w:t>
            </w:r>
          </w:p>
        </w:tc>
        <w:tc>
          <w:tcPr>
            <w:tcW w:w="2340" w:type="dxa"/>
            <w:hideMark/>
          </w:tcPr>
          <w:p w14:paraId="766AB12D"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Ypthima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baldus</w:t>
            </w:r>
            <w:proofErr w:type="spellEnd"/>
          </w:p>
        </w:tc>
        <w:tc>
          <w:tcPr>
            <w:tcW w:w="2430" w:type="dxa"/>
            <w:hideMark/>
          </w:tcPr>
          <w:p w14:paraId="761C0A20"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38691AA3" w14:textId="77777777" w:rsidTr="00F50124">
        <w:tc>
          <w:tcPr>
            <w:tcW w:w="918" w:type="dxa"/>
            <w:hideMark/>
          </w:tcPr>
          <w:p w14:paraId="7659DBBB"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23</w:t>
            </w:r>
          </w:p>
        </w:tc>
        <w:tc>
          <w:tcPr>
            <w:tcW w:w="1530" w:type="dxa"/>
            <w:hideMark/>
          </w:tcPr>
          <w:p w14:paraId="704F895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3655E5D7"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Peacock Pansy</w:t>
            </w:r>
          </w:p>
        </w:tc>
        <w:tc>
          <w:tcPr>
            <w:tcW w:w="2340" w:type="dxa"/>
            <w:hideMark/>
          </w:tcPr>
          <w:p w14:paraId="185F4B57"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Junonia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almana</w:t>
            </w:r>
            <w:proofErr w:type="spellEnd"/>
          </w:p>
        </w:tc>
        <w:tc>
          <w:tcPr>
            <w:tcW w:w="2430" w:type="dxa"/>
            <w:hideMark/>
          </w:tcPr>
          <w:p w14:paraId="1ADA011B" w14:textId="77777777" w:rsidR="00064875" w:rsidRPr="000B08F5" w:rsidRDefault="00064875" w:rsidP="00926411">
            <w:pPr>
              <w:jc w:val="center"/>
              <w:rPr>
                <w:rFonts w:ascii="Times New Roman" w:eastAsia="Times New Roman" w:hAnsi="Times New Roman" w:cs="Times New Roman"/>
                <w:sz w:val="24"/>
                <w:szCs w:val="24"/>
              </w:rPr>
            </w:pPr>
            <w:r w:rsidRPr="006853A7">
              <w:rPr>
                <w:rFonts w:ascii="Times New Roman" w:eastAsia="Times New Roman" w:hAnsi="Times New Roman" w:cs="Times New Roman"/>
                <w:bCs/>
                <w:sz w:val="24"/>
                <w:szCs w:val="24"/>
              </w:rPr>
              <w:t>LC</w:t>
            </w:r>
          </w:p>
        </w:tc>
      </w:tr>
      <w:tr w:rsidR="00064875" w:rsidRPr="000B08F5" w14:paraId="5F36AF0E" w14:textId="77777777" w:rsidTr="00F50124">
        <w:tc>
          <w:tcPr>
            <w:tcW w:w="918" w:type="dxa"/>
            <w:hideMark/>
          </w:tcPr>
          <w:p w14:paraId="332FB10A"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24</w:t>
            </w:r>
          </w:p>
        </w:tc>
        <w:tc>
          <w:tcPr>
            <w:tcW w:w="1530" w:type="dxa"/>
            <w:hideMark/>
          </w:tcPr>
          <w:p w14:paraId="47A78D98"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01EFEC92"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Grey Pansy</w:t>
            </w:r>
          </w:p>
        </w:tc>
        <w:tc>
          <w:tcPr>
            <w:tcW w:w="2340" w:type="dxa"/>
            <w:hideMark/>
          </w:tcPr>
          <w:p w14:paraId="6C53432D"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Junonia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atlites</w:t>
            </w:r>
            <w:proofErr w:type="spellEnd"/>
          </w:p>
        </w:tc>
        <w:tc>
          <w:tcPr>
            <w:tcW w:w="2430" w:type="dxa"/>
            <w:hideMark/>
          </w:tcPr>
          <w:p w14:paraId="514500A6"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78A32EFF" w14:textId="77777777" w:rsidTr="00F50124">
        <w:tc>
          <w:tcPr>
            <w:tcW w:w="918" w:type="dxa"/>
            <w:hideMark/>
          </w:tcPr>
          <w:p w14:paraId="4FE68241"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25</w:t>
            </w:r>
          </w:p>
        </w:tc>
        <w:tc>
          <w:tcPr>
            <w:tcW w:w="1530" w:type="dxa"/>
            <w:hideMark/>
          </w:tcPr>
          <w:p w14:paraId="591FCD1B"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340C6850"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Yellow Pansy</w:t>
            </w:r>
          </w:p>
        </w:tc>
        <w:tc>
          <w:tcPr>
            <w:tcW w:w="2340" w:type="dxa"/>
            <w:hideMark/>
          </w:tcPr>
          <w:p w14:paraId="5B0AA74B"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Junonia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hierta</w:t>
            </w:r>
            <w:proofErr w:type="spellEnd"/>
          </w:p>
        </w:tc>
        <w:tc>
          <w:tcPr>
            <w:tcW w:w="2430" w:type="dxa"/>
            <w:hideMark/>
          </w:tcPr>
          <w:p w14:paraId="42C0C71B" w14:textId="77777777" w:rsidR="00064875" w:rsidRPr="000B08F5" w:rsidRDefault="00064875" w:rsidP="00926411">
            <w:pPr>
              <w:jc w:val="center"/>
              <w:rPr>
                <w:rFonts w:ascii="Times New Roman" w:eastAsia="Times New Roman" w:hAnsi="Times New Roman" w:cs="Times New Roman"/>
                <w:sz w:val="24"/>
                <w:szCs w:val="24"/>
              </w:rPr>
            </w:pPr>
            <w:r w:rsidRPr="006853A7">
              <w:rPr>
                <w:rFonts w:ascii="Times New Roman" w:eastAsia="Times New Roman" w:hAnsi="Times New Roman" w:cs="Times New Roman"/>
                <w:bCs/>
                <w:sz w:val="24"/>
                <w:szCs w:val="24"/>
              </w:rPr>
              <w:t>LC</w:t>
            </w:r>
          </w:p>
        </w:tc>
      </w:tr>
      <w:tr w:rsidR="00064875" w:rsidRPr="000B08F5" w14:paraId="05BF2510" w14:textId="77777777" w:rsidTr="00F50124">
        <w:tc>
          <w:tcPr>
            <w:tcW w:w="918" w:type="dxa"/>
            <w:hideMark/>
          </w:tcPr>
          <w:p w14:paraId="274EE4D3"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26</w:t>
            </w:r>
          </w:p>
        </w:tc>
        <w:tc>
          <w:tcPr>
            <w:tcW w:w="1530" w:type="dxa"/>
            <w:hideMark/>
          </w:tcPr>
          <w:p w14:paraId="18AD339E"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47A1FA62"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Chocolate Pansy</w:t>
            </w:r>
          </w:p>
        </w:tc>
        <w:tc>
          <w:tcPr>
            <w:tcW w:w="2340" w:type="dxa"/>
            <w:hideMark/>
          </w:tcPr>
          <w:p w14:paraId="2C0F4E1B"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Junonia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iphita</w:t>
            </w:r>
            <w:proofErr w:type="spellEnd"/>
          </w:p>
        </w:tc>
        <w:tc>
          <w:tcPr>
            <w:tcW w:w="2430" w:type="dxa"/>
            <w:hideMark/>
          </w:tcPr>
          <w:p w14:paraId="623426BE"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218EB66D" w14:textId="77777777" w:rsidTr="00F50124">
        <w:tc>
          <w:tcPr>
            <w:tcW w:w="918" w:type="dxa"/>
            <w:hideMark/>
          </w:tcPr>
          <w:p w14:paraId="10FD88B8"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27</w:t>
            </w:r>
          </w:p>
        </w:tc>
        <w:tc>
          <w:tcPr>
            <w:tcW w:w="1530" w:type="dxa"/>
            <w:hideMark/>
          </w:tcPr>
          <w:p w14:paraId="6972AD45"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6F6E1345"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Evening Brown</w:t>
            </w:r>
          </w:p>
        </w:tc>
        <w:tc>
          <w:tcPr>
            <w:tcW w:w="2340" w:type="dxa"/>
            <w:hideMark/>
          </w:tcPr>
          <w:p w14:paraId="6CE62AC9"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Melanitis</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leda</w:t>
            </w:r>
            <w:proofErr w:type="spellEnd"/>
          </w:p>
        </w:tc>
        <w:tc>
          <w:tcPr>
            <w:tcW w:w="2430" w:type="dxa"/>
            <w:hideMark/>
          </w:tcPr>
          <w:p w14:paraId="55045070" w14:textId="77777777" w:rsidR="00064875" w:rsidRPr="000B08F5" w:rsidRDefault="00064875" w:rsidP="00926411">
            <w:pPr>
              <w:jc w:val="center"/>
              <w:rPr>
                <w:rFonts w:ascii="Times New Roman" w:eastAsia="Times New Roman" w:hAnsi="Times New Roman" w:cs="Times New Roman"/>
                <w:sz w:val="24"/>
                <w:szCs w:val="24"/>
              </w:rPr>
            </w:pPr>
            <w:r w:rsidRPr="006853A7">
              <w:rPr>
                <w:rFonts w:ascii="Times New Roman" w:eastAsia="Times New Roman" w:hAnsi="Times New Roman" w:cs="Times New Roman"/>
                <w:bCs/>
                <w:sz w:val="24"/>
                <w:szCs w:val="24"/>
              </w:rPr>
              <w:t>LC</w:t>
            </w:r>
          </w:p>
        </w:tc>
      </w:tr>
      <w:tr w:rsidR="00064875" w:rsidRPr="000B08F5" w14:paraId="3B767FAA" w14:textId="77777777" w:rsidTr="00F50124">
        <w:tc>
          <w:tcPr>
            <w:tcW w:w="918" w:type="dxa"/>
            <w:hideMark/>
          </w:tcPr>
          <w:p w14:paraId="7AF92FFD"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28</w:t>
            </w:r>
          </w:p>
        </w:tc>
        <w:tc>
          <w:tcPr>
            <w:tcW w:w="1530" w:type="dxa"/>
            <w:hideMark/>
          </w:tcPr>
          <w:p w14:paraId="44B2E62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1E357ADC"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Dark Evening Brown</w:t>
            </w:r>
          </w:p>
        </w:tc>
        <w:tc>
          <w:tcPr>
            <w:tcW w:w="2340" w:type="dxa"/>
            <w:hideMark/>
          </w:tcPr>
          <w:p w14:paraId="04B6FEFA"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Melanitis</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phedima</w:t>
            </w:r>
            <w:proofErr w:type="spellEnd"/>
          </w:p>
        </w:tc>
        <w:tc>
          <w:tcPr>
            <w:tcW w:w="2430" w:type="dxa"/>
            <w:hideMark/>
          </w:tcPr>
          <w:p w14:paraId="7B606102"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4DCF9124" w14:textId="77777777" w:rsidTr="00F50124">
        <w:tc>
          <w:tcPr>
            <w:tcW w:w="918" w:type="dxa"/>
            <w:hideMark/>
          </w:tcPr>
          <w:p w14:paraId="4C0C7300"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29</w:t>
            </w:r>
          </w:p>
        </w:tc>
        <w:tc>
          <w:tcPr>
            <w:tcW w:w="1530" w:type="dxa"/>
            <w:hideMark/>
          </w:tcPr>
          <w:p w14:paraId="14A4A377"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0B1FC541"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Duffer</w:t>
            </w:r>
          </w:p>
        </w:tc>
        <w:tc>
          <w:tcPr>
            <w:tcW w:w="2340" w:type="dxa"/>
            <w:hideMark/>
          </w:tcPr>
          <w:p w14:paraId="5CDF0ADB"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Discophora</w:t>
            </w:r>
            <w:proofErr w:type="spellEnd"/>
            <w:r w:rsidRPr="000B08F5">
              <w:rPr>
                <w:rFonts w:ascii="Times New Roman" w:eastAsia="Times New Roman" w:hAnsi="Times New Roman" w:cs="Times New Roman"/>
                <w:sz w:val="24"/>
                <w:szCs w:val="24"/>
              </w:rPr>
              <w:t xml:space="preserve"> sp.</w:t>
            </w:r>
          </w:p>
        </w:tc>
        <w:tc>
          <w:tcPr>
            <w:tcW w:w="2430" w:type="dxa"/>
            <w:hideMark/>
          </w:tcPr>
          <w:p w14:paraId="73B04EE5" w14:textId="77777777" w:rsidR="00064875" w:rsidRPr="000B08F5" w:rsidRDefault="00064875" w:rsidP="00926411">
            <w:pPr>
              <w:jc w:val="center"/>
              <w:rPr>
                <w:rFonts w:ascii="Times New Roman" w:eastAsia="Times New Roman" w:hAnsi="Times New Roman" w:cs="Times New Roman"/>
                <w:sz w:val="24"/>
                <w:szCs w:val="24"/>
              </w:rPr>
            </w:pPr>
            <w:r w:rsidRPr="006853A7">
              <w:rPr>
                <w:rFonts w:ascii="Times New Roman" w:eastAsia="Times New Roman" w:hAnsi="Times New Roman" w:cs="Times New Roman"/>
                <w:bCs/>
                <w:sz w:val="24"/>
                <w:szCs w:val="24"/>
              </w:rPr>
              <w:t>Not assignable to species level</w:t>
            </w:r>
          </w:p>
        </w:tc>
      </w:tr>
      <w:tr w:rsidR="00064875" w:rsidRPr="000B08F5" w14:paraId="364F090D" w14:textId="77777777" w:rsidTr="00F50124">
        <w:tc>
          <w:tcPr>
            <w:tcW w:w="918" w:type="dxa"/>
            <w:hideMark/>
          </w:tcPr>
          <w:p w14:paraId="2EFFE5ED"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30</w:t>
            </w:r>
          </w:p>
        </w:tc>
        <w:tc>
          <w:tcPr>
            <w:tcW w:w="1530" w:type="dxa"/>
            <w:hideMark/>
          </w:tcPr>
          <w:p w14:paraId="2A247264"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53453022"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Knight</w:t>
            </w:r>
          </w:p>
        </w:tc>
        <w:tc>
          <w:tcPr>
            <w:tcW w:w="2340" w:type="dxa"/>
            <w:hideMark/>
          </w:tcPr>
          <w:p w14:paraId="20545EF9"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Lebadea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martha</w:t>
            </w:r>
            <w:proofErr w:type="spellEnd"/>
          </w:p>
        </w:tc>
        <w:tc>
          <w:tcPr>
            <w:tcW w:w="2430" w:type="dxa"/>
            <w:hideMark/>
          </w:tcPr>
          <w:p w14:paraId="5FCC2908"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706443EE" w14:textId="77777777" w:rsidTr="00F50124">
        <w:tc>
          <w:tcPr>
            <w:tcW w:w="918" w:type="dxa"/>
            <w:hideMark/>
          </w:tcPr>
          <w:p w14:paraId="111AF5D7"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31</w:t>
            </w:r>
          </w:p>
        </w:tc>
        <w:tc>
          <w:tcPr>
            <w:tcW w:w="1530" w:type="dxa"/>
            <w:hideMark/>
          </w:tcPr>
          <w:p w14:paraId="525602D6"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48B79B64"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Commander</w:t>
            </w:r>
          </w:p>
        </w:tc>
        <w:tc>
          <w:tcPr>
            <w:tcW w:w="2340" w:type="dxa"/>
            <w:hideMark/>
          </w:tcPr>
          <w:p w14:paraId="46D12864"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Moduza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procris</w:t>
            </w:r>
            <w:proofErr w:type="spellEnd"/>
          </w:p>
        </w:tc>
        <w:tc>
          <w:tcPr>
            <w:tcW w:w="2430" w:type="dxa"/>
            <w:hideMark/>
          </w:tcPr>
          <w:p w14:paraId="61074EBB"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0AAAB0EE" w14:textId="77777777" w:rsidTr="00F50124">
        <w:tc>
          <w:tcPr>
            <w:tcW w:w="918" w:type="dxa"/>
            <w:hideMark/>
          </w:tcPr>
          <w:p w14:paraId="518F0628"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32</w:t>
            </w:r>
          </w:p>
        </w:tc>
        <w:tc>
          <w:tcPr>
            <w:tcW w:w="1530" w:type="dxa"/>
            <w:hideMark/>
          </w:tcPr>
          <w:p w14:paraId="76EC20BE"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5BB10EA9"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Sergeant</w:t>
            </w:r>
          </w:p>
        </w:tc>
        <w:tc>
          <w:tcPr>
            <w:tcW w:w="2340" w:type="dxa"/>
            <w:hideMark/>
          </w:tcPr>
          <w:p w14:paraId="328C4A21"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Athyma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perius</w:t>
            </w:r>
            <w:proofErr w:type="spellEnd"/>
          </w:p>
        </w:tc>
        <w:tc>
          <w:tcPr>
            <w:tcW w:w="2430" w:type="dxa"/>
            <w:hideMark/>
          </w:tcPr>
          <w:p w14:paraId="4B049A92"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763A428E" w14:textId="77777777" w:rsidTr="00F50124">
        <w:tc>
          <w:tcPr>
            <w:tcW w:w="918" w:type="dxa"/>
            <w:hideMark/>
          </w:tcPr>
          <w:p w14:paraId="51523E6D"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33</w:t>
            </w:r>
          </w:p>
        </w:tc>
        <w:tc>
          <w:tcPr>
            <w:tcW w:w="1530" w:type="dxa"/>
            <w:hideMark/>
          </w:tcPr>
          <w:p w14:paraId="5B31BCA1"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1E1E4EF2"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Sailer</w:t>
            </w:r>
          </w:p>
        </w:tc>
        <w:tc>
          <w:tcPr>
            <w:tcW w:w="2340" w:type="dxa"/>
            <w:hideMark/>
          </w:tcPr>
          <w:p w14:paraId="0BC76752"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Neptis</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hylas</w:t>
            </w:r>
            <w:proofErr w:type="spellEnd"/>
          </w:p>
        </w:tc>
        <w:tc>
          <w:tcPr>
            <w:tcW w:w="2430" w:type="dxa"/>
            <w:hideMark/>
          </w:tcPr>
          <w:p w14:paraId="7BD35A40"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400880A4" w14:textId="77777777" w:rsidTr="00F50124">
        <w:tc>
          <w:tcPr>
            <w:tcW w:w="918" w:type="dxa"/>
            <w:hideMark/>
          </w:tcPr>
          <w:p w14:paraId="341844C9"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34</w:t>
            </w:r>
          </w:p>
        </w:tc>
        <w:tc>
          <w:tcPr>
            <w:tcW w:w="1530" w:type="dxa"/>
            <w:hideMark/>
          </w:tcPr>
          <w:p w14:paraId="2213AEF5"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682BC1F8"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Lemon Pansy</w:t>
            </w:r>
          </w:p>
        </w:tc>
        <w:tc>
          <w:tcPr>
            <w:tcW w:w="2340" w:type="dxa"/>
            <w:hideMark/>
          </w:tcPr>
          <w:p w14:paraId="71BD468B"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Junonia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lemonias</w:t>
            </w:r>
            <w:proofErr w:type="spellEnd"/>
          </w:p>
        </w:tc>
        <w:tc>
          <w:tcPr>
            <w:tcW w:w="2430" w:type="dxa"/>
            <w:hideMark/>
          </w:tcPr>
          <w:p w14:paraId="05484194"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3407C13E" w14:textId="77777777" w:rsidTr="00F50124">
        <w:tc>
          <w:tcPr>
            <w:tcW w:w="918" w:type="dxa"/>
            <w:hideMark/>
          </w:tcPr>
          <w:p w14:paraId="213BDE0F"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35</w:t>
            </w:r>
          </w:p>
        </w:tc>
        <w:tc>
          <w:tcPr>
            <w:tcW w:w="1530" w:type="dxa"/>
            <w:hideMark/>
          </w:tcPr>
          <w:p w14:paraId="10C2AE0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179C294D"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 xml:space="preserve">Great </w:t>
            </w:r>
            <w:proofErr w:type="spellStart"/>
            <w:r w:rsidRPr="000B08F5">
              <w:rPr>
                <w:rFonts w:ascii="Times New Roman" w:eastAsia="Times New Roman" w:hAnsi="Times New Roman" w:cs="Times New Roman"/>
                <w:sz w:val="24"/>
                <w:szCs w:val="24"/>
              </w:rPr>
              <w:t>Eggfly</w:t>
            </w:r>
            <w:proofErr w:type="spellEnd"/>
          </w:p>
        </w:tc>
        <w:tc>
          <w:tcPr>
            <w:tcW w:w="2340" w:type="dxa"/>
            <w:hideMark/>
          </w:tcPr>
          <w:p w14:paraId="5CE93D1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Hypolimnas</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bolina</w:t>
            </w:r>
            <w:proofErr w:type="spellEnd"/>
          </w:p>
        </w:tc>
        <w:tc>
          <w:tcPr>
            <w:tcW w:w="2430" w:type="dxa"/>
            <w:hideMark/>
          </w:tcPr>
          <w:p w14:paraId="7ADAB968"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224B49AF" w14:textId="77777777" w:rsidTr="00F50124">
        <w:tc>
          <w:tcPr>
            <w:tcW w:w="918" w:type="dxa"/>
            <w:hideMark/>
          </w:tcPr>
          <w:p w14:paraId="288D481C"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36</w:t>
            </w:r>
          </w:p>
        </w:tc>
        <w:tc>
          <w:tcPr>
            <w:tcW w:w="1530" w:type="dxa"/>
            <w:hideMark/>
          </w:tcPr>
          <w:p w14:paraId="4F1412D1"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5022C20D"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Striped Blue Crow</w:t>
            </w:r>
          </w:p>
        </w:tc>
        <w:tc>
          <w:tcPr>
            <w:tcW w:w="2340" w:type="dxa"/>
            <w:hideMark/>
          </w:tcPr>
          <w:p w14:paraId="607B5CAA"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Euploea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mulciber</w:t>
            </w:r>
            <w:proofErr w:type="spellEnd"/>
          </w:p>
        </w:tc>
        <w:tc>
          <w:tcPr>
            <w:tcW w:w="2430" w:type="dxa"/>
            <w:hideMark/>
          </w:tcPr>
          <w:p w14:paraId="779ECDD5"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2A38736C" w14:textId="77777777" w:rsidTr="00F50124">
        <w:tc>
          <w:tcPr>
            <w:tcW w:w="918" w:type="dxa"/>
            <w:hideMark/>
          </w:tcPr>
          <w:p w14:paraId="3D56883B"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37</w:t>
            </w:r>
          </w:p>
        </w:tc>
        <w:tc>
          <w:tcPr>
            <w:tcW w:w="1530" w:type="dxa"/>
            <w:hideMark/>
          </w:tcPr>
          <w:p w14:paraId="3BB5081D"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2B0521B8" w14:textId="77777777" w:rsidR="00064875" w:rsidRPr="000B08F5" w:rsidRDefault="00064875" w:rsidP="00926411">
            <w:pPr>
              <w:jc w:val="center"/>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Colour</w:t>
            </w:r>
            <w:proofErr w:type="spellEnd"/>
            <w:r w:rsidRPr="000B08F5">
              <w:rPr>
                <w:rFonts w:ascii="Times New Roman" w:eastAsia="Times New Roman" w:hAnsi="Times New Roman" w:cs="Times New Roman"/>
                <w:sz w:val="24"/>
                <w:szCs w:val="24"/>
              </w:rPr>
              <w:t xml:space="preserve"> Sergeant</w:t>
            </w:r>
          </w:p>
        </w:tc>
        <w:tc>
          <w:tcPr>
            <w:tcW w:w="2340" w:type="dxa"/>
            <w:hideMark/>
          </w:tcPr>
          <w:p w14:paraId="7EEB59D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Athyma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nefte</w:t>
            </w:r>
            <w:proofErr w:type="spellEnd"/>
          </w:p>
        </w:tc>
        <w:tc>
          <w:tcPr>
            <w:tcW w:w="2430" w:type="dxa"/>
            <w:hideMark/>
          </w:tcPr>
          <w:p w14:paraId="25E3AB89"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369E3C4C" w14:textId="77777777" w:rsidTr="00F50124">
        <w:tc>
          <w:tcPr>
            <w:tcW w:w="918" w:type="dxa"/>
            <w:hideMark/>
          </w:tcPr>
          <w:p w14:paraId="52B0C91B"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38</w:t>
            </w:r>
          </w:p>
        </w:tc>
        <w:tc>
          <w:tcPr>
            <w:tcW w:w="1530" w:type="dxa"/>
            <w:hideMark/>
          </w:tcPr>
          <w:p w14:paraId="631FE69A"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Nymphalidae</w:t>
            </w:r>
            <w:proofErr w:type="spellEnd"/>
          </w:p>
        </w:tc>
        <w:tc>
          <w:tcPr>
            <w:tcW w:w="2790" w:type="dxa"/>
            <w:hideMark/>
          </w:tcPr>
          <w:p w14:paraId="59DE7AF5" w14:textId="77777777" w:rsidR="00064875" w:rsidRPr="000B08F5" w:rsidRDefault="00064875" w:rsidP="00926411">
            <w:pPr>
              <w:jc w:val="center"/>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Bushbrowns</w:t>
            </w:r>
            <w:proofErr w:type="spellEnd"/>
          </w:p>
        </w:tc>
        <w:tc>
          <w:tcPr>
            <w:tcW w:w="2340" w:type="dxa"/>
            <w:hideMark/>
          </w:tcPr>
          <w:p w14:paraId="4720011D"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Mycalesis</w:t>
            </w:r>
            <w:proofErr w:type="spellEnd"/>
            <w:r w:rsidRPr="000B08F5">
              <w:rPr>
                <w:rFonts w:ascii="Times New Roman" w:eastAsia="Times New Roman" w:hAnsi="Times New Roman" w:cs="Times New Roman"/>
                <w:sz w:val="24"/>
                <w:szCs w:val="24"/>
              </w:rPr>
              <w:t xml:space="preserve"> sp.</w:t>
            </w:r>
          </w:p>
        </w:tc>
        <w:tc>
          <w:tcPr>
            <w:tcW w:w="2430" w:type="dxa"/>
            <w:hideMark/>
          </w:tcPr>
          <w:p w14:paraId="31D795E5" w14:textId="77777777" w:rsidR="00064875" w:rsidRPr="000B08F5" w:rsidRDefault="00064875" w:rsidP="00926411">
            <w:pPr>
              <w:jc w:val="center"/>
              <w:rPr>
                <w:rFonts w:ascii="Times New Roman" w:eastAsia="Times New Roman" w:hAnsi="Times New Roman" w:cs="Times New Roman"/>
                <w:sz w:val="24"/>
                <w:szCs w:val="24"/>
              </w:rPr>
            </w:pPr>
            <w:r w:rsidRPr="006853A7">
              <w:rPr>
                <w:rFonts w:ascii="Times New Roman" w:eastAsia="Times New Roman" w:hAnsi="Times New Roman" w:cs="Times New Roman"/>
                <w:bCs/>
                <w:sz w:val="24"/>
                <w:szCs w:val="24"/>
              </w:rPr>
              <w:t>Not assignable to species level</w:t>
            </w:r>
          </w:p>
        </w:tc>
      </w:tr>
      <w:tr w:rsidR="00064875" w:rsidRPr="000B08F5" w14:paraId="0EF01D18" w14:textId="77777777" w:rsidTr="00F50124">
        <w:tc>
          <w:tcPr>
            <w:tcW w:w="918" w:type="dxa"/>
            <w:hideMark/>
          </w:tcPr>
          <w:p w14:paraId="6F7BFBBC"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39</w:t>
            </w:r>
          </w:p>
        </w:tc>
        <w:tc>
          <w:tcPr>
            <w:tcW w:w="1530" w:type="dxa"/>
            <w:hideMark/>
          </w:tcPr>
          <w:p w14:paraId="02754A1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Hesperiidae</w:t>
            </w:r>
            <w:proofErr w:type="spellEnd"/>
          </w:p>
        </w:tc>
        <w:tc>
          <w:tcPr>
            <w:tcW w:w="2790" w:type="dxa"/>
            <w:hideMark/>
          </w:tcPr>
          <w:p w14:paraId="68A92D40"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Fulvous Pied Flat</w:t>
            </w:r>
          </w:p>
        </w:tc>
        <w:tc>
          <w:tcPr>
            <w:tcW w:w="2340" w:type="dxa"/>
            <w:hideMark/>
          </w:tcPr>
          <w:p w14:paraId="3D39CD9D"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Pseudocoladenia</w:t>
            </w:r>
            <w:proofErr w:type="spellEnd"/>
            <w:r w:rsidRPr="000B08F5">
              <w:rPr>
                <w:rFonts w:ascii="Times New Roman" w:eastAsia="Times New Roman" w:hAnsi="Times New Roman" w:cs="Times New Roman"/>
                <w:i/>
                <w:iCs/>
                <w:sz w:val="24"/>
                <w:szCs w:val="24"/>
              </w:rPr>
              <w:t xml:space="preserve"> dan</w:t>
            </w:r>
          </w:p>
        </w:tc>
        <w:tc>
          <w:tcPr>
            <w:tcW w:w="2430" w:type="dxa"/>
            <w:hideMark/>
          </w:tcPr>
          <w:p w14:paraId="6D91D6F3"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706C8193" w14:textId="77777777" w:rsidTr="00F50124">
        <w:tc>
          <w:tcPr>
            <w:tcW w:w="918" w:type="dxa"/>
            <w:hideMark/>
          </w:tcPr>
          <w:p w14:paraId="2C98DC17"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40</w:t>
            </w:r>
          </w:p>
        </w:tc>
        <w:tc>
          <w:tcPr>
            <w:tcW w:w="1530" w:type="dxa"/>
            <w:hideMark/>
          </w:tcPr>
          <w:p w14:paraId="7F4024EF"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Hesperiidae</w:t>
            </w:r>
            <w:proofErr w:type="spellEnd"/>
          </w:p>
        </w:tc>
        <w:tc>
          <w:tcPr>
            <w:tcW w:w="2790" w:type="dxa"/>
            <w:hideMark/>
          </w:tcPr>
          <w:p w14:paraId="5AD5E912"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Paintbrush Swift</w:t>
            </w:r>
          </w:p>
        </w:tc>
        <w:tc>
          <w:tcPr>
            <w:tcW w:w="2340" w:type="dxa"/>
            <w:hideMark/>
          </w:tcPr>
          <w:p w14:paraId="5B5B484E"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Baoris</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farri</w:t>
            </w:r>
            <w:proofErr w:type="spellEnd"/>
          </w:p>
        </w:tc>
        <w:tc>
          <w:tcPr>
            <w:tcW w:w="2430" w:type="dxa"/>
            <w:hideMark/>
          </w:tcPr>
          <w:p w14:paraId="57F1C056"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6A14074D" w14:textId="77777777" w:rsidTr="00F50124">
        <w:tc>
          <w:tcPr>
            <w:tcW w:w="918" w:type="dxa"/>
            <w:hideMark/>
          </w:tcPr>
          <w:p w14:paraId="0DB3D88B"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41</w:t>
            </w:r>
          </w:p>
        </w:tc>
        <w:tc>
          <w:tcPr>
            <w:tcW w:w="1530" w:type="dxa"/>
            <w:hideMark/>
          </w:tcPr>
          <w:p w14:paraId="478714F4"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Hesperiidae</w:t>
            </w:r>
            <w:proofErr w:type="spellEnd"/>
          </w:p>
        </w:tc>
        <w:tc>
          <w:tcPr>
            <w:tcW w:w="2790" w:type="dxa"/>
            <w:hideMark/>
          </w:tcPr>
          <w:p w14:paraId="243BA0EB"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Bush Hopper</w:t>
            </w:r>
          </w:p>
        </w:tc>
        <w:tc>
          <w:tcPr>
            <w:tcW w:w="2340" w:type="dxa"/>
            <w:hideMark/>
          </w:tcPr>
          <w:p w14:paraId="1E992DC4"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i/>
                <w:iCs/>
                <w:sz w:val="24"/>
                <w:szCs w:val="24"/>
              </w:rPr>
              <w:t>Ampittia</w:t>
            </w:r>
            <w:proofErr w:type="spellEnd"/>
            <w:r w:rsidRPr="000B08F5">
              <w:rPr>
                <w:rFonts w:ascii="Times New Roman" w:eastAsia="Times New Roman" w:hAnsi="Times New Roman" w:cs="Times New Roman"/>
                <w:i/>
                <w:iCs/>
                <w:sz w:val="24"/>
                <w:szCs w:val="24"/>
              </w:rPr>
              <w:t xml:space="preserve"> </w:t>
            </w:r>
            <w:proofErr w:type="spellStart"/>
            <w:r w:rsidRPr="000B08F5">
              <w:rPr>
                <w:rFonts w:ascii="Times New Roman" w:eastAsia="Times New Roman" w:hAnsi="Times New Roman" w:cs="Times New Roman"/>
                <w:i/>
                <w:iCs/>
                <w:sz w:val="24"/>
                <w:szCs w:val="24"/>
              </w:rPr>
              <w:t>dioscorides</w:t>
            </w:r>
            <w:proofErr w:type="spellEnd"/>
          </w:p>
        </w:tc>
        <w:tc>
          <w:tcPr>
            <w:tcW w:w="2430" w:type="dxa"/>
            <w:hideMark/>
          </w:tcPr>
          <w:p w14:paraId="757D7C3C"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r w:rsidR="00064875" w:rsidRPr="000B08F5" w14:paraId="7B633F97" w14:textId="77777777" w:rsidTr="00F50124">
        <w:tc>
          <w:tcPr>
            <w:tcW w:w="918" w:type="dxa"/>
            <w:hideMark/>
          </w:tcPr>
          <w:p w14:paraId="1D68F868"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42</w:t>
            </w:r>
          </w:p>
        </w:tc>
        <w:tc>
          <w:tcPr>
            <w:tcW w:w="1530" w:type="dxa"/>
            <w:hideMark/>
          </w:tcPr>
          <w:p w14:paraId="5F0E62AE" w14:textId="77777777" w:rsidR="00064875" w:rsidRPr="000B08F5" w:rsidRDefault="00064875" w:rsidP="00926411">
            <w:pPr>
              <w:jc w:val="both"/>
              <w:rPr>
                <w:rFonts w:ascii="Times New Roman" w:eastAsia="Times New Roman" w:hAnsi="Times New Roman" w:cs="Times New Roman"/>
                <w:sz w:val="24"/>
                <w:szCs w:val="24"/>
              </w:rPr>
            </w:pPr>
            <w:proofErr w:type="spellStart"/>
            <w:r w:rsidRPr="000B08F5">
              <w:rPr>
                <w:rFonts w:ascii="Times New Roman" w:eastAsia="Times New Roman" w:hAnsi="Times New Roman" w:cs="Times New Roman"/>
                <w:sz w:val="24"/>
                <w:szCs w:val="24"/>
              </w:rPr>
              <w:t>Hesperiidae</w:t>
            </w:r>
            <w:proofErr w:type="spellEnd"/>
          </w:p>
        </w:tc>
        <w:tc>
          <w:tcPr>
            <w:tcW w:w="2790" w:type="dxa"/>
            <w:hideMark/>
          </w:tcPr>
          <w:p w14:paraId="45EC9031"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Common Red-eye</w:t>
            </w:r>
          </w:p>
        </w:tc>
        <w:tc>
          <w:tcPr>
            <w:tcW w:w="2340" w:type="dxa"/>
            <w:hideMark/>
          </w:tcPr>
          <w:p w14:paraId="1F647F9E" w14:textId="77777777" w:rsidR="00064875" w:rsidRPr="000B08F5" w:rsidRDefault="00064875" w:rsidP="00926411">
            <w:pPr>
              <w:jc w:val="both"/>
              <w:rPr>
                <w:rFonts w:ascii="Times New Roman" w:eastAsia="Times New Roman" w:hAnsi="Times New Roman" w:cs="Times New Roman"/>
                <w:sz w:val="24"/>
                <w:szCs w:val="24"/>
              </w:rPr>
            </w:pPr>
            <w:r w:rsidRPr="000B08F5">
              <w:rPr>
                <w:rFonts w:ascii="Times New Roman" w:eastAsia="Times New Roman" w:hAnsi="Times New Roman" w:cs="Times New Roman"/>
                <w:i/>
                <w:iCs/>
                <w:sz w:val="24"/>
                <w:szCs w:val="24"/>
              </w:rPr>
              <w:t>Matapa aria</w:t>
            </w:r>
          </w:p>
        </w:tc>
        <w:tc>
          <w:tcPr>
            <w:tcW w:w="2430" w:type="dxa"/>
            <w:hideMark/>
          </w:tcPr>
          <w:p w14:paraId="6D80A5BD" w14:textId="77777777" w:rsidR="00064875" w:rsidRPr="000B08F5" w:rsidRDefault="00064875" w:rsidP="00926411">
            <w:pPr>
              <w:jc w:val="center"/>
              <w:rPr>
                <w:rFonts w:ascii="Times New Roman" w:eastAsia="Times New Roman" w:hAnsi="Times New Roman" w:cs="Times New Roman"/>
                <w:sz w:val="24"/>
                <w:szCs w:val="24"/>
              </w:rPr>
            </w:pPr>
            <w:r w:rsidRPr="000B08F5">
              <w:rPr>
                <w:rFonts w:ascii="Times New Roman" w:eastAsia="Times New Roman" w:hAnsi="Times New Roman" w:cs="Times New Roman"/>
                <w:sz w:val="24"/>
                <w:szCs w:val="24"/>
              </w:rPr>
              <w:t>NE</w:t>
            </w:r>
          </w:p>
        </w:tc>
      </w:tr>
    </w:tbl>
    <w:p w14:paraId="298B6E7B" w14:textId="77777777" w:rsidR="001755DC" w:rsidRDefault="001755DC" w:rsidP="00F76934">
      <w:pPr>
        <w:jc w:val="both"/>
        <w:rPr>
          <w:rFonts w:ascii="Times New Roman" w:hAnsi="Times New Roman" w:cs="Times New Roman"/>
          <w:b/>
          <w:sz w:val="24"/>
          <w:szCs w:val="24"/>
        </w:rPr>
      </w:pPr>
    </w:p>
    <w:p w14:paraId="651A2A71" w14:textId="77777777" w:rsidR="00F76934" w:rsidRDefault="00F76934" w:rsidP="00F76934">
      <w:pPr>
        <w:jc w:val="both"/>
        <w:rPr>
          <w:rFonts w:ascii="Times New Roman" w:hAnsi="Times New Roman" w:cs="Times New Roman"/>
          <w:b/>
          <w:sz w:val="24"/>
          <w:szCs w:val="24"/>
        </w:rPr>
      </w:pPr>
      <w:r w:rsidRPr="006853A7">
        <w:rPr>
          <w:rFonts w:ascii="Times New Roman" w:hAnsi="Times New Roman" w:cs="Times New Roman"/>
          <w:b/>
          <w:sz w:val="24"/>
          <w:szCs w:val="24"/>
        </w:rPr>
        <w:t>LC: Least Concern; NE: Not Evaluated</w:t>
      </w:r>
    </w:p>
    <w:p w14:paraId="37DB0F03" w14:textId="77777777" w:rsidR="00E16D01" w:rsidRPr="00203422" w:rsidRDefault="00E16D01" w:rsidP="00F76934">
      <w:pPr>
        <w:jc w:val="both"/>
        <w:rPr>
          <w:rFonts w:ascii="Times New Roman" w:hAnsi="Times New Roman" w:cs="Times New Roman"/>
          <w:sz w:val="24"/>
          <w:szCs w:val="24"/>
        </w:rPr>
      </w:pPr>
      <w:r>
        <w:rPr>
          <w:rFonts w:ascii="Times New Roman" w:hAnsi="Times New Roman" w:cs="Times New Roman"/>
          <w:b/>
          <w:sz w:val="24"/>
          <w:szCs w:val="24"/>
        </w:rPr>
        <w:t xml:space="preserve">Table 2. </w:t>
      </w:r>
      <w:r w:rsidRPr="00203422">
        <w:rPr>
          <w:rFonts w:ascii="Times New Roman" w:hAnsi="Times New Roman" w:cs="Times New Roman"/>
          <w:sz w:val="24"/>
          <w:szCs w:val="24"/>
        </w:rPr>
        <w:t xml:space="preserve">List of protected species from the overall </w:t>
      </w:r>
      <w:r w:rsidR="00060E46">
        <w:rPr>
          <w:rFonts w:ascii="Times New Roman" w:hAnsi="Times New Roman" w:cs="Times New Roman"/>
          <w:sz w:val="24"/>
          <w:szCs w:val="24"/>
        </w:rPr>
        <w:t xml:space="preserve">recorded </w:t>
      </w:r>
      <w:r w:rsidRPr="00203422">
        <w:rPr>
          <w:rFonts w:ascii="Times New Roman" w:hAnsi="Times New Roman" w:cs="Times New Roman"/>
          <w:sz w:val="24"/>
          <w:szCs w:val="24"/>
        </w:rPr>
        <w:t>42 species</w:t>
      </w:r>
    </w:p>
    <w:tbl>
      <w:tblPr>
        <w:tblStyle w:val="TableGrid"/>
        <w:tblW w:w="0" w:type="auto"/>
        <w:jc w:val="center"/>
        <w:tblLook w:val="04A0" w:firstRow="1" w:lastRow="0" w:firstColumn="1" w:lastColumn="0" w:noHBand="0" w:noVBand="1"/>
      </w:tblPr>
      <w:tblGrid>
        <w:gridCol w:w="1098"/>
        <w:gridCol w:w="2340"/>
        <w:gridCol w:w="2160"/>
        <w:gridCol w:w="3978"/>
      </w:tblGrid>
      <w:tr w:rsidR="00E16D01" w:rsidRPr="00386ED4" w14:paraId="4814DA16" w14:textId="77777777" w:rsidTr="00926411">
        <w:trPr>
          <w:jc w:val="center"/>
        </w:trPr>
        <w:tc>
          <w:tcPr>
            <w:tcW w:w="1098" w:type="dxa"/>
            <w:hideMark/>
          </w:tcPr>
          <w:p w14:paraId="69DBB763" w14:textId="77777777" w:rsidR="00E16D01" w:rsidRPr="00386ED4" w:rsidRDefault="00E16D01" w:rsidP="00926411">
            <w:pPr>
              <w:jc w:val="right"/>
              <w:rPr>
                <w:rFonts w:ascii="Times New Roman" w:eastAsia="Times New Roman" w:hAnsi="Times New Roman" w:cs="Times New Roman"/>
                <w:b/>
                <w:bCs/>
                <w:sz w:val="24"/>
                <w:szCs w:val="24"/>
              </w:rPr>
            </w:pPr>
            <w:r w:rsidRPr="00386ED4">
              <w:rPr>
                <w:rFonts w:ascii="Times New Roman" w:eastAsia="Times New Roman" w:hAnsi="Times New Roman" w:cs="Times New Roman"/>
                <w:b/>
                <w:bCs/>
                <w:sz w:val="24"/>
                <w:szCs w:val="24"/>
              </w:rPr>
              <w:lastRenderedPageBreak/>
              <w:t>Sl. No.</w:t>
            </w:r>
          </w:p>
        </w:tc>
        <w:tc>
          <w:tcPr>
            <w:tcW w:w="2340" w:type="dxa"/>
            <w:hideMark/>
          </w:tcPr>
          <w:p w14:paraId="2D172DE1" w14:textId="77777777" w:rsidR="00E16D01" w:rsidRPr="00386ED4" w:rsidRDefault="00E16D01" w:rsidP="00926411">
            <w:pPr>
              <w:jc w:val="center"/>
              <w:rPr>
                <w:rFonts w:ascii="Times New Roman" w:eastAsia="Times New Roman" w:hAnsi="Times New Roman" w:cs="Times New Roman"/>
                <w:b/>
                <w:bCs/>
                <w:sz w:val="24"/>
                <w:szCs w:val="24"/>
              </w:rPr>
            </w:pPr>
            <w:r w:rsidRPr="00386ED4">
              <w:rPr>
                <w:rFonts w:ascii="Times New Roman" w:eastAsia="Times New Roman" w:hAnsi="Times New Roman" w:cs="Times New Roman"/>
                <w:b/>
                <w:bCs/>
                <w:sz w:val="24"/>
                <w:szCs w:val="24"/>
              </w:rPr>
              <w:t>Common name</w:t>
            </w:r>
          </w:p>
        </w:tc>
        <w:tc>
          <w:tcPr>
            <w:tcW w:w="2160" w:type="dxa"/>
            <w:hideMark/>
          </w:tcPr>
          <w:p w14:paraId="6D47CD34" w14:textId="77777777" w:rsidR="00E16D01" w:rsidRPr="00386ED4" w:rsidRDefault="00E16D01" w:rsidP="00926411">
            <w:pPr>
              <w:jc w:val="center"/>
              <w:rPr>
                <w:rFonts w:ascii="Times New Roman" w:eastAsia="Times New Roman" w:hAnsi="Times New Roman" w:cs="Times New Roman"/>
                <w:b/>
                <w:bCs/>
                <w:sz w:val="24"/>
                <w:szCs w:val="24"/>
              </w:rPr>
            </w:pPr>
            <w:r w:rsidRPr="00386ED4">
              <w:rPr>
                <w:rFonts w:ascii="Times New Roman" w:eastAsia="Times New Roman" w:hAnsi="Times New Roman" w:cs="Times New Roman"/>
                <w:b/>
                <w:bCs/>
                <w:sz w:val="24"/>
                <w:szCs w:val="24"/>
              </w:rPr>
              <w:t>Scientific name</w:t>
            </w:r>
          </w:p>
        </w:tc>
        <w:tc>
          <w:tcPr>
            <w:tcW w:w="3978" w:type="dxa"/>
            <w:hideMark/>
          </w:tcPr>
          <w:p w14:paraId="76983421" w14:textId="77777777" w:rsidR="00E16D01" w:rsidRPr="00386ED4" w:rsidRDefault="000876AB" w:rsidP="00926411">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Schedule</w:t>
            </w:r>
            <w:r w:rsidR="007A30C0">
              <w:rPr>
                <w:rFonts w:ascii="Times New Roman" w:eastAsia="Times New Roman" w:hAnsi="Times New Roman" w:cs="Times New Roman"/>
                <w:b/>
                <w:bCs/>
                <w:sz w:val="24"/>
                <w:szCs w:val="24"/>
              </w:rPr>
              <w:t xml:space="preserve"> under which the species is protected</w:t>
            </w:r>
          </w:p>
        </w:tc>
      </w:tr>
      <w:tr w:rsidR="00E16D01" w:rsidRPr="00386ED4" w14:paraId="27A98AD2" w14:textId="77777777" w:rsidTr="00926411">
        <w:trPr>
          <w:jc w:val="center"/>
        </w:trPr>
        <w:tc>
          <w:tcPr>
            <w:tcW w:w="1098" w:type="dxa"/>
            <w:hideMark/>
          </w:tcPr>
          <w:p w14:paraId="62FF60D2"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1</w:t>
            </w:r>
          </w:p>
        </w:tc>
        <w:tc>
          <w:tcPr>
            <w:tcW w:w="2340" w:type="dxa"/>
            <w:hideMark/>
          </w:tcPr>
          <w:p w14:paraId="7A324887"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Common Mime</w:t>
            </w:r>
          </w:p>
        </w:tc>
        <w:tc>
          <w:tcPr>
            <w:tcW w:w="2160" w:type="dxa"/>
            <w:hideMark/>
          </w:tcPr>
          <w:p w14:paraId="761566FD"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i/>
                <w:iCs/>
                <w:sz w:val="24"/>
                <w:szCs w:val="24"/>
              </w:rPr>
              <w:t xml:space="preserve">Papilio </w:t>
            </w:r>
            <w:proofErr w:type="spellStart"/>
            <w:r w:rsidRPr="00386ED4">
              <w:rPr>
                <w:rFonts w:ascii="Times New Roman" w:eastAsia="Times New Roman" w:hAnsi="Times New Roman" w:cs="Times New Roman"/>
                <w:i/>
                <w:iCs/>
                <w:sz w:val="24"/>
                <w:szCs w:val="24"/>
              </w:rPr>
              <w:t>clytia</w:t>
            </w:r>
            <w:proofErr w:type="spellEnd"/>
          </w:p>
        </w:tc>
        <w:tc>
          <w:tcPr>
            <w:tcW w:w="3978" w:type="dxa"/>
            <w:hideMark/>
          </w:tcPr>
          <w:p w14:paraId="2E1CF32B"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Schedule II</w:t>
            </w:r>
          </w:p>
        </w:tc>
      </w:tr>
      <w:tr w:rsidR="00E16D01" w:rsidRPr="00386ED4" w14:paraId="465C8BCA" w14:textId="77777777" w:rsidTr="00926411">
        <w:trPr>
          <w:jc w:val="center"/>
        </w:trPr>
        <w:tc>
          <w:tcPr>
            <w:tcW w:w="1098" w:type="dxa"/>
            <w:hideMark/>
          </w:tcPr>
          <w:p w14:paraId="2E3F57BB"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2</w:t>
            </w:r>
          </w:p>
        </w:tc>
        <w:tc>
          <w:tcPr>
            <w:tcW w:w="2340" w:type="dxa"/>
            <w:hideMark/>
          </w:tcPr>
          <w:p w14:paraId="4F1578AD"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Golden Birdwing</w:t>
            </w:r>
          </w:p>
        </w:tc>
        <w:tc>
          <w:tcPr>
            <w:tcW w:w="2160" w:type="dxa"/>
            <w:hideMark/>
          </w:tcPr>
          <w:p w14:paraId="05C3533A" w14:textId="77777777" w:rsidR="00E16D01" w:rsidRPr="00386ED4" w:rsidRDefault="00E16D01" w:rsidP="00926411">
            <w:pPr>
              <w:jc w:val="center"/>
              <w:rPr>
                <w:rFonts w:ascii="Times New Roman" w:eastAsia="Times New Roman" w:hAnsi="Times New Roman" w:cs="Times New Roman"/>
                <w:sz w:val="24"/>
                <w:szCs w:val="24"/>
              </w:rPr>
            </w:pPr>
            <w:proofErr w:type="spellStart"/>
            <w:r w:rsidRPr="00386ED4">
              <w:rPr>
                <w:rFonts w:ascii="Times New Roman" w:eastAsia="Times New Roman" w:hAnsi="Times New Roman" w:cs="Times New Roman"/>
                <w:i/>
                <w:iCs/>
                <w:sz w:val="24"/>
                <w:szCs w:val="24"/>
              </w:rPr>
              <w:t>Troides</w:t>
            </w:r>
            <w:proofErr w:type="spellEnd"/>
            <w:r w:rsidRPr="00386ED4">
              <w:rPr>
                <w:rFonts w:ascii="Times New Roman" w:eastAsia="Times New Roman" w:hAnsi="Times New Roman" w:cs="Times New Roman"/>
                <w:i/>
                <w:iCs/>
                <w:sz w:val="24"/>
                <w:szCs w:val="24"/>
              </w:rPr>
              <w:t xml:space="preserve"> </w:t>
            </w:r>
            <w:proofErr w:type="spellStart"/>
            <w:r w:rsidRPr="00386ED4">
              <w:rPr>
                <w:rFonts w:ascii="Times New Roman" w:eastAsia="Times New Roman" w:hAnsi="Times New Roman" w:cs="Times New Roman"/>
                <w:i/>
                <w:iCs/>
                <w:sz w:val="24"/>
                <w:szCs w:val="24"/>
              </w:rPr>
              <w:t>aeacus</w:t>
            </w:r>
            <w:proofErr w:type="spellEnd"/>
          </w:p>
        </w:tc>
        <w:tc>
          <w:tcPr>
            <w:tcW w:w="3978" w:type="dxa"/>
            <w:hideMark/>
          </w:tcPr>
          <w:p w14:paraId="315C8B66"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Schedule II</w:t>
            </w:r>
          </w:p>
        </w:tc>
      </w:tr>
      <w:tr w:rsidR="00E16D01" w:rsidRPr="00386ED4" w14:paraId="48D0E89C" w14:textId="77777777" w:rsidTr="00926411">
        <w:trPr>
          <w:jc w:val="center"/>
        </w:trPr>
        <w:tc>
          <w:tcPr>
            <w:tcW w:w="1098" w:type="dxa"/>
            <w:hideMark/>
          </w:tcPr>
          <w:p w14:paraId="676BA603"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3</w:t>
            </w:r>
          </w:p>
        </w:tc>
        <w:tc>
          <w:tcPr>
            <w:tcW w:w="2340" w:type="dxa"/>
            <w:hideMark/>
          </w:tcPr>
          <w:p w14:paraId="27CCB4EE"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Common Birdwing</w:t>
            </w:r>
          </w:p>
        </w:tc>
        <w:tc>
          <w:tcPr>
            <w:tcW w:w="2160" w:type="dxa"/>
            <w:hideMark/>
          </w:tcPr>
          <w:p w14:paraId="7345E141" w14:textId="77777777" w:rsidR="00E16D01" w:rsidRPr="00386ED4" w:rsidRDefault="00E16D01" w:rsidP="00926411">
            <w:pPr>
              <w:jc w:val="center"/>
              <w:rPr>
                <w:rFonts w:ascii="Times New Roman" w:eastAsia="Times New Roman" w:hAnsi="Times New Roman" w:cs="Times New Roman"/>
                <w:sz w:val="24"/>
                <w:szCs w:val="24"/>
              </w:rPr>
            </w:pPr>
            <w:proofErr w:type="spellStart"/>
            <w:r w:rsidRPr="00386ED4">
              <w:rPr>
                <w:rFonts w:ascii="Times New Roman" w:eastAsia="Times New Roman" w:hAnsi="Times New Roman" w:cs="Times New Roman"/>
                <w:i/>
                <w:iCs/>
                <w:sz w:val="24"/>
                <w:szCs w:val="24"/>
              </w:rPr>
              <w:t>Troides</w:t>
            </w:r>
            <w:proofErr w:type="spellEnd"/>
            <w:r w:rsidRPr="00386ED4">
              <w:rPr>
                <w:rFonts w:ascii="Times New Roman" w:eastAsia="Times New Roman" w:hAnsi="Times New Roman" w:cs="Times New Roman"/>
                <w:i/>
                <w:iCs/>
                <w:sz w:val="24"/>
                <w:szCs w:val="24"/>
              </w:rPr>
              <w:t xml:space="preserve"> </w:t>
            </w:r>
            <w:proofErr w:type="spellStart"/>
            <w:r w:rsidRPr="00386ED4">
              <w:rPr>
                <w:rFonts w:ascii="Times New Roman" w:eastAsia="Times New Roman" w:hAnsi="Times New Roman" w:cs="Times New Roman"/>
                <w:i/>
                <w:iCs/>
                <w:sz w:val="24"/>
                <w:szCs w:val="24"/>
              </w:rPr>
              <w:t>helena</w:t>
            </w:r>
            <w:proofErr w:type="spellEnd"/>
          </w:p>
        </w:tc>
        <w:tc>
          <w:tcPr>
            <w:tcW w:w="3978" w:type="dxa"/>
            <w:hideMark/>
          </w:tcPr>
          <w:p w14:paraId="5ADF6FCD"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Schedule IV</w:t>
            </w:r>
          </w:p>
        </w:tc>
      </w:tr>
      <w:tr w:rsidR="00E16D01" w:rsidRPr="00386ED4" w14:paraId="4D1A7FF3" w14:textId="77777777" w:rsidTr="00926411">
        <w:trPr>
          <w:jc w:val="center"/>
        </w:trPr>
        <w:tc>
          <w:tcPr>
            <w:tcW w:w="1098" w:type="dxa"/>
            <w:hideMark/>
          </w:tcPr>
          <w:p w14:paraId="11787A0C"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4</w:t>
            </w:r>
          </w:p>
        </w:tc>
        <w:tc>
          <w:tcPr>
            <w:tcW w:w="2340" w:type="dxa"/>
            <w:hideMark/>
          </w:tcPr>
          <w:p w14:paraId="55EEDBE0"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Striped Blue Crow</w:t>
            </w:r>
          </w:p>
        </w:tc>
        <w:tc>
          <w:tcPr>
            <w:tcW w:w="2160" w:type="dxa"/>
            <w:hideMark/>
          </w:tcPr>
          <w:p w14:paraId="4775FF16" w14:textId="77777777" w:rsidR="00E16D01" w:rsidRPr="00386ED4" w:rsidRDefault="00E16D01" w:rsidP="00926411">
            <w:pPr>
              <w:jc w:val="center"/>
              <w:rPr>
                <w:rFonts w:ascii="Times New Roman" w:eastAsia="Times New Roman" w:hAnsi="Times New Roman" w:cs="Times New Roman"/>
                <w:sz w:val="24"/>
                <w:szCs w:val="24"/>
              </w:rPr>
            </w:pPr>
            <w:proofErr w:type="spellStart"/>
            <w:r w:rsidRPr="00386ED4">
              <w:rPr>
                <w:rFonts w:ascii="Times New Roman" w:eastAsia="Times New Roman" w:hAnsi="Times New Roman" w:cs="Times New Roman"/>
                <w:i/>
                <w:iCs/>
                <w:sz w:val="24"/>
                <w:szCs w:val="24"/>
              </w:rPr>
              <w:t>Euploea</w:t>
            </w:r>
            <w:proofErr w:type="spellEnd"/>
            <w:r w:rsidRPr="00386ED4">
              <w:rPr>
                <w:rFonts w:ascii="Times New Roman" w:eastAsia="Times New Roman" w:hAnsi="Times New Roman" w:cs="Times New Roman"/>
                <w:i/>
                <w:iCs/>
                <w:sz w:val="24"/>
                <w:szCs w:val="24"/>
              </w:rPr>
              <w:t xml:space="preserve"> </w:t>
            </w:r>
            <w:proofErr w:type="spellStart"/>
            <w:r w:rsidRPr="00386ED4">
              <w:rPr>
                <w:rFonts w:ascii="Times New Roman" w:eastAsia="Times New Roman" w:hAnsi="Times New Roman" w:cs="Times New Roman"/>
                <w:i/>
                <w:iCs/>
                <w:sz w:val="24"/>
                <w:szCs w:val="24"/>
              </w:rPr>
              <w:t>mulciber</w:t>
            </w:r>
            <w:proofErr w:type="spellEnd"/>
          </w:p>
        </w:tc>
        <w:tc>
          <w:tcPr>
            <w:tcW w:w="3978" w:type="dxa"/>
            <w:hideMark/>
          </w:tcPr>
          <w:p w14:paraId="14C7B940"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Schedule IV</w:t>
            </w:r>
          </w:p>
        </w:tc>
      </w:tr>
      <w:tr w:rsidR="00E16D01" w:rsidRPr="00386ED4" w14:paraId="184F94EC" w14:textId="77777777" w:rsidTr="00926411">
        <w:trPr>
          <w:jc w:val="center"/>
        </w:trPr>
        <w:tc>
          <w:tcPr>
            <w:tcW w:w="1098" w:type="dxa"/>
            <w:hideMark/>
          </w:tcPr>
          <w:p w14:paraId="0CAB73DC"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5</w:t>
            </w:r>
          </w:p>
        </w:tc>
        <w:tc>
          <w:tcPr>
            <w:tcW w:w="2340" w:type="dxa"/>
            <w:hideMark/>
          </w:tcPr>
          <w:p w14:paraId="28886596"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Paintbrush Swift</w:t>
            </w:r>
          </w:p>
        </w:tc>
        <w:tc>
          <w:tcPr>
            <w:tcW w:w="2160" w:type="dxa"/>
            <w:hideMark/>
          </w:tcPr>
          <w:p w14:paraId="13ADFAD8" w14:textId="77777777" w:rsidR="00E16D01" w:rsidRPr="00386ED4" w:rsidRDefault="00E16D01" w:rsidP="00926411">
            <w:pPr>
              <w:jc w:val="center"/>
              <w:rPr>
                <w:rFonts w:ascii="Times New Roman" w:eastAsia="Times New Roman" w:hAnsi="Times New Roman" w:cs="Times New Roman"/>
                <w:sz w:val="24"/>
                <w:szCs w:val="24"/>
              </w:rPr>
            </w:pPr>
            <w:proofErr w:type="spellStart"/>
            <w:r w:rsidRPr="00386ED4">
              <w:rPr>
                <w:rFonts w:ascii="Times New Roman" w:eastAsia="Times New Roman" w:hAnsi="Times New Roman" w:cs="Times New Roman"/>
                <w:i/>
                <w:iCs/>
                <w:sz w:val="24"/>
                <w:szCs w:val="24"/>
              </w:rPr>
              <w:t>Baoris</w:t>
            </w:r>
            <w:proofErr w:type="spellEnd"/>
            <w:r w:rsidRPr="00386ED4">
              <w:rPr>
                <w:rFonts w:ascii="Times New Roman" w:eastAsia="Times New Roman" w:hAnsi="Times New Roman" w:cs="Times New Roman"/>
                <w:i/>
                <w:iCs/>
                <w:sz w:val="24"/>
                <w:szCs w:val="24"/>
              </w:rPr>
              <w:t xml:space="preserve"> </w:t>
            </w:r>
            <w:proofErr w:type="spellStart"/>
            <w:r w:rsidRPr="00386ED4">
              <w:rPr>
                <w:rFonts w:ascii="Times New Roman" w:eastAsia="Times New Roman" w:hAnsi="Times New Roman" w:cs="Times New Roman"/>
                <w:i/>
                <w:iCs/>
                <w:sz w:val="24"/>
                <w:szCs w:val="24"/>
              </w:rPr>
              <w:t>farri</w:t>
            </w:r>
            <w:proofErr w:type="spellEnd"/>
          </w:p>
        </w:tc>
        <w:tc>
          <w:tcPr>
            <w:tcW w:w="3978" w:type="dxa"/>
            <w:hideMark/>
          </w:tcPr>
          <w:p w14:paraId="147CF1A9" w14:textId="77777777" w:rsidR="00E16D01" w:rsidRPr="00386ED4" w:rsidRDefault="00E16D01" w:rsidP="00926411">
            <w:pPr>
              <w:jc w:val="center"/>
              <w:rPr>
                <w:rFonts w:ascii="Times New Roman" w:eastAsia="Times New Roman" w:hAnsi="Times New Roman" w:cs="Times New Roman"/>
                <w:sz w:val="24"/>
                <w:szCs w:val="24"/>
              </w:rPr>
            </w:pPr>
            <w:r w:rsidRPr="00386ED4">
              <w:rPr>
                <w:rFonts w:ascii="Times New Roman" w:eastAsia="Times New Roman" w:hAnsi="Times New Roman" w:cs="Times New Roman"/>
                <w:sz w:val="24"/>
                <w:szCs w:val="24"/>
              </w:rPr>
              <w:t>Schedule IV</w:t>
            </w:r>
          </w:p>
        </w:tc>
      </w:tr>
    </w:tbl>
    <w:p w14:paraId="4010E1E0" w14:textId="77777777" w:rsidR="00E16D01" w:rsidRPr="006853A7" w:rsidRDefault="00E16D01" w:rsidP="00F76934">
      <w:pPr>
        <w:jc w:val="both"/>
        <w:rPr>
          <w:rFonts w:ascii="Times New Roman" w:hAnsi="Times New Roman" w:cs="Times New Roman"/>
          <w:b/>
          <w:sz w:val="24"/>
          <w:szCs w:val="24"/>
        </w:rPr>
      </w:pPr>
    </w:p>
    <w:p w14:paraId="62B6146E" w14:textId="77777777" w:rsidR="00A55D4A" w:rsidRPr="00D37026" w:rsidRDefault="00946310" w:rsidP="00AF21B9">
      <w:pPr>
        <w:pStyle w:val="NormalWeb"/>
        <w:jc w:val="both"/>
      </w:pPr>
      <w:r>
        <w:t xml:space="preserve">The Indo-Burma </w:t>
      </w:r>
      <w:r>
        <w:rPr>
          <w:highlight w:val="yellow"/>
        </w:rPr>
        <w:t>B</w:t>
      </w:r>
      <w:r>
        <w:t xml:space="preserve">iodiversity </w:t>
      </w:r>
      <w:r>
        <w:rPr>
          <w:highlight w:val="yellow"/>
        </w:rPr>
        <w:t>H</w:t>
      </w:r>
      <w:r>
        <w:t xml:space="preserve">otspot is well known </w:t>
      </w:r>
      <w:r>
        <w:rPr>
          <w:highlight w:val="yellow"/>
        </w:rPr>
        <w:t>f</w:t>
      </w:r>
      <w:r>
        <w:t>o</w:t>
      </w:r>
      <w:r>
        <w:rPr>
          <w:highlight w:val="yellow"/>
        </w:rPr>
        <w:t>r</w:t>
      </w:r>
      <w:r>
        <w:t xml:space="preserve"> su</w:t>
      </w:r>
      <w:r>
        <w:rPr>
          <w:highlight w:val="yellow"/>
        </w:rPr>
        <w:t>ppo</w:t>
      </w:r>
      <w:r>
        <w:t>rting</w:t>
      </w:r>
      <w:r>
        <w:rPr>
          <w:highlight w:val="yellow"/>
        </w:rPr>
        <w:t xml:space="preserve"> diverse</w:t>
      </w:r>
      <w:r>
        <w:t xml:space="preserve"> life forms and </w:t>
      </w:r>
      <w:r>
        <w:rPr>
          <w:highlight w:val="yellow"/>
        </w:rPr>
        <w:t>m</w:t>
      </w:r>
      <w:r>
        <w:t>a</w:t>
      </w:r>
      <w:r>
        <w:rPr>
          <w:highlight w:val="yellow"/>
        </w:rPr>
        <w:t>kes</w:t>
      </w:r>
      <w:r>
        <w:t xml:space="preserve"> a major contributi</w:t>
      </w:r>
      <w:r>
        <w:rPr>
          <w:highlight w:val="yellow"/>
        </w:rPr>
        <w:t>o</w:t>
      </w:r>
      <w:r>
        <w:t xml:space="preserve">n to </w:t>
      </w:r>
      <w:r>
        <w:rPr>
          <w:highlight w:val="yellow"/>
        </w:rPr>
        <w:t>regional bio</w:t>
      </w:r>
      <w:r>
        <w:t>diversity</w:t>
      </w:r>
      <w:r>
        <w:rPr>
          <w:highlight w:val="yellow"/>
        </w:rPr>
        <w:t>.</w:t>
      </w:r>
      <w:r>
        <w:t xml:space="preserve"> </w:t>
      </w:r>
      <w:r>
        <w:rPr>
          <w:highlight w:val="yellow"/>
        </w:rPr>
        <w:t>O</w:t>
      </w:r>
      <w:r>
        <w:t xml:space="preserve">ur study area in Bongaigaon also falls </w:t>
      </w:r>
      <w:r>
        <w:rPr>
          <w:highlight w:val="yellow"/>
        </w:rPr>
        <w:t>withi</w:t>
      </w:r>
      <w:r>
        <w:t>n this hotspot</w:t>
      </w:r>
      <w:r>
        <w:rPr>
          <w:highlight w:val="yellow"/>
        </w:rPr>
        <w:t>,</w:t>
      </w:r>
      <w:r>
        <w:t xml:space="preserve"> and the results of our study</w:t>
      </w:r>
      <w:r>
        <w:rPr>
          <w:highlight w:val="yellow"/>
        </w:rPr>
        <w:t xml:space="preserve"> are consistent with this broader context</w:t>
      </w:r>
      <w:r>
        <w:t xml:space="preserve">. </w:t>
      </w:r>
      <w:r>
        <w:rPr>
          <w:highlight w:val="yellow"/>
        </w:rPr>
        <w:t>Although o</w:t>
      </w:r>
      <w:r>
        <w:t>ur study was preliminary for this particular location</w:t>
      </w:r>
      <w:r>
        <w:rPr>
          <w:highlight w:val="yellow"/>
        </w:rPr>
        <w:t>,</w:t>
      </w:r>
      <w:r>
        <w:t xml:space="preserve"> i</w:t>
      </w:r>
      <w:r>
        <w:rPr>
          <w:highlight w:val="yellow"/>
        </w:rPr>
        <w:t>t</w:t>
      </w:r>
      <w:r>
        <w:t xml:space="preserve"> record</w:t>
      </w:r>
      <w:r>
        <w:rPr>
          <w:highlight w:val="yellow"/>
        </w:rPr>
        <w:t>ed</w:t>
      </w:r>
      <w:r>
        <w:t xml:space="preserve"> 42</w:t>
      </w:r>
      <w:r>
        <w:rPr>
          <w:highlight w:val="yellow"/>
        </w:rPr>
        <w:t xml:space="preserve"> butterfly</w:t>
      </w:r>
      <w:r>
        <w:t xml:space="preserve"> species </w:t>
      </w:r>
      <w:r>
        <w:rPr>
          <w:highlight w:val="yellow"/>
        </w:rPr>
        <w:t>during</w:t>
      </w:r>
      <w:r>
        <w:t xml:space="preserve"> th</w:t>
      </w:r>
      <w:r>
        <w:rPr>
          <w:highlight w:val="yellow"/>
        </w:rPr>
        <w:t>e</w:t>
      </w:r>
      <w:r>
        <w:t xml:space="preserve"> study year</w:t>
      </w:r>
      <w:r>
        <w:rPr>
          <w:highlight w:val="yellow"/>
        </w:rPr>
        <w:t>,</w:t>
      </w:r>
      <w:r>
        <w:t xml:space="preserve"> of which </w:t>
      </w:r>
      <w:r>
        <w:rPr>
          <w:highlight w:val="yellow"/>
        </w:rPr>
        <w:t>five</w:t>
      </w:r>
      <w:r>
        <w:t xml:space="preserve"> </w:t>
      </w:r>
      <w:r>
        <w:rPr>
          <w:highlight w:val="yellow"/>
        </w:rPr>
        <w:t>w</w:t>
      </w:r>
      <w:r>
        <w:t>e</w:t>
      </w:r>
      <w:r>
        <w:rPr>
          <w:highlight w:val="yellow"/>
        </w:rPr>
        <w:t>re identif</w:t>
      </w:r>
      <w:r>
        <w:t>ie</w:t>
      </w:r>
      <w:r>
        <w:rPr>
          <w:highlight w:val="yellow"/>
        </w:rPr>
        <w:t>d</w:t>
      </w:r>
      <w:r>
        <w:t xml:space="preserve"> a</w:t>
      </w:r>
      <w:r>
        <w:rPr>
          <w:highlight w:val="yellow"/>
        </w:rPr>
        <w:t>s</w:t>
      </w:r>
      <w:r>
        <w:t xml:space="preserve"> protected species. However, we did not record any endemic species. </w:t>
      </w:r>
      <w:r>
        <w:rPr>
          <w:highlight w:val="yellow"/>
        </w:rPr>
        <w:t>T</w:t>
      </w:r>
      <w:r>
        <w:t>he</w:t>
      </w:r>
      <w:r>
        <w:rPr>
          <w:highlight w:val="yellow"/>
        </w:rPr>
        <w:t xml:space="preserve"> observed</w:t>
      </w:r>
      <w:r>
        <w:t xml:space="preserve"> diversity </w:t>
      </w:r>
      <w:r>
        <w:rPr>
          <w:highlight w:val="yellow"/>
        </w:rPr>
        <w:t>indic</w:t>
      </w:r>
      <w:r>
        <w:t>a</w:t>
      </w:r>
      <w:r>
        <w:rPr>
          <w:highlight w:val="yellow"/>
        </w:rPr>
        <w:t>te</w:t>
      </w:r>
      <w:r>
        <w:t xml:space="preserve">s </w:t>
      </w:r>
      <w:r>
        <w:rPr>
          <w:highlight w:val="yellow"/>
        </w:rPr>
        <w:t>that</w:t>
      </w:r>
      <w:r>
        <w:t xml:space="preserve"> </w:t>
      </w:r>
      <w:r>
        <w:rPr>
          <w:highlight w:val="yellow"/>
        </w:rPr>
        <w:t>the</w:t>
      </w:r>
      <w:r>
        <w:t xml:space="preserve"> tea</w:t>
      </w:r>
      <w:r>
        <w:rPr>
          <w:highlight w:val="yellow"/>
        </w:rPr>
        <w:t>-</w:t>
      </w:r>
      <w:r>
        <w:t xml:space="preserve">estate </w:t>
      </w:r>
      <w:r>
        <w:rPr>
          <w:highlight w:val="yellow"/>
        </w:rPr>
        <w:t>land</w:t>
      </w:r>
      <w:r>
        <w:t>s</w:t>
      </w:r>
      <w:r>
        <w:rPr>
          <w:highlight w:val="yellow"/>
        </w:rPr>
        <w:t>cape</w:t>
      </w:r>
      <w:r>
        <w:t xml:space="preserve"> c</w:t>
      </w:r>
      <w:r>
        <w:rPr>
          <w:highlight w:val="yellow"/>
        </w:rPr>
        <w:t>an supp</w:t>
      </w:r>
      <w:r>
        <w:t>o</w:t>
      </w:r>
      <w:r>
        <w:rPr>
          <w:highlight w:val="yellow"/>
        </w:rPr>
        <w:t>rt a ra</w:t>
      </w:r>
      <w:r>
        <w:t>n</w:t>
      </w:r>
      <w:r>
        <w:rPr>
          <w:highlight w:val="yellow"/>
        </w:rPr>
        <w:t>ge of butt</w:t>
      </w:r>
      <w:r>
        <w:t>erfly t</w:t>
      </w:r>
      <w:r>
        <w:rPr>
          <w:highlight w:val="yellow"/>
        </w:rPr>
        <w:t>axa. Nymp</w:t>
      </w:r>
      <w:r>
        <w:t>ha</w:t>
      </w:r>
      <w:r>
        <w:rPr>
          <w:highlight w:val="yellow"/>
        </w:rPr>
        <w:t>lidae</w:t>
      </w:r>
      <w:r>
        <w:t xml:space="preserve"> contributed the </w:t>
      </w:r>
      <w:r>
        <w:rPr>
          <w:highlight w:val="yellow"/>
        </w:rPr>
        <w:t>largest numb</w:t>
      </w:r>
      <w:r>
        <w:t xml:space="preserve">er of recorded </w:t>
      </w:r>
      <w:r>
        <w:rPr>
          <w:highlight w:val="yellow"/>
        </w:rPr>
        <w:t>species,</w:t>
      </w:r>
      <w:r>
        <w:t xml:space="preserve"> </w:t>
      </w:r>
      <w:r>
        <w:rPr>
          <w:highlight w:val="yellow"/>
        </w:rPr>
        <w:t>with 18 s</w:t>
      </w:r>
      <w:r>
        <w:t>p</w:t>
      </w:r>
      <w:r>
        <w:rPr>
          <w:highlight w:val="yellow"/>
        </w:rPr>
        <w:t>ecies. T</w:t>
      </w:r>
      <w:r>
        <w:t>he family</w:t>
      </w:r>
      <w:r>
        <w:rPr>
          <w:highlight w:val="yellow"/>
        </w:rPr>
        <w:t>-wis</w:t>
      </w:r>
      <w:r>
        <w:t xml:space="preserve">e pattern </w:t>
      </w:r>
      <w:r>
        <w:rPr>
          <w:highlight w:val="yellow"/>
        </w:rPr>
        <w:t>wa</w:t>
      </w:r>
      <w:r>
        <w:t>s Nymphalidae (18) &gt; Lycaenidae (7) &gt; Papilionidae (6) &gt;</w:t>
      </w:r>
      <w:r>
        <w:rPr>
          <w:highlight w:val="yellow"/>
        </w:rPr>
        <w:t xml:space="preserve"> </w:t>
      </w:r>
      <w:r>
        <w:t>Pieridae (6) &gt; Hesperiidae (4) &gt; Riodinidae (1).</w:t>
      </w:r>
    </w:p>
    <w:p w14:paraId="7E3AB9CA" w14:textId="77777777" w:rsidR="00870574" w:rsidRPr="00D37026" w:rsidRDefault="008E38EB">
      <w:pPr>
        <w:pStyle w:val="NormalWeb"/>
      </w:pPr>
      <w:r w:rsidRPr="00D37026">
        <w:rPr>
          <w:b/>
        </w:rPr>
        <w:t xml:space="preserve">3.2 Regional comparison and dominance of </w:t>
      </w:r>
      <w:proofErr w:type="spellStart"/>
      <w:r w:rsidRPr="00D37026">
        <w:rPr>
          <w:b/>
        </w:rPr>
        <w:t>Nymphalidae</w:t>
      </w:r>
      <w:proofErr w:type="spellEnd"/>
    </w:p>
    <w:p w14:paraId="2DF687EC" w14:textId="77777777" w:rsidR="00A55D4A" w:rsidRPr="00D37026" w:rsidRDefault="006042D5" w:rsidP="00AF21B9">
      <w:pPr>
        <w:pStyle w:val="NormalWeb"/>
        <w:jc w:val="both"/>
      </w:pPr>
      <w:r>
        <w:t>Th</w:t>
      </w:r>
      <w:r>
        <w:rPr>
          <w:highlight w:val="yellow"/>
        </w:rPr>
        <w:t>e ob</w:t>
      </w:r>
      <w:r>
        <w:t>s</w:t>
      </w:r>
      <w:r>
        <w:rPr>
          <w:highlight w:val="yellow"/>
        </w:rPr>
        <w:t>e</w:t>
      </w:r>
      <w:r>
        <w:t>r</w:t>
      </w:r>
      <w:r>
        <w:rPr>
          <w:highlight w:val="yellow"/>
        </w:rPr>
        <w:t>v</w:t>
      </w:r>
      <w:r>
        <w:t xml:space="preserve">ed </w:t>
      </w:r>
      <w:r>
        <w:rPr>
          <w:highlight w:val="yellow"/>
        </w:rPr>
        <w:t>patte</w:t>
      </w:r>
      <w:r>
        <w:t>r</w:t>
      </w:r>
      <w:r>
        <w:rPr>
          <w:highlight w:val="yellow"/>
        </w:rPr>
        <w:t>n</w:t>
      </w:r>
      <w:r>
        <w:t xml:space="preserve"> is similar to </w:t>
      </w:r>
      <w:r>
        <w:rPr>
          <w:highlight w:val="yellow"/>
        </w:rPr>
        <w:t>fi</w:t>
      </w:r>
      <w:r>
        <w:t>ndi</w:t>
      </w:r>
      <w:r>
        <w:rPr>
          <w:highlight w:val="yellow"/>
        </w:rPr>
        <w:t>ng</w:t>
      </w:r>
      <w:r>
        <w:t xml:space="preserve">s from </w:t>
      </w:r>
      <w:r>
        <w:rPr>
          <w:highlight w:val="yellow"/>
        </w:rPr>
        <w:t>oth</w:t>
      </w:r>
      <w:r>
        <w:t>er regions of Assam</w:t>
      </w:r>
      <w:r>
        <w:rPr>
          <w:highlight w:val="yellow"/>
        </w:rPr>
        <w:t>.</w:t>
      </w:r>
      <w:r>
        <w:t xml:space="preserve"> Thapa </w:t>
      </w:r>
      <w:r>
        <w:rPr>
          <w:i/>
        </w:rPr>
        <w:t>et al</w:t>
      </w:r>
      <w:r>
        <w:t>.</w:t>
      </w:r>
      <w:r>
        <w:rPr>
          <w:highlight w:val="yellow"/>
        </w:rPr>
        <w:t xml:space="preserve"> </w:t>
      </w:r>
      <w:r>
        <w:t>(2025)</w:t>
      </w:r>
      <w:r>
        <w:rPr>
          <w:highlight w:val="yellow"/>
        </w:rPr>
        <w:t>,</w:t>
      </w:r>
      <w:r>
        <w:t xml:space="preserve"> in </w:t>
      </w:r>
      <w:r>
        <w:rPr>
          <w:highlight w:val="yellow"/>
        </w:rPr>
        <w:t>a</w:t>
      </w:r>
      <w:r>
        <w:t xml:space="preserve"> study </w:t>
      </w:r>
      <w:r>
        <w:rPr>
          <w:highlight w:val="yellow"/>
        </w:rPr>
        <w:t>of butte</w:t>
      </w:r>
      <w:r>
        <w:t>r</w:t>
      </w:r>
      <w:r>
        <w:rPr>
          <w:highlight w:val="yellow"/>
        </w:rPr>
        <w:t>fly</w:t>
      </w:r>
      <w:r>
        <w:t xml:space="preserve"> diversity and distribution in Rani-Garbhanga Reserve Forest</w:t>
      </w:r>
      <w:r>
        <w:rPr>
          <w:highlight w:val="yellow"/>
        </w:rPr>
        <w:t>,</w:t>
      </w:r>
      <w:r>
        <w:t xml:space="preserve"> </w:t>
      </w:r>
      <w:r>
        <w:rPr>
          <w:highlight w:val="yellow"/>
        </w:rPr>
        <w:t>also repor</w:t>
      </w:r>
      <w:r>
        <w:t>t</w:t>
      </w:r>
      <w:r>
        <w:rPr>
          <w:highlight w:val="yellow"/>
        </w:rPr>
        <w:t>ed domin</w:t>
      </w:r>
      <w:r>
        <w:t>a</w:t>
      </w:r>
      <w:r>
        <w:rPr>
          <w:highlight w:val="yellow"/>
        </w:rPr>
        <w:t>nce</w:t>
      </w:r>
      <w:r>
        <w:t xml:space="preserve"> </w:t>
      </w:r>
      <w:r>
        <w:rPr>
          <w:highlight w:val="yellow"/>
        </w:rPr>
        <w:t>of</w:t>
      </w:r>
      <w:r>
        <w:t xml:space="preserve"> Nymphalidae</w:t>
      </w:r>
      <w:r>
        <w:rPr>
          <w:highlight w:val="yellow"/>
        </w:rPr>
        <w:t>.</w:t>
      </w:r>
      <w:r>
        <w:t xml:space="preserve"> </w:t>
      </w:r>
      <w:r>
        <w:rPr>
          <w:highlight w:val="yellow"/>
        </w:rPr>
        <w:t>Si</w:t>
      </w:r>
      <w:r>
        <w:t xml:space="preserve">milarly, Gogoi </w:t>
      </w:r>
      <w:r>
        <w:rPr>
          <w:i/>
        </w:rPr>
        <w:t>et al</w:t>
      </w:r>
      <w:r>
        <w:t xml:space="preserve">. (2023) reported </w:t>
      </w:r>
      <w:r>
        <w:rPr>
          <w:highlight w:val="yellow"/>
        </w:rPr>
        <w:t xml:space="preserve">Nymphalidae as </w:t>
      </w:r>
      <w:r>
        <w:t xml:space="preserve">the </w:t>
      </w:r>
      <w:r>
        <w:rPr>
          <w:highlight w:val="yellow"/>
        </w:rPr>
        <w:t>dominant f</w:t>
      </w:r>
      <w:r>
        <w:t>am</w:t>
      </w:r>
      <w:r>
        <w:rPr>
          <w:highlight w:val="yellow"/>
        </w:rPr>
        <w:t>ily in a study of butt</w:t>
      </w:r>
      <w:r>
        <w:t>e</w:t>
      </w:r>
      <w:r>
        <w:rPr>
          <w:highlight w:val="yellow"/>
        </w:rPr>
        <w:t>rfly</w:t>
      </w:r>
      <w:r>
        <w:t xml:space="preserve"> </w:t>
      </w:r>
      <w:r>
        <w:rPr>
          <w:highlight w:val="yellow"/>
        </w:rPr>
        <w:t>diversi</w:t>
      </w:r>
      <w:r>
        <w:t>t</w:t>
      </w:r>
      <w:r>
        <w:rPr>
          <w:highlight w:val="yellow"/>
        </w:rPr>
        <w:t>y in De</w:t>
      </w:r>
      <w:r>
        <w:t>hing</w:t>
      </w:r>
      <w:r>
        <w:rPr>
          <w:highlight w:val="yellow"/>
        </w:rPr>
        <w:t>-Patkai National Park</w:t>
      </w:r>
      <w:r>
        <w:t xml:space="preserve">. </w:t>
      </w:r>
      <w:r>
        <w:rPr>
          <w:highlight w:val="yellow"/>
        </w:rPr>
        <w:t>Comparable family-level dominance has been reported in ot</w:t>
      </w:r>
      <w:r>
        <w:t>her studies from Assam</w:t>
      </w:r>
      <w:r>
        <w:rPr>
          <w:highlight w:val="yellow"/>
        </w:rPr>
        <w:t>,</w:t>
      </w:r>
      <w:r>
        <w:t xml:space="preserve"> </w:t>
      </w:r>
      <w:r>
        <w:rPr>
          <w:highlight w:val="yellow"/>
        </w:rPr>
        <w:t>inclu</w:t>
      </w:r>
      <w:r>
        <w:t>d</w:t>
      </w:r>
      <w:r>
        <w:rPr>
          <w:highlight w:val="yellow"/>
        </w:rPr>
        <w:t>i</w:t>
      </w:r>
      <w:r>
        <w:t>n</w:t>
      </w:r>
      <w:r>
        <w:rPr>
          <w:highlight w:val="yellow"/>
        </w:rPr>
        <w:t>g</w:t>
      </w:r>
      <w:r>
        <w:t xml:space="preserve"> Joshi </w:t>
      </w:r>
      <w:r>
        <w:rPr>
          <w:highlight w:val="yellow"/>
        </w:rPr>
        <w:t>and</w:t>
      </w:r>
      <w:r>
        <w:t xml:space="preserve"> Dhyani (2014)</w:t>
      </w:r>
      <w:r>
        <w:rPr>
          <w:highlight w:val="yellow"/>
        </w:rPr>
        <w:t xml:space="preserve"> and</w:t>
      </w:r>
      <w:r>
        <w:t xml:space="preserve"> Konwar </w:t>
      </w:r>
      <w:r>
        <w:rPr>
          <w:highlight w:val="yellow"/>
        </w:rPr>
        <w:t>and</w:t>
      </w:r>
      <w:r>
        <w:t xml:space="preserve"> Bortamuly (2021)</w:t>
      </w:r>
      <w:r>
        <w:rPr>
          <w:highlight w:val="yellow"/>
        </w:rPr>
        <w:t>,</w:t>
      </w:r>
      <w:r>
        <w:t xml:space="preserve"> as well as outside Assam by Lodh </w:t>
      </w:r>
      <w:r>
        <w:rPr>
          <w:highlight w:val="yellow"/>
        </w:rPr>
        <w:t>and</w:t>
      </w:r>
      <w:r>
        <w:t xml:space="preserve"> Agarwala (2016)</w:t>
      </w:r>
      <w:r>
        <w:rPr>
          <w:highlight w:val="yellow"/>
        </w:rPr>
        <w:t xml:space="preserve"> and</w:t>
      </w:r>
      <w:r>
        <w:t xml:space="preserve"> Pradhan </w:t>
      </w:r>
      <w:r>
        <w:rPr>
          <w:highlight w:val="yellow"/>
        </w:rPr>
        <w:t>and</w:t>
      </w:r>
      <w:r>
        <w:t xml:space="preserve"> Khaling (2020)</w:t>
      </w:r>
      <w:r>
        <w:rPr>
          <w:highlight w:val="yellow"/>
        </w:rPr>
        <w:t>.</w:t>
      </w:r>
      <w:r>
        <w:t xml:space="preserve"> </w:t>
      </w:r>
      <w:r>
        <w:rPr>
          <w:highlight w:val="yellow"/>
        </w:rPr>
        <w:t>This pa</w:t>
      </w:r>
      <w:r>
        <w:t>t</w:t>
      </w:r>
      <w:r>
        <w:rPr>
          <w:highlight w:val="yellow"/>
        </w:rPr>
        <w:t xml:space="preserve">tern </w:t>
      </w:r>
      <w:r>
        <w:t>ha</w:t>
      </w:r>
      <w:r>
        <w:rPr>
          <w:highlight w:val="yellow"/>
        </w:rPr>
        <w:t>s also been</w:t>
      </w:r>
      <w:r>
        <w:t xml:space="preserve"> reported in studies from other parts of the world. </w:t>
      </w:r>
      <w:r>
        <w:rPr>
          <w:highlight w:val="yellow"/>
        </w:rPr>
        <w:t>Ray</w:t>
      </w:r>
      <w:r>
        <w:t xml:space="preserve"> e</w:t>
      </w:r>
      <w:r>
        <w:rPr>
          <w:highlight w:val="yellow"/>
        </w:rPr>
        <w:t>t al. (2025), in a</w:t>
      </w:r>
      <w:r>
        <w:t xml:space="preserve"> study </w:t>
      </w:r>
      <w:r>
        <w:rPr>
          <w:highlight w:val="yellow"/>
        </w:rPr>
        <w:t>of</w:t>
      </w:r>
      <w:r>
        <w:t xml:space="preserve"> lepidopteran diversity </w:t>
      </w:r>
      <w:r>
        <w:rPr>
          <w:highlight w:val="yellow"/>
        </w:rPr>
        <w:t>a</w:t>
      </w:r>
      <w:r>
        <w:t>cro</w:t>
      </w:r>
      <w:r>
        <w:rPr>
          <w:highlight w:val="yellow"/>
        </w:rPr>
        <w:t>ss</w:t>
      </w:r>
      <w:r>
        <w:t xml:space="preserve"> three forest areas of Bongaigaon district</w:t>
      </w:r>
      <w:r>
        <w:rPr>
          <w:highlight w:val="yellow"/>
        </w:rPr>
        <w:t>,</w:t>
      </w:r>
      <w:r>
        <w:t xml:space="preserve"> record</w:t>
      </w:r>
      <w:r>
        <w:rPr>
          <w:highlight w:val="yellow"/>
        </w:rPr>
        <w:t>ed</w:t>
      </w:r>
      <w:r>
        <w:t xml:space="preserve"> 46 butterfly species</w:t>
      </w:r>
      <w:r>
        <w:rPr>
          <w:highlight w:val="yellow"/>
        </w:rPr>
        <w:t>,</w:t>
      </w:r>
      <w:r>
        <w:t xml:space="preserve"> with Nymphalidae a</w:t>
      </w:r>
      <w:r>
        <w:rPr>
          <w:highlight w:val="yellow"/>
        </w:rPr>
        <w:t>s</w:t>
      </w:r>
      <w:r>
        <w:t xml:space="preserve"> the dominant</w:t>
      </w:r>
      <w:r>
        <w:rPr>
          <w:highlight w:val="yellow"/>
        </w:rPr>
        <w:t xml:space="preserve"> family,</w:t>
      </w:r>
      <w:r>
        <w:t xml:space="preserve"> similar to </w:t>
      </w:r>
      <w:r>
        <w:rPr>
          <w:highlight w:val="yellow"/>
        </w:rPr>
        <w:t>the p</w:t>
      </w:r>
      <w:r>
        <w:t>r</w:t>
      </w:r>
      <w:r>
        <w:rPr>
          <w:highlight w:val="yellow"/>
        </w:rPr>
        <w:t>esent</w:t>
      </w:r>
      <w:r>
        <w:t xml:space="preserve"> results. </w:t>
      </w:r>
      <w:r>
        <w:rPr>
          <w:highlight w:val="yellow"/>
        </w:rPr>
        <w:t>T</w:t>
      </w:r>
      <w:r>
        <w:t xml:space="preserve">he </w:t>
      </w:r>
      <w:r>
        <w:rPr>
          <w:highlight w:val="yellow"/>
        </w:rPr>
        <w:t>occurrence o</w:t>
      </w:r>
      <w:r>
        <w:t>f</w:t>
      </w:r>
      <w:r>
        <w:rPr>
          <w:highlight w:val="yellow"/>
        </w:rPr>
        <w:t xml:space="preserve"> 42 re</w:t>
      </w:r>
      <w:r>
        <w:t>c</w:t>
      </w:r>
      <w:r>
        <w:rPr>
          <w:highlight w:val="yellow"/>
        </w:rPr>
        <w:t>orded</w:t>
      </w:r>
      <w:r>
        <w:t xml:space="preserve"> t</w:t>
      </w:r>
      <w:r>
        <w:rPr>
          <w:highlight w:val="yellow"/>
        </w:rPr>
        <w:t>axa wit</w:t>
      </w:r>
      <w:r>
        <w:t>h</w:t>
      </w:r>
      <w:r>
        <w:rPr>
          <w:highlight w:val="yellow"/>
        </w:rPr>
        <w:t xml:space="preserve">in </w:t>
      </w:r>
      <w:r>
        <w:t xml:space="preserve">a single study area </w:t>
      </w:r>
      <w:r>
        <w:rPr>
          <w:highlight w:val="yellow"/>
        </w:rPr>
        <w:t>indi</w:t>
      </w:r>
      <w:r>
        <w:t>ca</w:t>
      </w:r>
      <w:r>
        <w:rPr>
          <w:highlight w:val="yellow"/>
        </w:rPr>
        <w:t>t</w:t>
      </w:r>
      <w:r>
        <w:t>es s</w:t>
      </w:r>
      <w:r>
        <w:rPr>
          <w:highlight w:val="yellow"/>
        </w:rPr>
        <w:t>ubst</w:t>
      </w:r>
      <w:r>
        <w:t>anti</w:t>
      </w:r>
      <w:r>
        <w:rPr>
          <w:highlight w:val="yellow"/>
        </w:rPr>
        <w:t>al local rich</w:t>
      </w:r>
      <w:r>
        <w:t>n</w:t>
      </w:r>
      <w:r>
        <w:rPr>
          <w:highlight w:val="yellow"/>
        </w:rPr>
        <w:t>ess</w:t>
      </w:r>
      <w:r>
        <w:t xml:space="preserve">. </w:t>
      </w:r>
      <w:r>
        <w:rPr>
          <w:highlight w:val="yellow"/>
        </w:rPr>
        <w:t>A</w:t>
      </w:r>
      <w:r>
        <w:t xml:space="preserve">s reported by Pradhan </w:t>
      </w:r>
      <w:r>
        <w:rPr>
          <w:highlight w:val="yellow"/>
        </w:rPr>
        <w:t>and</w:t>
      </w:r>
      <w:r>
        <w:t xml:space="preserve"> Khaling (2020), tea estates </w:t>
      </w:r>
      <w:r>
        <w:rPr>
          <w:highlight w:val="yellow"/>
        </w:rPr>
        <w:t>c</w:t>
      </w:r>
      <w:r>
        <w:t xml:space="preserve">an retain </w:t>
      </w:r>
      <w:r>
        <w:rPr>
          <w:highlight w:val="yellow"/>
        </w:rPr>
        <w:t>considerab</w:t>
      </w:r>
      <w:r>
        <w:t>le biodiversity.</w:t>
      </w:r>
    </w:p>
    <w:p w14:paraId="65C94738" w14:textId="77777777" w:rsidR="00870574" w:rsidRPr="00D37026" w:rsidRDefault="008E38EB" w:rsidP="008D2E90">
      <w:pPr>
        <w:jc w:val="both"/>
      </w:pPr>
      <w:r w:rsidRPr="00D37026">
        <w:t xml:space="preserve">The dominance of </w:t>
      </w:r>
      <w:proofErr w:type="spellStart"/>
      <w:r w:rsidRPr="00D37026">
        <w:t>Nymphalidae</w:t>
      </w:r>
      <w:proofErr w:type="spellEnd"/>
      <w:r w:rsidRPr="00D37026">
        <w:t xml:space="preserve"> in the present assemblage is consistent with regional studies from Assam and eastern Himalayan tea landscapes, where </w:t>
      </w:r>
      <w:proofErr w:type="spellStart"/>
      <w:r w:rsidRPr="00D37026">
        <w:t>Nymphalidae</w:t>
      </w:r>
      <w:proofErr w:type="spellEnd"/>
      <w:r w:rsidRPr="00D37026">
        <w:t xml:space="preserve"> frequently represents the largest proportion of recorded butterfly species (Gogoi </w:t>
      </w:r>
      <w:r w:rsidR="00AB370E" w:rsidRPr="00AB370E">
        <w:rPr>
          <w:i/>
        </w:rPr>
        <w:t>et al</w:t>
      </w:r>
      <w:r w:rsidRPr="00D37026">
        <w:t xml:space="preserve">., 2023; Pradhan &amp; </w:t>
      </w:r>
      <w:proofErr w:type="spellStart"/>
      <w:r w:rsidRPr="00D37026">
        <w:t>Khaling</w:t>
      </w:r>
      <w:proofErr w:type="spellEnd"/>
      <w:r w:rsidRPr="00D37026">
        <w:t xml:space="preserve">, 2020; Dutta </w:t>
      </w:r>
      <w:r w:rsidR="00AB370E" w:rsidRPr="00AB370E">
        <w:rPr>
          <w:i/>
        </w:rPr>
        <w:t>et al</w:t>
      </w:r>
      <w:r w:rsidRPr="00D37026">
        <w:t>., 2025). This pattern may be related to the wide habitat breadth and diverse larval host-plant associations of many nymphalid species, although the present study did not quantify host-plant use or seasonal abundance. Hence, family-level dominance should be treated as a descriptive community pattern and not as evidence of habitat preference without further ecological sampling.</w:t>
      </w:r>
    </w:p>
    <w:p w14:paraId="75BE0B0E" w14:textId="77777777" w:rsidR="00870574" w:rsidRPr="00D37026" w:rsidRDefault="008E38EB" w:rsidP="00CC70A4">
      <w:pPr>
        <w:pStyle w:val="NormalWeb"/>
      </w:pPr>
      <w:r w:rsidRPr="00D37026">
        <w:rPr>
          <w:b/>
        </w:rPr>
        <w:t>3.3 Habitat condition and conservation implications</w:t>
      </w:r>
    </w:p>
    <w:p w14:paraId="16BAFE84" w14:textId="77777777" w:rsidR="00E7704E" w:rsidRPr="00D37026" w:rsidRDefault="00C873A6" w:rsidP="00AF21B9">
      <w:pPr>
        <w:pStyle w:val="NormalWeb"/>
        <w:jc w:val="both"/>
      </w:pPr>
      <w:r>
        <w:rPr>
          <w:highlight w:val="yellow"/>
        </w:rPr>
        <w:lastRenderedPageBreak/>
        <w:t>The</w:t>
      </w:r>
      <w:r>
        <w:t xml:space="preserve"> study area is an organic tea estate </w:t>
      </w:r>
      <w:r>
        <w:rPr>
          <w:highlight w:val="yellow"/>
        </w:rPr>
        <w:t>loc</w:t>
      </w:r>
      <w:r>
        <w:t>a</w:t>
      </w:r>
      <w:r>
        <w:rPr>
          <w:highlight w:val="yellow"/>
        </w:rPr>
        <w:t>te</w:t>
      </w:r>
      <w:r>
        <w:t xml:space="preserve">d </w:t>
      </w:r>
      <w:r>
        <w:rPr>
          <w:highlight w:val="yellow"/>
        </w:rPr>
        <w:t>at</w:t>
      </w:r>
      <w:r>
        <w:t xml:space="preserve"> the e</w:t>
      </w:r>
      <w:r>
        <w:rPr>
          <w:highlight w:val="yellow"/>
        </w:rPr>
        <w:t>dge</w:t>
      </w:r>
      <w:r>
        <w:t xml:space="preserve"> of the city</w:t>
      </w:r>
      <w:r>
        <w:rPr>
          <w:highlight w:val="yellow"/>
        </w:rPr>
        <w:t>,</w:t>
      </w:r>
      <w:r>
        <w:t xml:space="preserve"> where disturbance is low to m</w:t>
      </w:r>
      <w:r>
        <w:rPr>
          <w:highlight w:val="yellow"/>
        </w:rPr>
        <w:t>od</w:t>
      </w:r>
      <w:r>
        <w:t>e</w:t>
      </w:r>
      <w:r>
        <w:rPr>
          <w:highlight w:val="yellow"/>
        </w:rPr>
        <w:t>rate an</w:t>
      </w:r>
      <w:r>
        <w:t>d th</w:t>
      </w:r>
      <w:r>
        <w:rPr>
          <w:highlight w:val="yellow"/>
        </w:rPr>
        <w:t>e</w:t>
      </w:r>
      <w:r>
        <w:t xml:space="preserve"> e</w:t>
      </w:r>
      <w:r>
        <w:rPr>
          <w:highlight w:val="yellow"/>
        </w:rPr>
        <w:t>xtent of</w:t>
      </w:r>
      <w:r>
        <w:t xml:space="preserve"> built-up area is </w:t>
      </w:r>
      <w:r>
        <w:rPr>
          <w:highlight w:val="yellow"/>
        </w:rPr>
        <w:t>limited; these conditions are consid</w:t>
      </w:r>
      <w:r>
        <w:t>er</w:t>
      </w:r>
      <w:r>
        <w:rPr>
          <w:highlight w:val="yellow"/>
        </w:rPr>
        <w:t>ed</w:t>
      </w:r>
      <w:r>
        <w:t xml:space="preserve"> important for ret</w:t>
      </w:r>
      <w:r>
        <w:rPr>
          <w:highlight w:val="yellow"/>
        </w:rPr>
        <w:t>ai</w:t>
      </w:r>
      <w:r>
        <w:t>nin</w:t>
      </w:r>
      <w:r>
        <w:rPr>
          <w:highlight w:val="yellow"/>
        </w:rPr>
        <w:t>g</w:t>
      </w:r>
      <w:r>
        <w:t xml:space="preserve"> diversity (Bisht &amp; Arya, 2024). It also contains diverse flora </w:t>
      </w:r>
      <w:r>
        <w:rPr>
          <w:highlight w:val="yellow"/>
        </w:rPr>
        <w:t>t</w:t>
      </w:r>
      <w:r>
        <w:t>h</w:t>
      </w:r>
      <w:r>
        <w:rPr>
          <w:highlight w:val="yellow"/>
        </w:rPr>
        <w:t>at</w:t>
      </w:r>
      <w:r>
        <w:t xml:space="preserve"> provide important microhabitats for butterflies. T</w:t>
      </w:r>
      <w:r>
        <w:rPr>
          <w:highlight w:val="yellow"/>
        </w:rPr>
        <w:t>ogether, t</w:t>
      </w:r>
      <w:r>
        <w:t xml:space="preserve">hese factors </w:t>
      </w:r>
      <w:r>
        <w:rPr>
          <w:highlight w:val="yellow"/>
        </w:rPr>
        <w:t>m</w:t>
      </w:r>
      <w:r>
        <w:t>a</w:t>
      </w:r>
      <w:r>
        <w:rPr>
          <w:highlight w:val="yellow"/>
        </w:rPr>
        <w:t>y</w:t>
      </w:r>
      <w:r>
        <w:t xml:space="preserve"> have influenced our results. As butterflies are bio-indicators of environmental stress (Ray </w:t>
      </w:r>
      <w:r>
        <w:rPr>
          <w:i/>
        </w:rPr>
        <w:t>et al</w:t>
      </w:r>
      <w:r>
        <w:t xml:space="preserve">., 2025), our results </w:t>
      </w:r>
      <w:r>
        <w:rPr>
          <w:highlight w:val="yellow"/>
        </w:rPr>
        <w:t>may</w:t>
      </w:r>
      <w:r>
        <w:t xml:space="preserve"> s</w:t>
      </w:r>
      <w:r>
        <w:rPr>
          <w:highlight w:val="yellow"/>
        </w:rPr>
        <w:t>ugg</w:t>
      </w:r>
      <w:r>
        <w:t>e</w:t>
      </w:r>
      <w:r>
        <w:rPr>
          <w:highlight w:val="yellow"/>
        </w:rPr>
        <w:t>s</w:t>
      </w:r>
      <w:r>
        <w:t xml:space="preserve">t that environmental quality in and around </w:t>
      </w:r>
      <w:r>
        <w:rPr>
          <w:highlight w:val="yellow"/>
        </w:rPr>
        <w:t>the</w:t>
      </w:r>
      <w:r>
        <w:t xml:space="preserve"> study area is comparatively </w:t>
      </w:r>
      <w:r>
        <w:rPr>
          <w:highlight w:val="yellow"/>
        </w:rPr>
        <w:t>fav</w:t>
      </w:r>
      <w:r>
        <w:t>o</w:t>
      </w:r>
      <w:r>
        <w:rPr>
          <w:highlight w:val="yellow"/>
        </w:rPr>
        <w:t>urable</w:t>
      </w:r>
      <w:r>
        <w:t xml:space="preserve">. </w:t>
      </w:r>
      <w:r>
        <w:rPr>
          <w:highlight w:val="yellow"/>
        </w:rPr>
        <w:t>A</w:t>
      </w:r>
      <w:r>
        <w:t>lt</w:t>
      </w:r>
      <w:r>
        <w:rPr>
          <w:highlight w:val="yellow"/>
        </w:rPr>
        <w:t>h</w:t>
      </w:r>
      <w:r>
        <w:t>o</w:t>
      </w:r>
      <w:r>
        <w:rPr>
          <w:highlight w:val="yellow"/>
        </w:rPr>
        <w:t>ug</w:t>
      </w:r>
      <w:r>
        <w:t>h rapid urbani</w:t>
      </w:r>
      <w:r>
        <w:rPr>
          <w:highlight w:val="yellow"/>
        </w:rPr>
        <w:t>s</w:t>
      </w:r>
      <w:r>
        <w:t xml:space="preserve">ation </w:t>
      </w:r>
      <w:r>
        <w:rPr>
          <w:highlight w:val="yellow"/>
        </w:rPr>
        <w:t xml:space="preserve">is </w:t>
      </w:r>
      <w:r>
        <w:t>o</w:t>
      </w:r>
      <w:r>
        <w:rPr>
          <w:highlight w:val="yellow"/>
        </w:rPr>
        <w:t>ccurr</w:t>
      </w:r>
      <w:r>
        <w:t xml:space="preserve">ing </w:t>
      </w:r>
      <w:r>
        <w:rPr>
          <w:highlight w:val="yellow"/>
        </w:rPr>
        <w:t>m</w:t>
      </w:r>
      <w:r>
        <w:t>o</w:t>
      </w:r>
      <w:r>
        <w:rPr>
          <w:highlight w:val="yellow"/>
        </w:rPr>
        <w:t>re</w:t>
      </w:r>
      <w:r>
        <w:t xml:space="preserve"> </w:t>
      </w:r>
      <w:r>
        <w:rPr>
          <w:highlight w:val="yellow"/>
        </w:rPr>
        <w:t>b</w:t>
      </w:r>
      <w:r>
        <w:t>r</w:t>
      </w:r>
      <w:r>
        <w:rPr>
          <w:highlight w:val="yellow"/>
        </w:rPr>
        <w:t>oadl</w:t>
      </w:r>
      <w:r>
        <w:t>y</w:t>
      </w:r>
      <w:r>
        <w:rPr>
          <w:highlight w:val="yellow"/>
        </w:rPr>
        <w:t>, t</w:t>
      </w:r>
      <w:r>
        <w:t>he</w:t>
      </w:r>
      <w:r>
        <w:rPr>
          <w:highlight w:val="yellow"/>
        </w:rPr>
        <w:t xml:space="preserve"> p</w:t>
      </w:r>
      <w:r>
        <w:t>re</w:t>
      </w:r>
      <w:r>
        <w:rPr>
          <w:highlight w:val="yellow"/>
        </w:rPr>
        <w:t>sent</w:t>
      </w:r>
      <w:r>
        <w:t xml:space="preserve"> study </w:t>
      </w:r>
      <w:r>
        <w:rPr>
          <w:highlight w:val="yellow"/>
        </w:rPr>
        <w:t>area appear</w:t>
      </w:r>
      <w:r>
        <w:t xml:space="preserve">s </w:t>
      </w:r>
      <w:r>
        <w:rPr>
          <w:highlight w:val="yellow"/>
        </w:rPr>
        <w:t>to be rela</w:t>
      </w:r>
      <w:r>
        <w:t>tive</w:t>
      </w:r>
      <w:r>
        <w:rPr>
          <w:highlight w:val="yellow"/>
        </w:rPr>
        <w:t>l</w:t>
      </w:r>
      <w:r>
        <w:t>y l</w:t>
      </w:r>
      <w:r>
        <w:rPr>
          <w:highlight w:val="yellow"/>
        </w:rPr>
        <w:t>ess</w:t>
      </w:r>
      <w:r>
        <w:t xml:space="preserve"> affected</w:t>
      </w:r>
      <w:r>
        <w:rPr>
          <w:highlight w:val="yellow"/>
        </w:rPr>
        <w:t>.</w:t>
      </w:r>
      <w:r>
        <w:t xml:space="preserve"> </w:t>
      </w:r>
      <w:r>
        <w:rPr>
          <w:highlight w:val="yellow"/>
        </w:rPr>
        <w:t>Ho</w:t>
      </w:r>
      <w:r>
        <w:t>w</w:t>
      </w:r>
      <w:r>
        <w:rPr>
          <w:highlight w:val="yellow"/>
        </w:rPr>
        <w:t>ever,</w:t>
      </w:r>
      <w:r>
        <w:t xml:space="preserve"> thi</w:t>
      </w:r>
      <w:r>
        <w:rPr>
          <w:highlight w:val="yellow"/>
        </w:rPr>
        <w:t>s situation may cha</w:t>
      </w:r>
      <w:r>
        <w:t xml:space="preserve">nge in the coming years </w:t>
      </w:r>
      <w:r>
        <w:rPr>
          <w:highlight w:val="yellow"/>
        </w:rPr>
        <w:t>bec</w:t>
      </w:r>
      <w:r>
        <w:t>a</w:t>
      </w:r>
      <w:r>
        <w:rPr>
          <w:highlight w:val="yellow"/>
        </w:rPr>
        <w:t>u</w:t>
      </w:r>
      <w:r>
        <w:t>s</w:t>
      </w:r>
      <w:r>
        <w:rPr>
          <w:highlight w:val="yellow"/>
        </w:rPr>
        <w:t>e</w:t>
      </w:r>
      <w:r>
        <w:t xml:space="preserve"> patches of the tea estate are </w:t>
      </w:r>
      <w:r>
        <w:rPr>
          <w:highlight w:val="yellow"/>
        </w:rPr>
        <w:t xml:space="preserve">gradually </w:t>
      </w:r>
      <w:r>
        <w:t>being sold, reduc</w:t>
      </w:r>
      <w:r>
        <w:rPr>
          <w:highlight w:val="yellow"/>
        </w:rPr>
        <w:t>ing</w:t>
      </w:r>
      <w:r>
        <w:t xml:space="preserve"> </w:t>
      </w:r>
      <w:r>
        <w:rPr>
          <w:highlight w:val="yellow"/>
        </w:rPr>
        <w:t>habi</w:t>
      </w:r>
      <w:r>
        <w:t>t</w:t>
      </w:r>
      <w:r>
        <w:rPr>
          <w:highlight w:val="yellow"/>
        </w:rPr>
        <w:t>at</w:t>
      </w:r>
      <w:r>
        <w:t xml:space="preserve"> availability </w:t>
      </w:r>
      <w:r>
        <w:rPr>
          <w:highlight w:val="yellow"/>
        </w:rPr>
        <w:t>and increasing</w:t>
      </w:r>
      <w:r>
        <w:t xml:space="preserve"> habitat </w:t>
      </w:r>
      <w:r>
        <w:rPr>
          <w:highlight w:val="yellow"/>
        </w:rPr>
        <w:t>fr</w:t>
      </w:r>
      <w:r>
        <w:t>a</w:t>
      </w:r>
      <w:r>
        <w:rPr>
          <w:highlight w:val="yellow"/>
        </w:rPr>
        <w:t>gme</w:t>
      </w:r>
      <w:r>
        <w:t>ntat</w:t>
      </w:r>
      <w:r>
        <w:rPr>
          <w:highlight w:val="yellow"/>
        </w:rPr>
        <w:t>ion, both of</w:t>
      </w:r>
      <w:r>
        <w:t xml:space="preserve"> which are </w:t>
      </w:r>
      <w:r>
        <w:rPr>
          <w:highlight w:val="yellow"/>
        </w:rPr>
        <w:t>established d</w:t>
      </w:r>
      <w:r>
        <w:t>r</w:t>
      </w:r>
      <w:r>
        <w:rPr>
          <w:highlight w:val="yellow"/>
        </w:rPr>
        <w:t>i</w:t>
      </w:r>
      <w:r>
        <w:t xml:space="preserve">vers of </w:t>
      </w:r>
      <w:r>
        <w:rPr>
          <w:highlight w:val="yellow"/>
        </w:rPr>
        <w:t>bio</w:t>
      </w:r>
      <w:r>
        <w:t>diversity</w:t>
      </w:r>
      <w:r>
        <w:rPr>
          <w:highlight w:val="yellow"/>
        </w:rPr>
        <w:t xml:space="preserve"> loss</w:t>
      </w:r>
      <w:r>
        <w:t xml:space="preserve"> (Wagner, 2020). If this p</w:t>
      </w:r>
      <w:r>
        <w:rPr>
          <w:highlight w:val="yellow"/>
        </w:rPr>
        <w:t>roc</w:t>
      </w:r>
      <w:r>
        <w:t>es</w:t>
      </w:r>
      <w:r>
        <w:rPr>
          <w:highlight w:val="yellow"/>
        </w:rPr>
        <w:t>s cont</w:t>
      </w:r>
      <w:r>
        <w:t>i</w:t>
      </w:r>
      <w:r>
        <w:rPr>
          <w:highlight w:val="yellow"/>
        </w:rPr>
        <w:t>nue</w:t>
      </w:r>
      <w:r>
        <w:t>s</w:t>
      </w:r>
      <w:r>
        <w:rPr>
          <w:highlight w:val="yellow"/>
        </w:rPr>
        <w:t>,</w:t>
      </w:r>
      <w:r>
        <w:t xml:space="preserve"> the current diversity </w:t>
      </w:r>
      <w:r>
        <w:rPr>
          <w:highlight w:val="yellow"/>
        </w:rPr>
        <w:t>may decl</w:t>
      </w:r>
      <w:r>
        <w:t>i</w:t>
      </w:r>
      <w:r>
        <w:rPr>
          <w:highlight w:val="yellow"/>
        </w:rPr>
        <w:t>n</w:t>
      </w:r>
      <w:r>
        <w:t>e in the future</w:t>
      </w:r>
      <w:r>
        <w:rPr>
          <w:highlight w:val="yellow"/>
        </w:rPr>
        <w:t>,</w:t>
      </w:r>
      <w:r>
        <w:t xml:space="preserve"> and th</w:t>
      </w:r>
      <w:r>
        <w:rPr>
          <w:highlight w:val="yellow"/>
        </w:rPr>
        <w:t xml:space="preserve">e </w:t>
      </w:r>
      <w:r>
        <w:t>is</w:t>
      </w:r>
      <w:r>
        <w:rPr>
          <w:highlight w:val="yellow"/>
        </w:rPr>
        <w:t>sue</w:t>
      </w:r>
      <w:r>
        <w:t xml:space="preserve"> </w:t>
      </w:r>
      <w:r>
        <w:rPr>
          <w:highlight w:val="yellow"/>
        </w:rPr>
        <w:t>warra</w:t>
      </w:r>
      <w:r>
        <w:t>n</w:t>
      </w:r>
      <w:r>
        <w:rPr>
          <w:highlight w:val="yellow"/>
        </w:rPr>
        <w:t>t</w:t>
      </w:r>
      <w:r>
        <w:t>s attention.</w:t>
      </w:r>
    </w:p>
    <w:p w14:paraId="1EC2CD1F" w14:textId="77777777" w:rsidR="00870574" w:rsidRDefault="008E38EB" w:rsidP="008D2E90">
      <w:pPr>
        <w:jc w:val="both"/>
      </w:pPr>
      <w:r w:rsidRPr="00D37026">
        <w:t xml:space="preserve">The association of butterflies with heterogeneous vegetation and less-disturbed habitat patches is consistent with broader evidence that habitat complexity, forest fragments, and managed green spaces can retain butterfly assemblages in human-modified landscapes (Koh &amp; Sodhi, 2004; Hamer </w:t>
      </w:r>
      <w:r w:rsidR="00AB370E" w:rsidRPr="00AB370E">
        <w:rPr>
          <w:i/>
        </w:rPr>
        <w:t>et al</w:t>
      </w:r>
      <w:r w:rsidRPr="00D37026">
        <w:t xml:space="preserve">., 1997; </w:t>
      </w:r>
      <w:proofErr w:type="spellStart"/>
      <w:r w:rsidRPr="00D37026">
        <w:t>Tscharntke</w:t>
      </w:r>
      <w:proofErr w:type="spellEnd"/>
      <w:r w:rsidRPr="00D37026">
        <w:t xml:space="preserve"> </w:t>
      </w:r>
      <w:r w:rsidR="00AB370E" w:rsidRPr="00AB370E">
        <w:rPr>
          <w:i/>
        </w:rPr>
        <w:t>et al</w:t>
      </w:r>
      <w:r w:rsidRPr="00D37026">
        <w:t xml:space="preserve">., 2005). At the same time, butterflies should be used as environmental indicators with caution because indicator value can vary among species, spatial scales and disturbance types (Thomas, 2005; Fleishman &amp; Murphy, 2009; Bonebrake </w:t>
      </w:r>
      <w:r w:rsidR="00AB370E" w:rsidRPr="00AB370E">
        <w:rPr>
          <w:i/>
        </w:rPr>
        <w:t>et al</w:t>
      </w:r>
      <w:r w:rsidRPr="00D37026">
        <w:t xml:space="preserve">., 2010). For </w:t>
      </w:r>
      <w:proofErr w:type="spellStart"/>
      <w:r w:rsidRPr="00D37026">
        <w:t>Bongaigaon</w:t>
      </w:r>
      <w:proofErr w:type="spellEnd"/>
      <w:r w:rsidRPr="00D37026">
        <w:t xml:space="preserve"> Tea Estate, retention of nectar resources, larval host plants, shaded edges and small uncultivated patches would be a practical basis for future monitoring and conservation-oriented management.</w:t>
      </w:r>
    </w:p>
    <w:p w14:paraId="3243D676" w14:textId="77777777" w:rsidR="008E6F8E" w:rsidRPr="00A91B74" w:rsidRDefault="008E6F8E" w:rsidP="008D2E90">
      <w:pPr>
        <w:pStyle w:val="ListParagraph"/>
        <w:numPr>
          <w:ilvl w:val="1"/>
          <w:numId w:val="4"/>
        </w:numPr>
        <w:spacing w:after="0"/>
        <w:ind w:left="360"/>
        <w:jc w:val="both"/>
        <w:rPr>
          <w:b/>
        </w:rPr>
      </w:pPr>
      <w:r w:rsidRPr="00A91B74">
        <w:rPr>
          <w:b/>
        </w:rPr>
        <w:t>Limitations of the study</w:t>
      </w:r>
    </w:p>
    <w:p w14:paraId="6F87292F" w14:textId="77777777" w:rsidR="00A91B74" w:rsidRPr="00A91B74" w:rsidRDefault="00A91B74" w:rsidP="008D2E90">
      <w:pPr>
        <w:jc w:val="both"/>
        <w:rPr>
          <w:b/>
        </w:rPr>
      </w:pPr>
      <w:r>
        <w:t>The present study provides preliminary baseline information on butterfly fauna in and around Bongaigaon Tea Estate; however, certain limitations should be considered whe</w:t>
      </w:r>
      <w:r>
        <w:rPr>
          <w:highlight w:val="yellow"/>
        </w:rPr>
        <w:t>n</w:t>
      </w:r>
      <w:r>
        <w:t xml:space="preserve"> interpreting the findings. First, although line transects and visual encounter surveys were used for field documentation, standardi</w:t>
      </w:r>
      <w:r>
        <w:rPr>
          <w:highlight w:val="yellow"/>
        </w:rPr>
        <w:t>s</w:t>
      </w:r>
      <w:r>
        <w:t xml:space="preserve">ed measurements of transect length and width, the exact number </w:t>
      </w:r>
      <w:r>
        <w:rPr>
          <w:highlight w:val="yellow"/>
        </w:rPr>
        <w:t xml:space="preserve">of transects, </w:t>
      </w:r>
      <w:r>
        <w:t>and</w:t>
      </w:r>
      <w:r>
        <w:rPr>
          <w:highlight w:val="yellow"/>
        </w:rPr>
        <w:t xml:space="preserve"> the</w:t>
      </w:r>
      <w:r>
        <w:t xml:space="preserve"> spatial coordinates of individual transects were not systematically recorded during the original field surveys. Therefore, the present observations should not be interpreted as standardi</w:t>
      </w:r>
      <w:r>
        <w:rPr>
          <w:highlight w:val="yellow"/>
        </w:rPr>
        <w:t>s</w:t>
      </w:r>
      <w:r>
        <w:t>ed distance-sampling estimates of butterfly abundance or population density. Second, the study primarily focused on documenting species occurrence and photographic evidence, and individual abundance was not systematically quantified for each recorded species. Consequently, ecological indices based on standardi</w:t>
      </w:r>
      <w:r>
        <w:rPr>
          <w:highlight w:val="yellow"/>
        </w:rPr>
        <w:t>s</w:t>
      </w:r>
      <w:r>
        <w:t>ed abundance data were not calculated. Third, the checklist represents observations made in and around the selected study area and should not be considered a complete representation of the butterfly diversity of the wider Bongaigaon district. Differences in detectability, weather conditions, seasonal activity, and habitat use may also influence the number of species observed during field surveys. Despite these limitations, the twelve-month observation period provides useful preliminary information on the butterfly assemblage of the tea-estate landscape and establishes a baseline for future studies employing standardi</w:t>
      </w:r>
      <w:r>
        <w:rPr>
          <w:highlight w:val="yellow"/>
        </w:rPr>
        <w:t>s</w:t>
      </w:r>
      <w:r>
        <w:t>ed transects, abundance measurements, and quantitative ecological analyses. Future research should incorporate fixed and geo-referenced transects, standardi</w:t>
      </w:r>
      <w:r>
        <w:rPr>
          <w:highlight w:val="yellow"/>
        </w:rPr>
        <w:t>s</w:t>
      </w:r>
      <w:r>
        <w:t>ed sampling effort, individual abundance records, seasonal comparisons, and detailed habitat variables to provide a more comprehensive assessment of butterfly diversity and population patterns in the region.</w:t>
      </w:r>
    </w:p>
    <w:p w14:paraId="2F43D262" w14:textId="77777777" w:rsidR="00B948D8" w:rsidRPr="00D37026" w:rsidRDefault="00423498" w:rsidP="009752E2">
      <w:pPr>
        <w:pStyle w:val="NormalWeb"/>
        <w:numPr>
          <w:ilvl w:val="0"/>
          <w:numId w:val="4"/>
        </w:numPr>
        <w:ind w:left="360"/>
        <w:jc w:val="both"/>
        <w:rPr>
          <w:b/>
        </w:rPr>
      </w:pPr>
      <w:r w:rsidRPr="00D37026">
        <w:rPr>
          <w:b/>
        </w:rPr>
        <w:lastRenderedPageBreak/>
        <w:t>CONCLUSION</w:t>
      </w:r>
    </w:p>
    <w:p w14:paraId="57EAB911" w14:textId="77777777" w:rsidR="007814F4" w:rsidRPr="009B17A5" w:rsidRDefault="009B17A5" w:rsidP="009B17A5">
      <w:pPr>
        <w:pStyle w:val="Heading2"/>
        <w:spacing w:before="0" w:beforeAutospacing="0" w:after="0" w:afterAutospacing="0"/>
        <w:jc w:val="both"/>
        <w:rPr>
          <w:b w:val="0"/>
          <w:bCs w:val="0"/>
          <w:sz w:val="24"/>
          <w:szCs w:val="24"/>
        </w:rPr>
      </w:pPr>
      <w:r>
        <w:rPr>
          <w:b w:val="0"/>
          <w:sz w:val="24"/>
          <w:szCs w:val="24"/>
        </w:rPr>
        <w:t>Butterflies are ecologically important organisms and are widely recogni</w:t>
      </w:r>
      <w:r>
        <w:rPr>
          <w:b w:val="0"/>
          <w:sz w:val="24"/>
          <w:szCs w:val="24"/>
          <w:highlight w:val="yellow"/>
        </w:rPr>
        <w:t>s</w:t>
      </w:r>
      <w:r>
        <w:rPr>
          <w:b w:val="0"/>
          <w:sz w:val="24"/>
          <w:szCs w:val="24"/>
        </w:rPr>
        <w:t>ed as useful bio-indicators because of their sensitivity to environmental changes. The present study aimed to document the butterfly fauna occurring in and around Bongaigaon Tea Estate and provide baseline information for this locality. A total of 42 butterfly species belonging to six families were recorded during the twelve-month observation period. Nymphalidae was the most species-rich family, with 18 species, followed by Lycaenidae (7), Papilionidae (6), Pieridae (6), Hesperiidae (4), and Riodinidae (1). Among the recorded species, five were identified as legally protected, while several species have been assessed as Least Concern under the IUCN Red List and others currently lack a global assessment. The occurrence of 42 species within and around the tea-estate landscape highlights its potential to support butterfly diversity in a human-modified environment. However, the findings should be interpreted as a preliminary faunal assessment rather than a comprehensive quantitative evaluation of butterfly abundance or population status, as individual abundance was not systematically recorded and ecological indices were not calculated. Noticeable habitat fragmentation and habitat loss around the study area remain important concerns that may affect the persistence of butterfly diversity in the future. Therefore, maintaining suitable vegetation and minimi</w:t>
      </w:r>
      <w:r>
        <w:rPr>
          <w:b w:val="0"/>
          <w:sz w:val="24"/>
          <w:szCs w:val="24"/>
          <w:highlight w:val="yellow"/>
        </w:rPr>
        <w:t>s</w:t>
      </w:r>
      <w:r>
        <w:rPr>
          <w:b w:val="0"/>
          <w:sz w:val="24"/>
          <w:szCs w:val="24"/>
        </w:rPr>
        <w:t>ing further habitat fragmentation should receive attention, while future studies should employ standardi</w:t>
      </w:r>
      <w:r>
        <w:rPr>
          <w:b w:val="0"/>
          <w:sz w:val="24"/>
          <w:szCs w:val="24"/>
          <w:highlight w:val="yellow"/>
        </w:rPr>
        <w:t>s</w:t>
      </w:r>
      <w:r>
        <w:rPr>
          <w:b w:val="0"/>
          <w:sz w:val="24"/>
          <w:szCs w:val="24"/>
        </w:rPr>
        <w:t>ed transects, individual abundance records, and quantitative ecological analyses to strengthen long-term monitoring and conservation planning.</w:t>
      </w:r>
    </w:p>
    <w:p w14:paraId="62CA953E" w14:textId="77777777" w:rsidR="007814F4" w:rsidRPr="00D37026" w:rsidRDefault="007814F4" w:rsidP="007814F4">
      <w:pPr>
        <w:pStyle w:val="NormalWeb"/>
        <w:spacing w:before="0" w:beforeAutospacing="0" w:after="0" w:afterAutospacing="0"/>
      </w:pPr>
    </w:p>
    <w:p w14:paraId="10CC6416" w14:textId="77777777" w:rsidR="00D37026" w:rsidRDefault="00D37026" w:rsidP="007814F4">
      <w:pPr>
        <w:pStyle w:val="NormalWeb"/>
        <w:spacing w:before="0" w:beforeAutospacing="0" w:after="0" w:afterAutospacing="0"/>
        <w:jc w:val="both"/>
      </w:pPr>
    </w:p>
    <w:p w14:paraId="0C285D70" w14:textId="77777777" w:rsidR="00C71914" w:rsidRPr="00C71914" w:rsidRDefault="00C71914" w:rsidP="00C71914">
      <w:pPr>
        <w:spacing w:after="160" w:line="278" w:lineRule="auto"/>
        <w:rPr>
          <w:rFonts w:ascii="Calibri" w:eastAsia="Calibri" w:hAnsi="Calibri" w:cs="Times New Roman"/>
          <w:b/>
          <w:bCs/>
          <w:kern w:val="2"/>
          <w:sz w:val="24"/>
          <w:szCs w:val="24"/>
        </w:rPr>
      </w:pPr>
      <w:r w:rsidRPr="00C71914">
        <w:rPr>
          <w:rFonts w:ascii="Calibri" w:eastAsia="Calibri" w:hAnsi="Calibri" w:cs="Times New Roman"/>
          <w:b/>
          <w:bCs/>
          <w:kern w:val="2"/>
          <w:sz w:val="24"/>
          <w:szCs w:val="24"/>
        </w:rPr>
        <w:t>Declaration of AI Use</w:t>
      </w:r>
    </w:p>
    <w:p w14:paraId="03954312" w14:textId="77777777" w:rsidR="00C71914" w:rsidRPr="00C71914" w:rsidRDefault="00C71914" w:rsidP="00C71914">
      <w:pPr>
        <w:jc w:val="both"/>
        <w:rPr>
          <w:rFonts w:ascii="Calibri" w:eastAsia="Calibri" w:hAnsi="Calibri" w:cs="Times New Roman"/>
          <w:kern w:val="2"/>
        </w:rPr>
      </w:pPr>
      <w:r w:rsidRPr="00C71914">
        <w:rPr>
          <w:rFonts w:ascii="Calibri" w:eastAsia="Calibri" w:hAnsi="Calibri" w:cs="Times New Roman"/>
          <w:kern w:val="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03AB18E" w14:textId="77777777" w:rsidR="00D37026" w:rsidRDefault="00D37026" w:rsidP="00D37026">
      <w:pPr>
        <w:spacing w:after="0" w:line="240" w:lineRule="auto"/>
        <w:jc w:val="both"/>
        <w:rPr>
          <w:rFonts w:ascii="Times New Roman" w:eastAsia="Calibri" w:hAnsi="Times New Roman" w:cs="Times New Roman"/>
        </w:rPr>
      </w:pPr>
    </w:p>
    <w:p w14:paraId="36BA47EA" w14:textId="77777777" w:rsidR="00D37026" w:rsidRDefault="00D37026" w:rsidP="00D37026">
      <w:pPr>
        <w:spacing w:after="0" w:line="240" w:lineRule="auto"/>
        <w:jc w:val="both"/>
        <w:rPr>
          <w:rFonts w:ascii="Times New Roman" w:eastAsia="Calibri" w:hAnsi="Times New Roman" w:cs="Times New Roman"/>
        </w:rPr>
      </w:pPr>
    </w:p>
    <w:p w14:paraId="23659FBF" w14:textId="77777777" w:rsidR="00D37026" w:rsidRPr="00DA60C2" w:rsidRDefault="00D37026" w:rsidP="00D37026">
      <w:pPr>
        <w:rPr>
          <w:rFonts w:ascii="Cambria" w:eastAsia="Times New Roman" w:hAnsi="Cambria" w:cs="Arial"/>
          <w:b/>
          <w:bCs/>
          <w:lang w:val="en-GB" w:eastAsia="en-GB"/>
        </w:rPr>
      </w:pPr>
      <w:r w:rsidRPr="00DA60C2">
        <w:rPr>
          <w:rFonts w:ascii="Cambria" w:eastAsia="Times New Roman" w:hAnsi="Cambria" w:cs="Arial"/>
          <w:b/>
          <w:bCs/>
          <w:lang w:val="en-GB" w:eastAsia="en-GB"/>
        </w:rPr>
        <w:t>COMPETING INTERESTS DISCLAIMER:</w:t>
      </w:r>
    </w:p>
    <w:p w14:paraId="0CAE1DA9" w14:textId="77777777" w:rsidR="00D37026" w:rsidRPr="00DA60C2" w:rsidRDefault="00D37026" w:rsidP="00D37026">
      <w:pPr>
        <w:rPr>
          <w:rFonts w:ascii="Cambria" w:eastAsia="Times New Roman" w:hAnsi="Cambria" w:cs="Times New Roman"/>
          <w:lang w:val="en-GB" w:eastAsia="en-GB"/>
        </w:rPr>
      </w:pPr>
      <w:r w:rsidRPr="00DA60C2">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0EB48383" w14:textId="77777777" w:rsidR="00D37026" w:rsidRPr="00D37026" w:rsidRDefault="00D37026" w:rsidP="007814F4">
      <w:pPr>
        <w:pStyle w:val="NormalWeb"/>
        <w:spacing w:before="0" w:beforeAutospacing="0" w:after="0" w:afterAutospacing="0"/>
        <w:jc w:val="both"/>
      </w:pPr>
    </w:p>
    <w:p w14:paraId="3E25E506" w14:textId="77777777" w:rsidR="007814F4" w:rsidRPr="00D37026" w:rsidRDefault="007814F4" w:rsidP="007814F4">
      <w:pPr>
        <w:pStyle w:val="NormalWeb"/>
        <w:spacing w:before="0" w:beforeAutospacing="0" w:after="0" w:afterAutospacing="0"/>
        <w:jc w:val="both"/>
      </w:pPr>
    </w:p>
    <w:p w14:paraId="4ECFE601" w14:textId="77777777" w:rsidR="00AA218E" w:rsidRPr="00D37026" w:rsidRDefault="006C1A1C" w:rsidP="00AA218E">
      <w:pPr>
        <w:pStyle w:val="NormalWeb"/>
        <w:spacing w:before="240" w:beforeAutospacing="0" w:after="0" w:afterAutospacing="0"/>
        <w:jc w:val="both"/>
        <w:rPr>
          <w:b/>
          <w:color w:val="222222"/>
          <w:shd w:val="clear" w:color="auto" w:fill="FFFFFF"/>
        </w:rPr>
      </w:pPr>
      <w:r w:rsidRPr="00D37026">
        <w:rPr>
          <w:b/>
          <w:color w:val="222222"/>
          <w:shd w:val="clear" w:color="auto" w:fill="FFFFFF"/>
        </w:rPr>
        <w:t>REFERENCES</w:t>
      </w:r>
    </w:p>
    <w:p w14:paraId="18B79180"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Adams, M.-O., Seifert, C. L., Lehner, L., </w:t>
      </w:r>
      <w:proofErr w:type="spellStart"/>
      <w:r w:rsidRPr="00214DDD">
        <w:rPr>
          <w:rFonts w:ascii="Times New Roman" w:eastAsia="Times New Roman" w:hAnsi="Times New Roman" w:cs="Times New Roman"/>
          <w:sz w:val="24"/>
          <w:szCs w:val="24"/>
        </w:rPr>
        <w:t>Truxa</w:t>
      </w:r>
      <w:proofErr w:type="spellEnd"/>
      <w:r w:rsidRPr="00214DDD">
        <w:rPr>
          <w:rFonts w:ascii="Times New Roman" w:eastAsia="Times New Roman" w:hAnsi="Times New Roman" w:cs="Times New Roman"/>
          <w:sz w:val="24"/>
          <w:szCs w:val="24"/>
        </w:rPr>
        <w:t xml:space="preserve">, C., Wanek, W., &amp; Fiedler, K. (2016). Stable isotope signatures reflect dietary diversity in European forest moths. </w:t>
      </w:r>
      <w:r w:rsidRPr="00214DDD">
        <w:rPr>
          <w:rFonts w:ascii="Times New Roman" w:eastAsia="Times New Roman" w:hAnsi="Times New Roman" w:cs="Times New Roman"/>
          <w:i/>
          <w:iCs/>
          <w:sz w:val="24"/>
          <w:szCs w:val="24"/>
        </w:rPr>
        <w:t>Frontiers in Zoology, 13</w:t>
      </w:r>
      <w:r w:rsidRPr="00214DDD">
        <w:rPr>
          <w:rFonts w:ascii="Times New Roman" w:eastAsia="Times New Roman" w:hAnsi="Times New Roman" w:cs="Times New Roman"/>
          <w:sz w:val="24"/>
          <w:szCs w:val="24"/>
        </w:rPr>
        <w:t xml:space="preserve">(1), 37. </w:t>
      </w:r>
      <w:hyperlink r:id="rId16" w:tgtFrame="_new" w:history="1">
        <w:r w:rsidRPr="00214DDD">
          <w:rPr>
            <w:rFonts w:ascii="Times New Roman" w:eastAsia="Times New Roman" w:hAnsi="Times New Roman" w:cs="Times New Roman"/>
            <w:color w:val="0000FF"/>
            <w:sz w:val="24"/>
            <w:szCs w:val="24"/>
            <w:u w:val="single"/>
          </w:rPr>
          <w:t>https://doi.org/10.1186/s12983-016-0170-0</w:t>
        </w:r>
      </w:hyperlink>
    </w:p>
    <w:p w14:paraId="5555ACDF"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lastRenderedPageBreak/>
        <w:t xml:space="preserve">Altermatt, F., &amp; Pearse, I. S. (2011). Similarity and specialization of the larval versus adult diet of European butterflies and moths. </w:t>
      </w:r>
      <w:r w:rsidRPr="00214DDD">
        <w:rPr>
          <w:rFonts w:ascii="Times New Roman" w:eastAsia="Times New Roman" w:hAnsi="Times New Roman" w:cs="Times New Roman"/>
          <w:i/>
          <w:iCs/>
          <w:sz w:val="24"/>
          <w:szCs w:val="24"/>
        </w:rPr>
        <w:t>The American Naturalist, 178</w:t>
      </w:r>
      <w:r w:rsidRPr="00214DDD">
        <w:rPr>
          <w:rFonts w:ascii="Times New Roman" w:eastAsia="Times New Roman" w:hAnsi="Times New Roman" w:cs="Times New Roman"/>
          <w:sz w:val="24"/>
          <w:szCs w:val="24"/>
        </w:rPr>
        <w:t>(3), 372–382. https://doi.org/10.1086/661248</w:t>
      </w:r>
    </w:p>
    <w:p w14:paraId="52D5CAE4"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Bazinet, A. L., Cummings, M. P., Mitter, K. T., &amp; Mitter, C. W. (2013). Can RNA-Seq resolve the rapid radiation of advanced moths and butterflies (</w:t>
      </w:r>
      <w:proofErr w:type="spellStart"/>
      <w:r w:rsidRPr="00214DDD">
        <w:rPr>
          <w:rFonts w:ascii="Times New Roman" w:eastAsia="Times New Roman" w:hAnsi="Times New Roman" w:cs="Times New Roman"/>
          <w:sz w:val="24"/>
          <w:szCs w:val="24"/>
        </w:rPr>
        <w:t>Hexapoda</w:t>
      </w:r>
      <w:proofErr w:type="spellEnd"/>
      <w:r w:rsidRPr="00214DDD">
        <w:rPr>
          <w:rFonts w:ascii="Times New Roman" w:eastAsia="Times New Roman" w:hAnsi="Times New Roman" w:cs="Times New Roman"/>
          <w:sz w:val="24"/>
          <w:szCs w:val="24"/>
        </w:rPr>
        <w:t xml:space="preserve">: Lepidoptera: </w:t>
      </w:r>
      <w:proofErr w:type="spellStart"/>
      <w:r w:rsidRPr="00214DDD">
        <w:rPr>
          <w:rFonts w:ascii="Times New Roman" w:eastAsia="Times New Roman" w:hAnsi="Times New Roman" w:cs="Times New Roman"/>
          <w:sz w:val="24"/>
          <w:szCs w:val="24"/>
        </w:rPr>
        <w:t>Apoditrysia</w:t>
      </w:r>
      <w:proofErr w:type="spellEnd"/>
      <w:r w:rsidRPr="00214DDD">
        <w:rPr>
          <w:rFonts w:ascii="Times New Roman" w:eastAsia="Times New Roman" w:hAnsi="Times New Roman" w:cs="Times New Roman"/>
          <w:sz w:val="24"/>
          <w:szCs w:val="24"/>
        </w:rPr>
        <w:t xml:space="preserve">)? An exploratory study. </w:t>
      </w:r>
      <w:r w:rsidRPr="00214DDD">
        <w:rPr>
          <w:rFonts w:ascii="Times New Roman" w:eastAsia="Times New Roman" w:hAnsi="Times New Roman" w:cs="Times New Roman"/>
          <w:i/>
          <w:iCs/>
          <w:sz w:val="24"/>
          <w:szCs w:val="24"/>
        </w:rPr>
        <w:t>PLOS ONE, 8</w:t>
      </w:r>
      <w:r w:rsidRPr="00214DDD">
        <w:rPr>
          <w:rFonts w:ascii="Times New Roman" w:eastAsia="Times New Roman" w:hAnsi="Times New Roman" w:cs="Times New Roman"/>
          <w:sz w:val="24"/>
          <w:szCs w:val="24"/>
        </w:rPr>
        <w:t xml:space="preserve">(12), e82615. </w:t>
      </w:r>
      <w:hyperlink r:id="rId17" w:tgtFrame="_new" w:history="1">
        <w:r w:rsidRPr="00214DDD">
          <w:rPr>
            <w:rFonts w:ascii="Times New Roman" w:eastAsia="Times New Roman" w:hAnsi="Times New Roman" w:cs="Times New Roman"/>
            <w:color w:val="0000FF"/>
            <w:sz w:val="24"/>
            <w:szCs w:val="24"/>
            <w:u w:val="single"/>
          </w:rPr>
          <w:t>https://doi.org/10.1371/journal.pone.0082615</w:t>
        </w:r>
      </w:hyperlink>
    </w:p>
    <w:p w14:paraId="6ED56B89"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Bhawnani, J., Mahur, M., &amp; Sankhla, V. (2025). Ecological importance and factors influencing diversity distribution and abundance pattern of Lepidoptera (butterflies) at the global level: A review. </w:t>
      </w:r>
      <w:r w:rsidRPr="00214DDD">
        <w:rPr>
          <w:rFonts w:ascii="Times New Roman" w:eastAsia="Times New Roman" w:hAnsi="Times New Roman" w:cs="Times New Roman"/>
          <w:i/>
          <w:iCs/>
          <w:sz w:val="24"/>
          <w:szCs w:val="24"/>
        </w:rPr>
        <w:t>Annals of Entomology, 43</w:t>
      </w:r>
      <w:r w:rsidRPr="00214DDD">
        <w:rPr>
          <w:rFonts w:ascii="Times New Roman" w:eastAsia="Times New Roman" w:hAnsi="Times New Roman" w:cs="Times New Roman"/>
          <w:sz w:val="24"/>
          <w:szCs w:val="24"/>
        </w:rPr>
        <w:t>(2), 81–88. https://doi.org/10.59467/AE.2025.43.81</w:t>
      </w:r>
    </w:p>
    <w:p w14:paraId="0C8B5764"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Bhuyan, M., Bhattacharyya, P. R., &amp; </w:t>
      </w:r>
      <w:proofErr w:type="spellStart"/>
      <w:r w:rsidRPr="00214DDD">
        <w:rPr>
          <w:rFonts w:ascii="Times New Roman" w:eastAsia="Times New Roman" w:hAnsi="Times New Roman" w:cs="Times New Roman"/>
          <w:sz w:val="24"/>
          <w:szCs w:val="24"/>
        </w:rPr>
        <w:t>Kanjilal</w:t>
      </w:r>
      <w:proofErr w:type="spellEnd"/>
      <w:r w:rsidRPr="00214DDD">
        <w:rPr>
          <w:rFonts w:ascii="Times New Roman" w:eastAsia="Times New Roman" w:hAnsi="Times New Roman" w:cs="Times New Roman"/>
          <w:sz w:val="24"/>
          <w:szCs w:val="24"/>
        </w:rPr>
        <w:t xml:space="preserve">, P. B. (2005). Butterflies of the Regional Research Laboratory Campus, Jorhat, Assam. </w:t>
      </w:r>
      <w:r w:rsidRPr="00214DDD">
        <w:rPr>
          <w:rFonts w:ascii="Times New Roman" w:eastAsia="Times New Roman" w:hAnsi="Times New Roman" w:cs="Times New Roman"/>
          <w:i/>
          <w:iCs/>
          <w:sz w:val="24"/>
          <w:szCs w:val="24"/>
        </w:rPr>
        <w:t>Zoos’ Print Journal, 20</w:t>
      </w:r>
      <w:r w:rsidRPr="00214DDD">
        <w:rPr>
          <w:rFonts w:ascii="Times New Roman" w:eastAsia="Times New Roman" w:hAnsi="Times New Roman" w:cs="Times New Roman"/>
          <w:sz w:val="24"/>
          <w:szCs w:val="24"/>
        </w:rPr>
        <w:t>(6), 1910–1911. https://doi.org/10.11609/JoTT.ZPJ.1010.1910-1</w:t>
      </w:r>
    </w:p>
    <w:p w14:paraId="58A44B1A"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Bisht, S., &amp; Arya, M. K. (2024). Lepidopteran diversity and seasonal variations in a mountainous scrubland ecosystem of </w:t>
      </w:r>
      <w:proofErr w:type="spellStart"/>
      <w:r w:rsidRPr="00214DDD">
        <w:rPr>
          <w:rFonts w:ascii="Times New Roman" w:eastAsia="Times New Roman" w:hAnsi="Times New Roman" w:cs="Times New Roman"/>
          <w:sz w:val="24"/>
          <w:szCs w:val="24"/>
        </w:rPr>
        <w:t>Kumaun</w:t>
      </w:r>
      <w:proofErr w:type="spellEnd"/>
      <w:r w:rsidRPr="00214DDD">
        <w:rPr>
          <w:rFonts w:ascii="Times New Roman" w:eastAsia="Times New Roman" w:hAnsi="Times New Roman" w:cs="Times New Roman"/>
          <w:sz w:val="24"/>
          <w:szCs w:val="24"/>
        </w:rPr>
        <w:t xml:space="preserve"> Himalaya, India. </w:t>
      </w:r>
      <w:r w:rsidRPr="00214DDD">
        <w:rPr>
          <w:rFonts w:ascii="Times New Roman" w:eastAsia="Times New Roman" w:hAnsi="Times New Roman" w:cs="Times New Roman"/>
          <w:i/>
          <w:iCs/>
          <w:sz w:val="24"/>
          <w:szCs w:val="24"/>
        </w:rPr>
        <w:t>Journal of Animal Diversity, 6</w:t>
      </w:r>
      <w:r w:rsidRPr="00214DDD">
        <w:rPr>
          <w:rFonts w:ascii="Times New Roman" w:eastAsia="Times New Roman" w:hAnsi="Times New Roman" w:cs="Times New Roman"/>
          <w:sz w:val="24"/>
          <w:szCs w:val="24"/>
        </w:rPr>
        <w:t>(4), 38–50. https://doi.org/10.22034/JAD.2024.6.4.4</w:t>
      </w:r>
    </w:p>
    <w:p w14:paraId="31E211FE"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Bohra, S. C., &amp; Purkayastha, J. (2021). An insight into the butterfly (Lepidoptera) diversity of an urban landscape: Guwahati, Assam, India. </w:t>
      </w:r>
      <w:r w:rsidRPr="00214DDD">
        <w:rPr>
          <w:rFonts w:ascii="Times New Roman" w:eastAsia="Times New Roman" w:hAnsi="Times New Roman" w:cs="Times New Roman"/>
          <w:i/>
          <w:iCs/>
          <w:sz w:val="24"/>
          <w:szCs w:val="24"/>
        </w:rPr>
        <w:t>Journal of Threatened Taxa, 13</w:t>
      </w:r>
      <w:r w:rsidRPr="00214DDD">
        <w:rPr>
          <w:rFonts w:ascii="Times New Roman" w:eastAsia="Times New Roman" w:hAnsi="Times New Roman" w:cs="Times New Roman"/>
          <w:sz w:val="24"/>
          <w:szCs w:val="24"/>
        </w:rPr>
        <w:t xml:space="preserve">(2), 17741–17752. </w:t>
      </w:r>
      <w:hyperlink r:id="rId18" w:tgtFrame="_new" w:history="1">
        <w:r w:rsidRPr="00214DDD">
          <w:rPr>
            <w:rFonts w:ascii="Times New Roman" w:eastAsia="Times New Roman" w:hAnsi="Times New Roman" w:cs="Times New Roman"/>
            <w:color w:val="0000FF"/>
            <w:sz w:val="24"/>
            <w:szCs w:val="24"/>
            <w:u w:val="single"/>
          </w:rPr>
          <w:t>https://doi.org/10.11609/jott.6122.13.2.17741-17752</w:t>
        </w:r>
      </w:hyperlink>
    </w:p>
    <w:p w14:paraId="48D9062E"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Bonebrake, T. C., Ponisio, L. C., Boggs, C. L., &amp; Ehrlich, P. R. (2010). More than just indicators: A review of tropical butterfly ecology and conservation. </w:t>
      </w:r>
      <w:r w:rsidRPr="00214DDD">
        <w:rPr>
          <w:rFonts w:ascii="Times New Roman" w:eastAsia="Times New Roman" w:hAnsi="Times New Roman" w:cs="Times New Roman"/>
          <w:i/>
          <w:iCs/>
          <w:sz w:val="24"/>
          <w:szCs w:val="24"/>
        </w:rPr>
        <w:t>Biological Conservation, 143</w:t>
      </w:r>
      <w:r w:rsidRPr="00214DDD">
        <w:rPr>
          <w:rFonts w:ascii="Times New Roman" w:eastAsia="Times New Roman" w:hAnsi="Times New Roman" w:cs="Times New Roman"/>
          <w:sz w:val="24"/>
          <w:szCs w:val="24"/>
        </w:rPr>
        <w:t xml:space="preserve">(8), 1831–1841. </w:t>
      </w:r>
      <w:hyperlink r:id="rId19" w:tgtFrame="_new" w:history="1">
        <w:r w:rsidRPr="00214DDD">
          <w:rPr>
            <w:rFonts w:ascii="Times New Roman" w:eastAsia="Times New Roman" w:hAnsi="Times New Roman" w:cs="Times New Roman"/>
            <w:color w:val="0000FF"/>
            <w:sz w:val="24"/>
            <w:szCs w:val="24"/>
            <w:u w:val="single"/>
          </w:rPr>
          <w:t>https://doi.org/10.1016/j.biocon.2010.04.044</w:t>
        </w:r>
      </w:hyperlink>
    </w:p>
    <w:p w14:paraId="48CEE26F"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Boynton, M. K., Toenies, M., Cornelius, N., &amp; Rich, L. N. (2021). Comparing camera traps and visual encounter surveys for monitoring small animals. </w:t>
      </w:r>
      <w:r w:rsidRPr="00214DDD">
        <w:rPr>
          <w:rFonts w:ascii="Times New Roman" w:eastAsia="Times New Roman" w:hAnsi="Times New Roman" w:cs="Times New Roman"/>
          <w:i/>
          <w:iCs/>
          <w:sz w:val="24"/>
          <w:szCs w:val="24"/>
        </w:rPr>
        <w:t>California Fish and Wildlife Journal, 107</w:t>
      </w:r>
      <w:r w:rsidRPr="00214DDD">
        <w:rPr>
          <w:rFonts w:ascii="Times New Roman" w:eastAsia="Times New Roman" w:hAnsi="Times New Roman" w:cs="Times New Roman"/>
          <w:sz w:val="24"/>
          <w:szCs w:val="24"/>
        </w:rPr>
        <w:t>(2), 99–117. https://doi.org/10.51492/cfwj.107.9</w:t>
      </w:r>
    </w:p>
    <w:p w14:paraId="43D1A05B"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Chowdhury, S., Dubey, V. K., Choudhury, S., Das, A., </w:t>
      </w:r>
      <w:proofErr w:type="spellStart"/>
      <w:r w:rsidRPr="00214DDD">
        <w:rPr>
          <w:rFonts w:ascii="Times New Roman" w:eastAsia="Times New Roman" w:hAnsi="Times New Roman" w:cs="Times New Roman"/>
          <w:sz w:val="24"/>
          <w:szCs w:val="24"/>
        </w:rPr>
        <w:t>Jeengar</w:t>
      </w:r>
      <w:proofErr w:type="spellEnd"/>
      <w:r w:rsidRPr="00214DDD">
        <w:rPr>
          <w:rFonts w:ascii="Times New Roman" w:eastAsia="Times New Roman" w:hAnsi="Times New Roman" w:cs="Times New Roman"/>
          <w:sz w:val="24"/>
          <w:szCs w:val="24"/>
        </w:rPr>
        <w:t xml:space="preserve">, D., Sujatha, B., Kumar, A., Kumar, N., Semwal, A., &amp; Kumar, V. (2023). Insects as bioindicator: A hidden gem for environmental monitoring. </w:t>
      </w:r>
      <w:r w:rsidRPr="00214DDD">
        <w:rPr>
          <w:rFonts w:ascii="Times New Roman" w:eastAsia="Times New Roman" w:hAnsi="Times New Roman" w:cs="Times New Roman"/>
          <w:i/>
          <w:iCs/>
          <w:sz w:val="24"/>
          <w:szCs w:val="24"/>
        </w:rPr>
        <w:t>Frontiers in Environmental Science, 11</w:t>
      </w:r>
      <w:r w:rsidRPr="00214DDD">
        <w:rPr>
          <w:rFonts w:ascii="Times New Roman" w:eastAsia="Times New Roman" w:hAnsi="Times New Roman" w:cs="Times New Roman"/>
          <w:sz w:val="24"/>
          <w:szCs w:val="24"/>
        </w:rPr>
        <w:t xml:space="preserve">, 1146052. </w:t>
      </w:r>
      <w:hyperlink r:id="rId20" w:tgtFrame="_new" w:history="1">
        <w:r w:rsidRPr="00214DDD">
          <w:rPr>
            <w:rFonts w:ascii="Times New Roman" w:eastAsia="Times New Roman" w:hAnsi="Times New Roman" w:cs="Times New Roman"/>
            <w:color w:val="0000FF"/>
            <w:sz w:val="24"/>
            <w:szCs w:val="24"/>
            <w:u w:val="single"/>
          </w:rPr>
          <w:t>https://doi.org/10.3389/fenvs.2023.1146052</w:t>
        </w:r>
      </w:hyperlink>
    </w:p>
    <w:p w14:paraId="5C018957"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Crum, N. J., Neyman, L. C., &amp; Gowan, T. A. (2021). Abundance estimation for line transect sampling: A comparison of distance sampling and spatial capture-recapture models. </w:t>
      </w:r>
      <w:r w:rsidRPr="00214DDD">
        <w:rPr>
          <w:rFonts w:ascii="Times New Roman" w:eastAsia="Times New Roman" w:hAnsi="Times New Roman" w:cs="Times New Roman"/>
          <w:i/>
          <w:iCs/>
          <w:sz w:val="24"/>
          <w:szCs w:val="24"/>
        </w:rPr>
        <w:t>PLOS ONE, 16</w:t>
      </w:r>
      <w:r w:rsidRPr="00214DDD">
        <w:rPr>
          <w:rFonts w:ascii="Times New Roman" w:eastAsia="Times New Roman" w:hAnsi="Times New Roman" w:cs="Times New Roman"/>
          <w:sz w:val="24"/>
          <w:szCs w:val="24"/>
        </w:rPr>
        <w:t xml:space="preserve">(5), e0252231. </w:t>
      </w:r>
      <w:hyperlink r:id="rId21" w:tgtFrame="_new" w:history="1">
        <w:r w:rsidRPr="00214DDD">
          <w:rPr>
            <w:rFonts w:ascii="Times New Roman" w:eastAsia="Times New Roman" w:hAnsi="Times New Roman" w:cs="Times New Roman"/>
            <w:color w:val="0000FF"/>
            <w:sz w:val="24"/>
            <w:szCs w:val="24"/>
            <w:u w:val="single"/>
          </w:rPr>
          <w:t>https://doi.org/10.1371/journal.pone.0252231</w:t>
        </w:r>
      </w:hyperlink>
    </w:p>
    <w:p w14:paraId="41FEB6FB"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Das, N. (2026). Patterns of diversity, abundance and species richness of butterfly fauna in </w:t>
      </w:r>
      <w:proofErr w:type="spellStart"/>
      <w:r w:rsidRPr="00214DDD">
        <w:rPr>
          <w:rFonts w:ascii="Times New Roman" w:eastAsia="Times New Roman" w:hAnsi="Times New Roman" w:cs="Times New Roman"/>
          <w:sz w:val="24"/>
          <w:szCs w:val="24"/>
        </w:rPr>
        <w:t>Borajan-Bherjan-Podumani</w:t>
      </w:r>
      <w:proofErr w:type="spellEnd"/>
      <w:r w:rsidRPr="00214DDD">
        <w:rPr>
          <w:rFonts w:ascii="Times New Roman" w:eastAsia="Times New Roman" w:hAnsi="Times New Roman" w:cs="Times New Roman"/>
          <w:sz w:val="24"/>
          <w:szCs w:val="24"/>
        </w:rPr>
        <w:t xml:space="preserve"> Wildlife Sanctuary, Assam. </w:t>
      </w:r>
      <w:r w:rsidRPr="00214DDD">
        <w:rPr>
          <w:rFonts w:ascii="Times New Roman" w:eastAsia="Times New Roman" w:hAnsi="Times New Roman" w:cs="Times New Roman"/>
          <w:i/>
          <w:iCs/>
          <w:sz w:val="24"/>
          <w:szCs w:val="24"/>
        </w:rPr>
        <w:t>Himalayan Journal of Basic &amp; Applied Sciences, 2</w:t>
      </w:r>
      <w:r w:rsidRPr="00214DDD">
        <w:rPr>
          <w:rFonts w:ascii="Times New Roman" w:eastAsia="Times New Roman" w:hAnsi="Times New Roman" w:cs="Times New Roman"/>
          <w:sz w:val="24"/>
          <w:szCs w:val="24"/>
        </w:rPr>
        <w:t xml:space="preserve">(1), 1–14. </w:t>
      </w:r>
      <w:hyperlink r:id="rId22" w:tgtFrame="_new" w:history="1">
        <w:r w:rsidRPr="00214DDD">
          <w:rPr>
            <w:rFonts w:ascii="Times New Roman" w:eastAsia="Times New Roman" w:hAnsi="Times New Roman" w:cs="Times New Roman"/>
            <w:color w:val="0000FF"/>
            <w:sz w:val="24"/>
            <w:szCs w:val="24"/>
            <w:u w:val="single"/>
          </w:rPr>
          <w:t>https://doi.org/10.5281/zenodo.19939948</w:t>
        </w:r>
      </w:hyperlink>
    </w:p>
    <w:p w14:paraId="63BE95FF"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lastRenderedPageBreak/>
        <w:t xml:space="preserve">Dutta, U., Dey, S., &amp; Moran, D. (2025). A study on the diversity of butterflies in selected landscapes of the Indian Institute of Technology, Guwahati campus, Assam, India. </w:t>
      </w:r>
      <w:r w:rsidRPr="00214DDD">
        <w:rPr>
          <w:rFonts w:ascii="Times New Roman" w:eastAsia="Times New Roman" w:hAnsi="Times New Roman" w:cs="Times New Roman"/>
          <w:i/>
          <w:iCs/>
          <w:sz w:val="24"/>
          <w:szCs w:val="24"/>
        </w:rPr>
        <w:t>Journal of Threatened Taxa, 17</w:t>
      </w:r>
      <w:r w:rsidRPr="00214DDD">
        <w:rPr>
          <w:rFonts w:ascii="Times New Roman" w:eastAsia="Times New Roman" w:hAnsi="Times New Roman" w:cs="Times New Roman"/>
          <w:sz w:val="24"/>
          <w:szCs w:val="24"/>
        </w:rPr>
        <w:t xml:space="preserve">(2), 26515–26529. </w:t>
      </w:r>
      <w:hyperlink r:id="rId23" w:tgtFrame="_new" w:history="1">
        <w:r w:rsidRPr="00214DDD">
          <w:rPr>
            <w:rFonts w:ascii="Times New Roman" w:eastAsia="Times New Roman" w:hAnsi="Times New Roman" w:cs="Times New Roman"/>
            <w:color w:val="0000FF"/>
            <w:sz w:val="24"/>
            <w:szCs w:val="24"/>
            <w:u w:val="single"/>
          </w:rPr>
          <w:t>https://doi.org/10.11609/jott.8254.17.2.26515-26529</w:t>
        </w:r>
      </w:hyperlink>
    </w:p>
    <w:p w14:paraId="218D372C"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Fleishman, E., &amp; Murphy, D. D. (2009). A realistic assessment of the indicator potential of butterflies and other charismatic taxonomic groups. </w:t>
      </w:r>
      <w:r w:rsidRPr="00214DDD">
        <w:rPr>
          <w:rFonts w:ascii="Times New Roman" w:eastAsia="Times New Roman" w:hAnsi="Times New Roman" w:cs="Times New Roman"/>
          <w:i/>
          <w:iCs/>
          <w:sz w:val="24"/>
          <w:szCs w:val="24"/>
        </w:rPr>
        <w:t>Conservation Biology, 23</w:t>
      </w:r>
      <w:r w:rsidRPr="00214DDD">
        <w:rPr>
          <w:rFonts w:ascii="Times New Roman" w:eastAsia="Times New Roman" w:hAnsi="Times New Roman" w:cs="Times New Roman"/>
          <w:sz w:val="24"/>
          <w:szCs w:val="24"/>
        </w:rPr>
        <w:t xml:space="preserve">(5), 1109–1116. </w:t>
      </w:r>
      <w:hyperlink r:id="rId24" w:tgtFrame="_new" w:history="1">
        <w:r w:rsidRPr="00214DDD">
          <w:rPr>
            <w:rFonts w:ascii="Times New Roman" w:eastAsia="Times New Roman" w:hAnsi="Times New Roman" w:cs="Times New Roman"/>
            <w:color w:val="0000FF"/>
            <w:sz w:val="24"/>
            <w:szCs w:val="24"/>
            <w:u w:val="single"/>
          </w:rPr>
          <w:t>https://doi.org/10.1111/j.1523-1739.2009.01246.x</w:t>
        </w:r>
      </w:hyperlink>
    </w:p>
    <w:p w14:paraId="418A5D2A"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214DDD">
        <w:rPr>
          <w:rFonts w:ascii="Times New Roman" w:eastAsia="Times New Roman" w:hAnsi="Times New Roman" w:cs="Times New Roman"/>
          <w:sz w:val="24"/>
          <w:szCs w:val="24"/>
        </w:rPr>
        <w:t>Futuyma</w:t>
      </w:r>
      <w:proofErr w:type="spellEnd"/>
      <w:r w:rsidRPr="00214DDD">
        <w:rPr>
          <w:rFonts w:ascii="Times New Roman" w:eastAsia="Times New Roman" w:hAnsi="Times New Roman" w:cs="Times New Roman"/>
          <w:sz w:val="24"/>
          <w:szCs w:val="24"/>
        </w:rPr>
        <w:t xml:space="preserve">, D. J. (1976). Food plant specialization and environmental predictability in Lepidoptera. </w:t>
      </w:r>
      <w:r w:rsidRPr="00214DDD">
        <w:rPr>
          <w:rFonts w:ascii="Times New Roman" w:eastAsia="Times New Roman" w:hAnsi="Times New Roman" w:cs="Times New Roman"/>
          <w:i/>
          <w:iCs/>
          <w:sz w:val="24"/>
          <w:szCs w:val="24"/>
        </w:rPr>
        <w:t>The American Naturalist, 110</w:t>
      </w:r>
      <w:r w:rsidRPr="00214DDD">
        <w:rPr>
          <w:rFonts w:ascii="Times New Roman" w:eastAsia="Times New Roman" w:hAnsi="Times New Roman" w:cs="Times New Roman"/>
          <w:sz w:val="24"/>
          <w:szCs w:val="24"/>
        </w:rPr>
        <w:t>(972), 285–292. https://doi.org/10.1086/283064</w:t>
      </w:r>
    </w:p>
    <w:p w14:paraId="7424E75A"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Gogoi, R., Chetry, A., &amp; Bhuyan, A. (2023). Diversity and species richness of butterfly in </w:t>
      </w:r>
      <w:proofErr w:type="spellStart"/>
      <w:r w:rsidRPr="00214DDD">
        <w:rPr>
          <w:rFonts w:ascii="Times New Roman" w:eastAsia="Times New Roman" w:hAnsi="Times New Roman" w:cs="Times New Roman"/>
          <w:sz w:val="24"/>
          <w:szCs w:val="24"/>
        </w:rPr>
        <w:t>Soraipung</w:t>
      </w:r>
      <w:proofErr w:type="spellEnd"/>
      <w:r w:rsidRPr="00214DDD">
        <w:rPr>
          <w:rFonts w:ascii="Times New Roman" w:eastAsia="Times New Roman" w:hAnsi="Times New Roman" w:cs="Times New Roman"/>
          <w:sz w:val="24"/>
          <w:szCs w:val="24"/>
        </w:rPr>
        <w:t xml:space="preserve"> Range of </w:t>
      </w:r>
      <w:proofErr w:type="spellStart"/>
      <w:r w:rsidRPr="00214DDD">
        <w:rPr>
          <w:rFonts w:ascii="Times New Roman" w:eastAsia="Times New Roman" w:hAnsi="Times New Roman" w:cs="Times New Roman"/>
          <w:sz w:val="24"/>
          <w:szCs w:val="24"/>
        </w:rPr>
        <w:t>Dehing</w:t>
      </w:r>
      <w:proofErr w:type="spellEnd"/>
      <w:r w:rsidRPr="00214DDD">
        <w:rPr>
          <w:rFonts w:ascii="Times New Roman" w:eastAsia="Times New Roman" w:hAnsi="Times New Roman" w:cs="Times New Roman"/>
          <w:sz w:val="24"/>
          <w:szCs w:val="24"/>
        </w:rPr>
        <w:t xml:space="preserve"> Patkai National Park, Assam, India. </w:t>
      </w:r>
      <w:r w:rsidRPr="00214DDD">
        <w:rPr>
          <w:rFonts w:ascii="Times New Roman" w:eastAsia="Times New Roman" w:hAnsi="Times New Roman" w:cs="Times New Roman"/>
          <w:i/>
          <w:iCs/>
          <w:sz w:val="24"/>
          <w:szCs w:val="24"/>
        </w:rPr>
        <w:t>The Journal of Basic and Applied Zoology, 84</w:t>
      </w:r>
      <w:r w:rsidRPr="00214DDD">
        <w:rPr>
          <w:rFonts w:ascii="Times New Roman" w:eastAsia="Times New Roman" w:hAnsi="Times New Roman" w:cs="Times New Roman"/>
          <w:sz w:val="24"/>
          <w:szCs w:val="24"/>
        </w:rPr>
        <w:t xml:space="preserve">(1), 6. </w:t>
      </w:r>
      <w:hyperlink r:id="rId25" w:tgtFrame="_new" w:history="1">
        <w:r w:rsidRPr="00214DDD">
          <w:rPr>
            <w:rFonts w:ascii="Times New Roman" w:eastAsia="Times New Roman" w:hAnsi="Times New Roman" w:cs="Times New Roman"/>
            <w:color w:val="0000FF"/>
            <w:sz w:val="24"/>
            <w:szCs w:val="24"/>
            <w:u w:val="single"/>
          </w:rPr>
          <w:t>https://doi.org/10.1186/s41936-023-00327-9</w:t>
        </w:r>
      </w:hyperlink>
    </w:p>
    <w:p w14:paraId="46CC5265"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Government of Assam. (2026, July 4). </w:t>
      </w:r>
      <w:r w:rsidRPr="00214DDD">
        <w:rPr>
          <w:rFonts w:ascii="Times New Roman" w:eastAsia="Times New Roman" w:hAnsi="Times New Roman" w:cs="Times New Roman"/>
          <w:i/>
          <w:iCs/>
          <w:sz w:val="24"/>
          <w:szCs w:val="24"/>
        </w:rPr>
        <w:t>District profile</w:t>
      </w:r>
      <w:r w:rsidRPr="00214DDD">
        <w:rPr>
          <w:rFonts w:ascii="Times New Roman" w:eastAsia="Times New Roman" w:hAnsi="Times New Roman" w:cs="Times New Roman"/>
          <w:sz w:val="24"/>
          <w:szCs w:val="24"/>
        </w:rPr>
        <w:t xml:space="preserve">. </w:t>
      </w:r>
      <w:proofErr w:type="spellStart"/>
      <w:r w:rsidRPr="00214DDD">
        <w:rPr>
          <w:rFonts w:ascii="Times New Roman" w:eastAsia="Times New Roman" w:hAnsi="Times New Roman" w:cs="Times New Roman"/>
          <w:sz w:val="24"/>
          <w:szCs w:val="24"/>
        </w:rPr>
        <w:t>Bongaigaon</w:t>
      </w:r>
      <w:proofErr w:type="spellEnd"/>
      <w:r w:rsidRPr="00214DDD">
        <w:rPr>
          <w:rFonts w:ascii="Times New Roman" w:eastAsia="Times New Roman" w:hAnsi="Times New Roman" w:cs="Times New Roman"/>
          <w:sz w:val="24"/>
          <w:szCs w:val="24"/>
        </w:rPr>
        <w:t xml:space="preserve"> District. </w:t>
      </w:r>
      <w:hyperlink r:id="rId26" w:tgtFrame="_new" w:history="1">
        <w:r w:rsidRPr="00214DDD">
          <w:rPr>
            <w:rFonts w:ascii="Times New Roman" w:eastAsia="Times New Roman" w:hAnsi="Times New Roman" w:cs="Times New Roman"/>
            <w:color w:val="0000FF"/>
            <w:sz w:val="24"/>
            <w:szCs w:val="24"/>
            <w:u w:val="single"/>
          </w:rPr>
          <w:t>https://bongaigaon.assam.gov.in/about-us/district-profile</w:t>
        </w:r>
      </w:hyperlink>
    </w:p>
    <w:p w14:paraId="2781B958"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Habel, J. C., </w:t>
      </w:r>
      <w:proofErr w:type="spellStart"/>
      <w:r w:rsidRPr="00214DDD">
        <w:rPr>
          <w:rFonts w:ascii="Times New Roman" w:eastAsia="Times New Roman" w:hAnsi="Times New Roman" w:cs="Times New Roman"/>
          <w:sz w:val="24"/>
          <w:szCs w:val="24"/>
        </w:rPr>
        <w:t>Trusch</w:t>
      </w:r>
      <w:proofErr w:type="spellEnd"/>
      <w:r w:rsidRPr="00214DDD">
        <w:rPr>
          <w:rFonts w:ascii="Times New Roman" w:eastAsia="Times New Roman" w:hAnsi="Times New Roman" w:cs="Times New Roman"/>
          <w:sz w:val="24"/>
          <w:szCs w:val="24"/>
        </w:rPr>
        <w:t xml:space="preserve">, R., Schmitt, T., Ochse, M., &amp; Ulrich, W. (2019). Long-term large-scale decline in relative abundances of butterfly and burnet moth species across south-western Germany. </w:t>
      </w:r>
      <w:r w:rsidRPr="00214DDD">
        <w:rPr>
          <w:rFonts w:ascii="Times New Roman" w:eastAsia="Times New Roman" w:hAnsi="Times New Roman" w:cs="Times New Roman"/>
          <w:i/>
          <w:iCs/>
          <w:sz w:val="24"/>
          <w:szCs w:val="24"/>
        </w:rPr>
        <w:t>Scientific Reports, 9</w:t>
      </w:r>
      <w:r w:rsidRPr="00214DDD">
        <w:rPr>
          <w:rFonts w:ascii="Times New Roman" w:eastAsia="Times New Roman" w:hAnsi="Times New Roman" w:cs="Times New Roman"/>
          <w:sz w:val="24"/>
          <w:szCs w:val="24"/>
        </w:rPr>
        <w:t xml:space="preserve">(1), 14921. </w:t>
      </w:r>
      <w:hyperlink r:id="rId27" w:tgtFrame="_new" w:history="1">
        <w:r w:rsidRPr="00214DDD">
          <w:rPr>
            <w:rFonts w:ascii="Times New Roman" w:eastAsia="Times New Roman" w:hAnsi="Times New Roman" w:cs="Times New Roman"/>
            <w:color w:val="0000FF"/>
            <w:sz w:val="24"/>
            <w:szCs w:val="24"/>
            <w:u w:val="single"/>
          </w:rPr>
          <w:t>https://doi.org/10.1038/s41598-019-51424-1</w:t>
        </w:r>
      </w:hyperlink>
    </w:p>
    <w:p w14:paraId="36B037D7"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Hallmann, C. A., Sorg, M., </w:t>
      </w:r>
      <w:proofErr w:type="spellStart"/>
      <w:r w:rsidRPr="00214DDD">
        <w:rPr>
          <w:rFonts w:ascii="Times New Roman" w:eastAsia="Times New Roman" w:hAnsi="Times New Roman" w:cs="Times New Roman"/>
          <w:sz w:val="24"/>
          <w:szCs w:val="24"/>
        </w:rPr>
        <w:t>Jongejans</w:t>
      </w:r>
      <w:proofErr w:type="spellEnd"/>
      <w:r w:rsidRPr="00214DDD">
        <w:rPr>
          <w:rFonts w:ascii="Times New Roman" w:eastAsia="Times New Roman" w:hAnsi="Times New Roman" w:cs="Times New Roman"/>
          <w:sz w:val="24"/>
          <w:szCs w:val="24"/>
        </w:rPr>
        <w:t xml:space="preserve">, E., </w:t>
      </w:r>
      <w:proofErr w:type="spellStart"/>
      <w:r w:rsidRPr="00214DDD">
        <w:rPr>
          <w:rFonts w:ascii="Times New Roman" w:eastAsia="Times New Roman" w:hAnsi="Times New Roman" w:cs="Times New Roman"/>
          <w:sz w:val="24"/>
          <w:szCs w:val="24"/>
        </w:rPr>
        <w:t>Siepel</w:t>
      </w:r>
      <w:proofErr w:type="spellEnd"/>
      <w:r w:rsidRPr="00214DDD">
        <w:rPr>
          <w:rFonts w:ascii="Times New Roman" w:eastAsia="Times New Roman" w:hAnsi="Times New Roman" w:cs="Times New Roman"/>
          <w:sz w:val="24"/>
          <w:szCs w:val="24"/>
        </w:rPr>
        <w:t xml:space="preserve">, H., Hofland, N., Schwan, H., </w:t>
      </w:r>
      <w:proofErr w:type="spellStart"/>
      <w:r w:rsidRPr="00214DDD">
        <w:rPr>
          <w:rFonts w:ascii="Times New Roman" w:eastAsia="Times New Roman" w:hAnsi="Times New Roman" w:cs="Times New Roman"/>
          <w:sz w:val="24"/>
          <w:szCs w:val="24"/>
        </w:rPr>
        <w:t>Stenmans</w:t>
      </w:r>
      <w:proofErr w:type="spellEnd"/>
      <w:r w:rsidRPr="00214DDD">
        <w:rPr>
          <w:rFonts w:ascii="Times New Roman" w:eastAsia="Times New Roman" w:hAnsi="Times New Roman" w:cs="Times New Roman"/>
          <w:sz w:val="24"/>
          <w:szCs w:val="24"/>
        </w:rPr>
        <w:t xml:space="preserve">, W., Müller, A., Sumser, H., </w:t>
      </w:r>
      <w:proofErr w:type="spellStart"/>
      <w:r w:rsidRPr="00214DDD">
        <w:rPr>
          <w:rFonts w:ascii="Times New Roman" w:eastAsia="Times New Roman" w:hAnsi="Times New Roman" w:cs="Times New Roman"/>
          <w:sz w:val="24"/>
          <w:szCs w:val="24"/>
        </w:rPr>
        <w:t>Hörren</w:t>
      </w:r>
      <w:proofErr w:type="spellEnd"/>
      <w:r w:rsidRPr="00214DDD">
        <w:rPr>
          <w:rFonts w:ascii="Times New Roman" w:eastAsia="Times New Roman" w:hAnsi="Times New Roman" w:cs="Times New Roman"/>
          <w:sz w:val="24"/>
          <w:szCs w:val="24"/>
        </w:rPr>
        <w:t xml:space="preserve">, T., Goulson, D., &amp; de Kroon, H. (2017). More than 75 percent decline over 27 years in total flying insect biomass in protected areas. </w:t>
      </w:r>
      <w:r w:rsidRPr="00214DDD">
        <w:rPr>
          <w:rFonts w:ascii="Times New Roman" w:eastAsia="Times New Roman" w:hAnsi="Times New Roman" w:cs="Times New Roman"/>
          <w:i/>
          <w:iCs/>
          <w:sz w:val="24"/>
          <w:szCs w:val="24"/>
        </w:rPr>
        <w:t>PLOS ONE, 12</w:t>
      </w:r>
      <w:r w:rsidRPr="00214DDD">
        <w:rPr>
          <w:rFonts w:ascii="Times New Roman" w:eastAsia="Times New Roman" w:hAnsi="Times New Roman" w:cs="Times New Roman"/>
          <w:sz w:val="24"/>
          <w:szCs w:val="24"/>
        </w:rPr>
        <w:t xml:space="preserve">(10), e0185809. </w:t>
      </w:r>
      <w:hyperlink r:id="rId28" w:tgtFrame="_new" w:history="1">
        <w:r w:rsidRPr="00214DDD">
          <w:rPr>
            <w:rFonts w:ascii="Times New Roman" w:eastAsia="Times New Roman" w:hAnsi="Times New Roman" w:cs="Times New Roman"/>
            <w:color w:val="0000FF"/>
            <w:sz w:val="24"/>
            <w:szCs w:val="24"/>
            <w:u w:val="single"/>
          </w:rPr>
          <w:t>https://doi.org/10.1371/journal.pone.0185809</w:t>
        </w:r>
      </w:hyperlink>
    </w:p>
    <w:p w14:paraId="215B08E7"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Hamer, K. C., Hill, J. K., Lace, L. A., &amp; Langan, A. M. (1997). Ecological and biogeographical effects of forest disturbance on tropical butterflies of Sumba, Indonesia. </w:t>
      </w:r>
      <w:r w:rsidRPr="00214DDD">
        <w:rPr>
          <w:rFonts w:ascii="Times New Roman" w:eastAsia="Times New Roman" w:hAnsi="Times New Roman" w:cs="Times New Roman"/>
          <w:i/>
          <w:iCs/>
          <w:sz w:val="24"/>
          <w:szCs w:val="24"/>
        </w:rPr>
        <w:t>Journal of Biogeography, 24</w:t>
      </w:r>
      <w:r w:rsidRPr="00214DDD">
        <w:rPr>
          <w:rFonts w:ascii="Times New Roman" w:eastAsia="Times New Roman" w:hAnsi="Times New Roman" w:cs="Times New Roman"/>
          <w:sz w:val="24"/>
          <w:szCs w:val="24"/>
        </w:rPr>
        <w:t xml:space="preserve">(1), 67–75. </w:t>
      </w:r>
      <w:hyperlink r:id="rId29" w:tgtFrame="_new" w:history="1">
        <w:r w:rsidRPr="00214DDD">
          <w:rPr>
            <w:rFonts w:ascii="Times New Roman" w:eastAsia="Times New Roman" w:hAnsi="Times New Roman" w:cs="Times New Roman"/>
            <w:color w:val="0000FF"/>
            <w:sz w:val="24"/>
            <w:szCs w:val="24"/>
            <w:u w:val="single"/>
          </w:rPr>
          <w:t>https://doi.org/10.1111/j.1365-2699.1997.tb00051.x</w:t>
        </w:r>
      </w:hyperlink>
    </w:p>
    <w:p w14:paraId="3C713892"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International Union for Conservation of Nature. (2026). </w:t>
      </w:r>
      <w:r w:rsidRPr="00214DDD">
        <w:rPr>
          <w:rFonts w:ascii="Times New Roman" w:eastAsia="Times New Roman" w:hAnsi="Times New Roman" w:cs="Times New Roman"/>
          <w:i/>
          <w:iCs/>
          <w:sz w:val="24"/>
          <w:szCs w:val="24"/>
        </w:rPr>
        <w:t>The IUCN Red List of Threatened Species</w:t>
      </w:r>
      <w:r w:rsidRPr="00214DDD">
        <w:rPr>
          <w:rFonts w:ascii="Times New Roman" w:eastAsia="Times New Roman" w:hAnsi="Times New Roman" w:cs="Times New Roman"/>
          <w:sz w:val="24"/>
          <w:szCs w:val="24"/>
        </w:rPr>
        <w:t xml:space="preserve"> (Version 2026-1). </w:t>
      </w:r>
      <w:hyperlink r:id="rId30" w:tgtFrame="_new" w:history="1">
        <w:r w:rsidRPr="00214DDD">
          <w:rPr>
            <w:rFonts w:ascii="Times New Roman" w:eastAsia="Times New Roman" w:hAnsi="Times New Roman" w:cs="Times New Roman"/>
            <w:color w:val="0000FF"/>
            <w:sz w:val="24"/>
            <w:szCs w:val="24"/>
            <w:u w:val="single"/>
          </w:rPr>
          <w:t>https://www.iucnredlist.org</w:t>
        </w:r>
      </w:hyperlink>
    </w:p>
    <w:p w14:paraId="5E940AC9"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Joshi, R. K., &amp; Dhyani, S. (2014). Butter flies diversity, distribution and threats in </w:t>
      </w:r>
      <w:proofErr w:type="spellStart"/>
      <w:r w:rsidRPr="00214DDD">
        <w:rPr>
          <w:rFonts w:ascii="Times New Roman" w:eastAsia="Times New Roman" w:hAnsi="Times New Roman" w:cs="Times New Roman"/>
          <w:sz w:val="24"/>
          <w:szCs w:val="24"/>
        </w:rPr>
        <w:t>Dibru-Saikhowa</w:t>
      </w:r>
      <w:proofErr w:type="spellEnd"/>
      <w:r w:rsidRPr="00214DDD">
        <w:rPr>
          <w:rFonts w:ascii="Times New Roman" w:eastAsia="Times New Roman" w:hAnsi="Times New Roman" w:cs="Times New Roman"/>
          <w:sz w:val="24"/>
          <w:szCs w:val="24"/>
        </w:rPr>
        <w:t xml:space="preserve"> Biosphere Reserve Assam North-East India: A review. </w:t>
      </w:r>
      <w:r w:rsidRPr="00214DDD">
        <w:rPr>
          <w:rFonts w:ascii="Times New Roman" w:eastAsia="Times New Roman" w:hAnsi="Times New Roman" w:cs="Times New Roman"/>
          <w:i/>
          <w:iCs/>
          <w:sz w:val="24"/>
          <w:szCs w:val="24"/>
        </w:rPr>
        <w:t>World Journal of Zoology, 9</w:t>
      </w:r>
      <w:r w:rsidRPr="00214DDD">
        <w:rPr>
          <w:rFonts w:ascii="Times New Roman" w:eastAsia="Times New Roman" w:hAnsi="Times New Roman" w:cs="Times New Roman"/>
          <w:sz w:val="24"/>
          <w:szCs w:val="24"/>
        </w:rPr>
        <w:t>(4), 250–259. https://doi.org/10.5829/idosi.wjz.2014.9.4.85225</w:t>
      </w:r>
    </w:p>
    <w:p w14:paraId="706EA160"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214DDD">
        <w:rPr>
          <w:rFonts w:ascii="Times New Roman" w:eastAsia="Times New Roman" w:hAnsi="Times New Roman" w:cs="Times New Roman"/>
          <w:sz w:val="24"/>
          <w:szCs w:val="24"/>
        </w:rPr>
        <w:t>Kagata</w:t>
      </w:r>
      <w:proofErr w:type="spellEnd"/>
      <w:r w:rsidRPr="00214DDD">
        <w:rPr>
          <w:rFonts w:ascii="Times New Roman" w:eastAsia="Times New Roman" w:hAnsi="Times New Roman" w:cs="Times New Roman"/>
          <w:sz w:val="24"/>
          <w:szCs w:val="24"/>
        </w:rPr>
        <w:t xml:space="preserve">, H., &amp; </w:t>
      </w:r>
      <w:proofErr w:type="spellStart"/>
      <w:r w:rsidRPr="00214DDD">
        <w:rPr>
          <w:rFonts w:ascii="Times New Roman" w:eastAsia="Times New Roman" w:hAnsi="Times New Roman" w:cs="Times New Roman"/>
          <w:sz w:val="24"/>
          <w:szCs w:val="24"/>
        </w:rPr>
        <w:t>Ohgushi</w:t>
      </w:r>
      <w:proofErr w:type="spellEnd"/>
      <w:r w:rsidRPr="00214DDD">
        <w:rPr>
          <w:rFonts w:ascii="Times New Roman" w:eastAsia="Times New Roman" w:hAnsi="Times New Roman" w:cs="Times New Roman"/>
          <w:sz w:val="24"/>
          <w:szCs w:val="24"/>
        </w:rPr>
        <w:t xml:space="preserve">, T. (2012). Carbon to nitrogen excretion ratio in lepidopteran larvae: Relative importance of ecological stoichiometry and metabolic scaling. </w:t>
      </w:r>
      <w:r w:rsidRPr="00214DDD">
        <w:rPr>
          <w:rFonts w:ascii="Times New Roman" w:eastAsia="Times New Roman" w:hAnsi="Times New Roman" w:cs="Times New Roman"/>
          <w:i/>
          <w:iCs/>
          <w:sz w:val="24"/>
          <w:szCs w:val="24"/>
        </w:rPr>
        <w:t>Oikos, 121</w:t>
      </w:r>
      <w:r w:rsidRPr="00214DDD">
        <w:rPr>
          <w:rFonts w:ascii="Times New Roman" w:eastAsia="Times New Roman" w:hAnsi="Times New Roman" w:cs="Times New Roman"/>
          <w:sz w:val="24"/>
          <w:szCs w:val="24"/>
        </w:rPr>
        <w:t xml:space="preserve">(11), 1869–1877. </w:t>
      </w:r>
      <w:hyperlink r:id="rId31" w:tgtFrame="_new" w:history="1">
        <w:r w:rsidRPr="00214DDD">
          <w:rPr>
            <w:rFonts w:ascii="Times New Roman" w:eastAsia="Times New Roman" w:hAnsi="Times New Roman" w:cs="Times New Roman"/>
            <w:color w:val="0000FF"/>
            <w:sz w:val="24"/>
            <w:szCs w:val="24"/>
            <w:u w:val="single"/>
          </w:rPr>
          <w:t>https://doi.org/10.1111/j.1600-0706.2012.20274.x</w:t>
        </w:r>
      </w:hyperlink>
    </w:p>
    <w:p w14:paraId="5F31D057"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Koh, L. P., &amp; Sodhi, N. S. (2004). Importance of reserves, fragments, and parks for butterfly conservation in a tropical urban landscape. </w:t>
      </w:r>
      <w:r w:rsidRPr="00214DDD">
        <w:rPr>
          <w:rFonts w:ascii="Times New Roman" w:eastAsia="Times New Roman" w:hAnsi="Times New Roman" w:cs="Times New Roman"/>
          <w:i/>
          <w:iCs/>
          <w:sz w:val="24"/>
          <w:szCs w:val="24"/>
        </w:rPr>
        <w:t>Ecological Applications, 14</w:t>
      </w:r>
      <w:r w:rsidRPr="00214DDD">
        <w:rPr>
          <w:rFonts w:ascii="Times New Roman" w:eastAsia="Times New Roman" w:hAnsi="Times New Roman" w:cs="Times New Roman"/>
          <w:sz w:val="24"/>
          <w:szCs w:val="24"/>
        </w:rPr>
        <w:t xml:space="preserve">(6), 1695–1708. </w:t>
      </w:r>
      <w:hyperlink r:id="rId32" w:tgtFrame="_new" w:history="1">
        <w:r w:rsidRPr="00214DDD">
          <w:rPr>
            <w:rFonts w:ascii="Times New Roman" w:eastAsia="Times New Roman" w:hAnsi="Times New Roman" w:cs="Times New Roman"/>
            <w:color w:val="0000FF"/>
            <w:sz w:val="24"/>
            <w:szCs w:val="24"/>
            <w:u w:val="single"/>
          </w:rPr>
          <w:t>https://doi.org/10.1890/03-5269</w:t>
        </w:r>
      </w:hyperlink>
    </w:p>
    <w:p w14:paraId="15128C2C"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lastRenderedPageBreak/>
        <w:t xml:space="preserve">Konwar, A., &amp; </w:t>
      </w:r>
      <w:proofErr w:type="spellStart"/>
      <w:r w:rsidRPr="00214DDD">
        <w:rPr>
          <w:rFonts w:ascii="Times New Roman" w:eastAsia="Times New Roman" w:hAnsi="Times New Roman" w:cs="Times New Roman"/>
          <w:sz w:val="24"/>
          <w:szCs w:val="24"/>
        </w:rPr>
        <w:t>Bortamuly</w:t>
      </w:r>
      <w:proofErr w:type="spellEnd"/>
      <w:r w:rsidRPr="00214DDD">
        <w:rPr>
          <w:rFonts w:ascii="Times New Roman" w:eastAsia="Times New Roman" w:hAnsi="Times New Roman" w:cs="Times New Roman"/>
          <w:sz w:val="24"/>
          <w:szCs w:val="24"/>
        </w:rPr>
        <w:t xml:space="preserve">, M. (2021). Observations on butterflies of non-protected areas of </w:t>
      </w:r>
      <w:proofErr w:type="spellStart"/>
      <w:r w:rsidRPr="00214DDD">
        <w:rPr>
          <w:rFonts w:ascii="Times New Roman" w:eastAsia="Times New Roman" w:hAnsi="Times New Roman" w:cs="Times New Roman"/>
          <w:sz w:val="24"/>
          <w:szCs w:val="24"/>
        </w:rPr>
        <w:t>Titabar</w:t>
      </w:r>
      <w:proofErr w:type="spellEnd"/>
      <w:r w:rsidRPr="00214DDD">
        <w:rPr>
          <w:rFonts w:ascii="Times New Roman" w:eastAsia="Times New Roman" w:hAnsi="Times New Roman" w:cs="Times New Roman"/>
          <w:sz w:val="24"/>
          <w:szCs w:val="24"/>
        </w:rPr>
        <w:t xml:space="preserve">, Assam, India. </w:t>
      </w:r>
      <w:r w:rsidRPr="00214DDD">
        <w:rPr>
          <w:rFonts w:ascii="Times New Roman" w:eastAsia="Times New Roman" w:hAnsi="Times New Roman" w:cs="Times New Roman"/>
          <w:i/>
          <w:iCs/>
          <w:sz w:val="24"/>
          <w:szCs w:val="24"/>
        </w:rPr>
        <w:t>Journal of Threatened Taxa, 13</w:t>
      </w:r>
      <w:r w:rsidRPr="00214DDD">
        <w:rPr>
          <w:rFonts w:ascii="Times New Roman" w:eastAsia="Times New Roman" w:hAnsi="Times New Roman" w:cs="Times New Roman"/>
          <w:sz w:val="24"/>
          <w:szCs w:val="24"/>
        </w:rPr>
        <w:t>(5), 18364–18377. https://doi.org/10.11609/jott.4126.13.5.18364-18377</w:t>
      </w:r>
    </w:p>
    <w:p w14:paraId="0398436A"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Kremen, C. (1992). Assessing the indicator properties of species assemblages for natural areas monitoring. </w:t>
      </w:r>
      <w:r w:rsidRPr="00214DDD">
        <w:rPr>
          <w:rFonts w:ascii="Times New Roman" w:eastAsia="Times New Roman" w:hAnsi="Times New Roman" w:cs="Times New Roman"/>
          <w:i/>
          <w:iCs/>
          <w:sz w:val="24"/>
          <w:szCs w:val="24"/>
        </w:rPr>
        <w:t>Ecological Applications, 2</w:t>
      </w:r>
      <w:r w:rsidRPr="00214DDD">
        <w:rPr>
          <w:rFonts w:ascii="Times New Roman" w:eastAsia="Times New Roman" w:hAnsi="Times New Roman" w:cs="Times New Roman"/>
          <w:sz w:val="24"/>
          <w:szCs w:val="24"/>
        </w:rPr>
        <w:t xml:space="preserve">(2), 203–217. </w:t>
      </w:r>
      <w:hyperlink r:id="rId33" w:tgtFrame="_new" w:history="1">
        <w:r w:rsidRPr="00214DDD">
          <w:rPr>
            <w:rFonts w:ascii="Times New Roman" w:eastAsia="Times New Roman" w:hAnsi="Times New Roman" w:cs="Times New Roman"/>
            <w:color w:val="0000FF"/>
            <w:sz w:val="24"/>
            <w:szCs w:val="24"/>
            <w:u w:val="single"/>
          </w:rPr>
          <w:t>https://doi.org/10.2307/1941776</w:t>
        </w:r>
      </w:hyperlink>
    </w:p>
    <w:p w14:paraId="035EDB4E" w14:textId="77777777" w:rsidR="00F6185B"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highlight w:val="yellow"/>
        </w:rPr>
        <w:t xml:space="preserve">Kumar, S. (2026). Butterflies and dragonflies as ecological barometers of environmental change: A critical review. </w:t>
      </w:r>
      <w:r>
        <w:rPr>
          <w:rFonts w:ascii="Times New Roman" w:eastAsia="Times New Roman" w:hAnsi="Times New Roman" w:cs="Times New Roman"/>
          <w:b/>
          <w:i/>
          <w:color w:val="000000"/>
          <w:sz w:val="24"/>
          <w:highlight w:val="yellow"/>
        </w:rPr>
        <w:t>BIONATURE, 46</w:t>
      </w:r>
      <w:r>
        <w:rPr>
          <w:rFonts w:ascii="Times New Roman" w:eastAsia="Times New Roman" w:hAnsi="Times New Roman" w:cs="Times New Roman"/>
          <w:b/>
          <w:color w:val="000000"/>
          <w:sz w:val="24"/>
          <w:highlight w:val="yellow"/>
        </w:rPr>
        <w:t xml:space="preserve">(2), 160–178. </w:t>
      </w:r>
      <w:hyperlink r:id="rId34">
        <w:r w:rsidR="00F6185B">
          <w:rPr>
            <w:rFonts w:ascii="Times New Roman" w:eastAsia="Times New Roman" w:hAnsi="Times New Roman" w:cs="Times New Roman"/>
            <w:b/>
            <w:bCs/>
            <w:color w:val="000000"/>
            <w:sz w:val="24"/>
            <w:szCs w:val="24"/>
            <w:highlight w:val="yellow"/>
          </w:rPr>
          <w:t>https://doi.org/10.56557/bn/2026/v46i22133</w:t>
        </w:r>
      </w:hyperlink>
    </w:p>
    <w:p w14:paraId="690FEFBD"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214DDD">
        <w:rPr>
          <w:rFonts w:ascii="Times New Roman" w:eastAsia="Times New Roman" w:hAnsi="Times New Roman" w:cs="Times New Roman"/>
          <w:sz w:val="24"/>
          <w:szCs w:val="24"/>
        </w:rPr>
        <w:t>Lodh</w:t>
      </w:r>
      <w:proofErr w:type="spellEnd"/>
      <w:r w:rsidRPr="00214DDD">
        <w:rPr>
          <w:rFonts w:ascii="Times New Roman" w:eastAsia="Times New Roman" w:hAnsi="Times New Roman" w:cs="Times New Roman"/>
          <w:sz w:val="24"/>
          <w:szCs w:val="24"/>
        </w:rPr>
        <w:t xml:space="preserve">, R., &amp; Agarwala, B. K. (2016). Rapid assessment of diversity and conservation of butterflies in Rowa Wildlife Sanctuary: An Indo-Burmese hotspot—Tripura, N.E. India. </w:t>
      </w:r>
      <w:r w:rsidRPr="00214DDD">
        <w:rPr>
          <w:rFonts w:ascii="Times New Roman" w:eastAsia="Times New Roman" w:hAnsi="Times New Roman" w:cs="Times New Roman"/>
          <w:i/>
          <w:iCs/>
          <w:sz w:val="24"/>
          <w:szCs w:val="24"/>
        </w:rPr>
        <w:t>Tropical Ecology, 57</w:t>
      </w:r>
      <w:r w:rsidRPr="00214DDD">
        <w:rPr>
          <w:rFonts w:ascii="Times New Roman" w:eastAsia="Times New Roman" w:hAnsi="Times New Roman" w:cs="Times New Roman"/>
          <w:sz w:val="24"/>
          <w:szCs w:val="24"/>
        </w:rPr>
        <w:t xml:space="preserve">(2), 231–242. </w:t>
      </w:r>
    </w:p>
    <w:p w14:paraId="236D0C8A"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214DDD">
        <w:rPr>
          <w:rFonts w:ascii="Times New Roman" w:eastAsia="Times New Roman" w:hAnsi="Times New Roman" w:cs="Times New Roman"/>
          <w:sz w:val="24"/>
          <w:szCs w:val="24"/>
        </w:rPr>
        <w:t>Malsawmtluanga</w:t>
      </w:r>
      <w:proofErr w:type="spellEnd"/>
      <w:r w:rsidRPr="00214DDD">
        <w:rPr>
          <w:rFonts w:ascii="Times New Roman" w:eastAsia="Times New Roman" w:hAnsi="Times New Roman" w:cs="Times New Roman"/>
          <w:sz w:val="24"/>
          <w:szCs w:val="24"/>
        </w:rPr>
        <w:t xml:space="preserve">, H., Chitra, N., Soundararajan, R. P., Santosh, G. P., </w:t>
      </w:r>
      <w:proofErr w:type="spellStart"/>
      <w:r w:rsidRPr="00214DDD">
        <w:rPr>
          <w:rFonts w:ascii="Times New Roman" w:eastAsia="Times New Roman" w:hAnsi="Times New Roman" w:cs="Times New Roman"/>
          <w:sz w:val="24"/>
          <w:szCs w:val="24"/>
        </w:rPr>
        <w:t>Kumaraperumal</w:t>
      </w:r>
      <w:proofErr w:type="spellEnd"/>
      <w:r w:rsidRPr="00214DDD">
        <w:rPr>
          <w:rFonts w:ascii="Times New Roman" w:eastAsia="Times New Roman" w:hAnsi="Times New Roman" w:cs="Times New Roman"/>
          <w:sz w:val="24"/>
          <w:szCs w:val="24"/>
        </w:rPr>
        <w:t xml:space="preserve">, R., Balasubramani, V., &amp; </w:t>
      </w:r>
      <w:proofErr w:type="spellStart"/>
      <w:r w:rsidRPr="00214DDD">
        <w:rPr>
          <w:rFonts w:ascii="Times New Roman" w:eastAsia="Times New Roman" w:hAnsi="Times New Roman" w:cs="Times New Roman"/>
          <w:sz w:val="24"/>
          <w:szCs w:val="24"/>
        </w:rPr>
        <w:t>Dilipsundar</w:t>
      </w:r>
      <w:proofErr w:type="spellEnd"/>
      <w:r w:rsidRPr="00214DDD">
        <w:rPr>
          <w:rFonts w:ascii="Times New Roman" w:eastAsia="Times New Roman" w:hAnsi="Times New Roman" w:cs="Times New Roman"/>
          <w:sz w:val="24"/>
          <w:szCs w:val="24"/>
        </w:rPr>
        <w:t xml:space="preserve">, N. (2025). A review on lepidopteran studies in Mizoram: Overview, present status, hurdles and prospects, along with a compiled checklist of moths. </w:t>
      </w:r>
      <w:r w:rsidRPr="00214DDD">
        <w:rPr>
          <w:rFonts w:ascii="Times New Roman" w:eastAsia="Times New Roman" w:hAnsi="Times New Roman" w:cs="Times New Roman"/>
          <w:i/>
          <w:iCs/>
          <w:sz w:val="24"/>
          <w:szCs w:val="24"/>
        </w:rPr>
        <w:t>Plant Science Today, 12</w:t>
      </w:r>
      <w:r w:rsidRPr="00214DDD">
        <w:rPr>
          <w:rFonts w:ascii="Times New Roman" w:eastAsia="Times New Roman" w:hAnsi="Times New Roman" w:cs="Times New Roman"/>
          <w:sz w:val="24"/>
          <w:szCs w:val="24"/>
        </w:rPr>
        <w:t xml:space="preserve">(sp1), 1–13. </w:t>
      </w:r>
      <w:hyperlink r:id="rId35" w:tgtFrame="_new" w:history="1">
        <w:r w:rsidRPr="00214DDD">
          <w:rPr>
            <w:rFonts w:ascii="Times New Roman" w:eastAsia="Times New Roman" w:hAnsi="Times New Roman" w:cs="Times New Roman"/>
            <w:color w:val="0000FF"/>
            <w:sz w:val="24"/>
            <w:szCs w:val="24"/>
            <w:u w:val="single"/>
          </w:rPr>
          <w:t>https://doi.org/10.14719/pst.8997</w:t>
        </w:r>
      </w:hyperlink>
    </w:p>
    <w:p w14:paraId="2986CCAC"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Mauricio da Rocha, J. R., De Almeida, J. R., Lins, G. A., &amp; Durval, A. (2010). Insects as indicators of environmental changing and pollution: A review of appropriate species and their monitoring. </w:t>
      </w:r>
      <w:r w:rsidRPr="00214DDD">
        <w:rPr>
          <w:rFonts w:ascii="Times New Roman" w:eastAsia="Times New Roman" w:hAnsi="Times New Roman" w:cs="Times New Roman"/>
          <w:i/>
          <w:iCs/>
          <w:sz w:val="24"/>
          <w:szCs w:val="24"/>
        </w:rPr>
        <w:t>Holos Environment, 10</w:t>
      </w:r>
      <w:r w:rsidRPr="00214DDD">
        <w:rPr>
          <w:rFonts w:ascii="Times New Roman" w:eastAsia="Times New Roman" w:hAnsi="Times New Roman" w:cs="Times New Roman"/>
          <w:sz w:val="24"/>
          <w:szCs w:val="24"/>
        </w:rPr>
        <w:t xml:space="preserve">(2), 250–262. </w:t>
      </w:r>
      <w:hyperlink r:id="rId36" w:tgtFrame="_new" w:history="1">
        <w:r w:rsidRPr="00214DDD">
          <w:rPr>
            <w:rFonts w:ascii="Times New Roman" w:eastAsia="Times New Roman" w:hAnsi="Times New Roman" w:cs="Times New Roman"/>
            <w:color w:val="0000FF"/>
            <w:sz w:val="24"/>
            <w:szCs w:val="24"/>
            <w:u w:val="single"/>
          </w:rPr>
          <w:t>https://doi.org/10.14295/holos.v10i2.2996</w:t>
        </w:r>
      </w:hyperlink>
    </w:p>
    <w:p w14:paraId="3366A15A"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Ministry of Law and Justice. (2022). </w:t>
      </w:r>
      <w:r w:rsidRPr="00214DDD">
        <w:rPr>
          <w:rFonts w:ascii="Times New Roman" w:eastAsia="Times New Roman" w:hAnsi="Times New Roman" w:cs="Times New Roman"/>
          <w:i/>
          <w:iCs/>
          <w:sz w:val="24"/>
          <w:szCs w:val="24"/>
        </w:rPr>
        <w:t>The Wild Life (Protection) Amendment Act, 2022</w:t>
      </w:r>
      <w:r w:rsidRPr="00214DDD">
        <w:rPr>
          <w:rFonts w:ascii="Times New Roman" w:eastAsia="Times New Roman" w:hAnsi="Times New Roman" w:cs="Times New Roman"/>
          <w:sz w:val="24"/>
          <w:szCs w:val="24"/>
        </w:rPr>
        <w:t xml:space="preserve"> (Act No. 18 of 2022). Government of India. </w:t>
      </w:r>
      <w:hyperlink r:id="rId37" w:tgtFrame="_new" w:history="1">
        <w:r w:rsidRPr="00214DDD">
          <w:rPr>
            <w:rFonts w:ascii="Times New Roman" w:eastAsia="Times New Roman" w:hAnsi="Times New Roman" w:cs="Times New Roman"/>
            <w:color w:val="0000FF"/>
            <w:sz w:val="24"/>
            <w:szCs w:val="24"/>
            <w:u w:val="single"/>
          </w:rPr>
          <w:t>https://www.indiacode.nic.in/ViewSelectedActDetailsServlet?act_name=Wildlife+%28Protection%29+Amendment+Act+2022&amp;handleid=123456789%2F1362</w:t>
        </w:r>
      </w:hyperlink>
    </w:p>
    <w:p w14:paraId="0348BC63" w14:textId="77777777" w:rsidR="00F6185B"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highlight w:val="yellow"/>
        </w:rPr>
        <w:t xml:space="preserve">Molleman, F., &amp; Aydin, B. C. (2026). Fragments of open- and closed-canopy habitat host significant fruit-feeding butterfly diversity in a large city in Southern India. </w:t>
      </w:r>
      <w:r>
        <w:rPr>
          <w:rFonts w:ascii="Times New Roman" w:eastAsia="Times New Roman" w:hAnsi="Times New Roman" w:cs="Times New Roman"/>
          <w:b/>
          <w:i/>
          <w:color w:val="000000"/>
          <w:sz w:val="24"/>
          <w:highlight w:val="yellow"/>
        </w:rPr>
        <w:t>Urban Ecosystems, 29</w:t>
      </w:r>
      <w:r>
        <w:rPr>
          <w:rFonts w:ascii="Times New Roman" w:eastAsia="Times New Roman" w:hAnsi="Times New Roman" w:cs="Times New Roman"/>
          <w:b/>
          <w:color w:val="000000"/>
          <w:sz w:val="24"/>
          <w:highlight w:val="yellow"/>
        </w:rPr>
        <w:t xml:space="preserve">, 13. </w:t>
      </w:r>
      <w:hyperlink r:id="rId38">
        <w:r w:rsidR="00F6185B">
          <w:rPr>
            <w:rFonts w:ascii="Times New Roman" w:eastAsia="Times New Roman" w:hAnsi="Times New Roman" w:cs="Times New Roman"/>
            <w:b/>
            <w:bCs/>
            <w:color w:val="000000"/>
            <w:sz w:val="24"/>
            <w:szCs w:val="24"/>
            <w:highlight w:val="yellow"/>
          </w:rPr>
          <w:t>https://doi.org/10.1007/s11252-025-01879-0</w:t>
        </w:r>
      </w:hyperlink>
    </w:p>
    <w:p w14:paraId="186FC868" w14:textId="77777777" w:rsidR="00F6185B"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highlight w:val="yellow"/>
        </w:rPr>
        <w:t xml:space="preserve">Moran, N., Gogoi, R., &amp; Sharma, N. (2026). Impact of urbanisation on the diversity and abundance of butterflies along an urban gradient in Guwahati, Assam, India. </w:t>
      </w:r>
      <w:r>
        <w:rPr>
          <w:rFonts w:ascii="Times New Roman" w:eastAsia="Times New Roman" w:hAnsi="Times New Roman" w:cs="Times New Roman"/>
          <w:b/>
          <w:i/>
          <w:color w:val="000000"/>
          <w:sz w:val="24"/>
          <w:highlight w:val="yellow"/>
        </w:rPr>
        <w:t>Urban Ecosystems, 29</w:t>
      </w:r>
      <w:r>
        <w:rPr>
          <w:rFonts w:ascii="Times New Roman" w:eastAsia="Times New Roman" w:hAnsi="Times New Roman" w:cs="Times New Roman"/>
          <w:b/>
          <w:color w:val="000000"/>
          <w:sz w:val="24"/>
          <w:highlight w:val="yellow"/>
        </w:rPr>
        <w:t xml:space="preserve">, 158. </w:t>
      </w:r>
      <w:hyperlink r:id="rId39">
        <w:r w:rsidR="00F6185B">
          <w:rPr>
            <w:rFonts w:ascii="Times New Roman" w:eastAsia="Times New Roman" w:hAnsi="Times New Roman" w:cs="Times New Roman"/>
            <w:b/>
            <w:bCs/>
            <w:color w:val="000000"/>
            <w:sz w:val="24"/>
            <w:szCs w:val="24"/>
            <w:highlight w:val="yellow"/>
          </w:rPr>
          <w:t>https://doi.org/10.1007/s11252-026-02018-z</w:t>
        </w:r>
      </w:hyperlink>
    </w:p>
    <w:p w14:paraId="1367F83B"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Narango, D. L., Tallamy, D. W., &amp; Shropshire, K. J. (2020). Few keystone plant genera support the majority of Lepidoptera species. </w:t>
      </w:r>
      <w:r w:rsidRPr="00214DDD">
        <w:rPr>
          <w:rFonts w:ascii="Times New Roman" w:eastAsia="Times New Roman" w:hAnsi="Times New Roman" w:cs="Times New Roman"/>
          <w:i/>
          <w:iCs/>
          <w:sz w:val="24"/>
          <w:szCs w:val="24"/>
        </w:rPr>
        <w:t>Nature Communications, 11</w:t>
      </w:r>
      <w:r w:rsidRPr="00214DDD">
        <w:rPr>
          <w:rFonts w:ascii="Times New Roman" w:eastAsia="Times New Roman" w:hAnsi="Times New Roman" w:cs="Times New Roman"/>
          <w:sz w:val="24"/>
          <w:szCs w:val="24"/>
        </w:rPr>
        <w:t xml:space="preserve">(1), 5751. </w:t>
      </w:r>
      <w:hyperlink r:id="rId40" w:tgtFrame="_new" w:history="1">
        <w:r w:rsidRPr="00214DDD">
          <w:rPr>
            <w:rFonts w:ascii="Times New Roman" w:eastAsia="Times New Roman" w:hAnsi="Times New Roman" w:cs="Times New Roman"/>
            <w:color w:val="0000FF"/>
            <w:sz w:val="24"/>
            <w:szCs w:val="24"/>
            <w:u w:val="single"/>
          </w:rPr>
          <w:t>https://doi.org/10.1038/s41467-020-19565-4</w:t>
        </w:r>
      </w:hyperlink>
    </w:p>
    <w:p w14:paraId="16AAADA0" w14:textId="77777777" w:rsidR="00F6185B"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highlight w:val="yellow"/>
        </w:rPr>
        <w:t xml:space="preserve">Nath, R. K., Das, K., Choudhury, M., Sarma, B., Deka, P., &amp; Sarma, R. (2026). Diversity of Lepidoptera in SCS College of Agriculture and It Surrounding Areas, Assam, India. </w:t>
      </w:r>
      <w:r>
        <w:rPr>
          <w:rFonts w:ascii="Times New Roman" w:eastAsia="Times New Roman" w:hAnsi="Times New Roman" w:cs="Times New Roman"/>
          <w:b/>
          <w:i/>
          <w:color w:val="000000"/>
          <w:sz w:val="24"/>
          <w:highlight w:val="yellow"/>
        </w:rPr>
        <w:t>Journal of Advances in Biology &amp; Biotechnology, 29</w:t>
      </w:r>
      <w:r>
        <w:rPr>
          <w:rFonts w:ascii="Times New Roman" w:eastAsia="Times New Roman" w:hAnsi="Times New Roman" w:cs="Times New Roman"/>
          <w:b/>
          <w:color w:val="000000"/>
          <w:sz w:val="24"/>
          <w:highlight w:val="yellow"/>
        </w:rPr>
        <w:t xml:space="preserve">(4), 328–337. </w:t>
      </w:r>
      <w:hyperlink r:id="rId41">
        <w:r w:rsidR="00F6185B">
          <w:rPr>
            <w:rFonts w:ascii="Times New Roman" w:eastAsia="Times New Roman" w:hAnsi="Times New Roman" w:cs="Times New Roman"/>
            <w:b/>
            <w:bCs/>
            <w:color w:val="000000"/>
            <w:sz w:val="24"/>
            <w:szCs w:val="24"/>
            <w:highlight w:val="yellow"/>
          </w:rPr>
          <w:t>https://doi.org/10.9734/jabb/2026/v29i43794</w:t>
        </w:r>
      </w:hyperlink>
    </w:p>
    <w:p w14:paraId="2CD3A3D3"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lastRenderedPageBreak/>
        <w:t xml:space="preserve">Neog, S. (2026). </w:t>
      </w:r>
      <w:r w:rsidRPr="00214DDD">
        <w:rPr>
          <w:rFonts w:ascii="Times New Roman" w:eastAsia="Times New Roman" w:hAnsi="Times New Roman" w:cs="Times New Roman"/>
          <w:i/>
          <w:iCs/>
          <w:sz w:val="24"/>
          <w:szCs w:val="24"/>
        </w:rPr>
        <w:t>Butterflies of Gibbon Wildlife Sanctuary</w:t>
      </w:r>
      <w:r w:rsidRPr="00214DDD">
        <w:rPr>
          <w:rFonts w:ascii="Times New Roman" w:eastAsia="Times New Roman" w:hAnsi="Times New Roman" w:cs="Times New Roman"/>
          <w:sz w:val="24"/>
          <w:szCs w:val="24"/>
        </w:rPr>
        <w:t xml:space="preserve"> (2nd ed.). Photo Musings </w:t>
      </w:r>
      <w:proofErr w:type="spellStart"/>
      <w:r w:rsidRPr="00214DDD">
        <w:rPr>
          <w:rFonts w:ascii="Times New Roman" w:eastAsia="Times New Roman" w:hAnsi="Times New Roman" w:cs="Times New Roman"/>
          <w:sz w:val="24"/>
          <w:szCs w:val="24"/>
        </w:rPr>
        <w:t>Colour</w:t>
      </w:r>
      <w:proofErr w:type="spellEnd"/>
      <w:r w:rsidRPr="00214DDD">
        <w:rPr>
          <w:rFonts w:ascii="Times New Roman" w:eastAsia="Times New Roman" w:hAnsi="Times New Roman" w:cs="Times New Roman"/>
          <w:sz w:val="24"/>
          <w:szCs w:val="24"/>
        </w:rPr>
        <w:t xml:space="preserve"> Lab. </w:t>
      </w:r>
    </w:p>
    <w:p w14:paraId="4E40A12E"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lang w:val="nl-BE"/>
        </w:rPr>
        <w:t xml:space="preserve">Perveen, F. K., &amp; Khan, A. (2024). </w:t>
      </w:r>
      <w:r w:rsidRPr="00214DDD">
        <w:rPr>
          <w:rFonts w:ascii="Times New Roman" w:eastAsia="Times New Roman" w:hAnsi="Times New Roman" w:cs="Times New Roman"/>
          <w:sz w:val="24"/>
          <w:szCs w:val="24"/>
        </w:rPr>
        <w:t xml:space="preserve">Introductory chapter: Lepidoptera biodiversity and conservation in the twenty-first century. In F. K. Perveen (Ed.), </w:t>
      </w:r>
      <w:r w:rsidRPr="00214DDD">
        <w:rPr>
          <w:rFonts w:ascii="Times New Roman" w:eastAsia="Times New Roman" w:hAnsi="Times New Roman" w:cs="Times New Roman"/>
          <w:i/>
          <w:iCs/>
          <w:sz w:val="24"/>
          <w:szCs w:val="24"/>
        </w:rPr>
        <w:t>Biodiversity and ecology of Lepidoptera: Insights and advances</w:t>
      </w:r>
      <w:r w:rsidRPr="00214DDD">
        <w:rPr>
          <w:rFonts w:ascii="Times New Roman" w:eastAsia="Times New Roman" w:hAnsi="Times New Roman" w:cs="Times New Roman"/>
          <w:sz w:val="24"/>
          <w:szCs w:val="24"/>
        </w:rPr>
        <w:t xml:space="preserve">. </w:t>
      </w:r>
      <w:proofErr w:type="spellStart"/>
      <w:r w:rsidRPr="00214DDD">
        <w:rPr>
          <w:rFonts w:ascii="Times New Roman" w:eastAsia="Times New Roman" w:hAnsi="Times New Roman" w:cs="Times New Roman"/>
          <w:sz w:val="24"/>
          <w:szCs w:val="24"/>
        </w:rPr>
        <w:t>IntechOpen</w:t>
      </w:r>
      <w:proofErr w:type="spellEnd"/>
      <w:r w:rsidRPr="00214DDD">
        <w:rPr>
          <w:rFonts w:ascii="Times New Roman" w:eastAsia="Times New Roman" w:hAnsi="Times New Roman" w:cs="Times New Roman"/>
          <w:sz w:val="24"/>
          <w:szCs w:val="24"/>
        </w:rPr>
        <w:t xml:space="preserve">. </w:t>
      </w:r>
      <w:hyperlink r:id="rId42" w:tgtFrame="_new" w:history="1">
        <w:r w:rsidRPr="00214DDD">
          <w:rPr>
            <w:rFonts w:ascii="Times New Roman" w:eastAsia="Times New Roman" w:hAnsi="Times New Roman" w:cs="Times New Roman"/>
            <w:color w:val="0000FF"/>
            <w:sz w:val="24"/>
            <w:szCs w:val="24"/>
            <w:u w:val="single"/>
          </w:rPr>
          <w:t>https://doi.org/10.5772/intechopen.1002432</w:t>
        </w:r>
      </w:hyperlink>
    </w:p>
    <w:p w14:paraId="20743F26"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Pradhan, A., &amp; </w:t>
      </w:r>
      <w:proofErr w:type="spellStart"/>
      <w:r w:rsidRPr="00214DDD">
        <w:rPr>
          <w:rFonts w:ascii="Times New Roman" w:eastAsia="Times New Roman" w:hAnsi="Times New Roman" w:cs="Times New Roman"/>
          <w:sz w:val="24"/>
          <w:szCs w:val="24"/>
        </w:rPr>
        <w:t>Khaling</w:t>
      </w:r>
      <w:proofErr w:type="spellEnd"/>
      <w:r w:rsidRPr="00214DDD">
        <w:rPr>
          <w:rFonts w:ascii="Times New Roman" w:eastAsia="Times New Roman" w:hAnsi="Times New Roman" w:cs="Times New Roman"/>
          <w:sz w:val="24"/>
          <w:szCs w:val="24"/>
        </w:rPr>
        <w:t xml:space="preserve">, S. (2020). Butterfly diversity in an organic tea estate of Darjeeling Hills, eastern Himalaya, India. </w:t>
      </w:r>
      <w:r w:rsidRPr="00214DDD">
        <w:rPr>
          <w:rFonts w:ascii="Times New Roman" w:eastAsia="Times New Roman" w:hAnsi="Times New Roman" w:cs="Times New Roman"/>
          <w:i/>
          <w:iCs/>
          <w:sz w:val="24"/>
          <w:szCs w:val="24"/>
        </w:rPr>
        <w:t>Journal of Threatened Taxa, 12</w:t>
      </w:r>
      <w:r w:rsidRPr="00214DDD">
        <w:rPr>
          <w:rFonts w:ascii="Times New Roman" w:eastAsia="Times New Roman" w:hAnsi="Times New Roman" w:cs="Times New Roman"/>
          <w:sz w:val="24"/>
          <w:szCs w:val="24"/>
        </w:rPr>
        <w:t>(11), 16521–16530. https://doi.org/10.11609/jott.5716.12.11.16521-16530</w:t>
      </w:r>
    </w:p>
    <w:p w14:paraId="26A75BB0"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Ray, M. K., Dutta, A. V., Sarmah, A. A., &amp; Deka, H. (2025). A preliminary checklist of butterfly fauna from </w:t>
      </w:r>
      <w:proofErr w:type="spellStart"/>
      <w:r w:rsidRPr="00214DDD">
        <w:rPr>
          <w:rFonts w:ascii="Times New Roman" w:eastAsia="Times New Roman" w:hAnsi="Times New Roman" w:cs="Times New Roman"/>
          <w:sz w:val="24"/>
          <w:szCs w:val="24"/>
        </w:rPr>
        <w:t>Bongaigaon</w:t>
      </w:r>
      <w:proofErr w:type="spellEnd"/>
      <w:r w:rsidRPr="00214DDD">
        <w:rPr>
          <w:rFonts w:ascii="Times New Roman" w:eastAsia="Times New Roman" w:hAnsi="Times New Roman" w:cs="Times New Roman"/>
          <w:sz w:val="24"/>
          <w:szCs w:val="24"/>
        </w:rPr>
        <w:t xml:space="preserve"> District of Assam, India. </w:t>
      </w:r>
      <w:r w:rsidRPr="00214DDD">
        <w:rPr>
          <w:rFonts w:ascii="Times New Roman" w:eastAsia="Times New Roman" w:hAnsi="Times New Roman" w:cs="Times New Roman"/>
          <w:i/>
          <w:iCs/>
          <w:sz w:val="24"/>
          <w:szCs w:val="24"/>
        </w:rPr>
        <w:t>Uttar Pradesh Journal of Zoology, 46</w:t>
      </w:r>
      <w:r w:rsidRPr="00214DDD">
        <w:rPr>
          <w:rFonts w:ascii="Times New Roman" w:eastAsia="Times New Roman" w:hAnsi="Times New Roman" w:cs="Times New Roman"/>
          <w:sz w:val="24"/>
          <w:szCs w:val="24"/>
        </w:rPr>
        <w:t xml:space="preserve">(11), 305–312. </w:t>
      </w:r>
      <w:hyperlink r:id="rId43" w:tgtFrame="_new" w:history="1">
        <w:r w:rsidRPr="00214DDD">
          <w:rPr>
            <w:rFonts w:ascii="Times New Roman" w:eastAsia="Times New Roman" w:hAnsi="Times New Roman" w:cs="Times New Roman"/>
            <w:color w:val="0000FF"/>
            <w:sz w:val="24"/>
            <w:szCs w:val="24"/>
            <w:u w:val="single"/>
          </w:rPr>
          <w:t>https://doi.org/10.56557/upjoz/2025/v46i115031</w:t>
        </w:r>
      </w:hyperlink>
    </w:p>
    <w:p w14:paraId="7D754254" w14:textId="77777777" w:rsidR="00F6185B" w:rsidRDefault="00000000">
      <w:pPr>
        <w:spacing w:before="100" w:beforeAutospacing="1" w:after="100" w:afterAutospacing="1" w:line="240" w:lineRule="auto"/>
        <w:ind w:left="540" w:hanging="540"/>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4"/>
          <w:highlight w:val="yellow"/>
        </w:rPr>
        <w:t xml:space="preserve">Saha, A., Das, P., &amp; Saha, D. (2024). A preliminary assessment of butterfly diversity from Mekhliganj town, Cooch Behar District, West Bengal, India. </w:t>
      </w:r>
      <w:r>
        <w:rPr>
          <w:rFonts w:ascii="Times New Roman" w:eastAsia="Times New Roman" w:hAnsi="Times New Roman" w:cs="Times New Roman"/>
          <w:b/>
          <w:i/>
          <w:color w:val="000000"/>
          <w:sz w:val="24"/>
          <w:highlight w:val="yellow"/>
        </w:rPr>
        <w:t>Journal of Threatened Taxa, 16</w:t>
      </w:r>
      <w:r>
        <w:rPr>
          <w:rFonts w:ascii="Times New Roman" w:eastAsia="Times New Roman" w:hAnsi="Times New Roman" w:cs="Times New Roman"/>
          <w:b/>
          <w:color w:val="000000"/>
          <w:sz w:val="24"/>
          <w:highlight w:val="yellow"/>
        </w:rPr>
        <w:t xml:space="preserve">(2), 24786–24794. </w:t>
      </w:r>
      <w:hyperlink r:id="rId44">
        <w:r w:rsidR="00F6185B">
          <w:rPr>
            <w:rFonts w:ascii="Times New Roman" w:eastAsia="Times New Roman" w:hAnsi="Times New Roman" w:cs="Times New Roman"/>
            <w:b/>
            <w:bCs/>
            <w:color w:val="000000"/>
            <w:sz w:val="24"/>
            <w:szCs w:val="24"/>
            <w:highlight w:val="yellow"/>
          </w:rPr>
          <w:t>https://doi.org/10.11609/jott.8137.16.2.24786-24794</w:t>
        </w:r>
      </w:hyperlink>
    </w:p>
    <w:p w14:paraId="167E9717"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Sidhu, A. K. (2023). Lepidoptera of India: A review. </w:t>
      </w:r>
      <w:r w:rsidRPr="00214DDD">
        <w:rPr>
          <w:rFonts w:ascii="Times New Roman" w:eastAsia="Times New Roman" w:hAnsi="Times New Roman" w:cs="Times New Roman"/>
          <w:i/>
          <w:iCs/>
          <w:sz w:val="24"/>
          <w:szCs w:val="24"/>
        </w:rPr>
        <w:t>Journal of Entomology and Zoology Studies, 11</w:t>
      </w:r>
      <w:r w:rsidRPr="00214DDD">
        <w:rPr>
          <w:rFonts w:ascii="Times New Roman" w:eastAsia="Times New Roman" w:hAnsi="Times New Roman" w:cs="Times New Roman"/>
          <w:sz w:val="24"/>
          <w:szCs w:val="24"/>
        </w:rPr>
        <w:t xml:space="preserve">(2), 105–114. </w:t>
      </w:r>
      <w:hyperlink r:id="rId45" w:tgtFrame="_new" w:history="1">
        <w:r w:rsidRPr="00214DDD">
          <w:rPr>
            <w:rFonts w:ascii="Times New Roman" w:eastAsia="Times New Roman" w:hAnsi="Times New Roman" w:cs="Times New Roman"/>
            <w:color w:val="0000FF"/>
            <w:sz w:val="24"/>
            <w:szCs w:val="24"/>
            <w:u w:val="single"/>
          </w:rPr>
          <w:t>https://doi.org/10.22271/j.ento.2023.v11.i2b.9162</w:t>
        </w:r>
      </w:hyperlink>
    </w:p>
    <w:p w14:paraId="11770987"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Singh, A. P. (2017). Butterflies of eastern Assam, India. </w:t>
      </w:r>
      <w:r w:rsidRPr="00214DDD">
        <w:rPr>
          <w:rFonts w:ascii="Times New Roman" w:eastAsia="Times New Roman" w:hAnsi="Times New Roman" w:cs="Times New Roman"/>
          <w:i/>
          <w:iCs/>
          <w:sz w:val="24"/>
          <w:szCs w:val="24"/>
        </w:rPr>
        <w:t>Journal of Threatened Taxa, 9</w:t>
      </w:r>
      <w:r w:rsidRPr="00214DDD">
        <w:rPr>
          <w:rFonts w:ascii="Times New Roman" w:eastAsia="Times New Roman" w:hAnsi="Times New Roman" w:cs="Times New Roman"/>
          <w:sz w:val="24"/>
          <w:szCs w:val="24"/>
        </w:rPr>
        <w:t>(7), 10396–10420. https://doi.org/10.11609/jott.3177.9.7.10396-10420</w:t>
      </w:r>
    </w:p>
    <w:p w14:paraId="1EB52E0D"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lang w:val="nl-BE"/>
        </w:rPr>
      </w:pPr>
      <w:r w:rsidRPr="00214DDD">
        <w:rPr>
          <w:rFonts w:ascii="Times New Roman" w:eastAsia="Times New Roman" w:hAnsi="Times New Roman" w:cs="Times New Roman"/>
          <w:sz w:val="24"/>
          <w:szCs w:val="24"/>
        </w:rPr>
        <w:t xml:space="preserve">Singh, N., Sidhu, A. K., Pathania, P. C., </w:t>
      </w:r>
      <w:proofErr w:type="spellStart"/>
      <w:r w:rsidRPr="00214DDD">
        <w:rPr>
          <w:rFonts w:ascii="Times New Roman" w:eastAsia="Times New Roman" w:hAnsi="Times New Roman" w:cs="Times New Roman"/>
          <w:sz w:val="24"/>
          <w:szCs w:val="24"/>
        </w:rPr>
        <w:t>Kalawate</w:t>
      </w:r>
      <w:proofErr w:type="spellEnd"/>
      <w:r w:rsidRPr="00214DDD">
        <w:rPr>
          <w:rFonts w:ascii="Times New Roman" w:eastAsia="Times New Roman" w:hAnsi="Times New Roman" w:cs="Times New Roman"/>
          <w:sz w:val="24"/>
          <w:szCs w:val="24"/>
        </w:rPr>
        <w:t xml:space="preserve">, A., </w:t>
      </w:r>
      <w:proofErr w:type="spellStart"/>
      <w:r w:rsidRPr="00214DDD">
        <w:rPr>
          <w:rFonts w:ascii="Times New Roman" w:eastAsia="Times New Roman" w:hAnsi="Times New Roman" w:cs="Times New Roman"/>
          <w:sz w:val="24"/>
          <w:szCs w:val="24"/>
        </w:rPr>
        <w:t>Palot</w:t>
      </w:r>
      <w:proofErr w:type="spellEnd"/>
      <w:r w:rsidRPr="00214DDD">
        <w:rPr>
          <w:rFonts w:ascii="Times New Roman" w:eastAsia="Times New Roman" w:hAnsi="Times New Roman" w:cs="Times New Roman"/>
          <w:sz w:val="24"/>
          <w:szCs w:val="24"/>
        </w:rPr>
        <w:t xml:space="preserve">, J., Talukdar, A., Lenka, R., &amp; Joshi, R. (2025). </w:t>
      </w:r>
      <w:r w:rsidRPr="00214DDD">
        <w:rPr>
          <w:rFonts w:ascii="Times New Roman" w:eastAsia="Times New Roman" w:hAnsi="Times New Roman" w:cs="Times New Roman"/>
          <w:i/>
          <w:iCs/>
          <w:sz w:val="24"/>
          <w:szCs w:val="24"/>
        </w:rPr>
        <w:t xml:space="preserve">Checklist of fauna of India: Arthropoda: </w:t>
      </w:r>
      <w:proofErr w:type="spellStart"/>
      <w:r w:rsidRPr="00214DDD">
        <w:rPr>
          <w:rFonts w:ascii="Times New Roman" w:eastAsia="Times New Roman" w:hAnsi="Times New Roman" w:cs="Times New Roman"/>
          <w:i/>
          <w:iCs/>
          <w:sz w:val="24"/>
          <w:szCs w:val="24"/>
        </w:rPr>
        <w:t>Insecta</w:t>
      </w:r>
      <w:proofErr w:type="spellEnd"/>
      <w:r w:rsidRPr="00214DDD">
        <w:rPr>
          <w:rFonts w:ascii="Times New Roman" w:eastAsia="Times New Roman" w:hAnsi="Times New Roman" w:cs="Times New Roman"/>
          <w:i/>
          <w:iCs/>
          <w:sz w:val="24"/>
          <w:szCs w:val="24"/>
        </w:rPr>
        <w:t>: Lepidoptera</w:t>
      </w:r>
      <w:r w:rsidRPr="00214DDD">
        <w:rPr>
          <w:rFonts w:ascii="Times New Roman" w:eastAsia="Times New Roman" w:hAnsi="Times New Roman" w:cs="Times New Roman"/>
          <w:sz w:val="24"/>
          <w:szCs w:val="24"/>
        </w:rPr>
        <w:t xml:space="preserve"> (Version 2.0). Zoological Survey of India. </w:t>
      </w:r>
      <w:hyperlink r:id="rId46" w:tgtFrame="_new" w:history="1">
        <w:r w:rsidRPr="00214DDD">
          <w:rPr>
            <w:rFonts w:ascii="Times New Roman" w:eastAsia="Times New Roman" w:hAnsi="Times New Roman" w:cs="Times New Roman"/>
            <w:color w:val="0000FF"/>
            <w:sz w:val="24"/>
            <w:szCs w:val="24"/>
            <w:u w:val="single"/>
            <w:lang w:val="nl-BE"/>
          </w:rPr>
          <w:t>https://doi.org/10.26515/Fauna/2/2025/Arthropoda:Insecta:Lepidoptera</w:t>
        </w:r>
      </w:hyperlink>
    </w:p>
    <w:p w14:paraId="27B4706E"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lang w:val="nl-BE"/>
        </w:rPr>
        <w:t xml:space="preserve">Soibam, B. S., Huidrom, H., &amp; Irungbam, J. S. (2016). </w:t>
      </w:r>
      <w:r w:rsidRPr="00214DDD">
        <w:rPr>
          <w:rFonts w:ascii="Times New Roman" w:eastAsia="Times New Roman" w:hAnsi="Times New Roman" w:cs="Times New Roman"/>
          <w:sz w:val="24"/>
          <w:szCs w:val="24"/>
        </w:rPr>
        <w:t xml:space="preserve">A century later: Tricolored Pied Flat </w:t>
      </w:r>
      <w:proofErr w:type="spellStart"/>
      <w:r w:rsidRPr="00214DDD">
        <w:rPr>
          <w:rFonts w:ascii="Times New Roman" w:eastAsia="Times New Roman" w:hAnsi="Times New Roman" w:cs="Times New Roman"/>
          <w:i/>
          <w:iCs/>
          <w:sz w:val="24"/>
          <w:szCs w:val="24"/>
        </w:rPr>
        <w:t>Coladenia</w:t>
      </w:r>
      <w:proofErr w:type="spellEnd"/>
      <w:r w:rsidRPr="00214DDD">
        <w:rPr>
          <w:rFonts w:ascii="Times New Roman" w:eastAsia="Times New Roman" w:hAnsi="Times New Roman" w:cs="Times New Roman"/>
          <w:i/>
          <w:iCs/>
          <w:sz w:val="24"/>
          <w:szCs w:val="24"/>
        </w:rPr>
        <w:t xml:space="preserve"> </w:t>
      </w:r>
      <w:proofErr w:type="spellStart"/>
      <w:r w:rsidRPr="00214DDD">
        <w:rPr>
          <w:rFonts w:ascii="Times New Roman" w:eastAsia="Times New Roman" w:hAnsi="Times New Roman" w:cs="Times New Roman"/>
          <w:i/>
          <w:iCs/>
          <w:sz w:val="24"/>
          <w:szCs w:val="24"/>
        </w:rPr>
        <w:t>indrani</w:t>
      </w:r>
      <w:proofErr w:type="spellEnd"/>
      <w:r w:rsidRPr="00214DDD">
        <w:rPr>
          <w:rFonts w:ascii="Times New Roman" w:eastAsia="Times New Roman" w:hAnsi="Times New Roman" w:cs="Times New Roman"/>
          <w:i/>
          <w:iCs/>
          <w:sz w:val="24"/>
          <w:szCs w:val="24"/>
        </w:rPr>
        <w:t xml:space="preserve"> </w:t>
      </w:r>
      <w:proofErr w:type="spellStart"/>
      <w:r w:rsidRPr="00214DDD">
        <w:rPr>
          <w:rFonts w:ascii="Times New Roman" w:eastAsia="Times New Roman" w:hAnsi="Times New Roman" w:cs="Times New Roman"/>
          <w:i/>
          <w:iCs/>
          <w:sz w:val="24"/>
          <w:szCs w:val="24"/>
        </w:rPr>
        <w:t>uposathra</w:t>
      </w:r>
      <w:proofErr w:type="spellEnd"/>
      <w:r w:rsidRPr="00214DDD">
        <w:rPr>
          <w:rFonts w:ascii="Times New Roman" w:eastAsia="Times New Roman" w:hAnsi="Times New Roman" w:cs="Times New Roman"/>
          <w:sz w:val="24"/>
          <w:szCs w:val="24"/>
        </w:rPr>
        <w:t xml:space="preserve"> </w:t>
      </w:r>
      <w:proofErr w:type="spellStart"/>
      <w:r w:rsidRPr="00214DDD">
        <w:rPr>
          <w:rFonts w:ascii="Times New Roman" w:eastAsia="Times New Roman" w:hAnsi="Times New Roman" w:cs="Times New Roman"/>
          <w:sz w:val="24"/>
          <w:szCs w:val="24"/>
        </w:rPr>
        <w:t>Fruhstorfer</w:t>
      </w:r>
      <w:proofErr w:type="spellEnd"/>
      <w:r w:rsidRPr="00214DDD">
        <w:rPr>
          <w:rFonts w:ascii="Times New Roman" w:eastAsia="Times New Roman" w:hAnsi="Times New Roman" w:cs="Times New Roman"/>
          <w:sz w:val="24"/>
          <w:szCs w:val="24"/>
        </w:rPr>
        <w:t>, 1911 (</w:t>
      </w:r>
      <w:proofErr w:type="spellStart"/>
      <w:r w:rsidRPr="00214DDD">
        <w:rPr>
          <w:rFonts w:ascii="Times New Roman" w:eastAsia="Times New Roman" w:hAnsi="Times New Roman" w:cs="Times New Roman"/>
          <w:sz w:val="24"/>
          <w:szCs w:val="24"/>
        </w:rPr>
        <w:t>Hesperiidae</w:t>
      </w:r>
      <w:proofErr w:type="spellEnd"/>
      <w:r w:rsidRPr="00214DDD">
        <w:rPr>
          <w:rFonts w:ascii="Times New Roman" w:eastAsia="Times New Roman" w:hAnsi="Times New Roman" w:cs="Times New Roman"/>
          <w:sz w:val="24"/>
          <w:szCs w:val="24"/>
        </w:rPr>
        <w:t xml:space="preserve">: </w:t>
      </w:r>
      <w:proofErr w:type="spellStart"/>
      <w:r w:rsidRPr="00214DDD">
        <w:rPr>
          <w:rFonts w:ascii="Times New Roman" w:eastAsia="Times New Roman" w:hAnsi="Times New Roman" w:cs="Times New Roman"/>
          <w:sz w:val="24"/>
          <w:szCs w:val="24"/>
        </w:rPr>
        <w:t>Pyrginae</w:t>
      </w:r>
      <w:proofErr w:type="spellEnd"/>
      <w:r w:rsidRPr="00214DDD">
        <w:rPr>
          <w:rFonts w:ascii="Times New Roman" w:eastAsia="Times New Roman" w:hAnsi="Times New Roman" w:cs="Times New Roman"/>
          <w:sz w:val="24"/>
          <w:szCs w:val="24"/>
        </w:rPr>
        <w:t xml:space="preserve">) and Crenulate </w:t>
      </w:r>
      <w:proofErr w:type="spellStart"/>
      <w:r w:rsidRPr="00214DDD">
        <w:rPr>
          <w:rFonts w:ascii="Times New Roman" w:eastAsia="Times New Roman" w:hAnsi="Times New Roman" w:cs="Times New Roman"/>
          <w:sz w:val="24"/>
          <w:szCs w:val="24"/>
        </w:rPr>
        <w:t>Oakblue</w:t>
      </w:r>
      <w:proofErr w:type="spellEnd"/>
      <w:r w:rsidRPr="00214DDD">
        <w:rPr>
          <w:rFonts w:ascii="Times New Roman" w:eastAsia="Times New Roman" w:hAnsi="Times New Roman" w:cs="Times New Roman"/>
          <w:sz w:val="24"/>
          <w:szCs w:val="24"/>
        </w:rPr>
        <w:t xml:space="preserve"> </w:t>
      </w:r>
      <w:proofErr w:type="spellStart"/>
      <w:r w:rsidRPr="00214DDD">
        <w:rPr>
          <w:rFonts w:ascii="Times New Roman" w:eastAsia="Times New Roman" w:hAnsi="Times New Roman" w:cs="Times New Roman"/>
          <w:i/>
          <w:iCs/>
          <w:sz w:val="24"/>
          <w:szCs w:val="24"/>
        </w:rPr>
        <w:t>Apporasa</w:t>
      </w:r>
      <w:proofErr w:type="spellEnd"/>
      <w:r w:rsidRPr="00214DDD">
        <w:rPr>
          <w:rFonts w:ascii="Times New Roman" w:eastAsia="Times New Roman" w:hAnsi="Times New Roman" w:cs="Times New Roman"/>
          <w:i/>
          <w:iCs/>
          <w:sz w:val="24"/>
          <w:szCs w:val="24"/>
        </w:rPr>
        <w:t xml:space="preserve"> </w:t>
      </w:r>
      <w:proofErr w:type="spellStart"/>
      <w:r w:rsidRPr="00214DDD">
        <w:rPr>
          <w:rFonts w:ascii="Times New Roman" w:eastAsia="Times New Roman" w:hAnsi="Times New Roman" w:cs="Times New Roman"/>
          <w:i/>
          <w:iCs/>
          <w:sz w:val="24"/>
          <w:szCs w:val="24"/>
        </w:rPr>
        <w:t>atkinsoni</w:t>
      </w:r>
      <w:proofErr w:type="spellEnd"/>
      <w:r w:rsidRPr="00214DDD">
        <w:rPr>
          <w:rFonts w:ascii="Times New Roman" w:eastAsia="Times New Roman" w:hAnsi="Times New Roman" w:cs="Times New Roman"/>
          <w:sz w:val="24"/>
          <w:szCs w:val="24"/>
        </w:rPr>
        <w:t xml:space="preserve"> Hewitson, 1869 (</w:t>
      </w:r>
      <w:proofErr w:type="spellStart"/>
      <w:r w:rsidRPr="00214DDD">
        <w:rPr>
          <w:rFonts w:ascii="Times New Roman" w:eastAsia="Times New Roman" w:hAnsi="Times New Roman" w:cs="Times New Roman"/>
          <w:sz w:val="24"/>
          <w:szCs w:val="24"/>
        </w:rPr>
        <w:t>Lycaenidae</w:t>
      </w:r>
      <w:proofErr w:type="spellEnd"/>
      <w:r w:rsidRPr="00214DDD">
        <w:rPr>
          <w:rFonts w:ascii="Times New Roman" w:eastAsia="Times New Roman" w:hAnsi="Times New Roman" w:cs="Times New Roman"/>
          <w:sz w:val="24"/>
          <w:szCs w:val="24"/>
        </w:rPr>
        <w:t xml:space="preserve">: </w:t>
      </w:r>
      <w:proofErr w:type="spellStart"/>
      <w:r w:rsidRPr="00214DDD">
        <w:rPr>
          <w:rFonts w:ascii="Times New Roman" w:eastAsia="Times New Roman" w:hAnsi="Times New Roman" w:cs="Times New Roman"/>
          <w:sz w:val="24"/>
          <w:szCs w:val="24"/>
        </w:rPr>
        <w:t>Theclinae</w:t>
      </w:r>
      <w:proofErr w:type="spellEnd"/>
      <w:r w:rsidRPr="00214DDD">
        <w:rPr>
          <w:rFonts w:ascii="Times New Roman" w:eastAsia="Times New Roman" w:hAnsi="Times New Roman" w:cs="Times New Roman"/>
          <w:sz w:val="24"/>
          <w:szCs w:val="24"/>
        </w:rPr>
        <w:t xml:space="preserve">) reported from Manipur, India. </w:t>
      </w:r>
      <w:r w:rsidRPr="00214DDD">
        <w:rPr>
          <w:rFonts w:ascii="Times New Roman" w:eastAsia="Times New Roman" w:hAnsi="Times New Roman" w:cs="Times New Roman"/>
          <w:i/>
          <w:iCs/>
          <w:sz w:val="24"/>
          <w:szCs w:val="24"/>
        </w:rPr>
        <w:t>Journal of Threatened Taxa, 8</w:t>
      </w:r>
      <w:r w:rsidRPr="00214DDD">
        <w:rPr>
          <w:rFonts w:ascii="Times New Roman" w:eastAsia="Times New Roman" w:hAnsi="Times New Roman" w:cs="Times New Roman"/>
          <w:sz w:val="24"/>
          <w:szCs w:val="24"/>
        </w:rPr>
        <w:t xml:space="preserve">(7), 9030–9033. </w:t>
      </w:r>
      <w:hyperlink r:id="rId47" w:tgtFrame="_new" w:history="1">
        <w:r w:rsidRPr="00214DDD">
          <w:rPr>
            <w:rFonts w:ascii="Times New Roman" w:eastAsia="Times New Roman" w:hAnsi="Times New Roman" w:cs="Times New Roman"/>
            <w:color w:val="0000FF"/>
            <w:sz w:val="24"/>
            <w:szCs w:val="24"/>
            <w:u w:val="single"/>
          </w:rPr>
          <w:t>https://doi.org/10.11609/jott.2732.8.7.9030-9033</w:t>
        </w:r>
      </w:hyperlink>
    </w:p>
    <w:p w14:paraId="5049FF48"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Thapa, M. K., Saikia, M. K., &amp; Saikia, P. K. (2025). Diversity and distribution of butterflies (Lepidoptera: Rhopalocera) in Rani-</w:t>
      </w:r>
      <w:proofErr w:type="spellStart"/>
      <w:r w:rsidRPr="00214DDD">
        <w:rPr>
          <w:rFonts w:ascii="Times New Roman" w:eastAsia="Times New Roman" w:hAnsi="Times New Roman" w:cs="Times New Roman"/>
          <w:sz w:val="24"/>
          <w:szCs w:val="24"/>
        </w:rPr>
        <w:t>Garbhanga</w:t>
      </w:r>
      <w:proofErr w:type="spellEnd"/>
      <w:r w:rsidRPr="00214DDD">
        <w:rPr>
          <w:rFonts w:ascii="Times New Roman" w:eastAsia="Times New Roman" w:hAnsi="Times New Roman" w:cs="Times New Roman"/>
          <w:sz w:val="24"/>
          <w:szCs w:val="24"/>
        </w:rPr>
        <w:t xml:space="preserve"> Reserve Forest of </w:t>
      </w:r>
      <w:proofErr w:type="spellStart"/>
      <w:r w:rsidRPr="00214DDD">
        <w:rPr>
          <w:rFonts w:ascii="Times New Roman" w:eastAsia="Times New Roman" w:hAnsi="Times New Roman" w:cs="Times New Roman"/>
          <w:sz w:val="24"/>
          <w:szCs w:val="24"/>
        </w:rPr>
        <w:t>Kamrup</w:t>
      </w:r>
      <w:proofErr w:type="spellEnd"/>
      <w:r w:rsidRPr="00214DDD">
        <w:rPr>
          <w:rFonts w:ascii="Times New Roman" w:eastAsia="Times New Roman" w:hAnsi="Times New Roman" w:cs="Times New Roman"/>
          <w:sz w:val="24"/>
          <w:szCs w:val="24"/>
        </w:rPr>
        <w:t xml:space="preserve">, Assam, India. </w:t>
      </w:r>
      <w:r w:rsidRPr="00214DDD">
        <w:rPr>
          <w:rFonts w:ascii="Times New Roman" w:eastAsia="Times New Roman" w:hAnsi="Times New Roman" w:cs="Times New Roman"/>
          <w:i/>
          <w:iCs/>
          <w:sz w:val="24"/>
          <w:szCs w:val="24"/>
        </w:rPr>
        <w:t>Asian Journal of Conservation Biology, 14</w:t>
      </w:r>
      <w:r w:rsidRPr="00214DDD">
        <w:rPr>
          <w:rFonts w:ascii="Times New Roman" w:eastAsia="Times New Roman" w:hAnsi="Times New Roman" w:cs="Times New Roman"/>
          <w:sz w:val="24"/>
          <w:szCs w:val="24"/>
        </w:rPr>
        <w:t>(2), 183–194. https://doi.org/10.53562/ajcb.85117</w:t>
      </w:r>
    </w:p>
    <w:p w14:paraId="41D34665"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Thomas, J. A. (2005). Monitoring change in the abundance and distribution of insects using butterflies and other indicator groups. </w:t>
      </w:r>
      <w:r w:rsidRPr="00214DDD">
        <w:rPr>
          <w:rFonts w:ascii="Times New Roman" w:eastAsia="Times New Roman" w:hAnsi="Times New Roman" w:cs="Times New Roman"/>
          <w:i/>
          <w:iCs/>
          <w:sz w:val="24"/>
          <w:szCs w:val="24"/>
        </w:rPr>
        <w:t>Philosophical Transactions of the Royal Society B: Biological Sciences, 360</w:t>
      </w:r>
      <w:r w:rsidRPr="00214DDD">
        <w:rPr>
          <w:rFonts w:ascii="Times New Roman" w:eastAsia="Times New Roman" w:hAnsi="Times New Roman" w:cs="Times New Roman"/>
          <w:sz w:val="24"/>
          <w:szCs w:val="24"/>
        </w:rPr>
        <w:t xml:space="preserve">(1454), 339–357. </w:t>
      </w:r>
      <w:hyperlink r:id="rId48" w:tgtFrame="_new" w:history="1">
        <w:r w:rsidRPr="00214DDD">
          <w:rPr>
            <w:rFonts w:ascii="Times New Roman" w:eastAsia="Times New Roman" w:hAnsi="Times New Roman" w:cs="Times New Roman"/>
            <w:color w:val="0000FF"/>
            <w:sz w:val="24"/>
            <w:szCs w:val="24"/>
            <w:u w:val="single"/>
          </w:rPr>
          <w:t>https://doi.org/10.1098/rstb.2004.1585</w:t>
        </w:r>
      </w:hyperlink>
    </w:p>
    <w:p w14:paraId="61407757"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lang w:val="nl-BE"/>
        </w:rPr>
        <w:lastRenderedPageBreak/>
        <w:t xml:space="preserve">Tscharntke, T., Klein, A. M., Kruess, A., Steffan-Dewenter, I., &amp; Thies, C. (2005). </w:t>
      </w:r>
      <w:r w:rsidRPr="00214DDD">
        <w:rPr>
          <w:rFonts w:ascii="Times New Roman" w:eastAsia="Times New Roman" w:hAnsi="Times New Roman" w:cs="Times New Roman"/>
          <w:sz w:val="24"/>
          <w:szCs w:val="24"/>
        </w:rPr>
        <w:t xml:space="preserve">Landscape perspectives on agricultural intensification and biodiversity–ecosystem service management. </w:t>
      </w:r>
      <w:r w:rsidRPr="00214DDD">
        <w:rPr>
          <w:rFonts w:ascii="Times New Roman" w:eastAsia="Times New Roman" w:hAnsi="Times New Roman" w:cs="Times New Roman"/>
          <w:i/>
          <w:iCs/>
          <w:sz w:val="24"/>
          <w:szCs w:val="24"/>
        </w:rPr>
        <w:t>Ecology Letters, 8</w:t>
      </w:r>
      <w:r w:rsidRPr="00214DDD">
        <w:rPr>
          <w:rFonts w:ascii="Times New Roman" w:eastAsia="Times New Roman" w:hAnsi="Times New Roman" w:cs="Times New Roman"/>
          <w:sz w:val="24"/>
          <w:szCs w:val="24"/>
        </w:rPr>
        <w:t xml:space="preserve">(8), 857–874. </w:t>
      </w:r>
      <w:hyperlink r:id="rId49" w:tgtFrame="_new" w:history="1">
        <w:r w:rsidRPr="00214DDD">
          <w:rPr>
            <w:rFonts w:ascii="Times New Roman" w:eastAsia="Times New Roman" w:hAnsi="Times New Roman" w:cs="Times New Roman"/>
            <w:color w:val="0000FF"/>
            <w:sz w:val="24"/>
            <w:szCs w:val="24"/>
            <w:u w:val="single"/>
          </w:rPr>
          <w:t>https://doi.org/10.1111/j.1461-0248.2005.00782.x</w:t>
        </w:r>
      </w:hyperlink>
    </w:p>
    <w:p w14:paraId="012F3EF8" w14:textId="77777777" w:rsidR="00214DDD" w:rsidRPr="00214DDD" w:rsidRDefault="00214DDD" w:rsidP="00214DDD">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214DDD">
        <w:rPr>
          <w:rFonts w:ascii="Times New Roman" w:eastAsia="Times New Roman" w:hAnsi="Times New Roman" w:cs="Times New Roman"/>
          <w:sz w:val="24"/>
          <w:szCs w:val="24"/>
        </w:rPr>
        <w:t xml:space="preserve">Wagner, D. L. (2020). Insect declines in the Anthropocene. </w:t>
      </w:r>
      <w:r w:rsidRPr="00214DDD">
        <w:rPr>
          <w:rFonts w:ascii="Times New Roman" w:eastAsia="Times New Roman" w:hAnsi="Times New Roman" w:cs="Times New Roman"/>
          <w:i/>
          <w:iCs/>
          <w:sz w:val="24"/>
          <w:szCs w:val="24"/>
        </w:rPr>
        <w:t>Annual Review of Entomology, 65</w:t>
      </w:r>
      <w:r w:rsidRPr="00214DDD">
        <w:rPr>
          <w:rFonts w:ascii="Times New Roman" w:eastAsia="Times New Roman" w:hAnsi="Times New Roman" w:cs="Times New Roman"/>
          <w:sz w:val="24"/>
          <w:szCs w:val="24"/>
        </w:rPr>
        <w:t xml:space="preserve">, 457–480. </w:t>
      </w:r>
      <w:hyperlink r:id="rId50" w:tgtFrame="_new" w:history="1">
        <w:r w:rsidRPr="00214DDD">
          <w:rPr>
            <w:rFonts w:ascii="Times New Roman" w:eastAsia="Times New Roman" w:hAnsi="Times New Roman" w:cs="Times New Roman"/>
            <w:color w:val="0000FF"/>
            <w:sz w:val="24"/>
            <w:szCs w:val="24"/>
            <w:u w:val="single"/>
          </w:rPr>
          <w:t>https://doi.org/10.1146/annurev-ento-011019-025151</w:t>
        </w:r>
      </w:hyperlink>
    </w:p>
    <w:p w14:paraId="0C8F54F6" w14:textId="77777777" w:rsidR="006A3914" w:rsidRPr="00824917" w:rsidRDefault="00AD27B8" w:rsidP="0057340C">
      <w:pPr>
        <w:jc w:val="both"/>
        <w:rPr>
          <w:rFonts w:ascii="Arial" w:hAnsi="Arial" w:cs="Arial"/>
          <w:sz w:val="24"/>
          <w:szCs w:val="24"/>
        </w:rPr>
      </w:pPr>
      <w:r w:rsidRPr="00824917">
        <w:rPr>
          <w:rFonts w:ascii="Arial" w:hAnsi="Arial" w:cs="Arial"/>
          <w:sz w:val="24"/>
          <w:szCs w:val="24"/>
        </w:rPr>
        <w:t xml:space="preserve"> </w:t>
      </w:r>
    </w:p>
    <w:p w14:paraId="71BB22EE" w14:textId="77777777" w:rsidR="006A3914" w:rsidRPr="00824917" w:rsidRDefault="006A3914" w:rsidP="0057340C">
      <w:pPr>
        <w:jc w:val="both"/>
        <w:rPr>
          <w:rFonts w:ascii="Arial" w:hAnsi="Arial" w:cs="Arial"/>
          <w:sz w:val="24"/>
          <w:szCs w:val="24"/>
        </w:rPr>
      </w:pPr>
    </w:p>
    <w:p w14:paraId="3337E754" w14:textId="77777777" w:rsidR="006A3914" w:rsidRPr="00824917" w:rsidRDefault="006A3914" w:rsidP="0057340C">
      <w:pPr>
        <w:jc w:val="both"/>
        <w:rPr>
          <w:rFonts w:ascii="Arial" w:hAnsi="Arial" w:cs="Arial"/>
          <w:sz w:val="24"/>
          <w:szCs w:val="24"/>
        </w:rPr>
      </w:pPr>
    </w:p>
    <w:p w14:paraId="02B2621A" w14:textId="77777777" w:rsidR="006A3914" w:rsidRPr="0057340C" w:rsidRDefault="006A3914" w:rsidP="0057340C">
      <w:pPr>
        <w:jc w:val="both"/>
        <w:rPr>
          <w:rFonts w:ascii="Times New Roman" w:hAnsi="Times New Roman" w:cs="Times New Roman"/>
          <w:sz w:val="24"/>
          <w:szCs w:val="24"/>
        </w:rPr>
      </w:pPr>
    </w:p>
    <w:p w14:paraId="106A3818" w14:textId="77777777" w:rsidR="006A3914" w:rsidRPr="0057340C" w:rsidRDefault="006A3914" w:rsidP="0057340C">
      <w:pPr>
        <w:jc w:val="both"/>
        <w:rPr>
          <w:rFonts w:ascii="Times New Roman" w:hAnsi="Times New Roman" w:cs="Times New Roman"/>
          <w:sz w:val="24"/>
          <w:szCs w:val="24"/>
        </w:rPr>
      </w:pPr>
    </w:p>
    <w:p w14:paraId="55F6B07C" w14:textId="77777777" w:rsidR="006A3914" w:rsidRPr="0057340C" w:rsidRDefault="006A3914" w:rsidP="0057340C">
      <w:pPr>
        <w:jc w:val="both"/>
        <w:rPr>
          <w:rFonts w:ascii="Times New Roman" w:hAnsi="Times New Roman" w:cs="Times New Roman"/>
          <w:sz w:val="24"/>
          <w:szCs w:val="24"/>
        </w:rPr>
      </w:pPr>
    </w:p>
    <w:p w14:paraId="73DD65A0" w14:textId="77777777" w:rsidR="006A3914" w:rsidRPr="0057340C" w:rsidRDefault="006A3914" w:rsidP="0057340C">
      <w:pPr>
        <w:jc w:val="both"/>
        <w:rPr>
          <w:rFonts w:ascii="Times New Roman" w:hAnsi="Times New Roman" w:cs="Times New Roman"/>
          <w:sz w:val="24"/>
          <w:szCs w:val="24"/>
        </w:rPr>
      </w:pPr>
    </w:p>
    <w:p w14:paraId="0F90B080" w14:textId="77777777" w:rsidR="006A3914" w:rsidRDefault="006A3914"/>
    <w:p w14:paraId="3CCFDE44" w14:textId="77777777" w:rsidR="00387BAC" w:rsidRDefault="00387BAC" w:rsidP="0030457C">
      <w:pPr>
        <w:pStyle w:val="NormalWeb"/>
        <w:rPr>
          <w:b/>
        </w:rPr>
      </w:pPr>
    </w:p>
    <w:p w14:paraId="0D8EA049" w14:textId="77777777" w:rsidR="00387BAC" w:rsidRDefault="00387BAC" w:rsidP="0030457C">
      <w:pPr>
        <w:pStyle w:val="NormalWeb"/>
        <w:rPr>
          <w:b/>
        </w:rPr>
      </w:pPr>
    </w:p>
    <w:p w14:paraId="33A7D23C" w14:textId="77777777" w:rsidR="00387BAC" w:rsidRDefault="00387BAC" w:rsidP="0030457C">
      <w:pPr>
        <w:pStyle w:val="NormalWeb"/>
        <w:rPr>
          <w:b/>
        </w:rPr>
      </w:pPr>
    </w:p>
    <w:p w14:paraId="483906BD" w14:textId="77777777" w:rsidR="00387BAC" w:rsidRDefault="00387BAC" w:rsidP="0030457C">
      <w:pPr>
        <w:pStyle w:val="NormalWeb"/>
        <w:rPr>
          <w:b/>
        </w:rPr>
      </w:pPr>
    </w:p>
    <w:p w14:paraId="4EC44A50" w14:textId="77777777" w:rsidR="00387BAC" w:rsidRDefault="00387BAC" w:rsidP="0030457C">
      <w:pPr>
        <w:pStyle w:val="NormalWeb"/>
        <w:rPr>
          <w:b/>
        </w:rPr>
      </w:pPr>
    </w:p>
    <w:p w14:paraId="5B63CE1B" w14:textId="77777777" w:rsidR="00387BAC" w:rsidRDefault="00387BAC" w:rsidP="0030457C">
      <w:pPr>
        <w:pStyle w:val="NormalWeb"/>
        <w:rPr>
          <w:b/>
        </w:rPr>
      </w:pPr>
    </w:p>
    <w:p w14:paraId="1EE6C2FE" w14:textId="77777777" w:rsidR="0030457C" w:rsidRPr="00D37026" w:rsidRDefault="00B44776" w:rsidP="0030457C">
      <w:pPr>
        <w:pStyle w:val="NormalWeb"/>
        <w:pageBreakBefore/>
        <w:rPr>
          <w:b/>
        </w:rPr>
      </w:pPr>
      <w:r w:rsidRPr="00D37026">
        <w:rPr>
          <w:b/>
        </w:rPr>
        <w:lastRenderedPageBreak/>
        <w:t>PIC</w:t>
      </w:r>
      <w:r w:rsidR="002D7FF9">
        <w:rPr>
          <w:b/>
        </w:rPr>
        <w:t>TURE</w:t>
      </w:r>
      <w:r w:rsidRPr="00D37026">
        <w:rPr>
          <w:b/>
        </w:rPr>
        <w:t xml:space="preserve"> 1. </w:t>
      </w:r>
      <w:r w:rsidR="0030457C" w:rsidRPr="00D37026">
        <w:rPr>
          <w:b/>
        </w:rPr>
        <w:t>Photographic evidence of recorded species (Family wise)</w:t>
      </w:r>
    </w:p>
    <w:p w14:paraId="15D3544E" w14:textId="77777777" w:rsidR="00642604" w:rsidRPr="00D37026" w:rsidRDefault="00642604" w:rsidP="0030457C">
      <w:pPr>
        <w:pStyle w:val="NormalWeb"/>
        <w:rPr>
          <w:b/>
        </w:rPr>
      </w:pPr>
      <w:r w:rsidRPr="00D37026">
        <w:rPr>
          <w:b/>
        </w:rPr>
        <w:t xml:space="preserve">Family: </w:t>
      </w:r>
      <w:proofErr w:type="spellStart"/>
      <w:r w:rsidRPr="00D37026">
        <w:rPr>
          <w:b/>
        </w:rPr>
        <w:t>Papilionidae</w:t>
      </w:r>
      <w:proofErr w:type="spellEnd"/>
    </w:p>
    <w:p w14:paraId="6755F97E" w14:textId="77777777" w:rsidR="0030457C" w:rsidRPr="00D37026" w:rsidRDefault="0030457C" w:rsidP="0030457C">
      <w:pPr>
        <w:pStyle w:val="NormalWeb"/>
        <w:rPr>
          <w:b/>
        </w:rPr>
      </w:pPr>
      <w:r w:rsidRPr="00D37026">
        <w:rPr>
          <w:b/>
          <w:noProof/>
        </w:rPr>
        <w:drawing>
          <wp:anchor distT="0" distB="0" distL="114300" distR="114300" simplePos="0" relativeHeight="251703296" behindDoc="1" locked="0" layoutInCell="1" allowOverlap="1" wp14:anchorId="2362730E" wp14:editId="12E4942A">
            <wp:simplePos x="0" y="0"/>
            <wp:positionH relativeFrom="column">
              <wp:posOffset>3159125</wp:posOffset>
            </wp:positionH>
            <wp:positionV relativeFrom="paragraph">
              <wp:posOffset>200025</wp:posOffset>
            </wp:positionV>
            <wp:extent cx="2615565" cy="2009140"/>
            <wp:effectExtent l="19050" t="0" r="0" b="0"/>
            <wp:wrapThrough wrapText="bothSides">
              <wp:wrapPolygon edited="0">
                <wp:start x="-157" y="0"/>
                <wp:lineTo x="-157" y="21300"/>
                <wp:lineTo x="21553" y="21300"/>
                <wp:lineTo x="21553" y="0"/>
                <wp:lineTo x="-157" y="0"/>
              </wp:wrapPolygon>
            </wp:wrapThrough>
            <wp:docPr id="20" name="Picture 20" descr="Golden Bird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olden Birdwing"/>
                    <pic:cNvPicPr>
                      <a:picLocks noChangeAspect="1" noChangeArrowheads="1"/>
                    </pic:cNvPicPr>
                  </pic:nvPicPr>
                  <pic:blipFill>
                    <a:blip r:embed="rId51" cstate="print"/>
                    <a:srcRect/>
                    <a:stretch>
                      <a:fillRect/>
                    </a:stretch>
                  </pic:blipFill>
                  <pic:spPr bwMode="auto">
                    <a:xfrm>
                      <a:off x="0" y="0"/>
                      <a:ext cx="2615565" cy="2009140"/>
                    </a:xfrm>
                    <a:prstGeom prst="rect">
                      <a:avLst/>
                    </a:prstGeom>
                    <a:noFill/>
                  </pic:spPr>
                </pic:pic>
              </a:graphicData>
            </a:graphic>
          </wp:anchor>
        </w:drawing>
      </w:r>
      <w:r w:rsidRPr="00D37026">
        <w:rPr>
          <w:b/>
          <w:noProof/>
        </w:rPr>
        <w:drawing>
          <wp:anchor distT="0" distB="0" distL="114300" distR="114300" simplePos="0" relativeHeight="251702272" behindDoc="1" locked="0" layoutInCell="1" allowOverlap="1" wp14:anchorId="6614CBF3" wp14:editId="46E10810">
            <wp:simplePos x="0" y="0"/>
            <wp:positionH relativeFrom="column">
              <wp:posOffset>66675</wp:posOffset>
            </wp:positionH>
            <wp:positionV relativeFrom="paragraph">
              <wp:posOffset>200025</wp:posOffset>
            </wp:positionV>
            <wp:extent cx="2717165" cy="1997075"/>
            <wp:effectExtent l="19050" t="0" r="6985" b="0"/>
            <wp:wrapThrough wrapText="bothSides">
              <wp:wrapPolygon edited="0">
                <wp:start x="-151" y="0"/>
                <wp:lineTo x="-151" y="21428"/>
                <wp:lineTo x="21656" y="21428"/>
                <wp:lineTo x="21656" y="0"/>
                <wp:lineTo x="-151" y="0"/>
              </wp:wrapPolygon>
            </wp:wrapThrough>
            <wp:docPr id="19" name="Picture 19" descr="Common Mor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ommon Mormon"/>
                    <pic:cNvPicPr>
                      <a:picLocks noChangeAspect="1" noChangeArrowheads="1"/>
                    </pic:cNvPicPr>
                  </pic:nvPicPr>
                  <pic:blipFill>
                    <a:blip r:embed="rId52" cstate="print"/>
                    <a:srcRect/>
                    <a:stretch>
                      <a:fillRect/>
                    </a:stretch>
                  </pic:blipFill>
                  <pic:spPr bwMode="auto">
                    <a:xfrm>
                      <a:off x="0" y="0"/>
                      <a:ext cx="2717165" cy="1997075"/>
                    </a:xfrm>
                    <a:prstGeom prst="rect">
                      <a:avLst/>
                    </a:prstGeom>
                    <a:noFill/>
                  </pic:spPr>
                </pic:pic>
              </a:graphicData>
            </a:graphic>
          </wp:anchor>
        </w:drawing>
      </w:r>
    </w:p>
    <w:p w14:paraId="685149B6" w14:textId="77777777" w:rsidR="002711C6" w:rsidRPr="00D37026" w:rsidRDefault="002711C6" w:rsidP="00B07E5B">
      <w:pPr>
        <w:pStyle w:val="NormalWeb"/>
        <w:rPr>
          <w:b/>
        </w:rPr>
      </w:pPr>
    </w:p>
    <w:p w14:paraId="1185BD63" w14:textId="77777777" w:rsidR="002711C6" w:rsidRPr="00D37026" w:rsidRDefault="002711C6" w:rsidP="00B07E5B">
      <w:pPr>
        <w:pStyle w:val="NormalWeb"/>
        <w:rPr>
          <w:b/>
        </w:rPr>
      </w:pPr>
    </w:p>
    <w:p w14:paraId="52BF3284" w14:textId="77777777" w:rsidR="002711C6" w:rsidRPr="00D37026" w:rsidRDefault="002711C6" w:rsidP="00B07E5B">
      <w:pPr>
        <w:pStyle w:val="NormalWeb"/>
        <w:rPr>
          <w:b/>
        </w:rPr>
      </w:pPr>
    </w:p>
    <w:p w14:paraId="0C01CA99" w14:textId="77777777" w:rsidR="002711C6" w:rsidRPr="00D37026" w:rsidRDefault="002711C6" w:rsidP="00B07E5B">
      <w:pPr>
        <w:pStyle w:val="NormalWeb"/>
        <w:rPr>
          <w:b/>
        </w:rPr>
      </w:pPr>
    </w:p>
    <w:p w14:paraId="3BC5FE7D" w14:textId="77777777" w:rsidR="002711C6" w:rsidRPr="00D37026" w:rsidRDefault="002711C6" w:rsidP="00B07E5B">
      <w:pPr>
        <w:pStyle w:val="NormalWeb"/>
        <w:rPr>
          <w:b/>
        </w:rPr>
      </w:pPr>
    </w:p>
    <w:p w14:paraId="35C0D003" w14:textId="77777777" w:rsidR="002711C6" w:rsidRPr="00D37026" w:rsidRDefault="002711C6" w:rsidP="00B07E5B">
      <w:pPr>
        <w:pStyle w:val="NormalWeb"/>
        <w:rPr>
          <w:b/>
        </w:rPr>
      </w:pPr>
    </w:p>
    <w:p w14:paraId="40F8CB52" w14:textId="77777777" w:rsidR="002711C6" w:rsidRPr="00D37026" w:rsidRDefault="00E256E6" w:rsidP="00B07E5B">
      <w:pPr>
        <w:pStyle w:val="NormalWeb"/>
        <w:rPr>
          <w:b/>
        </w:rPr>
      </w:pPr>
      <w:r w:rsidRPr="00D37026">
        <w:rPr>
          <w:b/>
        </w:rPr>
        <w:t xml:space="preserve"> Common Mormon                                                  Golden Birdwing </w:t>
      </w:r>
    </w:p>
    <w:p w14:paraId="239CE687" w14:textId="77777777" w:rsidR="002711C6" w:rsidRPr="00D37026" w:rsidRDefault="002711C6" w:rsidP="00B07E5B">
      <w:pPr>
        <w:pStyle w:val="NormalWeb"/>
        <w:rPr>
          <w:b/>
        </w:rPr>
      </w:pPr>
    </w:p>
    <w:p w14:paraId="5544856F" w14:textId="77777777" w:rsidR="002711C6" w:rsidRPr="00D37026" w:rsidRDefault="00317390" w:rsidP="00B07E5B">
      <w:pPr>
        <w:pStyle w:val="NormalWeb"/>
        <w:rPr>
          <w:b/>
        </w:rPr>
      </w:pPr>
      <w:r w:rsidRPr="00D37026">
        <w:rPr>
          <w:b/>
        </w:rPr>
        <w:t xml:space="preserve">Family: </w:t>
      </w:r>
      <w:proofErr w:type="spellStart"/>
      <w:r w:rsidRPr="00D37026">
        <w:rPr>
          <w:b/>
        </w:rPr>
        <w:t>Pieridae</w:t>
      </w:r>
      <w:proofErr w:type="spellEnd"/>
    </w:p>
    <w:p w14:paraId="40BFDC99" w14:textId="77777777" w:rsidR="002711C6" w:rsidRPr="00D37026" w:rsidRDefault="00317390" w:rsidP="00B07E5B">
      <w:pPr>
        <w:pStyle w:val="NormalWeb"/>
        <w:rPr>
          <w:b/>
        </w:rPr>
      </w:pPr>
      <w:r w:rsidRPr="00D37026">
        <w:rPr>
          <w:b/>
          <w:noProof/>
        </w:rPr>
        <w:drawing>
          <wp:anchor distT="0" distB="0" distL="114300" distR="114300" simplePos="0" relativeHeight="251705344" behindDoc="1" locked="0" layoutInCell="1" allowOverlap="1" wp14:anchorId="41FF1F09" wp14:editId="73567236">
            <wp:simplePos x="0" y="0"/>
            <wp:positionH relativeFrom="column">
              <wp:posOffset>3159125</wp:posOffset>
            </wp:positionH>
            <wp:positionV relativeFrom="paragraph">
              <wp:posOffset>46355</wp:posOffset>
            </wp:positionV>
            <wp:extent cx="2615565" cy="2033270"/>
            <wp:effectExtent l="19050" t="0" r="0" b="0"/>
            <wp:wrapThrough wrapText="bothSides">
              <wp:wrapPolygon edited="0">
                <wp:start x="-157" y="0"/>
                <wp:lineTo x="-157" y="21452"/>
                <wp:lineTo x="21553" y="21452"/>
                <wp:lineTo x="21553" y="0"/>
                <wp:lineTo x="-157" y="0"/>
              </wp:wrapPolygon>
            </wp:wrapThrough>
            <wp:docPr id="22" name="Picture 22" descr="Mottled Emig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ottled Emigrant"/>
                    <pic:cNvPicPr>
                      <a:picLocks noChangeAspect="1" noChangeArrowheads="1"/>
                    </pic:cNvPicPr>
                  </pic:nvPicPr>
                  <pic:blipFill>
                    <a:blip r:embed="rId53"/>
                    <a:srcRect/>
                    <a:stretch>
                      <a:fillRect/>
                    </a:stretch>
                  </pic:blipFill>
                  <pic:spPr bwMode="auto">
                    <a:xfrm>
                      <a:off x="0" y="0"/>
                      <a:ext cx="2615565" cy="2033270"/>
                    </a:xfrm>
                    <a:prstGeom prst="rect">
                      <a:avLst/>
                    </a:prstGeom>
                    <a:noFill/>
                  </pic:spPr>
                </pic:pic>
              </a:graphicData>
            </a:graphic>
          </wp:anchor>
        </w:drawing>
      </w:r>
      <w:r w:rsidRPr="00D37026">
        <w:rPr>
          <w:b/>
          <w:noProof/>
        </w:rPr>
        <w:drawing>
          <wp:anchor distT="0" distB="0" distL="114300" distR="114300" simplePos="0" relativeHeight="251704320" behindDoc="1" locked="0" layoutInCell="1" allowOverlap="1" wp14:anchorId="56686891" wp14:editId="7E8072B1">
            <wp:simplePos x="0" y="0"/>
            <wp:positionH relativeFrom="column">
              <wp:posOffset>-41275</wp:posOffset>
            </wp:positionH>
            <wp:positionV relativeFrom="paragraph">
              <wp:posOffset>46355</wp:posOffset>
            </wp:positionV>
            <wp:extent cx="2615565" cy="2033270"/>
            <wp:effectExtent l="19050" t="0" r="0" b="0"/>
            <wp:wrapThrough wrapText="bothSides">
              <wp:wrapPolygon edited="0">
                <wp:start x="-157" y="0"/>
                <wp:lineTo x="-157" y="21452"/>
                <wp:lineTo x="21553" y="21452"/>
                <wp:lineTo x="21553" y="0"/>
                <wp:lineTo x="-157" y="0"/>
              </wp:wrapPolygon>
            </wp:wrapThrough>
            <wp:docPr id="21" name="Picture 21" descr="Common Emig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mmon Emigrant"/>
                    <pic:cNvPicPr>
                      <a:picLocks noChangeAspect="1" noChangeArrowheads="1"/>
                    </pic:cNvPicPr>
                  </pic:nvPicPr>
                  <pic:blipFill>
                    <a:blip r:embed="rId54" cstate="print"/>
                    <a:srcRect/>
                    <a:stretch>
                      <a:fillRect/>
                    </a:stretch>
                  </pic:blipFill>
                  <pic:spPr bwMode="auto">
                    <a:xfrm>
                      <a:off x="0" y="0"/>
                      <a:ext cx="2615565" cy="2033270"/>
                    </a:xfrm>
                    <a:prstGeom prst="rect">
                      <a:avLst/>
                    </a:prstGeom>
                    <a:noFill/>
                  </pic:spPr>
                </pic:pic>
              </a:graphicData>
            </a:graphic>
          </wp:anchor>
        </w:drawing>
      </w:r>
    </w:p>
    <w:p w14:paraId="1B7EBB4B" w14:textId="77777777" w:rsidR="002711C6" w:rsidRPr="00D37026" w:rsidRDefault="002711C6" w:rsidP="00B07E5B">
      <w:pPr>
        <w:pStyle w:val="NormalWeb"/>
        <w:rPr>
          <w:b/>
        </w:rPr>
      </w:pPr>
    </w:p>
    <w:p w14:paraId="67E3DA53" w14:textId="77777777" w:rsidR="002711C6" w:rsidRPr="00D37026" w:rsidRDefault="002711C6" w:rsidP="00B07E5B">
      <w:pPr>
        <w:pStyle w:val="NormalWeb"/>
        <w:rPr>
          <w:b/>
        </w:rPr>
      </w:pPr>
    </w:p>
    <w:p w14:paraId="2B3B9731" w14:textId="77777777" w:rsidR="002711C6" w:rsidRPr="00D37026" w:rsidRDefault="002711C6" w:rsidP="00B07E5B">
      <w:pPr>
        <w:pStyle w:val="NormalWeb"/>
        <w:rPr>
          <w:b/>
        </w:rPr>
      </w:pPr>
    </w:p>
    <w:p w14:paraId="28240200" w14:textId="77777777" w:rsidR="002711C6" w:rsidRPr="00D37026" w:rsidRDefault="002711C6" w:rsidP="00B07E5B">
      <w:pPr>
        <w:pStyle w:val="NormalWeb"/>
        <w:rPr>
          <w:b/>
        </w:rPr>
      </w:pPr>
    </w:p>
    <w:p w14:paraId="086D939E" w14:textId="77777777" w:rsidR="002711C6" w:rsidRPr="00D37026" w:rsidRDefault="002711C6" w:rsidP="00B07E5B">
      <w:pPr>
        <w:pStyle w:val="NormalWeb"/>
        <w:rPr>
          <w:b/>
        </w:rPr>
      </w:pPr>
    </w:p>
    <w:p w14:paraId="6EC4D12A" w14:textId="77777777" w:rsidR="002711C6" w:rsidRPr="00D37026" w:rsidRDefault="00317390" w:rsidP="00B07E5B">
      <w:pPr>
        <w:pStyle w:val="NormalWeb"/>
        <w:rPr>
          <w:b/>
        </w:rPr>
      </w:pPr>
      <w:r w:rsidRPr="00D37026">
        <w:rPr>
          <w:b/>
        </w:rPr>
        <w:t xml:space="preserve">               Common Emigrant                                                       Mottled Emigrant</w:t>
      </w:r>
    </w:p>
    <w:p w14:paraId="0F991E04" w14:textId="77777777" w:rsidR="002711C6" w:rsidRPr="00D37026" w:rsidRDefault="002711C6" w:rsidP="00B07E5B">
      <w:pPr>
        <w:pStyle w:val="NormalWeb"/>
        <w:rPr>
          <w:b/>
        </w:rPr>
      </w:pPr>
    </w:p>
    <w:p w14:paraId="00212658" w14:textId="77777777" w:rsidR="002711C6" w:rsidRPr="00D37026" w:rsidRDefault="002711C6" w:rsidP="00B07E5B">
      <w:pPr>
        <w:pStyle w:val="NormalWeb"/>
        <w:rPr>
          <w:b/>
        </w:rPr>
      </w:pPr>
    </w:p>
    <w:p w14:paraId="12C8BBDD" w14:textId="77777777" w:rsidR="002711C6" w:rsidRPr="00D37026" w:rsidRDefault="002711C6" w:rsidP="00B07E5B">
      <w:pPr>
        <w:pStyle w:val="NormalWeb"/>
        <w:rPr>
          <w:b/>
        </w:rPr>
      </w:pPr>
    </w:p>
    <w:p w14:paraId="39DBC21D" w14:textId="77777777" w:rsidR="002711C6" w:rsidRPr="00D37026" w:rsidRDefault="002711C6" w:rsidP="00B07E5B">
      <w:pPr>
        <w:pStyle w:val="NormalWeb"/>
        <w:rPr>
          <w:b/>
        </w:rPr>
      </w:pPr>
    </w:p>
    <w:p w14:paraId="3EB2968D" w14:textId="77777777" w:rsidR="002711C6" w:rsidRPr="00D37026" w:rsidRDefault="007F0FC1" w:rsidP="00B07E5B">
      <w:pPr>
        <w:pStyle w:val="NormalWeb"/>
        <w:rPr>
          <w:b/>
        </w:rPr>
      </w:pPr>
      <w:r w:rsidRPr="00D37026">
        <w:rPr>
          <w:b/>
          <w:noProof/>
        </w:rPr>
        <w:lastRenderedPageBreak/>
        <w:drawing>
          <wp:anchor distT="0" distB="0" distL="114300" distR="114300" simplePos="0" relativeHeight="251706368" behindDoc="1" locked="0" layoutInCell="1" allowOverlap="1" wp14:anchorId="20BCDF59" wp14:editId="08D1144E">
            <wp:simplePos x="0" y="0"/>
            <wp:positionH relativeFrom="column">
              <wp:posOffset>3351530</wp:posOffset>
            </wp:positionH>
            <wp:positionV relativeFrom="paragraph">
              <wp:posOffset>-204470</wp:posOffset>
            </wp:positionV>
            <wp:extent cx="2615565" cy="2153285"/>
            <wp:effectExtent l="19050" t="0" r="0" b="0"/>
            <wp:wrapThrough wrapText="bothSides">
              <wp:wrapPolygon edited="0">
                <wp:start x="-157" y="0"/>
                <wp:lineTo x="-157" y="21403"/>
                <wp:lineTo x="21553" y="21403"/>
                <wp:lineTo x="21553" y="0"/>
                <wp:lineTo x="-157" y="0"/>
              </wp:wrapPolygon>
            </wp:wrapThrough>
            <wp:docPr id="23" name="Picture 23" descr="Indian cabbage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ndian cabbage White"/>
                    <pic:cNvPicPr>
                      <a:picLocks noChangeAspect="1" noChangeArrowheads="1"/>
                    </pic:cNvPicPr>
                  </pic:nvPicPr>
                  <pic:blipFill>
                    <a:blip r:embed="rId55"/>
                    <a:srcRect/>
                    <a:stretch>
                      <a:fillRect/>
                    </a:stretch>
                  </pic:blipFill>
                  <pic:spPr bwMode="auto">
                    <a:xfrm>
                      <a:off x="0" y="0"/>
                      <a:ext cx="2615565" cy="2153285"/>
                    </a:xfrm>
                    <a:prstGeom prst="rect">
                      <a:avLst/>
                    </a:prstGeom>
                    <a:noFill/>
                  </pic:spPr>
                </pic:pic>
              </a:graphicData>
            </a:graphic>
          </wp:anchor>
        </w:drawing>
      </w:r>
      <w:r w:rsidRPr="00D37026">
        <w:rPr>
          <w:b/>
          <w:noProof/>
        </w:rPr>
        <w:drawing>
          <wp:anchor distT="0" distB="0" distL="114300" distR="114300" simplePos="0" relativeHeight="251707392" behindDoc="1" locked="0" layoutInCell="1" allowOverlap="1" wp14:anchorId="5804A5F0" wp14:editId="455ECB78">
            <wp:simplePos x="0" y="0"/>
            <wp:positionH relativeFrom="column">
              <wp:posOffset>-41275</wp:posOffset>
            </wp:positionH>
            <wp:positionV relativeFrom="paragraph">
              <wp:posOffset>-205105</wp:posOffset>
            </wp:positionV>
            <wp:extent cx="2724150" cy="2153285"/>
            <wp:effectExtent l="19050" t="0" r="0" b="0"/>
            <wp:wrapThrough wrapText="bothSides">
              <wp:wrapPolygon edited="0">
                <wp:start x="-151" y="0"/>
                <wp:lineTo x="-151" y="21403"/>
                <wp:lineTo x="21600" y="21403"/>
                <wp:lineTo x="21600" y="0"/>
                <wp:lineTo x="-151" y="0"/>
              </wp:wrapPolygon>
            </wp:wrapThrough>
            <wp:docPr id="24" name="Picture 24" descr="Psy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syche"/>
                    <pic:cNvPicPr>
                      <a:picLocks noChangeAspect="1" noChangeArrowheads="1"/>
                    </pic:cNvPicPr>
                  </pic:nvPicPr>
                  <pic:blipFill>
                    <a:blip r:embed="rId56"/>
                    <a:srcRect/>
                    <a:stretch>
                      <a:fillRect/>
                    </a:stretch>
                  </pic:blipFill>
                  <pic:spPr bwMode="auto">
                    <a:xfrm>
                      <a:off x="0" y="0"/>
                      <a:ext cx="2724150" cy="2153285"/>
                    </a:xfrm>
                    <a:prstGeom prst="rect">
                      <a:avLst/>
                    </a:prstGeom>
                    <a:noFill/>
                  </pic:spPr>
                </pic:pic>
              </a:graphicData>
            </a:graphic>
          </wp:anchor>
        </w:drawing>
      </w:r>
    </w:p>
    <w:p w14:paraId="64467E3B" w14:textId="77777777" w:rsidR="002711C6" w:rsidRPr="00D37026" w:rsidRDefault="002711C6" w:rsidP="00B07E5B">
      <w:pPr>
        <w:pStyle w:val="NormalWeb"/>
        <w:rPr>
          <w:b/>
        </w:rPr>
      </w:pPr>
    </w:p>
    <w:p w14:paraId="7F65838F" w14:textId="77777777" w:rsidR="002711C6" w:rsidRPr="00D37026" w:rsidRDefault="002711C6" w:rsidP="00B07E5B">
      <w:pPr>
        <w:pStyle w:val="NormalWeb"/>
        <w:rPr>
          <w:b/>
        </w:rPr>
      </w:pPr>
    </w:p>
    <w:p w14:paraId="7474F4E4" w14:textId="77777777" w:rsidR="002711C6" w:rsidRPr="00D37026" w:rsidRDefault="002711C6" w:rsidP="00B07E5B">
      <w:pPr>
        <w:pStyle w:val="NormalWeb"/>
        <w:rPr>
          <w:b/>
        </w:rPr>
      </w:pPr>
    </w:p>
    <w:p w14:paraId="45E3B70E" w14:textId="77777777" w:rsidR="002711C6" w:rsidRPr="00D37026" w:rsidRDefault="002711C6" w:rsidP="00B07E5B">
      <w:pPr>
        <w:pStyle w:val="NormalWeb"/>
        <w:rPr>
          <w:b/>
        </w:rPr>
      </w:pPr>
    </w:p>
    <w:p w14:paraId="4BF26109" w14:textId="77777777" w:rsidR="002711C6" w:rsidRPr="00D37026" w:rsidRDefault="002711C6" w:rsidP="00B07E5B">
      <w:pPr>
        <w:pStyle w:val="NormalWeb"/>
        <w:rPr>
          <w:b/>
        </w:rPr>
      </w:pPr>
    </w:p>
    <w:p w14:paraId="2C818504" w14:textId="77777777" w:rsidR="002711C6" w:rsidRPr="00D37026" w:rsidRDefault="007F0FC1" w:rsidP="00B07E5B">
      <w:pPr>
        <w:pStyle w:val="NormalWeb"/>
        <w:rPr>
          <w:b/>
        </w:rPr>
      </w:pPr>
      <w:r w:rsidRPr="00D37026">
        <w:rPr>
          <w:b/>
        </w:rPr>
        <w:t xml:space="preserve">                         Psyche                                                                    Indian Cabbage White</w:t>
      </w:r>
    </w:p>
    <w:p w14:paraId="7FD8AFC2" w14:textId="77777777" w:rsidR="007F0FC1" w:rsidRPr="00D37026" w:rsidRDefault="00DD5BEA" w:rsidP="00B07E5B">
      <w:pPr>
        <w:pStyle w:val="NormalWeb"/>
        <w:rPr>
          <w:b/>
        </w:rPr>
      </w:pPr>
      <w:r w:rsidRPr="00D37026">
        <w:rPr>
          <w:b/>
        </w:rPr>
        <w:t xml:space="preserve">Family: </w:t>
      </w:r>
      <w:proofErr w:type="spellStart"/>
      <w:r w:rsidRPr="00D37026">
        <w:rPr>
          <w:b/>
        </w:rPr>
        <w:t>Lycaenidae</w:t>
      </w:r>
      <w:proofErr w:type="spellEnd"/>
    </w:p>
    <w:p w14:paraId="36DBA65B" w14:textId="77777777" w:rsidR="00DD5BEA" w:rsidRPr="00D37026" w:rsidRDefault="001135C2" w:rsidP="00B07E5B">
      <w:pPr>
        <w:pStyle w:val="NormalWeb"/>
        <w:rPr>
          <w:b/>
        </w:rPr>
      </w:pPr>
      <w:r w:rsidRPr="00D37026">
        <w:rPr>
          <w:b/>
          <w:noProof/>
        </w:rPr>
        <w:drawing>
          <wp:anchor distT="0" distB="0" distL="114300" distR="114300" simplePos="0" relativeHeight="251709440" behindDoc="1" locked="0" layoutInCell="1" allowOverlap="1" wp14:anchorId="60B087EB" wp14:editId="6F5B2D97">
            <wp:simplePos x="0" y="0"/>
            <wp:positionH relativeFrom="column">
              <wp:posOffset>3279140</wp:posOffset>
            </wp:positionH>
            <wp:positionV relativeFrom="paragraph">
              <wp:posOffset>46355</wp:posOffset>
            </wp:positionV>
            <wp:extent cx="2928620" cy="2249805"/>
            <wp:effectExtent l="19050" t="0" r="5080" b="0"/>
            <wp:wrapThrough wrapText="bothSides">
              <wp:wrapPolygon edited="0">
                <wp:start x="-141" y="0"/>
                <wp:lineTo x="-141" y="21399"/>
                <wp:lineTo x="21637" y="21399"/>
                <wp:lineTo x="21637" y="0"/>
                <wp:lineTo x="-141" y="0"/>
              </wp:wrapPolygon>
            </wp:wrapThrough>
            <wp:docPr id="26" name="Picture 26" descr="Copper F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opper Flash"/>
                    <pic:cNvPicPr>
                      <a:picLocks noChangeAspect="1" noChangeArrowheads="1"/>
                    </pic:cNvPicPr>
                  </pic:nvPicPr>
                  <pic:blipFill>
                    <a:blip r:embed="rId57"/>
                    <a:srcRect/>
                    <a:stretch>
                      <a:fillRect/>
                    </a:stretch>
                  </pic:blipFill>
                  <pic:spPr bwMode="auto">
                    <a:xfrm>
                      <a:off x="0" y="0"/>
                      <a:ext cx="2928620" cy="2249805"/>
                    </a:xfrm>
                    <a:prstGeom prst="rect">
                      <a:avLst/>
                    </a:prstGeom>
                    <a:noFill/>
                  </pic:spPr>
                </pic:pic>
              </a:graphicData>
            </a:graphic>
          </wp:anchor>
        </w:drawing>
      </w:r>
      <w:r w:rsidRPr="00D37026">
        <w:rPr>
          <w:b/>
          <w:noProof/>
        </w:rPr>
        <w:drawing>
          <wp:anchor distT="0" distB="0" distL="114300" distR="114300" simplePos="0" relativeHeight="251710464" behindDoc="1" locked="0" layoutInCell="1" allowOverlap="1" wp14:anchorId="17F0F74A" wp14:editId="124B880F">
            <wp:simplePos x="0" y="0"/>
            <wp:positionH relativeFrom="column">
              <wp:posOffset>-112395</wp:posOffset>
            </wp:positionH>
            <wp:positionV relativeFrom="paragraph">
              <wp:posOffset>46355</wp:posOffset>
            </wp:positionV>
            <wp:extent cx="2794635" cy="2249805"/>
            <wp:effectExtent l="19050" t="0" r="5715" b="0"/>
            <wp:wrapThrough wrapText="bothSides">
              <wp:wrapPolygon edited="0">
                <wp:start x="-147" y="0"/>
                <wp:lineTo x="-147" y="21399"/>
                <wp:lineTo x="21644" y="21399"/>
                <wp:lineTo x="21644" y="0"/>
                <wp:lineTo x="-147" y="0"/>
              </wp:wrapPolygon>
            </wp:wrapThrough>
            <wp:docPr id="27" name="Picture 27" descr="Pale Grass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le Grass Blue"/>
                    <pic:cNvPicPr>
                      <a:picLocks noChangeAspect="1" noChangeArrowheads="1"/>
                    </pic:cNvPicPr>
                  </pic:nvPicPr>
                  <pic:blipFill>
                    <a:blip r:embed="rId58"/>
                    <a:srcRect/>
                    <a:stretch>
                      <a:fillRect/>
                    </a:stretch>
                  </pic:blipFill>
                  <pic:spPr bwMode="auto">
                    <a:xfrm>
                      <a:off x="0" y="0"/>
                      <a:ext cx="2794635" cy="2249805"/>
                    </a:xfrm>
                    <a:prstGeom prst="rect">
                      <a:avLst/>
                    </a:prstGeom>
                    <a:noFill/>
                  </pic:spPr>
                </pic:pic>
              </a:graphicData>
            </a:graphic>
          </wp:anchor>
        </w:drawing>
      </w:r>
    </w:p>
    <w:p w14:paraId="2389B4B9" w14:textId="77777777" w:rsidR="002711C6" w:rsidRPr="00D37026" w:rsidRDefault="002711C6" w:rsidP="00B07E5B">
      <w:pPr>
        <w:pStyle w:val="NormalWeb"/>
        <w:rPr>
          <w:b/>
        </w:rPr>
      </w:pPr>
    </w:p>
    <w:p w14:paraId="74E6D181" w14:textId="77777777" w:rsidR="002711C6" w:rsidRPr="00D37026" w:rsidRDefault="002711C6" w:rsidP="00B07E5B">
      <w:pPr>
        <w:pStyle w:val="NormalWeb"/>
        <w:rPr>
          <w:b/>
        </w:rPr>
      </w:pPr>
    </w:p>
    <w:p w14:paraId="560039D3" w14:textId="77777777" w:rsidR="002711C6" w:rsidRPr="00D37026" w:rsidRDefault="002711C6" w:rsidP="00B07E5B">
      <w:pPr>
        <w:pStyle w:val="NormalWeb"/>
        <w:rPr>
          <w:b/>
        </w:rPr>
      </w:pPr>
    </w:p>
    <w:p w14:paraId="61B72626" w14:textId="77777777" w:rsidR="002711C6" w:rsidRPr="00D37026" w:rsidRDefault="002711C6" w:rsidP="00B07E5B">
      <w:pPr>
        <w:pStyle w:val="NormalWeb"/>
        <w:rPr>
          <w:b/>
        </w:rPr>
      </w:pPr>
    </w:p>
    <w:p w14:paraId="4A3F591E" w14:textId="77777777" w:rsidR="002711C6" w:rsidRPr="00D37026" w:rsidRDefault="002711C6" w:rsidP="00B07E5B">
      <w:pPr>
        <w:pStyle w:val="NormalWeb"/>
        <w:rPr>
          <w:b/>
        </w:rPr>
      </w:pPr>
    </w:p>
    <w:p w14:paraId="7B4AC184" w14:textId="77777777" w:rsidR="002711C6" w:rsidRPr="00D37026" w:rsidRDefault="002711C6" w:rsidP="00B07E5B">
      <w:pPr>
        <w:pStyle w:val="NormalWeb"/>
        <w:rPr>
          <w:b/>
        </w:rPr>
      </w:pPr>
    </w:p>
    <w:p w14:paraId="7DEEDB30" w14:textId="77777777" w:rsidR="002711C6" w:rsidRPr="00D37026" w:rsidRDefault="0043142B" w:rsidP="00B07E5B">
      <w:pPr>
        <w:pStyle w:val="NormalWeb"/>
        <w:rPr>
          <w:b/>
        </w:rPr>
      </w:pPr>
      <w:r w:rsidRPr="00D37026">
        <w:rPr>
          <w:b/>
          <w:noProof/>
        </w:rPr>
        <w:drawing>
          <wp:anchor distT="0" distB="0" distL="114300" distR="114300" simplePos="0" relativeHeight="251708416" behindDoc="1" locked="0" layoutInCell="1" allowOverlap="1" wp14:anchorId="76AF676F" wp14:editId="4220122C">
            <wp:simplePos x="0" y="0"/>
            <wp:positionH relativeFrom="column">
              <wp:posOffset>-111760</wp:posOffset>
            </wp:positionH>
            <wp:positionV relativeFrom="paragraph">
              <wp:posOffset>320675</wp:posOffset>
            </wp:positionV>
            <wp:extent cx="2788920" cy="2006600"/>
            <wp:effectExtent l="19050" t="0" r="0" b="0"/>
            <wp:wrapThrough wrapText="bothSides">
              <wp:wrapPolygon edited="0">
                <wp:start x="-148" y="0"/>
                <wp:lineTo x="-148" y="21327"/>
                <wp:lineTo x="21541" y="21327"/>
                <wp:lineTo x="21541" y="0"/>
                <wp:lineTo x="-148" y="0"/>
              </wp:wrapPolygon>
            </wp:wrapThrough>
            <wp:docPr id="25" name="Picture 25" descr="Common Pier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ommon Pierrot"/>
                    <pic:cNvPicPr>
                      <a:picLocks noChangeAspect="1" noChangeArrowheads="1"/>
                    </pic:cNvPicPr>
                  </pic:nvPicPr>
                  <pic:blipFill>
                    <a:blip r:embed="rId59"/>
                    <a:srcRect/>
                    <a:stretch>
                      <a:fillRect/>
                    </a:stretch>
                  </pic:blipFill>
                  <pic:spPr bwMode="auto">
                    <a:xfrm>
                      <a:off x="0" y="0"/>
                      <a:ext cx="2788920" cy="2006600"/>
                    </a:xfrm>
                    <a:prstGeom prst="rect">
                      <a:avLst/>
                    </a:prstGeom>
                    <a:noFill/>
                  </pic:spPr>
                </pic:pic>
              </a:graphicData>
            </a:graphic>
          </wp:anchor>
        </w:drawing>
      </w:r>
      <w:r w:rsidR="001E387A" w:rsidRPr="00D37026">
        <w:rPr>
          <w:b/>
          <w:noProof/>
        </w:rPr>
        <w:drawing>
          <wp:anchor distT="0" distB="0" distL="114300" distR="114300" simplePos="0" relativeHeight="251719680" behindDoc="0" locked="0" layoutInCell="1" allowOverlap="1" wp14:anchorId="6365FDC5" wp14:editId="5AC55BF6">
            <wp:simplePos x="0" y="0"/>
            <wp:positionH relativeFrom="column">
              <wp:posOffset>3284220</wp:posOffset>
            </wp:positionH>
            <wp:positionV relativeFrom="paragraph">
              <wp:posOffset>320675</wp:posOffset>
            </wp:positionV>
            <wp:extent cx="2927985" cy="1995170"/>
            <wp:effectExtent l="19050" t="0" r="5715" b="0"/>
            <wp:wrapThrough wrapText="bothSides">
              <wp:wrapPolygon edited="0">
                <wp:start x="-141" y="0"/>
                <wp:lineTo x="-141" y="21449"/>
                <wp:lineTo x="21642" y="21449"/>
                <wp:lineTo x="21642" y="0"/>
                <wp:lineTo x="-141" y="0"/>
              </wp:wrapPolygon>
            </wp:wrapThrough>
            <wp:docPr id="1" name="Picture 1" descr="D:\Tea estate paper\Butterfly photos\Common Climate Blu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ea estate paper\Butterfly photos\Common Climate Blue.jpeg"/>
                    <pic:cNvPicPr>
                      <a:picLocks noChangeAspect="1" noChangeArrowheads="1"/>
                    </pic:cNvPicPr>
                  </pic:nvPicPr>
                  <pic:blipFill>
                    <a:blip r:embed="rId60"/>
                    <a:srcRect/>
                    <a:stretch>
                      <a:fillRect/>
                    </a:stretch>
                  </pic:blipFill>
                  <pic:spPr bwMode="auto">
                    <a:xfrm>
                      <a:off x="0" y="0"/>
                      <a:ext cx="2927985" cy="1995170"/>
                    </a:xfrm>
                    <a:prstGeom prst="rect">
                      <a:avLst/>
                    </a:prstGeom>
                    <a:noFill/>
                    <a:ln w="9525">
                      <a:noFill/>
                      <a:miter lim="800000"/>
                      <a:headEnd/>
                      <a:tailEnd/>
                    </a:ln>
                  </pic:spPr>
                </pic:pic>
              </a:graphicData>
            </a:graphic>
          </wp:anchor>
        </w:drawing>
      </w:r>
      <w:r w:rsidR="00B23442" w:rsidRPr="00D37026">
        <w:rPr>
          <w:b/>
        </w:rPr>
        <w:t xml:space="preserve">                         Pale Grass Blue                                                              Copper Flash</w:t>
      </w:r>
    </w:p>
    <w:p w14:paraId="4F5BB28D" w14:textId="77777777" w:rsidR="002711C6" w:rsidRPr="00D37026" w:rsidRDefault="002711C6" w:rsidP="00B07E5B">
      <w:pPr>
        <w:pStyle w:val="NormalWeb"/>
        <w:rPr>
          <w:b/>
        </w:rPr>
      </w:pPr>
    </w:p>
    <w:p w14:paraId="0BDDBDA4" w14:textId="77777777" w:rsidR="002711C6" w:rsidRPr="00D37026" w:rsidRDefault="002711C6" w:rsidP="00B07E5B">
      <w:pPr>
        <w:pStyle w:val="NormalWeb"/>
        <w:rPr>
          <w:b/>
        </w:rPr>
      </w:pPr>
    </w:p>
    <w:p w14:paraId="54C0FE11" w14:textId="77777777" w:rsidR="002711C6" w:rsidRPr="00D37026" w:rsidRDefault="002711C6" w:rsidP="00B07E5B">
      <w:pPr>
        <w:pStyle w:val="NormalWeb"/>
        <w:rPr>
          <w:b/>
        </w:rPr>
      </w:pPr>
    </w:p>
    <w:p w14:paraId="0ADFA294" w14:textId="77777777" w:rsidR="002711C6" w:rsidRPr="00D37026" w:rsidRDefault="002711C6" w:rsidP="00B07E5B">
      <w:pPr>
        <w:pStyle w:val="NormalWeb"/>
        <w:rPr>
          <w:b/>
        </w:rPr>
      </w:pPr>
    </w:p>
    <w:p w14:paraId="406CB76C" w14:textId="77777777" w:rsidR="002711C6" w:rsidRPr="00D37026" w:rsidRDefault="002711C6" w:rsidP="00B07E5B">
      <w:pPr>
        <w:pStyle w:val="NormalWeb"/>
        <w:rPr>
          <w:b/>
        </w:rPr>
      </w:pPr>
    </w:p>
    <w:p w14:paraId="25C571CB" w14:textId="77777777" w:rsidR="002711C6" w:rsidRPr="00D37026" w:rsidRDefault="002711C6" w:rsidP="00B07E5B">
      <w:pPr>
        <w:pStyle w:val="NormalWeb"/>
        <w:rPr>
          <w:b/>
        </w:rPr>
      </w:pPr>
    </w:p>
    <w:p w14:paraId="22AB3E22" w14:textId="77777777" w:rsidR="002711C6" w:rsidRPr="00D37026" w:rsidRDefault="00B23442" w:rsidP="00B07E5B">
      <w:pPr>
        <w:pStyle w:val="NormalWeb"/>
        <w:rPr>
          <w:b/>
        </w:rPr>
      </w:pPr>
      <w:r w:rsidRPr="00D37026">
        <w:rPr>
          <w:b/>
        </w:rPr>
        <w:t xml:space="preserve">                      Common Pierrot</w:t>
      </w:r>
      <w:r w:rsidR="001E387A" w:rsidRPr="00D37026">
        <w:rPr>
          <w:b/>
        </w:rPr>
        <w:t xml:space="preserve">                                                       Common Climate Blue </w:t>
      </w:r>
    </w:p>
    <w:p w14:paraId="1E7B5979" w14:textId="77777777" w:rsidR="002711C6" w:rsidRPr="00D37026" w:rsidRDefault="00C51B98" w:rsidP="00B07E5B">
      <w:pPr>
        <w:pStyle w:val="NormalWeb"/>
        <w:rPr>
          <w:b/>
        </w:rPr>
      </w:pPr>
      <w:r w:rsidRPr="00D37026">
        <w:rPr>
          <w:b/>
        </w:rPr>
        <w:lastRenderedPageBreak/>
        <w:t xml:space="preserve">Family: </w:t>
      </w:r>
      <w:proofErr w:type="spellStart"/>
      <w:r w:rsidRPr="00D37026">
        <w:rPr>
          <w:b/>
        </w:rPr>
        <w:t>Nymphalidae</w:t>
      </w:r>
      <w:proofErr w:type="spellEnd"/>
    </w:p>
    <w:p w14:paraId="7D24367E" w14:textId="77777777" w:rsidR="00C51B98" w:rsidRPr="00D37026" w:rsidRDefault="00822C86" w:rsidP="00B07E5B">
      <w:pPr>
        <w:pStyle w:val="NormalWeb"/>
        <w:rPr>
          <w:b/>
        </w:rPr>
      </w:pPr>
      <w:r w:rsidRPr="00D37026">
        <w:rPr>
          <w:b/>
          <w:noProof/>
        </w:rPr>
        <w:drawing>
          <wp:anchor distT="0" distB="0" distL="114300" distR="114300" simplePos="0" relativeHeight="251712512" behindDoc="1" locked="0" layoutInCell="1" allowOverlap="1" wp14:anchorId="6065CDB3" wp14:editId="3C9123FE">
            <wp:simplePos x="0" y="0"/>
            <wp:positionH relativeFrom="column">
              <wp:posOffset>3351530</wp:posOffset>
            </wp:positionH>
            <wp:positionV relativeFrom="paragraph">
              <wp:posOffset>272415</wp:posOffset>
            </wp:positionV>
            <wp:extent cx="2714625" cy="2129155"/>
            <wp:effectExtent l="19050" t="0" r="9525" b="0"/>
            <wp:wrapThrough wrapText="bothSides">
              <wp:wrapPolygon edited="0">
                <wp:start x="-152" y="0"/>
                <wp:lineTo x="-152" y="21452"/>
                <wp:lineTo x="21676" y="21452"/>
                <wp:lineTo x="21676" y="0"/>
                <wp:lineTo x="-152" y="0"/>
              </wp:wrapPolygon>
            </wp:wrapThrough>
            <wp:docPr id="29" name="Picture 29" descr="Common Evening Br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ommon Evening Brown"/>
                    <pic:cNvPicPr>
                      <a:picLocks noChangeAspect="1" noChangeArrowheads="1"/>
                    </pic:cNvPicPr>
                  </pic:nvPicPr>
                  <pic:blipFill>
                    <a:blip r:embed="rId61"/>
                    <a:srcRect/>
                    <a:stretch>
                      <a:fillRect/>
                    </a:stretch>
                  </pic:blipFill>
                  <pic:spPr bwMode="auto">
                    <a:xfrm>
                      <a:off x="0" y="0"/>
                      <a:ext cx="2714625" cy="2129155"/>
                    </a:xfrm>
                    <a:prstGeom prst="rect">
                      <a:avLst/>
                    </a:prstGeom>
                    <a:noFill/>
                  </pic:spPr>
                </pic:pic>
              </a:graphicData>
            </a:graphic>
          </wp:anchor>
        </w:drawing>
      </w:r>
      <w:r w:rsidRPr="00D37026">
        <w:rPr>
          <w:b/>
          <w:noProof/>
        </w:rPr>
        <w:drawing>
          <wp:anchor distT="0" distB="0" distL="114300" distR="114300" simplePos="0" relativeHeight="251711488" behindDoc="1" locked="0" layoutInCell="1" allowOverlap="1" wp14:anchorId="271EAA8E" wp14:editId="5E81D6E9">
            <wp:simplePos x="0" y="0"/>
            <wp:positionH relativeFrom="column">
              <wp:posOffset>151130</wp:posOffset>
            </wp:positionH>
            <wp:positionV relativeFrom="paragraph">
              <wp:posOffset>272415</wp:posOffset>
            </wp:positionV>
            <wp:extent cx="2615565" cy="2129155"/>
            <wp:effectExtent l="19050" t="0" r="0" b="0"/>
            <wp:wrapThrough wrapText="bothSides">
              <wp:wrapPolygon edited="0">
                <wp:start x="-157" y="0"/>
                <wp:lineTo x="-157" y="21452"/>
                <wp:lineTo x="21553" y="21452"/>
                <wp:lineTo x="21553" y="0"/>
                <wp:lineTo x="-157" y="0"/>
              </wp:wrapPolygon>
            </wp:wrapThrough>
            <wp:docPr id="28" name="Picture 28" descr="Colour Serge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olour Sergeant"/>
                    <pic:cNvPicPr>
                      <a:picLocks noChangeAspect="1" noChangeArrowheads="1"/>
                    </pic:cNvPicPr>
                  </pic:nvPicPr>
                  <pic:blipFill>
                    <a:blip r:embed="rId62"/>
                    <a:srcRect/>
                    <a:stretch>
                      <a:fillRect/>
                    </a:stretch>
                  </pic:blipFill>
                  <pic:spPr bwMode="auto">
                    <a:xfrm>
                      <a:off x="0" y="0"/>
                      <a:ext cx="2615565" cy="2129155"/>
                    </a:xfrm>
                    <a:prstGeom prst="rect">
                      <a:avLst/>
                    </a:prstGeom>
                    <a:noFill/>
                  </pic:spPr>
                </pic:pic>
              </a:graphicData>
            </a:graphic>
          </wp:anchor>
        </w:drawing>
      </w:r>
    </w:p>
    <w:p w14:paraId="714B812C" w14:textId="77777777" w:rsidR="002711C6" w:rsidRPr="00D37026" w:rsidRDefault="002711C6" w:rsidP="00B07E5B">
      <w:pPr>
        <w:pStyle w:val="NormalWeb"/>
        <w:rPr>
          <w:b/>
        </w:rPr>
      </w:pPr>
    </w:p>
    <w:p w14:paraId="78A7697F" w14:textId="77777777" w:rsidR="002711C6" w:rsidRPr="00D37026" w:rsidRDefault="002711C6" w:rsidP="00B07E5B">
      <w:pPr>
        <w:pStyle w:val="NormalWeb"/>
        <w:rPr>
          <w:b/>
        </w:rPr>
      </w:pPr>
    </w:p>
    <w:p w14:paraId="4987185C" w14:textId="77777777" w:rsidR="002711C6" w:rsidRPr="00D37026" w:rsidRDefault="002711C6" w:rsidP="00B07E5B">
      <w:pPr>
        <w:pStyle w:val="NormalWeb"/>
        <w:rPr>
          <w:b/>
        </w:rPr>
      </w:pPr>
    </w:p>
    <w:p w14:paraId="5EBE5890" w14:textId="77777777" w:rsidR="002711C6" w:rsidRPr="00D37026" w:rsidRDefault="002711C6" w:rsidP="00B07E5B">
      <w:pPr>
        <w:pStyle w:val="NormalWeb"/>
        <w:rPr>
          <w:b/>
        </w:rPr>
      </w:pPr>
    </w:p>
    <w:p w14:paraId="47586FAB" w14:textId="77777777" w:rsidR="002711C6" w:rsidRPr="00D37026" w:rsidRDefault="002711C6" w:rsidP="00B07E5B">
      <w:pPr>
        <w:pStyle w:val="NormalWeb"/>
        <w:rPr>
          <w:b/>
        </w:rPr>
      </w:pPr>
    </w:p>
    <w:p w14:paraId="26C0C76B" w14:textId="77777777" w:rsidR="002711C6" w:rsidRPr="00D37026" w:rsidRDefault="002711C6" w:rsidP="00B07E5B">
      <w:pPr>
        <w:pStyle w:val="NormalWeb"/>
        <w:rPr>
          <w:b/>
        </w:rPr>
      </w:pPr>
    </w:p>
    <w:p w14:paraId="4CAF149C" w14:textId="77777777" w:rsidR="002711C6" w:rsidRPr="00D37026" w:rsidRDefault="003765C8" w:rsidP="00332E1E">
      <w:pPr>
        <w:pStyle w:val="NormalWeb"/>
        <w:rPr>
          <w:b/>
        </w:rPr>
      </w:pPr>
      <w:r w:rsidRPr="00D37026">
        <w:rPr>
          <w:b/>
          <w:noProof/>
        </w:rPr>
        <w:drawing>
          <wp:anchor distT="0" distB="0" distL="114300" distR="114300" simplePos="0" relativeHeight="251714560" behindDoc="1" locked="0" layoutInCell="1" allowOverlap="1" wp14:anchorId="361E93DE" wp14:editId="4E1B82B7">
            <wp:simplePos x="0" y="0"/>
            <wp:positionH relativeFrom="column">
              <wp:posOffset>3349625</wp:posOffset>
            </wp:positionH>
            <wp:positionV relativeFrom="paragraph">
              <wp:posOffset>245110</wp:posOffset>
            </wp:positionV>
            <wp:extent cx="2781300" cy="2087880"/>
            <wp:effectExtent l="19050" t="0" r="0" b="0"/>
            <wp:wrapThrough wrapText="bothSides">
              <wp:wrapPolygon edited="0">
                <wp:start x="-148" y="0"/>
                <wp:lineTo x="-148" y="21482"/>
                <wp:lineTo x="21600" y="21482"/>
                <wp:lineTo x="21600" y="0"/>
                <wp:lineTo x="-148" y="0"/>
              </wp:wrapPolygon>
            </wp:wrapThrough>
            <wp:docPr id="31" name="Picture 31" descr="Great Eggfly &amp; Lemon Pan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reat Eggfly &amp; Lemon Pansy"/>
                    <pic:cNvPicPr>
                      <a:picLocks noChangeAspect="1" noChangeArrowheads="1"/>
                    </pic:cNvPicPr>
                  </pic:nvPicPr>
                  <pic:blipFill>
                    <a:blip r:embed="rId63" cstate="print"/>
                    <a:srcRect/>
                    <a:stretch>
                      <a:fillRect/>
                    </a:stretch>
                  </pic:blipFill>
                  <pic:spPr bwMode="auto">
                    <a:xfrm>
                      <a:off x="0" y="0"/>
                      <a:ext cx="2781300" cy="2087880"/>
                    </a:xfrm>
                    <a:prstGeom prst="rect">
                      <a:avLst/>
                    </a:prstGeom>
                    <a:noFill/>
                  </pic:spPr>
                </pic:pic>
              </a:graphicData>
            </a:graphic>
          </wp:anchor>
        </w:drawing>
      </w:r>
      <w:r w:rsidRPr="00D37026">
        <w:rPr>
          <w:b/>
          <w:noProof/>
        </w:rPr>
        <w:drawing>
          <wp:anchor distT="0" distB="0" distL="114300" distR="114300" simplePos="0" relativeHeight="251715584" behindDoc="1" locked="0" layoutInCell="1" allowOverlap="1" wp14:anchorId="107282DF" wp14:editId="14135711">
            <wp:simplePos x="0" y="0"/>
            <wp:positionH relativeFrom="column">
              <wp:posOffset>175260</wp:posOffset>
            </wp:positionH>
            <wp:positionV relativeFrom="paragraph">
              <wp:posOffset>255270</wp:posOffset>
            </wp:positionV>
            <wp:extent cx="2591435" cy="2080895"/>
            <wp:effectExtent l="19050" t="0" r="0" b="0"/>
            <wp:wrapThrough wrapText="bothSides">
              <wp:wrapPolygon edited="0">
                <wp:start x="-159" y="0"/>
                <wp:lineTo x="-159" y="21356"/>
                <wp:lineTo x="21595" y="21356"/>
                <wp:lineTo x="21595" y="0"/>
                <wp:lineTo x="-159" y="0"/>
              </wp:wrapPolygon>
            </wp:wrapThrough>
            <wp:docPr id="32" name="Picture 32" descr="Tawny Co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Tawny Coster"/>
                    <pic:cNvPicPr>
                      <a:picLocks noChangeAspect="1" noChangeArrowheads="1"/>
                    </pic:cNvPicPr>
                  </pic:nvPicPr>
                  <pic:blipFill>
                    <a:blip r:embed="rId64" cstate="print"/>
                    <a:srcRect/>
                    <a:stretch>
                      <a:fillRect/>
                    </a:stretch>
                  </pic:blipFill>
                  <pic:spPr bwMode="auto">
                    <a:xfrm>
                      <a:off x="0" y="0"/>
                      <a:ext cx="2591435" cy="2080895"/>
                    </a:xfrm>
                    <a:prstGeom prst="rect">
                      <a:avLst/>
                    </a:prstGeom>
                    <a:noFill/>
                  </pic:spPr>
                </pic:pic>
              </a:graphicData>
            </a:graphic>
          </wp:anchor>
        </w:drawing>
      </w:r>
      <w:r w:rsidR="00191A8D">
        <w:rPr>
          <w:b/>
        </w:rPr>
        <w:t xml:space="preserve">                        </w:t>
      </w:r>
      <w:proofErr w:type="spellStart"/>
      <w:r w:rsidR="00191A8D">
        <w:rPr>
          <w:b/>
        </w:rPr>
        <w:t>Colour</w:t>
      </w:r>
      <w:proofErr w:type="spellEnd"/>
      <w:r w:rsidR="00191A8D">
        <w:rPr>
          <w:b/>
        </w:rPr>
        <w:t xml:space="preserve"> Sergeant       </w:t>
      </w:r>
      <w:r w:rsidR="00191A8D">
        <w:rPr>
          <w:b/>
        </w:rPr>
        <w:tab/>
      </w:r>
      <w:r w:rsidR="00191A8D">
        <w:rPr>
          <w:b/>
        </w:rPr>
        <w:tab/>
      </w:r>
      <w:r w:rsidR="00191A8D">
        <w:rPr>
          <w:b/>
        </w:rPr>
        <w:tab/>
      </w:r>
      <w:r w:rsidR="00191A8D">
        <w:rPr>
          <w:b/>
        </w:rPr>
        <w:tab/>
      </w:r>
      <w:r w:rsidR="00332E1E" w:rsidRPr="00D37026">
        <w:rPr>
          <w:b/>
        </w:rPr>
        <w:t xml:space="preserve"> Common Evening Brown</w:t>
      </w:r>
    </w:p>
    <w:p w14:paraId="73B67C1C" w14:textId="77777777" w:rsidR="002711C6" w:rsidRPr="00D37026" w:rsidRDefault="002711C6" w:rsidP="00B07E5B">
      <w:pPr>
        <w:pStyle w:val="NormalWeb"/>
        <w:rPr>
          <w:b/>
        </w:rPr>
      </w:pPr>
    </w:p>
    <w:p w14:paraId="3AC43D67" w14:textId="77777777" w:rsidR="002711C6" w:rsidRPr="00D37026" w:rsidRDefault="002711C6" w:rsidP="00B07E5B">
      <w:pPr>
        <w:pStyle w:val="NormalWeb"/>
        <w:rPr>
          <w:b/>
        </w:rPr>
      </w:pPr>
    </w:p>
    <w:p w14:paraId="15745C61" w14:textId="77777777" w:rsidR="002711C6" w:rsidRPr="00D37026" w:rsidRDefault="002711C6" w:rsidP="00B07E5B">
      <w:pPr>
        <w:pStyle w:val="NormalWeb"/>
        <w:rPr>
          <w:b/>
        </w:rPr>
      </w:pPr>
    </w:p>
    <w:p w14:paraId="2C08C56A" w14:textId="77777777" w:rsidR="002711C6" w:rsidRPr="00D37026" w:rsidRDefault="002711C6" w:rsidP="00B07E5B">
      <w:pPr>
        <w:pStyle w:val="NormalWeb"/>
        <w:rPr>
          <w:b/>
        </w:rPr>
      </w:pPr>
    </w:p>
    <w:p w14:paraId="678A349E" w14:textId="77777777" w:rsidR="002711C6" w:rsidRPr="00D37026" w:rsidRDefault="002711C6" w:rsidP="00B07E5B">
      <w:pPr>
        <w:pStyle w:val="NormalWeb"/>
        <w:rPr>
          <w:b/>
        </w:rPr>
      </w:pPr>
    </w:p>
    <w:p w14:paraId="3C118BAF" w14:textId="77777777" w:rsidR="002711C6" w:rsidRPr="00D37026" w:rsidRDefault="002711C6" w:rsidP="00B07E5B">
      <w:pPr>
        <w:pStyle w:val="NormalWeb"/>
        <w:rPr>
          <w:b/>
        </w:rPr>
      </w:pPr>
    </w:p>
    <w:p w14:paraId="08287CD6" w14:textId="77777777" w:rsidR="002711C6" w:rsidRPr="00D37026" w:rsidRDefault="00C966C4" w:rsidP="00B07E5B">
      <w:pPr>
        <w:pStyle w:val="NormalWeb"/>
        <w:rPr>
          <w:b/>
        </w:rPr>
      </w:pPr>
      <w:r w:rsidRPr="00D37026">
        <w:rPr>
          <w:b/>
          <w:noProof/>
        </w:rPr>
        <w:drawing>
          <wp:anchor distT="0" distB="0" distL="114300" distR="114300" simplePos="0" relativeHeight="251718656" behindDoc="1" locked="0" layoutInCell="1" allowOverlap="1" wp14:anchorId="44FFE78A" wp14:editId="28627419">
            <wp:simplePos x="0" y="0"/>
            <wp:positionH relativeFrom="column">
              <wp:posOffset>3344545</wp:posOffset>
            </wp:positionH>
            <wp:positionV relativeFrom="paragraph">
              <wp:posOffset>320675</wp:posOffset>
            </wp:positionV>
            <wp:extent cx="2764155" cy="1998345"/>
            <wp:effectExtent l="19050" t="0" r="0" b="0"/>
            <wp:wrapThrough wrapText="bothSides">
              <wp:wrapPolygon edited="0">
                <wp:start x="-149" y="0"/>
                <wp:lineTo x="-149" y="21415"/>
                <wp:lineTo x="21585" y="21415"/>
                <wp:lineTo x="21585" y="0"/>
                <wp:lineTo x="-149" y="0"/>
              </wp:wrapPolygon>
            </wp:wrapThrough>
            <wp:docPr id="37" name="Picture 37" descr="Srtiped Blue C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rtiped Blue Crow"/>
                    <pic:cNvPicPr>
                      <a:picLocks noChangeAspect="1" noChangeArrowheads="1"/>
                    </pic:cNvPicPr>
                  </pic:nvPicPr>
                  <pic:blipFill>
                    <a:blip r:embed="rId65" cstate="print"/>
                    <a:srcRect/>
                    <a:stretch>
                      <a:fillRect/>
                    </a:stretch>
                  </pic:blipFill>
                  <pic:spPr bwMode="auto">
                    <a:xfrm>
                      <a:off x="0" y="0"/>
                      <a:ext cx="2764155" cy="1998345"/>
                    </a:xfrm>
                    <a:prstGeom prst="rect">
                      <a:avLst/>
                    </a:prstGeom>
                    <a:noFill/>
                  </pic:spPr>
                </pic:pic>
              </a:graphicData>
            </a:graphic>
          </wp:anchor>
        </w:drawing>
      </w:r>
      <w:r w:rsidRPr="00D37026">
        <w:rPr>
          <w:b/>
          <w:noProof/>
        </w:rPr>
        <w:drawing>
          <wp:anchor distT="0" distB="0" distL="114300" distR="114300" simplePos="0" relativeHeight="251713536" behindDoc="1" locked="0" layoutInCell="1" allowOverlap="1" wp14:anchorId="640CAA30" wp14:editId="54E9DBBD">
            <wp:simplePos x="0" y="0"/>
            <wp:positionH relativeFrom="column">
              <wp:posOffset>151130</wp:posOffset>
            </wp:positionH>
            <wp:positionV relativeFrom="paragraph">
              <wp:posOffset>322580</wp:posOffset>
            </wp:positionV>
            <wp:extent cx="2615565" cy="1997075"/>
            <wp:effectExtent l="19050" t="0" r="0" b="0"/>
            <wp:wrapThrough wrapText="bothSides">
              <wp:wrapPolygon edited="0">
                <wp:start x="-157" y="0"/>
                <wp:lineTo x="-157" y="21428"/>
                <wp:lineTo x="21553" y="21428"/>
                <wp:lineTo x="21553" y="0"/>
                <wp:lineTo x="-157" y="0"/>
              </wp:wrapPolygon>
            </wp:wrapThrough>
            <wp:docPr id="30" name="Picture 30" descr="Common Fiv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ommon Five-ring"/>
                    <pic:cNvPicPr>
                      <a:picLocks noChangeAspect="1" noChangeArrowheads="1"/>
                    </pic:cNvPicPr>
                  </pic:nvPicPr>
                  <pic:blipFill>
                    <a:blip r:embed="rId66"/>
                    <a:srcRect/>
                    <a:stretch>
                      <a:fillRect/>
                    </a:stretch>
                  </pic:blipFill>
                  <pic:spPr bwMode="auto">
                    <a:xfrm>
                      <a:off x="0" y="0"/>
                      <a:ext cx="2615565" cy="1997075"/>
                    </a:xfrm>
                    <a:prstGeom prst="rect">
                      <a:avLst/>
                    </a:prstGeom>
                    <a:noFill/>
                  </pic:spPr>
                </pic:pic>
              </a:graphicData>
            </a:graphic>
          </wp:anchor>
        </w:drawing>
      </w:r>
      <w:r w:rsidR="00642A6D" w:rsidRPr="00D37026">
        <w:rPr>
          <w:b/>
        </w:rPr>
        <w:t>Tawny Coster</w:t>
      </w:r>
      <w:r w:rsidR="00025105">
        <w:rPr>
          <w:b/>
        </w:rPr>
        <w:t xml:space="preserve">                                                                            </w:t>
      </w:r>
      <w:r w:rsidR="00642A6D" w:rsidRPr="00D37026">
        <w:rPr>
          <w:b/>
          <w:color w:val="222222"/>
          <w:shd w:val="clear" w:color="auto" w:fill="FFFFFF"/>
        </w:rPr>
        <w:t xml:space="preserve">Great </w:t>
      </w:r>
      <w:proofErr w:type="spellStart"/>
      <w:r w:rsidR="00642A6D" w:rsidRPr="00D37026">
        <w:rPr>
          <w:b/>
          <w:color w:val="222222"/>
          <w:shd w:val="clear" w:color="auto" w:fill="FFFFFF"/>
        </w:rPr>
        <w:t>Eggfly</w:t>
      </w:r>
      <w:proofErr w:type="spellEnd"/>
      <w:r w:rsidR="00642A6D" w:rsidRPr="00D37026">
        <w:rPr>
          <w:b/>
          <w:color w:val="222222"/>
          <w:shd w:val="clear" w:color="auto" w:fill="FFFFFF"/>
        </w:rPr>
        <w:t>&amp; Lemon Pansy</w:t>
      </w:r>
    </w:p>
    <w:p w14:paraId="1449E36E" w14:textId="77777777" w:rsidR="002711C6" w:rsidRPr="00D37026" w:rsidRDefault="002711C6" w:rsidP="00B07E5B">
      <w:pPr>
        <w:pStyle w:val="NormalWeb"/>
        <w:rPr>
          <w:b/>
        </w:rPr>
      </w:pPr>
    </w:p>
    <w:p w14:paraId="71A6A396" w14:textId="77777777" w:rsidR="002711C6" w:rsidRPr="00D37026" w:rsidRDefault="002711C6" w:rsidP="00B07E5B">
      <w:pPr>
        <w:pStyle w:val="NormalWeb"/>
        <w:rPr>
          <w:b/>
        </w:rPr>
      </w:pPr>
    </w:p>
    <w:p w14:paraId="20DEAD47" w14:textId="77777777" w:rsidR="002711C6" w:rsidRPr="00D37026" w:rsidRDefault="002711C6" w:rsidP="00B07E5B">
      <w:pPr>
        <w:pStyle w:val="NormalWeb"/>
        <w:rPr>
          <w:b/>
        </w:rPr>
      </w:pPr>
    </w:p>
    <w:p w14:paraId="19AA32F8" w14:textId="77777777" w:rsidR="002711C6" w:rsidRPr="00D37026" w:rsidRDefault="002711C6" w:rsidP="00B07E5B">
      <w:pPr>
        <w:pStyle w:val="NormalWeb"/>
        <w:rPr>
          <w:b/>
        </w:rPr>
      </w:pPr>
    </w:p>
    <w:p w14:paraId="31721415" w14:textId="77777777" w:rsidR="002711C6" w:rsidRPr="00D37026" w:rsidRDefault="002711C6" w:rsidP="00B07E5B">
      <w:pPr>
        <w:pStyle w:val="NormalWeb"/>
        <w:rPr>
          <w:b/>
        </w:rPr>
      </w:pPr>
    </w:p>
    <w:p w14:paraId="0079481E" w14:textId="77777777" w:rsidR="002711C6" w:rsidRPr="00D37026" w:rsidRDefault="002711C6" w:rsidP="00B07E5B">
      <w:pPr>
        <w:pStyle w:val="NormalWeb"/>
        <w:rPr>
          <w:b/>
        </w:rPr>
      </w:pPr>
    </w:p>
    <w:p w14:paraId="47D05C3F" w14:textId="77777777" w:rsidR="00217B5B" w:rsidRPr="00D37026" w:rsidRDefault="00025105" w:rsidP="00AC17D5">
      <w:pPr>
        <w:pStyle w:val="NormalWeb"/>
        <w:rPr>
          <w:b/>
          <w:color w:val="222222"/>
          <w:shd w:val="clear" w:color="auto" w:fill="FFFFFF"/>
        </w:rPr>
      </w:pPr>
      <w:r>
        <w:rPr>
          <w:b/>
        </w:rPr>
        <w:t xml:space="preserve">                       </w:t>
      </w:r>
      <w:r w:rsidR="0033275E" w:rsidRPr="00D37026">
        <w:rPr>
          <w:b/>
        </w:rPr>
        <w:t>Common Five-ring</w:t>
      </w:r>
      <w:r>
        <w:rPr>
          <w:b/>
        </w:rPr>
        <w:t xml:space="preserve">                                                       </w:t>
      </w:r>
      <w:r w:rsidR="00F02A6C" w:rsidRPr="00D37026">
        <w:rPr>
          <w:b/>
          <w:color w:val="222222"/>
          <w:shd w:val="clear" w:color="auto" w:fill="FFFFFF"/>
        </w:rPr>
        <w:t>Striped Blue Cro</w:t>
      </w:r>
      <w:r w:rsidR="00AC17D5" w:rsidRPr="00D37026">
        <w:rPr>
          <w:b/>
          <w:color w:val="222222"/>
          <w:shd w:val="clear" w:color="auto" w:fill="FFFFFF"/>
        </w:rPr>
        <w:t>w</w:t>
      </w:r>
    </w:p>
    <w:p w14:paraId="1F6FC351" w14:textId="77777777" w:rsidR="0071311C" w:rsidRPr="00D37026" w:rsidRDefault="009A695E" w:rsidP="00AC17D5">
      <w:pPr>
        <w:pStyle w:val="NormalWeb"/>
        <w:rPr>
          <w:b/>
        </w:rPr>
      </w:pPr>
      <w:r w:rsidRPr="00D37026">
        <w:rPr>
          <w:b/>
          <w:noProof/>
          <w:color w:val="222222"/>
        </w:rPr>
        <w:lastRenderedPageBreak/>
        <w:drawing>
          <wp:anchor distT="0" distB="0" distL="114300" distR="114300" simplePos="0" relativeHeight="251721728" behindDoc="0" locked="0" layoutInCell="1" allowOverlap="1" wp14:anchorId="2A9FB582" wp14:editId="4C02F984">
            <wp:simplePos x="0" y="0"/>
            <wp:positionH relativeFrom="column">
              <wp:posOffset>3140075</wp:posOffset>
            </wp:positionH>
            <wp:positionV relativeFrom="paragraph">
              <wp:posOffset>384810</wp:posOffset>
            </wp:positionV>
            <wp:extent cx="3012440" cy="2068830"/>
            <wp:effectExtent l="19050" t="0" r="0" b="0"/>
            <wp:wrapThrough wrapText="bothSides">
              <wp:wrapPolygon edited="0">
                <wp:start x="-137" y="0"/>
                <wp:lineTo x="-137" y="21481"/>
                <wp:lineTo x="21582" y="21481"/>
                <wp:lineTo x="21582" y="0"/>
                <wp:lineTo x="-137" y="0"/>
              </wp:wrapPolygon>
            </wp:wrapThrough>
            <wp:docPr id="11" name="Picture 3" descr="D:\Tea estate paper\Butterfly photos\Common Bush Hopp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a estate paper\Butterfly photos\Common Bush Hopper.jpeg"/>
                    <pic:cNvPicPr>
                      <a:picLocks noChangeAspect="1" noChangeArrowheads="1"/>
                    </pic:cNvPicPr>
                  </pic:nvPicPr>
                  <pic:blipFill>
                    <a:blip r:embed="rId67"/>
                    <a:srcRect/>
                    <a:stretch>
                      <a:fillRect/>
                    </a:stretch>
                  </pic:blipFill>
                  <pic:spPr bwMode="auto">
                    <a:xfrm>
                      <a:off x="0" y="0"/>
                      <a:ext cx="3012440" cy="2068830"/>
                    </a:xfrm>
                    <a:prstGeom prst="rect">
                      <a:avLst/>
                    </a:prstGeom>
                    <a:noFill/>
                    <a:ln w="9525">
                      <a:noFill/>
                      <a:miter lim="800000"/>
                      <a:headEnd/>
                      <a:tailEnd/>
                    </a:ln>
                  </pic:spPr>
                </pic:pic>
              </a:graphicData>
            </a:graphic>
          </wp:anchor>
        </w:drawing>
      </w:r>
      <w:proofErr w:type="spellStart"/>
      <w:r w:rsidR="0071311C" w:rsidRPr="00D37026">
        <w:rPr>
          <w:b/>
          <w:color w:val="222222"/>
          <w:shd w:val="clear" w:color="auto" w:fill="FFFFFF"/>
        </w:rPr>
        <w:t>Family</w:t>
      </w:r>
      <w:r w:rsidR="00967659" w:rsidRPr="00D37026">
        <w:rPr>
          <w:b/>
          <w:color w:val="222222"/>
          <w:shd w:val="clear" w:color="auto" w:fill="FFFFFF"/>
        </w:rPr>
        <w:t>:</w:t>
      </w:r>
      <w:r w:rsidR="00967659" w:rsidRPr="00D37026">
        <w:rPr>
          <w:b/>
        </w:rPr>
        <w:t>Hesperiidae</w:t>
      </w:r>
      <w:proofErr w:type="spellEnd"/>
    </w:p>
    <w:p w14:paraId="1DA4C4FB" w14:textId="77777777" w:rsidR="002D0895" w:rsidRPr="00D37026" w:rsidRDefault="009A695E" w:rsidP="002D0895">
      <w:pPr>
        <w:pStyle w:val="NormalWeb"/>
        <w:spacing w:before="0" w:beforeAutospacing="0" w:after="0" w:afterAutospacing="0"/>
      </w:pPr>
      <w:r w:rsidRPr="00D37026">
        <w:rPr>
          <w:noProof/>
        </w:rPr>
        <w:drawing>
          <wp:anchor distT="0" distB="0" distL="114300" distR="114300" simplePos="0" relativeHeight="251720704" behindDoc="0" locked="0" layoutInCell="1" allowOverlap="1" wp14:anchorId="292B2D1F" wp14:editId="786ED4E0">
            <wp:simplePos x="0" y="0"/>
            <wp:positionH relativeFrom="column">
              <wp:posOffset>-5080</wp:posOffset>
            </wp:positionH>
            <wp:positionV relativeFrom="paragraph">
              <wp:posOffset>31750</wp:posOffset>
            </wp:positionV>
            <wp:extent cx="2856230" cy="2068830"/>
            <wp:effectExtent l="19050" t="0" r="1270" b="0"/>
            <wp:wrapThrough wrapText="bothSides">
              <wp:wrapPolygon edited="0">
                <wp:start x="-144" y="0"/>
                <wp:lineTo x="-144" y="21481"/>
                <wp:lineTo x="21610" y="21481"/>
                <wp:lineTo x="21610" y="0"/>
                <wp:lineTo x="-144" y="0"/>
              </wp:wrapPolygon>
            </wp:wrapThrough>
            <wp:docPr id="2" name="Picture 2" descr="D:\Tea estate paper\Butterfly photos\Fulvous pied Fl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ea estate paper\Butterfly photos\Fulvous pied Flat.jpeg"/>
                    <pic:cNvPicPr>
                      <a:picLocks noChangeAspect="1" noChangeArrowheads="1"/>
                    </pic:cNvPicPr>
                  </pic:nvPicPr>
                  <pic:blipFill>
                    <a:blip r:embed="rId68"/>
                    <a:srcRect/>
                    <a:stretch>
                      <a:fillRect/>
                    </a:stretch>
                  </pic:blipFill>
                  <pic:spPr bwMode="auto">
                    <a:xfrm>
                      <a:off x="0" y="0"/>
                      <a:ext cx="2856230" cy="2068830"/>
                    </a:xfrm>
                    <a:prstGeom prst="rect">
                      <a:avLst/>
                    </a:prstGeom>
                    <a:noFill/>
                    <a:ln w="9525">
                      <a:noFill/>
                      <a:miter lim="800000"/>
                      <a:headEnd/>
                      <a:tailEnd/>
                    </a:ln>
                  </pic:spPr>
                </pic:pic>
              </a:graphicData>
            </a:graphic>
          </wp:anchor>
        </w:drawing>
      </w:r>
    </w:p>
    <w:p w14:paraId="5525A0C2" w14:textId="77777777" w:rsidR="00243237" w:rsidRPr="002D0895" w:rsidRDefault="00F60551" w:rsidP="002D0895">
      <w:pPr>
        <w:pStyle w:val="NormalWeb"/>
        <w:spacing w:before="0" w:beforeAutospacing="0" w:after="0" w:afterAutospacing="0"/>
      </w:pPr>
      <w:r>
        <w:rPr>
          <w:b/>
        </w:rPr>
        <w:t xml:space="preserve">                          </w:t>
      </w:r>
      <w:r w:rsidR="00243237" w:rsidRPr="00D37026">
        <w:rPr>
          <w:b/>
        </w:rPr>
        <w:t xml:space="preserve">Fulvous Pied Flat </w:t>
      </w:r>
      <w:r>
        <w:rPr>
          <w:b/>
        </w:rPr>
        <w:t xml:space="preserve">                                           </w:t>
      </w:r>
      <w:r w:rsidR="00243237" w:rsidRPr="00D37026">
        <w:rPr>
          <w:b/>
        </w:rPr>
        <w:t>Common Bush Hopper</w:t>
      </w:r>
    </w:p>
    <w:sectPr w:rsidR="00243237" w:rsidRPr="002D0895" w:rsidSect="00533EAA">
      <w:headerReference w:type="even" r:id="rId69"/>
      <w:headerReference w:type="default" r:id="rId70"/>
      <w:footerReference w:type="even" r:id="rId71"/>
      <w:footerReference w:type="default" r:id="rId72"/>
      <w:headerReference w:type="first" r:id="rId73"/>
      <w:footerReference w:type="first" r:id="rId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C9C49" w14:textId="77777777" w:rsidR="00DA5E42" w:rsidRDefault="00DA5E42" w:rsidP="00AD5E98">
      <w:pPr>
        <w:spacing w:after="0" w:line="240" w:lineRule="auto"/>
      </w:pPr>
      <w:r>
        <w:separator/>
      </w:r>
    </w:p>
  </w:endnote>
  <w:endnote w:type="continuationSeparator" w:id="0">
    <w:p w14:paraId="4C87A8CC" w14:textId="77777777" w:rsidR="00DA5E42" w:rsidRDefault="00DA5E42" w:rsidP="00AD5E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4D5F" w14:textId="77777777" w:rsidR="00533EAA" w:rsidRDefault="00533E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076154"/>
      <w:docPartObj>
        <w:docPartGallery w:val="Page Numbers (Bottom of Page)"/>
        <w:docPartUnique/>
      </w:docPartObj>
    </w:sdtPr>
    <w:sdtContent>
      <w:p w14:paraId="3A98049E" w14:textId="77777777" w:rsidR="00B07854" w:rsidRDefault="00952314">
        <w:pPr>
          <w:pStyle w:val="Footer"/>
          <w:jc w:val="center"/>
        </w:pPr>
        <w:r>
          <w:fldChar w:fldCharType="begin"/>
        </w:r>
        <w:r w:rsidR="007E037E">
          <w:instrText xml:space="preserve"> PAGE   \* MERGEFORMAT </w:instrText>
        </w:r>
        <w:r>
          <w:fldChar w:fldCharType="separate"/>
        </w:r>
        <w:r w:rsidR="0021109B">
          <w:rPr>
            <w:noProof/>
          </w:rPr>
          <w:t>1</w:t>
        </w:r>
        <w:r>
          <w:rPr>
            <w:noProof/>
          </w:rPr>
          <w:fldChar w:fldCharType="end"/>
        </w:r>
      </w:p>
    </w:sdtContent>
  </w:sdt>
  <w:p w14:paraId="74F5F564" w14:textId="77777777" w:rsidR="00B07854" w:rsidRDefault="00B078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57B7" w14:textId="77777777" w:rsidR="00533EAA" w:rsidRDefault="00533E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2D387" w14:textId="77777777" w:rsidR="00DA5E42" w:rsidRDefault="00DA5E42" w:rsidP="00AD5E98">
      <w:pPr>
        <w:spacing w:after="0" w:line="240" w:lineRule="auto"/>
      </w:pPr>
      <w:r>
        <w:separator/>
      </w:r>
    </w:p>
  </w:footnote>
  <w:footnote w:type="continuationSeparator" w:id="0">
    <w:p w14:paraId="19F45B6A" w14:textId="77777777" w:rsidR="00DA5E42" w:rsidRDefault="00DA5E42" w:rsidP="00AD5E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28074" w14:textId="77777777" w:rsidR="00533EAA" w:rsidRDefault="00000000">
    <w:pPr>
      <w:pStyle w:val="Header"/>
    </w:pPr>
    <w:r>
      <w:rPr>
        <w:noProof/>
      </w:rPr>
      <w:pict w14:anchorId="095F9F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9856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62C33" w14:textId="77777777" w:rsidR="00533EAA" w:rsidRDefault="00000000">
    <w:pPr>
      <w:pStyle w:val="Header"/>
    </w:pPr>
    <w:r>
      <w:rPr>
        <w:noProof/>
      </w:rPr>
      <w:pict w14:anchorId="3481E0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9856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954C" w14:textId="77777777" w:rsidR="00533EAA" w:rsidRDefault="00000000">
    <w:pPr>
      <w:pStyle w:val="Header"/>
    </w:pPr>
    <w:r>
      <w:rPr>
        <w:noProof/>
      </w:rPr>
      <w:pict w14:anchorId="759419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9856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209"/>
    <w:multiLevelType w:val="hybridMultilevel"/>
    <w:tmpl w:val="0FBE4496"/>
    <w:lvl w:ilvl="0" w:tplc="E3F6D53C">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49A75394"/>
    <w:multiLevelType w:val="hybridMultilevel"/>
    <w:tmpl w:val="10F61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0D03C6"/>
    <w:multiLevelType w:val="multilevel"/>
    <w:tmpl w:val="D0F86994"/>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80D79F4"/>
    <w:multiLevelType w:val="hybridMultilevel"/>
    <w:tmpl w:val="C7A6C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2444398">
    <w:abstractNumId w:val="0"/>
  </w:num>
  <w:num w:numId="2" w16cid:durableId="752825144">
    <w:abstractNumId w:val="1"/>
  </w:num>
  <w:num w:numId="3" w16cid:durableId="1828015409">
    <w:abstractNumId w:val="3"/>
  </w:num>
  <w:num w:numId="4" w16cid:durableId="1696535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25C1"/>
    <w:rsid w:val="0000034F"/>
    <w:rsid w:val="00000C35"/>
    <w:rsid w:val="00006939"/>
    <w:rsid w:val="00006B28"/>
    <w:rsid w:val="000140D2"/>
    <w:rsid w:val="00016E0A"/>
    <w:rsid w:val="00025105"/>
    <w:rsid w:val="0003074C"/>
    <w:rsid w:val="00030E74"/>
    <w:rsid w:val="00043AFB"/>
    <w:rsid w:val="000447FD"/>
    <w:rsid w:val="000458D7"/>
    <w:rsid w:val="00047F61"/>
    <w:rsid w:val="00053E04"/>
    <w:rsid w:val="0005472A"/>
    <w:rsid w:val="000579B3"/>
    <w:rsid w:val="000605EC"/>
    <w:rsid w:val="00060E46"/>
    <w:rsid w:val="000614DC"/>
    <w:rsid w:val="000626FA"/>
    <w:rsid w:val="00064875"/>
    <w:rsid w:val="000661E5"/>
    <w:rsid w:val="000707AE"/>
    <w:rsid w:val="00070B16"/>
    <w:rsid w:val="000744D4"/>
    <w:rsid w:val="000822B8"/>
    <w:rsid w:val="000871E1"/>
    <w:rsid w:val="000876AB"/>
    <w:rsid w:val="000974C1"/>
    <w:rsid w:val="000A37AA"/>
    <w:rsid w:val="000B5942"/>
    <w:rsid w:val="000C0E84"/>
    <w:rsid w:val="000C2CBD"/>
    <w:rsid w:val="000C3CD9"/>
    <w:rsid w:val="000C554F"/>
    <w:rsid w:val="000D1ACD"/>
    <w:rsid w:val="000D602F"/>
    <w:rsid w:val="000E1CB0"/>
    <w:rsid w:val="000E5F0E"/>
    <w:rsid w:val="000E6A94"/>
    <w:rsid w:val="000E7AD2"/>
    <w:rsid w:val="000F28EB"/>
    <w:rsid w:val="00101A46"/>
    <w:rsid w:val="0011157A"/>
    <w:rsid w:val="001135C2"/>
    <w:rsid w:val="00113678"/>
    <w:rsid w:val="00117D5F"/>
    <w:rsid w:val="001204FC"/>
    <w:rsid w:val="00121112"/>
    <w:rsid w:val="0012121F"/>
    <w:rsid w:val="00122298"/>
    <w:rsid w:val="00125C9F"/>
    <w:rsid w:val="0012738C"/>
    <w:rsid w:val="001313F9"/>
    <w:rsid w:val="00131DC0"/>
    <w:rsid w:val="00134E39"/>
    <w:rsid w:val="00134EBD"/>
    <w:rsid w:val="001403ED"/>
    <w:rsid w:val="00146EE3"/>
    <w:rsid w:val="00147B58"/>
    <w:rsid w:val="00154148"/>
    <w:rsid w:val="00154E88"/>
    <w:rsid w:val="00155018"/>
    <w:rsid w:val="00163FBD"/>
    <w:rsid w:val="00165DE5"/>
    <w:rsid w:val="001662D1"/>
    <w:rsid w:val="001726FB"/>
    <w:rsid w:val="00173C9A"/>
    <w:rsid w:val="001755DC"/>
    <w:rsid w:val="0018008F"/>
    <w:rsid w:val="0018081F"/>
    <w:rsid w:val="00184CF4"/>
    <w:rsid w:val="00186974"/>
    <w:rsid w:val="00187190"/>
    <w:rsid w:val="00191A8D"/>
    <w:rsid w:val="0019317A"/>
    <w:rsid w:val="00196AB5"/>
    <w:rsid w:val="001A3040"/>
    <w:rsid w:val="001A5C92"/>
    <w:rsid w:val="001A78E5"/>
    <w:rsid w:val="001B51B1"/>
    <w:rsid w:val="001B5FE2"/>
    <w:rsid w:val="001B7462"/>
    <w:rsid w:val="001C31B6"/>
    <w:rsid w:val="001C7F28"/>
    <w:rsid w:val="001C7FDD"/>
    <w:rsid w:val="001D3BF6"/>
    <w:rsid w:val="001D4BF5"/>
    <w:rsid w:val="001E0F53"/>
    <w:rsid w:val="001E387A"/>
    <w:rsid w:val="001F0E8B"/>
    <w:rsid w:val="001F2D80"/>
    <w:rsid w:val="002017A0"/>
    <w:rsid w:val="00202546"/>
    <w:rsid w:val="00203422"/>
    <w:rsid w:val="0020656F"/>
    <w:rsid w:val="00206AA4"/>
    <w:rsid w:val="0021109B"/>
    <w:rsid w:val="0021423B"/>
    <w:rsid w:val="00214DDD"/>
    <w:rsid w:val="00216B55"/>
    <w:rsid w:val="00217B5B"/>
    <w:rsid w:val="00223D07"/>
    <w:rsid w:val="00230BBA"/>
    <w:rsid w:val="0023208B"/>
    <w:rsid w:val="00234039"/>
    <w:rsid w:val="00243237"/>
    <w:rsid w:val="002461BC"/>
    <w:rsid w:val="00252C43"/>
    <w:rsid w:val="00253E9B"/>
    <w:rsid w:val="00254A22"/>
    <w:rsid w:val="002711C6"/>
    <w:rsid w:val="002725C1"/>
    <w:rsid w:val="00284F16"/>
    <w:rsid w:val="00292DAC"/>
    <w:rsid w:val="0029496E"/>
    <w:rsid w:val="00295047"/>
    <w:rsid w:val="00295821"/>
    <w:rsid w:val="00297786"/>
    <w:rsid w:val="002A0E6A"/>
    <w:rsid w:val="002A5DC7"/>
    <w:rsid w:val="002B16C1"/>
    <w:rsid w:val="002B346F"/>
    <w:rsid w:val="002B4E0A"/>
    <w:rsid w:val="002B5AD6"/>
    <w:rsid w:val="002B6316"/>
    <w:rsid w:val="002C0666"/>
    <w:rsid w:val="002C26CD"/>
    <w:rsid w:val="002C3983"/>
    <w:rsid w:val="002C5E29"/>
    <w:rsid w:val="002C78BB"/>
    <w:rsid w:val="002D0895"/>
    <w:rsid w:val="002D14ED"/>
    <w:rsid w:val="002D7FF9"/>
    <w:rsid w:val="002E1D21"/>
    <w:rsid w:val="002E4D8C"/>
    <w:rsid w:val="002E537C"/>
    <w:rsid w:val="002E61C3"/>
    <w:rsid w:val="002E6B5C"/>
    <w:rsid w:val="003026B8"/>
    <w:rsid w:val="003035D7"/>
    <w:rsid w:val="0030457C"/>
    <w:rsid w:val="00314A5B"/>
    <w:rsid w:val="00317390"/>
    <w:rsid w:val="0032042F"/>
    <w:rsid w:val="00323946"/>
    <w:rsid w:val="003241DE"/>
    <w:rsid w:val="00326DEC"/>
    <w:rsid w:val="0033275E"/>
    <w:rsid w:val="00332E1E"/>
    <w:rsid w:val="00333F99"/>
    <w:rsid w:val="003350A9"/>
    <w:rsid w:val="0033525C"/>
    <w:rsid w:val="003358E9"/>
    <w:rsid w:val="00346558"/>
    <w:rsid w:val="003468E7"/>
    <w:rsid w:val="00346FBA"/>
    <w:rsid w:val="0035606F"/>
    <w:rsid w:val="003574A2"/>
    <w:rsid w:val="00366367"/>
    <w:rsid w:val="0037241A"/>
    <w:rsid w:val="00372CD0"/>
    <w:rsid w:val="0037455E"/>
    <w:rsid w:val="003765C8"/>
    <w:rsid w:val="0037789C"/>
    <w:rsid w:val="00380346"/>
    <w:rsid w:val="00385A97"/>
    <w:rsid w:val="00387BAC"/>
    <w:rsid w:val="00391DDB"/>
    <w:rsid w:val="003933DE"/>
    <w:rsid w:val="00393B41"/>
    <w:rsid w:val="00396939"/>
    <w:rsid w:val="0039780F"/>
    <w:rsid w:val="003A3E1A"/>
    <w:rsid w:val="003A78AB"/>
    <w:rsid w:val="003B3516"/>
    <w:rsid w:val="003B611F"/>
    <w:rsid w:val="003C0C9E"/>
    <w:rsid w:val="003C15DB"/>
    <w:rsid w:val="003C2988"/>
    <w:rsid w:val="003C2FAE"/>
    <w:rsid w:val="003C3585"/>
    <w:rsid w:val="003C35E4"/>
    <w:rsid w:val="003C7B99"/>
    <w:rsid w:val="003D0315"/>
    <w:rsid w:val="003D0612"/>
    <w:rsid w:val="003D2B06"/>
    <w:rsid w:val="003D4762"/>
    <w:rsid w:val="003D545F"/>
    <w:rsid w:val="003E5BCA"/>
    <w:rsid w:val="003F08CD"/>
    <w:rsid w:val="003F0A1D"/>
    <w:rsid w:val="003F7241"/>
    <w:rsid w:val="00403457"/>
    <w:rsid w:val="004042A2"/>
    <w:rsid w:val="00405EF3"/>
    <w:rsid w:val="00420E95"/>
    <w:rsid w:val="00422263"/>
    <w:rsid w:val="00423498"/>
    <w:rsid w:val="00430936"/>
    <w:rsid w:val="00430F48"/>
    <w:rsid w:val="0043142B"/>
    <w:rsid w:val="00431DBC"/>
    <w:rsid w:val="00432985"/>
    <w:rsid w:val="00433D1A"/>
    <w:rsid w:val="00433E9E"/>
    <w:rsid w:val="00441545"/>
    <w:rsid w:val="00443488"/>
    <w:rsid w:val="00444C41"/>
    <w:rsid w:val="004455FD"/>
    <w:rsid w:val="00446E65"/>
    <w:rsid w:val="004730C0"/>
    <w:rsid w:val="00480C15"/>
    <w:rsid w:val="004837C0"/>
    <w:rsid w:val="00491C89"/>
    <w:rsid w:val="0049531B"/>
    <w:rsid w:val="00497CE2"/>
    <w:rsid w:val="004A0308"/>
    <w:rsid w:val="004A0F12"/>
    <w:rsid w:val="004A67C6"/>
    <w:rsid w:val="004B49D0"/>
    <w:rsid w:val="004B506E"/>
    <w:rsid w:val="004B7404"/>
    <w:rsid w:val="004B7C08"/>
    <w:rsid w:val="004C3190"/>
    <w:rsid w:val="004D346D"/>
    <w:rsid w:val="004D3515"/>
    <w:rsid w:val="004E1A6C"/>
    <w:rsid w:val="004E3721"/>
    <w:rsid w:val="00501E1B"/>
    <w:rsid w:val="00510599"/>
    <w:rsid w:val="00511843"/>
    <w:rsid w:val="005137C1"/>
    <w:rsid w:val="00514853"/>
    <w:rsid w:val="00514C63"/>
    <w:rsid w:val="005154EE"/>
    <w:rsid w:val="005162BC"/>
    <w:rsid w:val="0052338D"/>
    <w:rsid w:val="005243E1"/>
    <w:rsid w:val="0052479C"/>
    <w:rsid w:val="00532EF8"/>
    <w:rsid w:val="0053392E"/>
    <w:rsid w:val="00533EAA"/>
    <w:rsid w:val="0053640A"/>
    <w:rsid w:val="005430C6"/>
    <w:rsid w:val="005458F7"/>
    <w:rsid w:val="00547684"/>
    <w:rsid w:val="0054775E"/>
    <w:rsid w:val="005534EA"/>
    <w:rsid w:val="00553FBB"/>
    <w:rsid w:val="0055542D"/>
    <w:rsid w:val="00556F1A"/>
    <w:rsid w:val="00560BBF"/>
    <w:rsid w:val="00561146"/>
    <w:rsid w:val="00561E9E"/>
    <w:rsid w:val="00563D18"/>
    <w:rsid w:val="00563DFE"/>
    <w:rsid w:val="005703FA"/>
    <w:rsid w:val="00570DC1"/>
    <w:rsid w:val="00572CF0"/>
    <w:rsid w:val="0057340C"/>
    <w:rsid w:val="0058031A"/>
    <w:rsid w:val="00584FF5"/>
    <w:rsid w:val="00586C96"/>
    <w:rsid w:val="005875BD"/>
    <w:rsid w:val="0058764B"/>
    <w:rsid w:val="00590322"/>
    <w:rsid w:val="00590716"/>
    <w:rsid w:val="0059251E"/>
    <w:rsid w:val="005952E4"/>
    <w:rsid w:val="00596E34"/>
    <w:rsid w:val="005A05BE"/>
    <w:rsid w:val="005A0C33"/>
    <w:rsid w:val="005A7821"/>
    <w:rsid w:val="005B2E7D"/>
    <w:rsid w:val="005B54BB"/>
    <w:rsid w:val="005B660B"/>
    <w:rsid w:val="005C1388"/>
    <w:rsid w:val="005C139F"/>
    <w:rsid w:val="005C27E6"/>
    <w:rsid w:val="005C36AC"/>
    <w:rsid w:val="005C4C6D"/>
    <w:rsid w:val="005C53F2"/>
    <w:rsid w:val="005C6EE5"/>
    <w:rsid w:val="005D034F"/>
    <w:rsid w:val="005D04D3"/>
    <w:rsid w:val="005D0BFC"/>
    <w:rsid w:val="005D3265"/>
    <w:rsid w:val="005E2406"/>
    <w:rsid w:val="005E5937"/>
    <w:rsid w:val="005F1847"/>
    <w:rsid w:val="005F682E"/>
    <w:rsid w:val="005F6E1A"/>
    <w:rsid w:val="00603F7A"/>
    <w:rsid w:val="006042D5"/>
    <w:rsid w:val="00605E91"/>
    <w:rsid w:val="006069F5"/>
    <w:rsid w:val="00614B51"/>
    <w:rsid w:val="0061511A"/>
    <w:rsid w:val="00615301"/>
    <w:rsid w:val="00616A2D"/>
    <w:rsid w:val="00622892"/>
    <w:rsid w:val="00625077"/>
    <w:rsid w:val="00630116"/>
    <w:rsid w:val="00631B20"/>
    <w:rsid w:val="00635E23"/>
    <w:rsid w:val="00636963"/>
    <w:rsid w:val="00642604"/>
    <w:rsid w:val="00642A6D"/>
    <w:rsid w:val="00647F76"/>
    <w:rsid w:val="00652944"/>
    <w:rsid w:val="00656297"/>
    <w:rsid w:val="00657B5C"/>
    <w:rsid w:val="00663FFB"/>
    <w:rsid w:val="006664B3"/>
    <w:rsid w:val="006740A6"/>
    <w:rsid w:val="00674989"/>
    <w:rsid w:val="00676F16"/>
    <w:rsid w:val="00682294"/>
    <w:rsid w:val="00685B7A"/>
    <w:rsid w:val="0069497B"/>
    <w:rsid w:val="00696F40"/>
    <w:rsid w:val="006A1B67"/>
    <w:rsid w:val="006A3914"/>
    <w:rsid w:val="006A3935"/>
    <w:rsid w:val="006A4CE4"/>
    <w:rsid w:val="006A7801"/>
    <w:rsid w:val="006B1D4A"/>
    <w:rsid w:val="006B339E"/>
    <w:rsid w:val="006B38D1"/>
    <w:rsid w:val="006B4F11"/>
    <w:rsid w:val="006B7F99"/>
    <w:rsid w:val="006C1A1C"/>
    <w:rsid w:val="006C1C5C"/>
    <w:rsid w:val="006C3332"/>
    <w:rsid w:val="006C3ABA"/>
    <w:rsid w:val="006C68B3"/>
    <w:rsid w:val="006C706D"/>
    <w:rsid w:val="006D0FD3"/>
    <w:rsid w:val="006D2297"/>
    <w:rsid w:val="006E094B"/>
    <w:rsid w:val="006E3D76"/>
    <w:rsid w:val="006F0603"/>
    <w:rsid w:val="006F2A88"/>
    <w:rsid w:val="007055E0"/>
    <w:rsid w:val="00705D46"/>
    <w:rsid w:val="007061EA"/>
    <w:rsid w:val="00711DBF"/>
    <w:rsid w:val="0071311C"/>
    <w:rsid w:val="007133E2"/>
    <w:rsid w:val="0071626B"/>
    <w:rsid w:val="007164DF"/>
    <w:rsid w:val="00716E0A"/>
    <w:rsid w:val="0071715A"/>
    <w:rsid w:val="00721CF2"/>
    <w:rsid w:val="00723B10"/>
    <w:rsid w:val="0073101F"/>
    <w:rsid w:val="007313F7"/>
    <w:rsid w:val="00732CC2"/>
    <w:rsid w:val="007339D5"/>
    <w:rsid w:val="00733D92"/>
    <w:rsid w:val="00733E1A"/>
    <w:rsid w:val="007438EA"/>
    <w:rsid w:val="007439FC"/>
    <w:rsid w:val="00746691"/>
    <w:rsid w:val="0075105A"/>
    <w:rsid w:val="00751C93"/>
    <w:rsid w:val="00760C81"/>
    <w:rsid w:val="00760D35"/>
    <w:rsid w:val="00767776"/>
    <w:rsid w:val="00771CC3"/>
    <w:rsid w:val="0077204F"/>
    <w:rsid w:val="00772ADC"/>
    <w:rsid w:val="0078068A"/>
    <w:rsid w:val="00780B8A"/>
    <w:rsid w:val="00780D29"/>
    <w:rsid w:val="007814F4"/>
    <w:rsid w:val="00782547"/>
    <w:rsid w:val="00790760"/>
    <w:rsid w:val="00794301"/>
    <w:rsid w:val="007A052F"/>
    <w:rsid w:val="007A30C0"/>
    <w:rsid w:val="007A40BB"/>
    <w:rsid w:val="007A5868"/>
    <w:rsid w:val="007B0816"/>
    <w:rsid w:val="007B2DB5"/>
    <w:rsid w:val="007B643C"/>
    <w:rsid w:val="007B7135"/>
    <w:rsid w:val="007C5915"/>
    <w:rsid w:val="007C62EC"/>
    <w:rsid w:val="007D2071"/>
    <w:rsid w:val="007D4DB3"/>
    <w:rsid w:val="007D5F13"/>
    <w:rsid w:val="007E037E"/>
    <w:rsid w:val="007E5AD1"/>
    <w:rsid w:val="007F00F0"/>
    <w:rsid w:val="007F0CCD"/>
    <w:rsid w:val="007F0FC1"/>
    <w:rsid w:val="007F1134"/>
    <w:rsid w:val="007F372F"/>
    <w:rsid w:val="0080249E"/>
    <w:rsid w:val="00803F1A"/>
    <w:rsid w:val="00804E1A"/>
    <w:rsid w:val="00807418"/>
    <w:rsid w:val="0081473C"/>
    <w:rsid w:val="00820962"/>
    <w:rsid w:val="00820999"/>
    <w:rsid w:val="0082165A"/>
    <w:rsid w:val="00821B51"/>
    <w:rsid w:val="00822C86"/>
    <w:rsid w:val="00824917"/>
    <w:rsid w:val="0082777D"/>
    <w:rsid w:val="00830857"/>
    <w:rsid w:val="008339CF"/>
    <w:rsid w:val="008340F8"/>
    <w:rsid w:val="00834183"/>
    <w:rsid w:val="00836D45"/>
    <w:rsid w:val="00837D29"/>
    <w:rsid w:val="00837DFE"/>
    <w:rsid w:val="008421E8"/>
    <w:rsid w:val="00847F64"/>
    <w:rsid w:val="008510A8"/>
    <w:rsid w:val="00851E22"/>
    <w:rsid w:val="0085552E"/>
    <w:rsid w:val="008600A1"/>
    <w:rsid w:val="0086104B"/>
    <w:rsid w:val="00866950"/>
    <w:rsid w:val="00867019"/>
    <w:rsid w:val="00870554"/>
    <w:rsid w:val="00870574"/>
    <w:rsid w:val="0087146C"/>
    <w:rsid w:val="00873FB4"/>
    <w:rsid w:val="00877399"/>
    <w:rsid w:val="00886CC2"/>
    <w:rsid w:val="008A4775"/>
    <w:rsid w:val="008B00C0"/>
    <w:rsid w:val="008B1C54"/>
    <w:rsid w:val="008B1C97"/>
    <w:rsid w:val="008B431D"/>
    <w:rsid w:val="008B43EB"/>
    <w:rsid w:val="008B5018"/>
    <w:rsid w:val="008C3E99"/>
    <w:rsid w:val="008C7114"/>
    <w:rsid w:val="008C726F"/>
    <w:rsid w:val="008C7A4A"/>
    <w:rsid w:val="008D263A"/>
    <w:rsid w:val="008D2E90"/>
    <w:rsid w:val="008D58EC"/>
    <w:rsid w:val="008E09D5"/>
    <w:rsid w:val="008E38EB"/>
    <w:rsid w:val="008E6F8E"/>
    <w:rsid w:val="008E72E3"/>
    <w:rsid w:val="008F062D"/>
    <w:rsid w:val="008F2758"/>
    <w:rsid w:val="008F2A8B"/>
    <w:rsid w:val="00904EF1"/>
    <w:rsid w:val="00906E76"/>
    <w:rsid w:val="00910DE3"/>
    <w:rsid w:val="009119FF"/>
    <w:rsid w:val="009175D6"/>
    <w:rsid w:val="0092043F"/>
    <w:rsid w:val="00922463"/>
    <w:rsid w:val="00923823"/>
    <w:rsid w:val="00923ABE"/>
    <w:rsid w:val="00923E42"/>
    <w:rsid w:val="00925EE8"/>
    <w:rsid w:val="00932D2E"/>
    <w:rsid w:val="00933673"/>
    <w:rsid w:val="009353CE"/>
    <w:rsid w:val="009414B0"/>
    <w:rsid w:val="0094201F"/>
    <w:rsid w:val="00942380"/>
    <w:rsid w:val="00946310"/>
    <w:rsid w:val="0095003F"/>
    <w:rsid w:val="00951096"/>
    <w:rsid w:val="009519F9"/>
    <w:rsid w:val="00952314"/>
    <w:rsid w:val="00953C85"/>
    <w:rsid w:val="00954D7C"/>
    <w:rsid w:val="00960DF6"/>
    <w:rsid w:val="00961177"/>
    <w:rsid w:val="00965075"/>
    <w:rsid w:val="0096753B"/>
    <w:rsid w:val="00967659"/>
    <w:rsid w:val="009719E0"/>
    <w:rsid w:val="00972256"/>
    <w:rsid w:val="00972EC7"/>
    <w:rsid w:val="009752E2"/>
    <w:rsid w:val="00977CF3"/>
    <w:rsid w:val="00981799"/>
    <w:rsid w:val="00981E75"/>
    <w:rsid w:val="00983FCC"/>
    <w:rsid w:val="00987FAB"/>
    <w:rsid w:val="00991892"/>
    <w:rsid w:val="00995A8C"/>
    <w:rsid w:val="009A0F8F"/>
    <w:rsid w:val="009A2BF0"/>
    <w:rsid w:val="009A49CC"/>
    <w:rsid w:val="009A695E"/>
    <w:rsid w:val="009A6E31"/>
    <w:rsid w:val="009A7900"/>
    <w:rsid w:val="009B125A"/>
    <w:rsid w:val="009B17A5"/>
    <w:rsid w:val="009B3B29"/>
    <w:rsid w:val="009B445F"/>
    <w:rsid w:val="009C00C1"/>
    <w:rsid w:val="009C3354"/>
    <w:rsid w:val="009C68EA"/>
    <w:rsid w:val="009D3386"/>
    <w:rsid w:val="009D3994"/>
    <w:rsid w:val="009D4525"/>
    <w:rsid w:val="009E55ED"/>
    <w:rsid w:val="009E640C"/>
    <w:rsid w:val="009F1B78"/>
    <w:rsid w:val="009F27F6"/>
    <w:rsid w:val="009F2B4D"/>
    <w:rsid w:val="00A03B33"/>
    <w:rsid w:val="00A04FC9"/>
    <w:rsid w:val="00A060C3"/>
    <w:rsid w:val="00A10671"/>
    <w:rsid w:val="00A133FE"/>
    <w:rsid w:val="00A1662C"/>
    <w:rsid w:val="00A16F05"/>
    <w:rsid w:val="00A172C4"/>
    <w:rsid w:val="00A22C52"/>
    <w:rsid w:val="00A2337B"/>
    <w:rsid w:val="00A2375D"/>
    <w:rsid w:val="00A23F3D"/>
    <w:rsid w:val="00A316F7"/>
    <w:rsid w:val="00A37897"/>
    <w:rsid w:val="00A40F55"/>
    <w:rsid w:val="00A41625"/>
    <w:rsid w:val="00A4217F"/>
    <w:rsid w:val="00A45455"/>
    <w:rsid w:val="00A50C5A"/>
    <w:rsid w:val="00A50E0F"/>
    <w:rsid w:val="00A51708"/>
    <w:rsid w:val="00A53BA6"/>
    <w:rsid w:val="00A55D4A"/>
    <w:rsid w:val="00A564A0"/>
    <w:rsid w:val="00A5751C"/>
    <w:rsid w:val="00A6019C"/>
    <w:rsid w:val="00A61378"/>
    <w:rsid w:val="00A614CC"/>
    <w:rsid w:val="00A6202C"/>
    <w:rsid w:val="00A63328"/>
    <w:rsid w:val="00A64D2A"/>
    <w:rsid w:val="00A66AD2"/>
    <w:rsid w:val="00A736BE"/>
    <w:rsid w:val="00A7601B"/>
    <w:rsid w:val="00A80174"/>
    <w:rsid w:val="00A813E9"/>
    <w:rsid w:val="00A8206A"/>
    <w:rsid w:val="00A8473A"/>
    <w:rsid w:val="00A87B9E"/>
    <w:rsid w:val="00A91B74"/>
    <w:rsid w:val="00A94054"/>
    <w:rsid w:val="00AA218E"/>
    <w:rsid w:val="00AA5E4A"/>
    <w:rsid w:val="00AB370E"/>
    <w:rsid w:val="00AB6F15"/>
    <w:rsid w:val="00AC17D5"/>
    <w:rsid w:val="00AC22FA"/>
    <w:rsid w:val="00AC38DD"/>
    <w:rsid w:val="00AC3D64"/>
    <w:rsid w:val="00AC5968"/>
    <w:rsid w:val="00AD169B"/>
    <w:rsid w:val="00AD27B8"/>
    <w:rsid w:val="00AD3367"/>
    <w:rsid w:val="00AD5E98"/>
    <w:rsid w:val="00AD67BA"/>
    <w:rsid w:val="00AE0175"/>
    <w:rsid w:val="00AE0B2E"/>
    <w:rsid w:val="00AE1AE3"/>
    <w:rsid w:val="00AE62EC"/>
    <w:rsid w:val="00AF21B9"/>
    <w:rsid w:val="00AF40E4"/>
    <w:rsid w:val="00AF65AF"/>
    <w:rsid w:val="00AF7FFC"/>
    <w:rsid w:val="00B0092C"/>
    <w:rsid w:val="00B01CD5"/>
    <w:rsid w:val="00B05D1A"/>
    <w:rsid w:val="00B06924"/>
    <w:rsid w:val="00B06B5A"/>
    <w:rsid w:val="00B07854"/>
    <w:rsid w:val="00B07E5B"/>
    <w:rsid w:val="00B15104"/>
    <w:rsid w:val="00B15302"/>
    <w:rsid w:val="00B23442"/>
    <w:rsid w:val="00B23B87"/>
    <w:rsid w:val="00B244E7"/>
    <w:rsid w:val="00B31CD0"/>
    <w:rsid w:val="00B372A3"/>
    <w:rsid w:val="00B37316"/>
    <w:rsid w:val="00B37BE7"/>
    <w:rsid w:val="00B40DC9"/>
    <w:rsid w:val="00B41FA2"/>
    <w:rsid w:val="00B42EA5"/>
    <w:rsid w:val="00B444E0"/>
    <w:rsid w:val="00B44776"/>
    <w:rsid w:val="00B45C67"/>
    <w:rsid w:val="00B464BB"/>
    <w:rsid w:val="00B4770A"/>
    <w:rsid w:val="00B53772"/>
    <w:rsid w:val="00B5562E"/>
    <w:rsid w:val="00B63C18"/>
    <w:rsid w:val="00B63E1B"/>
    <w:rsid w:val="00B65680"/>
    <w:rsid w:val="00B70245"/>
    <w:rsid w:val="00B7103E"/>
    <w:rsid w:val="00B720FC"/>
    <w:rsid w:val="00B727DF"/>
    <w:rsid w:val="00B73C5A"/>
    <w:rsid w:val="00B76077"/>
    <w:rsid w:val="00B77704"/>
    <w:rsid w:val="00B87846"/>
    <w:rsid w:val="00B87E3E"/>
    <w:rsid w:val="00B948D8"/>
    <w:rsid w:val="00B94F54"/>
    <w:rsid w:val="00BA7265"/>
    <w:rsid w:val="00BB11D8"/>
    <w:rsid w:val="00BB1DE4"/>
    <w:rsid w:val="00BB767D"/>
    <w:rsid w:val="00BC40F2"/>
    <w:rsid w:val="00BC73D2"/>
    <w:rsid w:val="00BD0E10"/>
    <w:rsid w:val="00BD4BEA"/>
    <w:rsid w:val="00BE0DF8"/>
    <w:rsid w:val="00BE1FEB"/>
    <w:rsid w:val="00BE3885"/>
    <w:rsid w:val="00BF1631"/>
    <w:rsid w:val="00BF2FED"/>
    <w:rsid w:val="00C02BF2"/>
    <w:rsid w:val="00C040E3"/>
    <w:rsid w:val="00C0431E"/>
    <w:rsid w:val="00C12C75"/>
    <w:rsid w:val="00C1496B"/>
    <w:rsid w:val="00C15DF5"/>
    <w:rsid w:val="00C17389"/>
    <w:rsid w:val="00C17E7D"/>
    <w:rsid w:val="00C20141"/>
    <w:rsid w:val="00C244C8"/>
    <w:rsid w:val="00C252B8"/>
    <w:rsid w:val="00C31493"/>
    <w:rsid w:val="00C31E8F"/>
    <w:rsid w:val="00C33D7F"/>
    <w:rsid w:val="00C359EC"/>
    <w:rsid w:val="00C36E55"/>
    <w:rsid w:val="00C40227"/>
    <w:rsid w:val="00C40AC0"/>
    <w:rsid w:val="00C40FEE"/>
    <w:rsid w:val="00C414E5"/>
    <w:rsid w:val="00C47EB8"/>
    <w:rsid w:val="00C51987"/>
    <w:rsid w:val="00C519F9"/>
    <w:rsid w:val="00C51B98"/>
    <w:rsid w:val="00C551B4"/>
    <w:rsid w:val="00C55A60"/>
    <w:rsid w:val="00C56F5D"/>
    <w:rsid w:val="00C60BBD"/>
    <w:rsid w:val="00C60FBF"/>
    <w:rsid w:val="00C65F57"/>
    <w:rsid w:val="00C71914"/>
    <w:rsid w:val="00C73CD5"/>
    <w:rsid w:val="00C741B5"/>
    <w:rsid w:val="00C74537"/>
    <w:rsid w:val="00C846AE"/>
    <w:rsid w:val="00C8639E"/>
    <w:rsid w:val="00C873A6"/>
    <w:rsid w:val="00C90EA0"/>
    <w:rsid w:val="00C93721"/>
    <w:rsid w:val="00C966C4"/>
    <w:rsid w:val="00C97F69"/>
    <w:rsid w:val="00CA2C25"/>
    <w:rsid w:val="00CA702D"/>
    <w:rsid w:val="00CB33EB"/>
    <w:rsid w:val="00CB45D0"/>
    <w:rsid w:val="00CB5103"/>
    <w:rsid w:val="00CB7A80"/>
    <w:rsid w:val="00CB7E56"/>
    <w:rsid w:val="00CC1885"/>
    <w:rsid w:val="00CC70A4"/>
    <w:rsid w:val="00CC73AD"/>
    <w:rsid w:val="00CD1C3E"/>
    <w:rsid w:val="00CD2E93"/>
    <w:rsid w:val="00CD4DC2"/>
    <w:rsid w:val="00CD77E7"/>
    <w:rsid w:val="00CE0C0C"/>
    <w:rsid w:val="00CF02C3"/>
    <w:rsid w:val="00CF078F"/>
    <w:rsid w:val="00CF26E0"/>
    <w:rsid w:val="00CF5F4F"/>
    <w:rsid w:val="00CF610C"/>
    <w:rsid w:val="00CF62D2"/>
    <w:rsid w:val="00CF6A4A"/>
    <w:rsid w:val="00CF7F91"/>
    <w:rsid w:val="00D051A5"/>
    <w:rsid w:val="00D059B6"/>
    <w:rsid w:val="00D061F4"/>
    <w:rsid w:val="00D068E4"/>
    <w:rsid w:val="00D10B6D"/>
    <w:rsid w:val="00D17EF3"/>
    <w:rsid w:val="00D265B2"/>
    <w:rsid w:val="00D3236F"/>
    <w:rsid w:val="00D33D3F"/>
    <w:rsid w:val="00D3700C"/>
    <w:rsid w:val="00D3701F"/>
    <w:rsid w:val="00D37026"/>
    <w:rsid w:val="00D4133C"/>
    <w:rsid w:val="00D428CA"/>
    <w:rsid w:val="00D438B5"/>
    <w:rsid w:val="00D64F23"/>
    <w:rsid w:val="00D711C0"/>
    <w:rsid w:val="00D76293"/>
    <w:rsid w:val="00D80251"/>
    <w:rsid w:val="00D96941"/>
    <w:rsid w:val="00D9724C"/>
    <w:rsid w:val="00DA08A4"/>
    <w:rsid w:val="00DA3E50"/>
    <w:rsid w:val="00DA3F2C"/>
    <w:rsid w:val="00DA4F8E"/>
    <w:rsid w:val="00DA54A5"/>
    <w:rsid w:val="00DA5E42"/>
    <w:rsid w:val="00DA7B24"/>
    <w:rsid w:val="00DB1D58"/>
    <w:rsid w:val="00DB3630"/>
    <w:rsid w:val="00DB3B3D"/>
    <w:rsid w:val="00DC51ED"/>
    <w:rsid w:val="00DC6278"/>
    <w:rsid w:val="00DD19D0"/>
    <w:rsid w:val="00DD343F"/>
    <w:rsid w:val="00DD3E92"/>
    <w:rsid w:val="00DD50FD"/>
    <w:rsid w:val="00DD5BEA"/>
    <w:rsid w:val="00DD6CE9"/>
    <w:rsid w:val="00DE1EB3"/>
    <w:rsid w:val="00DE7CB5"/>
    <w:rsid w:val="00DF19D5"/>
    <w:rsid w:val="00DF2405"/>
    <w:rsid w:val="00DF3FCF"/>
    <w:rsid w:val="00E01934"/>
    <w:rsid w:val="00E01F58"/>
    <w:rsid w:val="00E13492"/>
    <w:rsid w:val="00E16D01"/>
    <w:rsid w:val="00E17069"/>
    <w:rsid w:val="00E201DB"/>
    <w:rsid w:val="00E20C0A"/>
    <w:rsid w:val="00E233B9"/>
    <w:rsid w:val="00E256E6"/>
    <w:rsid w:val="00E316F0"/>
    <w:rsid w:val="00E5081F"/>
    <w:rsid w:val="00E564C3"/>
    <w:rsid w:val="00E602CA"/>
    <w:rsid w:val="00E62D66"/>
    <w:rsid w:val="00E62FDC"/>
    <w:rsid w:val="00E636D7"/>
    <w:rsid w:val="00E63762"/>
    <w:rsid w:val="00E66D4A"/>
    <w:rsid w:val="00E70D4F"/>
    <w:rsid w:val="00E757FF"/>
    <w:rsid w:val="00E7704E"/>
    <w:rsid w:val="00E80EC0"/>
    <w:rsid w:val="00E959C5"/>
    <w:rsid w:val="00EA2103"/>
    <w:rsid w:val="00EB288D"/>
    <w:rsid w:val="00EB4467"/>
    <w:rsid w:val="00EB45C0"/>
    <w:rsid w:val="00EB559B"/>
    <w:rsid w:val="00EC139B"/>
    <w:rsid w:val="00EC1A31"/>
    <w:rsid w:val="00EC2C7B"/>
    <w:rsid w:val="00EC5571"/>
    <w:rsid w:val="00EC6A49"/>
    <w:rsid w:val="00ED21C7"/>
    <w:rsid w:val="00ED5470"/>
    <w:rsid w:val="00EE4143"/>
    <w:rsid w:val="00EF2D0A"/>
    <w:rsid w:val="00EF60C3"/>
    <w:rsid w:val="00F02A6C"/>
    <w:rsid w:val="00F04DFC"/>
    <w:rsid w:val="00F11B71"/>
    <w:rsid w:val="00F125CA"/>
    <w:rsid w:val="00F13763"/>
    <w:rsid w:val="00F17705"/>
    <w:rsid w:val="00F20069"/>
    <w:rsid w:val="00F27E97"/>
    <w:rsid w:val="00F30EED"/>
    <w:rsid w:val="00F329CC"/>
    <w:rsid w:val="00F33B7D"/>
    <w:rsid w:val="00F34268"/>
    <w:rsid w:val="00F34A92"/>
    <w:rsid w:val="00F41235"/>
    <w:rsid w:val="00F42797"/>
    <w:rsid w:val="00F45B09"/>
    <w:rsid w:val="00F45BA0"/>
    <w:rsid w:val="00F50124"/>
    <w:rsid w:val="00F55344"/>
    <w:rsid w:val="00F57677"/>
    <w:rsid w:val="00F60276"/>
    <w:rsid w:val="00F60551"/>
    <w:rsid w:val="00F6111D"/>
    <w:rsid w:val="00F6185B"/>
    <w:rsid w:val="00F6225C"/>
    <w:rsid w:val="00F67EB6"/>
    <w:rsid w:val="00F71A80"/>
    <w:rsid w:val="00F72397"/>
    <w:rsid w:val="00F74EAA"/>
    <w:rsid w:val="00F76934"/>
    <w:rsid w:val="00F76B48"/>
    <w:rsid w:val="00F85F26"/>
    <w:rsid w:val="00F87F8E"/>
    <w:rsid w:val="00F94189"/>
    <w:rsid w:val="00FA063A"/>
    <w:rsid w:val="00FA0B10"/>
    <w:rsid w:val="00FA270C"/>
    <w:rsid w:val="00FA6447"/>
    <w:rsid w:val="00FB1536"/>
    <w:rsid w:val="00FB1D7E"/>
    <w:rsid w:val="00FB3030"/>
    <w:rsid w:val="00FC2770"/>
    <w:rsid w:val="00FC282A"/>
    <w:rsid w:val="00FC299A"/>
    <w:rsid w:val="00FC5161"/>
    <w:rsid w:val="00FC552F"/>
    <w:rsid w:val="00FC69FC"/>
    <w:rsid w:val="00FC7414"/>
    <w:rsid w:val="00FD012C"/>
    <w:rsid w:val="00FD3A46"/>
    <w:rsid w:val="00FE3865"/>
    <w:rsid w:val="00FE56E4"/>
    <w:rsid w:val="00FE5A9F"/>
    <w:rsid w:val="00FE6EA8"/>
    <w:rsid w:val="00FF1C71"/>
    <w:rsid w:val="00FF305F"/>
    <w:rsid w:val="00FF3382"/>
    <w:rsid w:val="00FF4F4C"/>
    <w:rsid w:val="00FF5C86"/>
    <w:rsid w:val="00FF63E9"/>
    <w:rsid w:val="00FF74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3196D"/>
  <w15:docId w15:val="{1394E74C-1517-457A-A58F-26102C886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58F7"/>
  </w:style>
  <w:style w:type="paragraph" w:styleId="Heading2">
    <w:name w:val="heading 2"/>
    <w:basedOn w:val="Normal"/>
    <w:link w:val="Heading2Char"/>
    <w:uiPriority w:val="9"/>
    <w:qFormat/>
    <w:rsid w:val="00923AB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2725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2725C1"/>
    <w:rPr>
      <w:color w:val="0000FF"/>
      <w:u w:val="single"/>
    </w:rPr>
  </w:style>
  <w:style w:type="character" w:customStyle="1" w:styleId="Heading2Char">
    <w:name w:val="Heading 2 Char"/>
    <w:basedOn w:val="DefaultParagraphFont"/>
    <w:link w:val="Heading2"/>
    <w:uiPriority w:val="9"/>
    <w:rsid w:val="00923ABE"/>
    <w:rPr>
      <w:rFonts w:ascii="Times New Roman" w:eastAsia="Times New Roman" w:hAnsi="Times New Roman" w:cs="Times New Roman"/>
      <w:b/>
      <w:bCs/>
      <w:sz w:val="36"/>
      <w:szCs w:val="36"/>
    </w:rPr>
  </w:style>
  <w:style w:type="character" w:customStyle="1" w:styleId="meta-value">
    <w:name w:val="meta-value"/>
    <w:basedOn w:val="DefaultParagraphFont"/>
    <w:rsid w:val="00BE1FEB"/>
  </w:style>
  <w:style w:type="character" w:styleId="Emphasis">
    <w:name w:val="Emphasis"/>
    <w:basedOn w:val="DefaultParagraphFont"/>
    <w:uiPriority w:val="20"/>
    <w:qFormat/>
    <w:rsid w:val="00BE1FEB"/>
    <w:rPr>
      <w:i/>
      <w:iCs/>
    </w:rPr>
  </w:style>
  <w:style w:type="character" w:customStyle="1" w:styleId="field-content">
    <w:name w:val="field-content"/>
    <w:basedOn w:val="DefaultParagraphFont"/>
    <w:rsid w:val="00C17389"/>
  </w:style>
  <w:style w:type="paragraph" w:styleId="Header">
    <w:name w:val="header"/>
    <w:basedOn w:val="Normal"/>
    <w:link w:val="HeaderChar"/>
    <w:uiPriority w:val="99"/>
    <w:unhideWhenUsed/>
    <w:rsid w:val="00AD5E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E98"/>
  </w:style>
  <w:style w:type="paragraph" w:styleId="Footer">
    <w:name w:val="footer"/>
    <w:basedOn w:val="Normal"/>
    <w:link w:val="FooterChar"/>
    <w:uiPriority w:val="99"/>
    <w:unhideWhenUsed/>
    <w:rsid w:val="00AD5E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E98"/>
  </w:style>
  <w:style w:type="paragraph" w:styleId="BalloonText">
    <w:name w:val="Balloon Text"/>
    <w:basedOn w:val="Normal"/>
    <w:link w:val="BalloonTextChar"/>
    <w:uiPriority w:val="99"/>
    <w:semiHidden/>
    <w:unhideWhenUsed/>
    <w:rsid w:val="00154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148"/>
    <w:rPr>
      <w:rFonts w:ascii="Tahoma" w:hAnsi="Tahoma" w:cs="Tahoma"/>
      <w:sz w:val="16"/>
      <w:szCs w:val="16"/>
    </w:rPr>
  </w:style>
  <w:style w:type="table" w:styleId="TableGrid">
    <w:name w:val="Table Grid"/>
    <w:basedOn w:val="TableNormal"/>
    <w:uiPriority w:val="59"/>
    <w:rsid w:val="00DA4F8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A4F8E"/>
    <w:pPr>
      <w:ind w:left="720"/>
      <w:contextualSpacing/>
    </w:pPr>
  </w:style>
  <w:style w:type="character" w:styleId="Strong">
    <w:name w:val="Strong"/>
    <w:basedOn w:val="DefaultParagraphFont"/>
    <w:uiPriority w:val="22"/>
    <w:qFormat/>
    <w:rsid w:val="00DA4F8E"/>
    <w:rPr>
      <w:b/>
      <w:bCs/>
    </w:rPr>
  </w:style>
  <w:style w:type="character" w:customStyle="1" w:styleId="yadgie">
    <w:name w:val="yadgie"/>
    <w:basedOn w:val="DefaultParagraphFont"/>
    <w:rsid w:val="00DA4F8E"/>
  </w:style>
  <w:style w:type="character" w:styleId="LineNumber">
    <w:name w:val="line number"/>
    <w:basedOn w:val="DefaultParagraphFont"/>
    <w:uiPriority w:val="99"/>
    <w:semiHidden/>
    <w:unhideWhenUsed/>
    <w:rsid w:val="00586C96"/>
  </w:style>
  <w:style w:type="paragraph" w:customStyle="1" w:styleId="Normal1">
    <w:name w:val="Normal1"/>
    <w:qFormat/>
    <w:rsid w:val="007814F4"/>
    <w:pPr>
      <w:spacing w:after="0"/>
      <w:jc w:val="both"/>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4A0308"/>
    <w:rPr>
      <w:color w:val="605E5C"/>
      <w:shd w:val="clear" w:color="auto" w:fill="E1DFDD"/>
    </w:rPr>
  </w:style>
  <w:style w:type="paragraph" w:customStyle="1" w:styleId="isselectedend">
    <w:name w:val="isselectedend"/>
    <w:basedOn w:val="Normal"/>
    <w:rsid w:val="00794301"/>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F02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6598">
      <w:bodyDiv w:val="1"/>
      <w:marLeft w:val="0"/>
      <w:marRight w:val="0"/>
      <w:marTop w:val="0"/>
      <w:marBottom w:val="0"/>
      <w:divBdr>
        <w:top w:val="none" w:sz="0" w:space="0" w:color="auto"/>
        <w:left w:val="none" w:sz="0" w:space="0" w:color="auto"/>
        <w:bottom w:val="none" w:sz="0" w:space="0" w:color="auto"/>
        <w:right w:val="none" w:sz="0" w:space="0" w:color="auto"/>
      </w:divBdr>
    </w:div>
    <w:div w:id="325868276">
      <w:bodyDiv w:val="1"/>
      <w:marLeft w:val="0"/>
      <w:marRight w:val="0"/>
      <w:marTop w:val="0"/>
      <w:marBottom w:val="0"/>
      <w:divBdr>
        <w:top w:val="none" w:sz="0" w:space="0" w:color="auto"/>
        <w:left w:val="none" w:sz="0" w:space="0" w:color="auto"/>
        <w:bottom w:val="none" w:sz="0" w:space="0" w:color="auto"/>
        <w:right w:val="none" w:sz="0" w:space="0" w:color="auto"/>
      </w:divBdr>
    </w:div>
    <w:div w:id="357237195">
      <w:bodyDiv w:val="1"/>
      <w:marLeft w:val="0"/>
      <w:marRight w:val="0"/>
      <w:marTop w:val="0"/>
      <w:marBottom w:val="0"/>
      <w:divBdr>
        <w:top w:val="none" w:sz="0" w:space="0" w:color="auto"/>
        <w:left w:val="none" w:sz="0" w:space="0" w:color="auto"/>
        <w:bottom w:val="none" w:sz="0" w:space="0" w:color="auto"/>
        <w:right w:val="none" w:sz="0" w:space="0" w:color="auto"/>
      </w:divBdr>
    </w:div>
    <w:div w:id="519391099">
      <w:bodyDiv w:val="1"/>
      <w:marLeft w:val="0"/>
      <w:marRight w:val="0"/>
      <w:marTop w:val="0"/>
      <w:marBottom w:val="0"/>
      <w:divBdr>
        <w:top w:val="none" w:sz="0" w:space="0" w:color="auto"/>
        <w:left w:val="none" w:sz="0" w:space="0" w:color="auto"/>
        <w:bottom w:val="none" w:sz="0" w:space="0" w:color="auto"/>
        <w:right w:val="none" w:sz="0" w:space="0" w:color="auto"/>
      </w:divBdr>
    </w:div>
    <w:div w:id="564462191">
      <w:bodyDiv w:val="1"/>
      <w:marLeft w:val="0"/>
      <w:marRight w:val="0"/>
      <w:marTop w:val="0"/>
      <w:marBottom w:val="0"/>
      <w:divBdr>
        <w:top w:val="none" w:sz="0" w:space="0" w:color="auto"/>
        <w:left w:val="none" w:sz="0" w:space="0" w:color="auto"/>
        <w:bottom w:val="none" w:sz="0" w:space="0" w:color="auto"/>
        <w:right w:val="none" w:sz="0" w:space="0" w:color="auto"/>
      </w:divBdr>
    </w:div>
    <w:div w:id="667949466">
      <w:bodyDiv w:val="1"/>
      <w:marLeft w:val="0"/>
      <w:marRight w:val="0"/>
      <w:marTop w:val="0"/>
      <w:marBottom w:val="0"/>
      <w:divBdr>
        <w:top w:val="none" w:sz="0" w:space="0" w:color="auto"/>
        <w:left w:val="none" w:sz="0" w:space="0" w:color="auto"/>
        <w:bottom w:val="none" w:sz="0" w:space="0" w:color="auto"/>
        <w:right w:val="none" w:sz="0" w:space="0" w:color="auto"/>
      </w:divBdr>
    </w:div>
    <w:div w:id="811171500">
      <w:bodyDiv w:val="1"/>
      <w:marLeft w:val="0"/>
      <w:marRight w:val="0"/>
      <w:marTop w:val="0"/>
      <w:marBottom w:val="0"/>
      <w:divBdr>
        <w:top w:val="none" w:sz="0" w:space="0" w:color="auto"/>
        <w:left w:val="none" w:sz="0" w:space="0" w:color="auto"/>
        <w:bottom w:val="none" w:sz="0" w:space="0" w:color="auto"/>
        <w:right w:val="none" w:sz="0" w:space="0" w:color="auto"/>
      </w:divBdr>
    </w:div>
    <w:div w:id="987124792">
      <w:bodyDiv w:val="1"/>
      <w:marLeft w:val="0"/>
      <w:marRight w:val="0"/>
      <w:marTop w:val="0"/>
      <w:marBottom w:val="0"/>
      <w:divBdr>
        <w:top w:val="none" w:sz="0" w:space="0" w:color="auto"/>
        <w:left w:val="none" w:sz="0" w:space="0" w:color="auto"/>
        <w:bottom w:val="none" w:sz="0" w:space="0" w:color="auto"/>
        <w:right w:val="none" w:sz="0" w:space="0" w:color="auto"/>
      </w:divBdr>
    </w:div>
    <w:div w:id="1106078466">
      <w:bodyDiv w:val="1"/>
      <w:marLeft w:val="0"/>
      <w:marRight w:val="0"/>
      <w:marTop w:val="0"/>
      <w:marBottom w:val="0"/>
      <w:divBdr>
        <w:top w:val="none" w:sz="0" w:space="0" w:color="auto"/>
        <w:left w:val="none" w:sz="0" w:space="0" w:color="auto"/>
        <w:bottom w:val="none" w:sz="0" w:space="0" w:color="auto"/>
        <w:right w:val="none" w:sz="0" w:space="0" w:color="auto"/>
      </w:divBdr>
    </w:div>
    <w:div w:id="1168977631">
      <w:bodyDiv w:val="1"/>
      <w:marLeft w:val="0"/>
      <w:marRight w:val="0"/>
      <w:marTop w:val="0"/>
      <w:marBottom w:val="0"/>
      <w:divBdr>
        <w:top w:val="none" w:sz="0" w:space="0" w:color="auto"/>
        <w:left w:val="none" w:sz="0" w:space="0" w:color="auto"/>
        <w:bottom w:val="none" w:sz="0" w:space="0" w:color="auto"/>
        <w:right w:val="none" w:sz="0" w:space="0" w:color="auto"/>
      </w:divBdr>
    </w:div>
    <w:div w:id="1283725454">
      <w:bodyDiv w:val="1"/>
      <w:marLeft w:val="0"/>
      <w:marRight w:val="0"/>
      <w:marTop w:val="0"/>
      <w:marBottom w:val="0"/>
      <w:divBdr>
        <w:top w:val="none" w:sz="0" w:space="0" w:color="auto"/>
        <w:left w:val="none" w:sz="0" w:space="0" w:color="auto"/>
        <w:bottom w:val="none" w:sz="0" w:space="0" w:color="auto"/>
        <w:right w:val="none" w:sz="0" w:space="0" w:color="auto"/>
      </w:divBdr>
    </w:div>
    <w:div w:id="1583298393">
      <w:bodyDiv w:val="1"/>
      <w:marLeft w:val="0"/>
      <w:marRight w:val="0"/>
      <w:marTop w:val="0"/>
      <w:marBottom w:val="0"/>
      <w:divBdr>
        <w:top w:val="none" w:sz="0" w:space="0" w:color="auto"/>
        <w:left w:val="none" w:sz="0" w:space="0" w:color="auto"/>
        <w:bottom w:val="none" w:sz="0" w:space="0" w:color="auto"/>
        <w:right w:val="none" w:sz="0" w:space="0" w:color="auto"/>
      </w:divBdr>
    </w:div>
    <w:div w:id="1898399010">
      <w:bodyDiv w:val="1"/>
      <w:marLeft w:val="0"/>
      <w:marRight w:val="0"/>
      <w:marTop w:val="0"/>
      <w:marBottom w:val="0"/>
      <w:divBdr>
        <w:top w:val="none" w:sz="0" w:space="0" w:color="auto"/>
        <w:left w:val="none" w:sz="0" w:space="0" w:color="auto"/>
        <w:bottom w:val="none" w:sz="0" w:space="0" w:color="auto"/>
        <w:right w:val="none" w:sz="0" w:space="0" w:color="auto"/>
      </w:divBdr>
    </w:div>
    <w:div w:id="1924753024">
      <w:bodyDiv w:val="1"/>
      <w:marLeft w:val="0"/>
      <w:marRight w:val="0"/>
      <w:marTop w:val="0"/>
      <w:marBottom w:val="0"/>
      <w:divBdr>
        <w:top w:val="none" w:sz="0" w:space="0" w:color="auto"/>
        <w:left w:val="none" w:sz="0" w:space="0" w:color="auto"/>
        <w:bottom w:val="none" w:sz="0" w:space="0" w:color="auto"/>
        <w:right w:val="none" w:sz="0" w:space="0" w:color="auto"/>
      </w:divBdr>
    </w:div>
    <w:div w:id="201950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s://doi.org/10.11609/jott.6122.13.2.17741-17752" TargetMode="External"/><Relationship Id="rId26" Type="http://schemas.openxmlformats.org/officeDocument/2006/relationships/hyperlink" Target="https://bongaigaon.assam.gov.in/about-us/district-profile" TargetMode="External"/><Relationship Id="rId39" Type="http://schemas.openxmlformats.org/officeDocument/2006/relationships/hyperlink" Target="https://doi.org/10.1007/s11252-026-02018-z" TargetMode="External"/><Relationship Id="rId21" Type="http://schemas.openxmlformats.org/officeDocument/2006/relationships/hyperlink" Target="https://doi.org/10.1371/journal.pone.0252231" TargetMode="External"/><Relationship Id="rId34" Type="http://schemas.openxmlformats.org/officeDocument/2006/relationships/hyperlink" Target="https://doi.org/10.56557/bn/2026/v46i22133" TargetMode="External"/><Relationship Id="rId42" Type="http://schemas.openxmlformats.org/officeDocument/2006/relationships/hyperlink" Target="https://doi.org/10.5772/intechopen.1002432" TargetMode="External"/><Relationship Id="rId47" Type="http://schemas.openxmlformats.org/officeDocument/2006/relationships/hyperlink" Target="https://doi.org/10.11609/jott.2732.8.7.9030-9033" TargetMode="External"/><Relationship Id="rId50" Type="http://schemas.openxmlformats.org/officeDocument/2006/relationships/hyperlink" Target="https://doi.org/10.1146/annurev-ento-011019-025151" TargetMode="External"/><Relationship Id="rId55" Type="http://schemas.openxmlformats.org/officeDocument/2006/relationships/image" Target="media/image13.jpeg"/><Relationship Id="rId63" Type="http://schemas.openxmlformats.org/officeDocument/2006/relationships/image" Target="media/image21.jpeg"/><Relationship Id="rId68" Type="http://schemas.openxmlformats.org/officeDocument/2006/relationships/image" Target="media/image26.jpeg"/><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186/s12983-016-0170-0" TargetMode="External"/><Relationship Id="rId29" Type="http://schemas.openxmlformats.org/officeDocument/2006/relationships/hyperlink" Target="https://doi.org/10.1111/j.1365-2699.1997.tb00051.x" TargetMode="External"/><Relationship Id="rId11" Type="http://schemas.openxmlformats.org/officeDocument/2006/relationships/image" Target="media/image4.jpeg"/><Relationship Id="rId24" Type="http://schemas.openxmlformats.org/officeDocument/2006/relationships/hyperlink" Target="https://doi.org/10.1111/j.1523-1739.2009.01246.x" TargetMode="External"/><Relationship Id="rId32" Type="http://schemas.openxmlformats.org/officeDocument/2006/relationships/hyperlink" Target="https://doi.org/10.1890/03-5269" TargetMode="External"/><Relationship Id="rId37" Type="http://schemas.openxmlformats.org/officeDocument/2006/relationships/hyperlink" Target="https://www.indiacode.nic.in/ViewSelectedActDetailsServlet?act_name=Wildlife+%28Protection%29+Amendment+Act+2022&amp;handleid=123456789%2F1362" TargetMode="External"/><Relationship Id="rId40" Type="http://schemas.openxmlformats.org/officeDocument/2006/relationships/hyperlink" Target="https://doi.org/10.1038/s41467-020-19565-4" TargetMode="External"/><Relationship Id="rId45" Type="http://schemas.openxmlformats.org/officeDocument/2006/relationships/hyperlink" Target="https://doi.org/10.22271/j.ento.2023.v11.i2b.9162" TargetMode="External"/><Relationship Id="rId53" Type="http://schemas.openxmlformats.org/officeDocument/2006/relationships/image" Target="media/image11.jpeg"/><Relationship Id="rId58" Type="http://schemas.openxmlformats.org/officeDocument/2006/relationships/image" Target="media/image16.jpeg"/><Relationship Id="rId66" Type="http://schemas.openxmlformats.org/officeDocument/2006/relationships/image" Target="media/image24.jpeg"/><Relationship Id="rId7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doi.org/10.11609/jott.8254.17.2.26515-26529" TargetMode="External"/><Relationship Id="rId28" Type="http://schemas.openxmlformats.org/officeDocument/2006/relationships/hyperlink" Target="https://doi.org/10.1371/journal.pone.0185809" TargetMode="External"/><Relationship Id="rId36" Type="http://schemas.openxmlformats.org/officeDocument/2006/relationships/hyperlink" Target="https://doi.org/10.14295/holos.v10i2.2996" TargetMode="External"/><Relationship Id="rId49" Type="http://schemas.openxmlformats.org/officeDocument/2006/relationships/hyperlink" Target="https://doi.org/10.1111/j.1461-0248.2005.00782.x" TargetMode="External"/><Relationship Id="rId57" Type="http://schemas.openxmlformats.org/officeDocument/2006/relationships/image" Target="media/image15.jpeg"/><Relationship Id="rId61" Type="http://schemas.openxmlformats.org/officeDocument/2006/relationships/image" Target="media/image19.jpeg"/><Relationship Id="rId10" Type="http://schemas.openxmlformats.org/officeDocument/2006/relationships/image" Target="media/image3.png"/><Relationship Id="rId19" Type="http://schemas.openxmlformats.org/officeDocument/2006/relationships/hyperlink" Target="https://doi.org/10.1016/j.biocon.2010.04.044" TargetMode="External"/><Relationship Id="rId31" Type="http://schemas.openxmlformats.org/officeDocument/2006/relationships/hyperlink" Target="https://doi.org/10.1111/j.1600-0706.2012.20274.x" TargetMode="External"/><Relationship Id="rId44" Type="http://schemas.openxmlformats.org/officeDocument/2006/relationships/hyperlink" Target="https://doi.org/10.11609/jott.8137.16.2.24786-24794" TargetMode="External"/><Relationship Id="rId52" Type="http://schemas.openxmlformats.org/officeDocument/2006/relationships/image" Target="media/image10.jpeg"/><Relationship Id="rId60" Type="http://schemas.openxmlformats.org/officeDocument/2006/relationships/image" Target="media/image18.jpeg"/><Relationship Id="rId65" Type="http://schemas.openxmlformats.org/officeDocument/2006/relationships/image" Target="media/image23.jpeg"/><Relationship Id="rId73"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doi.org/10.5281/zenodo.19939948" TargetMode="External"/><Relationship Id="rId27" Type="http://schemas.openxmlformats.org/officeDocument/2006/relationships/hyperlink" Target="https://doi.org/10.1038/s41598-019-51424-1" TargetMode="External"/><Relationship Id="rId30" Type="http://schemas.openxmlformats.org/officeDocument/2006/relationships/hyperlink" Target="https://www.iucnredlist.org?utm_source=chatgpt.com" TargetMode="External"/><Relationship Id="rId35" Type="http://schemas.openxmlformats.org/officeDocument/2006/relationships/hyperlink" Target="https://doi.org/10.14719/pst.8997" TargetMode="External"/><Relationship Id="rId43" Type="http://schemas.openxmlformats.org/officeDocument/2006/relationships/hyperlink" Target="https://doi.org/10.56557/upjoz/2025/v46i115031" TargetMode="External"/><Relationship Id="rId48" Type="http://schemas.openxmlformats.org/officeDocument/2006/relationships/hyperlink" Target="https://doi.org/10.1098/rstb.2004.1585" TargetMode="External"/><Relationship Id="rId56" Type="http://schemas.openxmlformats.org/officeDocument/2006/relationships/image" Target="media/image14.jpeg"/><Relationship Id="rId64" Type="http://schemas.openxmlformats.org/officeDocument/2006/relationships/image" Target="media/image22.jpeg"/><Relationship Id="rId69" Type="http://schemas.openxmlformats.org/officeDocument/2006/relationships/header" Target="header1.xml"/><Relationship Id="rId8" Type="http://schemas.openxmlformats.org/officeDocument/2006/relationships/image" Target="media/image1.wmf"/><Relationship Id="rId51" Type="http://schemas.openxmlformats.org/officeDocument/2006/relationships/image" Target="media/image9.jpe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https://doi.org/10.1371/journal.pone.0082615" TargetMode="External"/><Relationship Id="rId25" Type="http://schemas.openxmlformats.org/officeDocument/2006/relationships/hyperlink" Target="https://doi.org/10.1186/s41936-023-00327-9" TargetMode="External"/><Relationship Id="rId33" Type="http://schemas.openxmlformats.org/officeDocument/2006/relationships/hyperlink" Target="https://doi.org/10.2307/1941776" TargetMode="External"/><Relationship Id="rId38" Type="http://schemas.openxmlformats.org/officeDocument/2006/relationships/hyperlink" Target="https://doi.org/10.1007/s11252-025-01879-0" TargetMode="External"/><Relationship Id="rId46" Type="http://schemas.openxmlformats.org/officeDocument/2006/relationships/hyperlink" Target="https://doi.org/10.26515/Fauna/2/2025/Arthropoda:Insecta:Lepidoptera" TargetMode="External"/><Relationship Id="rId59" Type="http://schemas.openxmlformats.org/officeDocument/2006/relationships/image" Target="media/image17.jpeg"/><Relationship Id="rId67" Type="http://schemas.openxmlformats.org/officeDocument/2006/relationships/image" Target="media/image25.jpeg"/><Relationship Id="rId20" Type="http://schemas.openxmlformats.org/officeDocument/2006/relationships/hyperlink" Target="https://doi.org/10.3389/fenvs.2023.1146052" TargetMode="External"/><Relationship Id="rId41" Type="http://schemas.openxmlformats.org/officeDocument/2006/relationships/hyperlink" Target="https://doi.org/10.9734/jabb/2026/v29i43794" TargetMode="External"/><Relationship Id="rId54" Type="http://schemas.openxmlformats.org/officeDocument/2006/relationships/image" Target="media/image12.jpeg"/><Relationship Id="rId62" Type="http://schemas.openxmlformats.org/officeDocument/2006/relationships/image" Target="media/image20.jpeg"/><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95C22-461F-41FE-A894-BA79A09C7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8146</TotalTime>
  <Pages>20</Pages>
  <Words>6217</Words>
  <Characters>35443</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Pratham Dasgupta</dc:creator>
  <cp:lastModifiedBy>SDI 1065</cp:lastModifiedBy>
  <cp:revision>883</cp:revision>
  <cp:lastPrinted>2026-08-08T15:48:00Z</cp:lastPrinted>
  <dcterms:created xsi:type="dcterms:W3CDTF">2026-07-29T14:29:00Z</dcterms:created>
  <dcterms:modified xsi:type="dcterms:W3CDTF">2026-08-18T06:04:00Z</dcterms:modified>
</cp:coreProperties>
</file>