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813C" w14:textId="77777777" w:rsidR="00C90E5D" w:rsidRPr="00C45346" w:rsidRDefault="00710349">
      <w:pPr>
        <w:spacing w:after="200"/>
        <w:jc w:val="center"/>
        <w:rPr>
          <w:b/>
          <w:bCs/>
          <w:sz w:val="30"/>
          <w:szCs w:val="30"/>
        </w:rPr>
      </w:pPr>
      <w:r w:rsidRPr="00C45346">
        <w:rPr>
          <w:b/>
          <w:bCs/>
          <w:sz w:val="30"/>
          <w:szCs w:val="30"/>
        </w:rPr>
        <w:t xml:space="preserve">Acute Cadmium Toxicity and Behavioural Responses in </w:t>
      </w:r>
      <w:r w:rsidRPr="00C45346">
        <w:rPr>
          <w:b/>
          <w:bCs/>
          <w:i/>
          <w:iCs/>
          <w:sz w:val="30"/>
          <w:szCs w:val="30"/>
        </w:rPr>
        <w:t xml:space="preserve">Channa </w:t>
      </w:r>
      <w:proofErr w:type="spellStart"/>
      <w:r w:rsidRPr="00C45346">
        <w:rPr>
          <w:b/>
          <w:bCs/>
          <w:i/>
          <w:iCs/>
          <w:sz w:val="30"/>
          <w:szCs w:val="30"/>
        </w:rPr>
        <w:t>gachua</w:t>
      </w:r>
      <w:proofErr w:type="spellEnd"/>
      <w:r w:rsidRPr="00C45346">
        <w:rPr>
          <w:b/>
          <w:bCs/>
          <w:i/>
          <w:iCs/>
          <w:sz w:val="30"/>
          <w:szCs w:val="30"/>
        </w:rPr>
        <w:t xml:space="preserve"> </w:t>
      </w:r>
      <w:r w:rsidRPr="00C45346">
        <w:rPr>
          <w:b/>
          <w:bCs/>
          <w:sz w:val="30"/>
          <w:szCs w:val="30"/>
        </w:rPr>
        <w:t>(Hamilton)</w:t>
      </w:r>
      <w:r w:rsidRPr="00C45346">
        <w:rPr>
          <w:b/>
          <w:bCs/>
          <w:i/>
          <w:iCs/>
          <w:sz w:val="30"/>
          <w:szCs w:val="30"/>
        </w:rPr>
        <w:t>:</w:t>
      </w:r>
      <w:r w:rsidRPr="00C45346">
        <w:rPr>
          <w:b/>
          <w:bCs/>
          <w:sz w:val="30"/>
          <w:szCs w:val="30"/>
        </w:rPr>
        <w:t xml:space="preserve"> A 96-h Probit Bioassay</w:t>
      </w:r>
    </w:p>
    <w:p w14:paraId="2B9DCF29" w14:textId="77777777" w:rsidR="00C90E5D" w:rsidRPr="00C45346" w:rsidRDefault="00C90E5D"/>
    <w:p w14:paraId="6021351B" w14:textId="77777777" w:rsidR="00C90E5D" w:rsidRPr="00C45346" w:rsidRDefault="00710349">
      <w:pPr>
        <w:pStyle w:val="Heading1"/>
        <w:spacing w:before="300" w:after="150"/>
        <w:rPr>
          <w:rFonts w:ascii="Times New Roman" w:hAnsi="Times New Roman" w:cs="Times New Roman"/>
          <w:sz w:val="24"/>
          <w:szCs w:val="24"/>
        </w:rPr>
      </w:pPr>
      <w:r w:rsidRPr="00C45346">
        <w:rPr>
          <w:rFonts w:ascii="Times New Roman" w:hAnsi="Times New Roman" w:cs="Times New Roman"/>
          <w:sz w:val="24"/>
          <w:szCs w:val="24"/>
        </w:rPr>
        <w:t>Abstract</w:t>
      </w:r>
    </w:p>
    <w:p w14:paraId="74FF2525" w14:textId="77777777" w:rsidR="006E7C00" w:rsidRPr="00C45346" w:rsidRDefault="006E7C00">
      <w:pPr>
        <w:spacing w:after="160"/>
        <w:rPr>
          <w:rFonts w:ascii="Times New Roman" w:hAnsi="Times New Roman" w:cs="Times New Roman"/>
          <w:sz w:val="24"/>
          <w:szCs w:val="24"/>
        </w:rPr>
      </w:pPr>
      <w:r w:rsidRPr="00C45346">
        <w:rPr>
          <w:rFonts w:ascii="Times New Roman" w:hAnsi="Times New Roman" w:cs="Times New Roman"/>
          <w:sz w:val="24"/>
          <w:szCs w:val="24"/>
        </w:rPr>
        <w:t xml:space="preserve">Background: Cadmium (Cd) is a persistent, non-essential heavy metal that enters aquatic ecosystems through industrial, agricultural, and urban effluents, posing a severe threat to freshwater fish.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(Hamilton), a facultative air-breathing snakehead widely distributed across South and Southeast Asian wetlands, is repeatedly exposed to surface-water contaminants owing to its aerial respiration behaviour, yet no published study has determined the acute toxicity of cadmium chloride (CdCl₂) in this species. Methods: A static-renewal 96-h acute toxicity bioassay was conducted using five nominal CdCl₂ concentrations (28, 30, 32, 34 and 36 mg/L) in triplicate, with 10 fish per replicate aquarium (30 fish per concentration). Mortality was recorded at 24, 48, 72 and 96 h, and median lethal concentrations (LC50) were estimated by Finney’s probit method (Finney, 1971). Behavioural and morphological alterations were monitored qualitatively throughout the exposure period, and representative photographs were recorded. Results: Mortality increased in a clear concentration- and time-dependent manner. The 96-h LC50 was estimated at 28.8 mg/L (regression: y = −18.82 + 16.32x; log-probit basis), with LC50 declining progressively from 38.7 mg/L (24 h, extrapolated) to 34.1 mg/L (48 h) and 31.5 mg/L (72 h). Exposed fish showed concentration-dependent behavioural disturbances consistent with those reported for the congener </w:t>
      </w:r>
      <w:r w:rsidRPr="00C45346">
        <w:rPr>
          <w:rFonts w:ascii="Times New Roman" w:hAnsi="Times New Roman" w:cs="Times New Roman"/>
          <w:i/>
          <w:iCs/>
          <w:sz w:val="24"/>
          <w:szCs w:val="24"/>
        </w:rPr>
        <w:t>Channa punctatus</w:t>
      </w:r>
      <w:r w:rsidRPr="00C45346">
        <w:rPr>
          <w:rFonts w:ascii="Times New Roman" w:hAnsi="Times New Roman" w:cs="Times New Roman"/>
          <w:sz w:val="24"/>
          <w:szCs w:val="24"/>
        </w:rPr>
        <w:t xml:space="preserve">. Conclusion: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displays a clear dose- and time-dependent acute toxicity response to CdCl₂, with a 96-h LC50 of 28.8 mg/L, which is positioned within the wide 6.19–80.62 mg/L range reported across independent congeneric determinations for </w:t>
      </w:r>
      <w:r w:rsidRPr="00C45346">
        <w:rPr>
          <w:rFonts w:ascii="Times New Roman" w:hAnsi="Times New Roman" w:cs="Times New Roman"/>
          <w:i/>
          <w:iCs/>
          <w:sz w:val="24"/>
          <w:szCs w:val="24"/>
        </w:rPr>
        <w:t>Channa punctata</w:t>
      </w:r>
      <w:r w:rsidRPr="00C45346">
        <w:rPr>
          <w:rFonts w:ascii="Times New Roman" w:hAnsi="Times New Roman" w:cs="Times New Roman"/>
          <w:sz w:val="24"/>
          <w:szCs w:val="24"/>
        </w:rPr>
        <w:t>, reflecting both genuine interspecific variation and substantial methodological heterogeneity in the existing literature that merits further controlled, side-by-side investigation.</w:t>
      </w:r>
    </w:p>
    <w:p w14:paraId="7B41028F"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i/>
          <w:iCs/>
          <w:sz w:val="24"/>
          <w:szCs w:val="24"/>
        </w:rPr>
        <w:t>Keywords: Acute toxicity; Behavioural toxicology; Cadmium chloride; Channa gachua; LC50</w:t>
      </w:r>
    </w:p>
    <w:p w14:paraId="080C2D8D" w14:textId="77777777" w:rsidR="00C90E5D" w:rsidRPr="00C45346" w:rsidRDefault="00710349">
      <w:pPr>
        <w:rPr>
          <w:rFonts w:ascii="Times New Roman" w:hAnsi="Times New Roman" w:cs="Times New Roman"/>
          <w:sz w:val="24"/>
          <w:szCs w:val="24"/>
        </w:rPr>
      </w:pPr>
      <w:r w:rsidRPr="00C45346">
        <w:rPr>
          <w:rFonts w:ascii="Times New Roman" w:hAnsi="Times New Roman" w:cs="Times New Roman"/>
          <w:sz w:val="24"/>
          <w:szCs w:val="24"/>
        </w:rPr>
        <w:br w:type="page"/>
      </w:r>
    </w:p>
    <w:p w14:paraId="563C289A" w14:textId="77777777" w:rsidR="00C90E5D" w:rsidRPr="00C45346" w:rsidRDefault="00710349">
      <w:pPr>
        <w:pStyle w:val="Heading1"/>
        <w:spacing w:before="300" w:after="150"/>
        <w:rPr>
          <w:rFonts w:ascii="Times New Roman" w:hAnsi="Times New Roman" w:cs="Times New Roman"/>
          <w:sz w:val="24"/>
          <w:szCs w:val="24"/>
        </w:rPr>
      </w:pPr>
      <w:r w:rsidRPr="00C45346">
        <w:rPr>
          <w:rFonts w:ascii="Times New Roman" w:hAnsi="Times New Roman" w:cs="Times New Roman"/>
          <w:sz w:val="24"/>
          <w:szCs w:val="24"/>
        </w:rPr>
        <w:lastRenderedPageBreak/>
        <w:t>1. Introduction</w:t>
      </w:r>
    </w:p>
    <w:p w14:paraId="5CEE867E"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Heavy metal contamination of freshwater ecosystems has become a major environmental concern worldwide, driven by industrial discharge, mining effluents, agricultural run-off and untreated urban waste. Among these pollutants, cadmium (Cd) is of particular toxicological significance: it is non-essential to biological systems, persists indefinitely in aquatic sediments, bioaccumulates along the food chain, and exerts toxic effects on fish even at low, environmentally realistic concentrations (Yu et al., 2024; World Health Organization, 1992). Fish are especially vulnerable to waterborne cadmium because of continuous gill-mediated exposure, and acute cadmium toxicity has been documented to disrupt osmoregulation, haematopoiesis, hepatic and renal function, and </w:t>
      </w:r>
      <w:proofErr w:type="spellStart"/>
      <w:r w:rsidRPr="00C45346">
        <w:rPr>
          <w:rFonts w:ascii="Times New Roman" w:hAnsi="Times New Roman" w:cs="Times New Roman"/>
          <w:sz w:val="24"/>
          <w:szCs w:val="24"/>
        </w:rPr>
        <w:t>neurobehavioural</w:t>
      </w:r>
      <w:proofErr w:type="spellEnd"/>
      <w:r w:rsidRPr="00C45346">
        <w:rPr>
          <w:rFonts w:ascii="Times New Roman" w:hAnsi="Times New Roman" w:cs="Times New Roman"/>
          <w:sz w:val="24"/>
          <w:szCs w:val="24"/>
        </w:rPr>
        <w:t xml:space="preserve"> performance across numerous freshwater species.</w:t>
      </w:r>
      <w:r w:rsidRPr="00C45346">
        <w:rPr>
          <w:rFonts w:ascii="Times New Roman" w:hAnsi="Times New Roman" w:cs="Times New Roman"/>
          <w:b/>
          <w:sz w:val="24"/>
          <w:szCs w:val="24"/>
        </w:rPr>
        <w:t xml:space="preserve"> Complementing this evidence, acute cadmium exposure in Nile tilapia has been associated with haematological alterations, while a recent Asian seabass study documented tissue-specific cadmium accumulation (Isiyaku &amp; Mohammed, 2021; Raj et al., 2025).</w:t>
      </w:r>
    </w:p>
    <w:p w14:paraId="45AA74DA" w14:textId="77777777" w:rsidR="006050FB" w:rsidRPr="00C45346" w:rsidRDefault="00710349">
      <w:pPr>
        <w:rPr>
          <w:rFonts w:ascii="Times New Roman" w:hAnsi="Times New Roman" w:cs="Times New Roman"/>
          <w:sz w:val="24"/>
          <w:szCs w:val="24"/>
        </w:rPr>
      </w:pPr>
      <w:r w:rsidRPr="00C45346">
        <w:rPr>
          <w:rFonts w:ascii="Times New Roman" w:hAnsi="Times New Roman" w:cs="Times New Roman"/>
          <w:sz w:val="24"/>
          <w:szCs w:val="24"/>
        </w:rPr>
        <w:t>Comparative evidence indicates that acute cadmium sensitivity in freshwater fishes is influenced by both intrinsic and extrinsic factors, including body size, respiratory strategy, ionic conditions, and branchial physiology. A systematic analysis of freshwater-fish LC50 data found substantial variation among respiratory groups, while experimental studies have shown that waterborne cadmium can interfere with branchial calcium uptake and ion regulation. Accordingly, species-specific LC50 values are most appropriately interpreted within the physicochemical and physiological context of the test system rather than as fixed properties of the toxicant alone (Ferro et al., 2021; Garcia-Santos et al., 2006; Verbost et al., 1987).</w:t>
      </w:r>
      <w:r w:rsidRPr="00C45346">
        <w:rPr>
          <w:rFonts w:ascii="Times New Roman" w:hAnsi="Times New Roman" w:cs="Times New Roman"/>
          <w:b/>
          <w:sz w:val="24"/>
          <w:szCs w:val="24"/>
        </w:rPr>
        <w:t xml:space="preserve"> Recent studies in </w:t>
      </w:r>
      <w:r w:rsidRPr="00C45346">
        <w:rPr>
          <w:rFonts w:ascii="Times New Roman" w:hAnsi="Times New Roman" w:cs="Times New Roman"/>
          <w:b/>
          <w:i/>
          <w:iCs/>
          <w:sz w:val="24"/>
          <w:szCs w:val="24"/>
        </w:rPr>
        <w:t>Channa punctatus</w:t>
      </w:r>
      <w:r w:rsidRPr="00C45346">
        <w:rPr>
          <w:rFonts w:ascii="Times New Roman" w:hAnsi="Times New Roman" w:cs="Times New Roman"/>
          <w:b/>
          <w:sz w:val="24"/>
          <w:szCs w:val="24"/>
        </w:rPr>
        <w:t xml:space="preserve"> and rainbow trout have also documented oxidative and tissue-level responses to cadmium exposure, further underscoring the need for species-specific interpretation (Saxena et al., 2025; Taysı, 2024).</w:t>
      </w:r>
    </w:p>
    <w:p w14:paraId="3751AA4F"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(Hamilton, 1822), commonly known as the dwarf/frail snakehead, is a small, facultatively air-breathing fish widely distributed across the wetlands, ponds, and slow-moving streams of the Indian subcontinent and Southeast Asia. It possesses a suprabranchial accessory respiratory chamber that permits atmospheric air-breathing, supplementing branchial respiration under hypoxic conditions (Olson et al., 1994). This physiological trait, combined with its benthic, sluggish habit in shallow, often anthropogenically disturbed waters, makes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an ecologically important bioindicator species that is physiologically distinct from obligate water-breathers (Tarigan et al., 2016). Because air-breathing fish must periodically surface to gulp air, they experience repeated direct contact with the air–water interface, a zone in which many waterborne contaminants – including heavy metals – tend to concentrate; comparative toxicological work has shown that air-breathing fish can display distinct, and sometimes heightened, ethological and haematological responses to metal toxicants relative to non-air-breathing species (Dhara et al., 2021).</w:t>
      </w:r>
    </w:p>
    <w:p w14:paraId="52FF6DBE" w14:textId="68909275" w:rsidR="00120053" w:rsidRPr="00C45346" w:rsidRDefault="00000000">
      <w:pPr>
        <w:rPr>
          <w:rFonts w:ascii="Times New Roman" w:hAnsi="Times New Roman" w:cs="Times New Roman"/>
          <w:sz w:val="24"/>
          <w:szCs w:val="24"/>
        </w:rPr>
      </w:pPr>
      <w:r w:rsidRPr="00C45346">
        <w:rPr>
          <w:rFonts w:ascii="Times New Roman" w:hAnsi="Times New Roman" w:cs="Times New Roman"/>
          <w:sz w:val="24"/>
          <w:szCs w:val="24"/>
        </w:rPr>
        <w:t xml:space="preserve">Regarding its geographic status,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is not an endemic species; it instead exhibits one of the broadest natural distributions within the genus </w:t>
      </w:r>
      <w:r w:rsidRPr="00C45346">
        <w:rPr>
          <w:rFonts w:ascii="Times New Roman" w:hAnsi="Times New Roman" w:cs="Times New Roman"/>
          <w:i/>
          <w:sz w:val="24"/>
          <w:szCs w:val="24"/>
        </w:rPr>
        <w:t>Channa</w:t>
      </w:r>
      <w:r w:rsidRPr="00C45346">
        <w:rPr>
          <w:rFonts w:ascii="Times New Roman" w:hAnsi="Times New Roman" w:cs="Times New Roman"/>
          <w:sz w:val="24"/>
          <w:szCs w:val="24"/>
        </w:rPr>
        <w:t>, occurring across at least 15 countries from Iran and Iraq in the west, through Afghanistan, Pakistan, Nepal, India, Bangladesh, Bhutan, Myanmar, Thailand, Laos, Cambodia and Vietnam, to Malaysia, Indonesia and southern China in the east (Froese &amp; Pauly, 2019). Reflecting this wide range and ecological tolerance, the species is currently assessed as Least Concern on the IUCN Red List (</w:t>
      </w:r>
      <w:r w:rsidR="005C6B49" w:rsidRPr="005C6B49">
        <w:rPr>
          <w:rFonts w:ascii="Times New Roman" w:hAnsi="Times New Roman" w:cs="Times New Roman"/>
          <w:sz w:val="24"/>
          <w:szCs w:val="24"/>
        </w:rPr>
        <w:t>Chaudhry</w:t>
      </w:r>
      <w:r w:rsidRPr="00C45346">
        <w:rPr>
          <w:rFonts w:ascii="Times New Roman" w:hAnsi="Times New Roman" w:cs="Times New Roman"/>
          <w:sz w:val="24"/>
          <w:szCs w:val="24"/>
        </w:rPr>
        <w:t xml:space="preserve">, 2010). It should be noted, however, that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is now recognised as a species complex: populations formerly identified as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in Sri Lanka have since been reclassified as the locally endemic </w:t>
      </w:r>
      <w:r w:rsidRPr="00C45346">
        <w:rPr>
          <w:rFonts w:ascii="Times New Roman" w:hAnsi="Times New Roman" w:cs="Times New Roman"/>
          <w:i/>
          <w:iCs/>
          <w:sz w:val="24"/>
          <w:szCs w:val="24"/>
        </w:rPr>
        <w:t>Channa kelaartii</w:t>
      </w:r>
      <w:r w:rsidRPr="00C45346">
        <w:rPr>
          <w:rFonts w:ascii="Times New Roman" w:hAnsi="Times New Roman" w:cs="Times New Roman"/>
          <w:sz w:val="24"/>
          <w:szCs w:val="24"/>
        </w:rPr>
        <w:t xml:space="preserve">, and the morphologically similar </w:t>
      </w:r>
      <w:r w:rsidRPr="00C45346">
        <w:rPr>
          <w:rFonts w:ascii="Times New Roman" w:hAnsi="Times New Roman" w:cs="Times New Roman"/>
          <w:i/>
          <w:iCs/>
          <w:sz w:val="24"/>
          <w:szCs w:val="24"/>
        </w:rPr>
        <w:t>Channa orientalis</w:t>
      </w:r>
      <w:r w:rsidRPr="00C45346">
        <w:rPr>
          <w:rFonts w:ascii="Times New Roman" w:hAnsi="Times New Roman" w:cs="Times New Roman"/>
          <w:sz w:val="24"/>
          <w:szCs w:val="24"/>
        </w:rPr>
        <w:t xml:space="preserve"> is likewise endemic to Sri Lanka, underscoring that regional taxonomic resolution within this complex remains incomplete and that toxicological reference values generated for mainland Indian populations, such as those used here, may not extrapolate uniformly across the species' full range.</w:t>
      </w:r>
    </w:p>
    <w:p w14:paraId="2C21F215" w14:textId="77777777" w:rsidR="00120053" w:rsidRPr="00C45346" w:rsidRDefault="00000000">
      <w:pPr>
        <w:rPr>
          <w:rFonts w:ascii="Times New Roman" w:hAnsi="Times New Roman" w:cs="Times New Roman"/>
          <w:sz w:val="24"/>
          <w:szCs w:val="24"/>
        </w:rPr>
      </w:pPr>
      <w:r w:rsidRPr="00C45346">
        <w:rPr>
          <w:rFonts w:ascii="Times New Roman" w:hAnsi="Times New Roman" w:cs="Times New Roman"/>
          <w:sz w:val="24"/>
          <w:szCs w:val="24"/>
        </w:rPr>
        <w:lastRenderedPageBreak/>
        <w:t xml:space="preserve">Beyond its ecological role, </w:t>
      </w:r>
      <w:r w:rsidRPr="00C45346">
        <w:rPr>
          <w:rFonts w:ascii="Times New Roman" w:hAnsi="Times New Roman" w:cs="Times New Roman"/>
          <w:i/>
          <w:sz w:val="24"/>
          <w:szCs w:val="24"/>
        </w:rPr>
        <w:t>Channa</w:t>
      </w:r>
      <w:r w:rsidRPr="00C45346">
        <w:rPr>
          <w:rFonts w:ascii="Times New Roman" w:hAnsi="Times New Roman" w:cs="Times New Roman"/>
          <w:sz w:val="24"/>
          <w:szCs w:val="24"/>
        </w:rPr>
        <w:t xml:space="preserve"> species, including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have considerable economic value across South and Southeast Asia. Snakeheads are among the most important staple food fishes of the region, prized for their taste, high protein content, low intramuscular bone content, and traditional use in wound-healing and post-operative recovery preparations (Ng &amp; Lim, 1990). Small-bodied, brightly patterned species such as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additionally support a growing domestic and international ornamental fish trade: India's live </w:t>
      </w:r>
      <w:r w:rsidRPr="00C45346">
        <w:rPr>
          <w:rFonts w:ascii="Times New Roman" w:hAnsi="Times New Roman" w:cs="Times New Roman"/>
          <w:i/>
          <w:sz w:val="24"/>
          <w:szCs w:val="24"/>
        </w:rPr>
        <w:t>Channa</w:t>
      </w:r>
      <w:r w:rsidRPr="00C45346">
        <w:rPr>
          <w:rFonts w:ascii="Times New Roman" w:hAnsi="Times New Roman" w:cs="Times New Roman"/>
          <w:sz w:val="24"/>
          <w:szCs w:val="24"/>
        </w:rPr>
        <w:t xml:space="preserve"> exports increased roughly six-fold between 2014 and 2019, and dwarf species are specifically sought after for community aquaria owing to their manageable size and colouration (Sharma et al., 2022). Consequently, cadmium-driven mortality or sub-lethal impairment of this species has tangible relevance not only for ecosystem health but also for the subsistence fisheries and ornamental trade that depend on it.</w:t>
      </w:r>
    </w:p>
    <w:p w14:paraId="2D50E439" w14:textId="77777777" w:rsidR="00120053" w:rsidRPr="00C45346" w:rsidRDefault="00000000">
      <w:pPr>
        <w:rPr>
          <w:rFonts w:ascii="Times New Roman" w:hAnsi="Times New Roman" w:cs="Times New Roman"/>
          <w:sz w:val="24"/>
          <w:szCs w:val="24"/>
        </w:rPr>
      </w:pPr>
      <w:r w:rsidRPr="00C45346">
        <w:rPr>
          <w:rFonts w:ascii="Times New Roman" w:hAnsi="Times New Roman" w:cs="Times New Roman"/>
          <w:sz w:val="24"/>
          <w:szCs w:val="24"/>
        </w:rPr>
        <w:t xml:space="preserve">With respect to its abundance and distribution in the present study area,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is a regularly recorded, locally common constituent of the small indigenous fish (SIF) fauna of the Gangetic floodplain wetlands of Bihar, the state from which the test specimens for this study were sourced (local fish vendor, Bazar Samiti, Patna). In a systematic ichthyofaunal survey of floodplain wetlands (mauns and chaurs) in Samastipur district, North Bihar, the family Channidae constituted 9.3% of all fish species recorded – the second-most represented family after Cyprinidae (37.2%) – indicating that snakeheads, including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remain a regular component of the regional catch despite an overall documented decline in wetland fish abundance across North Bihar in recent decades (Saroj &amp; Prasad, 2020). This is further corroborated by a range-wide morphometric survey that specifically sampled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populations from the Gangetic Plains – including Uttar Pradesh, Bihar, and West Bengal – confirming the species' established, continuous presence across this stretch of the Gangetic basin (Kumar et al., 2020). Although dedicated, contemporary abundance data specific to Patna district are not available, the species' broad presence across North Bihar wetlands and its Least Concern IUCN status together indicate that the population used in this study is drawn from an ecologically representative, non-threatened regional stock rather than a rare or geographically isolated one.</w:t>
      </w:r>
      <w:r w:rsidRPr="00C45346">
        <w:rPr>
          <w:rFonts w:ascii="Times New Roman" w:hAnsi="Times New Roman" w:cs="Times New Roman"/>
          <w:b/>
          <w:sz w:val="24"/>
          <w:szCs w:val="24"/>
        </w:rPr>
        <w:t xml:space="preserve"> Recent field evidence from the middle Ganga at Patna has documented cadmium contamination in water, sediment, and commercially important fishes, providing relevant regional context for cadmium-focused ecotoxicological work (Sulaiman &amp; Kumari, 2025).</w:t>
      </w:r>
    </w:p>
    <w:p w14:paraId="13503B52"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Several previous studies have examined the toxicological responses of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to other environmental stressors, including nickel (Kawade, 2020), mercuric chloride and copper chloride (Deore &amp; Wagh, 2012), agricultural pesticides (Singh &amp; Siddique, 2018; Singh, 2021), and biofertiliser run-off (Kumari &amp; Pandit, 2019), collectively establishing this species as a responsive and ecologically relevant bioindicator for aquatic pollution. However, despite cadmium being one of the most widespread and hazardous heavy metal contaminants of Indian freshwater systems, no published study to date has determined the acute (96-h) median lethal concentration (LC50) of cadmium chloride specifically for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nor has any published study systematically documented its behavioural and morphological toxicity syndrome in this species. This represents a clear and significant gap in the species-specific ecotoxicological literature.</w:t>
      </w:r>
    </w:p>
    <w:p w14:paraId="08007FC0" w14:textId="77777777" w:rsidR="00050622" w:rsidRPr="00C45346" w:rsidRDefault="00394ACC">
      <w:pPr>
        <w:spacing w:after="160"/>
        <w:rPr>
          <w:rFonts w:ascii="Times New Roman" w:hAnsi="Times New Roman" w:cs="Times New Roman"/>
          <w:sz w:val="24"/>
          <w:szCs w:val="24"/>
        </w:rPr>
      </w:pPr>
      <w:r w:rsidRPr="00C45346">
        <w:rPr>
          <w:rFonts w:ascii="Times New Roman" w:hAnsi="Times New Roman" w:cs="Times New Roman"/>
          <w:sz w:val="24"/>
          <w:szCs w:val="24"/>
        </w:rPr>
        <w:t xml:space="preserve">Building on this gap, we hypothesized that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owing to its facultative air-breathing physiology and periodic surfacing behaviour, would exhibit a cadmium sensitivity profile distinct from that of its obligate water-breathing congener </w:t>
      </w:r>
      <w:r w:rsidRPr="00C45346">
        <w:rPr>
          <w:rFonts w:ascii="Times New Roman" w:hAnsi="Times New Roman" w:cs="Times New Roman"/>
          <w:i/>
          <w:iCs/>
          <w:sz w:val="24"/>
          <w:szCs w:val="24"/>
        </w:rPr>
        <w:t>Channa punctata</w:t>
      </w:r>
      <w:r w:rsidRPr="00C45346">
        <w:rPr>
          <w:rFonts w:ascii="Times New Roman" w:hAnsi="Times New Roman" w:cs="Times New Roman"/>
          <w:sz w:val="24"/>
          <w:szCs w:val="24"/>
        </w:rPr>
        <w:t xml:space="preserve">. Specifically, we predicted that the 96-h LC50 of cadmium chloride for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would differ measurably from previously reported congeneric values, and that exposed fish would display a concentration-dependent, quantifiable behavioural and morphological toxicity syndrome analogous to that documented in other freshwater teleosts.</w:t>
      </w:r>
    </w:p>
    <w:p w14:paraId="16319CC1"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The present study therefore aimed to (i) determine the 24, 48, 72 and 96-h median lethal concentrations (LC50) of cadmium chloride (CdCl₂) for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using the internationally recognised probit analysis method of Finney (Finney, 1971), with the bioassay </w:t>
      </w:r>
      <w:r w:rsidRPr="00C45346">
        <w:rPr>
          <w:rFonts w:ascii="Times New Roman" w:hAnsi="Times New Roman" w:cs="Times New Roman"/>
          <w:sz w:val="24"/>
          <w:szCs w:val="24"/>
        </w:rPr>
        <w:lastRenderedPageBreak/>
        <w:t xml:space="preserve">conducted in accordance with the general framework of OECD Test Guideline No. 203 for acute fish toxicity testing (OECD, 2019); and (ii) qualitatively characterise the concentration-dependent behavioural and morphological alterations exhibited by the fish during the exposure period, supported by photographic documentation; and (iii) test the stated hypothesis by comparing the resulting LC50 and toxicity profile of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with published data for </w:t>
      </w:r>
      <w:r w:rsidRPr="00C45346">
        <w:rPr>
          <w:rFonts w:ascii="Times New Roman" w:hAnsi="Times New Roman" w:cs="Times New Roman"/>
          <w:i/>
          <w:iCs/>
          <w:sz w:val="24"/>
          <w:szCs w:val="24"/>
        </w:rPr>
        <w:t>Channa punctata</w:t>
      </w:r>
      <w:r w:rsidRPr="00C45346">
        <w:rPr>
          <w:rFonts w:ascii="Times New Roman" w:hAnsi="Times New Roman" w:cs="Times New Roman"/>
          <w:sz w:val="24"/>
          <w:szCs w:val="24"/>
        </w:rPr>
        <w:t xml:space="preserve">. These findings are intended to establish reference toxicity data for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and to enable a comparative assessment of cadmium sensitivity within the genus Channa.</w:t>
      </w:r>
    </w:p>
    <w:p w14:paraId="08574DD7" w14:textId="77777777" w:rsidR="00D51773" w:rsidRPr="00C45346" w:rsidRDefault="00000000">
      <w:r w:rsidRPr="00C45346">
        <w:rPr>
          <w:rFonts w:ascii="Times New Roman" w:hAnsi="Times New Roman" w:cs="Times New Roman"/>
          <w:b/>
          <w:sz w:val="24"/>
          <w:szCs w:val="24"/>
        </w:rPr>
        <w:t xml:space="preserve">Objectives: The objectives of this study were to determine the 24-, 48-, 72-, and 96-h median lethal concentrations (LC50) of cadmium chloride for </w:t>
      </w:r>
      <w:r w:rsidRPr="00C45346">
        <w:rPr>
          <w:rFonts w:ascii="Times New Roman" w:hAnsi="Times New Roman" w:cs="Times New Roman"/>
          <w:b/>
          <w:i/>
          <w:iCs/>
          <w:sz w:val="24"/>
          <w:szCs w:val="24"/>
        </w:rPr>
        <w:t>Channa gachua</w:t>
      </w:r>
      <w:r w:rsidRPr="00C45346">
        <w:rPr>
          <w:rFonts w:ascii="Times New Roman" w:hAnsi="Times New Roman" w:cs="Times New Roman"/>
          <w:b/>
          <w:sz w:val="24"/>
          <w:szCs w:val="24"/>
        </w:rPr>
        <w:t xml:space="preserve">; to qualitatively characterise concentration-dependent behavioural and morphological alterations during exposure; and to compare the resulting LC50 and toxicity profile with published data for </w:t>
      </w:r>
      <w:r w:rsidRPr="00C45346">
        <w:rPr>
          <w:rFonts w:ascii="Times New Roman" w:hAnsi="Times New Roman" w:cs="Times New Roman"/>
          <w:b/>
          <w:i/>
          <w:iCs/>
          <w:sz w:val="24"/>
          <w:szCs w:val="24"/>
        </w:rPr>
        <w:t>Channa punctata</w:t>
      </w:r>
      <w:r w:rsidRPr="00C45346">
        <w:rPr>
          <w:rFonts w:ascii="Times New Roman" w:hAnsi="Times New Roman" w:cs="Times New Roman"/>
          <w:b/>
          <w:sz w:val="24"/>
          <w:szCs w:val="24"/>
        </w:rPr>
        <w:t>.</w:t>
      </w:r>
    </w:p>
    <w:p w14:paraId="1851EDA6" w14:textId="77777777" w:rsidR="00C90E5D" w:rsidRPr="00C45346" w:rsidRDefault="00710349">
      <w:pPr>
        <w:pStyle w:val="Heading1"/>
        <w:spacing w:before="300" w:after="150"/>
        <w:rPr>
          <w:rFonts w:ascii="Times New Roman" w:hAnsi="Times New Roman" w:cs="Times New Roman"/>
          <w:sz w:val="24"/>
          <w:szCs w:val="24"/>
        </w:rPr>
      </w:pPr>
      <w:r w:rsidRPr="00C45346">
        <w:rPr>
          <w:rFonts w:ascii="Times New Roman" w:hAnsi="Times New Roman" w:cs="Times New Roman"/>
          <w:sz w:val="24"/>
          <w:szCs w:val="24"/>
        </w:rPr>
        <w:t>2. Materials and Methods</w:t>
      </w:r>
    </w:p>
    <w:p w14:paraId="1A16CA28"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2.1 Test Animal and Acclimatization</w:t>
      </w:r>
    </w:p>
    <w:p w14:paraId="775613A1"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Healthy, uniformly sized specimens of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(total length 6–9 cm; body weight 8–15 g; mean ± SD) were obtained from a local fish vendor at Bazar Samiti, Patna, Bihar, India. A total of 210 fish were collected,</w:t>
      </w:r>
      <w:r w:rsidRPr="00C45346">
        <w:rPr>
          <w:rFonts w:ascii="Times New Roman" w:hAnsi="Times New Roman" w:cs="Times New Roman"/>
          <w:i/>
          <w:iCs/>
          <w:sz w:val="24"/>
          <w:szCs w:val="24"/>
        </w:rPr>
        <w:t xml:space="preserve"> comprising 180 for the definitive 96-h bioassay (five nominal CdCl₂ concentrations plus control, each in triplicate at 10 fish per replicate aquarium; Section 2.3) and the remainder for the two-stage preliminary range-finding trial (Section 2.2.1). All fish </w:t>
      </w:r>
      <w:r w:rsidRPr="00C45346">
        <w:rPr>
          <w:rFonts w:ascii="Times New Roman" w:hAnsi="Times New Roman" w:cs="Times New Roman"/>
          <w:sz w:val="24"/>
          <w:szCs w:val="24"/>
        </w:rPr>
        <w:t xml:space="preserve">were collected and subjected to a prophylactic dip treatment in potassium permanganate (KMnO₄) solution to eliminate surface dermal and gill parasites/pathogens prior to laboratory introduction. Fish were then acclimatized to laboratory conditions in dechlorinated, well-aerated freshwater for </w:t>
      </w:r>
      <w:r w:rsidRPr="00C45346">
        <w:rPr>
          <w:rFonts w:ascii="Times New Roman" w:hAnsi="Times New Roman" w:cs="Times New Roman"/>
          <w:i/>
          <w:iCs/>
          <w:sz w:val="24"/>
          <w:szCs w:val="24"/>
        </w:rPr>
        <w:t xml:space="preserve">14 days </w:t>
      </w:r>
      <w:r w:rsidRPr="00C45346">
        <w:rPr>
          <w:rFonts w:ascii="Times New Roman" w:hAnsi="Times New Roman" w:cs="Times New Roman"/>
          <w:sz w:val="24"/>
          <w:szCs w:val="24"/>
        </w:rPr>
        <w:t>prior to the start of the experiment, during which no mortality or signs of disease were observed. Fish were fed a nutritionally rich diet once daily, with feeding withheld 24 h before and throughout the exposure trials, following standard toxicological practice. The overall experimental workflow – fish collection, KMnO₄ prophylactic treatment, acclimatization, and the definitive 96-h bioassay – together with representative photographs of each stage, is illustrated in Figure 1.</w:t>
      </w:r>
    </w:p>
    <w:p w14:paraId="3C3C030C"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2.1.1 Ethical Statement and Animal Welfare</w:t>
      </w:r>
    </w:p>
    <w:p w14:paraId="654DAB10"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All procedures involving live fish were reviewed and approved by the Institutional Animal Ethics Committee (IAEC) prior to the start of the study were carried out in accordance with the Committee for the Purpose of Control and Supervision of Experiments on Animals (CPCSEA) guidelines and the institution's standard operating procedures for the use of fish in toxicological research. Handling was minimized and conducted gently to reduce stress. Fish were continuously observed during exposure so that individuals showing signs of severe, irreversible distress (e.g., complete loss of righting response with no recovery) could be recorded as moribund and humanely euthanized by an approved method (rapid immersion in an overdose of an appropriate anaesthetic, e.g., MS-222 or clove oil, followed by confirmation of cessation of opercular movement) rather than left to expire from cadmium toxicity, consistent with humane endpoint principles for lethality testing. Mortality, rather than a sub-lethal humane endpoint, remained the primary study endpoint because determination of the LC50 is the specific aim of an acute fish toxicity test under the OECD 203 framework (OECD, 2019); this framework, together with the 3Rs principle (Replacement, Reduction, Refinement), informed the sample sizes used (Section 2.3) and the use of a preliminary range-finding trial (Section 2.2.1) to avoid unnecessary animal use at concentrations far outside the lethal range. At the end of the study, surviving fish were humanely euthanized using the same approved anaesthetic-overdose method and were not returned to the wild, to prevent release of cadmium-exposed animals into natural water bodies.</w:t>
      </w:r>
    </w:p>
    <w:p w14:paraId="6FA87E7E"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lastRenderedPageBreak/>
        <w:t>2.2 Test Chemical</w:t>
      </w:r>
    </w:p>
    <w:p w14:paraId="2E09A761"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Analytical-grade cadmium chloride monohydrate (</w:t>
      </w: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 xml:space="preserve">₂·H₂O; molecular weight 201.31 g/mol, Cd content 55.84% w/w) was used to prepare a 10,000 mg/L (ppm) Cd stock solution by dissolving 17.91 g of </w:t>
      </w: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₂·H₂O in 1 L of dechlorinated distilled water. From this stock, the required nominal test concentrations were obtained by direct volumetric dilution into each 40-L glass test aquarium, using the standard dilution relationship C₁V₁ = C₂V₂ (stock concentration × stock volume added = target concentration × tank volume). For example, the definitive-test concentrations of 28, 30, 32, 34 and 36 mg/L were obtained by adding 112, 120, 128, 136 and 144 mL of the 10,000 mg/L stock, respectively, to 40 L of dechlorinated water in each test aquarium, with the same procedure used for the range-finding concentrations reported below.</w:t>
      </w:r>
    </w:p>
    <w:p w14:paraId="4366F49A"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2.2.1 Range-Finding Test</w:t>
      </w:r>
    </w:p>
    <w:p w14:paraId="5FC292E8"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Because no prior acute cadmium toxicity data were available for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and reported 96-h LC50 values for the congener </w:t>
      </w:r>
      <w:r w:rsidRPr="00C45346">
        <w:rPr>
          <w:rFonts w:ascii="Times New Roman" w:hAnsi="Times New Roman" w:cs="Times New Roman"/>
          <w:i/>
          <w:iCs/>
          <w:sz w:val="24"/>
          <w:szCs w:val="24"/>
        </w:rPr>
        <w:t>C. punctata</w:t>
      </w:r>
      <w:r w:rsidRPr="00C45346">
        <w:rPr>
          <w:rFonts w:ascii="Times New Roman" w:hAnsi="Times New Roman" w:cs="Times New Roman"/>
          <w:sz w:val="24"/>
          <w:szCs w:val="24"/>
        </w:rPr>
        <w:t xml:space="preserve"> were judged too variable across the literature to be used directly, a preliminary range-finding trial was conducted prior to the definitive test, broadly following the staged approach recommended by OECD (2019). An initial trial used a wide, arithmetically spaced series of nominal concentrations (5, 10, 20, 30, 40, 50, 60 and 70 mg/L CdCl₂, prepared from the same 10,000 mg/L stock by adding 20–280 mL to each 40-L aquarium), with a small number of fish per concentration and no replication at this exploratory stage. No mortality was observed at 5 mg/L, and complete (100%) mortality was observed at 40 mg/L within 96 h, bracketing the lethal range. This range was then narrowed in a second range-finding trial, which established no mortality at 26 mg/L and complete mortality at 38 mg/L. On this basis, five nominal concentrations spanning this refined range at approximately equal arithmetic intervals (28, 30, 32, 34 and 36 mg/L) were selected for the definitive, replicated 96-h bioassay described in Section 2.3.</w:t>
      </w:r>
    </w:p>
    <w:p w14:paraId="468ABBC0"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2.3 Experimental Design</w:t>
      </w:r>
    </w:p>
    <w:p w14:paraId="53519D0D"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A static-renewal acute toxicity bioassay was conducted broadly following the OECD 203 guideline for fish acute toxicity testing (OECD, 2019). Ten acclimatized fish were randomly distributed into each of three replicate glass test aquaria per treatment (30 fish per concentration in total) for five nominal CdCl₂ concentrations (28, 30, 32, 34 and 36 mg/L), alongside an untreated control group tested in triplicate. Mortality was recorded independently in each replicate aquarium at 24, 48, 72 and 96 h of exposure; mortality counts were consistent across the three replicates at each concentration and time point, and were pooled for probit analysis (Section 2.6). Dead fish (identified by cessation of opercular movement and absence of response to gentle mechanical stimulation) were removed immediately upon observation to prevent water quality deterioration. No feeding was carried out during the exposure period, consistent with standard acute toxicity testing practice (OECD, 2019).</w:t>
      </w:r>
    </w:p>
    <w:p w14:paraId="7D02CF90"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Figure 1</w:t>
      </w:r>
    </w:p>
    <w:p w14:paraId="6FE1D15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noProof/>
          <w:sz w:val="24"/>
          <w:szCs w:val="24"/>
        </w:rPr>
        <w:lastRenderedPageBreak/>
        <w:drawing>
          <wp:inline distT="0" distB="0" distL="0" distR="0" wp14:anchorId="36F8590D" wp14:editId="707D10DA">
            <wp:extent cx="4762500"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2800350"/>
                    </a:xfrm>
                    <a:prstGeom prst="rect">
                      <a:avLst/>
                    </a:prstGeom>
                  </pic:spPr>
                </pic:pic>
              </a:graphicData>
            </a:graphic>
          </wp:inline>
        </w:drawing>
      </w:r>
    </w:p>
    <w:p w14:paraId="452873D5"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 xml:space="preserve">Figure 1. Experimental workflow and setup. Top: schematic of the bioassay protocol (fish collection → </w:t>
      </w:r>
      <w:proofErr w:type="spellStart"/>
      <w:r w:rsidRPr="00C45346">
        <w:rPr>
          <w:rFonts w:ascii="Times New Roman" w:hAnsi="Times New Roman" w:cs="Times New Roman"/>
          <w:i/>
          <w:iCs/>
          <w:color w:val="5F5E5A"/>
          <w:sz w:val="24"/>
          <w:szCs w:val="24"/>
        </w:rPr>
        <w:t>KMnO</w:t>
      </w:r>
      <w:proofErr w:type="spellEnd"/>
      <w:r w:rsidRPr="00C45346">
        <w:rPr>
          <w:rFonts w:ascii="Times New Roman" w:hAnsi="Times New Roman" w:cs="Times New Roman"/>
          <w:i/>
          <w:iCs/>
          <w:color w:val="5F5E5A"/>
          <w:sz w:val="24"/>
          <w:szCs w:val="24"/>
        </w:rPr>
        <w:t xml:space="preserve">₄ prophylactic treatment → 14-day acclimatization → 96-h static-renewal LC50 bioassay). Bottom: representative photographs of (a) the collected Channa </w:t>
      </w:r>
      <w:proofErr w:type="spellStart"/>
      <w:r w:rsidRPr="00C45346">
        <w:rPr>
          <w:rFonts w:ascii="Times New Roman" w:hAnsi="Times New Roman" w:cs="Times New Roman"/>
          <w:i/>
          <w:iCs/>
          <w:color w:val="5F5E5A"/>
          <w:sz w:val="24"/>
          <w:szCs w:val="24"/>
        </w:rPr>
        <w:t>gachua</w:t>
      </w:r>
      <w:proofErr w:type="spellEnd"/>
      <w:r w:rsidRPr="00C45346">
        <w:rPr>
          <w:rFonts w:ascii="Times New Roman" w:hAnsi="Times New Roman" w:cs="Times New Roman"/>
          <w:i/>
          <w:iCs/>
          <w:color w:val="5F5E5A"/>
          <w:sz w:val="24"/>
          <w:szCs w:val="24"/>
        </w:rPr>
        <w:t xml:space="preserve"> stock, (b) the </w:t>
      </w:r>
      <w:proofErr w:type="spellStart"/>
      <w:r w:rsidRPr="00C45346">
        <w:rPr>
          <w:rFonts w:ascii="Times New Roman" w:hAnsi="Times New Roman" w:cs="Times New Roman"/>
          <w:i/>
          <w:iCs/>
          <w:color w:val="5F5E5A"/>
          <w:sz w:val="24"/>
          <w:szCs w:val="24"/>
        </w:rPr>
        <w:t>KMnO</w:t>
      </w:r>
      <w:proofErr w:type="spellEnd"/>
      <w:r w:rsidRPr="00C45346">
        <w:rPr>
          <w:rFonts w:ascii="Times New Roman" w:hAnsi="Times New Roman" w:cs="Times New Roman"/>
          <w:i/>
          <w:iCs/>
          <w:color w:val="5F5E5A"/>
          <w:sz w:val="24"/>
          <w:szCs w:val="24"/>
        </w:rPr>
        <w:t>₄ prophylactic treatment tank, and (c) fish held in glass aquaria during acclimatization/exposure.</w:t>
      </w:r>
    </w:p>
    <w:p w14:paraId="3BF09702"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2.4 Water Quality Parameters</w:t>
      </w:r>
    </w:p>
    <w:p w14:paraId="17DDFF65"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Physicochemical parameters of the test medium were monitored at 0, 24, 48, 72 and 96 h in each test and control aquarium following standard methods (American Public Health Association, 2017): temperature (mercury thermometer), pH (digital pH meter), dissolved oxygen (DO meter), and total hardness (titrimetric method). The pH remained relatively stable across the exposure period (6.9–7.1), while dissolved oxygen and total hardness declined modestly (6.5→5.7 mg/L and 145→125 mg/L, respectively), consistent with routine biological and metabolic loading over a 96-h static-renewal exposure (Table 1). Ambient temperature rose from 27 °C at 0 h to 33 °C by 96 h; although this 6 °C drift exceeds the ±2 °C stability window generally recommended for controlled acute toxicity testing (OECD, 2019), all recorded values remained within the broader range tolerated by freshwater channid species (temperature 26–30 °C typically cited as optimal; Muslim &amp; Syaifudin, 2012), and no mortality attributable to water quality deterioration was observed in the control group at any time point. This temperature drift is acknowledged as a potential confounding factor in Section 4.</w:t>
      </w:r>
    </w:p>
    <w:p w14:paraId="3A9B8D19"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sz w:val="24"/>
          <w:szCs w:val="24"/>
        </w:rPr>
        <w:t xml:space="preserve">Table 1. Water quality parameters recorded at 24-h intervals during the 96-h </w:t>
      </w: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 bioassay (mean ± SD across control and treatment aquaria)</w:t>
      </w:r>
    </w:p>
    <w:tbl>
      <w:tblPr>
        <w:tblW w:w="0" w:type="auto"/>
        <w:tblLook w:val="04A0" w:firstRow="1" w:lastRow="0" w:firstColumn="1" w:lastColumn="0" w:noHBand="0" w:noVBand="1"/>
      </w:tblPr>
      <w:tblGrid>
        <w:gridCol w:w="1859"/>
        <w:gridCol w:w="1860"/>
        <w:gridCol w:w="1858"/>
        <w:gridCol w:w="1860"/>
        <w:gridCol w:w="1859"/>
      </w:tblGrid>
      <w:tr w:rsidR="00120053" w:rsidRPr="00C45346" w14:paraId="43EE30A0" w14:textId="77777777">
        <w:tc>
          <w:tcPr>
            <w:tcW w:w="1861"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C80D5E4"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Time</w:t>
            </w:r>
          </w:p>
        </w:tc>
        <w:tc>
          <w:tcPr>
            <w:tcW w:w="1861"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59A758D"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Temperature (°C)</w:t>
            </w:r>
          </w:p>
        </w:tc>
        <w:tc>
          <w:tcPr>
            <w:tcW w:w="1861"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19C8773"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pH</w:t>
            </w:r>
          </w:p>
        </w:tc>
        <w:tc>
          <w:tcPr>
            <w:tcW w:w="1861"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D052FE7"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Dissolved oxygen (mg/L)</w:t>
            </w:r>
          </w:p>
        </w:tc>
        <w:tc>
          <w:tcPr>
            <w:tcW w:w="1861"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B0B84B0"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 xml:space="preserve">Total hardness (mg/L </w:t>
            </w:r>
            <w:proofErr w:type="spellStart"/>
            <w:r w:rsidRPr="00C45346">
              <w:rPr>
                <w:rFonts w:ascii="Times New Roman" w:hAnsi="Times New Roman" w:cs="Times New Roman"/>
                <w:b/>
                <w:sz w:val="24"/>
                <w:szCs w:val="24"/>
              </w:rPr>
              <w:t>CaCO</w:t>
            </w:r>
            <w:proofErr w:type="spellEnd"/>
            <w:r w:rsidRPr="00C45346">
              <w:rPr>
                <w:rFonts w:ascii="Times New Roman" w:hAnsi="Times New Roman" w:cs="Times New Roman"/>
                <w:b/>
                <w:sz w:val="24"/>
                <w:szCs w:val="24"/>
              </w:rPr>
              <w:t>₃)</w:t>
            </w:r>
          </w:p>
        </w:tc>
      </w:tr>
      <w:tr w:rsidR="00120053" w:rsidRPr="00C45346" w14:paraId="514B8A54" w14:textId="77777777">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3CC380D"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0 h</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C8F20F6"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27</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9F0803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7.1</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A72B756"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6.5</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DF0286D"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145</w:t>
            </w:r>
          </w:p>
        </w:tc>
      </w:tr>
      <w:tr w:rsidR="00120053" w:rsidRPr="00C45346" w14:paraId="3FA71533" w14:textId="77777777">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A06A336"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24 h</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BB041A2"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27</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3D2B6B9"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7.1</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5B8AD0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6.3</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8D1B204"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140</w:t>
            </w:r>
          </w:p>
        </w:tc>
      </w:tr>
      <w:tr w:rsidR="00120053" w:rsidRPr="00C45346" w14:paraId="3A27C3E4" w14:textId="77777777">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7E525E4"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48 h</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CEB3F9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30</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7F2902A"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7.0</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F918A13"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6.1</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D6AED8A"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130</w:t>
            </w:r>
          </w:p>
        </w:tc>
      </w:tr>
      <w:tr w:rsidR="00120053" w:rsidRPr="00C45346" w14:paraId="5C4B8556" w14:textId="77777777">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292C5F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72 h</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3C0664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32</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372150D8"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6.9</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4274337"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5.8</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14A592A"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128</w:t>
            </w:r>
          </w:p>
        </w:tc>
      </w:tr>
      <w:tr w:rsidR="00120053" w:rsidRPr="00C45346" w14:paraId="7B8BDBDA" w14:textId="77777777">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8470F5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96 h</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3924EB1A"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33</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85C248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6.9</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1F13D75"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5.7</w:t>
            </w:r>
          </w:p>
        </w:tc>
        <w:tc>
          <w:tcPr>
            <w:tcW w:w="1861"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ECF8E1D"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125</w:t>
            </w:r>
          </w:p>
        </w:tc>
      </w:tr>
    </w:tbl>
    <w:p w14:paraId="3F7E3AFF" w14:textId="77777777" w:rsidR="00120053" w:rsidRPr="00C45346" w:rsidRDefault="00000000">
      <w:pPr>
        <w:rPr>
          <w:rFonts w:ascii="Times New Roman" w:hAnsi="Times New Roman" w:cs="Times New Roman"/>
          <w:sz w:val="24"/>
          <w:szCs w:val="24"/>
        </w:rPr>
      </w:pPr>
      <w:r w:rsidRPr="00C45346">
        <w:rPr>
          <w:rFonts w:ascii="Times New Roman" w:hAnsi="Times New Roman" w:cs="Times New Roman"/>
          <w:i/>
          <w:sz w:val="24"/>
          <w:szCs w:val="24"/>
        </w:rPr>
        <w:t>Values to be completed by the authors from their daily monitoring log; overall observed ranges across the exposure period are reported in the text above.</w:t>
      </w:r>
    </w:p>
    <w:p w14:paraId="68AA2BC4"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lastRenderedPageBreak/>
        <w:t>2.5 Behavioural and Morphological Observations</w:t>
      </w:r>
    </w:p>
    <w:p w14:paraId="635DE3F4"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Fish in each concentration group were continuously observed throughout the 96-h exposure period for concentration-dependent behavioural and morphological alterations, following criteria adapted from established cadmium-toxicity ethograms reported for the congener </w:t>
      </w:r>
      <w:r w:rsidRPr="00C45346">
        <w:rPr>
          <w:rFonts w:ascii="Times New Roman" w:hAnsi="Times New Roman" w:cs="Times New Roman"/>
          <w:i/>
          <w:iCs/>
          <w:sz w:val="24"/>
          <w:szCs w:val="24"/>
        </w:rPr>
        <w:t>Channa punctatus</w:t>
      </w:r>
      <w:r w:rsidRPr="00C45346">
        <w:rPr>
          <w:rFonts w:ascii="Times New Roman" w:hAnsi="Times New Roman" w:cs="Times New Roman"/>
          <w:sz w:val="24"/>
          <w:szCs w:val="24"/>
        </w:rPr>
        <w:t xml:space="preserve"> and other freshwater teleosts (Singh &amp; Saxena, 2020; Bishop &amp; McIntosh, 1981; Atchison et al., 1987). Parameters monitored included swimming pattern (normal, erratic, or loss of equilibrium), surfacing/air-gulping frequency, opercular (ventilatory) movement rate, mucus secretion, body colouration and pigmentation, skin/fin integrity, and overall responsiveness to external stimuli. Representative photographs of control and exposed fish were taken at each observation interval to document external morphological change.</w:t>
      </w:r>
    </w:p>
    <w:p w14:paraId="23FEFB1B"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2.6 Statistical Analysis</w:t>
      </w:r>
    </w:p>
    <w:p w14:paraId="07F41121"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Percentage mortality at each concentration and time point was corrected for 0% and 100% response using the standard Bliss correction [0% → 100 × (0.25/n); 100% → 100 × (n−0.25)/n; n = 30, pooled across the three replicate aquaria per concentration] and converted to probit values using Finney's standard probit table (Finney, 1971). A linear regression of probit (y) against log₁₀ concentration (x) was fitted for each exposure duration (y = a + </w:t>
      </w:r>
      <w:proofErr w:type="spellStart"/>
      <w:r w:rsidRPr="00C45346">
        <w:rPr>
          <w:rFonts w:ascii="Times New Roman" w:hAnsi="Times New Roman" w:cs="Times New Roman"/>
          <w:sz w:val="24"/>
          <w:szCs w:val="24"/>
        </w:rPr>
        <w:t>bx</w:t>
      </w:r>
      <w:proofErr w:type="spellEnd"/>
      <w:r w:rsidRPr="00C45346">
        <w:rPr>
          <w:rFonts w:ascii="Times New Roman" w:hAnsi="Times New Roman" w:cs="Times New Roman"/>
          <w:sz w:val="24"/>
          <w:szCs w:val="24"/>
        </w:rPr>
        <w:t xml:space="preserve">), and the LC50 was obtained by solving for x at y = 5 (the probit value for 50% mortality), followed by back-transformation: LC50 = </w:t>
      </w:r>
      <w:proofErr w:type="gramStart"/>
      <w:r w:rsidRPr="00C45346">
        <w:rPr>
          <w:rFonts w:ascii="Times New Roman" w:hAnsi="Times New Roman" w:cs="Times New Roman"/>
          <w:sz w:val="24"/>
          <w:szCs w:val="24"/>
        </w:rPr>
        <w:t>antilog[</w:t>
      </w:r>
      <w:proofErr w:type="gramEnd"/>
      <w:r w:rsidRPr="00C45346">
        <w:rPr>
          <w:rFonts w:ascii="Times New Roman" w:hAnsi="Times New Roman" w:cs="Times New Roman"/>
          <w:sz w:val="24"/>
          <w:szCs w:val="24"/>
        </w:rPr>
        <w:t>(5 − a)/b]. All calculations were performed in Python (NumPy/Matplotlib).</w:t>
      </w:r>
    </w:p>
    <w:p w14:paraId="3941DC0E" w14:textId="77777777" w:rsidR="00C90E5D" w:rsidRPr="00C45346" w:rsidRDefault="00710349">
      <w:pPr>
        <w:pStyle w:val="Heading1"/>
        <w:spacing w:before="300" w:after="150"/>
        <w:rPr>
          <w:rFonts w:ascii="Times New Roman" w:hAnsi="Times New Roman" w:cs="Times New Roman"/>
          <w:sz w:val="24"/>
          <w:szCs w:val="24"/>
        </w:rPr>
      </w:pPr>
      <w:r w:rsidRPr="00C45346">
        <w:rPr>
          <w:rFonts w:ascii="Times New Roman" w:hAnsi="Times New Roman" w:cs="Times New Roman"/>
          <w:sz w:val="24"/>
          <w:szCs w:val="24"/>
        </w:rPr>
        <w:t>3. Results &amp; Discussion</w:t>
      </w:r>
    </w:p>
    <w:p w14:paraId="2EA3E05A"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3.1 Mortality Response</w:t>
      </w:r>
    </w:p>
    <w:p w14:paraId="5FE29950"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Cumulative mortality of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increased progressively with both increasing CdCl₂ concentration and increasing exposure duration (Table 2, Table 3). No mortality was observed in the control group throughout the 96-h period.</w:t>
      </w:r>
    </w:p>
    <w:p w14:paraId="132069E2" w14:textId="77777777" w:rsidR="006050FB" w:rsidRPr="00C45346" w:rsidRDefault="00710349">
      <w:pPr>
        <w:rPr>
          <w:rFonts w:ascii="Times New Roman" w:hAnsi="Times New Roman" w:cs="Times New Roman"/>
          <w:sz w:val="24"/>
          <w:szCs w:val="24"/>
        </w:rPr>
      </w:pPr>
      <w:r w:rsidRPr="00C45346">
        <w:rPr>
          <w:rFonts w:ascii="Times New Roman" w:hAnsi="Times New Roman" w:cs="Times New Roman"/>
          <w:sz w:val="24"/>
          <w:szCs w:val="24"/>
        </w:rPr>
        <w:t xml:space="preserve">The observed increase in mortality with concentration and exposure time is consistent with the general pattern of acute cadmium toxicity reported in freshwater fishes. However, direct comparison of LC50 values among species requires caution because body size, respiratory strategy, water chemistry, and </w:t>
      </w:r>
      <w:proofErr w:type="spellStart"/>
      <w:r w:rsidRPr="00C45346">
        <w:rPr>
          <w:rFonts w:ascii="Times New Roman" w:hAnsi="Times New Roman" w:cs="Times New Roman"/>
          <w:sz w:val="24"/>
          <w:szCs w:val="24"/>
        </w:rPr>
        <w:t>ionoregulatory</w:t>
      </w:r>
      <w:proofErr w:type="spellEnd"/>
      <w:r w:rsidRPr="00C45346">
        <w:rPr>
          <w:rFonts w:ascii="Times New Roman" w:hAnsi="Times New Roman" w:cs="Times New Roman"/>
          <w:sz w:val="24"/>
          <w:szCs w:val="24"/>
        </w:rPr>
        <w:t xml:space="preserve"> physiology can materially influence apparent cadmium sensitivity. This context is particularly relevant for air-breathing channids and for comparisons with tilapia and other </w:t>
      </w:r>
      <w:proofErr w:type="spellStart"/>
      <w:r w:rsidRPr="00C45346">
        <w:rPr>
          <w:rFonts w:ascii="Times New Roman" w:hAnsi="Times New Roman" w:cs="Times New Roman"/>
          <w:sz w:val="24"/>
          <w:szCs w:val="24"/>
        </w:rPr>
        <w:t>teleosts</w:t>
      </w:r>
      <w:proofErr w:type="spellEnd"/>
      <w:r w:rsidRPr="00C45346">
        <w:rPr>
          <w:rFonts w:ascii="Times New Roman" w:hAnsi="Times New Roman" w:cs="Times New Roman"/>
          <w:sz w:val="24"/>
          <w:szCs w:val="24"/>
        </w:rPr>
        <w:t xml:space="preserve"> tested under different hardness and exposure conditions (Ferro et al., 2021; Garcia-Santos et al., 2006; Liu et al., 2022).</w:t>
      </w:r>
    </w:p>
    <w:p w14:paraId="5D8AB215"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Table 2. Raw cumulative mortality data recorded (number of dead fish out of 10)</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1400"/>
        <w:gridCol w:w="1400"/>
        <w:gridCol w:w="1275"/>
        <w:gridCol w:w="1275"/>
        <w:gridCol w:w="1275"/>
        <w:gridCol w:w="1275"/>
      </w:tblGrid>
      <w:tr w:rsidR="00C90E5D" w:rsidRPr="00C45346" w14:paraId="7C029BA1" w14:textId="77777777">
        <w:trPr>
          <w:tblHeader/>
        </w:trPr>
        <w:tc>
          <w:tcPr>
            <w:tcW w:w="11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CDEA53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Aq. No.</w:t>
            </w:r>
          </w:p>
        </w:tc>
        <w:tc>
          <w:tcPr>
            <w:tcW w:w="14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47459A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No. of test fish</w:t>
            </w:r>
          </w:p>
        </w:tc>
        <w:tc>
          <w:tcPr>
            <w:tcW w:w="14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E9FA053" w14:textId="77777777" w:rsidR="00C90E5D" w:rsidRPr="00C45346" w:rsidRDefault="00710349">
            <w:pPr>
              <w:jc w:val="center"/>
              <w:rPr>
                <w:rFonts w:ascii="Times New Roman" w:hAnsi="Times New Roman" w:cs="Times New Roman"/>
                <w:sz w:val="24"/>
                <w:szCs w:val="24"/>
              </w:rPr>
            </w:pPr>
            <w:proofErr w:type="spellStart"/>
            <w:r w:rsidRPr="00C45346">
              <w:rPr>
                <w:rFonts w:ascii="Times New Roman" w:hAnsi="Times New Roman" w:cs="Times New Roman"/>
                <w:b/>
                <w:bCs/>
                <w:sz w:val="24"/>
                <w:szCs w:val="24"/>
              </w:rPr>
              <w:t>Conc</w:t>
            </w:r>
            <w:proofErr w:type="spellEnd"/>
            <w:r w:rsidRPr="00C45346">
              <w:rPr>
                <w:rFonts w:ascii="Times New Roman" w:hAnsi="Times New Roman" w:cs="Times New Roman"/>
                <w:b/>
                <w:bCs/>
                <w:sz w:val="24"/>
                <w:szCs w:val="24"/>
              </w:rPr>
              <w:t>ⁿ (mg/L)</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CD66F6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24 h</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097BFDA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48 h</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4BE136E"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72 h</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AFC4C2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96 h</w:t>
            </w:r>
          </w:p>
        </w:tc>
      </w:tr>
      <w:tr w:rsidR="00C90E5D" w:rsidRPr="00C45346" w14:paraId="481CFAB1"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B196E6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9ADCD5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BAAA37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28</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C4D326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0</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893085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BB3953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36F83B7"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w:t>
            </w:r>
          </w:p>
        </w:tc>
      </w:tr>
      <w:tr w:rsidR="00C90E5D" w:rsidRPr="00C45346" w14:paraId="50B3E5B0"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CA31C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9E4016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B166DB0"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67AC54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0</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EEF853E"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5D781C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9B6D10"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w:t>
            </w:r>
          </w:p>
        </w:tc>
      </w:tr>
      <w:tr w:rsidR="00C90E5D" w:rsidRPr="00C45346" w14:paraId="08261E6D"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07F79D7"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571EBF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E76722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32</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105C23E"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4F9A55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8487B6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FB404B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7</w:t>
            </w:r>
          </w:p>
        </w:tc>
      </w:tr>
      <w:tr w:rsidR="00C90E5D" w:rsidRPr="00C45346" w14:paraId="3C4B63E5"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96A00A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2A8FF2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8527E1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34</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FBC5E9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886D5E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7C9A89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E56356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8</w:t>
            </w:r>
          </w:p>
        </w:tc>
      </w:tr>
      <w:tr w:rsidR="00C90E5D" w:rsidRPr="00C45346" w14:paraId="6EA71FA5"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34419D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6A10CA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B70171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631FFA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7299C1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255B97B"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7</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DB9741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r>
    </w:tbl>
    <w:p w14:paraId="1C75EADD"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 xml:space="preserve">Table 3. Percentage mortality of Channa </w:t>
      </w:r>
      <w:proofErr w:type="spellStart"/>
      <w:r w:rsidRPr="00C45346">
        <w:rPr>
          <w:rFonts w:ascii="Times New Roman" w:hAnsi="Times New Roman" w:cs="Times New Roman"/>
          <w:i/>
          <w:iCs/>
          <w:color w:val="5F5E5A"/>
          <w:sz w:val="24"/>
          <w:szCs w:val="24"/>
        </w:rPr>
        <w:t>gachua</w:t>
      </w:r>
      <w:proofErr w:type="spellEnd"/>
      <w:r w:rsidRPr="00C45346">
        <w:rPr>
          <w:rFonts w:ascii="Times New Roman" w:hAnsi="Times New Roman" w:cs="Times New Roman"/>
          <w:i/>
          <w:iCs/>
          <w:color w:val="5F5E5A"/>
          <w:sz w:val="24"/>
          <w:szCs w:val="24"/>
        </w:rPr>
        <w:t xml:space="preserve"> exposed to CdCl2</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1800"/>
        <w:gridCol w:w="1800"/>
        <w:gridCol w:w="1800"/>
      </w:tblGrid>
      <w:tr w:rsidR="00C90E5D" w:rsidRPr="00C45346" w14:paraId="50778E7C" w14:textId="77777777">
        <w:trPr>
          <w:tblHeader/>
        </w:trPr>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2BFE5BE" w14:textId="77777777" w:rsidR="00C90E5D" w:rsidRPr="00C45346" w:rsidRDefault="00710349">
            <w:pPr>
              <w:jc w:val="center"/>
              <w:rPr>
                <w:rFonts w:ascii="Times New Roman" w:hAnsi="Times New Roman" w:cs="Times New Roman"/>
                <w:sz w:val="24"/>
                <w:szCs w:val="24"/>
              </w:rPr>
            </w:pPr>
            <w:proofErr w:type="spellStart"/>
            <w:r w:rsidRPr="00C45346">
              <w:rPr>
                <w:rFonts w:ascii="Times New Roman" w:hAnsi="Times New Roman" w:cs="Times New Roman"/>
                <w:b/>
                <w:bCs/>
                <w:sz w:val="24"/>
                <w:szCs w:val="24"/>
              </w:rPr>
              <w:t>Conc</w:t>
            </w:r>
            <w:proofErr w:type="spellEnd"/>
            <w:r w:rsidRPr="00C45346">
              <w:rPr>
                <w:rFonts w:ascii="Times New Roman" w:hAnsi="Times New Roman" w:cs="Times New Roman"/>
                <w:b/>
                <w:bCs/>
                <w:sz w:val="24"/>
                <w:szCs w:val="24"/>
              </w:rPr>
              <w:t>ⁿ (mg/L)</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6DD927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24 h</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D490DE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48 h</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6A6A6D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72 h</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25A623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96 h</w:t>
            </w:r>
          </w:p>
        </w:tc>
      </w:tr>
      <w:tr w:rsidR="00C90E5D" w:rsidRPr="00C45346" w14:paraId="1F2AE4CD"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5A1FA1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28</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2045CC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C6769D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6548ED7"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4F892F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50%</w:t>
            </w:r>
          </w:p>
        </w:tc>
      </w:tr>
      <w:tr w:rsidR="00C90E5D" w:rsidRPr="00C45346" w14:paraId="70047FC9"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B98427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lastRenderedPageBreak/>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B3BDA8E"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23C39F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B87FA3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A97E3A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60%</w:t>
            </w:r>
          </w:p>
        </w:tc>
      </w:tr>
      <w:tr w:rsidR="00C90E5D" w:rsidRPr="00C45346" w14:paraId="5D8C5EE7"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A73C3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32</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5BE60C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394695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F994840"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675BAC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70%</w:t>
            </w:r>
          </w:p>
        </w:tc>
      </w:tr>
      <w:tr w:rsidR="00C90E5D" w:rsidRPr="00C45346" w14:paraId="4642DD0C"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D21BD9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34</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273962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556FC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3AEE66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CB1DCB"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80%</w:t>
            </w:r>
          </w:p>
        </w:tc>
      </w:tr>
      <w:tr w:rsidR="00C90E5D" w:rsidRPr="00C45346" w14:paraId="76C5F2B4"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E26E93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36</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5CD538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10AEBA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AFFAF6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70%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DF7CED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100%</w:t>
            </w:r>
          </w:p>
        </w:tc>
      </w:tr>
    </w:tbl>
    <w:p w14:paraId="22FCC7DF"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3.2 Probit Regression and Median Lethal Concentration</w:t>
      </w:r>
    </w:p>
    <w:p w14:paraId="568C7FD1"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Linear regression of probit mortality against log₁₀ concentration yielded highly consistent fits at all four exposure durations (Table 4, Table 5; Figure 2). The 96-h LC50 was estimated at 28.8 mg/L. LC50 values declined progressively with increasing exposure duration, from an extrapolated 38.7 mg/L at 24 h to 28.8 mg/L at 96 h (Figure 4), consistent with the expected time-dependent nature of acute metal toxicity.</w:t>
      </w:r>
    </w:p>
    <w:p w14:paraId="67104B8A" w14:textId="77777777" w:rsidR="006050FB" w:rsidRPr="00C45346" w:rsidRDefault="00710349">
      <w:pPr>
        <w:rPr>
          <w:rFonts w:ascii="Times New Roman" w:hAnsi="Times New Roman" w:cs="Times New Roman"/>
          <w:sz w:val="24"/>
          <w:szCs w:val="24"/>
        </w:rPr>
      </w:pPr>
      <w:r w:rsidRPr="00C45346">
        <w:rPr>
          <w:rFonts w:ascii="Times New Roman" w:hAnsi="Times New Roman" w:cs="Times New Roman"/>
          <w:sz w:val="24"/>
          <w:szCs w:val="24"/>
        </w:rPr>
        <w:t>The progressive reduction in estimated LC50 with longer exposure is biologically plausible because lethal response may increase as toxicant exposure is prolonged. Comparable acute cadmium studies in freshwater fishes also report marked interspecific differences in 96-h lethality, reinforcing the need to interpret the present estimate as species- and test-condition-specific (Ferro et al., 2021; Garcia-Santos et al., 2006; Galiba et al., 2024). Because the 24-h LC50 lies outside the tested concentration interval, that value should remain explicitly identified as an extrapolated estimate rather than being treated as equivalent in certainty to estimates obtained within the experimental concentration range. The observed 96-h concentration-mortality relationship is additionally presented in Figure 3.</w:t>
      </w:r>
    </w:p>
    <w:p w14:paraId="772EEC6F"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Table 4. Log-concentration and corrected probit values used for regression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500"/>
        <w:gridCol w:w="1500"/>
        <w:gridCol w:w="1500"/>
        <w:gridCol w:w="1500"/>
        <w:gridCol w:w="1500"/>
      </w:tblGrid>
      <w:tr w:rsidR="00C90E5D" w:rsidRPr="00C45346" w14:paraId="19179A46" w14:textId="77777777">
        <w:trPr>
          <w:tblHeader/>
        </w:trPr>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5E314F77" w14:textId="77777777" w:rsidR="00C90E5D" w:rsidRPr="00C45346" w:rsidRDefault="00710349">
            <w:pPr>
              <w:jc w:val="center"/>
              <w:rPr>
                <w:rFonts w:ascii="Times New Roman" w:hAnsi="Times New Roman" w:cs="Times New Roman"/>
                <w:sz w:val="24"/>
                <w:szCs w:val="24"/>
              </w:rPr>
            </w:pPr>
            <w:proofErr w:type="spellStart"/>
            <w:r w:rsidRPr="00C45346">
              <w:rPr>
                <w:rFonts w:ascii="Times New Roman" w:hAnsi="Times New Roman" w:cs="Times New Roman"/>
                <w:b/>
                <w:bCs/>
                <w:sz w:val="24"/>
                <w:szCs w:val="24"/>
              </w:rPr>
              <w:t>Conc</w:t>
            </w:r>
            <w:proofErr w:type="spellEnd"/>
            <w:r w:rsidRPr="00C45346">
              <w:rPr>
                <w:rFonts w:ascii="Times New Roman" w:hAnsi="Times New Roman" w:cs="Times New Roman"/>
                <w:b/>
                <w:bCs/>
                <w:sz w:val="24"/>
                <w:szCs w:val="24"/>
              </w:rPr>
              <w:t>ⁿ (mg/L)</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4C26CD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log₁₀(</w:t>
            </w:r>
            <w:proofErr w:type="spellStart"/>
            <w:r w:rsidRPr="00C45346">
              <w:rPr>
                <w:rFonts w:ascii="Times New Roman" w:hAnsi="Times New Roman" w:cs="Times New Roman"/>
                <w:b/>
                <w:bCs/>
                <w:sz w:val="24"/>
                <w:szCs w:val="24"/>
              </w:rPr>
              <w:t>Conc</w:t>
            </w:r>
            <w:proofErr w:type="spellEnd"/>
            <w:r w:rsidRPr="00C45346">
              <w:rPr>
                <w:rFonts w:ascii="Times New Roman" w:hAnsi="Times New Roman" w:cs="Times New Roman"/>
                <w:b/>
                <w:bCs/>
                <w:sz w:val="24"/>
                <w:szCs w:val="24"/>
              </w:rPr>
              <w:t>ⁿ)</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51D70B9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24 h probit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1E4674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48 h probit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25A532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72 h probit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0E34C28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96 h probit</w:t>
            </w:r>
          </w:p>
        </w:tc>
      </w:tr>
      <w:tr w:rsidR="00C90E5D" w:rsidRPr="00C45346" w14:paraId="62455041"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986321E"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C3D75B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1.447</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CD934D7"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3.04</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3CCC34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3.72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16CEE0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4.48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AF3B3C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5.00</w:t>
            </w:r>
          </w:p>
        </w:tc>
      </w:tr>
      <w:tr w:rsidR="00C90E5D" w:rsidRPr="00C45346" w14:paraId="7B44B8CF"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824C1D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52CB14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1.477</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E9A4477"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3.04</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F41683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3.72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B48D24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4.75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3B82A8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5.25</w:t>
            </w:r>
          </w:p>
        </w:tc>
      </w:tr>
      <w:tr w:rsidR="00C90E5D" w:rsidRPr="00C45346" w14:paraId="27F2A9A8"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672E4E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0C3FD3B"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1.505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9D6AAA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4.48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B5EC4C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5.00</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DAFF1E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5.25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1DF8B5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5.52</w:t>
            </w:r>
          </w:p>
        </w:tc>
      </w:tr>
      <w:tr w:rsidR="00C90E5D" w:rsidRPr="00C45346" w14:paraId="7FAEC241"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3636C79"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34</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8451AA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1.531</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E1C3117"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4.48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A94109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5.00</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D4CD3B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5.25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762ADB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5.84</w:t>
            </w:r>
          </w:p>
        </w:tc>
      </w:tr>
      <w:tr w:rsidR="00C90E5D" w:rsidRPr="00C45346" w14:paraId="058ED1F5"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E5F3F1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36</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703F20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1.556</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D69CC7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4.16</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ED4DE38"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5.25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5DFC0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5.52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B99C7B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6.96</w:t>
            </w:r>
          </w:p>
        </w:tc>
      </w:tr>
    </w:tbl>
    <w:p w14:paraId="531952D5"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Table 5. Regression equations and estimated LC50 at each exposure duration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200"/>
        <w:gridCol w:w="1500"/>
        <w:gridCol w:w="2700"/>
      </w:tblGrid>
      <w:tr w:rsidR="00C90E5D" w:rsidRPr="00C45346" w14:paraId="0FE611AE" w14:textId="77777777">
        <w:trPr>
          <w:tblHeader/>
        </w:trPr>
        <w:tc>
          <w:tcPr>
            <w:tcW w:w="16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0D8BA36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Exposure time</w:t>
            </w:r>
          </w:p>
        </w:tc>
        <w:tc>
          <w:tcPr>
            <w:tcW w:w="32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107663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 xml:space="preserve">Regression equation (y = a + </w:t>
            </w:r>
            <w:proofErr w:type="spellStart"/>
            <w:r w:rsidRPr="00C45346">
              <w:rPr>
                <w:rFonts w:ascii="Times New Roman" w:hAnsi="Times New Roman" w:cs="Times New Roman"/>
                <w:b/>
                <w:bCs/>
                <w:sz w:val="24"/>
                <w:szCs w:val="24"/>
              </w:rPr>
              <w:t>bx</w:t>
            </w:r>
            <w:proofErr w:type="spellEnd"/>
            <w:r w:rsidRPr="00C45346">
              <w:rPr>
                <w:rFonts w:ascii="Times New Roman" w:hAnsi="Times New Roman" w:cs="Times New Roman"/>
                <w:b/>
                <w:bCs/>
                <w:sz w:val="24"/>
                <w:szCs w:val="24"/>
              </w:rPr>
              <w: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53E99C6E"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LC50 (mg/L)</w:t>
            </w:r>
          </w:p>
        </w:tc>
        <w:tc>
          <w:tcPr>
            <w:tcW w:w="27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4230E3D"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b/>
                <w:bCs/>
                <w:sz w:val="24"/>
                <w:szCs w:val="24"/>
              </w:rPr>
              <w:t>Remarks</w:t>
            </w:r>
          </w:p>
        </w:tc>
      </w:tr>
      <w:tr w:rsidR="00C90E5D" w:rsidRPr="00C45346" w14:paraId="5FAA5EE7"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840F9AF"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24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FB76E43"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y = −16.77 + 13.71x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B0DE950"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 38.7*</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FBC8E4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Extrapolated – max. observed mortality only 30%</w:t>
            </w:r>
          </w:p>
        </w:tc>
      </w:tr>
      <w:tr w:rsidR="00C90E5D" w:rsidRPr="00C45346" w14:paraId="67C5B7A5"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607B77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48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115E0CB"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y = −19.49 + 15.98x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F5D84B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 34.1</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1B855F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Within tested range</w:t>
            </w:r>
          </w:p>
        </w:tc>
      </w:tr>
      <w:tr w:rsidR="00C90E5D" w:rsidRPr="00C45346" w14:paraId="1BD68378"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7231E8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72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956852C"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y = −9.24 + 9.51x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73FACF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 31.5</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0DA901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Within tested range</w:t>
            </w:r>
          </w:p>
        </w:tc>
      </w:tr>
      <w:tr w:rsidR="00C90E5D" w:rsidRPr="00C45346" w14:paraId="45EEC7E9"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F7E6684"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96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F2F9A3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y = −18.82 + 16.32x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03BF5AA"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 28.8</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4C51E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sz w:val="24"/>
                <w:szCs w:val="24"/>
              </w:rPr>
              <w:t>Most reliable – full 50–100% mortality spread</w:t>
            </w:r>
          </w:p>
        </w:tc>
      </w:tr>
    </w:tbl>
    <w:p w14:paraId="74780A16"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*24-h value falls outside the tested concentration range and should be treated as an approximate extrapolation.</w:t>
      </w:r>
    </w:p>
    <w:p w14:paraId="3C27E308"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lastRenderedPageBreak/>
        <w:t>Figure 2</w:t>
      </w:r>
    </w:p>
    <w:p w14:paraId="613D7941"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noProof/>
          <w:sz w:val="24"/>
          <w:szCs w:val="24"/>
        </w:rPr>
        <w:drawing>
          <wp:inline distT="0" distB="0" distL="0" distR="0" wp14:anchorId="08FC5FD4" wp14:editId="54F4F964">
            <wp:extent cx="4000500" cy="2800350"/>
            <wp:effectExtent l="0" t="0" r="0" b="0"/>
            <wp:docPr id="1317711829" name="Picture 131771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00500" cy="2800350"/>
                    </a:xfrm>
                    <a:prstGeom prst="rect">
                      <a:avLst/>
                    </a:prstGeom>
                  </pic:spPr>
                </pic:pic>
              </a:graphicData>
            </a:graphic>
          </wp:inline>
        </w:drawing>
      </w:r>
    </w:p>
    <w:p w14:paraId="0E619A2B"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Figure 2. Log(concentration)–probit regression line for 96-h mortality data. Dashed lines mark the probit-5 (50% mortality) level, intersecting the regression line at LC50 = 28.8 mg/L.</w:t>
      </w:r>
    </w:p>
    <w:p w14:paraId="51641825"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Figure 3</w:t>
      </w:r>
    </w:p>
    <w:p w14:paraId="07FF29F2"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noProof/>
          <w:sz w:val="24"/>
          <w:szCs w:val="24"/>
        </w:rPr>
        <w:drawing>
          <wp:inline distT="0" distB="0" distL="0" distR="0" wp14:anchorId="55106611" wp14:editId="712873DD">
            <wp:extent cx="4000500" cy="2676525"/>
            <wp:effectExtent l="0" t="0" r="0" b="0"/>
            <wp:docPr id="231432961" name="Picture 23143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0" cy="2676525"/>
                    </a:xfrm>
                    <a:prstGeom prst="rect">
                      <a:avLst/>
                    </a:prstGeom>
                  </pic:spPr>
                </pic:pic>
              </a:graphicData>
            </a:graphic>
          </wp:inline>
        </w:drawing>
      </w:r>
    </w:p>
    <w:p w14:paraId="62F8EEF8"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 xml:space="preserve">Figure 3. Observed dose-response (% mortality) curve of Channa </w:t>
      </w:r>
      <w:proofErr w:type="spellStart"/>
      <w:r w:rsidRPr="00C45346">
        <w:rPr>
          <w:rFonts w:ascii="Times New Roman" w:hAnsi="Times New Roman" w:cs="Times New Roman"/>
          <w:i/>
          <w:iCs/>
          <w:color w:val="5F5E5A"/>
          <w:sz w:val="24"/>
          <w:szCs w:val="24"/>
        </w:rPr>
        <w:t>gachua</w:t>
      </w:r>
      <w:proofErr w:type="spellEnd"/>
      <w:r w:rsidRPr="00C45346">
        <w:rPr>
          <w:rFonts w:ascii="Times New Roman" w:hAnsi="Times New Roman" w:cs="Times New Roman"/>
          <w:i/>
          <w:iCs/>
          <w:color w:val="5F5E5A"/>
          <w:sz w:val="24"/>
          <w:szCs w:val="24"/>
        </w:rPr>
        <w:t xml:space="preserve"> exposed to CdCl2 for 96 h.</w:t>
      </w:r>
    </w:p>
    <w:p w14:paraId="02F499EE"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Figure 4</w:t>
      </w:r>
    </w:p>
    <w:p w14:paraId="7CC20045"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noProof/>
          <w:sz w:val="24"/>
          <w:szCs w:val="24"/>
        </w:rPr>
        <w:lastRenderedPageBreak/>
        <w:drawing>
          <wp:inline distT="0" distB="0" distL="0" distR="0" wp14:anchorId="37F1CF62" wp14:editId="52ADC43B">
            <wp:extent cx="4000500" cy="2409825"/>
            <wp:effectExtent l="0" t="0" r="0" b="0"/>
            <wp:docPr id="518415692" name="Picture 51841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000500" cy="2409825"/>
                    </a:xfrm>
                    <a:prstGeom prst="rect">
                      <a:avLst/>
                    </a:prstGeom>
                  </pic:spPr>
                </pic:pic>
              </a:graphicData>
            </a:graphic>
          </wp:inline>
        </w:drawing>
      </w:r>
    </w:p>
    <w:p w14:paraId="39915BD8"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Figure 4. Decline in LC50 with increasing exposure duration, illustrating the time-dependence of acute cadmium toxicity.</w:t>
      </w:r>
    </w:p>
    <w:p w14:paraId="187D32EE"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3.3 Behavioural and Morphological Alterations</w:t>
      </w:r>
    </w:p>
    <w:p w14:paraId="1617968D"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Fish exposed to CdCl₂ exhibited a clear, concentration-dependent progression of behavioural and morphological disturbance, broadly consistent with the cadmium-toxicity syndrome previously described for the congener </w:t>
      </w:r>
      <w:r w:rsidRPr="00C45346">
        <w:rPr>
          <w:rFonts w:ascii="Times New Roman" w:hAnsi="Times New Roman" w:cs="Times New Roman"/>
          <w:i/>
          <w:iCs/>
          <w:sz w:val="24"/>
          <w:szCs w:val="24"/>
        </w:rPr>
        <w:t>Channa punctatus</w:t>
      </w:r>
      <w:r w:rsidRPr="00C45346">
        <w:rPr>
          <w:rFonts w:ascii="Times New Roman" w:hAnsi="Times New Roman" w:cs="Times New Roman"/>
          <w:sz w:val="24"/>
          <w:szCs w:val="24"/>
        </w:rPr>
        <w:t xml:space="preserve"> (Singh &amp; Saxena, 2020; Eissa et al., 2010; Almeida et al., 2009).</w:t>
      </w:r>
    </w:p>
    <w:p w14:paraId="21F75AA5" w14:textId="77777777" w:rsidR="006050FB" w:rsidRPr="00C45346" w:rsidRDefault="00710349">
      <w:pPr>
        <w:rPr>
          <w:rFonts w:ascii="Times New Roman" w:hAnsi="Times New Roman" w:cs="Times New Roman"/>
          <w:sz w:val="24"/>
          <w:szCs w:val="24"/>
        </w:rPr>
      </w:pPr>
      <w:r w:rsidRPr="00C45346">
        <w:rPr>
          <w:rFonts w:ascii="Times New Roman" w:hAnsi="Times New Roman" w:cs="Times New Roman"/>
          <w:sz w:val="24"/>
          <w:szCs w:val="24"/>
        </w:rPr>
        <w:t>Behavioural disturbances such as loss of equilibrium, altered activity, respiratory difficulty, frequent surfacing, and increased mucus secretion have been reported in other fish exposed to cadmium, although the intensity and sequence of responses vary among species and exposure conditions. Mechanistically, branchial cadmium exposure can impair calcium transport and alter gill epithelial function, providing a plausible physiological basis for ventilatory and stress-related responses without implying a specific mechanism from behavioural observations alone (</w:t>
      </w:r>
      <w:proofErr w:type="spellStart"/>
      <w:r w:rsidRPr="00C45346">
        <w:rPr>
          <w:rFonts w:ascii="Times New Roman" w:hAnsi="Times New Roman" w:cs="Times New Roman"/>
          <w:sz w:val="24"/>
          <w:szCs w:val="24"/>
        </w:rPr>
        <w:t>Galiba</w:t>
      </w:r>
      <w:proofErr w:type="spellEnd"/>
      <w:r w:rsidRPr="00C45346">
        <w:rPr>
          <w:rFonts w:ascii="Times New Roman" w:hAnsi="Times New Roman" w:cs="Times New Roman"/>
          <w:sz w:val="24"/>
          <w:szCs w:val="24"/>
        </w:rPr>
        <w:t xml:space="preserve"> et al., 2024; </w:t>
      </w:r>
      <w:proofErr w:type="spellStart"/>
      <w:r w:rsidRPr="00C45346">
        <w:rPr>
          <w:rFonts w:ascii="Times New Roman" w:hAnsi="Times New Roman" w:cs="Times New Roman"/>
          <w:sz w:val="24"/>
          <w:szCs w:val="24"/>
        </w:rPr>
        <w:t>Verbost</w:t>
      </w:r>
      <w:proofErr w:type="spellEnd"/>
      <w:r w:rsidRPr="00C45346">
        <w:rPr>
          <w:rFonts w:ascii="Times New Roman" w:hAnsi="Times New Roman" w:cs="Times New Roman"/>
          <w:sz w:val="24"/>
          <w:szCs w:val="24"/>
        </w:rPr>
        <w:t xml:space="preserve"> et al., 1987; Wong &amp; Wong, 2000).</w:t>
      </w:r>
    </w:p>
    <w:p w14:paraId="295D20FE"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Table 6. Behavioural and morphological observation record (template – to be completed with author’s field data)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1500"/>
        <w:gridCol w:w="1550"/>
        <w:gridCol w:w="1550"/>
        <w:gridCol w:w="1500"/>
      </w:tblGrid>
      <w:tr w:rsidR="00A63A36" w:rsidRPr="00C45346" w14:paraId="15556D59"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4C77AD3" w14:textId="77777777" w:rsidR="00A63A36" w:rsidRPr="00C45346" w:rsidRDefault="00A63A36" w:rsidP="007A7E06">
            <w:pPr>
              <w:jc w:val="center"/>
              <w:rPr>
                <w:rFonts w:ascii="Times New Roman" w:hAnsi="Times New Roman" w:cs="Times New Roman"/>
                <w:b/>
                <w:bCs/>
                <w:sz w:val="24"/>
                <w:szCs w:val="24"/>
              </w:rPr>
            </w:pPr>
            <w:r w:rsidRPr="00C45346">
              <w:rPr>
                <w:rFonts w:ascii="Times New Roman" w:hAnsi="Times New Roman" w:cs="Times New Roman"/>
                <w:b/>
                <w:bCs/>
                <w:sz w:val="24"/>
                <w:szCs w:val="24"/>
              </w:rPr>
              <w:t>Sign observed</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3BFE697" w14:textId="77777777" w:rsidR="00A63A36" w:rsidRPr="00C45346" w:rsidRDefault="00A63A36" w:rsidP="007A7E06">
            <w:pPr>
              <w:jc w:val="center"/>
              <w:rPr>
                <w:rFonts w:ascii="Times New Roman" w:hAnsi="Times New Roman" w:cs="Times New Roman"/>
                <w:b/>
                <w:bCs/>
                <w:sz w:val="24"/>
                <w:szCs w:val="24"/>
              </w:rPr>
            </w:pPr>
            <w:r w:rsidRPr="00C45346">
              <w:rPr>
                <w:rFonts w:ascii="Times New Roman" w:hAnsi="Times New Roman" w:cs="Times New Roman"/>
                <w:b/>
                <w:bCs/>
                <w:sz w:val="24"/>
                <w:szCs w:val="24"/>
              </w:rPr>
              <w:t>Control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3FE051A" w14:textId="77777777" w:rsidR="00A63A36" w:rsidRPr="00C45346" w:rsidRDefault="00A63A36" w:rsidP="007A7E06">
            <w:pPr>
              <w:jc w:val="center"/>
              <w:rPr>
                <w:rFonts w:ascii="Times New Roman" w:hAnsi="Times New Roman" w:cs="Times New Roman"/>
                <w:b/>
                <w:bCs/>
                <w:sz w:val="24"/>
                <w:szCs w:val="24"/>
              </w:rPr>
            </w:pPr>
            <w:r w:rsidRPr="00C45346">
              <w:rPr>
                <w:rFonts w:ascii="Times New Roman" w:hAnsi="Times New Roman" w:cs="Times New Roman"/>
                <w:b/>
                <w:bCs/>
                <w:sz w:val="24"/>
                <w:szCs w:val="24"/>
              </w:rPr>
              <w:t>Low (~28–30 mg/L)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3166C8C" w14:textId="77777777" w:rsidR="00A63A36" w:rsidRPr="00C45346" w:rsidRDefault="00A63A36" w:rsidP="007A7E06">
            <w:pPr>
              <w:jc w:val="center"/>
              <w:rPr>
                <w:rFonts w:ascii="Times New Roman" w:hAnsi="Times New Roman" w:cs="Times New Roman"/>
                <w:b/>
                <w:bCs/>
                <w:sz w:val="24"/>
                <w:szCs w:val="24"/>
              </w:rPr>
            </w:pPr>
            <w:r w:rsidRPr="00C45346">
              <w:rPr>
                <w:rFonts w:ascii="Times New Roman" w:hAnsi="Times New Roman" w:cs="Times New Roman"/>
                <w:b/>
                <w:bCs/>
                <w:sz w:val="24"/>
                <w:szCs w:val="24"/>
              </w:rPr>
              <w:t>Mid (~32–34 mg/L)</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E4EEFE1" w14:textId="77777777" w:rsidR="00A63A36" w:rsidRPr="00C45346" w:rsidRDefault="00A63A36" w:rsidP="007A7E06">
            <w:pPr>
              <w:jc w:val="center"/>
              <w:rPr>
                <w:rFonts w:ascii="Times New Roman" w:hAnsi="Times New Roman" w:cs="Times New Roman"/>
                <w:b/>
                <w:bCs/>
                <w:sz w:val="24"/>
                <w:szCs w:val="24"/>
              </w:rPr>
            </w:pPr>
            <w:r w:rsidRPr="00C45346">
              <w:rPr>
                <w:rFonts w:ascii="Times New Roman" w:hAnsi="Times New Roman" w:cs="Times New Roman"/>
                <w:b/>
                <w:bCs/>
                <w:sz w:val="24"/>
                <w:szCs w:val="24"/>
              </w:rPr>
              <w:t>High (~36 mg/L)</w:t>
            </w:r>
          </w:p>
        </w:tc>
      </w:tr>
      <w:tr w:rsidR="00A63A36" w:rsidRPr="00C45346" w14:paraId="028856AA"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950A44F"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Erratic / darting swimming</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5BC2E48"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F487A37"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A8565C6"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A9E35F1"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r>
      <w:tr w:rsidR="00A63A36" w:rsidRPr="00C45346" w14:paraId="346FA08E"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37171C1"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Loss of equilibrium</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225C338"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BF1E7A"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800EDCA"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6AF0C16"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r>
      <w:tr w:rsidR="00A63A36" w:rsidRPr="00C45346" w14:paraId="69C5322B"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96F251A"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Surfacing / air-gulping frequency</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EF3527"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Normal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ED709C9"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A9F3E29"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207214"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r>
      <w:tr w:rsidR="00A63A36" w:rsidRPr="00C45346" w14:paraId="7F51E2F9"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D2291B5"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Opercular (ventilatory) rate</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23CB0C9"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Normal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56D54E"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41D358"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355D825"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r>
      <w:tr w:rsidR="00A63A36" w:rsidRPr="00C45346" w14:paraId="68FBB288"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37D5B01"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Excess mucus secretion</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B18E23E"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4AC5D29"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37EB274"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E90EDB3"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r>
      <w:tr w:rsidR="00A63A36" w:rsidRPr="00C45346" w14:paraId="0326E703"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FD08B0"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Body discoloration / pigmentation change</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8431662"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0BEB49F"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F241DE3"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79B7D68"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 (pigmented patches)</w:t>
            </w:r>
          </w:p>
        </w:tc>
      </w:tr>
      <w:tr w:rsidR="00A63A36" w:rsidRPr="00C45346" w14:paraId="01D123D7"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679049B"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Skin/fin haemorrhage or lesion</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BB26FB9"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774ECA2"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BA6C4B7"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D56D5B"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 xml:space="preserve">+ </w:t>
            </w:r>
          </w:p>
        </w:tc>
      </w:tr>
      <w:tr w:rsidR="00A63A36" w:rsidRPr="00C45346" w14:paraId="451ED6AF"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F58922C"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Response to external stimuli</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3EC7C21"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Normal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262B5CF"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Slightly reduced</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FE5AC67"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Reduced</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913BBF7"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Markedly reduced</w:t>
            </w:r>
          </w:p>
        </w:tc>
      </w:tr>
      <w:tr w:rsidR="00A63A36" w:rsidRPr="00C45346" w14:paraId="68204130"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B1EDD40"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lastRenderedPageBreak/>
              <w:t>Lying motionless at surface (pre-mortality sign)</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A1ACCBE"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12D95D3"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CD9A2C7"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446B87C" w14:textId="77777777" w:rsidR="00A63A36" w:rsidRPr="00C45346" w:rsidRDefault="00A63A36" w:rsidP="007A7E06">
            <w:pPr>
              <w:jc w:val="center"/>
              <w:rPr>
                <w:rFonts w:ascii="Times New Roman" w:hAnsi="Times New Roman" w:cs="Times New Roman"/>
                <w:sz w:val="24"/>
                <w:szCs w:val="24"/>
              </w:rPr>
            </w:pPr>
            <w:r w:rsidRPr="00C45346">
              <w:rPr>
                <w:rFonts w:ascii="Times New Roman" w:hAnsi="Times New Roman" w:cs="Times New Roman"/>
                <w:sz w:val="24"/>
                <w:szCs w:val="24"/>
              </w:rPr>
              <w:t>++</w:t>
            </w:r>
          </w:p>
        </w:tc>
      </w:tr>
    </w:tbl>
    <w:p w14:paraId="3871CDF7" w14:textId="77777777" w:rsidR="00C90E5D" w:rsidRPr="00C45346" w:rsidRDefault="00710349">
      <w:pPr>
        <w:spacing w:before="80" w:after="260"/>
        <w:rPr>
          <w:rFonts w:ascii="Times New Roman" w:hAnsi="Times New Roman" w:cs="Times New Roman"/>
          <w:i/>
          <w:iCs/>
          <w:color w:val="5F5E5A"/>
          <w:sz w:val="24"/>
          <w:szCs w:val="24"/>
        </w:rPr>
      </w:pPr>
      <w:r w:rsidRPr="00C45346">
        <w:rPr>
          <w:rFonts w:ascii="Times New Roman" w:hAnsi="Times New Roman" w:cs="Times New Roman"/>
          <w:i/>
          <w:iCs/>
          <w:color w:val="5F5E5A"/>
          <w:sz w:val="24"/>
          <w:szCs w:val="24"/>
        </w:rPr>
        <w:t>Grade using a simple scale, e.g., – (absent), + (mild/occasional), ++ (moderate/frequent), +++ (severe/persistent), consistent with the scoring approach used in comparable cadmium-behavioural studies.</w:t>
      </w:r>
    </w:p>
    <w:p w14:paraId="00F75C6B" w14:textId="77777777" w:rsidR="00A63A36" w:rsidRPr="00C45346" w:rsidRDefault="00A63A36">
      <w:pPr>
        <w:spacing w:before="80" w:after="260"/>
        <w:rPr>
          <w:rFonts w:ascii="Times New Roman" w:hAnsi="Times New Roman" w:cs="Times New Roman"/>
          <w:sz w:val="24"/>
          <w:szCs w:val="24"/>
        </w:rPr>
      </w:pPr>
    </w:p>
    <w:p w14:paraId="2CA126A0"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3.4 Photographic Observations</w:t>
      </w:r>
    </w:p>
    <w:p w14:paraId="3D5392FB"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Representative photographs taken during the exposure period are presented in Figure 5, illustrating the external morphological condition of control fish alongside fish exposed to sub-maximal and near-lethal CdCl₂ concentrations at 96 h.</w:t>
      </w:r>
    </w:p>
    <w:p w14:paraId="4A3A77C5" w14:textId="77777777" w:rsidR="006050FB" w:rsidRPr="00C45346" w:rsidRDefault="00710349">
      <w:pPr>
        <w:rPr>
          <w:rFonts w:ascii="Times New Roman" w:hAnsi="Times New Roman" w:cs="Times New Roman"/>
          <w:sz w:val="24"/>
          <w:szCs w:val="24"/>
        </w:rPr>
      </w:pPr>
      <w:r w:rsidRPr="00C45346">
        <w:rPr>
          <w:rFonts w:ascii="Times New Roman" w:hAnsi="Times New Roman" w:cs="Times New Roman"/>
          <w:sz w:val="24"/>
          <w:szCs w:val="24"/>
        </w:rPr>
        <w:t>The photographs provide qualitative visual documentation of external conditions across the exposure groups and are best interpreted as complementary evidence to the mortality and behavioural observations. Published cadmium-exposure studies have documented concentration-related behavioural abnormalities and structural gill injury, but external photographs alone cannot establish histopathological lesions or tissue-specific mechanisms. Accordingly, the visible changes in Figure 5 should be described conservatively as external morphological observations pending histological or tissue-level confirmation (Galiba et al., 2024; Liu et al., 2022; Wong &amp; Wong, 2000).</w:t>
      </w:r>
    </w:p>
    <w:p w14:paraId="401194C9" w14:textId="77777777" w:rsidR="00C90E5D" w:rsidRPr="00C45346" w:rsidRDefault="00710349">
      <w:pPr>
        <w:pStyle w:val="Heading2"/>
        <w:spacing w:before="220" w:after="100"/>
        <w:rPr>
          <w:rFonts w:ascii="Times New Roman" w:hAnsi="Times New Roman" w:cs="Times New Roman"/>
          <w:sz w:val="24"/>
          <w:szCs w:val="24"/>
        </w:rPr>
      </w:pPr>
      <w:r w:rsidRPr="00C45346">
        <w:rPr>
          <w:rFonts w:ascii="Times New Roman" w:hAnsi="Times New Roman" w:cs="Times New Roman"/>
          <w:sz w:val="24"/>
          <w:szCs w:val="24"/>
        </w:rPr>
        <w:t>Figure 5</w:t>
      </w:r>
    </w:p>
    <w:p w14:paraId="7D85C326" w14:textId="77777777" w:rsidR="00C90E5D" w:rsidRPr="00C45346" w:rsidRDefault="00710349">
      <w:pPr>
        <w:jc w:val="center"/>
        <w:rPr>
          <w:rFonts w:ascii="Times New Roman" w:hAnsi="Times New Roman" w:cs="Times New Roman"/>
          <w:sz w:val="24"/>
          <w:szCs w:val="24"/>
        </w:rPr>
      </w:pPr>
      <w:r w:rsidRPr="00C45346">
        <w:rPr>
          <w:rFonts w:ascii="Times New Roman" w:hAnsi="Times New Roman" w:cs="Times New Roman"/>
          <w:noProof/>
          <w:sz w:val="24"/>
          <w:szCs w:val="24"/>
        </w:rPr>
        <w:drawing>
          <wp:inline distT="0" distB="0" distL="0" distR="0" wp14:anchorId="6F4DFF45" wp14:editId="1E46F33A">
            <wp:extent cx="4762500" cy="2009775"/>
            <wp:effectExtent l="0" t="0" r="0" b="0"/>
            <wp:docPr id="1396596753" name="Picture 139659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762500" cy="2009775"/>
                    </a:xfrm>
                    <a:prstGeom prst="rect">
                      <a:avLst/>
                    </a:prstGeom>
                  </pic:spPr>
                </pic:pic>
              </a:graphicData>
            </a:graphic>
          </wp:inline>
        </w:drawing>
      </w:r>
    </w:p>
    <w:p w14:paraId="0F9C8ABC"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i/>
          <w:iCs/>
          <w:color w:val="5F5E5A"/>
          <w:sz w:val="24"/>
          <w:szCs w:val="24"/>
        </w:rPr>
        <w:t xml:space="preserve">Figure 5. Representative photographs of Channa </w:t>
      </w:r>
      <w:proofErr w:type="spellStart"/>
      <w:r w:rsidRPr="00C45346">
        <w:rPr>
          <w:rFonts w:ascii="Times New Roman" w:hAnsi="Times New Roman" w:cs="Times New Roman"/>
          <w:i/>
          <w:iCs/>
          <w:color w:val="5F5E5A"/>
          <w:sz w:val="24"/>
          <w:szCs w:val="24"/>
        </w:rPr>
        <w:t>gachua</w:t>
      </w:r>
      <w:proofErr w:type="spellEnd"/>
      <w:r w:rsidRPr="00C45346">
        <w:rPr>
          <w:rFonts w:ascii="Times New Roman" w:hAnsi="Times New Roman" w:cs="Times New Roman"/>
          <w:i/>
          <w:iCs/>
          <w:color w:val="5F5E5A"/>
          <w:sz w:val="24"/>
          <w:szCs w:val="24"/>
        </w:rPr>
        <w:t xml:space="preserve"> at 96 h: (a) control, (b) 32 mg/L </w:t>
      </w:r>
      <w:proofErr w:type="spellStart"/>
      <w:r w:rsidRPr="00C45346">
        <w:rPr>
          <w:rFonts w:ascii="Times New Roman" w:hAnsi="Times New Roman" w:cs="Times New Roman"/>
          <w:i/>
          <w:iCs/>
          <w:color w:val="5F5E5A"/>
          <w:sz w:val="24"/>
          <w:szCs w:val="24"/>
        </w:rPr>
        <w:t>CdCl</w:t>
      </w:r>
      <w:proofErr w:type="spellEnd"/>
      <w:r w:rsidRPr="00C45346">
        <w:rPr>
          <w:rFonts w:ascii="Times New Roman" w:hAnsi="Times New Roman" w:cs="Times New Roman"/>
          <w:i/>
          <w:iCs/>
          <w:color w:val="5F5E5A"/>
          <w:sz w:val="24"/>
          <w:szCs w:val="24"/>
        </w:rPr>
        <w:t xml:space="preserve">₂, and (c) 36 mg/L </w:t>
      </w:r>
      <w:proofErr w:type="spellStart"/>
      <w:r w:rsidRPr="00C45346">
        <w:rPr>
          <w:rFonts w:ascii="Times New Roman" w:hAnsi="Times New Roman" w:cs="Times New Roman"/>
          <w:i/>
          <w:iCs/>
          <w:color w:val="5F5E5A"/>
          <w:sz w:val="24"/>
          <w:szCs w:val="24"/>
        </w:rPr>
        <w:t>CdCl</w:t>
      </w:r>
      <w:proofErr w:type="spellEnd"/>
      <w:r w:rsidRPr="00C45346">
        <w:rPr>
          <w:rFonts w:ascii="Times New Roman" w:hAnsi="Times New Roman" w:cs="Times New Roman"/>
          <w:i/>
          <w:iCs/>
          <w:color w:val="5F5E5A"/>
          <w:sz w:val="24"/>
          <w:szCs w:val="24"/>
        </w:rPr>
        <w:t>₂, illustrating concentration-dependent external morphological changes.</w:t>
      </w:r>
    </w:p>
    <w:p w14:paraId="03830094" w14:textId="77777777" w:rsidR="00C90E5D" w:rsidRPr="00C45346" w:rsidRDefault="00C90E5D">
      <w:pPr>
        <w:pStyle w:val="Heading1"/>
        <w:spacing w:before="300" w:after="150"/>
        <w:rPr>
          <w:rFonts w:ascii="Times New Roman" w:hAnsi="Times New Roman" w:cs="Times New Roman"/>
          <w:sz w:val="24"/>
          <w:szCs w:val="24"/>
        </w:rPr>
      </w:pPr>
    </w:p>
    <w:p w14:paraId="53B9DCAB"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The present study establishes, for the first time, the acute toxicity profile of cadmium chloride in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with a 96-h LC50 of 28.8 mg/L. Mortality increased in a clear concentration-dependent and time-dependent manner, consistent with the classical acute toxicity pattern reported for cadmium across freshwater teleosts (Yu et al., 2024; World Health Organization, 1992).</w:t>
      </w:r>
    </w:p>
    <w:p w14:paraId="1C538116" w14:textId="3B03608C"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Comparison with the congeneric species </w:t>
      </w:r>
      <w:r w:rsidRPr="00C45346">
        <w:rPr>
          <w:rFonts w:ascii="Times New Roman" w:hAnsi="Times New Roman" w:cs="Times New Roman"/>
          <w:i/>
          <w:iCs/>
          <w:sz w:val="24"/>
          <w:szCs w:val="24"/>
        </w:rPr>
        <w:t>Channa punctata</w:t>
      </w:r>
      <w:r w:rsidRPr="00C45346">
        <w:rPr>
          <w:rFonts w:ascii="Times New Roman" w:hAnsi="Times New Roman" w:cs="Times New Roman"/>
          <w:sz w:val="24"/>
          <w:szCs w:val="24"/>
        </w:rPr>
        <w:t xml:space="preserve"> is informative, but must be interpreted carefully in light of the substantial inter-study variability documented for this species (see Table 7 and discussion below). Taking the most frequently cited value, </w:t>
      </w:r>
      <w:r w:rsidR="005C6B49" w:rsidRPr="005C6B49">
        <w:rPr>
          <w:rFonts w:ascii="Times New Roman" w:hAnsi="Times New Roman" w:cs="Times New Roman"/>
          <w:sz w:val="24"/>
          <w:szCs w:val="24"/>
        </w:rPr>
        <w:t>Chandra</w:t>
      </w:r>
      <w:r w:rsidRPr="00C45346">
        <w:rPr>
          <w:rFonts w:ascii="Times New Roman" w:hAnsi="Times New Roman" w:cs="Times New Roman"/>
          <w:sz w:val="24"/>
          <w:szCs w:val="24"/>
        </w:rPr>
        <w:t xml:space="preserve"> (2023) reported a 96-h LC50 of 14.95 mg/L for CdCl₂ in </w:t>
      </w:r>
      <w:r w:rsidRPr="00C45346">
        <w:rPr>
          <w:rFonts w:ascii="Times New Roman" w:hAnsi="Times New Roman" w:cs="Times New Roman"/>
          <w:i/>
          <w:iCs/>
          <w:sz w:val="24"/>
          <w:szCs w:val="24"/>
        </w:rPr>
        <w:t>C. punctata</w:t>
      </w:r>
      <w:r w:rsidRPr="00C45346">
        <w:rPr>
          <w:rFonts w:ascii="Times New Roman" w:hAnsi="Times New Roman" w:cs="Times New Roman"/>
          <w:sz w:val="24"/>
          <w:szCs w:val="24"/>
        </w:rPr>
        <w:t xml:space="preserve"> – roughly half the 96-h LC50 obtained here for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(28.8 mg/L). However, as detailed below, other independent determinations for the same species and toxicant span nearly an order of magnitude, and our </w:t>
      </w:r>
      <w:r w:rsidRPr="00C45346">
        <w:rPr>
          <w:rFonts w:ascii="Times New Roman" w:hAnsi="Times New Roman" w:cs="Times New Roman"/>
          <w:sz w:val="24"/>
          <w:szCs w:val="24"/>
        </w:rPr>
        <w:lastRenderedPageBreak/>
        <w:t xml:space="preserve">value falls broadly within, rather than clearly outside, this documented range. A broadly comparable pattern of higher cadmium tolerance in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is also suggested when set against cadmium toxicity data for other freshwater species, such as </w:t>
      </w:r>
      <w:r w:rsidRPr="00C45346">
        <w:rPr>
          <w:rFonts w:ascii="Times New Roman" w:hAnsi="Times New Roman" w:cs="Times New Roman"/>
          <w:i/>
          <w:iCs/>
          <w:sz w:val="24"/>
          <w:szCs w:val="24"/>
        </w:rPr>
        <w:t>Oreochromis niloticus</w:t>
      </w:r>
      <w:r w:rsidRPr="00C45346">
        <w:rPr>
          <w:rFonts w:ascii="Times New Roman" w:hAnsi="Times New Roman" w:cs="Times New Roman"/>
          <w:sz w:val="24"/>
          <w:szCs w:val="24"/>
        </w:rPr>
        <w:t xml:space="preserve"> (Al-Asgah et al., 2015). This apparent inter- and intra-generic difference in cadmium sensitivity may reflect genuine physiological factors – including differences in body size, gill surface area to body mass ratio, mucus production, or the relative contribution of accessory air-breathing to overall gas exchange and metal uptake pathways – rather than a methodological artefact, and merits dedicated comparative investigation. It is also possible that differences in water hardness, temperature, or fish size between studies contributed to the observed variation, as these factors are well known to modulate the acute toxicity of cadmium to fish.</w:t>
      </w:r>
    </w:p>
    <w:p w14:paraId="4A8BF139" w14:textId="77777777" w:rsidR="00C90E5D" w:rsidRPr="00C45346" w:rsidRDefault="00710349">
      <w:pPr>
        <w:spacing w:before="80" w:after="260"/>
        <w:rPr>
          <w:rFonts w:ascii="Times New Roman" w:hAnsi="Times New Roman" w:cs="Times New Roman"/>
          <w:sz w:val="24"/>
          <w:szCs w:val="24"/>
        </w:rPr>
      </w:pPr>
      <w:r w:rsidRPr="00C45346">
        <w:rPr>
          <w:rFonts w:ascii="Times New Roman" w:hAnsi="Times New Roman" w:cs="Times New Roman"/>
          <w:sz w:val="24"/>
          <w:szCs w:val="24"/>
        </w:rPr>
        <w:t>Table 7. Reported 96-h LC50 values for various heavy metals across Channa species</w:t>
      </w:r>
    </w:p>
    <w:tbl>
      <w:tblPr>
        <w:tblW w:w="0" w:type="auto"/>
        <w:tblLook w:val="04A0" w:firstRow="1" w:lastRow="0" w:firstColumn="1" w:lastColumn="0" w:noHBand="0" w:noVBand="1"/>
      </w:tblPr>
      <w:tblGrid>
        <w:gridCol w:w="2325"/>
        <w:gridCol w:w="2324"/>
        <w:gridCol w:w="2323"/>
        <w:gridCol w:w="2324"/>
      </w:tblGrid>
      <w:tr w:rsidR="00120053" w:rsidRPr="00C45346" w14:paraId="1B82691E" w14:textId="77777777">
        <w:tc>
          <w:tcPr>
            <w:tcW w:w="2326"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5B1F570"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Species</w:t>
            </w:r>
          </w:p>
        </w:tc>
        <w:tc>
          <w:tcPr>
            <w:tcW w:w="2326"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721D2CE"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Metal / Compound</w:t>
            </w:r>
          </w:p>
        </w:tc>
        <w:tc>
          <w:tcPr>
            <w:tcW w:w="2326"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7A11242"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96-h LC50 (mg/L)</w:t>
            </w:r>
          </w:p>
        </w:tc>
        <w:tc>
          <w:tcPr>
            <w:tcW w:w="2326"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9465D9E"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b/>
                <w:sz w:val="24"/>
                <w:szCs w:val="24"/>
              </w:rPr>
              <w:t>Source</w:t>
            </w:r>
          </w:p>
        </w:tc>
      </w:tr>
      <w:tr w:rsidR="00120053" w:rsidRPr="00C45346" w14:paraId="562F7991"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5075AF8"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 xml:space="preserve">Channa </w:t>
            </w:r>
            <w:proofErr w:type="spellStart"/>
            <w:r w:rsidRPr="00C45346">
              <w:rPr>
                <w:rFonts w:ascii="Times New Roman" w:hAnsi="Times New Roman" w:cs="Times New Roman"/>
                <w:sz w:val="24"/>
                <w:szCs w:val="24"/>
              </w:rPr>
              <w:t>gachua</w:t>
            </w:r>
            <w:proofErr w:type="spellEnd"/>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3639C957"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1EDE226"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28.8</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E09B9F2"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This study</w:t>
            </w:r>
          </w:p>
        </w:tc>
      </w:tr>
      <w:tr w:rsidR="00120053" w:rsidRPr="00C45346" w14:paraId="2DAB8696"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65784DE"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 xml:space="preserve">Channa </w:t>
            </w:r>
            <w:proofErr w:type="spellStart"/>
            <w:r w:rsidRPr="00C45346">
              <w:rPr>
                <w:rFonts w:ascii="Times New Roman" w:hAnsi="Times New Roman" w:cs="Times New Roman"/>
                <w:sz w:val="24"/>
                <w:szCs w:val="24"/>
              </w:rPr>
              <w:t>gachua</w:t>
            </w:r>
            <w:proofErr w:type="spellEnd"/>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69126A5" w14:textId="77777777" w:rsidR="00120053" w:rsidRPr="00C45346" w:rsidRDefault="00000000">
            <w:pPr>
              <w:jc w:val="center"/>
              <w:rPr>
                <w:rFonts w:ascii="Times New Roman" w:hAnsi="Times New Roman" w:cs="Times New Roman"/>
                <w:sz w:val="24"/>
                <w:szCs w:val="24"/>
              </w:rPr>
            </w:pPr>
            <w:proofErr w:type="gramStart"/>
            <w:r w:rsidRPr="00C45346">
              <w:rPr>
                <w:rFonts w:ascii="Times New Roman" w:hAnsi="Times New Roman" w:cs="Times New Roman"/>
                <w:sz w:val="24"/>
                <w:szCs w:val="24"/>
              </w:rPr>
              <w:t>Pb(</w:t>
            </w:r>
            <w:proofErr w:type="gramEnd"/>
            <w:r w:rsidRPr="00C45346">
              <w:rPr>
                <w:rFonts w:ascii="Times New Roman" w:hAnsi="Times New Roman" w:cs="Times New Roman"/>
                <w:sz w:val="24"/>
                <w:szCs w:val="24"/>
              </w:rPr>
              <w:t>NO</w:t>
            </w:r>
            <w:proofErr w:type="gramStart"/>
            <w:r w:rsidRPr="00C45346">
              <w:rPr>
                <w:rFonts w:ascii="Times New Roman" w:hAnsi="Times New Roman" w:cs="Times New Roman"/>
                <w:sz w:val="24"/>
                <w:szCs w:val="24"/>
              </w:rPr>
              <w:t>₃)₂</w:t>
            </w:r>
            <w:proofErr w:type="gramEnd"/>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984544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15.2</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4A29E9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Authors’ companion bioassay (unpublished)</w:t>
            </w:r>
          </w:p>
        </w:tc>
      </w:tr>
      <w:tr w:rsidR="00120053" w:rsidRPr="00C45346" w14:paraId="30F354A8"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8570003"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Channa punctata/punctatus</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CA82C90"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AC25000"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6.19</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B83F8FA"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Sulaiman et al., 2024</w:t>
            </w:r>
          </w:p>
        </w:tc>
      </w:tr>
      <w:tr w:rsidR="00120053" w:rsidRPr="00C45346" w14:paraId="7C38A5BC"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2036F9A"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Channa punctata/punctatus</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8DD0DC2"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3365A8C4"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9.91</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E083726"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Chandra &amp; Verma, 2021</w:t>
            </w:r>
          </w:p>
        </w:tc>
      </w:tr>
      <w:tr w:rsidR="00120053" w:rsidRPr="00C45346" w14:paraId="2ACA8E36"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43B23F2"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Channa punctata/punctatus</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BDEBE21"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B30A8D7"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14.95</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4CA2A6F" w14:textId="4814055F" w:rsidR="00120053" w:rsidRPr="00C45346" w:rsidRDefault="005C6B49">
            <w:pPr>
              <w:jc w:val="center"/>
              <w:rPr>
                <w:rFonts w:ascii="Times New Roman" w:hAnsi="Times New Roman" w:cs="Times New Roman"/>
                <w:sz w:val="24"/>
                <w:szCs w:val="24"/>
              </w:rPr>
            </w:pPr>
            <w:r w:rsidRPr="005C6B49">
              <w:rPr>
                <w:rFonts w:ascii="Times New Roman" w:hAnsi="Times New Roman" w:cs="Times New Roman"/>
                <w:sz w:val="24"/>
                <w:szCs w:val="24"/>
              </w:rPr>
              <w:t>Chandra</w:t>
            </w:r>
            <w:r w:rsidR="00000000" w:rsidRPr="00C45346">
              <w:rPr>
                <w:rFonts w:ascii="Times New Roman" w:hAnsi="Times New Roman" w:cs="Times New Roman"/>
                <w:sz w:val="24"/>
                <w:szCs w:val="24"/>
              </w:rPr>
              <w:t>, 2023</w:t>
            </w:r>
          </w:p>
        </w:tc>
      </w:tr>
      <w:tr w:rsidR="00120053" w:rsidRPr="00C45346" w14:paraId="499995C4"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37BE75B3"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Channa punctata/punctatus</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0B623D4"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68940A7"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80.62</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A8208D4"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Singh &amp; Saxena, 2020</w:t>
            </w:r>
          </w:p>
        </w:tc>
      </w:tr>
      <w:tr w:rsidR="00120053" w:rsidRPr="00C45346" w14:paraId="4ADEA422"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413577F"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Channa punctatus</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5106E11"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K₂Cr₂O</w:t>
            </w:r>
            <w:proofErr w:type="spellEnd"/>
            <w:r w:rsidRPr="00C45346">
              <w:rPr>
                <w:rFonts w:ascii="Times New Roman" w:hAnsi="Times New Roman" w:cs="Times New Roman"/>
                <w:sz w:val="24"/>
                <w:szCs w:val="24"/>
              </w:rPr>
              <w:t>₇ (Cr⁶⁺)</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325B4E3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41.75</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73D4EEE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Mishra &amp; Mohanty, 2008</w:t>
            </w:r>
          </w:p>
        </w:tc>
      </w:tr>
      <w:tr w:rsidR="00120053" w:rsidRPr="00C45346" w14:paraId="66308340"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A4B827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Channa punctatus</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DD81DF1"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HgCl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070167D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0.44</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BF8786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Sulaiman et al., 2024</w:t>
            </w:r>
          </w:p>
        </w:tc>
      </w:tr>
      <w:tr w:rsidR="00120053" w:rsidRPr="00C45346" w14:paraId="5BDF6CB8"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E281B0B"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 xml:space="preserve">Channa </w:t>
            </w:r>
            <w:proofErr w:type="spellStart"/>
            <w:r w:rsidRPr="00C45346">
              <w:rPr>
                <w:rFonts w:ascii="Times New Roman" w:hAnsi="Times New Roman" w:cs="Times New Roman"/>
                <w:sz w:val="24"/>
                <w:szCs w:val="24"/>
              </w:rPr>
              <w:t>marulius</w:t>
            </w:r>
            <w:proofErr w:type="spellEnd"/>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13A26B50" w14:textId="77777777" w:rsidR="00120053" w:rsidRPr="00C45346" w:rsidRDefault="00000000">
            <w:pPr>
              <w:jc w:val="center"/>
              <w:rPr>
                <w:rFonts w:ascii="Times New Roman" w:hAnsi="Times New Roman" w:cs="Times New Roman"/>
                <w:sz w:val="24"/>
                <w:szCs w:val="24"/>
              </w:rPr>
            </w:pPr>
            <w:proofErr w:type="spellStart"/>
            <w:r w:rsidRPr="00C45346">
              <w:rPr>
                <w:rFonts w:ascii="Times New Roman" w:hAnsi="Times New Roman" w:cs="Times New Roman"/>
                <w:sz w:val="24"/>
                <w:szCs w:val="24"/>
              </w:rPr>
              <w:t>CdCl</w:t>
            </w:r>
            <w:proofErr w:type="spellEnd"/>
            <w:r w:rsidRPr="00C45346">
              <w:rPr>
                <w:rFonts w:ascii="Times New Roman" w:hAnsi="Times New Roman" w:cs="Times New Roman"/>
                <w:sz w:val="24"/>
                <w:szCs w:val="24"/>
              </w:rPr>
              <w:t>₂</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58FB8858"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75.70</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44AA7F38"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Batool et al., 2014</w:t>
            </w:r>
          </w:p>
        </w:tc>
      </w:tr>
      <w:tr w:rsidR="00120053" w:rsidRPr="00C45346" w14:paraId="00FDB130" w14:textId="77777777">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55AC5D5"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 xml:space="preserve">Channa </w:t>
            </w:r>
            <w:proofErr w:type="spellStart"/>
            <w:r w:rsidRPr="00C45346">
              <w:rPr>
                <w:rFonts w:ascii="Times New Roman" w:hAnsi="Times New Roman" w:cs="Times New Roman"/>
                <w:sz w:val="24"/>
                <w:szCs w:val="24"/>
              </w:rPr>
              <w:t>marulius</w:t>
            </w:r>
            <w:proofErr w:type="spellEnd"/>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66440F1"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Copper (</w:t>
            </w:r>
            <w:proofErr w:type="spellStart"/>
            <w:r w:rsidRPr="00C45346">
              <w:rPr>
                <w:rFonts w:ascii="Times New Roman" w:hAnsi="Times New Roman" w:cs="Times New Roman"/>
                <w:sz w:val="24"/>
                <w:szCs w:val="24"/>
              </w:rPr>
              <w:t>CuSO</w:t>
            </w:r>
            <w:proofErr w:type="spellEnd"/>
            <w:r w:rsidRPr="00C45346">
              <w:rPr>
                <w:rFonts w:ascii="Times New Roman" w:hAnsi="Times New Roman" w:cs="Times New Roman"/>
                <w:sz w:val="24"/>
                <w:szCs w:val="24"/>
              </w:rPr>
              <w:t>₄)</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6F1C18BE"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32.96</w:t>
            </w:r>
          </w:p>
        </w:tc>
        <w:tc>
          <w:tcPr>
            <w:tcW w:w="2326" w:type="dxa"/>
            <w:tcBorders>
              <w:top w:val="single" w:sz="4" w:space="0" w:color="B4B2A9"/>
              <w:left w:val="single" w:sz="4" w:space="0" w:color="B4B2A9"/>
              <w:bottom w:val="single" w:sz="4" w:space="0" w:color="B4B2A9"/>
              <w:right w:val="single" w:sz="4" w:space="0" w:color="B4B2A9"/>
            </w:tcBorders>
            <w:tcMar>
              <w:top w:w="70" w:type="dxa"/>
              <w:left w:w="90" w:type="dxa"/>
              <w:bottom w:w="70" w:type="dxa"/>
              <w:right w:w="90" w:type="dxa"/>
            </w:tcMar>
            <w:vAlign w:val="center"/>
          </w:tcPr>
          <w:p w14:paraId="23EE1DE5" w14:textId="77777777" w:rsidR="00120053" w:rsidRPr="00C45346" w:rsidRDefault="00000000">
            <w:pPr>
              <w:jc w:val="center"/>
              <w:rPr>
                <w:rFonts w:ascii="Times New Roman" w:hAnsi="Times New Roman" w:cs="Times New Roman"/>
                <w:sz w:val="24"/>
                <w:szCs w:val="24"/>
              </w:rPr>
            </w:pPr>
            <w:r w:rsidRPr="00C45346">
              <w:rPr>
                <w:rFonts w:ascii="Times New Roman" w:hAnsi="Times New Roman" w:cs="Times New Roman"/>
                <w:sz w:val="24"/>
                <w:szCs w:val="24"/>
              </w:rPr>
              <w:t>Batool et al., 2014</w:t>
            </w:r>
          </w:p>
        </w:tc>
      </w:tr>
    </w:tbl>
    <w:p w14:paraId="1F832D7F" w14:textId="3212F2DE" w:rsidR="00120053" w:rsidRPr="00C45346" w:rsidRDefault="00000000">
      <w:pPr>
        <w:rPr>
          <w:rFonts w:ascii="Times New Roman" w:hAnsi="Times New Roman" w:cs="Times New Roman"/>
          <w:sz w:val="24"/>
          <w:szCs w:val="24"/>
        </w:rPr>
      </w:pPr>
      <w:r w:rsidRPr="00C45346">
        <w:rPr>
          <w:rFonts w:ascii="Times New Roman" w:hAnsi="Times New Roman" w:cs="Times New Roman"/>
          <w:sz w:val="24"/>
          <w:szCs w:val="24"/>
        </w:rPr>
        <w:t xml:space="preserve">Notably, the 96-h cadmium LC50 of </w:t>
      </w:r>
      <w:r w:rsidRPr="00C45346">
        <w:rPr>
          <w:rFonts w:ascii="Times New Roman" w:hAnsi="Times New Roman" w:cs="Times New Roman"/>
          <w:i/>
          <w:iCs/>
          <w:sz w:val="24"/>
          <w:szCs w:val="24"/>
        </w:rPr>
        <w:t>C. punctata</w:t>
      </w:r>
      <w:r w:rsidRPr="00C45346">
        <w:rPr>
          <w:rFonts w:ascii="Times New Roman" w:hAnsi="Times New Roman" w:cs="Times New Roman"/>
          <w:i/>
          <w:sz w:val="24"/>
          <w:szCs w:val="24"/>
        </w:rPr>
        <w:t>/punctatus</w:t>
      </w:r>
      <w:r w:rsidRPr="00C45346">
        <w:rPr>
          <w:rFonts w:ascii="Times New Roman" w:hAnsi="Times New Roman" w:cs="Times New Roman"/>
          <w:sz w:val="24"/>
          <w:szCs w:val="24"/>
        </w:rPr>
        <w:t xml:space="preserve"> is often treated in the literature as an ‘established’ benchmark value, yet closer examination reveals striking inconsistency across independent determinations for this single species and toxicant: reported 96-h LC50 values for CdCl₂ range more than tenfold, from 6.19 mg/L (Sulaiman et al., 2024) and 9.91 mg/L (Chandra &amp; Verma, 2021), to 14.95 mg/L (</w:t>
      </w:r>
      <w:r w:rsidR="005C6B49" w:rsidRPr="005C6B49">
        <w:rPr>
          <w:rFonts w:ascii="Times New Roman" w:hAnsi="Times New Roman" w:cs="Times New Roman"/>
          <w:sz w:val="24"/>
          <w:szCs w:val="24"/>
        </w:rPr>
        <w:t>Chandra</w:t>
      </w:r>
      <w:r w:rsidRPr="00C45346">
        <w:rPr>
          <w:rFonts w:ascii="Times New Roman" w:hAnsi="Times New Roman" w:cs="Times New Roman"/>
          <w:sz w:val="24"/>
          <w:szCs w:val="24"/>
        </w:rPr>
        <w:t xml:space="preserve">, 2023) and as high as 80.62 mg/L (Singh &amp; Saxena, 2020) (Table 7). This spread most likely reflects genuine methodological heterogeneity rather than measurement error alone – differences in test protocol (static versus semi-static renewal), statistical estimation method (manual Finney probit versus SPSS-based probit versus Trimmed Spearman-Kärber), water hardness and temperature (which modulate free Cd²⁺ ion bioavailability and competitive uptake at branchial calcium channels), fish provenance/population, body size, and acclimatization duration. This observation carries an important methodological lesson for interspecific comparison: rather than anchoring our comparative claim to any single published </w:t>
      </w:r>
      <w:r w:rsidRPr="00C45346">
        <w:rPr>
          <w:rFonts w:ascii="Times New Roman" w:hAnsi="Times New Roman" w:cs="Times New Roman"/>
          <w:i/>
          <w:iCs/>
          <w:sz w:val="24"/>
          <w:szCs w:val="24"/>
        </w:rPr>
        <w:t>C. punctata</w:t>
      </w:r>
      <w:r w:rsidRPr="00C45346">
        <w:rPr>
          <w:rFonts w:ascii="Times New Roman" w:hAnsi="Times New Roman" w:cs="Times New Roman"/>
          <w:sz w:val="24"/>
          <w:szCs w:val="24"/>
        </w:rPr>
        <w:t xml:space="preserve"> value, the present 96-h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LC50 of 28.8 mg/L should be understood as falling broadly within, rather than clearly outside, the documented congeneric range of cadmium sensitivity (6.19–80.62 mg/L). The true magnitude of any air-breathing-related tolerance difference between these two species therefore cannot be </w:t>
      </w:r>
      <w:r w:rsidRPr="00C45346">
        <w:rPr>
          <w:rFonts w:ascii="Times New Roman" w:hAnsi="Times New Roman" w:cs="Times New Roman"/>
          <w:sz w:val="24"/>
          <w:szCs w:val="24"/>
        </w:rPr>
        <w:lastRenderedPageBreak/>
        <w:t>resolved from existing literature alone, and would require a controlled, side-by-side bioassay of both species under identical test conditions – a natural extension of the present work. The broader comparison across the genus in Table 7 also illustrates that cadmium toxicity varies considerably even among congeners (</w:t>
      </w:r>
      <w:r w:rsidRPr="00C45346">
        <w:rPr>
          <w:rFonts w:ascii="Times New Roman" w:hAnsi="Times New Roman" w:cs="Times New Roman"/>
          <w:i/>
          <w:iCs/>
          <w:sz w:val="24"/>
          <w:szCs w:val="24"/>
        </w:rPr>
        <w:t>C. gachua</w:t>
      </w:r>
      <w:r w:rsidRPr="00C45346">
        <w:rPr>
          <w:rFonts w:ascii="Times New Roman" w:hAnsi="Times New Roman" w:cs="Times New Roman"/>
          <w:sz w:val="24"/>
          <w:szCs w:val="24"/>
        </w:rPr>
        <w:t xml:space="preserve"> 28.8 mg/L; </w:t>
      </w:r>
      <w:r w:rsidRPr="00C45346">
        <w:rPr>
          <w:rFonts w:ascii="Times New Roman" w:hAnsi="Times New Roman" w:cs="Times New Roman"/>
          <w:i/>
          <w:iCs/>
          <w:sz w:val="24"/>
          <w:szCs w:val="24"/>
        </w:rPr>
        <w:t>C. marulius</w:t>
      </w:r>
      <w:r w:rsidRPr="00C45346">
        <w:rPr>
          <w:rFonts w:ascii="Times New Roman" w:hAnsi="Times New Roman" w:cs="Times New Roman"/>
          <w:sz w:val="24"/>
          <w:szCs w:val="24"/>
        </w:rPr>
        <w:t xml:space="preserve"> 75.70 mg/L; </w:t>
      </w:r>
      <w:r w:rsidRPr="00C45346">
        <w:rPr>
          <w:rFonts w:ascii="Times New Roman" w:hAnsi="Times New Roman" w:cs="Times New Roman"/>
          <w:i/>
          <w:iCs/>
          <w:sz w:val="24"/>
          <w:szCs w:val="24"/>
        </w:rPr>
        <w:t>C. punctata</w:t>
      </w:r>
      <w:r w:rsidRPr="00C45346">
        <w:rPr>
          <w:rFonts w:ascii="Times New Roman" w:hAnsi="Times New Roman" w:cs="Times New Roman"/>
          <w:i/>
          <w:sz w:val="24"/>
          <w:szCs w:val="24"/>
        </w:rPr>
        <w:t>/punctatus</w:t>
      </w:r>
      <w:r w:rsidRPr="00C45346">
        <w:rPr>
          <w:rFonts w:ascii="Times New Roman" w:hAnsi="Times New Roman" w:cs="Times New Roman"/>
          <w:sz w:val="24"/>
          <w:szCs w:val="24"/>
        </w:rPr>
        <w:t xml:space="preserve"> 6.19–80.62 mg/L), reinforcing that LC50 is not a fixed species trait but a context-dependent outcome of test conditions, physiology, and population history.</w:t>
      </w:r>
    </w:p>
    <w:p w14:paraId="06751751"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The concentration-dependent behavioural alterations noted in the present study – including surfacing/air-gulping changes, altered opercular movement, and abnormal swimming – mirror the toxicity syndrome described in </w:t>
      </w:r>
      <w:r w:rsidRPr="00C45346">
        <w:rPr>
          <w:rFonts w:ascii="Times New Roman" w:hAnsi="Times New Roman" w:cs="Times New Roman"/>
          <w:i/>
          <w:iCs/>
          <w:sz w:val="24"/>
          <w:szCs w:val="24"/>
        </w:rPr>
        <w:t>C. punctatus</w:t>
      </w:r>
      <w:r w:rsidRPr="00C45346">
        <w:rPr>
          <w:rFonts w:ascii="Times New Roman" w:hAnsi="Times New Roman" w:cs="Times New Roman"/>
          <w:sz w:val="24"/>
          <w:szCs w:val="24"/>
        </w:rPr>
        <w:t xml:space="preserve"> exposed to cadmium (Singh &amp; Saxena, 2020), and are consistent with the broader literature on cadmium’s disruptive effects on fish ventilatory and locomotory behaviour (Bishop &amp; McIntosh, 1981; Atchison et al., 1987; Eissa et al., 2010). Cadmium is known to interfere with branchial ion transport and gill epithelial integrity, provoking compensatory increases in ventilation and surfacing behaviour, while central and peripheral neurotoxic effects likely underlie the loss of equilibrium and erratic swimming observed at higher concentrations (Yu et al., 2024). Increased mucus secretion and surface discolouration, when observed, are consistent with a generalised stress and epidermal irritation response reported across cadmium-exposed fish species, including changes in aggressive behaviour and stress markers documented in cadmium-exposed tilapia (Almeida et al., 2009).</w:t>
      </w:r>
    </w:p>
    <w:p w14:paraId="550C238D"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Because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relies on periodic surfacing for aerial respiration through its suprabranchial chamber (Olson et al., 1994), it is plausible that this species experiences disproportionate exposure to cadmium concentrated at the air–water interface relative to strictly water-breathing fish, an ecological consideration previously highlighted in comparative toxicity work on this species (Dhara et al., 2021). This physiological trait strengthens the ecological relevance of </w:t>
      </w:r>
      <w:r w:rsidRPr="00C45346">
        <w:rPr>
          <w:rFonts w:ascii="Times New Roman" w:hAnsi="Times New Roman" w:cs="Times New Roman"/>
          <w:i/>
          <w:iCs/>
          <w:sz w:val="24"/>
          <w:szCs w:val="24"/>
        </w:rPr>
        <w:t>Channa gachua</w:t>
      </w:r>
      <w:r w:rsidRPr="00C45346">
        <w:rPr>
          <w:rFonts w:ascii="Times New Roman" w:hAnsi="Times New Roman" w:cs="Times New Roman"/>
          <w:sz w:val="24"/>
          <w:szCs w:val="24"/>
        </w:rPr>
        <w:t xml:space="preserve"> as a sentinel species for surface-water metal contamination in shallow wetland habitats, even though its acute LC50 in the present study did not indicate exceptional sensitivity relative to its congener.</w:t>
      </w:r>
    </w:p>
    <w:p w14:paraId="4DBCC55B" w14:textId="77777777" w:rsidR="00C90E5D" w:rsidRPr="00C45346" w:rsidRDefault="00710349">
      <w:pPr>
        <w:spacing w:after="160"/>
        <w:rPr>
          <w:rFonts w:ascii="Times New Roman" w:hAnsi="Times New Roman" w:cs="Times New Roman"/>
          <w:sz w:val="24"/>
          <w:szCs w:val="24"/>
        </w:rPr>
      </w:pPr>
      <w:r w:rsidRPr="00C45346">
        <w:rPr>
          <w:rFonts w:ascii="Times New Roman" w:hAnsi="Times New Roman" w:cs="Times New Roman"/>
          <w:sz w:val="24"/>
          <w:szCs w:val="24"/>
        </w:rPr>
        <w:t xml:space="preserve">Limitations of the present study include the absence of internal (tissue) cadmium bioaccumulation data and histopathological confirmation of the observed external signs; these represent natural extensions for future work, alongside the planned sub-lethal, 15-day chronic exposure trial at 1/4th of the determined LC50 to characterise haematological, hepatic and renal biomarker responses in this species, following a design comparable to recent sub-lethal cadmium studies in the congener </w:t>
      </w:r>
      <w:r w:rsidRPr="00C45346">
        <w:rPr>
          <w:rFonts w:ascii="Times New Roman" w:hAnsi="Times New Roman" w:cs="Times New Roman"/>
          <w:i/>
          <w:iCs/>
          <w:sz w:val="24"/>
          <w:szCs w:val="24"/>
        </w:rPr>
        <w:t>Channa punctata</w:t>
      </w:r>
      <w:r w:rsidRPr="00C45346">
        <w:rPr>
          <w:rFonts w:ascii="Times New Roman" w:hAnsi="Times New Roman" w:cs="Times New Roman"/>
          <w:sz w:val="24"/>
          <w:szCs w:val="24"/>
        </w:rPr>
        <w:t xml:space="preserve"> (Choudhury et al., 2024). In addition, ambient test temperature rose by approximately 6 °C over the 96-h exposure period (Table 1); as elevated temperature can independently increase both cadmium bioavailability and metabolic rate in ectotherms, this drift cannot be fully excluded as a contributing factor to the observed mortality pattern, particularly at the later (72–96 h) time points, and temperature-controlled replication is recommended in future studies.</w:t>
      </w:r>
    </w:p>
    <w:p w14:paraId="5DEC1038" w14:textId="77777777" w:rsidR="00C90E5D" w:rsidRPr="00C45346" w:rsidRDefault="00710349">
      <w:pPr>
        <w:pStyle w:val="Heading1"/>
        <w:spacing w:before="300" w:after="150"/>
        <w:rPr>
          <w:rFonts w:ascii="Times New Roman" w:hAnsi="Times New Roman" w:cs="Times New Roman"/>
          <w:sz w:val="24"/>
          <w:szCs w:val="24"/>
        </w:rPr>
      </w:pPr>
      <w:r w:rsidRPr="00C45346">
        <w:rPr>
          <w:rFonts w:ascii="Times New Roman" w:hAnsi="Times New Roman" w:cs="Times New Roman"/>
          <w:sz w:val="24"/>
          <w:szCs w:val="24"/>
        </w:rPr>
        <w:t>4. Conclusion</w:t>
      </w:r>
    </w:p>
    <w:p w14:paraId="44371E38" w14:textId="089A4947" w:rsidR="001A15B9" w:rsidRPr="00C45346" w:rsidRDefault="00B9131D" w:rsidP="001A15B9">
      <w:pPr>
        <w:spacing w:before="100" w:beforeAutospacing="1" w:after="100" w:afterAutospacing="1"/>
        <w:rPr>
          <w:rFonts w:ascii="Times New Roman" w:eastAsia="Times New Roman" w:hAnsi="Times New Roman" w:cs="Times New Roman"/>
          <w:sz w:val="24"/>
          <w:szCs w:val="24"/>
          <w:lang w:eastAsia="en-US"/>
        </w:rPr>
      </w:pPr>
      <w:r w:rsidRPr="00C45346">
        <w:rPr>
          <w:rFonts w:ascii="Times New Roman" w:eastAsia="Times New Roman" w:hAnsi="Times New Roman" w:cs="Times New Roman"/>
          <w:sz w:val="24"/>
          <w:szCs w:val="24"/>
          <w:lang w:eastAsia="en-US"/>
        </w:rPr>
        <w:t xml:space="preserve">The 96-h static-renewal bioassay demonstrated a concentration- and time-dependent acute response of </w:t>
      </w:r>
      <w:r w:rsidRPr="00C45346">
        <w:rPr>
          <w:rFonts w:ascii="Times New Roman" w:eastAsia="Times New Roman" w:hAnsi="Times New Roman" w:cs="Times New Roman"/>
          <w:i/>
          <w:iCs/>
          <w:sz w:val="24"/>
          <w:szCs w:val="24"/>
          <w:lang w:eastAsia="en-US"/>
        </w:rPr>
        <w:t xml:space="preserve">Channa </w:t>
      </w:r>
      <w:proofErr w:type="spellStart"/>
      <w:r w:rsidRPr="00C45346">
        <w:rPr>
          <w:rFonts w:ascii="Times New Roman" w:eastAsia="Times New Roman" w:hAnsi="Times New Roman" w:cs="Times New Roman"/>
          <w:i/>
          <w:iCs/>
          <w:sz w:val="24"/>
          <w:szCs w:val="24"/>
          <w:lang w:eastAsia="en-US"/>
        </w:rPr>
        <w:t>gachua</w:t>
      </w:r>
      <w:proofErr w:type="spellEnd"/>
      <w:r w:rsidRPr="00C45346">
        <w:rPr>
          <w:rFonts w:ascii="Times New Roman" w:eastAsia="Times New Roman" w:hAnsi="Times New Roman" w:cs="Times New Roman"/>
          <w:sz w:val="24"/>
          <w:szCs w:val="24"/>
          <w:lang w:eastAsia="en-US"/>
        </w:rPr>
        <w:t xml:space="preserve"> to nominal cadmium chloride concentrations of 28–36 mg/L. Mortality increased as exposure progressed, and the estimated LC₅₀ declined from 38.7 mg/L at 24 h to 28.8 mg/L at 96 h; the 24-h estimate remained outside the tested concentration range and should therefore be interpreted as extrapolated. Exposed fish also displayed qualitative behavioural and external morphological alterations, including changes in swimming activity, equilibrium, surfacing or air-gulping, opercular movement, mucus production, responsiveness, and body appearance. Under the laboratory conditions used, the 96-h LC₅₀ provides a species-specific acute toxicity estimate for </w:t>
      </w:r>
      <w:r w:rsidRPr="00C45346">
        <w:rPr>
          <w:rFonts w:ascii="Times New Roman" w:eastAsia="Times New Roman" w:hAnsi="Times New Roman" w:cs="Times New Roman"/>
          <w:i/>
          <w:iCs/>
          <w:sz w:val="24"/>
          <w:szCs w:val="24"/>
          <w:lang w:eastAsia="en-US"/>
        </w:rPr>
        <w:t xml:space="preserve">Channa </w:t>
      </w:r>
      <w:proofErr w:type="spellStart"/>
      <w:r w:rsidRPr="00C45346">
        <w:rPr>
          <w:rFonts w:ascii="Times New Roman" w:eastAsia="Times New Roman" w:hAnsi="Times New Roman" w:cs="Times New Roman"/>
          <w:i/>
          <w:iCs/>
          <w:sz w:val="24"/>
          <w:szCs w:val="24"/>
          <w:lang w:eastAsia="en-US"/>
        </w:rPr>
        <w:t>gachua</w:t>
      </w:r>
      <w:proofErr w:type="spellEnd"/>
      <w:r w:rsidRPr="00C45346">
        <w:rPr>
          <w:rFonts w:ascii="Times New Roman" w:eastAsia="Times New Roman" w:hAnsi="Times New Roman" w:cs="Times New Roman"/>
          <w:sz w:val="24"/>
          <w:szCs w:val="24"/>
          <w:lang w:eastAsia="en-US"/>
        </w:rPr>
        <w:t xml:space="preserve">. Comparison with published data for related species should remain cautious because reported cadmium toxicity varies substantially among studies and test conditions. Further controlled investigations using verified exposure </w:t>
      </w:r>
      <w:r w:rsidRPr="00C45346">
        <w:rPr>
          <w:rFonts w:ascii="Times New Roman" w:eastAsia="Times New Roman" w:hAnsi="Times New Roman" w:cs="Times New Roman"/>
          <w:sz w:val="24"/>
          <w:szCs w:val="24"/>
          <w:lang w:eastAsia="en-US"/>
        </w:rPr>
        <w:lastRenderedPageBreak/>
        <w:t xml:space="preserve">concentrations, stable temperature conditions, tissue cadmium measurements, and histopathological assessment would strengthen interpretation of the acute toxicological response and support more reliable comparisons within the genus </w:t>
      </w:r>
      <w:r w:rsidRPr="00C45346">
        <w:rPr>
          <w:rFonts w:ascii="Times New Roman" w:eastAsia="Times New Roman" w:hAnsi="Times New Roman" w:cs="Times New Roman"/>
          <w:i/>
          <w:iCs/>
          <w:sz w:val="24"/>
          <w:szCs w:val="24"/>
          <w:lang w:eastAsia="en-US"/>
        </w:rPr>
        <w:t>Channa</w:t>
      </w:r>
      <w:r w:rsidRPr="00C45346">
        <w:rPr>
          <w:rFonts w:ascii="Times New Roman" w:eastAsia="Times New Roman" w:hAnsi="Times New Roman" w:cs="Times New Roman"/>
          <w:sz w:val="24"/>
          <w:szCs w:val="24"/>
          <w:lang w:eastAsia="en-US"/>
        </w:rPr>
        <w:t>.</w:t>
      </w:r>
    </w:p>
    <w:p w14:paraId="64BE1993" w14:textId="77777777" w:rsidR="00D83A35" w:rsidRPr="00C45346" w:rsidRDefault="00D83A35" w:rsidP="00D83A35">
      <w:pPr>
        <w:spacing w:before="100" w:beforeAutospacing="1" w:after="100" w:afterAutospacing="1"/>
        <w:rPr>
          <w:rFonts w:ascii="Times New Roman" w:eastAsia="Times New Roman" w:hAnsi="Times New Roman" w:cs="Times New Roman"/>
          <w:b/>
          <w:bCs/>
          <w:sz w:val="24"/>
          <w:szCs w:val="24"/>
          <w:lang w:eastAsia="en-US"/>
        </w:rPr>
      </w:pPr>
      <w:r w:rsidRPr="00C45346">
        <w:rPr>
          <w:rFonts w:ascii="Times New Roman" w:eastAsia="Times New Roman" w:hAnsi="Times New Roman" w:cs="Times New Roman"/>
          <w:b/>
          <w:bCs/>
          <w:sz w:val="24"/>
          <w:szCs w:val="24"/>
          <w:lang w:eastAsia="en-US"/>
        </w:rPr>
        <w:t>Limitation</w:t>
      </w:r>
    </w:p>
    <w:p w14:paraId="3E096CBF" w14:textId="77777777" w:rsidR="00D83A35" w:rsidRPr="00C45346" w:rsidRDefault="00D83A35" w:rsidP="00D83A35">
      <w:pPr>
        <w:spacing w:before="100" w:beforeAutospacing="1" w:after="100" w:afterAutospacing="1"/>
        <w:jc w:val="both"/>
        <w:rPr>
          <w:rFonts w:ascii="Times New Roman" w:eastAsia="Times New Roman" w:hAnsi="Times New Roman" w:cs="Times New Roman"/>
          <w:sz w:val="24"/>
          <w:szCs w:val="24"/>
          <w:lang w:eastAsia="en-US"/>
        </w:rPr>
      </w:pPr>
      <w:r w:rsidRPr="00C45346">
        <w:rPr>
          <w:rFonts w:ascii="Times New Roman" w:eastAsia="Times New Roman" w:hAnsi="Times New Roman" w:cs="Times New Roman"/>
          <w:sz w:val="24"/>
          <w:szCs w:val="24"/>
          <w:lang w:eastAsia="en-US"/>
        </w:rPr>
        <w:t>The study was limited by the absence of measured tissue cadmium concentrations and histopathological confirmation of the observed external changes. Ambient temperature increased by approximately 6 °C during the 96-h exposure, which may have influenced the later mortality response and limits strict attribution of all effects to cadmium exposure alone. In addition, the behavioural and morphological observations were qualitative. Future temperature-controlled studies with verified exposure concentrations, tissue measurements, and histopathological assessment would provide stronger confirmation of the observed acute responses.</w:t>
      </w:r>
    </w:p>
    <w:p w14:paraId="118F1713" w14:textId="77777777" w:rsidR="00DF61A0" w:rsidRPr="00C45346" w:rsidRDefault="00E82CBE" w:rsidP="00E82CBE">
      <w:pPr>
        <w:rPr>
          <w:rFonts w:ascii="Times New Roman" w:hAnsi="Times New Roman" w:cs="Times New Roman"/>
          <w:b/>
          <w:sz w:val="24"/>
          <w:szCs w:val="24"/>
          <w:lang w:val="en-US" w:eastAsia="en-US"/>
        </w:rPr>
      </w:pPr>
      <w:r w:rsidRPr="00C45346">
        <w:rPr>
          <w:rFonts w:ascii="Times New Roman" w:hAnsi="Times New Roman" w:cs="Times New Roman"/>
          <w:b/>
          <w:sz w:val="24"/>
          <w:szCs w:val="24"/>
          <w:lang w:val="en-US" w:eastAsia="en-US"/>
        </w:rPr>
        <w:t xml:space="preserve">Ethics </w:t>
      </w:r>
      <w:r w:rsidR="00A873BE" w:rsidRPr="00C45346">
        <w:rPr>
          <w:rFonts w:ascii="Times New Roman" w:hAnsi="Times New Roman" w:cs="Times New Roman"/>
          <w:b/>
          <w:sz w:val="24"/>
          <w:szCs w:val="24"/>
          <w:lang w:val="en-US" w:eastAsia="en-US"/>
        </w:rPr>
        <w:t>Approval</w:t>
      </w:r>
    </w:p>
    <w:p w14:paraId="0757F672" w14:textId="77777777" w:rsidR="00D83A35" w:rsidRPr="00C45346" w:rsidRDefault="00D83A35" w:rsidP="00E82CBE">
      <w:pPr>
        <w:rPr>
          <w:rFonts w:ascii="Times New Roman" w:hAnsi="Times New Roman" w:cs="Times New Roman"/>
          <w:b/>
          <w:sz w:val="24"/>
          <w:szCs w:val="24"/>
          <w:lang w:val="en-US" w:eastAsia="en-US"/>
        </w:rPr>
      </w:pPr>
    </w:p>
    <w:p w14:paraId="3974E761" w14:textId="77777777" w:rsidR="00E82CBE" w:rsidRPr="00C45346" w:rsidRDefault="00E82CBE" w:rsidP="00E82CBE">
      <w:pPr>
        <w:rPr>
          <w:rFonts w:ascii="Times New Roman" w:eastAsia="Times New Roman" w:hAnsi="Times New Roman" w:cs="Times New Roman"/>
          <w:sz w:val="24"/>
          <w:szCs w:val="24"/>
          <w:lang w:val="en-US" w:eastAsia="en-US"/>
        </w:rPr>
      </w:pPr>
      <w:r w:rsidRPr="00C45346">
        <w:rPr>
          <w:rFonts w:ascii="Times New Roman" w:eastAsia="Times New Roman" w:hAnsi="Times New Roman" w:cs="Times New Roman"/>
          <w:sz w:val="24"/>
          <w:szCs w:val="24"/>
          <w:lang w:val="en-US" w:eastAsia="en-US"/>
        </w:rPr>
        <w:t>All animal procedures were approved by the Institutional Animal Ethics Committee (IAEC) and conducted in accordance with CPCSEA guidelines</w:t>
      </w:r>
      <w:r w:rsidR="007F7768" w:rsidRPr="00C45346">
        <w:rPr>
          <w:rFonts w:ascii="Times New Roman" w:eastAsia="Times New Roman" w:hAnsi="Times New Roman" w:cs="Times New Roman"/>
          <w:sz w:val="24"/>
          <w:szCs w:val="24"/>
          <w:lang w:val="en-US" w:eastAsia="en-US"/>
        </w:rPr>
        <w:t>.</w:t>
      </w:r>
    </w:p>
    <w:p w14:paraId="54DD45E9" w14:textId="77777777" w:rsidR="007F7768" w:rsidRPr="00C45346" w:rsidRDefault="007F7768" w:rsidP="00E82CBE">
      <w:pPr>
        <w:rPr>
          <w:rFonts w:ascii="Times New Roman" w:hAnsi="Times New Roman" w:cs="Times New Roman"/>
          <w:sz w:val="24"/>
          <w:szCs w:val="24"/>
          <w:lang w:val="en-US" w:eastAsia="en-US"/>
        </w:rPr>
      </w:pPr>
    </w:p>
    <w:p w14:paraId="47CFD509" w14:textId="77777777" w:rsidR="005B3300" w:rsidRPr="00C45346" w:rsidRDefault="005B3300" w:rsidP="005B3300">
      <w:pPr>
        <w:spacing w:after="160" w:line="259" w:lineRule="auto"/>
        <w:rPr>
          <w:rFonts w:ascii="Arial" w:hAnsi="Arial" w:cs="Arial"/>
          <w:b/>
          <w:bCs/>
          <w:kern w:val="2"/>
          <w:lang w:eastAsia="en-US"/>
          <w14:ligatures w14:val="standardContextual"/>
        </w:rPr>
      </w:pPr>
      <w:r w:rsidRPr="00C45346">
        <w:rPr>
          <w:rFonts w:ascii="Arial" w:hAnsi="Arial" w:cs="Arial"/>
          <w:b/>
          <w:bCs/>
          <w:kern w:val="2"/>
          <w:lang w:eastAsia="en-US"/>
          <w14:ligatures w14:val="standardContextual"/>
        </w:rPr>
        <w:t>Declaration of AI Use</w:t>
      </w:r>
    </w:p>
    <w:p w14:paraId="0B2C8880" w14:textId="77777777" w:rsidR="005B3300" w:rsidRPr="00C45346" w:rsidRDefault="005B3300" w:rsidP="005B3300">
      <w:pPr>
        <w:spacing w:after="160" w:line="259" w:lineRule="auto"/>
        <w:rPr>
          <w:rFonts w:ascii="Arial" w:hAnsi="Arial" w:cs="Arial"/>
          <w:kern w:val="2"/>
          <w:lang w:eastAsia="en-US"/>
          <w14:ligatures w14:val="standardContextual"/>
        </w:rPr>
      </w:pPr>
      <w:r w:rsidRPr="00C45346">
        <w:rPr>
          <w:rFonts w:ascii="Arial" w:hAnsi="Arial" w:cs="Arial"/>
          <w:kern w:val="2"/>
          <w:lang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952C6D0" w14:textId="77777777" w:rsidR="00B9131D" w:rsidRPr="00C45346" w:rsidRDefault="00B9131D" w:rsidP="00E82CBE">
      <w:pPr>
        <w:jc w:val="both"/>
        <w:rPr>
          <w:rFonts w:ascii="Times New Roman" w:hAnsi="Times New Roman" w:cs="Times New Roman"/>
          <w:sz w:val="24"/>
          <w:szCs w:val="24"/>
          <w:lang w:val="en-US" w:eastAsia="en-US"/>
        </w:rPr>
      </w:pPr>
    </w:p>
    <w:p w14:paraId="4D6F65CE" w14:textId="77777777" w:rsidR="00E82CBE" w:rsidRPr="00C45346" w:rsidRDefault="00E82CBE" w:rsidP="00E82CBE">
      <w:pPr>
        <w:spacing w:after="200" w:line="276" w:lineRule="auto"/>
        <w:rPr>
          <w:rFonts w:ascii="Times New Roman" w:eastAsia="Times New Roman" w:hAnsi="Times New Roman" w:cs="Times New Roman"/>
          <w:b/>
          <w:bCs/>
          <w:sz w:val="24"/>
          <w:szCs w:val="24"/>
          <w:lang w:val="en-GB" w:eastAsia="en-GB"/>
        </w:rPr>
      </w:pPr>
      <w:r w:rsidRPr="00C45346">
        <w:rPr>
          <w:rFonts w:ascii="Times New Roman" w:eastAsia="Times New Roman" w:hAnsi="Times New Roman" w:cs="Times New Roman"/>
          <w:b/>
          <w:bCs/>
          <w:sz w:val="24"/>
          <w:szCs w:val="24"/>
          <w:lang w:val="en-GB" w:eastAsia="en-GB"/>
        </w:rPr>
        <w:t>COMPETING INTERESTS DISCLAIMER:</w:t>
      </w:r>
    </w:p>
    <w:p w14:paraId="45A170B8" w14:textId="77777777" w:rsidR="00E82CBE" w:rsidRPr="00C45346" w:rsidRDefault="00E82CBE" w:rsidP="007F7768">
      <w:pPr>
        <w:rPr>
          <w:rFonts w:ascii="Times New Roman" w:eastAsia="Times New Roman" w:hAnsi="Times New Roman" w:cs="Times New Roman"/>
          <w:sz w:val="24"/>
          <w:szCs w:val="24"/>
          <w:lang w:val="en-US" w:eastAsia="en-US"/>
        </w:rPr>
      </w:pPr>
      <w:r w:rsidRPr="00C45346">
        <w:rPr>
          <w:rFonts w:ascii="Times New Roman" w:eastAsia="Times New Roman" w:hAnsi="Times New Roman" w:cs="Times New Roman"/>
          <w:sz w:val="24"/>
          <w:szCs w:val="24"/>
          <w:lang w:val="en-US" w:eastAsia="en-US"/>
        </w:rPr>
        <w:t>Authors have declared that they have no known competing financial interests OR non-financial interests OR personal relationships that could have appeared to influence the work reported in this paper.</w:t>
      </w:r>
    </w:p>
    <w:p w14:paraId="5D6E175D" w14:textId="77777777" w:rsidR="00E82CBE" w:rsidRPr="00C45346" w:rsidRDefault="00E82CBE" w:rsidP="00E82CBE">
      <w:pPr>
        <w:jc w:val="both"/>
        <w:rPr>
          <w:rFonts w:ascii="Times New Roman" w:hAnsi="Times New Roman" w:cs="Times New Roman"/>
          <w:sz w:val="24"/>
          <w:szCs w:val="24"/>
          <w:lang w:val="en-US" w:eastAsia="en-US"/>
        </w:rPr>
      </w:pPr>
    </w:p>
    <w:p w14:paraId="6383206D" w14:textId="77777777" w:rsidR="00C90E5D" w:rsidRPr="00C45346" w:rsidRDefault="00C90E5D">
      <w:pPr>
        <w:rPr>
          <w:rFonts w:ascii="Times New Roman" w:hAnsi="Times New Roman" w:cs="Times New Roman"/>
          <w:sz w:val="24"/>
          <w:szCs w:val="24"/>
        </w:rPr>
      </w:pPr>
    </w:p>
    <w:p w14:paraId="387FE70A" w14:textId="77777777" w:rsidR="00C90E5D" w:rsidRDefault="00710349">
      <w:pPr>
        <w:pStyle w:val="Heading1"/>
        <w:spacing w:before="300" w:after="150"/>
        <w:rPr>
          <w:rFonts w:ascii="Times New Roman" w:hAnsi="Times New Roman" w:cs="Times New Roman"/>
          <w:sz w:val="24"/>
          <w:szCs w:val="24"/>
        </w:rPr>
      </w:pPr>
      <w:r w:rsidRPr="00C45346">
        <w:rPr>
          <w:rFonts w:ascii="Times New Roman" w:hAnsi="Times New Roman" w:cs="Times New Roman"/>
          <w:sz w:val="24"/>
          <w:szCs w:val="24"/>
        </w:rPr>
        <w:t>References</w:t>
      </w:r>
    </w:p>
    <w:p w14:paraId="2CFF0616"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Al-</w:t>
      </w:r>
      <w:proofErr w:type="spellStart"/>
      <w:r w:rsidRPr="005C6B49">
        <w:rPr>
          <w:rFonts w:ascii="Times New Roman" w:eastAsia="Times New Roman" w:hAnsi="Times New Roman" w:cs="Times New Roman"/>
          <w:sz w:val="24"/>
          <w:szCs w:val="24"/>
          <w:lang w:val="en-US" w:eastAsia="en-US"/>
        </w:rPr>
        <w:t>Asgah</w:t>
      </w:r>
      <w:proofErr w:type="spellEnd"/>
      <w:r w:rsidRPr="005C6B49">
        <w:rPr>
          <w:rFonts w:ascii="Times New Roman" w:eastAsia="Times New Roman" w:hAnsi="Times New Roman" w:cs="Times New Roman"/>
          <w:sz w:val="24"/>
          <w:szCs w:val="24"/>
          <w:lang w:val="en-US" w:eastAsia="en-US"/>
        </w:rPr>
        <w:t xml:space="preserve">, N. A., Abdel-Warith, A. W. A., Younis, E. S. M., &amp; Allam, H. Y. (2015). </w:t>
      </w:r>
      <w:proofErr w:type="spellStart"/>
      <w:r w:rsidRPr="005C6B49">
        <w:rPr>
          <w:rFonts w:ascii="Times New Roman" w:eastAsia="Times New Roman" w:hAnsi="Times New Roman" w:cs="Times New Roman"/>
          <w:sz w:val="24"/>
          <w:szCs w:val="24"/>
          <w:lang w:val="en-US" w:eastAsia="en-US"/>
        </w:rPr>
        <w:t>Haematological</w:t>
      </w:r>
      <w:proofErr w:type="spellEnd"/>
      <w:r w:rsidRPr="005C6B49">
        <w:rPr>
          <w:rFonts w:ascii="Times New Roman" w:eastAsia="Times New Roman" w:hAnsi="Times New Roman" w:cs="Times New Roman"/>
          <w:sz w:val="24"/>
          <w:szCs w:val="24"/>
          <w:lang w:val="en-US" w:eastAsia="en-US"/>
        </w:rPr>
        <w:t xml:space="preserve"> and biochemical parameters and tissue accumulations of cadmium in </w:t>
      </w:r>
      <w:r w:rsidRPr="005C6B49">
        <w:rPr>
          <w:rFonts w:ascii="Times New Roman" w:eastAsia="Times New Roman" w:hAnsi="Times New Roman" w:cs="Times New Roman"/>
          <w:i/>
          <w:iCs/>
          <w:sz w:val="24"/>
          <w:szCs w:val="24"/>
          <w:lang w:val="en-US" w:eastAsia="en-US"/>
        </w:rPr>
        <w:t>Oreochromis niloticus</w:t>
      </w:r>
      <w:r w:rsidRPr="005C6B49">
        <w:rPr>
          <w:rFonts w:ascii="Times New Roman" w:eastAsia="Times New Roman" w:hAnsi="Times New Roman" w:cs="Times New Roman"/>
          <w:sz w:val="24"/>
          <w:szCs w:val="24"/>
          <w:lang w:val="en-US" w:eastAsia="en-US"/>
        </w:rPr>
        <w:t xml:space="preserve"> exposed to various concentrations of cadmium chloride. </w:t>
      </w:r>
      <w:r w:rsidRPr="005C6B49">
        <w:rPr>
          <w:rFonts w:ascii="Times New Roman" w:eastAsia="Times New Roman" w:hAnsi="Times New Roman" w:cs="Times New Roman"/>
          <w:i/>
          <w:iCs/>
          <w:sz w:val="24"/>
          <w:szCs w:val="24"/>
          <w:lang w:val="en-US" w:eastAsia="en-US"/>
        </w:rPr>
        <w:t>Saudi Journal of Biological Sciences, 22</w:t>
      </w:r>
      <w:r w:rsidRPr="005C6B49">
        <w:rPr>
          <w:rFonts w:ascii="Times New Roman" w:eastAsia="Times New Roman" w:hAnsi="Times New Roman" w:cs="Times New Roman"/>
          <w:sz w:val="24"/>
          <w:szCs w:val="24"/>
          <w:lang w:val="en-US" w:eastAsia="en-US"/>
        </w:rPr>
        <w:t xml:space="preserve">(5), 543–550. </w:t>
      </w:r>
      <w:hyperlink r:id="rId12" w:history="1">
        <w:r w:rsidRPr="005C6B49">
          <w:rPr>
            <w:rFonts w:ascii="Times New Roman" w:eastAsia="Times New Roman" w:hAnsi="Times New Roman" w:cs="Times New Roman"/>
            <w:color w:val="0000FF"/>
            <w:sz w:val="24"/>
            <w:szCs w:val="24"/>
            <w:u w:val="single"/>
            <w:lang w:val="en-US" w:eastAsia="en-US"/>
          </w:rPr>
          <w:t>https://doi.org/10.1016/j.sjbs.2015.01.002</w:t>
        </w:r>
      </w:hyperlink>
    </w:p>
    <w:p w14:paraId="4E995721"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Almeida, J. A., Barreto, R. E., Novelli, E. L. B., Castro, F. J., &amp; Moron, S. E. (2009). Oxidative stress biomarkers and aggressive behavior in fish exposed to aquatic cadmium contamination. </w:t>
      </w:r>
      <w:r w:rsidRPr="005C6B49">
        <w:rPr>
          <w:rFonts w:ascii="Times New Roman" w:eastAsia="Times New Roman" w:hAnsi="Times New Roman" w:cs="Times New Roman"/>
          <w:i/>
          <w:iCs/>
          <w:sz w:val="24"/>
          <w:szCs w:val="24"/>
          <w:lang w:val="en-US" w:eastAsia="en-US"/>
        </w:rPr>
        <w:t>Neotropical Ichthyology, 7</w:t>
      </w:r>
      <w:r w:rsidRPr="005C6B49">
        <w:rPr>
          <w:rFonts w:ascii="Times New Roman" w:eastAsia="Times New Roman" w:hAnsi="Times New Roman" w:cs="Times New Roman"/>
          <w:sz w:val="24"/>
          <w:szCs w:val="24"/>
          <w:lang w:val="en-US" w:eastAsia="en-US"/>
        </w:rPr>
        <w:t xml:space="preserve">(1), 103–108. </w:t>
      </w:r>
      <w:hyperlink r:id="rId13" w:history="1">
        <w:r w:rsidRPr="005C6B49">
          <w:rPr>
            <w:rFonts w:ascii="Times New Roman" w:eastAsia="Times New Roman" w:hAnsi="Times New Roman" w:cs="Times New Roman"/>
            <w:color w:val="0000FF"/>
            <w:sz w:val="24"/>
            <w:szCs w:val="24"/>
            <w:u w:val="single"/>
            <w:lang w:val="en-US" w:eastAsia="en-US"/>
          </w:rPr>
          <w:t>https://doi.org/10.1590/S1679-62252009000100013</w:t>
        </w:r>
      </w:hyperlink>
    </w:p>
    <w:p w14:paraId="6BB05E5C"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American Public Health Association. (2017). </w:t>
      </w:r>
      <w:r w:rsidRPr="005C6B49">
        <w:rPr>
          <w:rFonts w:ascii="Times New Roman" w:eastAsia="Times New Roman" w:hAnsi="Times New Roman" w:cs="Times New Roman"/>
          <w:i/>
          <w:iCs/>
          <w:sz w:val="24"/>
          <w:szCs w:val="24"/>
          <w:lang w:val="en-US" w:eastAsia="en-US"/>
        </w:rPr>
        <w:t>Standard methods for the examination of water and wastewater</w:t>
      </w:r>
      <w:r w:rsidRPr="005C6B49">
        <w:rPr>
          <w:rFonts w:ascii="Times New Roman" w:eastAsia="Times New Roman" w:hAnsi="Times New Roman" w:cs="Times New Roman"/>
          <w:sz w:val="24"/>
          <w:szCs w:val="24"/>
          <w:lang w:val="en-US" w:eastAsia="en-US"/>
        </w:rPr>
        <w:t xml:space="preserve"> (23rd ed.). </w:t>
      </w:r>
      <w:hyperlink r:id="rId14" w:history="1">
        <w:r w:rsidRPr="005C6B49">
          <w:rPr>
            <w:rFonts w:ascii="Times New Roman" w:eastAsia="Times New Roman" w:hAnsi="Times New Roman" w:cs="Times New Roman"/>
            <w:color w:val="0000FF"/>
            <w:sz w:val="24"/>
            <w:szCs w:val="24"/>
            <w:u w:val="single"/>
            <w:lang w:val="en-US" w:eastAsia="en-US"/>
          </w:rPr>
          <w:t>https://www.standardmethods.org/</w:t>
        </w:r>
      </w:hyperlink>
    </w:p>
    <w:p w14:paraId="6820D34D"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Atchison, G. J., Henry, M. G., &amp; Sandheinrich, M. B. (1987). Effects of metals on fish behavior: A review. </w:t>
      </w:r>
      <w:r w:rsidRPr="005C6B49">
        <w:rPr>
          <w:rFonts w:ascii="Times New Roman" w:eastAsia="Times New Roman" w:hAnsi="Times New Roman" w:cs="Times New Roman"/>
          <w:i/>
          <w:iCs/>
          <w:sz w:val="24"/>
          <w:szCs w:val="24"/>
          <w:lang w:val="en-US" w:eastAsia="en-US"/>
        </w:rPr>
        <w:t>Environmental Biology of Fishes, 18</w:t>
      </w:r>
      <w:r w:rsidRPr="005C6B49">
        <w:rPr>
          <w:rFonts w:ascii="Times New Roman" w:eastAsia="Times New Roman" w:hAnsi="Times New Roman" w:cs="Times New Roman"/>
          <w:sz w:val="24"/>
          <w:szCs w:val="24"/>
          <w:lang w:val="en-US" w:eastAsia="en-US"/>
        </w:rPr>
        <w:t xml:space="preserve">(1), 11–25. </w:t>
      </w:r>
      <w:hyperlink r:id="rId15" w:history="1">
        <w:r w:rsidRPr="005C6B49">
          <w:rPr>
            <w:rFonts w:ascii="Times New Roman" w:eastAsia="Times New Roman" w:hAnsi="Times New Roman" w:cs="Times New Roman"/>
            <w:color w:val="0000FF"/>
            <w:sz w:val="24"/>
            <w:szCs w:val="24"/>
            <w:u w:val="single"/>
            <w:lang w:val="en-US" w:eastAsia="en-US"/>
          </w:rPr>
          <w:t>https://doi.org/10.1007/BF00002324</w:t>
        </w:r>
      </w:hyperlink>
    </w:p>
    <w:p w14:paraId="4E570FC2"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lastRenderedPageBreak/>
        <w:t xml:space="preserve">Batool, M., Abdullah, S., &amp; Javed, M. (2014). Behavioral intoxication of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marulius</w:t>
      </w:r>
      <w:proofErr w:type="spellEnd"/>
      <w:r w:rsidRPr="005C6B49">
        <w:rPr>
          <w:rFonts w:ascii="Times New Roman" w:eastAsia="Times New Roman" w:hAnsi="Times New Roman" w:cs="Times New Roman"/>
          <w:sz w:val="24"/>
          <w:szCs w:val="24"/>
          <w:lang w:val="en-US" w:eastAsia="en-US"/>
        </w:rPr>
        <w:t xml:space="preserve"> and </w:t>
      </w:r>
      <w:r w:rsidRPr="005C6B49">
        <w:rPr>
          <w:rFonts w:ascii="Times New Roman" w:eastAsia="Times New Roman" w:hAnsi="Times New Roman" w:cs="Times New Roman"/>
          <w:i/>
          <w:iCs/>
          <w:sz w:val="24"/>
          <w:szCs w:val="24"/>
          <w:lang w:val="en-US" w:eastAsia="en-US"/>
        </w:rPr>
        <w:t xml:space="preserve">Wallago </w:t>
      </w:r>
      <w:proofErr w:type="spellStart"/>
      <w:r w:rsidRPr="005C6B49">
        <w:rPr>
          <w:rFonts w:ascii="Times New Roman" w:eastAsia="Times New Roman" w:hAnsi="Times New Roman" w:cs="Times New Roman"/>
          <w:i/>
          <w:iCs/>
          <w:sz w:val="24"/>
          <w:szCs w:val="24"/>
          <w:lang w:val="en-US" w:eastAsia="en-US"/>
        </w:rPr>
        <w:t>attu</w:t>
      </w:r>
      <w:proofErr w:type="spellEnd"/>
      <w:r w:rsidRPr="005C6B49">
        <w:rPr>
          <w:rFonts w:ascii="Times New Roman" w:eastAsia="Times New Roman" w:hAnsi="Times New Roman" w:cs="Times New Roman"/>
          <w:sz w:val="24"/>
          <w:szCs w:val="24"/>
          <w:lang w:val="en-US" w:eastAsia="en-US"/>
        </w:rPr>
        <w:t xml:space="preserve"> during acute exposure of cadmium and copper. </w:t>
      </w:r>
      <w:r w:rsidRPr="005C6B49">
        <w:rPr>
          <w:rFonts w:ascii="Times New Roman" w:eastAsia="Times New Roman" w:hAnsi="Times New Roman" w:cs="Times New Roman"/>
          <w:i/>
          <w:iCs/>
          <w:sz w:val="24"/>
          <w:szCs w:val="24"/>
          <w:lang w:val="en-US" w:eastAsia="en-US"/>
        </w:rPr>
        <w:t>Pakistan Journal of Life and Social Sciences, 12</w:t>
      </w:r>
      <w:r w:rsidRPr="005C6B49">
        <w:rPr>
          <w:rFonts w:ascii="Times New Roman" w:eastAsia="Times New Roman" w:hAnsi="Times New Roman" w:cs="Times New Roman"/>
          <w:sz w:val="24"/>
          <w:szCs w:val="24"/>
          <w:lang w:val="en-US" w:eastAsia="en-US"/>
        </w:rPr>
        <w:t xml:space="preserve">(1), 7–15. </w:t>
      </w:r>
      <w:hyperlink r:id="rId16" w:history="1">
        <w:r w:rsidRPr="005C6B49">
          <w:rPr>
            <w:rFonts w:ascii="Times New Roman" w:eastAsia="Times New Roman" w:hAnsi="Times New Roman" w:cs="Times New Roman"/>
            <w:color w:val="0000FF"/>
            <w:sz w:val="24"/>
            <w:szCs w:val="24"/>
            <w:u w:val="single"/>
            <w:lang w:val="en-US" w:eastAsia="en-US"/>
          </w:rPr>
          <w:t>https://www.researchgate.net/publication/287340474</w:t>
        </w:r>
      </w:hyperlink>
    </w:p>
    <w:p w14:paraId="7D0456B2"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Bishop, W. E., &amp; McIntosh, A. W. (1981). Acute lethality and effects of sublethal cadmium exposure on ventilation frequency and cough rate of bluegill (</w:t>
      </w:r>
      <w:r w:rsidRPr="005C6B49">
        <w:rPr>
          <w:rFonts w:ascii="Times New Roman" w:eastAsia="Times New Roman" w:hAnsi="Times New Roman" w:cs="Times New Roman"/>
          <w:i/>
          <w:iCs/>
          <w:sz w:val="24"/>
          <w:szCs w:val="24"/>
          <w:lang w:val="en-US" w:eastAsia="en-US"/>
        </w:rPr>
        <w:t>Lepomis macrochirus</w:t>
      </w:r>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Archives of Environmental Contamination and Toxicology, 10</w:t>
      </w:r>
      <w:r w:rsidRPr="005C6B49">
        <w:rPr>
          <w:rFonts w:ascii="Times New Roman" w:eastAsia="Times New Roman" w:hAnsi="Times New Roman" w:cs="Times New Roman"/>
          <w:sz w:val="24"/>
          <w:szCs w:val="24"/>
          <w:lang w:val="en-US" w:eastAsia="en-US"/>
        </w:rPr>
        <w:t xml:space="preserve">, 519–530. </w:t>
      </w:r>
      <w:hyperlink r:id="rId17" w:history="1">
        <w:r w:rsidRPr="005C6B49">
          <w:rPr>
            <w:rFonts w:ascii="Times New Roman" w:eastAsia="Times New Roman" w:hAnsi="Times New Roman" w:cs="Times New Roman"/>
            <w:color w:val="0000FF"/>
            <w:sz w:val="24"/>
            <w:szCs w:val="24"/>
            <w:u w:val="single"/>
            <w:lang w:val="en-US" w:eastAsia="en-US"/>
          </w:rPr>
          <w:t>https://doi.org/10.1007/BF01054876</w:t>
        </w:r>
      </w:hyperlink>
    </w:p>
    <w:p w14:paraId="2A7EE6F9"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Chandra, A., &amp; Verma, A. K. (2021). Determination of median tolerance limit (LC50) of </w:t>
      </w:r>
      <w:r w:rsidRPr="005C6B49">
        <w:rPr>
          <w:rFonts w:ascii="Times New Roman" w:eastAsia="Times New Roman" w:hAnsi="Times New Roman" w:cs="Times New Roman"/>
          <w:i/>
          <w:iCs/>
          <w:sz w:val="24"/>
          <w:szCs w:val="24"/>
          <w:lang w:val="en-US" w:eastAsia="en-US"/>
        </w:rPr>
        <w:t>Channa punctata</w:t>
      </w:r>
      <w:r w:rsidRPr="005C6B49">
        <w:rPr>
          <w:rFonts w:ascii="Times New Roman" w:eastAsia="Times New Roman" w:hAnsi="Times New Roman" w:cs="Times New Roman"/>
          <w:sz w:val="24"/>
          <w:szCs w:val="24"/>
          <w:lang w:val="en-US" w:eastAsia="en-US"/>
        </w:rPr>
        <w:t xml:space="preserve"> (Bloch) for cadmium chloride. </w:t>
      </w:r>
      <w:r w:rsidRPr="005C6B49">
        <w:rPr>
          <w:rFonts w:ascii="Times New Roman" w:eastAsia="Times New Roman" w:hAnsi="Times New Roman" w:cs="Times New Roman"/>
          <w:i/>
          <w:iCs/>
          <w:sz w:val="24"/>
          <w:szCs w:val="24"/>
          <w:lang w:val="en-US" w:eastAsia="en-US"/>
        </w:rPr>
        <w:t>International Journal on Biological Sciences, 12</w:t>
      </w:r>
      <w:r w:rsidRPr="005C6B49">
        <w:rPr>
          <w:rFonts w:ascii="Times New Roman" w:eastAsia="Times New Roman" w:hAnsi="Times New Roman" w:cs="Times New Roman"/>
          <w:sz w:val="24"/>
          <w:szCs w:val="24"/>
          <w:lang w:val="en-US" w:eastAsia="en-US"/>
        </w:rPr>
        <w:t xml:space="preserve">(2), 106–109. </w:t>
      </w:r>
      <w:hyperlink r:id="rId18" w:history="1">
        <w:r w:rsidRPr="005C6B49">
          <w:rPr>
            <w:rFonts w:ascii="Times New Roman" w:eastAsia="Times New Roman" w:hAnsi="Times New Roman" w:cs="Times New Roman"/>
            <w:color w:val="0000FF"/>
            <w:sz w:val="24"/>
            <w:szCs w:val="24"/>
            <w:u w:val="single"/>
            <w:lang w:val="en-US" w:eastAsia="en-US"/>
          </w:rPr>
          <w:t>https://doi.org/10.53390/ijbs.v12i2.9</w:t>
        </w:r>
      </w:hyperlink>
    </w:p>
    <w:p w14:paraId="616F9F1E"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Chandra, A., &amp; Verma, A. K. (2023). Impact of cadmium on </w:t>
      </w:r>
      <w:proofErr w:type="spellStart"/>
      <w:r w:rsidRPr="005C6B49">
        <w:rPr>
          <w:rFonts w:ascii="Times New Roman" w:eastAsia="Times New Roman" w:hAnsi="Times New Roman" w:cs="Times New Roman"/>
          <w:sz w:val="24"/>
          <w:szCs w:val="24"/>
          <w:lang w:val="en-US" w:eastAsia="en-US"/>
        </w:rPr>
        <w:t>haematological</w:t>
      </w:r>
      <w:proofErr w:type="spellEnd"/>
      <w:r w:rsidRPr="005C6B49">
        <w:rPr>
          <w:rFonts w:ascii="Times New Roman" w:eastAsia="Times New Roman" w:hAnsi="Times New Roman" w:cs="Times New Roman"/>
          <w:sz w:val="24"/>
          <w:szCs w:val="24"/>
          <w:lang w:val="en-US" w:eastAsia="en-US"/>
        </w:rPr>
        <w:t xml:space="preserve"> parameters of freshwater </w:t>
      </w:r>
      <w:proofErr w:type="spellStart"/>
      <w:r w:rsidRPr="005C6B49">
        <w:rPr>
          <w:rFonts w:ascii="Times New Roman" w:eastAsia="Times New Roman" w:hAnsi="Times New Roman" w:cs="Times New Roman"/>
          <w:sz w:val="24"/>
          <w:szCs w:val="24"/>
          <w:lang w:val="en-US" w:eastAsia="en-US"/>
        </w:rPr>
        <w:t>snakeheaded</w:t>
      </w:r>
      <w:proofErr w:type="spellEnd"/>
      <w:r w:rsidRPr="005C6B49">
        <w:rPr>
          <w:rFonts w:ascii="Times New Roman" w:eastAsia="Times New Roman" w:hAnsi="Times New Roman" w:cs="Times New Roman"/>
          <w:sz w:val="24"/>
          <w:szCs w:val="24"/>
          <w:lang w:val="en-US" w:eastAsia="en-US"/>
        </w:rPr>
        <w:t xml:space="preserve"> fish, </w:t>
      </w:r>
      <w:r w:rsidRPr="005C6B49">
        <w:rPr>
          <w:rFonts w:ascii="Times New Roman" w:eastAsia="Times New Roman" w:hAnsi="Times New Roman" w:cs="Times New Roman"/>
          <w:i/>
          <w:iCs/>
          <w:sz w:val="24"/>
          <w:szCs w:val="24"/>
          <w:lang w:val="en-US" w:eastAsia="en-US"/>
        </w:rPr>
        <w:t>Channa punctata</w:t>
      </w:r>
      <w:r w:rsidRPr="005C6B49">
        <w:rPr>
          <w:rFonts w:ascii="Times New Roman" w:eastAsia="Times New Roman" w:hAnsi="Times New Roman" w:cs="Times New Roman"/>
          <w:sz w:val="24"/>
          <w:szCs w:val="24"/>
          <w:lang w:val="en-US" w:eastAsia="en-US"/>
        </w:rPr>
        <w:t xml:space="preserve"> (Bloch). </w:t>
      </w:r>
      <w:r w:rsidRPr="005C6B49">
        <w:rPr>
          <w:rFonts w:ascii="Times New Roman" w:eastAsia="Times New Roman" w:hAnsi="Times New Roman" w:cs="Times New Roman"/>
          <w:i/>
          <w:iCs/>
          <w:sz w:val="24"/>
          <w:szCs w:val="24"/>
          <w:lang w:val="en-US" w:eastAsia="en-US"/>
        </w:rPr>
        <w:t>Journal of Experimental Zoology India, 26</w:t>
      </w:r>
      <w:r w:rsidRPr="005C6B49">
        <w:rPr>
          <w:rFonts w:ascii="Times New Roman" w:eastAsia="Times New Roman" w:hAnsi="Times New Roman" w:cs="Times New Roman"/>
          <w:sz w:val="24"/>
          <w:szCs w:val="24"/>
          <w:lang w:val="en-US" w:eastAsia="en-US"/>
        </w:rPr>
        <w:t xml:space="preserve">(1), 345–348. </w:t>
      </w:r>
      <w:hyperlink r:id="rId19" w:history="1">
        <w:r w:rsidRPr="005C6B49">
          <w:rPr>
            <w:rFonts w:ascii="Times New Roman" w:eastAsia="Times New Roman" w:hAnsi="Times New Roman" w:cs="Times New Roman"/>
            <w:color w:val="0000FF"/>
            <w:sz w:val="24"/>
            <w:szCs w:val="24"/>
            <w:u w:val="single"/>
            <w:lang w:val="en-US" w:eastAsia="en-US"/>
          </w:rPr>
          <w:t>https://doi.org/10.51470/jez.2023.26.1.345</w:t>
        </w:r>
      </w:hyperlink>
    </w:p>
    <w:p w14:paraId="11E56149"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Chaudhry, S. (2010).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The IUCN Red List of Threatened Species 2010</w:t>
      </w:r>
      <w:r w:rsidRPr="005C6B49">
        <w:rPr>
          <w:rFonts w:ascii="Times New Roman" w:eastAsia="Times New Roman" w:hAnsi="Times New Roman" w:cs="Times New Roman"/>
          <w:sz w:val="24"/>
          <w:szCs w:val="24"/>
          <w:lang w:val="en-US" w:eastAsia="en-US"/>
        </w:rPr>
        <w:t xml:space="preserve">, e.T166123A6179047. </w:t>
      </w:r>
      <w:hyperlink r:id="rId20" w:history="1">
        <w:r w:rsidRPr="005C6B49">
          <w:rPr>
            <w:rFonts w:ascii="Times New Roman" w:eastAsia="Times New Roman" w:hAnsi="Times New Roman" w:cs="Times New Roman"/>
            <w:color w:val="0000FF"/>
            <w:sz w:val="24"/>
            <w:szCs w:val="24"/>
            <w:u w:val="single"/>
            <w:lang w:val="en-US" w:eastAsia="en-US"/>
          </w:rPr>
          <w:t>https://doi.org/10.2305/IUCN.UK.2010-4.RLTS.T166123A6179047.en</w:t>
        </w:r>
      </w:hyperlink>
    </w:p>
    <w:p w14:paraId="3C15ACC3"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Choudhury, M., Deka, P., &amp; Purkayastha, D. (2024). Sub-lethal toxic effect of cadmium chloride (CdCl2) on freshwater </w:t>
      </w:r>
      <w:proofErr w:type="spellStart"/>
      <w:r w:rsidRPr="005C6B49">
        <w:rPr>
          <w:rFonts w:ascii="Times New Roman" w:eastAsia="Times New Roman" w:hAnsi="Times New Roman" w:cs="Times New Roman"/>
          <w:sz w:val="24"/>
          <w:szCs w:val="24"/>
          <w:lang w:val="en-US" w:eastAsia="en-US"/>
        </w:rPr>
        <w:t>murrel</w:t>
      </w:r>
      <w:proofErr w:type="spellEnd"/>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Channa punctata</w:t>
      </w:r>
      <w:r w:rsidRPr="005C6B49">
        <w:rPr>
          <w:rFonts w:ascii="Times New Roman" w:eastAsia="Times New Roman" w:hAnsi="Times New Roman" w:cs="Times New Roman"/>
          <w:sz w:val="24"/>
          <w:szCs w:val="24"/>
          <w:lang w:val="en-US" w:eastAsia="en-US"/>
        </w:rPr>
        <w:t xml:space="preserve"> (Bloch). </w:t>
      </w:r>
      <w:r w:rsidRPr="005C6B49">
        <w:rPr>
          <w:rFonts w:ascii="Times New Roman" w:eastAsia="Times New Roman" w:hAnsi="Times New Roman" w:cs="Times New Roman"/>
          <w:i/>
          <w:iCs/>
          <w:sz w:val="24"/>
          <w:szCs w:val="24"/>
          <w:lang w:val="en-US" w:eastAsia="en-US"/>
        </w:rPr>
        <w:t>International Journal of Fisheries and Aquatic Studies, 12</w:t>
      </w:r>
      <w:r w:rsidRPr="005C6B49">
        <w:rPr>
          <w:rFonts w:ascii="Times New Roman" w:eastAsia="Times New Roman" w:hAnsi="Times New Roman" w:cs="Times New Roman"/>
          <w:sz w:val="24"/>
          <w:szCs w:val="24"/>
          <w:lang w:val="en-US" w:eastAsia="en-US"/>
        </w:rPr>
        <w:t xml:space="preserve">(1), 63–66. </w:t>
      </w:r>
      <w:hyperlink r:id="rId21" w:history="1">
        <w:r w:rsidRPr="005C6B49">
          <w:rPr>
            <w:rFonts w:ascii="Times New Roman" w:eastAsia="Times New Roman" w:hAnsi="Times New Roman" w:cs="Times New Roman"/>
            <w:color w:val="0000FF"/>
            <w:sz w:val="24"/>
            <w:szCs w:val="24"/>
            <w:u w:val="single"/>
            <w:lang w:val="en-US" w:eastAsia="en-US"/>
          </w:rPr>
          <w:t>https://doi.org/10.22271/fish.2024.v12.i1a.2893</w:t>
        </w:r>
      </w:hyperlink>
    </w:p>
    <w:p w14:paraId="269192CD"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proofErr w:type="spellStart"/>
      <w:r w:rsidRPr="005C6B49">
        <w:rPr>
          <w:rFonts w:ascii="Times New Roman" w:eastAsia="Times New Roman" w:hAnsi="Times New Roman" w:cs="Times New Roman"/>
          <w:sz w:val="24"/>
          <w:szCs w:val="24"/>
          <w:lang w:val="en-US" w:eastAsia="en-US"/>
        </w:rPr>
        <w:t>Deore</w:t>
      </w:r>
      <w:proofErr w:type="spellEnd"/>
      <w:r w:rsidRPr="005C6B49">
        <w:rPr>
          <w:rFonts w:ascii="Times New Roman" w:eastAsia="Times New Roman" w:hAnsi="Times New Roman" w:cs="Times New Roman"/>
          <w:sz w:val="24"/>
          <w:szCs w:val="24"/>
          <w:lang w:val="en-US" w:eastAsia="en-US"/>
        </w:rPr>
        <w:t xml:space="preserve">, S. V., &amp; Wagh, S. B. (2012). Heavy metal induced histopathological alterations in liver of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(Ham.). </w:t>
      </w:r>
      <w:r w:rsidRPr="005C6B49">
        <w:rPr>
          <w:rFonts w:ascii="Times New Roman" w:eastAsia="Times New Roman" w:hAnsi="Times New Roman" w:cs="Times New Roman"/>
          <w:i/>
          <w:iCs/>
          <w:sz w:val="24"/>
          <w:szCs w:val="24"/>
          <w:lang w:val="en-US" w:eastAsia="en-US"/>
        </w:rPr>
        <w:t>Journal of Experimental Sciences, 3</w:t>
      </w:r>
      <w:r w:rsidRPr="005C6B49">
        <w:rPr>
          <w:rFonts w:ascii="Times New Roman" w:eastAsia="Times New Roman" w:hAnsi="Times New Roman" w:cs="Times New Roman"/>
          <w:sz w:val="24"/>
          <w:szCs w:val="24"/>
          <w:lang w:val="en-US" w:eastAsia="en-US"/>
        </w:rPr>
        <w:t xml:space="preserve">(3), 35–38. </w:t>
      </w:r>
      <w:hyperlink r:id="rId22" w:history="1">
        <w:r w:rsidRPr="005C6B49">
          <w:rPr>
            <w:rFonts w:ascii="Times New Roman" w:eastAsia="Times New Roman" w:hAnsi="Times New Roman" w:cs="Times New Roman"/>
            <w:color w:val="0000FF"/>
            <w:sz w:val="24"/>
            <w:szCs w:val="24"/>
            <w:u w:val="single"/>
            <w:lang w:val="en-US" w:eastAsia="en-US"/>
          </w:rPr>
          <w:t>https://updatepublishing.com/journal/index.php/jes/article/download/2840/2808/3200</w:t>
        </w:r>
      </w:hyperlink>
    </w:p>
    <w:p w14:paraId="39B993C5"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Dhara, K., Saha, S., Mukherjee, D., &amp; Saha, N. C. (2021). Comparative acute toxicity of mercury to air breathing fish,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(Ham.) and non-air breathing fish </w:t>
      </w:r>
      <w:r w:rsidRPr="005C6B49">
        <w:rPr>
          <w:rFonts w:ascii="Times New Roman" w:eastAsia="Times New Roman" w:hAnsi="Times New Roman" w:cs="Times New Roman"/>
          <w:i/>
          <w:iCs/>
          <w:sz w:val="24"/>
          <w:szCs w:val="24"/>
          <w:lang w:val="en-US" w:eastAsia="en-US"/>
        </w:rPr>
        <w:t>Cyprinus carpio</w:t>
      </w:r>
      <w:r w:rsidRPr="005C6B49">
        <w:rPr>
          <w:rFonts w:ascii="Times New Roman" w:eastAsia="Times New Roman" w:hAnsi="Times New Roman" w:cs="Times New Roman"/>
          <w:sz w:val="24"/>
          <w:szCs w:val="24"/>
          <w:lang w:val="en-US" w:eastAsia="en-US"/>
        </w:rPr>
        <w:t xml:space="preserve"> (Linn.): Ethological and </w:t>
      </w:r>
      <w:proofErr w:type="spellStart"/>
      <w:r w:rsidRPr="005C6B49">
        <w:rPr>
          <w:rFonts w:ascii="Times New Roman" w:eastAsia="Times New Roman" w:hAnsi="Times New Roman" w:cs="Times New Roman"/>
          <w:sz w:val="24"/>
          <w:szCs w:val="24"/>
          <w:lang w:val="en-US" w:eastAsia="en-US"/>
        </w:rPr>
        <w:t>haematological</w:t>
      </w:r>
      <w:proofErr w:type="spellEnd"/>
      <w:r w:rsidRPr="005C6B49">
        <w:rPr>
          <w:rFonts w:ascii="Times New Roman" w:eastAsia="Times New Roman" w:hAnsi="Times New Roman" w:cs="Times New Roman"/>
          <w:sz w:val="24"/>
          <w:szCs w:val="24"/>
          <w:lang w:val="en-US" w:eastAsia="en-US"/>
        </w:rPr>
        <w:t xml:space="preserve"> consideration. </w:t>
      </w:r>
      <w:r w:rsidRPr="005C6B49">
        <w:rPr>
          <w:rFonts w:ascii="Times New Roman" w:eastAsia="Times New Roman" w:hAnsi="Times New Roman" w:cs="Times New Roman"/>
          <w:i/>
          <w:iCs/>
          <w:sz w:val="24"/>
          <w:szCs w:val="24"/>
          <w:lang w:val="en-US" w:eastAsia="en-US"/>
        </w:rPr>
        <w:t>Indian Journal of Ecology, 48</w:t>
      </w:r>
      <w:r w:rsidRPr="005C6B49">
        <w:rPr>
          <w:rFonts w:ascii="Times New Roman" w:eastAsia="Times New Roman" w:hAnsi="Times New Roman" w:cs="Times New Roman"/>
          <w:sz w:val="24"/>
          <w:szCs w:val="24"/>
          <w:lang w:val="en-US" w:eastAsia="en-US"/>
        </w:rPr>
        <w:t xml:space="preserve">(5), 1243–1253. </w:t>
      </w:r>
      <w:hyperlink r:id="rId23" w:history="1">
        <w:r w:rsidRPr="005C6B49">
          <w:rPr>
            <w:rFonts w:ascii="Times New Roman" w:eastAsia="Times New Roman" w:hAnsi="Times New Roman" w:cs="Times New Roman"/>
            <w:color w:val="0000FF"/>
            <w:sz w:val="24"/>
            <w:szCs w:val="24"/>
            <w:u w:val="single"/>
            <w:lang w:val="en-US" w:eastAsia="en-US"/>
          </w:rPr>
          <w:t>https://indianecologicalsociety.com/indian-journal-ecology/?issue=Issue+5&amp;volume=Volume+48&amp;yr=2021</w:t>
        </w:r>
      </w:hyperlink>
    </w:p>
    <w:p w14:paraId="1F66C97B"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Eissa, B. L., Ossana, N. A., Ferrari, L., &amp; </w:t>
      </w:r>
      <w:proofErr w:type="spellStart"/>
      <w:r w:rsidRPr="005C6B49">
        <w:rPr>
          <w:rFonts w:ascii="Times New Roman" w:eastAsia="Times New Roman" w:hAnsi="Times New Roman" w:cs="Times New Roman"/>
          <w:sz w:val="24"/>
          <w:szCs w:val="24"/>
          <w:lang w:val="en-US" w:eastAsia="en-US"/>
        </w:rPr>
        <w:t>Salibián</w:t>
      </w:r>
      <w:proofErr w:type="spellEnd"/>
      <w:r w:rsidRPr="005C6B49">
        <w:rPr>
          <w:rFonts w:ascii="Times New Roman" w:eastAsia="Times New Roman" w:hAnsi="Times New Roman" w:cs="Times New Roman"/>
          <w:sz w:val="24"/>
          <w:szCs w:val="24"/>
          <w:lang w:val="en-US" w:eastAsia="en-US"/>
        </w:rPr>
        <w:t xml:space="preserve">, A. (2010). Quantitative behavioral parameters as toxicity biomarkers: Fish responses to waterborne cadmium. </w:t>
      </w:r>
      <w:r w:rsidRPr="005C6B49">
        <w:rPr>
          <w:rFonts w:ascii="Times New Roman" w:eastAsia="Times New Roman" w:hAnsi="Times New Roman" w:cs="Times New Roman"/>
          <w:i/>
          <w:iCs/>
          <w:sz w:val="24"/>
          <w:szCs w:val="24"/>
          <w:lang w:val="en-US" w:eastAsia="en-US"/>
        </w:rPr>
        <w:t>Archives of Environmental Contamination and Toxicology, 58</w:t>
      </w:r>
      <w:r w:rsidRPr="005C6B49">
        <w:rPr>
          <w:rFonts w:ascii="Times New Roman" w:eastAsia="Times New Roman" w:hAnsi="Times New Roman" w:cs="Times New Roman"/>
          <w:sz w:val="24"/>
          <w:szCs w:val="24"/>
          <w:lang w:val="en-US" w:eastAsia="en-US"/>
        </w:rPr>
        <w:t xml:space="preserve">, 1032–1039. </w:t>
      </w:r>
      <w:hyperlink r:id="rId24" w:history="1">
        <w:r w:rsidRPr="005C6B49">
          <w:rPr>
            <w:rFonts w:ascii="Times New Roman" w:eastAsia="Times New Roman" w:hAnsi="Times New Roman" w:cs="Times New Roman"/>
            <w:color w:val="0000FF"/>
            <w:sz w:val="24"/>
            <w:szCs w:val="24"/>
            <w:u w:val="single"/>
            <w:lang w:val="en-US" w:eastAsia="en-US"/>
          </w:rPr>
          <w:t>https://doi.org/10.1007/s00244-009-9434-4</w:t>
        </w:r>
      </w:hyperlink>
    </w:p>
    <w:p w14:paraId="454C3027"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Ferro, J. P., Ferrari, L., &amp; Eissa, B. L. (2021). Acute toxicity of cadmium to freshwater fishes and its relationship with body size and respiratory strategy. </w:t>
      </w:r>
      <w:r w:rsidRPr="005C6B49">
        <w:rPr>
          <w:rFonts w:ascii="Times New Roman" w:eastAsia="Times New Roman" w:hAnsi="Times New Roman" w:cs="Times New Roman"/>
          <w:i/>
          <w:iCs/>
          <w:sz w:val="24"/>
          <w:szCs w:val="24"/>
          <w:lang w:val="en-US" w:eastAsia="en-US"/>
        </w:rPr>
        <w:t>Comparative Biochemistry and Physiology Part C: Toxicology &amp; Pharmacology, 248</w:t>
      </w:r>
      <w:r w:rsidRPr="005C6B49">
        <w:rPr>
          <w:rFonts w:ascii="Times New Roman" w:eastAsia="Times New Roman" w:hAnsi="Times New Roman" w:cs="Times New Roman"/>
          <w:sz w:val="24"/>
          <w:szCs w:val="24"/>
          <w:lang w:val="en-US" w:eastAsia="en-US"/>
        </w:rPr>
        <w:t xml:space="preserve">, 109109. </w:t>
      </w:r>
      <w:hyperlink r:id="rId25" w:history="1">
        <w:r w:rsidRPr="005C6B49">
          <w:rPr>
            <w:rFonts w:ascii="Times New Roman" w:eastAsia="Times New Roman" w:hAnsi="Times New Roman" w:cs="Times New Roman"/>
            <w:color w:val="0000FF"/>
            <w:sz w:val="24"/>
            <w:szCs w:val="24"/>
            <w:u w:val="single"/>
            <w:lang w:val="en-US" w:eastAsia="en-US"/>
          </w:rPr>
          <w:t>https://doi.org/10.1016/j.cbpc.2021.109109</w:t>
        </w:r>
      </w:hyperlink>
    </w:p>
    <w:p w14:paraId="16E0120D" w14:textId="1CFFA7B2"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Finney, D. J. (1971). </w:t>
      </w:r>
      <w:r w:rsidRPr="005C6B49">
        <w:rPr>
          <w:rFonts w:ascii="Times New Roman" w:eastAsia="Times New Roman" w:hAnsi="Times New Roman" w:cs="Times New Roman"/>
          <w:i/>
          <w:iCs/>
          <w:sz w:val="24"/>
          <w:szCs w:val="24"/>
          <w:lang w:val="en-US" w:eastAsia="en-US"/>
        </w:rPr>
        <w:t>Probit analysis</w:t>
      </w:r>
      <w:r w:rsidRPr="005C6B49">
        <w:rPr>
          <w:rFonts w:ascii="Times New Roman" w:eastAsia="Times New Roman" w:hAnsi="Times New Roman" w:cs="Times New Roman"/>
          <w:sz w:val="24"/>
          <w:szCs w:val="24"/>
          <w:lang w:val="en-US" w:eastAsia="en-US"/>
        </w:rPr>
        <w:t xml:space="preserve"> (3rd ed.). Cambridge University Press. </w:t>
      </w:r>
    </w:p>
    <w:p w14:paraId="2D2133F2"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Froese, R., &amp; Pauly, D. (Eds.). (2019).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w:t>
      </w:r>
      <w:proofErr w:type="spellStart"/>
      <w:r w:rsidRPr="005C6B49">
        <w:rPr>
          <w:rFonts w:ascii="Times New Roman" w:eastAsia="Times New Roman" w:hAnsi="Times New Roman" w:cs="Times New Roman"/>
          <w:sz w:val="24"/>
          <w:szCs w:val="24"/>
          <w:lang w:val="en-US" w:eastAsia="en-US"/>
        </w:rPr>
        <w:t>FishBase</w:t>
      </w:r>
      <w:proofErr w:type="spellEnd"/>
      <w:r w:rsidRPr="005C6B49">
        <w:rPr>
          <w:rFonts w:ascii="Times New Roman" w:eastAsia="Times New Roman" w:hAnsi="Times New Roman" w:cs="Times New Roman"/>
          <w:sz w:val="24"/>
          <w:szCs w:val="24"/>
          <w:lang w:val="en-US" w:eastAsia="en-US"/>
        </w:rPr>
        <w:t xml:space="preserve">. </w:t>
      </w:r>
      <w:hyperlink r:id="rId26" w:history="1">
        <w:r w:rsidRPr="005C6B49">
          <w:rPr>
            <w:rFonts w:ascii="Times New Roman" w:eastAsia="Times New Roman" w:hAnsi="Times New Roman" w:cs="Times New Roman"/>
            <w:color w:val="0000FF"/>
            <w:sz w:val="24"/>
            <w:szCs w:val="24"/>
            <w:u w:val="single"/>
            <w:lang w:val="en-US" w:eastAsia="en-US"/>
          </w:rPr>
          <w:t>https://www.fishbase.se/summary/Channa-gachua.html</w:t>
        </w:r>
      </w:hyperlink>
    </w:p>
    <w:p w14:paraId="6DD29FBB"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proofErr w:type="spellStart"/>
      <w:r w:rsidRPr="005C6B49">
        <w:rPr>
          <w:rFonts w:ascii="Times New Roman" w:eastAsia="Times New Roman" w:hAnsi="Times New Roman" w:cs="Times New Roman"/>
          <w:sz w:val="24"/>
          <w:szCs w:val="24"/>
          <w:lang w:val="en-US" w:eastAsia="en-US"/>
        </w:rPr>
        <w:t>Galiba</w:t>
      </w:r>
      <w:proofErr w:type="spellEnd"/>
      <w:r w:rsidRPr="005C6B49">
        <w:rPr>
          <w:rFonts w:ascii="Times New Roman" w:eastAsia="Times New Roman" w:hAnsi="Times New Roman" w:cs="Times New Roman"/>
          <w:sz w:val="24"/>
          <w:szCs w:val="24"/>
          <w:lang w:val="en-US" w:eastAsia="en-US"/>
        </w:rPr>
        <w:t xml:space="preserve">, A., </w:t>
      </w:r>
      <w:proofErr w:type="spellStart"/>
      <w:r w:rsidRPr="005C6B49">
        <w:rPr>
          <w:rFonts w:ascii="Times New Roman" w:eastAsia="Times New Roman" w:hAnsi="Times New Roman" w:cs="Times New Roman"/>
          <w:sz w:val="24"/>
          <w:szCs w:val="24"/>
          <w:lang w:val="en-US" w:eastAsia="en-US"/>
        </w:rPr>
        <w:t>Eshik</w:t>
      </w:r>
      <w:proofErr w:type="spellEnd"/>
      <w:r w:rsidRPr="005C6B49">
        <w:rPr>
          <w:rFonts w:ascii="Times New Roman" w:eastAsia="Times New Roman" w:hAnsi="Times New Roman" w:cs="Times New Roman"/>
          <w:sz w:val="24"/>
          <w:szCs w:val="24"/>
          <w:lang w:val="en-US" w:eastAsia="en-US"/>
        </w:rPr>
        <w:t xml:space="preserve">, M. M. E., &amp; Rahman, M. S. (2024). Toxic effects of cadmium chloride on behavior and histopathology of butter catfish </w:t>
      </w:r>
      <w:proofErr w:type="spellStart"/>
      <w:r w:rsidRPr="005C6B49">
        <w:rPr>
          <w:rFonts w:ascii="Times New Roman" w:eastAsia="Times New Roman" w:hAnsi="Times New Roman" w:cs="Times New Roman"/>
          <w:i/>
          <w:iCs/>
          <w:sz w:val="24"/>
          <w:szCs w:val="24"/>
          <w:lang w:val="en-US" w:eastAsia="en-US"/>
        </w:rPr>
        <w:t>Ompok</w:t>
      </w:r>
      <w:proofErr w:type="spellEnd"/>
      <w:r w:rsidRPr="005C6B49">
        <w:rPr>
          <w:rFonts w:ascii="Times New Roman" w:eastAsia="Times New Roman" w:hAnsi="Times New Roman" w:cs="Times New Roman"/>
          <w:i/>
          <w:iCs/>
          <w:sz w:val="24"/>
          <w:szCs w:val="24"/>
          <w:lang w:val="en-US" w:eastAsia="en-US"/>
        </w:rPr>
        <w:t xml:space="preserve"> </w:t>
      </w:r>
      <w:proofErr w:type="spellStart"/>
      <w:r w:rsidRPr="005C6B49">
        <w:rPr>
          <w:rFonts w:ascii="Times New Roman" w:eastAsia="Times New Roman" w:hAnsi="Times New Roman" w:cs="Times New Roman"/>
          <w:i/>
          <w:iCs/>
          <w:sz w:val="24"/>
          <w:szCs w:val="24"/>
          <w:lang w:val="en-US" w:eastAsia="en-US"/>
        </w:rPr>
        <w:t>pabda</w:t>
      </w:r>
      <w:proofErr w:type="spellEnd"/>
      <w:r w:rsidRPr="005C6B49">
        <w:rPr>
          <w:rFonts w:ascii="Times New Roman" w:eastAsia="Times New Roman" w:hAnsi="Times New Roman" w:cs="Times New Roman"/>
          <w:sz w:val="24"/>
          <w:szCs w:val="24"/>
          <w:lang w:val="en-US" w:eastAsia="en-US"/>
        </w:rPr>
        <w:t xml:space="preserve"> (Hamilton, 1822). </w:t>
      </w:r>
      <w:r w:rsidRPr="005C6B49">
        <w:rPr>
          <w:rFonts w:ascii="Times New Roman" w:eastAsia="Times New Roman" w:hAnsi="Times New Roman" w:cs="Times New Roman"/>
          <w:i/>
          <w:iCs/>
          <w:sz w:val="24"/>
          <w:szCs w:val="24"/>
          <w:lang w:val="en-US" w:eastAsia="en-US"/>
        </w:rPr>
        <w:t>Journal of Bangladesh Academy of Sciences, 48</w:t>
      </w:r>
      <w:r w:rsidRPr="005C6B49">
        <w:rPr>
          <w:rFonts w:ascii="Times New Roman" w:eastAsia="Times New Roman" w:hAnsi="Times New Roman" w:cs="Times New Roman"/>
          <w:sz w:val="24"/>
          <w:szCs w:val="24"/>
          <w:lang w:val="en-US" w:eastAsia="en-US"/>
        </w:rPr>
        <w:t xml:space="preserve">(2), 217–230. </w:t>
      </w:r>
      <w:hyperlink r:id="rId27" w:history="1">
        <w:r w:rsidRPr="005C6B49">
          <w:rPr>
            <w:rFonts w:ascii="Times New Roman" w:eastAsia="Times New Roman" w:hAnsi="Times New Roman" w:cs="Times New Roman"/>
            <w:color w:val="0000FF"/>
            <w:sz w:val="24"/>
            <w:szCs w:val="24"/>
            <w:u w:val="single"/>
            <w:lang w:val="en-US" w:eastAsia="en-US"/>
          </w:rPr>
          <w:t>https://doi.org/10.3329/jbas.v48i2.73000</w:t>
        </w:r>
      </w:hyperlink>
    </w:p>
    <w:p w14:paraId="4446BA73"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lastRenderedPageBreak/>
        <w:t xml:space="preserve">Garcia-Santos, S., </w:t>
      </w:r>
      <w:proofErr w:type="spellStart"/>
      <w:r w:rsidRPr="005C6B49">
        <w:rPr>
          <w:rFonts w:ascii="Times New Roman" w:eastAsia="Times New Roman" w:hAnsi="Times New Roman" w:cs="Times New Roman"/>
          <w:sz w:val="24"/>
          <w:szCs w:val="24"/>
          <w:lang w:val="en-US" w:eastAsia="en-US"/>
        </w:rPr>
        <w:t>Fontaínhas</w:t>
      </w:r>
      <w:proofErr w:type="spellEnd"/>
      <w:r w:rsidRPr="005C6B49">
        <w:rPr>
          <w:rFonts w:ascii="Times New Roman" w:eastAsia="Times New Roman" w:hAnsi="Times New Roman" w:cs="Times New Roman"/>
          <w:sz w:val="24"/>
          <w:szCs w:val="24"/>
          <w:lang w:val="en-US" w:eastAsia="en-US"/>
        </w:rPr>
        <w:t>-Fernandes, A., &amp; Wilson, J. M. (2006). Cadmium tolerance in the Nile tilapia (</w:t>
      </w:r>
      <w:r w:rsidRPr="005C6B49">
        <w:rPr>
          <w:rFonts w:ascii="Times New Roman" w:eastAsia="Times New Roman" w:hAnsi="Times New Roman" w:cs="Times New Roman"/>
          <w:i/>
          <w:iCs/>
          <w:sz w:val="24"/>
          <w:szCs w:val="24"/>
          <w:lang w:val="en-US" w:eastAsia="en-US"/>
        </w:rPr>
        <w:t>Oreochromis niloticus</w:t>
      </w:r>
      <w:r w:rsidRPr="005C6B49">
        <w:rPr>
          <w:rFonts w:ascii="Times New Roman" w:eastAsia="Times New Roman" w:hAnsi="Times New Roman" w:cs="Times New Roman"/>
          <w:sz w:val="24"/>
          <w:szCs w:val="24"/>
          <w:lang w:val="en-US" w:eastAsia="en-US"/>
        </w:rPr>
        <w:t xml:space="preserve">) following acute exposure: Assessment of some </w:t>
      </w:r>
      <w:proofErr w:type="spellStart"/>
      <w:r w:rsidRPr="005C6B49">
        <w:rPr>
          <w:rFonts w:ascii="Times New Roman" w:eastAsia="Times New Roman" w:hAnsi="Times New Roman" w:cs="Times New Roman"/>
          <w:sz w:val="24"/>
          <w:szCs w:val="24"/>
          <w:lang w:val="en-US" w:eastAsia="en-US"/>
        </w:rPr>
        <w:t>ionoregulatory</w:t>
      </w:r>
      <w:proofErr w:type="spellEnd"/>
      <w:r w:rsidRPr="005C6B49">
        <w:rPr>
          <w:rFonts w:ascii="Times New Roman" w:eastAsia="Times New Roman" w:hAnsi="Times New Roman" w:cs="Times New Roman"/>
          <w:sz w:val="24"/>
          <w:szCs w:val="24"/>
          <w:lang w:val="en-US" w:eastAsia="en-US"/>
        </w:rPr>
        <w:t xml:space="preserve"> parameters. </w:t>
      </w:r>
      <w:r w:rsidRPr="005C6B49">
        <w:rPr>
          <w:rFonts w:ascii="Times New Roman" w:eastAsia="Times New Roman" w:hAnsi="Times New Roman" w:cs="Times New Roman"/>
          <w:i/>
          <w:iCs/>
          <w:sz w:val="24"/>
          <w:szCs w:val="24"/>
          <w:lang w:val="en-US" w:eastAsia="en-US"/>
        </w:rPr>
        <w:t>Environmental Toxicology, 21</w:t>
      </w:r>
      <w:r w:rsidRPr="005C6B49">
        <w:rPr>
          <w:rFonts w:ascii="Times New Roman" w:eastAsia="Times New Roman" w:hAnsi="Times New Roman" w:cs="Times New Roman"/>
          <w:sz w:val="24"/>
          <w:szCs w:val="24"/>
          <w:lang w:val="en-US" w:eastAsia="en-US"/>
        </w:rPr>
        <w:t xml:space="preserve">(1), 33–46. </w:t>
      </w:r>
      <w:hyperlink r:id="rId28" w:history="1">
        <w:r w:rsidRPr="005C6B49">
          <w:rPr>
            <w:rFonts w:ascii="Times New Roman" w:eastAsia="Times New Roman" w:hAnsi="Times New Roman" w:cs="Times New Roman"/>
            <w:color w:val="0000FF"/>
            <w:sz w:val="24"/>
            <w:szCs w:val="24"/>
            <w:u w:val="single"/>
            <w:lang w:val="en-US" w:eastAsia="en-US"/>
          </w:rPr>
          <w:t>https://doi.org/10.1002/tox.20152</w:t>
        </w:r>
      </w:hyperlink>
    </w:p>
    <w:p w14:paraId="686BAECF"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Isiyaku, M. S., &amp; Mohammed, R. (2021). </w:t>
      </w:r>
      <w:proofErr w:type="spellStart"/>
      <w:r w:rsidRPr="005C6B49">
        <w:rPr>
          <w:rFonts w:ascii="Times New Roman" w:eastAsia="Times New Roman" w:hAnsi="Times New Roman" w:cs="Times New Roman"/>
          <w:sz w:val="24"/>
          <w:szCs w:val="24"/>
          <w:lang w:val="en-US" w:eastAsia="en-US"/>
        </w:rPr>
        <w:t>Haematological</w:t>
      </w:r>
      <w:proofErr w:type="spellEnd"/>
      <w:r w:rsidRPr="005C6B49">
        <w:rPr>
          <w:rFonts w:ascii="Times New Roman" w:eastAsia="Times New Roman" w:hAnsi="Times New Roman" w:cs="Times New Roman"/>
          <w:sz w:val="24"/>
          <w:szCs w:val="24"/>
          <w:lang w:val="en-US" w:eastAsia="en-US"/>
        </w:rPr>
        <w:t xml:space="preserve"> profile of </w:t>
      </w:r>
      <w:r w:rsidRPr="005C6B49">
        <w:rPr>
          <w:rFonts w:ascii="Times New Roman" w:eastAsia="Times New Roman" w:hAnsi="Times New Roman" w:cs="Times New Roman"/>
          <w:i/>
          <w:iCs/>
          <w:sz w:val="24"/>
          <w:szCs w:val="24"/>
          <w:lang w:val="en-US" w:eastAsia="en-US"/>
        </w:rPr>
        <w:t>Oreochromis niloticus</w:t>
      </w:r>
      <w:r w:rsidRPr="005C6B49">
        <w:rPr>
          <w:rFonts w:ascii="Times New Roman" w:eastAsia="Times New Roman" w:hAnsi="Times New Roman" w:cs="Times New Roman"/>
          <w:sz w:val="24"/>
          <w:szCs w:val="24"/>
          <w:lang w:val="en-US" w:eastAsia="en-US"/>
        </w:rPr>
        <w:t xml:space="preserve"> (Burchell, 1822) exposed to cadmium chloride. </w:t>
      </w:r>
      <w:r w:rsidRPr="005C6B49">
        <w:rPr>
          <w:rFonts w:ascii="Times New Roman" w:eastAsia="Times New Roman" w:hAnsi="Times New Roman" w:cs="Times New Roman"/>
          <w:i/>
          <w:iCs/>
          <w:sz w:val="24"/>
          <w:szCs w:val="24"/>
          <w:lang w:val="en-US" w:eastAsia="en-US"/>
        </w:rPr>
        <w:t>Asian Journal of Fisheries and Aquatic Research, 12</w:t>
      </w:r>
      <w:r w:rsidRPr="005C6B49">
        <w:rPr>
          <w:rFonts w:ascii="Times New Roman" w:eastAsia="Times New Roman" w:hAnsi="Times New Roman" w:cs="Times New Roman"/>
          <w:sz w:val="24"/>
          <w:szCs w:val="24"/>
          <w:lang w:val="en-US" w:eastAsia="en-US"/>
        </w:rPr>
        <w:t xml:space="preserve">(2), 40–47. </w:t>
      </w:r>
      <w:hyperlink r:id="rId29" w:history="1">
        <w:r w:rsidRPr="005C6B49">
          <w:rPr>
            <w:rFonts w:ascii="Times New Roman" w:eastAsia="Times New Roman" w:hAnsi="Times New Roman" w:cs="Times New Roman"/>
            <w:color w:val="0000FF"/>
            <w:sz w:val="24"/>
            <w:szCs w:val="24"/>
            <w:u w:val="single"/>
            <w:lang w:val="en-US" w:eastAsia="en-US"/>
          </w:rPr>
          <w:t>https://doi.org/10.9734/ajfar/2021/v12i230232</w:t>
        </w:r>
      </w:hyperlink>
    </w:p>
    <w:p w14:paraId="061E1DA9"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proofErr w:type="spellStart"/>
      <w:r w:rsidRPr="005C6B49">
        <w:rPr>
          <w:rFonts w:ascii="Times New Roman" w:eastAsia="Times New Roman" w:hAnsi="Times New Roman" w:cs="Times New Roman"/>
          <w:sz w:val="24"/>
          <w:szCs w:val="24"/>
          <w:lang w:val="en-US" w:eastAsia="en-US"/>
        </w:rPr>
        <w:t>Kawade</w:t>
      </w:r>
      <w:proofErr w:type="spellEnd"/>
      <w:r w:rsidRPr="005C6B49">
        <w:rPr>
          <w:rFonts w:ascii="Times New Roman" w:eastAsia="Times New Roman" w:hAnsi="Times New Roman" w:cs="Times New Roman"/>
          <w:sz w:val="24"/>
          <w:szCs w:val="24"/>
          <w:lang w:val="en-US" w:eastAsia="en-US"/>
        </w:rPr>
        <w:t xml:space="preserve">, S. (2020). Histopathological alterations in the liver of freshwater fish,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(Ham.) on acute exposure to nickel. </w:t>
      </w:r>
      <w:r w:rsidRPr="005C6B49">
        <w:rPr>
          <w:rFonts w:ascii="Times New Roman" w:eastAsia="Times New Roman" w:hAnsi="Times New Roman" w:cs="Times New Roman"/>
          <w:i/>
          <w:iCs/>
          <w:sz w:val="24"/>
          <w:szCs w:val="24"/>
          <w:lang w:val="en-US" w:eastAsia="en-US"/>
        </w:rPr>
        <w:t>Journal of Emerging Technologies and Innovative Research, 7</w:t>
      </w:r>
      <w:r w:rsidRPr="005C6B49">
        <w:rPr>
          <w:rFonts w:ascii="Times New Roman" w:eastAsia="Times New Roman" w:hAnsi="Times New Roman" w:cs="Times New Roman"/>
          <w:sz w:val="24"/>
          <w:szCs w:val="24"/>
          <w:lang w:val="en-US" w:eastAsia="en-US"/>
        </w:rPr>
        <w:t xml:space="preserve">, 1025–1030. </w:t>
      </w:r>
      <w:hyperlink r:id="rId30" w:history="1">
        <w:r w:rsidRPr="005C6B49">
          <w:rPr>
            <w:rFonts w:ascii="Times New Roman" w:eastAsia="Times New Roman" w:hAnsi="Times New Roman" w:cs="Times New Roman"/>
            <w:color w:val="0000FF"/>
            <w:sz w:val="24"/>
            <w:szCs w:val="24"/>
            <w:u w:val="single"/>
            <w:lang w:val="en-US" w:eastAsia="en-US"/>
          </w:rPr>
          <w:t>https://www.jetir.org/papers/JETIR2010137.pdf</w:t>
        </w:r>
      </w:hyperlink>
    </w:p>
    <w:p w14:paraId="4C64836F"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Kumar, R., </w:t>
      </w:r>
      <w:proofErr w:type="spellStart"/>
      <w:r w:rsidRPr="005C6B49">
        <w:rPr>
          <w:rFonts w:ascii="Times New Roman" w:eastAsia="Times New Roman" w:hAnsi="Times New Roman" w:cs="Times New Roman"/>
          <w:sz w:val="24"/>
          <w:szCs w:val="24"/>
          <w:lang w:val="en-US" w:eastAsia="en-US"/>
        </w:rPr>
        <w:t>Jaiswar</w:t>
      </w:r>
      <w:proofErr w:type="spellEnd"/>
      <w:r w:rsidRPr="005C6B49">
        <w:rPr>
          <w:rFonts w:ascii="Times New Roman" w:eastAsia="Times New Roman" w:hAnsi="Times New Roman" w:cs="Times New Roman"/>
          <w:sz w:val="24"/>
          <w:szCs w:val="24"/>
          <w:lang w:val="en-US" w:eastAsia="en-US"/>
        </w:rPr>
        <w:t xml:space="preserve">, A. K., Sharma, R., &amp; Prasad, L. (2020). Quantification of morphological variations among populations of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(Hamilton, 1822) from different geographical locations in India. </w:t>
      </w:r>
      <w:r w:rsidRPr="005C6B49">
        <w:rPr>
          <w:rFonts w:ascii="Times New Roman" w:eastAsia="Times New Roman" w:hAnsi="Times New Roman" w:cs="Times New Roman"/>
          <w:i/>
          <w:iCs/>
          <w:sz w:val="24"/>
          <w:szCs w:val="24"/>
          <w:lang w:val="en-US" w:eastAsia="en-US"/>
        </w:rPr>
        <w:t>Indian Journal of Fisheries, 67</w:t>
      </w:r>
      <w:r w:rsidRPr="005C6B49">
        <w:rPr>
          <w:rFonts w:ascii="Times New Roman" w:eastAsia="Times New Roman" w:hAnsi="Times New Roman" w:cs="Times New Roman"/>
          <w:sz w:val="24"/>
          <w:szCs w:val="24"/>
          <w:lang w:val="en-US" w:eastAsia="en-US"/>
        </w:rPr>
        <w:t xml:space="preserve">(2), 114–119. </w:t>
      </w:r>
      <w:hyperlink r:id="rId31" w:history="1">
        <w:r w:rsidRPr="005C6B49">
          <w:rPr>
            <w:rFonts w:ascii="Times New Roman" w:eastAsia="Times New Roman" w:hAnsi="Times New Roman" w:cs="Times New Roman"/>
            <w:color w:val="0000FF"/>
            <w:sz w:val="24"/>
            <w:szCs w:val="24"/>
            <w:u w:val="single"/>
            <w:lang w:val="en-US" w:eastAsia="en-US"/>
          </w:rPr>
          <w:t>https://doi.org/10.21077/ijf.2019.67.2.93891-16</w:t>
        </w:r>
      </w:hyperlink>
    </w:p>
    <w:p w14:paraId="47130527"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Kumari, S., &amp; Pandit, D. N. (2019). Histopathological changes in the liver of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(Bloch) exposed to biofertilizer. </w:t>
      </w:r>
      <w:r w:rsidRPr="005C6B49">
        <w:rPr>
          <w:rFonts w:ascii="Times New Roman" w:eastAsia="Times New Roman" w:hAnsi="Times New Roman" w:cs="Times New Roman"/>
          <w:i/>
          <w:iCs/>
          <w:sz w:val="24"/>
          <w:szCs w:val="24"/>
          <w:lang w:val="en-US" w:eastAsia="en-US"/>
        </w:rPr>
        <w:t>International Journal of Science and Research, 8</w:t>
      </w:r>
      <w:r w:rsidRPr="005C6B49">
        <w:rPr>
          <w:rFonts w:ascii="Times New Roman" w:eastAsia="Times New Roman" w:hAnsi="Times New Roman" w:cs="Times New Roman"/>
          <w:sz w:val="24"/>
          <w:szCs w:val="24"/>
          <w:lang w:val="en-US" w:eastAsia="en-US"/>
        </w:rPr>
        <w:t xml:space="preserve">(10), 22–25. </w:t>
      </w:r>
      <w:hyperlink r:id="rId32" w:history="1">
        <w:r w:rsidRPr="005C6B49">
          <w:rPr>
            <w:rFonts w:ascii="Times New Roman" w:eastAsia="Times New Roman" w:hAnsi="Times New Roman" w:cs="Times New Roman"/>
            <w:color w:val="0000FF"/>
            <w:sz w:val="24"/>
            <w:szCs w:val="24"/>
            <w:u w:val="single"/>
            <w:lang w:val="en-US" w:eastAsia="en-US"/>
          </w:rPr>
          <w:t>https://doi.org/10.21275/ART20201558</w:t>
        </w:r>
      </w:hyperlink>
    </w:p>
    <w:p w14:paraId="3FB97C1D"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Liu, Y., Chen, Q., Li, Y., Bi, L., Jin, L., &amp; Peng, R. (2022). Toxic effects of cadmium on fish. </w:t>
      </w:r>
      <w:r w:rsidRPr="005C6B49">
        <w:rPr>
          <w:rFonts w:ascii="Times New Roman" w:eastAsia="Times New Roman" w:hAnsi="Times New Roman" w:cs="Times New Roman"/>
          <w:i/>
          <w:iCs/>
          <w:sz w:val="24"/>
          <w:szCs w:val="24"/>
          <w:lang w:val="en-US" w:eastAsia="en-US"/>
        </w:rPr>
        <w:t>Toxics, 10</w:t>
      </w:r>
      <w:r w:rsidRPr="005C6B49">
        <w:rPr>
          <w:rFonts w:ascii="Times New Roman" w:eastAsia="Times New Roman" w:hAnsi="Times New Roman" w:cs="Times New Roman"/>
          <w:sz w:val="24"/>
          <w:szCs w:val="24"/>
          <w:lang w:val="en-US" w:eastAsia="en-US"/>
        </w:rPr>
        <w:t xml:space="preserve">(10), 622. </w:t>
      </w:r>
      <w:hyperlink r:id="rId33" w:history="1">
        <w:r w:rsidRPr="005C6B49">
          <w:rPr>
            <w:rFonts w:ascii="Times New Roman" w:eastAsia="Times New Roman" w:hAnsi="Times New Roman" w:cs="Times New Roman"/>
            <w:color w:val="0000FF"/>
            <w:sz w:val="24"/>
            <w:szCs w:val="24"/>
            <w:u w:val="single"/>
            <w:lang w:val="en-US" w:eastAsia="en-US"/>
          </w:rPr>
          <w:t>https://doi.org/10.3390/toxics10100622</w:t>
        </w:r>
      </w:hyperlink>
    </w:p>
    <w:p w14:paraId="49DB414C"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Mishra, A. K., &amp; Mohanty, B. (2008). Acute toxicity impacts of hexavalent chromium on behavior and histopathology of gill, kidney and liver of the freshwater fish, </w:t>
      </w:r>
      <w:r w:rsidRPr="005C6B49">
        <w:rPr>
          <w:rFonts w:ascii="Times New Roman" w:eastAsia="Times New Roman" w:hAnsi="Times New Roman" w:cs="Times New Roman"/>
          <w:i/>
          <w:iCs/>
          <w:sz w:val="24"/>
          <w:szCs w:val="24"/>
          <w:lang w:val="en-US" w:eastAsia="en-US"/>
        </w:rPr>
        <w:t>Channa punctatus</w:t>
      </w:r>
      <w:r w:rsidRPr="005C6B49">
        <w:rPr>
          <w:rFonts w:ascii="Times New Roman" w:eastAsia="Times New Roman" w:hAnsi="Times New Roman" w:cs="Times New Roman"/>
          <w:sz w:val="24"/>
          <w:szCs w:val="24"/>
          <w:lang w:val="en-US" w:eastAsia="en-US"/>
        </w:rPr>
        <w:t xml:space="preserve"> (Bloch). </w:t>
      </w:r>
      <w:r w:rsidRPr="005C6B49">
        <w:rPr>
          <w:rFonts w:ascii="Times New Roman" w:eastAsia="Times New Roman" w:hAnsi="Times New Roman" w:cs="Times New Roman"/>
          <w:i/>
          <w:iCs/>
          <w:sz w:val="24"/>
          <w:szCs w:val="24"/>
          <w:lang w:val="en-US" w:eastAsia="en-US"/>
        </w:rPr>
        <w:t>Environmental Toxicology and Pharmacology, 26</w:t>
      </w:r>
      <w:r w:rsidRPr="005C6B49">
        <w:rPr>
          <w:rFonts w:ascii="Times New Roman" w:eastAsia="Times New Roman" w:hAnsi="Times New Roman" w:cs="Times New Roman"/>
          <w:sz w:val="24"/>
          <w:szCs w:val="24"/>
          <w:lang w:val="en-US" w:eastAsia="en-US"/>
        </w:rPr>
        <w:t xml:space="preserve">(2), 136–141. </w:t>
      </w:r>
      <w:hyperlink r:id="rId34" w:history="1">
        <w:r w:rsidRPr="005C6B49">
          <w:rPr>
            <w:rFonts w:ascii="Times New Roman" w:eastAsia="Times New Roman" w:hAnsi="Times New Roman" w:cs="Times New Roman"/>
            <w:color w:val="0000FF"/>
            <w:sz w:val="24"/>
            <w:szCs w:val="24"/>
            <w:u w:val="single"/>
            <w:lang w:val="en-US" w:eastAsia="en-US"/>
          </w:rPr>
          <w:t>https://doi.org/10.1016/j.etap.2008.02.010</w:t>
        </w:r>
      </w:hyperlink>
    </w:p>
    <w:p w14:paraId="7B64D580"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Muslim, M., &amp; Syaifudin, M. (2012). </w:t>
      </w:r>
      <w:proofErr w:type="spellStart"/>
      <w:r w:rsidRPr="005C6B49">
        <w:rPr>
          <w:rFonts w:ascii="Times New Roman" w:eastAsia="Times New Roman" w:hAnsi="Times New Roman" w:cs="Times New Roman"/>
          <w:sz w:val="24"/>
          <w:szCs w:val="24"/>
          <w:lang w:val="en-US" w:eastAsia="en-US"/>
        </w:rPr>
        <w:t>Pemeliharaan</w:t>
      </w:r>
      <w:proofErr w:type="spellEnd"/>
      <w:r w:rsidRPr="005C6B49">
        <w:rPr>
          <w:rFonts w:ascii="Times New Roman" w:eastAsia="Times New Roman" w:hAnsi="Times New Roman" w:cs="Times New Roman"/>
          <w:sz w:val="24"/>
          <w:szCs w:val="24"/>
          <w:lang w:val="en-US" w:eastAsia="en-US"/>
        </w:rPr>
        <w:t xml:space="preserve"> </w:t>
      </w:r>
      <w:proofErr w:type="spellStart"/>
      <w:r w:rsidRPr="005C6B49">
        <w:rPr>
          <w:rFonts w:ascii="Times New Roman" w:eastAsia="Times New Roman" w:hAnsi="Times New Roman" w:cs="Times New Roman"/>
          <w:sz w:val="24"/>
          <w:szCs w:val="24"/>
          <w:lang w:val="en-US" w:eastAsia="en-US"/>
        </w:rPr>
        <w:t>benih</w:t>
      </w:r>
      <w:proofErr w:type="spellEnd"/>
      <w:r w:rsidRPr="005C6B49">
        <w:rPr>
          <w:rFonts w:ascii="Times New Roman" w:eastAsia="Times New Roman" w:hAnsi="Times New Roman" w:cs="Times New Roman"/>
          <w:sz w:val="24"/>
          <w:szCs w:val="24"/>
          <w:lang w:val="en-US" w:eastAsia="en-US"/>
        </w:rPr>
        <w:t xml:space="preserve"> ikan </w:t>
      </w:r>
      <w:proofErr w:type="spellStart"/>
      <w:r w:rsidRPr="005C6B49">
        <w:rPr>
          <w:rFonts w:ascii="Times New Roman" w:eastAsia="Times New Roman" w:hAnsi="Times New Roman" w:cs="Times New Roman"/>
          <w:sz w:val="24"/>
          <w:szCs w:val="24"/>
          <w:lang w:val="en-US" w:eastAsia="en-US"/>
        </w:rPr>
        <w:t>gabus</w:t>
      </w:r>
      <w:proofErr w:type="spellEnd"/>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Channa striata</w:t>
      </w:r>
      <w:r w:rsidRPr="005C6B49">
        <w:rPr>
          <w:rFonts w:ascii="Times New Roman" w:eastAsia="Times New Roman" w:hAnsi="Times New Roman" w:cs="Times New Roman"/>
          <w:sz w:val="24"/>
          <w:szCs w:val="24"/>
          <w:lang w:val="en-US" w:eastAsia="en-US"/>
        </w:rPr>
        <w:t xml:space="preserve">) pada media </w:t>
      </w:r>
      <w:proofErr w:type="spellStart"/>
      <w:r w:rsidRPr="005C6B49">
        <w:rPr>
          <w:rFonts w:ascii="Times New Roman" w:eastAsia="Times New Roman" w:hAnsi="Times New Roman" w:cs="Times New Roman"/>
          <w:sz w:val="24"/>
          <w:szCs w:val="24"/>
          <w:lang w:val="en-US" w:eastAsia="en-US"/>
        </w:rPr>
        <w:t>budidaya</w:t>
      </w:r>
      <w:proofErr w:type="spellEnd"/>
      <w:r w:rsidRPr="005C6B49">
        <w:rPr>
          <w:rFonts w:ascii="Times New Roman" w:eastAsia="Times New Roman" w:hAnsi="Times New Roman" w:cs="Times New Roman"/>
          <w:sz w:val="24"/>
          <w:szCs w:val="24"/>
          <w:lang w:val="en-US" w:eastAsia="en-US"/>
        </w:rPr>
        <w:t xml:space="preserve"> (waring) </w:t>
      </w:r>
      <w:proofErr w:type="spellStart"/>
      <w:r w:rsidRPr="005C6B49">
        <w:rPr>
          <w:rFonts w:ascii="Times New Roman" w:eastAsia="Times New Roman" w:hAnsi="Times New Roman" w:cs="Times New Roman"/>
          <w:sz w:val="24"/>
          <w:szCs w:val="24"/>
          <w:lang w:val="en-US" w:eastAsia="en-US"/>
        </w:rPr>
        <w:t>dalam</w:t>
      </w:r>
      <w:proofErr w:type="spellEnd"/>
      <w:r w:rsidRPr="005C6B49">
        <w:rPr>
          <w:rFonts w:ascii="Times New Roman" w:eastAsia="Times New Roman" w:hAnsi="Times New Roman" w:cs="Times New Roman"/>
          <w:sz w:val="24"/>
          <w:szCs w:val="24"/>
          <w:lang w:val="en-US" w:eastAsia="en-US"/>
        </w:rPr>
        <w:t xml:space="preserve"> </w:t>
      </w:r>
      <w:proofErr w:type="spellStart"/>
      <w:r w:rsidRPr="005C6B49">
        <w:rPr>
          <w:rFonts w:ascii="Times New Roman" w:eastAsia="Times New Roman" w:hAnsi="Times New Roman" w:cs="Times New Roman"/>
          <w:sz w:val="24"/>
          <w:szCs w:val="24"/>
          <w:lang w:val="en-US" w:eastAsia="en-US"/>
        </w:rPr>
        <w:t>rangka</w:t>
      </w:r>
      <w:proofErr w:type="spellEnd"/>
      <w:r w:rsidRPr="005C6B49">
        <w:rPr>
          <w:rFonts w:ascii="Times New Roman" w:eastAsia="Times New Roman" w:hAnsi="Times New Roman" w:cs="Times New Roman"/>
          <w:sz w:val="24"/>
          <w:szCs w:val="24"/>
          <w:lang w:val="en-US" w:eastAsia="en-US"/>
        </w:rPr>
        <w:t xml:space="preserve"> </w:t>
      </w:r>
      <w:proofErr w:type="spellStart"/>
      <w:r w:rsidRPr="005C6B49">
        <w:rPr>
          <w:rFonts w:ascii="Times New Roman" w:eastAsia="Times New Roman" w:hAnsi="Times New Roman" w:cs="Times New Roman"/>
          <w:sz w:val="24"/>
          <w:szCs w:val="24"/>
          <w:lang w:val="en-US" w:eastAsia="en-US"/>
        </w:rPr>
        <w:t>domestikasi</w:t>
      </w:r>
      <w:proofErr w:type="spellEnd"/>
      <w:r w:rsidRPr="005C6B49">
        <w:rPr>
          <w:rFonts w:ascii="Times New Roman" w:eastAsia="Times New Roman" w:hAnsi="Times New Roman" w:cs="Times New Roman"/>
          <w:sz w:val="24"/>
          <w:szCs w:val="24"/>
          <w:lang w:val="en-US" w:eastAsia="en-US"/>
        </w:rPr>
        <w:t xml:space="preserve">. In </w:t>
      </w:r>
      <w:proofErr w:type="spellStart"/>
      <w:r w:rsidRPr="005C6B49">
        <w:rPr>
          <w:rFonts w:ascii="Times New Roman" w:eastAsia="Times New Roman" w:hAnsi="Times New Roman" w:cs="Times New Roman"/>
          <w:i/>
          <w:iCs/>
          <w:sz w:val="24"/>
          <w:szCs w:val="24"/>
          <w:lang w:val="en-US" w:eastAsia="en-US"/>
        </w:rPr>
        <w:t>Prosiding</w:t>
      </w:r>
      <w:proofErr w:type="spellEnd"/>
      <w:r w:rsidRPr="005C6B49">
        <w:rPr>
          <w:rFonts w:ascii="Times New Roman" w:eastAsia="Times New Roman" w:hAnsi="Times New Roman" w:cs="Times New Roman"/>
          <w:i/>
          <w:iCs/>
          <w:sz w:val="24"/>
          <w:szCs w:val="24"/>
          <w:lang w:val="en-US" w:eastAsia="en-US"/>
        </w:rPr>
        <w:t xml:space="preserve"> Seminar Nasional </w:t>
      </w:r>
      <w:proofErr w:type="spellStart"/>
      <w:r w:rsidRPr="005C6B49">
        <w:rPr>
          <w:rFonts w:ascii="Times New Roman" w:eastAsia="Times New Roman" w:hAnsi="Times New Roman" w:cs="Times New Roman"/>
          <w:i/>
          <w:iCs/>
          <w:sz w:val="24"/>
          <w:szCs w:val="24"/>
          <w:lang w:val="en-US" w:eastAsia="en-US"/>
        </w:rPr>
        <w:t>Industrialisasi</w:t>
      </w:r>
      <w:proofErr w:type="spellEnd"/>
      <w:r w:rsidRPr="005C6B49">
        <w:rPr>
          <w:rFonts w:ascii="Times New Roman" w:eastAsia="Times New Roman" w:hAnsi="Times New Roman" w:cs="Times New Roman"/>
          <w:i/>
          <w:iCs/>
          <w:sz w:val="24"/>
          <w:szCs w:val="24"/>
          <w:lang w:val="en-US" w:eastAsia="en-US"/>
        </w:rPr>
        <w:t xml:space="preserve"> </w:t>
      </w:r>
      <w:proofErr w:type="spellStart"/>
      <w:r w:rsidRPr="005C6B49">
        <w:rPr>
          <w:rFonts w:ascii="Times New Roman" w:eastAsia="Times New Roman" w:hAnsi="Times New Roman" w:cs="Times New Roman"/>
          <w:i/>
          <w:iCs/>
          <w:sz w:val="24"/>
          <w:szCs w:val="24"/>
          <w:lang w:val="en-US" w:eastAsia="en-US"/>
        </w:rPr>
        <w:t>Perikanan</w:t>
      </w:r>
      <w:proofErr w:type="spellEnd"/>
      <w:r w:rsidRPr="005C6B49">
        <w:rPr>
          <w:rFonts w:ascii="Times New Roman" w:eastAsia="Times New Roman" w:hAnsi="Times New Roman" w:cs="Times New Roman"/>
          <w:i/>
          <w:iCs/>
          <w:sz w:val="24"/>
          <w:szCs w:val="24"/>
          <w:lang w:val="en-US" w:eastAsia="en-US"/>
        </w:rPr>
        <w:t xml:space="preserve"> dan </w:t>
      </w:r>
      <w:proofErr w:type="spellStart"/>
      <w:r w:rsidRPr="005C6B49">
        <w:rPr>
          <w:rFonts w:ascii="Times New Roman" w:eastAsia="Times New Roman" w:hAnsi="Times New Roman" w:cs="Times New Roman"/>
          <w:i/>
          <w:iCs/>
          <w:sz w:val="24"/>
          <w:szCs w:val="24"/>
          <w:lang w:val="en-US" w:eastAsia="en-US"/>
        </w:rPr>
        <w:t>Kelautan</w:t>
      </w:r>
      <w:proofErr w:type="spellEnd"/>
      <w:r w:rsidRPr="005C6B49">
        <w:rPr>
          <w:rFonts w:ascii="Times New Roman" w:eastAsia="Times New Roman" w:hAnsi="Times New Roman" w:cs="Times New Roman"/>
          <w:i/>
          <w:iCs/>
          <w:sz w:val="24"/>
          <w:szCs w:val="24"/>
          <w:lang w:val="en-US" w:eastAsia="en-US"/>
        </w:rPr>
        <w:t xml:space="preserve"> I, </w:t>
      </w:r>
      <w:proofErr w:type="spellStart"/>
      <w:r w:rsidRPr="005C6B49">
        <w:rPr>
          <w:rFonts w:ascii="Times New Roman" w:eastAsia="Times New Roman" w:hAnsi="Times New Roman" w:cs="Times New Roman"/>
          <w:i/>
          <w:iCs/>
          <w:sz w:val="24"/>
          <w:szCs w:val="24"/>
          <w:lang w:val="en-US" w:eastAsia="en-US"/>
        </w:rPr>
        <w:t>Pekanbaru</w:t>
      </w:r>
      <w:proofErr w:type="spellEnd"/>
      <w:r w:rsidRPr="005C6B49">
        <w:rPr>
          <w:rFonts w:ascii="Times New Roman" w:eastAsia="Times New Roman" w:hAnsi="Times New Roman" w:cs="Times New Roman"/>
          <w:i/>
          <w:iCs/>
          <w:sz w:val="24"/>
          <w:szCs w:val="24"/>
          <w:lang w:val="en-US" w:eastAsia="en-US"/>
        </w:rPr>
        <w:t>, 27–28 September 2012</w:t>
      </w:r>
      <w:r w:rsidRPr="005C6B49">
        <w:rPr>
          <w:rFonts w:ascii="Times New Roman" w:eastAsia="Times New Roman" w:hAnsi="Times New Roman" w:cs="Times New Roman"/>
          <w:sz w:val="24"/>
          <w:szCs w:val="24"/>
          <w:lang w:val="en-US" w:eastAsia="en-US"/>
        </w:rPr>
        <w:t xml:space="preserve"> (pp. 1–6). </w:t>
      </w:r>
      <w:proofErr w:type="spellStart"/>
      <w:r w:rsidRPr="005C6B49">
        <w:rPr>
          <w:rFonts w:ascii="Times New Roman" w:eastAsia="Times New Roman" w:hAnsi="Times New Roman" w:cs="Times New Roman"/>
          <w:sz w:val="24"/>
          <w:szCs w:val="24"/>
          <w:lang w:val="en-US" w:eastAsia="en-US"/>
        </w:rPr>
        <w:t>Fakultas</w:t>
      </w:r>
      <w:proofErr w:type="spellEnd"/>
      <w:r w:rsidRPr="005C6B49">
        <w:rPr>
          <w:rFonts w:ascii="Times New Roman" w:eastAsia="Times New Roman" w:hAnsi="Times New Roman" w:cs="Times New Roman"/>
          <w:sz w:val="24"/>
          <w:szCs w:val="24"/>
          <w:lang w:val="en-US" w:eastAsia="en-US"/>
        </w:rPr>
        <w:t xml:space="preserve"> </w:t>
      </w:r>
      <w:proofErr w:type="spellStart"/>
      <w:r w:rsidRPr="005C6B49">
        <w:rPr>
          <w:rFonts w:ascii="Times New Roman" w:eastAsia="Times New Roman" w:hAnsi="Times New Roman" w:cs="Times New Roman"/>
          <w:sz w:val="24"/>
          <w:szCs w:val="24"/>
          <w:lang w:val="en-US" w:eastAsia="en-US"/>
        </w:rPr>
        <w:t>Ilmu</w:t>
      </w:r>
      <w:proofErr w:type="spellEnd"/>
      <w:r w:rsidRPr="005C6B49">
        <w:rPr>
          <w:rFonts w:ascii="Times New Roman" w:eastAsia="Times New Roman" w:hAnsi="Times New Roman" w:cs="Times New Roman"/>
          <w:sz w:val="24"/>
          <w:szCs w:val="24"/>
          <w:lang w:val="en-US" w:eastAsia="en-US"/>
        </w:rPr>
        <w:t xml:space="preserve"> Perikanan dan </w:t>
      </w:r>
      <w:proofErr w:type="spellStart"/>
      <w:r w:rsidRPr="005C6B49">
        <w:rPr>
          <w:rFonts w:ascii="Times New Roman" w:eastAsia="Times New Roman" w:hAnsi="Times New Roman" w:cs="Times New Roman"/>
          <w:sz w:val="24"/>
          <w:szCs w:val="24"/>
          <w:lang w:val="en-US" w:eastAsia="en-US"/>
        </w:rPr>
        <w:t>Kelautan</w:t>
      </w:r>
      <w:proofErr w:type="spellEnd"/>
      <w:r w:rsidRPr="005C6B49">
        <w:rPr>
          <w:rFonts w:ascii="Times New Roman" w:eastAsia="Times New Roman" w:hAnsi="Times New Roman" w:cs="Times New Roman"/>
          <w:sz w:val="24"/>
          <w:szCs w:val="24"/>
          <w:lang w:val="en-US" w:eastAsia="en-US"/>
        </w:rPr>
        <w:t xml:space="preserve">, Universitas Riau. </w:t>
      </w:r>
      <w:hyperlink r:id="rId35" w:history="1">
        <w:r w:rsidRPr="005C6B49">
          <w:rPr>
            <w:rFonts w:ascii="Times New Roman" w:eastAsia="Times New Roman" w:hAnsi="Times New Roman" w:cs="Times New Roman"/>
            <w:color w:val="0000FF"/>
            <w:sz w:val="24"/>
            <w:szCs w:val="24"/>
            <w:u w:val="single"/>
            <w:lang w:val="en-US" w:eastAsia="en-US"/>
          </w:rPr>
          <w:t>https://repository.unsri.ac.id/30918/1/24.PEMELIHARAANBENIHIKANGABUSChannastriata.pdf</w:t>
        </w:r>
      </w:hyperlink>
    </w:p>
    <w:p w14:paraId="665F87FC" w14:textId="695FD873"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Ng, P. K. L., &amp; Lim, K. K. P. (1990). Snakeheads (Pisces: </w:t>
      </w:r>
      <w:proofErr w:type="spellStart"/>
      <w:r w:rsidRPr="005C6B49">
        <w:rPr>
          <w:rFonts w:ascii="Times New Roman" w:eastAsia="Times New Roman" w:hAnsi="Times New Roman" w:cs="Times New Roman"/>
          <w:sz w:val="24"/>
          <w:szCs w:val="24"/>
          <w:lang w:val="en-US" w:eastAsia="en-US"/>
        </w:rPr>
        <w:t>Channidae</w:t>
      </w:r>
      <w:proofErr w:type="spellEnd"/>
      <w:r w:rsidRPr="005C6B49">
        <w:rPr>
          <w:rFonts w:ascii="Times New Roman" w:eastAsia="Times New Roman" w:hAnsi="Times New Roman" w:cs="Times New Roman"/>
          <w:sz w:val="24"/>
          <w:szCs w:val="24"/>
          <w:lang w:val="en-US" w:eastAsia="en-US"/>
        </w:rPr>
        <w:t xml:space="preserve">): Natural history, biology and economic importance. In L. M. Chou &amp; P. K. L. Ng (Eds.), </w:t>
      </w:r>
      <w:r w:rsidRPr="005C6B49">
        <w:rPr>
          <w:rFonts w:ascii="Times New Roman" w:eastAsia="Times New Roman" w:hAnsi="Times New Roman" w:cs="Times New Roman"/>
          <w:i/>
          <w:iCs/>
          <w:sz w:val="24"/>
          <w:szCs w:val="24"/>
          <w:lang w:val="en-US" w:eastAsia="en-US"/>
        </w:rPr>
        <w:t>Essays in zoology: Papers commemorating the 40th anniversary of the Department of Zoology</w:t>
      </w:r>
      <w:r w:rsidRPr="005C6B49">
        <w:rPr>
          <w:rFonts w:ascii="Times New Roman" w:eastAsia="Times New Roman" w:hAnsi="Times New Roman" w:cs="Times New Roman"/>
          <w:sz w:val="24"/>
          <w:szCs w:val="24"/>
          <w:lang w:val="en-US" w:eastAsia="en-US"/>
        </w:rPr>
        <w:t xml:space="preserve"> (pp. 127–152). Department of Zoology, National University of Singapore. </w:t>
      </w:r>
    </w:p>
    <w:p w14:paraId="79F0AB61"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OECD. (2019). </w:t>
      </w:r>
      <w:r w:rsidRPr="005C6B49">
        <w:rPr>
          <w:rFonts w:ascii="Times New Roman" w:eastAsia="Times New Roman" w:hAnsi="Times New Roman" w:cs="Times New Roman"/>
          <w:i/>
          <w:iCs/>
          <w:sz w:val="24"/>
          <w:szCs w:val="24"/>
          <w:lang w:val="en-US" w:eastAsia="en-US"/>
        </w:rPr>
        <w:t>Test No. 203: Fish, acute toxicity test</w:t>
      </w:r>
      <w:r w:rsidRPr="005C6B49">
        <w:rPr>
          <w:rFonts w:ascii="Times New Roman" w:eastAsia="Times New Roman" w:hAnsi="Times New Roman" w:cs="Times New Roman"/>
          <w:sz w:val="24"/>
          <w:szCs w:val="24"/>
          <w:lang w:val="en-US" w:eastAsia="en-US"/>
        </w:rPr>
        <w:t xml:space="preserve"> (OECD Guidelines for the Testing of Chemicals, Section 2). OECD Publishing. </w:t>
      </w:r>
      <w:hyperlink r:id="rId36" w:history="1">
        <w:r w:rsidRPr="005C6B49">
          <w:rPr>
            <w:rFonts w:ascii="Times New Roman" w:eastAsia="Times New Roman" w:hAnsi="Times New Roman" w:cs="Times New Roman"/>
            <w:color w:val="0000FF"/>
            <w:sz w:val="24"/>
            <w:szCs w:val="24"/>
            <w:u w:val="single"/>
            <w:lang w:val="en-US" w:eastAsia="en-US"/>
          </w:rPr>
          <w:t>https://doi.org/10.1787/9789264069961-en</w:t>
        </w:r>
      </w:hyperlink>
    </w:p>
    <w:p w14:paraId="20EBAA77"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Olson, K. R., Roy, P. K., Ghosh, T. K., &amp; Munshi, J. S. D. (1994). Microcirculation of gills and accessory respiratory organs from the air-breathing snakehead fish, </w:t>
      </w:r>
      <w:r w:rsidRPr="005C6B49">
        <w:rPr>
          <w:rFonts w:ascii="Times New Roman" w:eastAsia="Times New Roman" w:hAnsi="Times New Roman" w:cs="Times New Roman"/>
          <w:i/>
          <w:iCs/>
          <w:sz w:val="24"/>
          <w:szCs w:val="24"/>
          <w:lang w:val="en-US" w:eastAsia="en-US"/>
        </w:rPr>
        <w:t>Channa punctata</w:t>
      </w:r>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 xml:space="preserve">C.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and </w:t>
      </w:r>
      <w:r w:rsidRPr="005C6B49">
        <w:rPr>
          <w:rFonts w:ascii="Times New Roman" w:eastAsia="Times New Roman" w:hAnsi="Times New Roman" w:cs="Times New Roman"/>
          <w:i/>
          <w:iCs/>
          <w:sz w:val="24"/>
          <w:szCs w:val="24"/>
          <w:lang w:val="en-US" w:eastAsia="en-US"/>
        </w:rPr>
        <w:t xml:space="preserve">C. </w:t>
      </w:r>
      <w:proofErr w:type="spellStart"/>
      <w:r w:rsidRPr="005C6B49">
        <w:rPr>
          <w:rFonts w:ascii="Times New Roman" w:eastAsia="Times New Roman" w:hAnsi="Times New Roman" w:cs="Times New Roman"/>
          <w:i/>
          <w:iCs/>
          <w:sz w:val="24"/>
          <w:szCs w:val="24"/>
          <w:lang w:val="en-US" w:eastAsia="en-US"/>
        </w:rPr>
        <w:t>marulius</w:t>
      </w:r>
      <w:proofErr w:type="spellEnd"/>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The Anatomical Record, 238</w:t>
      </w:r>
      <w:r w:rsidRPr="005C6B49">
        <w:rPr>
          <w:rFonts w:ascii="Times New Roman" w:eastAsia="Times New Roman" w:hAnsi="Times New Roman" w:cs="Times New Roman"/>
          <w:sz w:val="24"/>
          <w:szCs w:val="24"/>
          <w:lang w:val="en-US" w:eastAsia="en-US"/>
        </w:rPr>
        <w:t xml:space="preserve">(1), 92–107. </w:t>
      </w:r>
      <w:hyperlink r:id="rId37" w:history="1">
        <w:r w:rsidRPr="005C6B49">
          <w:rPr>
            <w:rFonts w:ascii="Times New Roman" w:eastAsia="Times New Roman" w:hAnsi="Times New Roman" w:cs="Times New Roman"/>
            <w:color w:val="0000FF"/>
            <w:sz w:val="24"/>
            <w:szCs w:val="24"/>
            <w:u w:val="single"/>
            <w:lang w:val="en-US" w:eastAsia="en-US"/>
          </w:rPr>
          <w:t>https://doi.org/10.1002/ar.1092380111</w:t>
        </w:r>
      </w:hyperlink>
    </w:p>
    <w:p w14:paraId="0BF76562"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Raj, V. M., Thirunavukkarasu, A. R., Kailasam, M., Subburaj, R., &amp; Thiagarajan, G. (2025). A study on cadmium accumulation in the fingerlings of Asian seabass </w:t>
      </w:r>
      <w:r w:rsidRPr="005C6B49">
        <w:rPr>
          <w:rFonts w:ascii="Times New Roman" w:eastAsia="Times New Roman" w:hAnsi="Times New Roman" w:cs="Times New Roman"/>
          <w:i/>
          <w:iCs/>
          <w:sz w:val="24"/>
          <w:szCs w:val="24"/>
          <w:lang w:val="en-US" w:eastAsia="en-US"/>
        </w:rPr>
        <w:t>Lates calcarifer</w:t>
      </w:r>
      <w:r w:rsidRPr="005C6B49">
        <w:rPr>
          <w:rFonts w:ascii="Times New Roman" w:eastAsia="Times New Roman" w:hAnsi="Times New Roman" w:cs="Times New Roman"/>
          <w:sz w:val="24"/>
          <w:szCs w:val="24"/>
          <w:lang w:val="en-US" w:eastAsia="en-US"/>
        </w:rPr>
        <w:t xml:space="preserve"> (Bloch). </w:t>
      </w:r>
      <w:r w:rsidRPr="005C6B49">
        <w:rPr>
          <w:rFonts w:ascii="Times New Roman" w:eastAsia="Times New Roman" w:hAnsi="Times New Roman" w:cs="Times New Roman"/>
          <w:i/>
          <w:iCs/>
          <w:sz w:val="24"/>
          <w:szCs w:val="24"/>
          <w:lang w:val="en-US" w:eastAsia="en-US"/>
        </w:rPr>
        <w:t>Asian Journal of Current Research, 10</w:t>
      </w:r>
      <w:r w:rsidRPr="005C6B49">
        <w:rPr>
          <w:rFonts w:ascii="Times New Roman" w:eastAsia="Times New Roman" w:hAnsi="Times New Roman" w:cs="Times New Roman"/>
          <w:sz w:val="24"/>
          <w:szCs w:val="24"/>
          <w:lang w:val="en-US" w:eastAsia="en-US"/>
        </w:rPr>
        <w:t xml:space="preserve">(3), 1–9. </w:t>
      </w:r>
      <w:hyperlink r:id="rId38" w:history="1">
        <w:r w:rsidRPr="005C6B49">
          <w:rPr>
            <w:rFonts w:ascii="Times New Roman" w:eastAsia="Times New Roman" w:hAnsi="Times New Roman" w:cs="Times New Roman"/>
            <w:color w:val="0000FF"/>
            <w:sz w:val="24"/>
            <w:szCs w:val="24"/>
            <w:u w:val="single"/>
            <w:lang w:val="en-US" w:eastAsia="en-US"/>
          </w:rPr>
          <w:t>https://doi.org/10.56557/ajocr/2025/v10i39422</w:t>
        </w:r>
      </w:hyperlink>
    </w:p>
    <w:p w14:paraId="2CF92563"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lastRenderedPageBreak/>
        <w:t xml:space="preserve">Saroj, K. S., &amp; Prasad, J. (2020). Diversity status of fishes in </w:t>
      </w:r>
      <w:proofErr w:type="spellStart"/>
      <w:r w:rsidRPr="005C6B49">
        <w:rPr>
          <w:rFonts w:ascii="Times New Roman" w:eastAsia="Times New Roman" w:hAnsi="Times New Roman" w:cs="Times New Roman"/>
          <w:sz w:val="24"/>
          <w:szCs w:val="24"/>
          <w:lang w:val="en-US" w:eastAsia="en-US"/>
        </w:rPr>
        <w:t>Mauns</w:t>
      </w:r>
      <w:proofErr w:type="spellEnd"/>
      <w:r w:rsidRPr="005C6B49">
        <w:rPr>
          <w:rFonts w:ascii="Times New Roman" w:eastAsia="Times New Roman" w:hAnsi="Times New Roman" w:cs="Times New Roman"/>
          <w:sz w:val="24"/>
          <w:szCs w:val="24"/>
          <w:lang w:val="en-US" w:eastAsia="en-US"/>
        </w:rPr>
        <w:t xml:space="preserve"> and </w:t>
      </w:r>
      <w:proofErr w:type="spellStart"/>
      <w:r w:rsidRPr="005C6B49">
        <w:rPr>
          <w:rFonts w:ascii="Times New Roman" w:eastAsia="Times New Roman" w:hAnsi="Times New Roman" w:cs="Times New Roman"/>
          <w:sz w:val="24"/>
          <w:szCs w:val="24"/>
          <w:lang w:val="en-US" w:eastAsia="en-US"/>
        </w:rPr>
        <w:t>Chaurs</w:t>
      </w:r>
      <w:proofErr w:type="spellEnd"/>
      <w:r w:rsidRPr="005C6B49">
        <w:rPr>
          <w:rFonts w:ascii="Times New Roman" w:eastAsia="Times New Roman" w:hAnsi="Times New Roman" w:cs="Times New Roman"/>
          <w:sz w:val="24"/>
          <w:szCs w:val="24"/>
          <w:lang w:val="en-US" w:eastAsia="en-US"/>
        </w:rPr>
        <w:t xml:space="preserve"> of </w:t>
      </w:r>
      <w:proofErr w:type="spellStart"/>
      <w:r w:rsidRPr="005C6B49">
        <w:rPr>
          <w:rFonts w:ascii="Times New Roman" w:eastAsia="Times New Roman" w:hAnsi="Times New Roman" w:cs="Times New Roman"/>
          <w:sz w:val="24"/>
          <w:szCs w:val="24"/>
          <w:lang w:val="en-US" w:eastAsia="en-US"/>
        </w:rPr>
        <w:t>Samastipur</w:t>
      </w:r>
      <w:proofErr w:type="spellEnd"/>
      <w:r w:rsidRPr="005C6B49">
        <w:rPr>
          <w:rFonts w:ascii="Times New Roman" w:eastAsia="Times New Roman" w:hAnsi="Times New Roman" w:cs="Times New Roman"/>
          <w:sz w:val="24"/>
          <w:szCs w:val="24"/>
          <w:lang w:val="en-US" w:eastAsia="en-US"/>
        </w:rPr>
        <w:t xml:space="preserve">, N. Bihar. </w:t>
      </w:r>
      <w:r w:rsidRPr="005C6B49">
        <w:rPr>
          <w:rFonts w:ascii="Times New Roman" w:eastAsia="Times New Roman" w:hAnsi="Times New Roman" w:cs="Times New Roman"/>
          <w:i/>
          <w:iCs/>
          <w:sz w:val="24"/>
          <w:szCs w:val="24"/>
          <w:lang w:val="en-US" w:eastAsia="en-US"/>
        </w:rPr>
        <w:t>Applied Ecology and Environmental Sciences, 8</w:t>
      </w:r>
      <w:r w:rsidRPr="005C6B49">
        <w:rPr>
          <w:rFonts w:ascii="Times New Roman" w:eastAsia="Times New Roman" w:hAnsi="Times New Roman" w:cs="Times New Roman"/>
          <w:sz w:val="24"/>
          <w:szCs w:val="24"/>
          <w:lang w:val="en-US" w:eastAsia="en-US"/>
        </w:rPr>
        <w:t xml:space="preserve">(1), 21–24. </w:t>
      </w:r>
      <w:hyperlink r:id="rId39" w:history="1">
        <w:r w:rsidRPr="005C6B49">
          <w:rPr>
            <w:rFonts w:ascii="Times New Roman" w:eastAsia="Times New Roman" w:hAnsi="Times New Roman" w:cs="Times New Roman"/>
            <w:color w:val="0000FF"/>
            <w:sz w:val="24"/>
            <w:szCs w:val="24"/>
            <w:u w:val="single"/>
            <w:lang w:val="en-US" w:eastAsia="en-US"/>
          </w:rPr>
          <w:t>https://doi.org/10.12691/aees-8-1-3</w:t>
        </w:r>
      </w:hyperlink>
    </w:p>
    <w:p w14:paraId="6D1C1710"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Saxena, V., Bakhasha, J., Arya, N., Singh, R., Singh, R., Khan, R., Singh, R., Trivedi, S. P., Kumar, M., Yadav, K. K., &amp; Trivedi, A. (2025). The cascade of cadmium toxicity: From cellular damage to pyroptotic responses in fish </w:t>
      </w:r>
      <w:r w:rsidRPr="005C6B49">
        <w:rPr>
          <w:rFonts w:ascii="Times New Roman" w:eastAsia="Times New Roman" w:hAnsi="Times New Roman" w:cs="Times New Roman"/>
          <w:i/>
          <w:iCs/>
          <w:sz w:val="24"/>
          <w:szCs w:val="24"/>
          <w:lang w:val="en-US" w:eastAsia="en-US"/>
        </w:rPr>
        <w:t>Channa punctatus</w:t>
      </w:r>
      <w:r w:rsidRPr="005C6B49">
        <w:rPr>
          <w:rFonts w:ascii="Times New Roman" w:eastAsia="Times New Roman" w:hAnsi="Times New Roman" w:cs="Times New Roman"/>
          <w:sz w:val="24"/>
          <w:szCs w:val="24"/>
          <w:lang w:val="en-US" w:eastAsia="en-US"/>
        </w:rPr>
        <w:t xml:space="preserve">. </w:t>
      </w:r>
      <w:r w:rsidRPr="005C6B49">
        <w:rPr>
          <w:rFonts w:ascii="Times New Roman" w:eastAsia="Times New Roman" w:hAnsi="Times New Roman" w:cs="Times New Roman"/>
          <w:i/>
          <w:iCs/>
          <w:sz w:val="24"/>
          <w:szCs w:val="24"/>
          <w:lang w:val="en-US" w:eastAsia="en-US"/>
        </w:rPr>
        <w:t>Fish Physiology and Biochemistry, 51</w:t>
      </w:r>
      <w:r w:rsidRPr="005C6B49">
        <w:rPr>
          <w:rFonts w:ascii="Times New Roman" w:eastAsia="Times New Roman" w:hAnsi="Times New Roman" w:cs="Times New Roman"/>
          <w:sz w:val="24"/>
          <w:szCs w:val="24"/>
          <w:lang w:val="en-US" w:eastAsia="en-US"/>
        </w:rPr>
        <w:t xml:space="preserve">, Article 26. </w:t>
      </w:r>
      <w:hyperlink r:id="rId40" w:history="1">
        <w:r w:rsidRPr="005C6B49">
          <w:rPr>
            <w:rFonts w:ascii="Times New Roman" w:eastAsia="Times New Roman" w:hAnsi="Times New Roman" w:cs="Times New Roman"/>
            <w:color w:val="0000FF"/>
            <w:sz w:val="24"/>
            <w:szCs w:val="24"/>
            <w:u w:val="single"/>
            <w:lang w:val="en-US" w:eastAsia="en-US"/>
          </w:rPr>
          <w:t>https://doi.org/10.1007/s10695-024-01434-2</w:t>
        </w:r>
      </w:hyperlink>
    </w:p>
    <w:p w14:paraId="69ADA151"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Sharma, N., Sarkar, U. K., </w:t>
      </w:r>
      <w:proofErr w:type="spellStart"/>
      <w:r w:rsidRPr="005C6B49">
        <w:rPr>
          <w:rFonts w:ascii="Times New Roman" w:eastAsia="Times New Roman" w:hAnsi="Times New Roman" w:cs="Times New Roman"/>
          <w:sz w:val="24"/>
          <w:szCs w:val="24"/>
          <w:lang w:val="en-US" w:eastAsia="en-US"/>
        </w:rPr>
        <w:t>Yengkokpam</w:t>
      </w:r>
      <w:proofErr w:type="spellEnd"/>
      <w:r w:rsidRPr="005C6B49">
        <w:rPr>
          <w:rFonts w:ascii="Times New Roman" w:eastAsia="Times New Roman" w:hAnsi="Times New Roman" w:cs="Times New Roman"/>
          <w:sz w:val="24"/>
          <w:szCs w:val="24"/>
          <w:lang w:val="en-US" w:eastAsia="en-US"/>
        </w:rPr>
        <w:t>, S., Bordoloi, D., Ray, B. C., &amp; Das, B. K. (2022). Exploring potentials of snakehead fishes (</w:t>
      </w:r>
      <w:proofErr w:type="spellStart"/>
      <w:r w:rsidRPr="005C6B49">
        <w:rPr>
          <w:rFonts w:ascii="Times New Roman" w:eastAsia="Times New Roman" w:hAnsi="Times New Roman" w:cs="Times New Roman"/>
          <w:sz w:val="24"/>
          <w:szCs w:val="24"/>
          <w:lang w:val="en-US" w:eastAsia="en-US"/>
        </w:rPr>
        <w:t>Channidae</w:t>
      </w:r>
      <w:proofErr w:type="spellEnd"/>
      <w:r w:rsidRPr="005C6B49">
        <w:rPr>
          <w:rFonts w:ascii="Times New Roman" w:eastAsia="Times New Roman" w:hAnsi="Times New Roman" w:cs="Times New Roman"/>
          <w:sz w:val="24"/>
          <w:szCs w:val="24"/>
          <w:lang w:val="en-US" w:eastAsia="en-US"/>
        </w:rPr>
        <w:t xml:space="preserve">) of Northeast India with emphasis on their ornamental value and conservation status. </w:t>
      </w:r>
      <w:r w:rsidRPr="005C6B49">
        <w:rPr>
          <w:rFonts w:ascii="Times New Roman" w:eastAsia="Times New Roman" w:hAnsi="Times New Roman" w:cs="Times New Roman"/>
          <w:i/>
          <w:iCs/>
          <w:sz w:val="24"/>
          <w:szCs w:val="24"/>
          <w:lang w:val="en-US" w:eastAsia="en-US"/>
        </w:rPr>
        <w:t>Journal of the Inland Fisheries Society of India, 54</w:t>
      </w:r>
      <w:r w:rsidRPr="005C6B49">
        <w:rPr>
          <w:rFonts w:ascii="Times New Roman" w:eastAsia="Times New Roman" w:hAnsi="Times New Roman" w:cs="Times New Roman"/>
          <w:sz w:val="24"/>
          <w:szCs w:val="24"/>
          <w:lang w:val="en-US" w:eastAsia="en-US"/>
        </w:rPr>
        <w:t xml:space="preserve">(2), 104–113. </w:t>
      </w:r>
      <w:hyperlink r:id="rId41" w:history="1">
        <w:r w:rsidRPr="005C6B49">
          <w:rPr>
            <w:rFonts w:ascii="Times New Roman" w:eastAsia="Times New Roman" w:hAnsi="Times New Roman" w:cs="Times New Roman"/>
            <w:color w:val="0000FF"/>
            <w:sz w:val="24"/>
            <w:szCs w:val="24"/>
            <w:u w:val="single"/>
            <w:lang w:val="en-US" w:eastAsia="en-US"/>
          </w:rPr>
          <w:t>https://doi.org/10.47780/jifsi.54.2.2022.138250</w:t>
        </w:r>
      </w:hyperlink>
    </w:p>
    <w:p w14:paraId="45129ED4"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Singh, B. M. (2021). Histopathological study of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exposed to sublethal concentration of malathion. </w:t>
      </w:r>
      <w:r w:rsidRPr="005C6B49">
        <w:rPr>
          <w:rFonts w:ascii="Times New Roman" w:eastAsia="Times New Roman" w:hAnsi="Times New Roman" w:cs="Times New Roman"/>
          <w:i/>
          <w:iCs/>
          <w:sz w:val="24"/>
          <w:szCs w:val="24"/>
          <w:lang w:val="en-US" w:eastAsia="en-US"/>
        </w:rPr>
        <w:t>International Journal of Fisheries and Aquatic Studies, 9</w:t>
      </w:r>
      <w:r w:rsidRPr="005C6B49">
        <w:rPr>
          <w:rFonts w:ascii="Times New Roman" w:eastAsia="Times New Roman" w:hAnsi="Times New Roman" w:cs="Times New Roman"/>
          <w:sz w:val="24"/>
          <w:szCs w:val="24"/>
          <w:lang w:val="en-US" w:eastAsia="en-US"/>
        </w:rPr>
        <w:t xml:space="preserve">(3), 174–179. </w:t>
      </w:r>
      <w:hyperlink r:id="rId42" w:history="1">
        <w:r w:rsidRPr="005C6B49">
          <w:rPr>
            <w:rFonts w:ascii="Times New Roman" w:eastAsia="Times New Roman" w:hAnsi="Times New Roman" w:cs="Times New Roman"/>
            <w:color w:val="0000FF"/>
            <w:sz w:val="24"/>
            <w:szCs w:val="24"/>
            <w:u w:val="single"/>
            <w:lang w:val="en-US" w:eastAsia="en-US"/>
          </w:rPr>
          <w:t>https://doi.org/10.22271/fish.2021.v9.i3c.2472</w:t>
        </w:r>
      </w:hyperlink>
    </w:p>
    <w:p w14:paraId="76641543"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Singh, N., &amp; Saxena, B. (2020). Behavioral and morphological changes in fresh water fish, </w:t>
      </w:r>
      <w:r w:rsidRPr="005C6B49">
        <w:rPr>
          <w:rFonts w:ascii="Times New Roman" w:eastAsia="Times New Roman" w:hAnsi="Times New Roman" w:cs="Times New Roman"/>
          <w:i/>
          <w:iCs/>
          <w:sz w:val="24"/>
          <w:szCs w:val="24"/>
          <w:lang w:val="en-US" w:eastAsia="en-US"/>
        </w:rPr>
        <w:t>Channa punctatus</w:t>
      </w:r>
      <w:r w:rsidRPr="005C6B49">
        <w:rPr>
          <w:rFonts w:ascii="Times New Roman" w:eastAsia="Times New Roman" w:hAnsi="Times New Roman" w:cs="Times New Roman"/>
          <w:sz w:val="24"/>
          <w:szCs w:val="24"/>
          <w:lang w:val="en-US" w:eastAsia="en-US"/>
        </w:rPr>
        <w:t xml:space="preserve"> under the exposure of cadmium. </w:t>
      </w:r>
      <w:r w:rsidRPr="005C6B49">
        <w:rPr>
          <w:rFonts w:ascii="Times New Roman" w:eastAsia="Times New Roman" w:hAnsi="Times New Roman" w:cs="Times New Roman"/>
          <w:i/>
          <w:iCs/>
          <w:sz w:val="24"/>
          <w:szCs w:val="24"/>
          <w:lang w:val="en-US" w:eastAsia="en-US"/>
        </w:rPr>
        <w:t>Environment Conservation Journal, 21</w:t>
      </w:r>
      <w:r w:rsidRPr="005C6B49">
        <w:rPr>
          <w:rFonts w:ascii="Times New Roman" w:eastAsia="Times New Roman" w:hAnsi="Times New Roman" w:cs="Times New Roman"/>
          <w:sz w:val="24"/>
          <w:szCs w:val="24"/>
          <w:lang w:val="en-US" w:eastAsia="en-US"/>
        </w:rPr>
        <w:t xml:space="preserve">(3), 187–193. </w:t>
      </w:r>
      <w:hyperlink r:id="rId43" w:history="1">
        <w:r w:rsidRPr="005C6B49">
          <w:rPr>
            <w:rFonts w:ascii="Times New Roman" w:eastAsia="Times New Roman" w:hAnsi="Times New Roman" w:cs="Times New Roman"/>
            <w:color w:val="0000FF"/>
            <w:sz w:val="24"/>
            <w:szCs w:val="24"/>
            <w:u w:val="single"/>
            <w:lang w:val="en-US" w:eastAsia="en-US"/>
          </w:rPr>
          <w:t>https://doi.org/10.36953/ECJ.2020.21323</w:t>
        </w:r>
      </w:hyperlink>
    </w:p>
    <w:p w14:paraId="78909AE8"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Singh, N. P., &amp; Siddique, M. R. (2018). Effects of certain pesticides on the histopathology of gills of an air breathing fish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(Bloch). </w:t>
      </w:r>
      <w:r w:rsidRPr="005C6B49">
        <w:rPr>
          <w:rFonts w:ascii="Times New Roman" w:eastAsia="Times New Roman" w:hAnsi="Times New Roman" w:cs="Times New Roman"/>
          <w:i/>
          <w:iCs/>
          <w:sz w:val="24"/>
          <w:szCs w:val="24"/>
          <w:lang w:val="en-US" w:eastAsia="en-US"/>
        </w:rPr>
        <w:t>Journal of Emerging Technologies and Innovative Research, 5</w:t>
      </w:r>
      <w:r w:rsidRPr="005C6B49">
        <w:rPr>
          <w:rFonts w:ascii="Times New Roman" w:eastAsia="Times New Roman" w:hAnsi="Times New Roman" w:cs="Times New Roman"/>
          <w:sz w:val="24"/>
          <w:szCs w:val="24"/>
          <w:lang w:val="en-US" w:eastAsia="en-US"/>
        </w:rPr>
        <w:t xml:space="preserve">(12), 599–604. </w:t>
      </w:r>
      <w:hyperlink r:id="rId44" w:history="1">
        <w:r w:rsidRPr="005C6B49">
          <w:rPr>
            <w:rFonts w:ascii="Times New Roman" w:eastAsia="Times New Roman" w:hAnsi="Times New Roman" w:cs="Times New Roman"/>
            <w:color w:val="0000FF"/>
            <w:sz w:val="24"/>
            <w:szCs w:val="24"/>
            <w:u w:val="single"/>
            <w:lang w:val="en-US" w:eastAsia="en-US"/>
          </w:rPr>
          <w:t>https://www.jetir.org/papers/JETIR1812C87.pdf</w:t>
        </w:r>
      </w:hyperlink>
    </w:p>
    <w:p w14:paraId="5E93A1F4"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Sulaiman, M. A., &amp; Kumari, A. (2025). Unveiling the rising threat of cadmium pollution and alarming health risks associated with the consumption of 15 commercially important fish species in the middle stretch of River Ganga, at Patna, India. </w:t>
      </w:r>
      <w:r w:rsidRPr="005C6B49">
        <w:rPr>
          <w:rFonts w:ascii="Times New Roman" w:eastAsia="Times New Roman" w:hAnsi="Times New Roman" w:cs="Times New Roman"/>
          <w:i/>
          <w:iCs/>
          <w:sz w:val="24"/>
          <w:szCs w:val="24"/>
          <w:lang w:val="en-US" w:eastAsia="en-US"/>
        </w:rPr>
        <w:t>Biological Trace Element Research, 203</w:t>
      </w:r>
      <w:r w:rsidRPr="005C6B49">
        <w:rPr>
          <w:rFonts w:ascii="Times New Roman" w:eastAsia="Times New Roman" w:hAnsi="Times New Roman" w:cs="Times New Roman"/>
          <w:sz w:val="24"/>
          <w:szCs w:val="24"/>
          <w:lang w:val="en-US" w:eastAsia="en-US"/>
        </w:rPr>
        <w:t xml:space="preserve">, 422–441. </w:t>
      </w:r>
      <w:hyperlink r:id="rId45" w:history="1">
        <w:r w:rsidRPr="005C6B49">
          <w:rPr>
            <w:rFonts w:ascii="Times New Roman" w:eastAsia="Times New Roman" w:hAnsi="Times New Roman" w:cs="Times New Roman"/>
            <w:color w:val="0000FF"/>
            <w:sz w:val="24"/>
            <w:szCs w:val="24"/>
            <w:u w:val="single"/>
            <w:lang w:val="en-US" w:eastAsia="en-US"/>
          </w:rPr>
          <w:t>https://doi.org/10.1007/s12011-024-04164-x</w:t>
        </w:r>
      </w:hyperlink>
    </w:p>
    <w:p w14:paraId="60B8E83A"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Sulaiman, M. A., Zafar, M. M., Divya, Anjum, S., &amp; Kumari, A. (2024). Investigating the 96h LC50 of mercury and cadmium on </w:t>
      </w:r>
      <w:r w:rsidRPr="005C6B49">
        <w:rPr>
          <w:rFonts w:ascii="Times New Roman" w:eastAsia="Times New Roman" w:hAnsi="Times New Roman" w:cs="Times New Roman"/>
          <w:i/>
          <w:iCs/>
          <w:sz w:val="24"/>
          <w:szCs w:val="24"/>
          <w:lang w:val="en-US" w:eastAsia="en-US"/>
        </w:rPr>
        <w:t>Channa punctatus</w:t>
      </w:r>
      <w:r w:rsidRPr="005C6B49">
        <w:rPr>
          <w:rFonts w:ascii="Times New Roman" w:eastAsia="Times New Roman" w:hAnsi="Times New Roman" w:cs="Times New Roman"/>
          <w:sz w:val="24"/>
          <w:szCs w:val="24"/>
          <w:lang w:val="en-US" w:eastAsia="en-US"/>
        </w:rPr>
        <w:t xml:space="preserve"> (Bloch): A comparative acute toxicity bioassay. </w:t>
      </w:r>
      <w:r w:rsidRPr="005C6B49">
        <w:rPr>
          <w:rFonts w:ascii="Times New Roman" w:eastAsia="Times New Roman" w:hAnsi="Times New Roman" w:cs="Times New Roman"/>
          <w:i/>
          <w:iCs/>
          <w:sz w:val="24"/>
          <w:szCs w:val="24"/>
          <w:lang w:val="en-US" w:eastAsia="en-US"/>
        </w:rPr>
        <w:t>Journal of Ecophysiology and Occupational Health, 24</w:t>
      </w:r>
      <w:r w:rsidRPr="005C6B49">
        <w:rPr>
          <w:rFonts w:ascii="Times New Roman" w:eastAsia="Times New Roman" w:hAnsi="Times New Roman" w:cs="Times New Roman"/>
          <w:sz w:val="24"/>
          <w:szCs w:val="24"/>
          <w:lang w:val="en-US" w:eastAsia="en-US"/>
        </w:rPr>
        <w:t xml:space="preserve">(1), 89–98. </w:t>
      </w:r>
      <w:hyperlink r:id="rId46" w:history="1">
        <w:r w:rsidRPr="005C6B49">
          <w:rPr>
            <w:rFonts w:ascii="Times New Roman" w:eastAsia="Times New Roman" w:hAnsi="Times New Roman" w:cs="Times New Roman"/>
            <w:color w:val="0000FF"/>
            <w:sz w:val="24"/>
            <w:szCs w:val="24"/>
            <w:u w:val="single"/>
            <w:lang w:val="en-US" w:eastAsia="en-US"/>
          </w:rPr>
          <w:t>https://doi.org/10.18311/jeoh/2024/36093</w:t>
        </w:r>
      </w:hyperlink>
    </w:p>
    <w:p w14:paraId="30B1EA10"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proofErr w:type="spellStart"/>
      <w:r w:rsidRPr="005C6B49">
        <w:rPr>
          <w:rFonts w:ascii="Times New Roman" w:eastAsia="Times New Roman" w:hAnsi="Times New Roman" w:cs="Times New Roman"/>
          <w:sz w:val="24"/>
          <w:szCs w:val="24"/>
          <w:lang w:val="en-US" w:eastAsia="en-US"/>
        </w:rPr>
        <w:t>Tarigan</w:t>
      </w:r>
      <w:proofErr w:type="spellEnd"/>
      <w:r w:rsidRPr="005C6B49">
        <w:rPr>
          <w:rFonts w:ascii="Times New Roman" w:eastAsia="Times New Roman" w:hAnsi="Times New Roman" w:cs="Times New Roman"/>
          <w:sz w:val="24"/>
          <w:szCs w:val="24"/>
          <w:lang w:val="en-US" w:eastAsia="en-US"/>
        </w:rPr>
        <w:t xml:space="preserve">, R. R., Widodo, M. S., &amp; </w:t>
      </w:r>
      <w:proofErr w:type="spellStart"/>
      <w:r w:rsidRPr="005C6B49">
        <w:rPr>
          <w:rFonts w:ascii="Times New Roman" w:eastAsia="Times New Roman" w:hAnsi="Times New Roman" w:cs="Times New Roman"/>
          <w:sz w:val="24"/>
          <w:szCs w:val="24"/>
          <w:lang w:val="en-US" w:eastAsia="en-US"/>
        </w:rPr>
        <w:t>Kilawati</w:t>
      </w:r>
      <w:proofErr w:type="spellEnd"/>
      <w:r w:rsidRPr="005C6B49">
        <w:rPr>
          <w:rFonts w:ascii="Times New Roman" w:eastAsia="Times New Roman" w:hAnsi="Times New Roman" w:cs="Times New Roman"/>
          <w:sz w:val="24"/>
          <w:szCs w:val="24"/>
          <w:lang w:val="en-US" w:eastAsia="en-US"/>
        </w:rPr>
        <w:t>, Y. (2016). Physiological studies of snakehead fish (</w:t>
      </w:r>
      <w:r w:rsidRPr="005C6B49">
        <w:rPr>
          <w:rFonts w:ascii="Times New Roman" w:eastAsia="Times New Roman" w:hAnsi="Times New Roman" w:cs="Times New Roman"/>
          <w:i/>
          <w:iCs/>
          <w:sz w:val="24"/>
          <w:szCs w:val="24"/>
          <w:lang w:val="en-US" w:eastAsia="en-US"/>
        </w:rPr>
        <w:t xml:space="preserve">Channa </w:t>
      </w:r>
      <w:proofErr w:type="spellStart"/>
      <w:r w:rsidRPr="005C6B49">
        <w:rPr>
          <w:rFonts w:ascii="Times New Roman" w:eastAsia="Times New Roman" w:hAnsi="Times New Roman" w:cs="Times New Roman"/>
          <w:i/>
          <w:iCs/>
          <w:sz w:val="24"/>
          <w:szCs w:val="24"/>
          <w:lang w:val="en-US" w:eastAsia="en-US"/>
        </w:rPr>
        <w:t>gachua</w:t>
      </w:r>
      <w:proofErr w:type="spellEnd"/>
      <w:r w:rsidRPr="005C6B49">
        <w:rPr>
          <w:rFonts w:ascii="Times New Roman" w:eastAsia="Times New Roman" w:hAnsi="Times New Roman" w:cs="Times New Roman"/>
          <w:sz w:val="24"/>
          <w:szCs w:val="24"/>
          <w:lang w:val="en-US" w:eastAsia="en-US"/>
        </w:rPr>
        <w:t xml:space="preserve">) maintained in controlled containers. </w:t>
      </w:r>
      <w:r w:rsidRPr="005C6B49">
        <w:rPr>
          <w:rFonts w:ascii="Times New Roman" w:eastAsia="Times New Roman" w:hAnsi="Times New Roman" w:cs="Times New Roman"/>
          <w:i/>
          <w:iCs/>
          <w:sz w:val="24"/>
          <w:szCs w:val="24"/>
          <w:lang w:val="en-US" w:eastAsia="en-US"/>
        </w:rPr>
        <w:t xml:space="preserve">International Journal of </w:t>
      </w:r>
      <w:proofErr w:type="spellStart"/>
      <w:r w:rsidRPr="005C6B49">
        <w:rPr>
          <w:rFonts w:ascii="Times New Roman" w:eastAsia="Times New Roman" w:hAnsi="Times New Roman" w:cs="Times New Roman"/>
          <w:i/>
          <w:iCs/>
          <w:sz w:val="24"/>
          <w:szCs w:val="24"/>
          <w:lang w:val="en-US" w:eastAsia="en-US"/>
        </w:rPr>
        <w:t>ChemTech</w:t>
      </w:r>
      <w:proofErr w:type="spellEnd"/>
      <w:r w:rsidRPr="005C6B49">
        <w:rPr>
          <w:rFonts w:ascii="Times New Roman" w:eastAsia="Times New Roman" w:hAnsi="Times New Roman" w:cs="Times New Roman"/>
          <w:i/>
          <w:iCs/>
          <w:sz w:val="24"/>
          <w:szCs w:val="24"/>
          <w:lang w:val="en-US" w:eastAsia="en-US"/>
        </w:rPr>
        <w:t xml:space="preserve"> Research, 9</w:t>
      </w:r>
      <w:r w:rsidRPr="005C6B49">
        <w:rPr>
          <w:rFonts w:ascii="Times New Roman" w:eastAsia="Times New Roman" w:hAnsi="Times New Roman" w:cs="Times New Roman"/>
          <w:sz w:val="24"/>
          <w:szCs w:val="24"/>
          <w:lang w:val="en-US" w:eastAsia="en-US"/>
        </w:rPr>
        <w:t xml:space="preserve">(7), 404–411. </w:t>
      </w:r>
      <w:hyperlink r:id="rId47" w:history="1">
        <w:r w:rsidRPr="005C6B49">
          <w:rPr>
            <w:rFonts w:ascii="Times New Roman" w:eastAsia="Times New Roman" w:hAnsi="Times New Roman" w:cs="Times New Roman"/>
            <w:color w:val="0000FF"/>
            <w:sz w:val="24"/>
            <w:szCs w:val="24"/>
            <w:u w:val="single"/>
            <w:lang w:val="en-US" w:eastAsia="en-US"/>
          </w:rPr>
          <w:t>https://sphinxsai.com/2016/ch_vol9_no7/2/%28404-411%29V9N7CT.pdf</w:t>
        </w:r>
      </w:hyperlink>
    </w:p>
    <w:p w14:paraId="346D3E5B"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proofErr w:type="spellStart"/>
      <w:r w:rsidRPr="005C6B49">
        <w:rPr>
          <w:rFonts w:ascii="Times New Roman" w:eastAsia="Times New Roman" w:hAnsi="Times New Roman" w:cs="Times New Roman"/>
          <w:sz w:val="24"/>
          <w:szCs w:val="24"/>
          <w:lang w:val="en-US" w:eastAsia="en-US"/>
        </w:rPr>
        <w:t>Taysı</w:t>
      </w:r>
      <w:proofErr w:type="spellEnd"/>
      <w:r w:rsidRPr="005C6B49">
        <w:rPr>
          <w:rFonts w:ascii="Times New Roman" w:eastAsia="Times New Roman" w:hAnsi="Times New Roman" w:cs="Times New Roman"/>
          <w:sz w:val="24"/>
          <w:szCs w:val="24"/>
          <w:lang w:val="en-US" w:eastAsia="en-US"/>
        </w:rPr>
        <w:t xml:space="preserve">, M. R. (2024). Assessing the effects of cadmium on antioxidant enzymes and histological structures in rainbow trout liver and kidney. </w:t>
      </w:r>
      <w:r w:rsidRPr="005C6B49">
        <w:rPr>
          <w:rFonts w:ascii="Times New Roman" w:eastAsia="Times New Roman" w:hAnsi="Times New Roman" w:cs="Times New Roman"/>
          <w:i/>
          <w:iCs/>
          <w:sz w:val="24"/>
          <w:szCs w:val="24"/>
          <w:lang w:val="en-US" w:eastAsia="en-US"/>
        </w:rPr>
        <w:t>Scientific Reports, 14</w:t>
      </w:r>
      <w:r w:rsidRPr="005C6B49">
        <w:rPr>
          <w:rFonts w:ascii="Times New Roman" w:eastAsia="Times New Roman" w:hAnsi="Times New Roman" w:cs="Times New Roman"/>
          <w:sz w:val="24"/>
          <w:szCs w:val="24"/>
          <w:lang w:val="en-US" w:eastAsia="en-US"/>
        </w:rPr>
        <w:t xml:space="preserve">, 27453. </w:t>
      </w:r>
      <w:hyperlink r:id="rId48" w:history="1">
        <w:r w:rsidRPr="005C6B49">
          <w:rPr>
            <w:rFonts w:ascii="Times New Roman" w:eastAsia="Times New Roman" w:hAnsi="Times New Roman" w:cs="Times New Roman"/>
            <w:color w:val="0000FF"/>
            <w:sz w:val="24"/>
            <w:szCs w:val="24"/>
            <w:u w:val="single"/>
            <w:lang w:val="en-US" w:eastAsia="en-US"/>
          </w:rPr>
          <w:t>https://doi.org/10.1038/s41598-024-78835-z</w:t>
        </w:r>
      </w:hyperlink>
    </w:p>
    <w:p w14:paraId="5DFDFB07"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proofErr w:type="spellStart"/>
      <w:r w:rsidRPr="005C6B49">
        <w:rPr>
          <w:rFonts w:ascii="Times New Roman" w:eastAsia="Times New Roman" w:hAnsi="Times New Roman" w:cs="Times New Roman"/>
          <w:sz w:val="24"/>
          <w:szCs w:val="24"/>
          <w:lang w:val="en-US" w:eastAsia="en-US"/>
        </w:rPr>
        <w:t>Verbost</w:t>
      </w:r>
      <w:proofErr w:type="spellEnd"/>
      <w:r w:rsidRPr="005C6B49">
        <w:rPr>
          <w:rFonts w:ascii="Times New Roman" w:eastAsia="Times New Roman" w:hAnsi="Times New Roman" w:cs="Times New Roman"/>
          <w:sz w:val="24"/>
          <w:szCs w:val="24"/>
          <w:lang w:val="en-US" w:eastAsia="en-US"/>
        </w:rPr>
        <w:t xml:space="preserve">, P. M., Flik, G., Lock, R. A. C., &amp; </w:t>
      </w:r>
      <w:proofErr w:type="spellStart"/>
      <w:r w:rsidRPr="005C6B49">
        <w:rPr>
          <w:rFonts w:ascii="Times New Roman" w:eastAsia="Times New Roman" w:hAnsi="Times New Roman" w:cs="Times New Roman"/>
          <w:sz w:val="24"/>
          <w:szCs w:val="24"/>
          <w:lang w:val="en-US" w:eastAsia="en-US"/>
        </w:rPr>
        <w:t>Wendelaar</w:t>
      </w:r>
      <w:proofErr w:type="spellEnd"/>
      <w:r w:rsidRPr="005C6B49">
        <w:rPr>
          <w:rFonts w:ascii="Times New Roman" w:eastAsia="Times New Roman" w:hAnsi="Times New Roman" w:cs="Times New Roman"/>
          <w:sz w:val="24"/>
          <w:szCs w:val="24"/>
          <w:lang w:val="en-US" w:eastAsia="en-US"/>
        </w:rPr>
        <w:t xml:space="preserve"> Bonga, S. E. (1987). Cadmium inhibition of Ca2+ uptake in rainbow trout gills. </w:t>
      </w:r>
      <w:r w:rsidRPr="005C6B49">
        <w:rPr>
          <w:rFonts w:ascii="Times New Roman" w:eastAsia="Times New Roman" w:hAnsi="Times New Roman" w:cs="Times New Roman"/>
          <w:i/>
          <w:iCs/>
          <w:sz w:val="24"/>
          <w:szCs w:val="24"/>
          <w:lang w:val="en-US" w:eastAsia="en-US"/>
        </w:rPr>
        <w:t>American Journal of Physiology-Regulatory, Integrative and Comparative Physiology, 253</w:t>
      </w:r>
      <w:r w:rsidRPr="005C6B49">
        <w:rPr>
          <w:rFonts w:ascii="Times New Roman" w:eastAsia="Times New Roman" w:hAnsi="Times New Roman" w:cs="Times New Roman"/>
          <w:sz w:val="24"/>
          <w:szCs w:val="24"/>
          <w:lang w:val="en-US" w:eastAsia="en-US"/>
        </w:rPr>
        <w:t xml:space="preserve">(2), R216–R221. </w:t>
      </w:r>
      <w:hyperlink r:id="rId49" w:history="1">
        <w:r w:rsidRPr="005C6B49">
          <w:rPr>
            <w:rFonts w:ascii="Times New Roman" w:eastAsia="Times New Roman" w:hAnsi="Times New Roman" w:cs="Times New Roman"/>
            <w:color w:val="0000FF"/>
            <w:sz w:val="24"/>
            <w:szCs w:val="24"/>
            <w:u w:val="single"/>
            <w:lang w:val="en-US" w:eastAsia="en-US"/>
          </w:rPr>
          <w:t>https://doi.org/10.1152/ajpregu.1987.253.2.R216</w:t>
        </w:r>
      </w:hyperlink>
    </w:p>
    <w:p w14:paraId="739430CE"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Wong, C. K. C., &amp; Wong, M. H. (2000). Morphological and biochemical changes in the gills of tilapia (</w:t>
      </w:r>
      <w:r w:rsidRPr="005C6B49">
        <w:rPr>
          <w:rFonts w:ascii="Times New Roman" w:eastAsia="Times New Roman" w:hAnsi="Times New Roman" w:cs="Times New Roman"/>
          <w:i/>
          <w:iCs/>
          <w:sz w:val="24"/>
          <w:szCs w:val="24"/>
          <w:lang w:val="en-US" w:eastAsia="en-US"/>
        </w:rPr>
        <w:t xml:space="preserve">Oreochromis </w:t>
      </w:r>
      <w:proofErr w:type="spellStart"/>
      <w:r w:rsidRPr="005C6B49">
        <w:rPr>
          <w:rFonts w:ascii="Times New Roman" w:eastAsia="Times New Roman" w:hAnsi="Times New Roman" w:cs="Times New Roman"/>
          <w:i/>
          <w:iCs/>
          <w:sz w:val="24"/>
          <w:szCs w:val="24"/>
          <w:lang w:val="en-US" w:eastAsia="en-US"/>
        </w:rPr>
        <w:t>mossambicus</w:t>
      </w:r>
      <w:proofErr w:type="spellEnd"/>
      <w:r w:rsidRPr="005C6B49">
        <w:rPr>
          <w:rFonts w:ascii="Times New Roman" w:eastAsia="Times New Roman" w:hAnsi="Times New Roman" w:cs="Times New Roman"/>
          <w:sz w:val="24"/>
          <w:szCs w:val="24"/>
          <w:lang w:val="en-US" w:eastAsia="en-US"/>
        </w:rPr>
        <w:t xml:space="preserve">) to ambient cadmium exposure. </w:t>
      </w:r>
      <w:r w:rsidRPr="005C6B49">
        <w:rPr>
          <w:rFonts w:ascii="Times New Roman" w:eastAsia="Times New Roman" w:hAnsi="Times New Roman" w:cs="Times New Roman"/>
          <w:i/>
          <w:iCs/>
          <w:sz w:val="24"/>
          <w:szCs w:val="24"/>
          <w:lang w:val="en-US" w:eastAsia="en-US"/>
        </w:rPr>
        <w:t>Aquatic Toxicology, 48</w:t>
      </w:r>
      <w:r w:rsidRPr="005C6B49">
        <w:rPr>
          <w:rFonts w:ascii="Times New Roman" w:eastAsia="Times New Roman" w:hAnsi="Times New Roman" w:cs="Times New Roman"/>
          <w:sz w:val="24"/>
          <w:szCs w:val="24"/>
          <w:lang w:val="en-US" w:eastAsia="en-US"/>
        </w:rPr>
        <w:t xml:space="preserve">(4), 517–527. </w:t>
      </w:r>
      <w:hyperlink r:id="rId50" w:history="1">
        <w:r w:rsidRPr="005C6B49">
          <w:rPr>
            <w:rFonts w:ascii="Times New Roman" w:eastAsia="Times New Roman" w:hAnsi="Times New Roman" w:cs="Times New Roman"/>
            <w:color w:val="0000FF"/>
            <w:sz w:val="24"/>
            <w:szCs w:val="24"/>
            <w:u w:val="single"/>
            <w:lang w:val="en-US" w:eastAsia="en-US"/>
          </w:rPr>
          <w:t>https://doi.org/10.1016/S0166-445X(99)00060-0</w:t>
        </w:r>
      </w:hyperlink>
    </w:p>
    <w:p w14:paraId="172132F1"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lastRenderedPageBreak/>
        <w:t xml:space="preserve">World Health Organization. (1992). </w:t>
      </w:r>
      <w:r w:rsidRPr="005C6B49">
        <w:rPr>
          <w:rFonts w:ascii="Times New Roman" w:eastAsia="Times New Roman" w:hAnsi="Times New Roman" w:cs="Times New Roman"/>
          <w:i/>
          <w:iCs/>
          <w:sz w:val="24"/>
          <w:szCs w:val="24"/>
          <w:lang w:val="en-US" w:eastAsia="en-US"/>
        </w:rPr>
        <w:t>Cadmium: Environmental aspects</w:t>
      </w:r>
      <w:r w:rsidRPr="005C6B49">
        <w:rPr>
          <w:rFonts w:ascii="Times New Roman" w:eastAsia="Times New Roman" w:hAnsi="Times New Roman" w:cs="Times New Roman"/>
          <w:sz w:val="24"/>
          <w:szCs w:val="24"/>
          <w:lang w:val="en-US" w:eastAsia="en-US"/>
        </w:rPr>
        <w:t xml:space="preserve"> (Environmental Health Criteria 135). </w:t>
      </w:r>
      <w:hyperlink r:id="rId51" w:history="1">
        <w:r w:rsidRPr="005C6B49">
          <w:rPr>
            <w:rFonts w:ascii="Times New Roman" w:eastAsia="Times New Roman" w:hAnsi="Times New Roman" w:cs="Times New Roman"/>
            <w:color w:val="0000FF"/>
            <w:sz w:val="24"/>
            <w:szCs w:val="24"/>
            <w:u w:val="single"/>
            <w:lang w:val="en-US" w:eastAsia="en-US"/>
          </w:rPr>
          <w:t>https://iris.who.int/bitstreams/4a24e649-2250-4d93-aacc-460e3d2b5a3a/download</w:t>
        </w:r>
      </w:hyperlink>
    </w:p>
    <w:p w14:paraId="6FAC14CD" w14:textId="77777777" w:rsidR="005C6B49" w:rsidRPr="005C6B49" w:rsidRDefault="005C6B49" w:rsidP="005C6B49">
      <w:pPr>
        <w:spacing w:before="100" w:beforeAutospacing="1" w:after="100" w:afterAutospacing="1"/>
        <w:rPr>
          <w:rFonts w:ascii="Times New Roman" w:eastAsia="Times New Roman" w:hAnsi="Times New Roman" w:cs="Times New Roman"/>
          <w:sz w:val="24"/>
          <w:szCs w:val="24"/>
          <w:lang w:val="en-US" w:eastAsia="en-US"/>
        </w:rPr>
      </w:pPr>
      <w:r w:rsidRPr="005C6B49">
        <w:rPr>
          <w:rFonts w:ascii="Times New Roman" w:eastAsia="Times New Roman" w:hAnsi="Times New Roman" w:cs="Times New Roman"/>
          <w:sz w:val="24"/>
          <w:szCs w:val="24"/>
          <w:lang w:val="en-US" w:eastAsia="en-US"/>
        </w:rPr>
        <w:t xml:space="preserve">Yu, Y. B., Lee, J. W., Jo, A. H., Choi, Y. J., Choi, C. Y., Kang, J. C., &amp; Kim, J. H. (2024). Toxic effects of cadmium exposure on hematological and plasma biochemical parameters in fish: A review. </w:t>
      </w:r>
      <w:r w:rsidRPr="005C6B49">
        <w:rPr>
          <w:rFonts w:ascii="Times New Roman" w:eastAsia="Times New Roman" w:hAnsi="Times New Roman" w:cs="Times New Roman"/>
          <w:i/>
          <w:iCs/>
          <w:sz w:val="24"/>
          <w:szCs w:val="24"/>
          <w:lang w:val="en-US" w:eastAsia="en-US"/>
        </w:rPr>
        <w:t>Toxics, 12</w:t>
      </w:r>
      <w:r w:rsidRPr="005C6B49">
        <w:rPr>
          <w:rFonts w:ascii="Times New Roman" w:eastAsia="Times New Roman" w:hAnsi="Times New Roman" w:cs="Times New Roman"/>
          <w:sz w:val="24"/>
          <w:szCs w:val="24"/>
          <w:lang w:val="en-US" w:eastAsia="en-US"/>
        </w:rPr>
        <w:t xml:space="preserve">(10), 699. </w:t>
      </w:r>
      <w:hyperlink r:id="rId52" w:history="1">
        <w:r w:rsidRPr="005C6B49">
          <w:rPr>
            <w:rFonts w:ascii="Times New Roman" w:eastAsia="Times New Roman" w:hAnsi="Times New Roman" w:cs="Times New Roman"/>
            <w:color w:val="0000FF"/>
            <w:sz w:val="24"/>
            <w:szCs w:val="24"/>
            <w:u w:val="single"/>
            <w:lang w:val="en-US" w:eastAsia="en-US"/>
          </w:rPr>
          <w:t>https://doi.org/10.3390/toxics12100699</w:t>
        </w:r>
      </w:hyperlink>
    </w:p>
    <w:p w14:paraId="49AC406A" w14:textId="77777777" w:rsidR="005C6B49" w:rsidRPr="00C45346" w:rsidRDefault="005C6B49">
      <w:pPr>
        <w:pStyle w:val="Heading1"/>
        <w:spacing w:before="300" w:after="150"/>
        <w:rPr>
          <w:rFonts w:ascii="Times New Roman" w:hAnsi="Times New Roman" w:cs="Times New Roman"/>
          <w:sz w:val="24"/>
          <w:szCs w:val="24"/>
        </w:rPr>
      </w:pPr>
    </w:p>
    <w:sectPr w:rsidR="005C6B49" w:rsidRPr="00C45346">
      <w:headerReference w:type="even" r:id="rId53"/>
      <w:headerReference w:type="default" r:id="rId54"/>
      <w:footerReference w:type="even" r:id="rId55"/>
      <w:footerReference w:type="default" r:id="rId56"/>
      <w:headerReference w:type="first" r:id="rId57"/>
      <w:footerReference w:type="first" r:id="rId58"/>
      <w:pgSz w:w="11906" w:h="16838"/>
      <w:pgMar w:top="1080" w:right="1300" w:bottom="108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87D9" w14:textId="77777777" w:rsidR="00C72E65" w:rsidRDefault="00C72E65">
      <w:r>
        <w:separator/>
      </w:r>
    </w:p>
  </w:endnote>
  <w:endnote w:type="continuationSeparator" w:id="0">
    <w:p w14:paraId="078A143D" w14:textId="77777777" w:rsidR="00C72E65" w:rsidRDefault="00C72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F892" w14:textId="77777777" w:rsidR="00142398" w:rsidRDefault="001423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A0B7" w14:textId="77777777" w:rsidR="00C90E5D" w:rsidRDefault="00710349">
    <w:pPr>
      <w:jc w:val="center"/>
    </w:pPr>
    <w:r>
      <w:rPr>
        <w:color w:val="898781"/>
        <w:sz w:val="16"/>
        <w:szCs w:val="16"/>
      </w:rPr>
      <w:t xml:space="preserve">Page </w:t>
    </w:r>
    <w:r>
      <w:rPr>
        <w:color w:val="898781"/>
        <w:sz w:val="16"/>
        <w:szCs w:val="16"/>
      </w:rPr>
      <w:fldChar w:fldCharType="begin"/>
    </w:r>
    <w:r>
      <w:rPr>
        <w:color w:val="898781"/>
        <w:sz w:val="16"/>
        <w:szCs w:val="16"/>
      </w:rPr>
      <w:instrText>PAGE</w:instrText>
    </w:r>
    <w:r>
      <w:rPr>
        <w:color w:val="898781"/>
        <w:sz w:val="16"/>
        <w:szCs w:val="16"/>
      </w:rPr>
      <w:fldChar w:fldCharType="separate"/>
    </w:r>
    <w:r w:rsidR="00AE1DCB">
      <w:rPr>
        <w:noProof/>
        <w:color w:val="898781"/>
        <w:sz w:val="16"/>
        <w:szCs w:val="16"/>
      </w:rPr>
      <w:t>1</w:t>
    </w:r>
    <w:r>
      <w:rPr>
        <w:color w:val="898781"/>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DEA2" w14:textId="77777777" w:rsidR="00142398" w:rsidRDefault="00142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F9B8E" w14:textId="77777777" w:rsidR="00C72E65" w:rsidRDefault="00C72E65">
      <w:r>
        <w:separator/>
      </w:r>
    </w:p>
  </w:footnote>
  <w:footnote w:type="continuationSeparator" w:id="0">
    <w:p w14:paraId="0E55F327" w14:textId="77777777" w:rsidR="00C72E65" w:rsidRDefault="00C72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4FAF" w14:textId="77777777" w:rsidR="00142398" w:rsidRDefault="00000000">
    <w:pPr>
      <w:pStyle w:val="Header"/>
    </w:pPr>
    <w:r>
      <w:rPr>
        <w:noProof/>
      </w:rPr>
      <w:pict w14:anchorId="2D67D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2317204" o:spid="_x0000_s1026" type="#_x0000_t136" style="position:absolute;margin-left:0;margin-top:0;width:552.45pt;height:103.5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42C6" w14:textId="77777777" w:rsidR="00C90E5D" w:rsidRDefault="00000000">
    <w:pPr>
      <w:jc w:val="right"/>
    </w:pPr>
    <w:r>
      <w:rPr>
        <w:noProof/>
      </w:rPr>
      <w:pict w14:anchorId="147A05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2317205" o:spid="_x0000_s1027" type="#_x0000_t136" style="position:absolute;left:0;text-align:left;margin-left:0;margin-top:0;width:552.45pt;height:103.5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F17B" w14:textId="77777777" w:rsidR="00142398" w:rsidRDefault="00000000">
    <w:pPr>
      <w:pStyle w:val="Header"/>
    </w:pPr>
    <w:r>
      <w:rPr>
        <w:noProof/>
      </w:rPr>
      <w:pict w14:anchorId="51C28A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2317203" o:spid="_x0000_s1025" type="#_x0000_t136" style="position:absolute;margin-left:0;margin-top:0;width:552.45pt;height:103.5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B5C08"/>
    <w:multiLevelType w:val="hybridMultilevel"/>
    <w:tmpl w:val="CE425516"/>
    <w:lvl w:ilvl="0" w:tplc="BDACF6A6">
      <w:start w:val="1"/>
      <w:numFmt w:val="bullet"/>
      <w:lvlText w:val="●"/>
      <w:lvlJc w:val="left"/>
      <w:pPr>
        <w:ind w:left="720" w:hanging="360"/>
      </w:pPr>
    </w:lvl>
    <w:lvl w:ilvl="1" w:tplc="EF1CB230">
      <w:start w:val="1"/>
      <w:numFmt w:val="bullet"/>
      <w:lvlText w:val="○"/>
      <w:lvlJc w:val="left"/>
      <w:pPr>
        <w:ind w:left="1440" w:hanging="360"/>
      </w:pPr>
    </w:lvl>
    <w:lvl w:ilvl="2" w:tplc="6E067E4A">
      <w:start w:val="1"/>
      <w:numFmt w:val="bullet"/>
      <w:lvlText w:val="■"/>
      <w:lvlJc w:val="left"/>
      <w:pPr>
        <w:ind w:left="2160" w:hanging="360"/>
      </w:pPr>
    </w:lvl>
    <w:lvl w:ilvl="3" w:tplc="410E3DFA">
      <w:start w:val="1"/>
      <w:numFmt w:val="bullet"/>
      <w:lvlText w:val="●"/>
      <w:lvlJc w:val="left"/>
      <w:pPr>
        <w:ind w:left="2880" w:hanging="360"/>
      </w:pPr>
    </w:lvl>
    <w:lvl w:ilvl="4" w:tplc="28AA58F6">
      <w:start w:val="1"/>
      <w:numFmt w:val="bullet"/>
      <w:lvlText w:val="○"/>
      <w:lvlJc w:val="left"/>
      <w:pPr>
        <w:ind w:left="3600" w:hanging="360"/>
      </w:pPr>
    </w:lvl>
    <w:lvl w:ilvl="5" w:tplc="5FFEF320">
      <w:start w:val="1"/>
      <w:numFmt w:val="bullet"/>
      <w:lvlText w:val="■"/>
      <w:lvlJc w:val="left"/>
      <w:pPr>
        <w:ind w:left="4320" w:hanging="360"/>
      </w:pPr>
    </w:lvl>
    <w:lvl w:ilvl="6" w:tplc="9F6EED60">
      <w:start w:val="1"/>
      <w:numFmt w:val="bullet"/>
      <w:lvlText w:val="●"/>
      <w:lvlJc w:val="left"/>
      <w:pPr>
        <w:ind w:left="5040" w:hanging="360"/>
      </w:pPr>
    </w:lvl>
    <w:lvl w:ilvl="7" w:tplc="29B20858">
      <w:start w:val="1"/>
      <w:numFmt w:val="bullet"/>
      <w:lvlText w:val="●"/>
      <w:lvlJc w:val="left"/>
      <w:pPr>
        <w:ind w:left="5760" w:hanging="360"/>
      </w:pPr>
    </w:lvl>
    <w:lvl w:ilvl="8" w:tplc="91CCC2D8">
      <w:start w:val="1"/>
      <w:numFmt w:val="bullet"/>
      <w:lvlText w:val="●"/>
      <w:lvlJc w:val="left"/>
      <w:pPr>
        <w:ind w:left="6480" w:hanging="360"/>
      </w:pPr>
    </w:lvl>
  </w:abstractNum>
  <w:num w:numId="1" w16cid:durableId="16256989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5D"/>
    <w:rsid w:val="00032B3A"/>
    <w:rsid w:val="000452FA"/>
    <w:rsid w:val="00050622"/>
    <w:rsid w:val="000B732F"/>
    <w:rsid w:val="00120053"/>
    <w:rsid w:val="00121D2F"/>
    <w:rsid w:val="00142398"/>
    <w:rsid w:val="00146DB1"/>
    <w:rsid w:val="00156F2C"/>
    <w:rsid w:val="001A15B9"/>
    <w:rsid w:val="001E0E56"/>
    <w:rsid w:val="00264497"/>
    <w:rsid w:val="002A0995"/>
    <w:rsid w:val="002B0C21"/>
    <w:rsid w:val="00334251"/>
    <w:rsid w:val="0038513F"/>
    <w:rsid w:val="00394ACC"/>
    <w:rsid w:val="00417F6B"/>
    <w:rsid w:val="0044688C"/>
    <w:rsid w:val="004726BF"/>
    <w:rsid w:val="0056576E"/>
    <w:rsid w:val="00592B0B"/>
    <w:rsid w:val="005B3300"/>
    <w:rsid w:val="005B7A07"/>
    <w:rsid w:val="005C6B49"/>
    <w:rsid w:val="005E0578"/>
    <w:rsid w:val="006050FB"/>
    <w:rsid w:val="006308B0"/>
    <w:rsid w:val="0066000F"/>
    <w:rsid w:val="0066178A"/>
    <w:rsid w:val="006D0FC7"/>
    <w:rsid w:val="006D6712"/>
    <w:rsid w:val="006D7205"/>
    <w:rsid w:val="006E7C00"/>
    <w:rsid w:val="0070186B"/>
    <w:rsid w:val="00705E85"/>
    <w:rsid w:val="00710349"/>
    <w:rsid w:val="00754760"/>
    <w:rsid w:val="0076156B"/>
    <w:rsid w:val="007A7AC1"/>
    <w:rsid w:val="007E0597"/>
    <w:rsid w:val="007F7768"/>
    <w:rsid w:val="00805BE4"/>
    <w:rsid w:val="00901BAB"/>
    <w:rsid w:val="009C2273"/>
    <w:rsid w:val="00A63A36"/>
    <w:rsid w:val="00A70152"/>
    <w:rsid w:val="00A76B9E"/>
    <w:rsid w:val="00A8190E"/>
    <w:rsid w:val="00A873BE"/>
    <w:rsid w:val="00A94A7B"/>
    <w:rsid w:val="00AB4E2A"/>
    <w:rsid w:val="00AC167B"/>
    <w:rsid w:val="00AE1DCB"/>
    <w:rsid w:val="00AF4E6C"/>
    <w:rsid w:val="00B9131D"/>
    <w:rsid w:val="00BA7D6C"/>
    <w:rsid w:val="00BB6B71"/>
    <w:rsid w:val="00C14BBC"/>
    <w:rsid w:val="00C45346"/>
    <w:rsid w:val="00C655A3"/>
    <w:rsid w:val="00C72E65"/>
    <w:rsid w:val="00C80F67"/>
    <w:rsid w:val="00C90E5D"/>
    <w:rsid w:val="00D23875"/>
    <w:rsid w:val="00D51773"/>
    <w:rsid w:val="00D53648"/>
    <w:rsid w:val="00D83A35"/>
    <w:rsid w:val="00DC7AC9"/>
    <w:rsid w:val="00DF61A0"/>
    <w:rsid w:val="00E41FF0"/>
    <w:rsid w:val="00E67B4A"/>
    <w:rsid w:val="00E82CBE"/>
    <w:rsid w:val="00E924B0"/>
    <w:rsid w:val="00EA6C9A"/>
    <w:rsid w:val="00F02F7A"/>
    <w:rsid w:val="00F42CDC"/>
    <w:rsid w:val="00F5539F"/>
    <w:rsid w:val="00F67BF0"/>
    <w:rsid w:val="00F92B17"/>
    <w:rsid w:val="00FA47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1DB74"/>
  <w15:docId w15:val="{B4AA4FDF-D281-4F73-B214-4682C3DC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56F2C"/>
    <w:pPr>
      <w:tabs>
        <w:tab w:val="center" w:pos="4513"/>
        <w:tab w:val="right" w:pos="9026"/>
      </w:tabs>
    </w:pPr>
  </w:style>
  <w:style w:type="character" w:customStyle="1" w:styleId="HeaderChar">
    <w:name w:val="Header Char"/>
    <w:basedOn w:val="DefaultParagraphFont"/>
    <w:link w:val="Header"/>
    <w:uiPriority w:val="99"/>
    <w:rsid w:val="00156F2C"/>
  </w:style>
  <w:style w:type="paragraph" w:styleId="Footer">
    <w:name w:val="footer"/>
    <w:basedOn w:val="Normal"/>
    <w:link w:val="FooterChar"/>
    <w:uiPriority w:val="99"/>
    <w:unhideWhenUsed/>
    <w:rsid w:val="00156F2C"/>
    <w:pPr>
      <w:tabs>
        <w:tab w:val="center" w:pos="4513"/>
        <w:tab w:val="right" w:pos="9026"/>
      </w:tabs>
    </w:pPr>
  </w:style>
  <w:style w:type="character" w:customStyle="1" w:styleId="FooterChar">
    <w:name w:val="Footer Char"/>
    <w:basedOn w:val="DefaultParagraphFont"/>
    <w:link w:val="Footer"/>
    <w:uiPriority w:val="99"/>
    <w:rsid w:val="00156F2C"/>
  </w:style>
  <w:style w:type="character" w:styleId="UnresolvedMention">
    <w:name w:val="Unresolved Mention"/>
    <w:basedOn w:val="DefaultParagraphFont"/>
    <w:uiPriority w:val="99"/>
    <w:semiHidden/>
    <w:unhideWhenUsed/>
    <w:rsid w:val="00AC1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590/S1679-62252009000100013" TargetMode="External"/><Relationship Id="rId18" Type="http://schemas.openxmlformats.org/officeDocument/2006/relationships/hyperlink" Target="https://doi.org/10.53390/ijbs.v12i2.9" TargetMode="External"/><Relationship Id="rId26" Type="http://schemas.openxmlformats.org/officeDocument/2006/relationships/hyperlink" Target="https://www.fishbase.se/summary/Channa-gachua.html" TargetMode="External"/><Relationship Id="rId39" Type="http://schemas.openxmlformats.org/officeDocument/2006/relationships/hyperlink" Target="https://doi.org/10.12691/aees-8-1-3" TargetMode="External"/><Relationship Id="rId21" Type="http://schemas.openxmlformats.org/officeDocument/2006/relationships/hyperlink" Target="https://doi.org/10.22271/fish.2024.v12.i1a.2893" TargetMode="External"/><Relationship Id="rId34" Type="http://schemas.openxmlformats.org/officeDocument/2006/relationships/hyperlink" Target="https://doi.org/10.1016/j.etap.2008.02.010" TargetMode="External"/><Relationship Id="rId42" Type="http://schemas.openxmlformats.org/officeDocument/2006/relationships/hyperlink" Target="https://doi.org/10.22271/fish.2021.v9.i3c.2472" TargetMode="External"/><Relationship Id="rId47" Type="http://schemas.openxmlformats.org/officeDocument/2006/relationships/hyperlink" Target="https://sphinxsai.com/2016/ch_vol9_no7/2/%28404-411%29V9N7CT.pdf" TargetMode="External"/><Relationship Id="rId50" Type="http://schemas.openxmlformats.org/officeDocument/2006/relationships/hyperlink" Target="https://doi.org/10.1016/S0166-445X(99)00060-0" TargetMode="External"/><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researchgate.net/publication/287340474" TargetMode="External"/><Relationship Id="rId29" Type="http://schemas.openxmlformats.org/officeDocument/2006/relationships/hyperlink" Target="https://doi.org/10.9734/ajfar/2021/v12i230232" TargetMode="External"/><Relationship Id="rId11" Type="http://schemas.openxmlformats.org/officeDocument/2006/relationships/image" Target="media/image5.png"/><Relationship Id="rId24" Type="http://schemas.openxmlformats.org/officeDocument/2006/relationships/hyperlink" Target="https://doi.org/10.1007/s00244-009-9434-4" TargetMode="External"/><Relationship Id="rId32" Type="http://schemas.openxmlformats.org/officeDocument/2006/relationships/hyperlink" Target="https://doi.org/10.21275/ART20201558" TargetMode="External"/><Relationship Id="rId37" Type="http://schemas.openxmlformats.org/officeDocument/2006/relationships/hyperlink" Target="https://doi.org/10.1002/ar.1092380111" TargetMode="External"/><Relationship Id="rId40" Type="http://schemas.openxmlformats.org/officeDocument/2006/relationships/hyperlink" Target="https://doi.org/10.1007/s10695-024-01434-2" TargetMode="External"/><Relationship Id="rId45" Type="http://schemas.openxmlformats.org/officeDocument/2006/relationships/hyperlink" Target="https://doi.org/10.1007/s12011-024-04164-x"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hyperlink" Target="https://doi.org/10.51470/jez.2023.26.1.34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tandardmethods.org/" TargetMode="External"/><Relationship Id="rId22" Type="http://schemas.openxmlformats.org/officeDocument/2006/relationships/hyperlink" Target="https://updatepublishing.com/journal/index.php/jes/article/download/2840/2808/3200" TargetMode="External"/><Relationship Id="rId27" Type="http://schemas.openxmlformats.org/officeDocument/2006/relationships/hyperlink" Target="https://doi.org/10.3329/jbas.v48i2.73000" TargetMode="External"/><Relationship Id="rId30" Type="http://schemas.openxmlformats.org/officeDocument/2006/relationships/hyperlink" Target="https://www.jetir.org/papers/JETIR2010137.pdf" TargetMode="External"/><Relationship Id="rId35" Type="http://schemas.openxmlformats.org/officeDocument/2006/relationships/hyperlink" Target="https://repository.unsri.ac.id/30918/1/24.PEMELIHARAANBENIHIKANGABUSChannastriata.pdf" TargetMode="External"/><Relationship Id="rId43" Type="http://schemas.openxmlformats.org/officeDocument/2006/relationships/hyperlink" Target="https://doi.org/10.36953/ECJ.2020.21323" TargetMode="External"/><Relationship Id="rId48" Type="http://schemas.openxmlformats.org/officeDocument/2006/relationships/hyperlink" Target="https://doi.org/10.1038/s41598-024-78835-z" TargetMode="External"/><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s://iris.who.int/bitstreams/4a24e649-2250-4d93-aacc-460e3d2b5a3a/download" TargetMode="External"/><Relationship Id="rId3" Type="http://schemas.openxmlformats.org/officeDocument/2006/relationships/settings" Target="settings.xml"/><Relationship Id="rId12" Type="http://schemas.openxmlformats.org/officeDocument/2006/relationships/hyperlink" Target="https://doi.org/10.1016/j.sjbs.2015.01.002" TargetMode="External"/><Relationship Id="rId17" Type="http://schemas.openxmlformats.org/officeDocument/2006/relationships/hyperlink" Target="https://doi.org/10.1007/BF01054876" TargetMode="External"/><Relationship Id="rId25" Type="http://schemas.openxmlformats.org/officeDocument/2006/relationships/hyperlink" Target="https://doi.org/10.1016/j.cbpc.2021.109109" TargetMode="External"/><Relationship Id="rId33" Type="http://schemas.openxmlformats.org/officeDocument/2006/relationships/hyperlink" Target="https://doi.org/10.3390/toxics10100622" TargetMode="External"/><Relationship Id="rId38" Type="http://schemas.openxmlformats.org/officeDocument/2006/relationships/hyperlink" Target="https://doi.org/10.56557/ajocr/2025/v10i39422" TargetMode="External"/><Relationship Id="rId46" Type="http://schemas.openxmlformats.org/officeDocument/2006/relationships/hyperlink" Target="https://doi.org/10.18311/jeoh/2024/36093" TargetMode="External"/><Relationship Id="rId59" Type="http://schemas.openxmlformats.org/officeDocument/2006/relationships/fontTable" Target="fontTable.xml"/><Relationship Id="rId20" Type="http://schemas.openxmlformats.org/officeDocument/2006/relationships/hyperlink" Target="https://doi.org/10.2305/IUCN.UK.2010-4.RLTS.T166123A6179047.en" TargetMode="External"/><Relationship Id="rId41" Type="http://schemas.openxmlformats.org/officeDocument/2006/relationships/hyperlink" Target="https://doi.org/10.47780/jifsi.54.2.2022.138250"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7/BF00002324" TargetMode="External"/><Relationship Id="rId23" Type="http://schemas.openxmlformats.org/officeDocument/2006/relationships/hyperlink" Target="https://indianecologicalsociety.com/indian-journal-ecology/?issue=Issue+5&amp;volume=Volume+48&amp;yr=2021" TargetMode="External"/><Relationship Id="rId28" Type="http://schemas.openxmlformats.org/officeDocument/2006/relationships/hyperlink" Target="https://doi.org/10.1002/tox.20152" TargetMode="External"/><Relationship Id="rId36" Type="http://schemas.openxmlformats.org/officeDocument/2006/relationships/hyperlink" Target="https://doi.org/10.1787/9789264069961-en" TargetMode="External"/><Relationship Id="rId49" Type="http://schemas.openxmlformats.org/officeDocument/2006/relationships/hyperlink" Target="https://doi.org/10.1152/ajpregu.1987.253.2.R216" TargetMode="External"/><Relationship Id="rId57" Type="http://schemas.openxmlformats.org/officeDocument/2006/relationships/header" Target="header3.xml"/><Relationship Id="rId10" Type="http://schemas.openxmlformats.org/officeDocument/2006/relationships/image" Target="media/image4.png"/><Relationship Id="rId31" Type="http://schemas.openxmlformats.org/officeDocument/2006/relationships/hyperlink" Target="https://doi.org/10.21077/ijf.2019.67.2.93891-16" TargetMode="External"/><Relationship Id="rId44" Type="http://schemas.openxmlformats.org/officeDocument/2006/relationships/hyperlink" Target="https://www.jetir.org/papers/JETIR1812C87.pdf" TargetMode="External"/><Relationship Id="rId52" Type="http://schemas.openxmlformats.org/officeDocument/2006/relationships/hyperlink" Target="https://doi.org/10.3390/toxics12100699"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780</TotalTime>
  <Pages>18</Pages>
  <Words>7761</Words>
  <Characters>44239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SDI 1087</cp:lastModifiedBy>
  <cp:revision>51</cp:revision>
  <dcterms:created xsi:type="dcterms:W3CDTF">2026-08-01T07:32:00Z</dcterms:created>
  <dcterms:modified xsi:type="dcterms:W3CDTF">2026-08-18T13:04:00Z</dcterms:modified>
</cp:coreProperties>
</file>