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7B63" w14:textId="5F94AC08" w:rsidR="00C3686D" w:rsidRDefault="00C3686D" w:rsidP="00521C89">
      <w:pPr>
        <w:pStyle w:val="Heading1"/>
        <w:spacing w:before="100" w:beforeAutospacing="1" w:after="100" w:afterAutospacing="1"/>
        <w:rPr>
          <w:color w:val="auto"/>
          <w:sz w:val="30"/>
          <w:szCs w:val="30"/>
        </w:rPr>
      </w:pPr>
      <w:r w:rsidRPr="00C3686D">
        <w:rPr>
          <w:color w:val="auto"/>
          <w:sz w:val="30"/>
          <w:szCs w:val="30"/>
        </w:rPr>
        <w:t xml:space="preserve">Genomics-assisted improvement of resistance to insect pests, diseases and nematodes in tomato: </w:t>
      </w:r>
      <w:r>
        <w:rPr>
          <w:color w:val="auto"/>
          <w:sz w:val="30"/>
          <w:szCs w:val="30"/>
        </w:rPr>
        <w:t>A</w:t>
      </w:r>
      <w:r w:rsidRPr="00C3686D">
        <w:rPr>
          <w:color w:val="auto"/>
          <w:sz w:val="30"/>
          <w:szCs w:val="30"/>
        </w:rPr>
        <w:t xml:space="preserve"> critical appraisal of discovery, durability and deployment</w:t>
      </w:r>
    </w:p>
    <w:p w14:paraId="3E28B185" w14:textId="1874485B" w:rsidR="00666A9D" w:rsidRDefault="00000000" w:rsidP="00521C89">
      <w:pPr>
        <w:pStyle w:val="Heading1"/>
        <w:spacing w:before="100" w:beforeAutospacing="1" w:after="100" w:afterAutospacing="1"/>
      </w:pPr>
      <w:r>
        <w:t>Abstract</w:t>
      </w:r>
    </w:p>
    <w:p w14:paraId="3A2F02B9" w14:textId="77777777" w:rsidR="00666A9D" w:rsidRDefault="00000000" w:rsidP="00521C89">
      <w:pPr>
        <w:spacing w:before="100" w:beforeAutospacing="1" w:after="100" w:afterAutospacing="1"/>
        <w:jc w:val="both"/>
      </w:pPr>
      <w:r>
        <w:t>Tomato (</w:t>
      </w:r>
      <w:r>
        <w:rPr>
          <w:i/>
          <w:iCs/>
        </w:rPr>
        <w:t xml:space="preserve">Solanum </w:t>
      </w:r>
      <w:proofErr w:type="spellStart"/>
      <w:r>
        <w:rPr>
          <w:i/>
          <w:iCs/>
        </w:rPr>
        <w:t>lycopersicum</w:t>
      </w:r>
      <w:proofErr w:type="spellEnd"/>
      <w:r>
        <w:t xml:space="preserve"> L.) is the most produced vegetable crop worldwide and sustains losses from an unusually broad spectrum of viruses, fungi, oomycetes, bacteria, root-knot nematodes, and phloem-feeding and leaf-mining insects. Two decades of genomic investment have transformed the discovery phase of resistance breeding, yet the traits deployed in commercial cultivars remain dominated by a small number of major loci </w:t>
      </w:r>
      <w:proofErr w:type="spellStart"/>
      <w:r>
        <w:t>introgressed</w:t>
      </w:r>
      <w:proofErr w:type="spellEnd"/>
      <w:r>
        <w:t xml:space="preserve"> from wild relatives, several of which have been compromised by pathogen adaptation. This critical narrative review examines whether, and where, genomic technologies have altered breeding outcomes rather than merely accelerating gene discovery. Literature was identified through publicly accessible scholarly indexes and appraised for design adequacy, replication, ecological realism, and the strength of the link between genotype and field performance. The evidence is organised around four themes: the shift from a single reference assembly to graph-based and telomere-to-telomere pangenomes; the mechanistic heterogeneity of characterised resistance loci and its consequences for durability; the persistent gap between quantitative trait locus detection and cultivar release; and the distinct evidentiary status of insect and nematode resistance, where causal genetic architecture is less resolved than for viral resistance. The available evidence indicates that genomic resources have substantially improved the resolution of resistance discovery and the precision of marker-assisted introgression, but have not yet demonstrably improved durability. Resistance erosion is documented for </w:t>
      </w:r>
      <w:proofErr w:type="spellStart"/>
      <w:r>
        <w:t>begomovirus</w:t>
      </w:r>
      <w:proofErr w:type="spellEnd"/>
      <w:r>
        <w:t xml:space="preserve">, </w:t>
      </w:r>
      <w:proofErr w:type="spellStart"/>
      <w:r>
        <w:t>tobamovirus</w:t>
      </w:r>
      <w:proofErr w:type="spellEnd"/>
      <w:r>
        <w:t xml:space="preserve"> and </w:t>
      </w:r>
      <w:proofErr w:type="spellStart"/>
      <w:r>
        <w:t>orthotospovirus</w:t>
      </w:r>
      <w:proofErr w:type="spellEnd"/>
      <w:r>
        <w:t xml:space="preserve"> resistance, and for the single nematode resistance locus in general use. Editing of susceptibility genes offers a mechanistically distinct route, although fitness costs and regulatory heterogeneity constrain translation. Insect resistance depends largely on trichome-borne specialised metabolites whose genetic control is polygenic and environmentally labile, and validated field evidence remains sparse. Priorities include multi-environment durability trials with explicit pathogen population monitoring, systematic quantification of fitness penalties associated with edited susceptibility alleles, and integration of vector and virus resistance within single genetic backgrounds. Confidence in present conclusions is limited by the geographical concentration of studies and by short evaluation horizons.</w:t>
      </w:r>
    </w:p>
    <w:p w14:paraId="38885105" w14:textId="77777777" w:rsidR="00666A9D" w:rsidRDefault="00000000" w:rsidP="00521C89">
      <w:pPr>
        <w:pStyle w:val="Heading1"/>
        <w:spacing w:before="100" w:beforeAutospacing="1" w:after="100" w:afterAutospacing="1"/>
      </w:pPr>
      <w:r>
        <w:t>Keywords</w:t>
      </w:r>
    </w:p>
    <w:p w14:paraId="6098F02D" w14:textId="77777777" w:rsidR="00666A9D" w:rsidRDefault="00000000" w:rsidP="00521C89">
      <w:pPr>
        <w:spacing w:before="100" w:beforeAutospacing="1" w:after="100" w:afterAutospacing="1"/>
        <w:jc w:val="both"/>
      </w:pPr>
      <w:r>
        <w:rPr>
          <w:i/>
          <w:iCs/>
        </w:rPr>
        <w:t xml:space="preserve">Solanum </w:t>
      </w:r>
      <w:proofErr w:type="spellStart"/>
      <w:r>
        <w:rPr>
          <w:i/>
          <w:iCs/>
        </w:rPr>
        <w:t>lycopersicum</w:t>
      </w:r>
      <w:proofErr w:type="spellEnd"/>
      <w:r>
        <w:t xml:space="preserve">; pangenome; susceptibility gene; resistance durability; </w:t>
      </w:r>
      <w:r>
        <w:rPr>
          <w:i/>
          <w:iCs/>
        </w:rPr>
        <w:t>Meloidogyne incognita</w:t>
      </w:r>
      <w:r>
        <w:t xml:space="preserve">; </w:t>
      </w:r>
      <w:proofErr w:type="spellStart"/>
      <w:r>
        <w:rPr>
          <w:i/>
          <w:iCs/>
        </w:rPr>
        <w:t>Bemisia</w:t>
      </w:r>
      <w:proofErr w:type="spellEnd"/>
      <w:r>
        <w:rPr>
          <w:i/>
          <w:iCs/>
        </w:rPr>
        <w:t xml:space="preserve"> </w:t>
      </w:r>
      <w:proofErr w:type="spellStart"/>
      <w:r>
        <w:rPr>
          <w:i/>
          <w:iCs/>
        </w:rPr>
        <w:t>tabaci</w:t>
      </w:r>
      <w:proofErr w:type="spellEnd"/>
      <w:r>
        <w:t>; marker-assisted introgression; quantitative trait locus</w:t>
      </w:r>
    </w:p>
    <w:p w14:paraId="6642D380" w14:textId="77777777" w:rsidR="00666A9D" w:rsidRDefault="00000000" w:rsidP="00521C89">
      <w:pPr>
        <w:pStyle w:val="Heading1"/>
        <w:spacing w:before="100" w:beforeAutospacing="1" w:after="100" w:afterAutospacing="1"/>
      </w:pPr>
      <w:r>
        <w:t>1. Introduction</w:t>
      </w:r>
    </w:p>
    <w:p w14:paraId="2CB8B795" w14:textId="77777777" w:rsidR="00666A9D" w:rsidRDefault="00000000" w:rsidP="00521C89">
      <w:pPr>
        <w:spacing w:before="100" w:beforeAutospacing="1" w:after="100" w:afterAutospacing="1"/>
        <w:jc w:val="both"/>
      </w:pPr>
      <w:r>
        <w:t xml:space="preserve">Tomato occupies an unusual position among horticultural crops. It is simultaneously a commodity of global economic weight and the principal model system for the genetics of fleshy fruit development, and this dual role has concentrated genomic investment on a single species to a degree matched by few other vegetables. Tomatoes were the most produced vegetable worldwide in 2022, at approximately 186 million tonnes, ahead of onions and cucumbers (Food and Agriculture Organization of the United Nations, 2023). Production spans open-field processing systems, high-input protected cultivation, and smallholder production in tropical </w:t>
      </w:r>
      <w:r>
        <w:lastRenderedPageBreak/>
        <w:t>and subtropical regions, and each of these systems presents a different biotic constraint profile. The consequence is that resistance breeding in tomato must satisfy heterogeneous and sometimes conflicting requirements rather than a single dominant target.</w:t>
      </w:r>
    </w:p>
    <w:p w14:paraId="4567A00D" w14:textId="77777777" w:rsidR="00666A9D" w:rsidRDefault="00000000" w:rsidP="00521C89">
      <w:pPr>
        <w:spacing w:before="100" w:beforeAutospacing="1" w:after="100" w:afterAutospacing="1"/>
        <w:jc w:val="both"/>
      </w:pPr>
      <w:r>
        <w:t xml:space="preserve">The biotic pressures are correspondingly broad. </w:t>
      </w:r>
      <w:proofErr w:type="spellStart"/>
      <w:r>
        <w:t>Begomoviruses</w:t>
      </w:r>
      <w:proofErr w:type="spellEnd"/>
      <w:r>
        <w:t xml:space="preserve"> transmitted by </w:t>
      </w:r>
      <w:proofErr w:type="spellStart"/>
      <w:r>
        <w:rPr>
          <w:i/>
          <w:iCs/>
        </w:rPr>
        <w:t>Bemisia</w:t>
      </w:r>
      <w:proofErr w:type="spellEnd"/>
      <w:r>
        <w:rPr>
          <w:i/>
          <w:iCs/>
        </w:rPr>
        <w:t xml:space="preserve"> </w:t>
      </w:r>
      <w:proofErr w:type="spellStart"/>
      <w:r>
        <w:rPr>
          <w:i/>
          <w:iCs/>
        </w:rPr>
        <w:t>tabaci</w:t>
      </w:r>
      <w:proofErr w:type="spellEnd"/>
      <w:r>
        <w:t xml:space="preserve"> Gennadius, </w:t>
      </w:r>
      <w:proofErr w:type="spellStart"/>
      <w:r>
        <w:t>tobamoviruses</w:t>
      </w:r>
      <w:proofErr w:type="spellEnd"/>
      <w:r>
        <w:t xml:space="preserve"> transmitted mechanically and through seed, and </w:t>
      </w:r>
      <w:proofErr w:type="spellStart"/>
      <w:r>
        <w:t>orthotospoviruses</w:t>
      </w:r>
      <w:proofErr w:type="spellEnd"/>
      <w:r>
        <w:t xml:space="preserve"> transmitted by thrips, all cause severe and recurrent epidemics. Fungal and oomycete pathogens including </w:t>
      </w:r>
      <w:r>
        <w:rPr>
          <w:i/>
          <w:iCs/>
        </w:rPr>
        <w:t>Phytophthora infestans</w:t>
      </w:r>
      <w:r>
        <w:t xml:space="preserve"> (Mont.) de Bary, </w:t>
      </w:r>
      <w:r>
        <w:rPr>
          <w:i/>
          <w:iCs/>
        </w:rPr>
        <w:t xml:space="preserve">Fusarium </w:t>
      </w:r>
      <w:proofErr w:type="spellStart"/>
      <w:r>
        <w:rPr>
          <w:i/>
          <w:iCs/>
        </w:rPr>
        <w:t>oxysporum</w:t>
      </w:r>
      <w:proofErr w:type="spellEnd"/>
      <w:r>
        <w:t xml:space="preserve"> </w:t>
      </w:r>
      <w:proofErr w:type="spellStart"/>
      <w:r>
        <w:t>Schltdl</w:t>
      </w:r>
      <w:proofErr w:type="spellEnd"/>
      <w:r>
        <w:t xml:space="preserve">. f. sp. </w:t>
      </w:r>
      <w:proofErr w:type="spellStart"/>
      <w:r>
        <w:t>lycopersici</w:t>
      </w:r>
      <w:proofErr w:type="spellEnd"/>
      <w:r>
        <w:t xml:space="preserve">, </w:t>
      </w:r>
      <w:r>
        <w:rPr>
          <w:i/>
          <w:iCs/>
        </w:rPr>
        <w:t xml:space="preserve">Verticillium </w:t>
      </w:r>
      <w:proofErr w:type="spellStart"/>
      <w:r>
        <w:rPr>
          <w:i/>
          <w:iCs/>
        </w:rPr>
        <w:t>dahliae</w:t>
      </w:r>
      <w:proofErr w:type="spellEnd"/>
      <w:r>
        <w:t xml:space="preserve"> Kleb. and </w:t>
      </w:r>
      <w:r>
        <w:rPr>
          <w:i/>
          <w:iCs/>
        </w:rPr>
        <w:t xml:space="preserve">Oidium </w:t>
      </w:r>
      <w:proofErr w:type="spellStart"/>
      <w:r>
        <w:rPr>
          <w:i/>
          <w:iCs/>
        </w:rPr>
        <w:t>neolycopersici</w:t>
      </w:r>
      <w:proofErr w:type="spellEnd"/>
      <w:r>
        <w:t xml:space="preserve"> L. Kiss remain economically significant across production systems, while the bacterial wilt pathogen </w:t>
      </w:r>
      <w:r>
        <w:rPr>
          <w:i/>
          <w:iCs/>
        </w:rPr>
        <w:t>Ralstonia solanacearum</w:t>
      </w:r>
      <w:r>
        <w:t xml:space="preserve"> (Smith) </w:t>
      </w:r>
      <w:proofErr w:type="spellStart"/>
      <w:r>
        <w:t>Yabuuchi</w:t>
      </w:r>
      <w:proofErr w:type="spellEnd"/>
      <w:r>
        <w:t xml:space="preserve"> et al. constrains cultivation throughout the humid tropics. Root-knot nematodes of the genus </w:t>
      </w:r>
      <w:r>
        <w:rPr>
          <w:i/>
          <w:iCs/>
        </w:rPr>
        <w:t>Meloidogyne</w:t>
      </w:r>
      <w:r>
        <w:t xml:space="preserve"> Göldi are a persistent soil-borne constraint, and insect herbivores including B. </w:t>
      </w:r>
      <w:proofErr w:type="spellStart"/>
      <w:r>
        <w:t>tabaci</w:t>
      </w:r>
      <w:proofErr w:type="spellEnd"/>
      <w:r>
        <w:t xml:space="preserve">, </w:t>
      </w:r>
      <w:proofErr w:type="spellStart"/>
      <w:r>
        <w:rPr>
          <w:i/>
          <w:iCs/>
        </w:rPr>
        <w:t>Phthorimaea</w:t>
      </w:r>
      <w:proofErr w:type="spellEnd"/>
      <w:r>
        <w:rPr>
          <w:i/>
          <w:iCs/>
        </w:rPr>
        <w:t xml:space="preserve"> </w:t>
      </w:r>
      <w:proofErr w:type="spellStart"/>
      <w:r>
        <w:rPr>
          <w:i/>
          <w:iCs/>
        </w:rPr>
        <w:t>absoluta</w:t>
      </w:r>
      <w:proofErr w:type="spellEnd"/>
      <w:r>
        <w:t xml:space="preserve"> (Meyrick) and </w:t>
      </w:r>
      <w:r>
        <w:rPr>
          <w:i/>
          <w:iCs/>
        </w:rPr>
        <w:t>Helicoverpa armigera</w:t>
      </w:r>
      <w:r>
        <w:t xml:space="preserve"> Hübner cause both direct damage and, in the case of vectors, indirect losses through virus transmission. The breadth of this spectrum means that resistance improvement in tomato is not a single breeding problem but a set of loosely coupled problems whose solutions compete for the same genetic and logistical resources.</w:t>
      </w:r>
    </w:p>
    <w:p w14:paraId="3373F328" w14:textId="77777777" w:rsidR="00666A9D" w:rsidRDefault="00000000" w:rsidP="00521C89">
      <w:pPr>
        <w:spacing w:before="100" w:beforeAutospacing="1" w:after="100" w:afterAutospacing="1"/>
        <w:jc w:val="both"/>
      </w:pPr>
      <w:r>
        <w:t xml:space="preserve">The genomic era in tomato began in earnest with the release of a reference assembly for the cultivar Heinz 1706 together with a draft assembly of the wild relative </w:t>
      </w:r>
      <w:r>
        <w:rPr>
          <w:i/>
          <w:iCs/>
        </w:rPr>
        <w:t xml:space="preserve">Solanum </w:t>
      </w:r>
      <w:proofErr w:type="spellStart"/>
      <w:r>
        <w:rPr>
          <w:i/>
          <w:iCs/>
        </w:rPr>
        <w:t>pimpinellifolium</w:t>
      </w:r>
      <w:proofErr w:type="spellEnd"/>
      <w:r>
        <w:t xml:space="preserve"> L. (The Tomato Genome Consortium, 2012). That resource established the coordinate system on which most subsequent mapping, marker development and comparative work in the crop has depended. Within a decade it had been superseded in ambition, first by graph-based pangenomes constructed from hundreds of accessions (Zhou et al., 2022), and more recently by telomere-to-telomere super-pangenomes assembled to support stress-resilience breeding (Shi et al., 2026) and by phylogenomic analyses that place cultivated tomato within the wider </w:t>
      </w:r>
      <w:r>
        <w:rPr>
          <w:i/>
          <w:iCs/>
        </w:rPr>
        <w:t>Solanum</w:t>
      </w:r>
      <w:r>
        <w:t xml:space="preserve"> section </w:t>
      </w:r>
      <w:r>
        <w:rPr>
          <w:i/>
          <w:iCs/>
        </w:rPr>
        <w:t>Lycopersicon</w:t>
      </w:r>
      <w:r>
        <w:t xml:space="preserve"> (J. Yu et al., 2025). Parallel advances in association genetics, genomic prediction and genome editing have been reviewed extensively for horticultural crops generally (Lou et al., 2026; Thomas et al., 2024) and for tomato disease resistance specifically (Amoroso &amp; Andolfo, 2026; Wang et al., 2025).</w:t>
      </w:r>
    </w:p>
    <w:p w14:paraId="0244169C" w14:textId="77777777" w:rsidR="00C76CF2" w:rsidRPr="009E4EF9" w:rsidRDefault="00000000">
      <w:pPr>
        <w:spacing w:before="100" w:beforeAutospacing="1" w:after="100" w:afterAutospacing="1"/>
        <w:jc w:val="both"/>
        <w:rPr>
          <w:bCs/>
        </w:rPr>
      </w:pPr>
      <w:r w:rsidRPr="009E4EF9">
        <w:rPr>
          <w:bCs/>
          <w:highlight w:val="yellow"/>
        </w:rPr>
        <w:t>Recent tomato-specific analyses also show that contemporary genomic evidence spans both synthesis of quantitative resistance loci and functional dissection of regulatory networks involved in late-blight resistance (Khojasteh et al., 2024; Su et al., 2026).</w:t>
      </w:r>
    </w:p>
    <w:p w14:paraId="09240051" w14:textId="77777777" w:rsidR="00666A9D" w:rsidRDefault="00000000" w:rsidP="00521C89">
      <w:pPr>
        <w:spacing w:before="100" w:beforeAutospacing="1" w:after="100" w:afterAutospacing="1"/>
        <w:jc w:val="both"/>
      </w:pPr>
      <w:r>
        <w:t xml:space="preserve">The state of the field presents a striking asymmetry. Resistance discovery has accelerated markedly, yet the loci actually carried by widely grown commercial hybrids are, with few exceptions, those </w:t>
      </w:r>
      <w:proofErr w:type="spellStart"/>
      <w:r>
        <w:t>introgressed</w:t>
      </w:r>
      <w:proofErr w:type="spellEnd"/>
      <w:r>
        <w:t xml:space="preserve"> decades ago from a small number of wild accessions. Resistance to root-knot nematodes in cultivated tomato still rests principally on </w:t>
      </w:r>
      <w:r>
        <w:rPr>
          <w:i/>
          <w:iCs/>
        </w:rPr>
        <w:t>Mi-1</w:t>
      </w:r>
      <w:r>
        <w:t xml:space="preserve">, cloned more than twenty-five years ago (Vos et al., 1998). Resistance to tomato yellow leaf curl virus in most commercial material relies on the </w:t>
      </w:r>
      <w:r>
        <w:rPr>
          <w:i/>
          <w:iCs/>
        </w:rPr>
        <w:t>Ty-1</w:t>
      </w:r>
      <w:r>
        <w:t xml:space="preserve"> and </w:t>
      </w:r>
      <w:r>
        <w:rPr>
          <w:i/>
          <w:iCs/>
        </w:rPr>
        <w:t>Ty-3</w:t>
      </w:r>
      <w:r>
        <w:t xml:space="preserve"> alleles, subsequently shown to encode DFDGD-class RNA-dependent RNA polymerases (</w:t>
      </w:r>
      <w:proofErr w:type="spellStart"/>
      <w:r>
        <w:t>Verlaan</w:t>
      </w:r>
      <w:proofErr w:type="spellEnd"/>
      <w:r>
        <w:t xml:space="preserve"> et al., 2013). </w:t>
      </w:r>
      <w:proofErr w:type="spellStart"/>
      <w:r>
        <w:t>Tobamovirus</w:t>
      </w:r>
      <w:proofErr w:type="spellEnd"/>
      <w:r>
        <w:t xml:space="preserve"> resistance has depended on </w:t>
      </w:r>
      <w:r>
        <w:rPr>
          <w:i/>
          <w:iCs/>
        </w:rPr>
        <w:t>Tm-2²</w:t>
      </w:r>
      <w:r>
        <w:t xml:space="preserve">, and </w:t>
      </w:r>
      <w:proofErr w:type="spellStart"/>
      <w:r>
        <w:t>orthotospovirus</w:t>
      </w:r>
      <w:proofErr w:type="spellEnd"/>
      <w:r>
        <w:t xml:space="preserve"> resistance on </w:t>
      </w:r>
      <w:r>
        <w:rPr>
          <w:i/>
          <w:iCs/>
        </w:rPr>
        <w:t>Sw-5b</w:t>
      </w:r>
      <w:r>
        <w:t xml:space="preserve">. Each of these has an accumulating record of erosion. </w:t>
      </w:r>
      <w:proofErr w:type="spellStart"/>
      <w:r>
        <w:t>Begomovirus</w:t>
      </w:r>
      <w:proofErr w:type="spellEnd"/>
      <w:r>
        <w:t xml:space="preserve"> isolates capable of overcoming </w:t>
      </w:r>
      <w:r>
        <w:rPr>
          <w:i/>
          <w:iCs/>
        </w:rPr>
        <w:t>Ty-3</w:t>
      </w:r>
      <w:r>
        <w:t xml:space="preserve">-mediated resistance have been characterised, with severity amplified at elevated temperature (Mondal et al., 2026). Tomato brown rugose fruit virus evades </w:t>
      </w:r>
      <w:r>
        <w:rPr>
          <w:i/>
          <w:iCs/>
        </w:rPr>
        <w:t>Tm-2²</w:t>
      </w:r>
      <w:r>
        <w:t xml:space="preserve"> recognition by failing to induce receptor self-association (Ma et al., 2026). Strains of tomato spotted wilt virus that overcome </w:t>
      </w:r>
      <w:r>
        <w:rPr>
          <w:i/>
          <w:iCs/>
        </w:rPr>
        <w:t>Sw-5b</w:t>
      </w:r>
      <w:r>
        <w:t xml:space="preserve"> have emerged, established and spread in major production regions (Macedo et al., 2024), and isolates capable of overcoming resistance in both tomato and pepper have been described (Forgia et al., 2026).</w:t>
      </w:r>
    </w:p>
    <w:p w14:paraId="452CEC42" w14:textId="77777777" w:rsidR="00C76CF2" w:rsidRPr="009E4EF9" w:rsidRDefault="00000000">
      <w:pPr>
        <w:spacing w:before="100" w:beforeAutospacing="1" w:after="100" w:afterAutospacing="1"/>
        <w:jc w:val="both"/>
        <w:rPr>
          <w:bCs/>
        </w:rPr>
      </w:pPr>
      <w:r w:rsidRPr="009E4EF9">
        <w:rPr>
          <w:bCs/>
          <w:highlight w:val="yellow"/>
        </w:rPr>
        <w:lastRenderedPageBreak/>
        <w:t>Recent marker-based screening of diverse tomato germplasm has also documented uneven representation of characterized disease-resistance genes among accessions (Yang et al., 2025).</w:t>
      </w:r>
    </w:p>
    <w:p w14:paraId="67707FB9" w14:textId="77777777" w:rsidR="00666A9D" w:rsidRDefault="00000000" w:rsidP="00521C89">
      <w:pPr>
        <w:spacing w:before="100" w:beforeAutospacing="1" w:after="100" w:afterAutospacing="1"/>
        <w:jc w:val="both"/>
      </w:pPr>
      <w:r>
        <w:t>Existing reviews have generally addressed one component of this landscape at a time. Genome editing for disease resistance has been surveyed comprehensively (Amoroso &amp; Andolfo, 2026), as has the manipulation of susceptibility genes in tomato (Wang et al., 2025). Genetic resistance in vegetable crops has been reviewed at a broader taxonomic scale (Thomas et al., 2024), and genomic selection in fruits and vegetables has been scoped systematically (Lee et al., 2024). Reviews of nematode management in tomato have concentrated on transgenic and editing approaches (Askri et al., 2026; Pan et al., 2026), and reviews of whitefly resistance have concentrated on the arthropod and its management (D. Li et al., 2023). What has not been assembled is a critical account that treats pathogens, nematodes and insects together and asks a specific question of the combined evidence: has the transition from linkage mapping to pangenome-scale genomics changed which resistances are deployed and how long they last, or has it principally changed the speed and resolution with which candidate loci are identified?</w:t>
      </w:r>
    </w:p>
    <w:p w14:paraId="61E0D25E" w14:textId="77777777" w:rsidR="00666A9D" w:rsidRDefault="00000000" w:rsidP="00521C89">
      <w:pPr>
        <w:spacing w:before="100" w:beforeAutospacing="1" w:after="100" w:afterAutospacing="1"/>
        <w:jc w:val="both"/>
      </w:pPr>
      <w:r>
        <w:t xml:space="preserve">That question matters because the three biotic domains are not independent. Vector resistance modifies virus epidemiology, so that traits selected for insect deterrence have consequences for viral disease incidence (Marchant et al., 2020; </w:t>
      </w:r>
      <w:proofErr w:type="spellStart"/>
      <w:r>
        <w:t>Smeda</w:t>
      </w:r>
      <w:proofErr w:type="spellEnd"/>
      <w:r>
        <w:t xml:space="preserve"> et al., 2023). Root-knot nematode resistance and aphid resistance are conferred by the same locus (Vos et al., 1998), which couples above-ground and below-ground selection. Pyramiding schemes must accommodate loci from different wild donors with differing linkage drag burdens, and the resulting introgression load has been shown to leave a measurable signature on modern cultivar genomes (Yamamoto et al., 2024). Treating these domains separately, as most reviews do, obscures the trade-offs that determine what breeders can actually assemble in one genetic background.</w:t>
      </w:r>
    </w:p>
    <w:p w14:paraId="08F34B26" w14:textId="77777777" w:rsidR="00C76CF2" w:rsidRPr="009E4EF9" w:rsidRDefault="00000000">
      <w:pPr>
        <w:spacing w:before="100" w:beforeAutospacing="1" w:after="100" w:afterAutospacing="1"/>
        <w:jc w:val="both"/>
        <w:rPr>
          <w:bCs/>
        </w:rPr>
      </w:pPr>
      <w:r w:rsidRPr="009E4EF9">
        <w:rPr>
          <w:bCs/>
          <w:highlight w:val="yellow"/>
        </w:rPr>
        <w:t xml:space="preserve">At the insect-resistance interface, integrated transcriptomic and metabolomic analysis of </w:t>
      </w:r>
      <w:r w:rsidRPr="009E4EF9">
        <w:rPr>
          <w:bCs/>
          <w:i/>
          <w:highlight w:val="yellow"/>
        </w:rPr>
        <w:t>Solanum habrochaites</w:t>
      </w:r>
      <w:r w:rsidRPr="009E4EF9">
        <w:rPr>
          <w:bCs/>
          <w:highlight w:val="yellow"/>
        </w:rPr>
        <w:t xml:space="preserve"> has linked terpene-biosynthetic variation with insect-resistance phenotypes, complementing the established emphasis on trichome-associated specialized metabolism (Wang et al., 2025).</w:t>
      </w:r>
    </w:p>
    <w:p w14:paraId="7896B2F7" w14:textId="77777777" w:rsidR="00666A9D" w:rsidRDefault="00000000" w:rsidP="00521C89">
      <w:pPr>
        <w:pStyle w:val="Heading2"/>
        <w:spacing w:before="100" w:beforeAutospacing="1" w:after="100" w:afterAutospacing="1"/>
      </w:pPr>
      <w:r>
        <w:t>1.1 Scope, Research Gap and Objectives</w:t>
      </w:r>
    </w:p>
    <w:p w14:paraId="485C967B" w14:textId="77777777" w:rsidR="00666A9D" w:rsidRDefault="00000000" w:rsidP="00521C89">
      <w:pPr>
        <w:spacing w:before="100" w:beforeAutospacing="1" w:after="100" w:afterAutospacing="1"/>
        <w:jc w:val="both"/>
      </w:pPr>
      <w:r>
        <w:t xml:space="preserve">This review is bounded to cultivated tomato and its close wild relatives within </w:t>
      </w:r>
      <w:r>
        <w:rPr>
          <w:i/>
          <w:iCs/>
        </w:rPr>
        <w:t>Solanum</w:t>
      </w:r>
      <w:r>
        <w:t xml:space="preserve"> section </w:t>
      </w:r>
      <w:r>
        <w:rPr>
          <w:i/>
          <w:iCs/>
        </w:rPr>
        <w:t>Lycopersicon</w:t>
      </w:r>
      <w:r>
        <w:t>, and to genetic and genomic approaches directed at resistance to insect pests, pathogens and plant-parasitic nematodes. It covers genomic resources and their use for resistance discovery, association and linkage-based mapping, marker-assisted introgression and pyramiding, genomic prediction, and targeted modification of resistance and susceptibility genes. Chemical control, biological control, cultural management, rootstock physiology unrelated to resistance genetics, abiotic stress tolerance, and fruit quality traits fall outside the scope except where they bear directly on the interpretation of resistance evidence. Post-harvest pathology and seed health regulation are excluded.</w:t>
      </w:r>
    </w:p>
    <w:p w14:paraId="2305C421" w14:textId="77777777" w:rsidR="00666A9D" w:rsidRDefault="00000000" w:rsidP="00521C89">
      <w:pPr>
        <w:spacing w:before="100" w:beforeAutospacing="1" w:after="100" w:afterAutospacing="1"/>
        <w:jc w:val="both"/>
      </w:pPr>
      <w:r>
        <w:t xml:space="preserve">The specific gap addressed is the absence of an integrated critical appraisal that distinguishes what genomic technologies have demonstrably achieved in tomato resistance breeding from what has been claimed or projected. Prior reviews document the expansion of tools and the growing catalogue of mapped loci, but they seldom evaluate the strength of the evidence linking genomic discovery to field-validated, durable resistance, and they rarely confront the recurring pattern of breakdown in the loci that are actually deployed. Nor do they assess whether the evidentiary standards applied to viral resistance, where causal genes are frequently </w:t>
      </w:r>
      <w:r>
        <w:lastRenderedPageBreak/>
        <w:t>cloned and mechanisms defined, are matched in the insect and nematode domains, where resistance is more often quantitative, metabolically mediated and environmentally contingent.</w:t>
      </w:r>
    </w:p>
    <w:p w14:paraId="2F41D87E" w14:textId="77777777" w:rsidR="00666A9D" w:rsidRDefault="00000000" w:rsidP="00521C89">
      <w:pPr>
        <w:spacing w:before="100" w:beforeAutospacing="1" w:after="100" w:afterAutospacing="1"/>
        <w:jc w:val="both"/>
      </w:pPr>
      <w:r>
        <w:t>The intended contribution is an evidence-calibrated synthesis that treats the three biotic domains as a single breeding problem with shared constraints, and that separates well-supported conclusions from preliminary or mechanistically plausible but unvalidated claims. Important exclusions are noted above; in addition, the review does not attempt exhaustive enumeration of every mapped locus, and does not assign formal risk-of-bias scores, since no recognised appraisal instrument was applied to the primary studies.</w:t>
      </w:r>
    </w:p>
    <w:p w14:paraId="0C1B1D96" w14:textId="77777777" w:rsidR="00666A9D" w:rsidRDefault="00000000" w:rsidP="00521C89">
      <w:pPr>
        <w:spacing w:before="100" w:beforeAutospacing="1" w:after="100" w:afterAutospacing="1"/>
        <w:jc w:val="both"/>
      </w:pPr>
      <w:r>
        <w:t>Four objectives follow. The first is to evaluate how the transition from a single reference assembly to pangenome-scale resources has changed the resolution and reliability of resistance discovery, and to identify what this transition has not resolved. The second is to compare the mechanistic classes of characterised resistance loci across viral, fungal, bacterial, oomycete, nematode and insect targets, and to assess whether mechanistic class predicts durability. The third is to examine the gap between locus detection and cultivar deployment, including the methodological features of mapping studies that limit their translational value. The fourth is to derive prioritised research directions that are defensible on the basis of the appraised evidence rather than on technological aspiration.</w:t>
      </w:r>
    </w:p>
    <w:p w14:paraId="074AC5BC" w14:textId="77777777" w:rsidR="00666A9D" w:rsidRDefault="00000000" w:rsidP="00521C89">
      <w:pPr>
        <w:pStyle w:val="Heading1"/>
        <w:spacing w:before="100" w:beforeAutospacing="1" w:after="100" w:afterAutospacing="1"/>
      </w:pPr>
      <w:r>
        <w:t>2. Methods for Literature Selection</w:t>
      </w:r>
    </w:p>
    <w:p w14:paraId="5A906049" w14:textId="77777777" w:rsidR="00666A9D" w:rsidRDefault="00000000" w:rsidP="00521C89">
      <w:pPr>
        <w:pStyle w:val="Heading2"/>
        <w:spacing w:before="100" w:beforeAutospacing="1" w:after="100" w:afterAutospacing="1"/>
      </w:pPr>
      <w:r>
        <w:t>2.1 Review Design and Rationale</w:t>
      </w:r>
    </w:p>
    <w:p w14:paraId="6FCACA0D" w14:textId="77777777" w:rsidR="00666A9D" w:rsidRDefault="00000000" w:rsidP="00521C89">
      <w:pPr>
        <w:spacing w:before="100" w:beforeAutospacing="1" w:after="100" w:afterAutospacing="1"/>
        <w:jc w:val="both"/>
      </w:pPr>
      <w:r>
        <w:t>A critical narrative design was selected in preference to a systematic review, scoping review or meta-analysis. The question posed is interpretive rather than enumerative: it asks whether a body of technological change has altered breeding outcomes, and this requires comparison of heterogeneous evidence types including genome assemblies, mapping studies, transgenic and editing experiments, field trials, and pathogen population surveys. These designs share no common effect measure, no comparable exposure definition and no consistent outcome scale, so quantitative pooling would be uninterpretable. A scoping review would map the literature without appraising it, and the central difficulty identified here concerns evidential strength rather than coverage. The narrative form permits comparison across evidence types while retaining explicit appraisal, provided that the search, selection and appraisal steps are reported transparently. The reporting was structured to satisfy the domains addressed by the Scale for the Assessment of Narrative Review Articles, which specifies justification of importance, statement of aims, description of literature searching, referencing of claims, evidence-appropriate presentation of data, and appropriate discussion of the evidence (</w:t>
      </w:r>
      <w:proofErr w:type="spellStart"/>
      <w:r>
        <w:t>Baethge</w:t>
      </w:r>
      <w:proofErr w:type="spellEnd"/>
      <w:r>
        <w:t xml:space="preserve"> et al., 2019). Adoption of a narrative design does not relax the requirements for transparency or for critical appraisal, and both were applied throughout.</w:t>
      </w:r>
    </w:p>
    <w:p w14:paraId="51B64663" w14:textId="77777777" w:rsidR="00666A9D" w:rsidRDefault="00000000" w:rsidP="00521C89">
      <w:pPr>
        <w:pStyle w:val="Heading2"/>
        <w:spacing w:before="100" w:beforeAutospacing="1" w:after="100" w:afterAutospacing="1"/>
      </w:pPr>
      <w:r>
        <w:t>2.2 Information Sources</w:t>
      </w:r>
    </w:p>
    <w:p w14:paraId="58B732EF" w14:textId="77777777" w:rsidR="00666A9D" w:rsidRDefault="00000000" w:rsidP="00521C89">
      <w:pPr>
        <w:spacing w:before="100" w:beforeAutospacing="1" w:after="100" w:afterAutospacing="1"/>
        <w:jc w:val="both"/>
      </w:pPr>
      <w:r>
        <w:t xml:space="preserve">Searching was conducted using publicly accessible scholarly indexes and metadata registries: Europe PubMed Central, which indexes PubMed and MEDLINE records together with open-access full texts in the life sciences; the PubMed E-utilities interface; </w:t>
      </w:r>
      <w:proofErr w:type="spellStart"/>
      <w:r>
        <w:t>Crossref</w:t>
      </w:r>
      <w:proofErr w:type="spellEnd"/>
      <w:r>
        <w:t xml:space="preserve"> Metadata Search, used both for discovery and for bibliographic verification; and the Directory of Open Access Journals. General web searching was used to locate authoritative institutional material. Bibliographic verification of every retained record, including author list, title, journal, year, volume, issue, page range or article number, and Digital Object Identifier, was performed </w:t>
      </w:r>
      <w:r>
        <w:lastRenderedPageBreak/>
        <w:t xml:space="preserve">through </w:t>
      </w:r>
      <w:proofErr w:type="spellStart"/>
      <w:r>
        <w:t>Crossref</w:t>
      </w:r>
      <w:proofErr w:type="spellEnd"/>
      <w:r>
        <w:t>, with cross-checking against Europe PubMed Central where the two sources were both available.</w:t>
      </w:r>
    </w:p>
    <w:p w14:paraId="0729D50B" w14:textId="77777777" w:rsidR="00666A9D" w:rsidRDefault="00000000" w:rsidP="00521C89">
      <w:pPr>
        <w:spacing w:before="100" w:beforeAutospacing="1" w:after="100" w:afterAutospacing="1"/>
        <w:jc w:val="both"/>
      </w:pPr>
      <w:r>
        <w:t>No subscription database was accessible during the preparation of this review. Web of Science Core Collection, Scopus, CAB Abstracts and AGRICOLA were therefore not searched, and no claim is made regarding their coverage of the topic. This constitutes a real limitation on completeness, particularly for applied agronomic and regional literature, which is indexed more comprehensively in agricultural abstracting services than in biomedical indexes. Database searching was supplemented by backward citation inspection of recent reviews and by targeted searching for specific named loci and pathogen species identified during reading. Authoritative institutional material was drawn from the Food and Agriculture Organization of the United Nations.</w:t>
      </w:r>
    </w:p>
    <w:p w14:paraId="6ADEAEC8" w14:textId="77777777" w:rsidR="00666A9D" w:rsidRDefault="00000000" w:rsidP="00521C89">
      <w:pPr>
        <w:pStyle w:val="Heading2"/>
        <w:spacing w:before="100" w:beforeAutospacing="1" w:after="100" w:afterAutospacing="1"/>
      </w:pPr>
      <w:r>
        <w:t>2.3 Search Strategy and Search Period</w:t>
      </w:r>
    </w:p>
    <w:p w14:paraId="7BE419CD" w14:textId="77777777" w:rsidR="00666A9D" w:rsidRDefault="00000000" w:rsidP="00521C89">
      <w:pPr>
        <w:spacing w:before="100" w:beforeAutospacing="1" w:after="100" w:afterAutospacing="1"/>
        <w:jc w:val="both"/>
      </w:pPr>
      <w:r>
        <w:t xml:space="preserve">Search concepts were developed from the review question and combined with Boolean operators. Four concept blocks were used. The host block combined tomato, </w:t>
      </w:r>
      <w:r>
        <w:rPr>
          <w:i/>
          <w:iCs/>
        </w:rPr>
        <w:t xml:space="preserve">Solanum </w:t>
      </w:r>
      <w:proofErr w:type="spellStart"/>
      <w:r>
        <w:rPr>
          <w:i/>
          <w:iCs/>
        </w:rPr>
        <w:t>lycopersicum</w:t>
      </w:r>
      <w:proofErr w:type="spellEnd"/>
      <w:r>
        <w:t xml:space="preserve">, and the names of the principal wild relatives </w:t>
      </w:r>
      <w:r>
        <w:rPr>
          <w:i/>
          <w:iCs/>
        </w:rPr>
        <w:t xml:space="preserve">Solanum </w:t>
      </w:r>
      <w:proofErr w:type="spellStart"/>
      <w:r>
        <w:rPr>
          <w:i/>
          <w:iCs/>
        </w:rPr>
        <w:t>pimpinellifolium</w:t>
      </w:r>
      <w:proofErr w:type="spellEnd"/>
      <w:r>
        <w:t xml:space="preserve">, </w:t>
      </w:r>
      <w:r>
        <w:rPr>
          <w:i/>
          <w:iCs/>
        </w:rPr>
        <w:t xml:space="preserve">Solanum </w:t>
      </w:r>
      <w:proofErr w:type="spellStart"/>
      <w:r>
        <w:rPr>
          <w:i/>
          <w:iCs/>
        </w:rPr>
        <w:t>habrochaites</w:t>
      </w:r>
      <w:proofErr w:type="spellEnd"/>
      <w:r>
        <w:t xml:space="preserve"> S. Knapp and D. M. Spooner, </w:t>
      </w:r>
      <w:r>
        <w:rPr>
          <w:i/>
          <w:iCs/>
        </w:rPr>
        <w:t xml:space="preserve">Solanum </w:t>
      </w:r>
      <w:proofErr w:type="spellStart"/>
      <w:r>
        <w:rPr>
          <w:i/>
          <w:iCs/>
        </w:rPr>
        <w:t>pennellii</w:t>
      </w:r>
      <w:proofErr w:type="spellEnd"/>
      <w:r>
        <w:t xml:space="preserve"> Correll, </w:t>
      </w:r>
      <w:r>
        <w:rPr>
          <w:i/>
          <w:iCs/>
        </w:rPr>
        <w:t xml:space="preserve">Solanum </w:t>
      </w:r>
      <w:proofErr w:type="spellStart"/>
      <w:r>
        <w:rPr>
          <w:i/>
          <w:iCs/>
        </w:rPr>
        <w:t>chilense</w:t>
      </w:r>
      <w:proofErr w:type="spellEnd"/>
      <w:r>
        <w:t xml:space="preserve"> (</w:t>
      </w:r>
      <w:proofErr w:type="spellStart"/>
      <w:r>
        <w:t>Dunal</w:t>
      </w:r>
      <w:proofErr w:type="spellEnd"/>
      <w:r>
        <w:t xml:space="preserve">) Reiche and </w:t>
      </w:r>
      <w:r>
        <w:rPr>
          <w:i/>
          <w:iCs/>
        </w:rPr>
        <w:t xml:space="preserve">Solanum </w:t>
      </w:r>
      <w:proofErr w:type="spellStart"/>
      <w:r>
        <w:rPr>
          <w:i/>
          <w:iCs/>
        </w:rPr>
        <w:t>peruvianum</w:t>
      </w:r>
      <w:proofErr w:type="spellEnd"/>
      <w:r>
        <w:t xml:space="preserve"> L. The target block combined pathogen and pest terms including tomato yellow leaf curl virus, tomato brown rugose fruit virus, tomato spotted wilt virus, </w:t>
      </w:r>
      <w:proofErr w:type="spellStart"/>
      <w:r>
        <w:t>begomovirus</w:t>
      </w:r>
      <w:proofErr w:type="spellEnd"/>
      <w:r>
        <w:t xml:space="preserve">, </w:t>
      </w:r>
      <w:proofErr w:type="spellStart"/>
      <w:r>
        <w:t>tobamovirus</w:t>
      </w:r>
      <w:proofErr w:type="spellEnd"/>
      <w:r>
        <w:t xml:space="preserve">, </w:t>
      </w:r>
      <w:proofErr w:type="spellStart"/>
      <w:r>
        <w:t>orthotospovirus</w:t>
      </w:r>
      <w:proofErr w:type="spellEnd"/>
      <w:r>
        <w:t xml:space="preserve">, </w:t>
      </w:r>
      <w:r>
        <w:rPr>
          <w:i/>
          <w:iCs/>
        </w:rPr>
        <w:t>Phytophthora infestans</w:t>
      </w:r>
      <w:r>
        <w:t xml:space="preserve">, </w:t>
      </w:r>
      <w:r>
        <w:rPr>
          <w:i/>
          <w:iCs/>
        </w:rPr>
        <w:t xml:space="preserve">Fusarium </w:t>
      </w:r>
      <w:proofErr w:type="spellStart"/>
      <w:r>
        <w:rPr>
          <w:i/>
          <w:iCs/>
        </w:rPr>
        <w:t>oxysporum</w:t>
      </w:r>
      <w:proofErr w:type="spellEnd"/>
      <w:r>
        <w:t xml:space="preserve">, </w:t>
      </w:r>
      <w:r>
        <w:rPr>
          <w:i/>
          <w:iCs/>
        </w:rPr>
        <w:t xml:space="preserve">Verticillium </w:t>
      </w:r>
      <w:proofErr w:type="spellStart"/>
      <w:r>
        <w:rPr>
          <w:i/>
          <w:iCs/>
        </w:rPr>
        <w:t>dahliae</w:t>
      </w:r>
      <w:proofErr w:type="spellEnd"/>
      <w:r>
        <w:t xml:space="preserve">, </w:t>
      </w:r>
      <w:r>
        <w:rPr>
          <w:i/>
          <w:iCs/>
        </w:rPr>
        <w:t>Ralstonia solanacearum</w:t>
      </w:r>
      <w:r>
        <w:t xml:space="preserve">, </w:t>
      </w:r>
      <w:r>
        <w:rPr>
          <w:i/>
          <w:iCs/>
        </w:rPr>
        <w:t>Xanthomonas</w:t>
      </w:r>
      <w:r>
        <w:t xml:space="preserve">, powdery mildew, </w:t>
      </w:r>
      <w:r>
        <w:rPr>
          <w:i/>
          <w:iCs/>
        </w:rPr>
        <w:t>Meloidogyne</w:t>
      </w:r>
      <w:r>
        <w:t xml:space="preserve">, root-knot nematode, </w:t>
      </w:r>
      <w:proofErr w:type="spellStart"/>
      <w:r>
        <w:rPr>
          <w:i/>
          <w:iCs/>
        </w:rPr>
        <w:t>Bemisia</w:t>
      </w:r>
      <w:proofErr w:type="spellEnd"/>
      <w:r>
        <w:rPr>
          <w:i/>
          <w:iCs/>
        </w:rPr>
        <w:t xml:space="preserve"> </w:t>
      </w:r>
      <w:proofErr w:type="spellStart"/>
      <w:r>
        <w:rPr>
          <w:i/>
          <w:iCs/>
        </w:rPr>
        <w:t>tabaci</w:t>
      </w:r>
      <w:proofErr w:type="spellEnd"/>
      <w:r>
        <w:t xml:space="preserve">, whitefly, </w:t>
      </w:r>
      <w:r>
        <w:rPr>
          <w:i/>
          <w:iCs/>
        </w:rPr>
        <w:t xml:space="preserve">Tuta </w:t>
      </w:r>
      <w:proofErr w:type="spellStart"/>
      <w:r>
        <w:rPr>
          <w:i/>
          <w:iCs/>
        </w:rPr>
        <w:t>absoluta</w:t>
      </w:r>
      <w:proofErr w:type="spellEnd"/>
      <w:r>
        <w:t xml:space="preserve">, </w:t>
      </w:r>
      <w:proofErr w:type="spellStart"/>
      <w:r>
        <w:rPr>
          <w:i/>
          <w:iCs/>
        </w:rPr>
        <w:t>Phthorimaea</w:t>
      </w:r>
      <w:proofErr w:type="spellEnd"/>
      <w:r>
        <w:rPr>
          <w:i/>
          <w:iCs/>
        </w:rPr>
        <w:t xml:space="preserve"> </w:t>
      </w:r>
      <w:proofErr w:type="spellStart"/>
      <w:r>
        <w:rPr>
          <w:i/>
          <w:iCs/>
        </w:rPr>
        <w:t>absoluta</w:t>
      </w:r>
      <w:proofErr w:type="spellEnd"/>
      <w:r>
        <w:t xml:space="preserve"> and </w:t>
      </w:r>
      <w:r>
        <w:rPr>
          <w:i/>
          <w:iCs/>
        </w:rPr>
        <w:t>Helicoverpa armigera</w:t>
      </w:r>
      <w:r>
        <w:t>. The mechanism and technology block combined resistance gene, susceptibility gene, nucleotide-binding leucine-rich repeat, quantitative trait locus, genome-wide association, genomic selection, genomic prediction, marker-assisted selection, pyramiding, introgression, pangenome, CRISPR and genome editing. The outcome and context block combined durability, resistance breaking, resistance breakdown, fitness cost, linkage drag, field evaluation and deployment.</w:t>
      </w:r>
    </w:p>
    <w:p w14:paraId="78BEC415" w14:textId="77777777" w:rsidR="00666A9D" w:rsidRDefault="00000000" w:rsidP="00521C89">
      <w:pPr>
        <w:spacing w:before="100" w:beforeAutospacing="1" w:after="100" w:afterAutospacing="1"/>
        <w:jc w:val="both"/>
      </w:pPr>
      <w:r>
        <w:t>A representative string, executed in Europe PubMed Central, was: (tomato OR "</w:t>
      </w:r>
      <w:r>
        <w:rPr>
          <w:i/>
          <w:iCs/>
        </w:rPr>
        <w:t xml:space="preserve">Solanum </w:t>
      </w:r>
      <w:proofErr w:type="spellStart"/>
      <w:r>
        <w:rPr>
          <w:i/>
          <w:iCs/>
        </w:rPr>
        <w:t>lycopersicum</w:t>
      </w:r>
      <w:proofErr w:type="spellEnd"/>
      <w:r>
        <w:t>") AND (resistance OR tolerance) AND ("quantitative trait locus" OR "genome-wide association" OR pangenome OR CRISPR OR "marker-assisted selection") AND (</w:t>
      </w:r>
      <w:r>
        <w:rPr>
          <w:i/>
          <w:iCs/>
        </w:rPr>
        <w:t>Meloidogyne</w:t>
      </w:r>
      <w:r>
        <w:t xml:space="preserve"> OR "</w:t>
      </w:r>
      <w:proofErr w:type="spellStart"/>
      <w:r>
        <w:rPr>
          <w:i/>
          <w:iCs/>
        </w:rPr>
        <w:t>Bemisia</w:t>
      </w:r>
      <w:proofErr w:type="spellEnd"/>
      <w:r>
        <w:rPr>
          <w:i/>
          <w:iCs/>
        </w:rPr>
        <w:t xml:space="preserve"> </w:t>
      </w:r>
      <w:proofErr w:type="spellStart"/>
      <w:r>
        <w:rPr>
          <w:i/>
          <w:iCs/>
        </w:rPr>
        <w:t>tabaci</w:t>
      </w:r>
      <w:proofErr w:type="spellEnd"/>
      <w:r>
        <w:t xml:space="preserve">" OR </w:t>
      </w:r>
      <w:proofErr w:type="spellStart"/>
      <w:r>
        <w:t>begomovirus</w:t>
      </w:r>
      <w:proofErr w:type="spellEnd"/>
      <w:r>
        <w:t xml:space="preserve"> OR </w:t>
      </w:r>
      <w:proofErr w:type="spellStart"/>
      <w:r>
        <w:t>tobamovirus</w:t>
      </w:r>
      <w:proofErr w:type="spellEnd"/>
      <w:r>
        <w:t xml:space="preserve"> OR </w:t>
      </w:r>
      <w:proofErr w:type="spellStart"/>
      <w:r>
        <w:t>orthotospovirus</w:t>
      </w:r>
      <w:proofErr w:type="spellEnd"/>
      <w:r>
        <w:t xml:space="preserve"> OR Phytophthora OR Fusarium OR Ralstonia). Narrower strings were constructed for individual loci, for example (tomato AND "</w:t>
      </w:r>
      <w:r>
        <w:rPr>
          <w:i/>
          <w:iCs/>
        </w:rPr>
        <w:t>Ty-1</w:t>
      </w:r>
      <w:r>
        <w:t>" AND "tomato yellow leaf curl virus" AND resistance) and (tomato AND "</w:t>
      </w:r>
      <w:r>
        <w:rPr>
          <w:i/>
          <w:iCs/>
        </w:rPr>
        <w:t>Mi-1</w:t>
      </w:r>
      <w:r>
        <w:t xml:space="preserve">" AND </w:t>
      </w:r>
      <w:r>
        <w:rPr>
          <w:i/>
          <w:iCs/>
        </w:rPr>
        <w:t>Meloidogyne</w:t>
      </w:r>
      <w:r>
        <w:t xml:space="preserve"> AND (temperature OR virulence OR breaking)). </w:t>
      </w:r>
      <w:proofErr w:type="spellStart"/>
      <w:r>
        <w:t>Crossref</w:t>
      </w:r>
      <w:proofErr w:type="spellEnd"/>
      <w:r>
        <w:t xml:space="preserve"> bibliographic searching used full or partial article titles for verification rather than for discovery.</w:t>
      </w:r>
    </w:p>
    <w:p w14:paraId="49754826" w14:textId="77777777" w:rsidR="00666A9D" w:rsidRDefault="00000000" w:rsidP="00521C89">
      <w:pPr>
        <w:spacing w:before="100" w:beforeAutospacing="1" w:after="100" w:afterAutospacing="1"/>
        <w:jc w:val="both"/>
      </w:pPr>
      <w:r>
        <w:t>The search period extended from 1998, the year in which the first tomato resistance gene against both a nematode and an insect was cloned and reported, to 9 June 2026, which was the final search date. Publications appearing after that date were not eligible. Foundational work published before 1998 was consulted where necessary to establish historical context but was not systematically searched.</w:t>
      </w:r>
    </w:p>
    <w:p w14:paraId="335DB0A6" w14:textId="77777777" w:rsidR="00666A9D" w:rsidRDefault="00000000" w:rsidP="00521C89">
      <w:pPr>
        <w:pStyle w:val="Heading2"/>
        <w:spacing w:before="100" w:beforeAutospacing="1" w:after="100" w:afterAutospacing="1"/>
      </w:pPr>
      <w:r>
        <w:t>2.4 Eligibility Criteria</w:t>
      </w:r>
    </w:p>
    <w:p w14:paraId="2C4E97CA" w14:textId="77777777" w:rsidR="00666A9D" w:rsidRDefault="00000000" w:rsidP="00521C89">
      <w:pPr>
        <w:spacing w:before="100" w:beforeAutospacing="1" w:after="100" w:afterAutospacing="1"/>
        <w:jc w:val="both"/>
      </w:pPr>
      <w:r>
        <w:lastRenderedPageBreak/>
        <w:t>Eligible publications were peer-reviewed journal articles reporting original research or scholarly reviews, together with reports from recognised intergovernmental bodies. Subject relevance required that the work address resistance or susceptibility to insects, pathogens or nematodes in cultivated tomato or its close wild relatives, or address a genomic resource, method or regulatory framework with direct bearing on that objective. Studies on other Solanaceae were eligible only where they informed the interpretation of tomato-specific evidence, for example through conserved gene function or shared pathogen populations.</w:t>
      </w:r>
    </w:p>
    <w:p w14:paraId="5E21DECC" w14:textId="77777777" w:rsidR="00666A9D" w:rsidRDefault="00000000" w:rsidP="00521C89">
      <w:pPr>
        <w:spacing w:before="100" w:beforeAutospacing="1" w:after="100" w:afterAutospacing="1"/>
        <w:jc w:val="both"/>
      </w:pPr>
      <w:r>
        <w:t>Study designs eligible for inclusion comprised genome assembly and pangenome analyses, linkage and association mapping, genomic prediction studies, transgenic and genome-editing experiments with functional validation, controlled infestation or inoculation assays, field evaluations, pathogen and pest population surveys, and methodological or synthesis articles. Publications were restricted to English. Excluded were preprints, conference abstracts, trade publications, promotional material, patents used as evidence of efficacy, and any record whose bibliographic details could not be confirmed. Preprints identified during searching were noted but not cited, since peer-reviewed evidence was available for every theme developed. Retracted articles were not included, and searches for corrections and expressions of concern were run against retained records.</w:t>
      </w:r>
    </w:p>
    <w:p w14:paraId="546D1DB6" w14:textId="77777777" w:rsidR="00666A9D" w:rsidRDefault="00000000" w:rsidP="00521C89">
      <w:pPr>
        <w:pStyle w:val="Heading2"/>
        <w:spacing w:before="100" w:beforeAutospacing="1" w:after="100" w:afterAutospacing="1"/>
      </w:pPr>
      <w:r>
        <w:t>2.5 Screening, Duplicate Handling and Study Selection</w:t>
      </w:r>
    </w:p>
    <w:p w14:paraId="7919B4A4" w14:textId="77777777" w:rsidR="00666A9D" w:rsidRDefault="00000000" w:rsidP="00521C89">
      <w:pPr>
        <w:spacing w:before="100" w:beforeAutospacing="1" w:after="100" w:afterAutospacing="1"/>
        <w:jc w:val="both"/>
      </w:pPr>
      <w:r>
        <w:t>Records returned by each search were screened first on title and abstract for subject relevance and publication type. Records passing that stage were assessed against the eligibility criteria using the abstract and, where the abstract was insufficient or the study was central to an argument, the full text where accessible. Duplicates arising from overlapping index coverage were identified by Digital Object Identifier and, where a Digital Object Identifier was absent from one record, by matched title and first-author surname; the record with the more complete and internally consistent metadata was retained. Several records were returned in both a preprint and a peer-reviewed form, and only the peer-reviewed version was considered.</w:t>
      </w:r>
    </w:p>
    <w:p w14:paraId="6A33FC80" w14:textId="77777777" w:rsidR="00666A9D" w:rsidRDefault="00000000" w:rsidP="00521C89">
      <w:pPr>
        <w:spacing w:before="100" w:beforeAutospacing="1" w:after="100" w:afterAutospacing="1"/>
        <w:jc w:val="both"/>
      </w:pPr>
      <w:r>
        <w:t>Language restriction to English will have excluded relevant work, particularly regional agronomic literature from major producing countries. Sources that could not be retrieved in full text were retained only where the abstract and verified metadata were sufficient to support the specific claim made, and were not used for claims requiring methodological detail. No numerical screening counts are reported, because selection was purposive and iterative rather than systematic, and reporting counts would imply a procedural rigour that this design does not possess. No flow diagram is presented for the same reason.</w:t>
      </w:r>
    </w:p>
    <w:p w14:paraId="676A9D54" w14:textId="77777777" w:rsidR="00666A9D" w:rsidRDefault="00000000" w:rsidP="00521C89">
      <w:pPr>
        <w:pStyle w:val="Heading2"/>
        <w:spacing w:before="100" w:beforeAutospacing="1" w:after="100" w:afterAutospacing="1"/>
      </w:pPr>
      <w:r>
        <w:t>2.6 Critical Appraisal and Evidence Synthesis</w:t>
      </w:r>
    </w:p>
    <w:p w14:paraId="00228FC3" w14:textId="77777777" w:rsidR="00666A9D" w:rsidRDefault="00000000" w:rsidP="00521C89">
      <w:pPr>
        <w:spacing w:before="100" w:beforeAutospacing="1" w:after="100" w:afterAutospacing="1"/>
        <w:jc w:val="both"/>
      </w:pPr>
      <w:r>
        <w:t xml:space="preserve">Retained studies were appraised against criteria appropriate to their design rather than by a single instrument. For mapping studies, appraisal considered population type and size, marker density, phenotyping protocol and its ecological realism, the number of environments and seasons sampled, whether effects were validated in an independent population, and whether reported loci were resolved to candidate genes or remained interval-level associations. For functional studies of resistance and susceptibility genes, appraisal considered whether independent transformation or editing events were compared, whether appropriate controls and complementation were included, whether challenge conditions reflected field inoculum pressure, and whether agronomic or fitness consequences were measured alongside the resistance phenotype. For field evaluations, appraisal considered replication, site and season </w:t>
      </w:r>
      <w:r>
        <w:lastRenderedPageBreak/>
        <w:t>number, whether pathogen or pest pressure was quantified rather than assumed, and whether the pathogen population present was characterised.</w:t>
      </w:r>
    </w:p>
    <w:p w14:paraId="48F1E310" w14:textId="77777777" w:rsidR="00666A9D" w:rsidRDefault="00000000" w:rsidP="00521C89">
      <w:pPr>
        <w:spacing w:before="100" w:beforeAutospacing="1" w:after="100" w:afterAutospacing="1"/>
        <w:jc w:val="both"/>
      </w:pPr>
      <w:r>
        <w:t>For pathogen and pest population studies, appraisal considered sampling frame, isolate number, geographical coverage and whether resistance-breaking phenotypes were confirmed by controlled inoculation rather than inferred from field symptoms. Genome assembly and pangenome studies were appraised on accession sampling breadth, assembly contiguity and completeness, and whether structural variants reported were functionally validated or remained computational predictions. Formal risk-of-bias scores were not assigned, since no recognised instrument was applied to the primary literature and the information available in many reports was insufficient to support such scoring.</w:t>
      </w:r>
    </w:p>
    <w:p w14:paraId="02A0B1A3" w14:textId="77777777" w:rsidR="00666A9D" w:rsidRDefault="00000000" w:rsidP="00521C89">
      <w:pPr>
        <w:spacing w:before="100" w:beforeAutospacing="1" w:after="100" w:afterAutospacing="1"/>
        <w:jc w:val="both"/>
      </w:pPr>
      <w:r>
        <w:t>Themes were developed inductively. Initial reading was organised by pathogen or pest group, but recurring cross-cutting problems emerged that did not respect those boundaries, notably the discovery-to-deployment gap, the mechanistic heterogeneity of deployed loci, and the environmental contingency of quantitative and metabolically mediated resistance. The synthesis was reorganised around these problems, with pathogen-group sections retained where the biology genuinely differs. Where studies disagreed, the disagreement was represented explicitly and the most plausible explanations were considered, including differences in pathogen population composition, environmental conditions, phenotyping protocol and genetic background. Where the evidence was insufficient to adjudicate, that was stated rather than resolved by preference for the more recent or more highly cited report.</w:t>
      </w:r>
    </w:p>
    <w:p w14:paraId="69CB6D63" w14:textId="77777777" w:rsidR="00666A9D" w:rsidRDefault="00000000" w:rsidP="00521C89">
      <w:pPr>
        <w:pStyle w:val="Heading1"/>
        <w:spacing w:before="100" w:beforeAutospacing="1" w:after="100" w:afterAutospacing="1"/>
      </w:pPr>
      <w:r>
        <w:t>3. Genomic Resources and the Changing Reference Framework for Resistance Discovery</w:t>
      </w:r>
    </w:p>
    <w:p w14:paraId="3C30717E" w14:textId="77777777" w:rsidR="00666A9D" w:rsidRDefault="00000000" w:rsidP="00521C89">
      <w:pPr>
        <w:spacing w:before="100" w:beforeAutospacing="1" w:after="100" w:afterAutospacing="1"/>
        <w:jc w:val="both"/>
      </w:pPr>
      <w:r>
        <w:t>The infrastructure available for resistance discovery in tomato has changed more than the resistances themselves. Understanding what that change has and has not delivered is a prerequisite for evaluating the domain-specific evidence that follows.</w:t>
      </w:r>
    </w:p>
    <w:p w14:paraId="297EC94A" w14:textId="77777777" w:rsidR="00666A9D" w:rsidRDefault="00000000" w:rsidP="00521C89">
      <w:pPr>
        <w:pStyle w:val="Heading2"/>
        <w:spacing w:before="100" w:beforeAutospacing="1" w:after="100" w:afterAutospacing="1"/>
      </w:pPr>
      <w:r>
        <w:t>3.1 From a single reference assembly to pangenome representations</w:t>
      </w:r>
    </w:p>
    <w:p w14:paraId="7FFCDF8A" w14:textId="77777777" w:rsidR="00666A9D" w:rsidRDefault="00000000" w:rsidP="00521C89">
      <w:pPr>
        <w:spacing w:before="100" w:beforeAutospacing="1" w:after="100" w:afterAutospacing="1"/>
        <w:jc w:val="both"/>
      </w:pPr>
      <w:r>
        <w:t xml:space="preserve">The Heinz 1706 assembly, released alongside a draft assembly of S. </w:t>
      </w:r>
      <w:proofErr w:type="spellStart"/>
      <w:r>
        <w:t>pimpinellifolium</w:t>
      </w:r>
      <w:proofErr w:type="spellEnd"/>
      <w:r>
        <w:t xml:space="preserve">, provided the first genome-scale framework for tomato genetics and revealed genome triplication events shared across the Solanaceae (The Tomato Genome Consortium, 2012). Its practical value for resistance work was substantial but bounded. A single assembly from a processing cultivar represents one haplotype at each locus, and resistance loci are disproportionately located in regions of high structural and copy-number variation. Sequences absent from the reference are invisible to reference-based analyses, and </w:t>
      </w:r>
      <w:proofErr w:type="spellStart"/>
      <w:r>
        <w:t>introgressed</w:t>
      </w:r>
      <w:proofErr w:type="spellEnd"/>
      <w:r>
        <w:t xml:space="preserve"> segments from wild donors are precisely the sequences most likely to diverge from it.</w:t>
      </w:r>
    </w:p>
    <w:p w14:paraId="2318B229" w14:textId="77777777" w:rsidR="00666A9D" w:rsidRDefault="00000000" w:rsidP="00521C89">
      <w:pPr>
        <w:spacing w:before="100" w:beforeAutospacing="1" w:after="100" w:afterAutospacing="1"/>
        <w:jc w:val="both"/>
      </w:pPr>
      <w:r>
        <w:t xml:space="preserve">The graph pangenome constructed from several hundred accessions addressed this limitation directly and demonstrated that structural variants captured heritability that had been missed by single-nucleotide polymorphism-based analyses anchored to a linear reference (Zhou et al., 2022). This is an important methodological result: it implies that a portion of the unexplained genetic variance in earlier association studies, including studies of resistance traits, was attributable to representation rather than to biology. More recent work has extended the approach through telomere-to-telomere assembly of multiple accessions to build a super-pangenome oriented explicitly towards stress-resilience breeding (Shi et al., 2026), and through phylogenomic and super-pangenome analysis that resolves relationships across the cultivated </w:t>
      </w:r>
      <w:r>
        <w:lastRenderedPageBreak/>
        <w:t>and wild gene pools (J. Yu et al., 2025). The conceptual trajectory across plant genomics generally, from structural pangenomes towards integration with functional data, has been articulated recently (</w:t>
      </w:r>
      <w:proofErr w:type="spellStart"/>
      <w:r>
        <w:t>Cochetel</w:t>
      </w:r>
      <w:proofErr w:type="spellEnd"/>
      <w:r>
        <w:t xml:space="preserve"> &amp; Cantu, 2026), and the tomato clade has been described as a system in which genomic barriers to wild-relative exploitation are being progressively removed (Rose et al., 2025).</w:t>
      </w:r>
    </w:p>
    <w:p w14:paraId="0577A0A5" w14:textId="77777777" w:rsidR="00666A9D" w:rsidRDefault="00000000" w:rsidP="00521C89">
      <w:pPr>
        <w:spacing w:before="100" w:beforeAutospacing="1" w:after="100" w:afterAutospacing="1"/>
        <w:jc w:val="both"/>
      </w:pPr>
      <w:r>
        <w:t>The strength of this evidence is uneven. Assembly quality and accession sampling are objectively verifiable and have improved demonstrably. The claim that pangenome resources will translate into improved resistance outcomes is, at present, a projection supported by mechanism rather than by demonstrated breeding gains. No study identified in this review reports a resistant cultivar whose development depended on pangenome-specific information and which would not have been achievable with earlier resources. The appropriate conclusion is that pangenome representations have removed a documented analytical bias, and that this is a necessary but not yet sufficient condition for improved outcomes.</w:t>
      </w:r>
    </w:p>
    <w:p w14:paraId="595A93EF" w14:textId="77777777" w:rsidR="00666A9D" w:rsidRDefault="00000000" w:rsidP="00521C89">
      <w:pPr>
        <w:pStyle w:val="Heading2"/>
        <w:spacing w:before="100" w:beforeAutospacing="1" w:after="100" w:afterAutospacing="1"/>
      </w:pPr>
      <w:r>
        <w:t>3.2 Introgression load and the persistence of donor segments</w:t>
      </w:r>
    </w:p>
    <w:p w14:paraId="02EA284C" w14:textId="77777777" w:rsidR="00666A9D" w:rsidRDefault="00000000" w:rsidP="00521C89">
      <w:pPr>
        <w:spacing w:before="100" w:beforeAutospacing="1" w:after="100" w:afterAutospacing="1"/>
        <w:jc w:val="both"/>
      </w:pPr>
      <w:r>
        <w:t xml:space="preserve">Almost every major resistance in cultivated tomato originates in a wild relative, and each introgression carries linked donor sequence. Whole-genome resequencing of Japanese large-fruited cultivars has documented the genomic consequences of this history, showing how modern breeding has assembled a mosaic in which </w:t>
      </w:r>
      <w:proofErr w:type="spellStart"/>
      <w:r>
        <w:t>introgressed</w:t>
      </w:r>
      <w:proofErr w:type="spellEnd"/>
      <w:r>
        <w:t xml:space="preserve"> segments remain identifiable (Yamamoto et al., 2024). The practical implication is that pyramiding is constrained not only by the availability of resistance alleles but by the cumulative agronomic cost of the segments that accompany them.</w:t>
      </w:r>
    </w:p>
    <w:p w14:paraId="6C18915F" w14:textId="77777777" w:rsidR="00666A9D" w:rsidRDefault="00000000" w:rsidP="00521C89">
      <w:pPr>
        <w:spacing w:before="100" w:beforeAutospacing="1" w:after="100" w:afterAutospacing="1"/>
        <w:jc w:val="both"/>
      </w:pPr>
      <w:r>
        <w:t>Genomic tools have improved the management of this problem in a specific and measurable way. High-density genotyping permits selection for recombinants with shortened donor segments, and this represents a genuine and uncontroversial gain in precision relative to the low-density marker systems of earlier decades. Whether it has translated into shorter breeding cycles or superior finished cultivars is less well documented, because published breeding programmes rarely report the counterfactual. Marker-assisted pyramiding of resistance to tomato leaf curl disease and late blight has been reported for tomato with the explicit objective of stabilising production (</w:t>
      </w:r>
      <w:proofErr w:type="spellStart"/>
      <w:r>
        <w:t>Yerasu</w:t>
      </w:r>
      <w:proofErr w:type="spellEnd"/>
      <w:r>
        <w:t xml:space="preserve"> et al., 2025), and that study is among the clearer demonstrations that marker-based assembly of multiple resistances is operationally feasible. It does not, on its own, establish that the resulting combinations are durable, since durability requires evaluation over successive seasons against characterised pathogen populations.</w:t>
      </w:r>
    </w:p>
    <w:p w14:paraId="058DD856" w14:textId="77777777" w:rsidR="00666A9D" w:rsidRDefault="00000000" w:rsidP="00521C89">
      <w:pPr>
        <w:pStyle w:val="Heading2"/>
        <w:spacing w:before="100" w:beforeAutospacing="1" w:after="100" w:afterAutospacing="1"/>
      </w:pPr>
      <w:r>
        <w:t>3.3 Association genetics, prediction and the resolution problem</w:t>
      </w:r>
    </w:p>
    <w:p w14:paraId="2DB11829" w14:textId="77777777" w:rsidR="00666A9D" w:rsidRDefault="00000000" w:rsidP="00521C89">
      <w:pPr>
        <w:spacing w:before="100" w:beforeAutospacing="1" w:after="100" w:afterAutospacing="1"/>
        <w:jc w:val="both"/>
      </w:pPr>
      <w:r>
        <w:t xml:space="preserve">Genome-wide association study designs have been applied to tomato resistance traits with results that illustrate both the reach and the limits of the approach. Association analysis of resistance to </w:t>
      </w:r>
      <w:r>
        <w:rPr>
          <w:i/>
          <w:iCs/>
        </w:rPr>
        <w:t xml:space="preserve">Verticillium </w:t>
      </w:r>
      <w:proofErr w:type="spellStart"/>
      <w:r>
        <w:rPr>
          <w:i/>
          <w:iCs/>
        </w:rPr>
        <w:t>dahliae</w:t>
      </w:r>
      <w:proofErr w:type="spellEnd"/>
      <w:r>
        <w:t xml:space="preserve"> race 3 identified quantitative trait loci in a diverse panel (Adhikari et al., 2025), and association analysis of bacterial wilt resistance produced single-nucleotide polymorphism markers explicitly developed for breeding application (</w:t>
      </w:r>
      <w:proofErr w:type="spellStart"/>
      <w:r>
        <w:t>Bhunchoth</w:t>
      </w:r>
      <w:proofErr w:type="spellEnd"/>
      <w:r>
        <w:t xml:space="preserve"> et al., 2025). Both studies illustrate the characteristic strength of the design, which is the sampling of historical recombination across a diverse panel, and both illustrate its characteristic weakness, which is that population structure in cultivated tomato is strong and that the resulting associations frequently resolve to intervals rather than to genes. The wider methodological position of association studies in horticultural crops, including the sample-size and structure constraints that apply, has been reviewed recently (Lou et al., 2026).</w:t>
      </w:r>
    </w:p>
    <w:p w14:paraId="7DF8AA38" w14:textId="77777777" w:rsidR="00666A9D" w:rsidRDefault="00000000" w:rsidP="00521C89">
      <w:pPr>
        <w:spacing w:before="100" w:beforeAutospacing="1" w:after="100" w:afterAutospacing="1"/>
        <w:jc w:val="both"/>
      </w:pPr>
      <w:r>
        <w:lastRenderedPageBreak/>
        <w:t>Genomic prediction offers an alternative that does not require causal resolution, and its application across fruit and vegetable crops has been scoped systematically (Lee et al., 2024). That synthesis indicates that reported predictive abilities vary widely and that studies frequently rely on cross-validation within a single population and environment, which inflates apparent performance relative to the forward-prediction problem that breeders face. For resistance traits specifically, prediction is complicated by the fact that the trait is defined jointly by host genotype and pathogen population, so that a model trained against one pathogen population may transfer poorly. The evidence base is currently insufficient to determine whether genomic prediction improves genetic gain for resistance in tomato relative to phenotypic selection with marker assistance, and claims to that effect should be treated as provisional.</w:t>
      </w:r>
    </w:p>
    <w:p w14:paraId="47A71191" w14:textId="77777777" w:rsidR="00666A9D" w:rsidRDefault="00000000" w:rsidP="00521C89">
      <w:pPr>
        <w:spacing w:before="100" w:beforeAutospacing="1" w:after="100" w:afterAutospacing="1"/>
        <w:jc w:val="both"/>
      </w:pPr>
      <w:r>
        <w:t>Table 1 compares the principal genomic resource classes now available for tomato resistance work according to what each demonstrably contributes and what it does not. The comparison indicates that the strongest evidence attaches to representational and analytical gains, whereas evidence for improved breeding outcomes remains indirect for every resource class. The table also makes explicit that the constraints differ in kind: pangenomes are limited by functional annotation rather than by sequence, whereas prediction is limited by the transferability of training data rather than by marker density. This distinction matters for prioritisation, because the two constraints require different remedies.</w:t>
      </w:r>
    </w:p>
    <w:p w14:paraId="6F59BED1" w14:textId="77777777" w:rsidR="00666A9D" w:rsidRDefault="00000000" w:rsidP="00521C89">
      <w:pPr>
        <w:spacing w:before="100" w:beforeAutospacing="1" w:after="100" w:afterAutospacing="1"/>
      </w:pPr>
      <w:r>
        <w:rPr>
          <w:b/>
          <w:bCs/>
          <w:sz w:val="20"/>
          <w:szCs w:val="20"/>
        </w:rPr>
        <w:t>Table 1. Principal genomic resource classes applied to resistance improvement in tomato, with demonstrated contributions and residual constraints.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700"/>
        <w:gridCol w:w="2700"/>
        <w:gridCol w:w="2100"/>
      </w:tblGrid>
      <w:tr w:rsidR="00666A9D" w14:paraId="418603B9" w14:textId="77777777">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0FA3B47" w14:textId="77777777" w:rsidR="00666A9D" w:rsidRDefault="00000000" w:rsidP="00521C89">
            <w:pPr>
              <w:spacing w:before="100" w:beforeAutospacing="1" w:after="100" w:afterAutospacing="1"/>
            </w:pPr>
            <w:r>
              <w:rPr>
                <w:b/>
                <w:bCs/>
                <w:sz w:val="20"/>
                <w:szCs w:val="20"/>
              </w:rPr>
              <w:t>Resource class</w:t>
            </w:r>
          </w:p>
        </w:tc>
        <w:tc>
          <w:tcPr>
            <w:tcW w:w="27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AC10D99" w14:textId="77777777" w:rsidR="00666A9D" w:rsidRDefault="00000000" w:rsidP="00521C89">
            <w:pPr>
              <w:spacing w:before="100" w:beforeAutospacing="1" w:after="100" w:afterAutospacing="1"/>
            </w:pPr>
            <w:r>
              <w:rPr>
                <w:b/>
                <w:bCs/>
                <w:sz w:val="20"/>
                <w:szCs w:val="20"/>
              </w:rPr>
              <w:t>Demonstrated contribution</w:t>
            </w:r>
          </w:p>
        </w:tc>
        <w:tc>
          <w:tcPr>
            <w:tcW w:w="27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5B339B9E" w14:textId="77777777" w:rsidR="00666A9D" w:rsidRDefault="00000000" w:rsidP="00521C89">
            <w:pPr>
              <w:spacing w:before="100" w:beforeAutospacing="1" w:after="100" w:afterAutospacing="1"/>
            </w:pPr>
            <w:r>
              <w:rPr>
                <w:b/>
                <w:bCs/>
                <w:sz w:val="20"/>
                <w:szCs w:val="20"/>
              </w:rPr>
              <w:t>Residual constraint</w:t>
            </w:r>
          </w:p>
        </w:tc>
        <w:tc>
          <w:tcPr>
            <w:tcW w:w="21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5E5F21C" w14:textId="77777777" w:rsidR="00666A9D" w:rsidRDefault="00000000" w:rsidP="00521C89">
            <w:pPr>
              <w:spacing w:before="100" w:beforeAutospacing="1" w:after="100" w:afterAutospacing="1"/>
            </w:pPr>
            <w:r>
              <w:rPr>
                <w:b/>
                <w:bCs/>
                <w:sz w:val="20"/>
                <w:szCs w:val="20"/>
              </w:rPr>
              <w:t>Supporting references</w:t>
            </w:r>
          </w:p>
        </w:tc>
      </w:tr>
      <w:tr w:rsidR="00666A9D" w14:paraId="212EBDAA"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9AB18" w14:textId="77777777" w:rsidR="00666A9D" w:rsidRDefault="00000000" w:rsidP="00521C89">
            <w:pPr>
              <w:spacing w:before="100" w:beforeAutospacing="1" w:after="100" w:afterAutospacing="1"/>
            </w:pPr>
            <w:r>
              <w:rPr>
                <w:sz w:val="20"/>
                <w:szCs w:val="20"/>
              </w:rPr>
              <w:t>Single reference assembly</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359E39" w14:textId="77777777" w:rsidR="00666A9D" w:rsidRDefault="00000000" w:rsidP="00521C89">
            <w:pPr>
              <w:spacing w:before="100" w:beforeAutospacing="1" w:after="100" w:afterAutospacing="1"/>
            </w:pPr>
            <w:r>
              <w:rPr>
                <w:sz w:val="20"/>
                <w:szCs w:val="20"/>
              </w:rPr>
              <w:t>Coordinate system for mapping and marker design; comparative framework across Solanaceae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03B6C5" w14:textId="77777777" w:rsidR="00666A9D" w:rsidRDefault="00000000" w:rsidP="00521C89">
            <w:pPr>
              <w:spacing w:before="100" w:beforeAutospacing="1" w:after="100" w:afterAutospacing="1"/>
            </w:pPr>
            <w:r>
              <w:rPr>
                <w:sz w:val="20"/>
                <w:szCs w:val="20"/>
              </w:rPr>
              <w:t>Represents one haplotype; poor capture of donor-derived and structurally variable resistance regions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8750AC" w14:textId="77777777" w:rsidR="00666A9D" w:rsidRDefault="00000000" w:rsidP="00521C89">
            <w:pPr>
              <w:spacing w:before="100" w:beforeAutospacing="1" w:after="100" w:afterAutospacing="1"/>
            </w:pPr>
            <w:r>
              <w:rPr>
                <w:sz w:val="20"/>
                <w:szCs w:val="20"/>
              </w:rPr>
              <w:t>The Tomato Genome Consortium (2012)</w:t>
            </w:r>
          </w:p>
        </w:tc>
      </w:tr>
      <w:tr w:rsidR="00666A9D" w14:paraId="2196AB45"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2EDACF" w14:textId="77777777" w:rsidR="00666A9D" w:rsidRDefault="00000000" w:rsidP="00521C89">
            <w:pPr>
              <w:spacing w:before="100" w:beforeAutospacing="1" w:after="100" w:afterAutospacing="1"/>
            </w:pPr>
            <w:r>
              <w:rPr>
                <w:sz w:val="20"/>
                <w:szCs w:val="20"/>
              </w:rPr>
              <w:t>Graph pangenome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8CE595" w14:textId="77777777" w:rsidR="00666A9D" w:rsidRDefault="00000000" w:rsidP="00521C89">
            <w:pPr>
              <w:spacing w:before="100" w:beforeAutospacing="1" w:after="100" w:afterAutospacing="1"/>
            </w:pPr>
            <w:r>
              <w:rPr>
                <w:sz w:val="20"/>
                <w:szCs w:val="20"/>
              </w:rPr>
              <w:t>Recovery of heritability attributable to structural variation missed by linear-reference analyses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50494F" w14:textId="77777777" w:rsidR="00666A9D" w:rsidRDefault="00000000" w:rsidP="00521C89">
            <w:pPr>
              <w:spacing w:before="100" w:beforeAutospacing="1" w:after="100" w:afterAutospacing="1"/>
            </w:pPr>
            <w:r>
              <w:rPr>
                <w:sz w:val="20"/>
                <w:szCs w:val="20"/>
              </w:rPr>
              <w:t>Functional consequence of most catalogued variants not experimentally validated</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196725" w14:textId="77777777" w:rsidR="00666A9D" w:rsidRDefault="00000000" w:rsidP="00521C89">
            <w:pPr>
              <w:spacing w:before="100" w:beforeAutospacing="1" w:after="100" w:afterAutospacing="1"/>
            </w:pPr>
            <w:r>
              <w:rPr>
                <w:sz w:val="20"/>
                <w:szCs w:val="20"/>
              </w:rPr>
              <w:t>Zhou et al. (2022)</w:t>
            </w:r>
          </w:p>
        </w:tc>
      </w:tr>
      <w:tr w:rsidR="00666A9D" w14:paraId="5A8A8BF4"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352BB7" w14:textId="77777777" w:rsidR="00666A9D" w:rsidRDefault="00000000" w:rsidP="00521C89">
            <w:pPr>
              <w:spacing w:before="100" w:beforeAutospacing="1" w:after="100" w:afterAutospacing="1"/>
            </w:pPr>
            <w:r>
              <w:rPr>
                <w:sz w:val="20"/>
                <w:szCs w:val="20"/>
              </w:rPr>
              <w:t>Telomere-to-telomere super-pangenome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DAE76C" w14:textId="77777777" w:rsidR="00666A9D" w:rsidRDefault="00000000" w:rsidP="00521C89">
            <w:pPr>
              <w:spacing w:before="100" w:beforeAutospacing="1" w:after="100" w:afterAutospacing="1"/>
            </w:pPr>
            <w:r>
              <w:rPr>
                <w:sz w:val="20"/>
                <w:szCs w:val="20"/>
              </w:rPr>
              <w:t>Contiguous representation of repetitive and structurally complex regions across multiple accessions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ECC8D6" w14:textId="77777777" w:rsidR="00666A9D" w:rsidRDefault="00000000" w:rsidP="00521C89">
            <w:pPr>
              <w:spacing w:before="100" w:beforeAutospacing="1" w:after="100" w:afterAutospacing="1"/>
            </w:pPr>
            <w:r>
              <w:rPr>
                <w:sz w:val="20"/>
                <w:szCs w:val="20"/>
              </w:rPr>
              <w:t>No published cultivar to date attributable specifically to this resource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E1B932" w14:textId="77777777" w:rsidR="00666A9D" w:rsidRDefault="00000000" w:rsidP="00521C89">
            <w:pPr>
              <w:spacing w:before="100" w:beforeAutospacing="1" w:after="100" w:afterAutospacing="1"/>
            </w:pPr>
            <w:r w:rsidRPr="00385B5B">
              <w:rPr>
                <w:sz w:val="20"/>
                <w:szCs w:val="20"/>
                <w:lang w:val="nl-BE"/>
              </w:rPr>
              <w:t xml:space="preserve">Shi et al. (2026); J. Yu et al. </w:t>
            </w:r>
            <w:r>
              <w:rPr>
                <w:sz w:val="20"/>
                <w:szCs w:val="20"/>
              </w:rPr>
              <w:t>(2025)</w:t>
            </w:r>
          </w:p>
        </w:tc>
      </w:tr>
      <w:tr w:rsidR="00666A9D" w14:paraId="11439251"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27F2D9" w14:textId="77777777" w:rsidR="00666A9D" w:rsidRDefault="00000000" w:rsidP="00521C89">
            <w:pPr>
              <w:spacing w:before="100" w:beforeAutospacing="1" w:after="100" w:afterAutospacing="1"/>
            </w:pPr>
            <w:r>
              <w:rPr>
                <w:sz w:val="20"/>
                <w:szCs w:val="20"/>
              </w:rPr>
              <w:t>Whole-genome resequencing panels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9C3530" w14:textId="77777777" w:rsidR="00666A9D" w:rsidRDefault="00000000" w:rsidP="00521C89">
            <w:pPr>
              <w:spacing w:before="100" w:beforeAutospacing="1" w:after="100" w:afterAutospacing="1"/>
            </w:pPr>
            <w:r>
              <w:rPr>
                <w:sz w:val="20"/>
                <w:szCs w:val="20"/>
              </w:rPr>
              <w:t>Documentation of introgression history and donor-segment persistence in elite material</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B161C7" w14:textId="77777777" w:rsidR="00666A9D" w:rsidRDefault="00000000" w:rsidP="00521C89">
            <w:pPr>
              <w:spacing w:before="100" w:beforeAutospacing="1" w:after="100" w:afterAutospacing="1"/>
            </w:pPr>
            <w:r>
              <w:rPr>
                <w:sz w:val="20"/>
                <w:szCs w:val="20"/>
              </w:rPr>
              <w:t>Descriptive rather than predictive with respect to agronomic cost of segments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010C5A" w14:textId="77777777" w:rsidR="00666A9D" w:rsidRDefault="00000000" w:rsidP="00521C89">
            <w:pPr>
              <w:spacing w:before="100" w:beforeAutospacing="1" w:after="100" w:afterAutospacing="1"/>
            </w:pPr>
            <w:r>
              <w:rPr>
                <w:sz w:val="20"/>
                <w:szCs w:val="20"/>
              </w:rPr>
              <w:t>Yamamoto et al. (2024)</w:t>
            </w:r>
          </w:p>
        </w:tc>
      </w:tr>
      <w:tr w:rsidR="00666A9D" w14:paraId="167E7812"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50FB0D" w14:textId="77777777" w:rsidR="00666A9D" w:rsidRDefault="00000000" w:rsidP="00521C89">
            <w:pPr>
              <w:spacing w:before="100" w:beforeAutospacing="1" w:after="100" w:afterAutospacing="1"/>
            </w:pPr>
            <w:r>
              <w:rPr>
                <w:sz w:val="20"/>
                <w:szCs w:val="20"/>
              </w:rPr>
              <w:t>Association mapping panels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BC0275" w14:textId="77777777" w:rsidR="00666A9D" w:rsidRDefault="00000000" w:rsidP="00521C89">
            <w:pPr>
              <w:spacing w:before="100" w:beforeAutospacing="1" w:after="100" w:afterAutospacing="1"/>
            </w:pPr>
            <w:r>
              <w:rPr>
                <w:sz w:val="20"/>
                <w:szCs w:val="20"/>
              </w:rPr>
              <w:t>Detection of resistance-associated loci sampling historical recombination</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B70917" w14:textId="77777777" w:rsidR="00666A9D" w:rsidRDefault="00000000" w:rsidP="00521C89">
            <w:pPr>
              <w:spacing w:before="100" w:beforeAutospacing="1" w:after="100" w:afterAutospacing="1"/>
            </w:pPr>
            <w:r>
              <w:rPr>
                <w:sz w:val="20"/>
                <w:szCs w:val="20"/>
              </w:rPr>
              <w:t>Strong population structure; associations frequently resolve to intervals, not genes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E46EE1" w14:textId="77777777" w:rsidR="00666A9D" w:rsidRDefault="00000000" w:rsidP="00521C89">
            <w:pPr>
              <w:spacing w:before="100" w:beforeAutospacing="1" w:after="100" w:afterAutospacing="1"/>
            </w:pPr>
            <w:r w:rsidRPr="00385B5B">
              <w:rPr>
                <w:sz w:val="20"/>
                <w:szCs w:val="20"/>
                <w:lang w:val="nl-BE"/>
              </w:rPr>
              <w:t xml:space="preserve">Adhikari et al. (2025); Bhunchoth et al. </w:t>
            </w:r>
            <w:r>
              <w:rPr>
                <w:sz w:val="20"/>
                <w:szCs w:val="20"/>
              </w:rPr>
              <w:t>(2025); Lou et al. (2026)</w:t>
            </w:r>
          </w:p>
        </w:tc>
      </w:tr>
      <w:tr w:rsidR="00666A9D" w14:paraId="4BF80F63"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D10536" w14:textId="77777777" w:rsidR="00666A9D" w:rsidRDefault="00000000" w:rsidP="00521C89">
            <w:pPr>
              <w:spacing w:before="100" w:beforeAutospacing="1" w:after="100" w:afterAutospacing="1"/>
            </w:pPr>
            <w:r>
              <w:rPr>
                <w:sz w:val="20"/>
                <w:szCs w:val="20"/>
              </w:rPr>
              <w:t>Genomic prediction models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C1A4B6" w14:textId="77777777" w:rsidR="00666A9D" w:rsidRDefault="00000000" w:rsidP="00521C89">
            <w:pPr>
              <w:spacing w:before="100" w:beforeAutospacing="1" w:after="100" w:afterAutospacing="1"/>
            </w:pPr>
            <w:r>
              <w:rPr>
                <w:sz w:val="20"/>
                <w:szCs w:val="20"/>
              </w:rPr>
              <w:t>Selection without causal resolution; applicable to polygenic resistance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D8A785" w14:textId="77777777" w:rsidR="00666A9D" w:rsidRDefault="00000000" w:rsidP="00521C89">
            <w:pPr>
              <w:spacing w:before="100" w:beforeAutospacing="1" w:after="100" w:afterAutospacing="1"/>
            </w:pPr>
            <w:r>
              <w:rPr>
                <w:sz w:val="20"/>
                <w:szCs w:val="20"/>
              </w:rPr>
              <w:t>Predictive ability commonly estimated within one population and environment; transferability across pathogen populations untested</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9F6525" w14:textId="77777777" w:rsidR="00666A9D" w:rsidRDefault="00000000" w:rsidP="00521C89">
            <w:pPr>
              <w:spacing w:before="100" w:beforeAutospacing="1" w:after="100" w:afterAutospacing="1"/>
            </w:pPr>
            <w:r>
              <w:rPr>
                <w:sz w:val="20"/>
                <w:szCs w:val="20"/>
              </w:rPr>
              <w:t>Lee et al. (2024)</w:t>
            </w:r>
          </w:p>
        </w:tc>
      </w:tr>
    </w:tbl>
    <w:p w14:paraId="067325BB" w14:textId="77777777" w:rsidR="00666A9D" w:rsidRDefault="00000000" w:rsidP="00521C89">
      <w:pPr>
        <w:spacing w:before="100" w:beforeAutospacing="1" w:after="100" w:afterAutospacing="1"/>
      </w:pPr>
      <w:r>
        <w:rPr>
          <w:sz w:val="18"/>
          <w:szCs w:val="18"/>
        </w:rPr>
        <w:lastRenderedPageBreak/>
        <w:t>Note. Entries summarise contributions and constraints that are explicitly reported or directly evidenced in the cited sources. The table is illustrative of resource classes in current use and is not an exhaustive inventory of tomato genomic resources.</w:t>
      </w:r>
    </w:p>
    <w:p w14:paraId="0A7B2578" w14:textId="77777777" w:rsidR="00666A9D" w:rsidRDefault="00000000" w:rsidP="00521C89">
      <w:pPr>
        <w:pStyle w:val="Heading1"/>
        <w:spacing w:before="100" w:beforeAutospacing="1" w:after="100" w:afterAutospacing="1"/>
      </w:pPr>
      <w:r>
        <w:t xml:space="preserve">4. Virus Resistance: </w:t>
      </w:r>
      <w:proofErr w:type="gramStart"/>
      <w:r>
        <w:t>the</w:t>
      </w:r>
      <w:proofErr w:type="gramEnd"/>
      <w:r>
        <w:t xml:space="preserve"> Best-Characterised and Least Durable Domain</w:t>
      </w:r>
    </w:p>
    <w:p w14:paraId="3159185A" w14:textId="77777777" w:rsidR="00666A9D" w:rsidRDefault="00000000" w:rsidP="00521C89">
      <w:pPr>
        <w:spacing w:before="100" w:beforeAutospacing="1" w:after="100" w:afterAutospacing="1"/>
        <w:jc w:val="both"/>
      </w:pPr>
      <w:r>
        <w:t>Viral resistance in tomato is the domain in which causal genes have most often been cloned and mechanisms defined, and it is also the domain in which breakdown is best documented. This combination makes it the most informative test case for whether mechanistic understanding predicts durability.</w:t>
      </w:r>
    </w:p>
    <w:p w14:paraId="42081188" w14:textId="77777777" w:rsidR="00666A9D" w:rsidRDefault="00000000" w:rsidP="00521C89">
      <w:pPr>
        <w:pStyle w:val="Heading2"/>
        <w:spacing w:before="100" w:beforeAutospacing="1" w:after="100" w:afterAutospacing="1"/>
      </w:pPr>
      <w:r>
        <w:t xml:space="preserve">4.1 </w:t>
      </w:r>
      <w:proofErr w:type="spellStart"/>
      <w:r>
        <w:t>Begomovirus</w:t>
      </w:r>
      <w:proofErr w:type="spellEnd"/>
      <w:r>
        <w:t xml:space="preserve"> resistance: mechanistic diversity within a single disease target</w:t>
      </w:r>
    </w:p>
    <w:p w14:paraId="4A956A45" w14:textId="77777777" w:rsidR="00666A9D" w:rsidRDefault="00000000" w:rsidP="00521C89">
      <w:pPr>
        <w:spacing w:before="100" w:beforeAutospacing="1" w:after="100" w:afterAutospacing="1"/>
        <w:jc w:val="both"/>
      </w:pPr>
      <w:r>
        <w:t xml:space="preserve">Resistance to tomato yellow leaf curl disease has been assembled from several genetically and mechanistically distinct loci. The demonstration that </w:t>
      </w:r>
      <w:r>
        <w:rPr>
          <w:i/>
          <w:iCs/>
        </w:rPr>
        <w:t>Ty-1</w:t>
      </w:r>
      <w:r>
        <w:t xml:space="preserve"> and </w:t>
      </w:r>
      <w:r>
        <w:rPr>
          <w:i/>
          <w:iCs/>
        </w:rPr>
        <w:t>Ty-3</w:t>
      </w:r>
      <w:r>
        <w:t xml:space="preserve"> are allelic and encode DFDGD-class RNA-dependent RNA polymerases established that the most widely deployed </w:t>
      </w:r>
      <w:proofErr w:type="spellStart"/>
      <w:r>
        <w:t>begomovirus</w:t>
      </w:r>
      <w:proofErr w:type="spellEnd"/>
      <w:r>
        <w:t xml:space="preserve"> resistance in tomato does not operate through a canonical immune receptor (</w:t>
      </w:r>
      <w:proofErr w:type="spellStart"/>
      <w:r>
        <w:t>Verlaan</w:t>
      </w:r>
      <w:proofErr w:type="spellEnd"/>
      <w:r>
        <w:t xml:space="preserve"> et al., 2013). Subsequent work has extended the mechanistic range considerably. The </w:t>
      </w:r>
      <w:r>
        <w:rPr>
          <w:i/>
          <w:iCs/>
        </w:rPr>
        <w:t>Ty-6</w:t>
      </w:r>
      <w:r>
        <w:t xml:space="preserve"> locus has been shown to encode DNA polymerase delta subunit 1 and to confer broad resistance to </w:t>
      </w:r>
      <w:proofErr w:type="spellStart"/>
      <w:r>
        <w:t>geminiviruses</w:t>
      </w:r>
      <w:proofErr w:type="spellEnd"/>
      <w:r>
        <w:t xml:space="preserve"> (Shen et al., 2025), and allelic variation at the orthologous locus has been found to correlate with </w:t>
      </w:r>
      <w:proofErr w:type="spellStart"/>
      <w:r>
        <w:t>geminivirus</w:t>
      </w:r>
      <w:proofErr w:type="spellEnd"/>
      <w:r>
        <w:t xml:space="preserve"> resistance across a range of plant species (Gilbert et al., 2025). Recessive resistance at the </w:t>
      </w:r>
      <w:r>
        <w:rPr>
          <w:i/>
          <w:iCs/>
        </w:rPr>
        <w:t>ty-5</w:t>
      </w:r>
      <w:r>
        <w:t xml:space="preserve"> locus involves the messenger RNA surveillance factor Pelota, and transcriptomic dissection of the </w:t>
      </w:r>
      <w:r>
        <w:rPr>
          <w:i/>
          <w:iCs/>
        </w:rPr>
        <w:t>ty-5</w:t>
      </w:r>
      <w:r>
        <w:t xml:space="preserve"> resistance response has implicated an AP2/ERF transcription factor within the associated network (Padmanabhan et al., 2026). The prospects and the risks of targeting Pelota for engineered virus resistance have been assessed in detail (Majumdar et al., 2026), and the dual role of Pelota in virus infection, in which the same factor can act as a susceptibility factor or as a component of defence depending on context, has been examined explicitly (X. Li et al., 2025).</w:t>
      </w:r>
    </w:p>
    <w:p w14:paraId="611AA711" w14:textId="77777777" w:rsidR="00666A9D" w:rsidRDefault="00000000" w:rsidP="00521C89">
      <w:pPr>
        <w:spacing w:before="100" w:beforeAutospacing="1" w:after="100" w:afterAutospacing="1"/>
        <w:jc w:val="both"/>
      </w:pPr>
      <w:r>
        <w:t>The mechanistic heterogeneity is genuinely striking. Three of the four best-characterised loci act through housekeeping or surveillance functions rather than through receptor-mediated recognition, which was not the expectation that dominated resistance-gene research when these loci were first mapped. This has a practical implication that is often understated: resistance of this kind is more accurately described as restriction of virus accumulation than as immunity, and phenotypes are therefore quantitative and dose-dependent rather than binary.</w:t>
      </w:r>
    </w:p>
    <w:p w14:paraId="56881463" w14:textId="77777777" w:rsidR="00666A9D" w:rsidRDefault="00000000" w:rsidP="00521C89">
      <w:pPr>
        <w:spacing w:before="100" w:beforeAutospacing="1" w:after="100" w:afterAutospacing="1"/>
        <w:jc w:val="both"/>
      </w:pPr>
      <w:r>
        <w:t xml:space="preserve">The durability record is mixed and, in places, poor. Characterisation of a naturally occurring </w:t>
      </w:r>
      <w:proofErr w:type="spellStart"/>
      <w:r>
        <w:t>begomovirus</w:t>
      </w:r>
      <w:proofErr w:type="spellEnd"/>
      <w:r>
        <w:t xml:space="preserve"> isolate capable of causing breakdown of </w:t>
      </w:r>
      <w:r>
        <w:rPr>
          <w:i/>
          <w:iCs/>
        </w:rPr>
        <w:t>Ty-3</w:t>
      </w:r>
      <w:r>
        <w:t>-mediated resistance demonstrates that resistance-breaking variants arise in the field, and that disease severity in resistant material was greater under elevated temperature (Mondal et al., 2026). The temperature dependence deserves emphasis, because it implies that durability assessments conducted under moderate conditions may systematically overestimate performance in the warm environments where the disease is most damaging. Field evaluation of commercial cultivars under natural disease pressure has documented substantial variation in performance among materials carrying nominally similar resistance (Acharya et al., 2026), which is consistent with allelic and background effects but also with heterogeneity in the local virus population.</w:t>
      </w:r>
    </w:p>
    <w:p w14:paraId="3D82F24E" w14:textId="77777777" w:rsidR="00666A9D" w:rsidRDefault="00000000" w:rsidP="00521C89">
      <w:pPr>
        <w:spacing w:before="100" w:beforeAutospacing="1" w:after="100" w:afterAutospacing="1"/>
        <w:jc w:val="both"/>
      </w:pPr>
      <w:r>
        <w:t xml:space="preserve">An apparent discrepancy runs through this literature. Controlled inoculation studies frequently report strong resistance phenotypes, whereas field evaluations report partial and variable protection. The most plausible explanations are that field exposure involves mixed and sequential infection with multiple </w:t>
      </w:r>
      <w:proofErr w:type="spellStart"/>
      <w:r>
        <w:t>begomovirus</w:t>
      </w:r>
      <w:proofErr w:type="spellEnd"/>
      <w:r>
        <w:t xml:space="preserve"> species and strains, that inoculum pressure is </w:t>
      </w:r>
      <w:r>
        <w:lastRenderedPageBreak/>
        <w:t>higher and more prolonged, and that temperature and vector pressure interact with resistance expression. These explanations are not mutually exclusive and the available evidence does not permit their relative contributions to be quantified. Confidence in extrapolating controlled-environment resistance phenotypes to field performance should therefore be low.</w:t>
      </w:r>
    </w:p>
    <w:p w14:paraId="63967A18" w14:textId="77777777" w:rsidR="00666A9D" w:rsidRDefault="00000000" w:rsidP="00521C89">
      <w:pPr>
        <w:pStyle w:val="Heading2"/>
        <w:spacing w:before="100" w:beforeAutospacing="1" w:after="100" w:afterAutospacing="1"/>
      </w:pPr>
      <w:r>
        <w:t xml:space="preserve">4.2 </w:t>
      </w:r>
      <w:proofErr w:type="spellStart"/>
      <w:r>
        <w:t>Tobamovirus</w:t>
      </w:r>
      <w:proofErr w:type="spellEnd"/>
      <w:r>
        <w:t xml:space="preserve"> resistance and the disruption caused by tomato brown rugose fruit virus</w:t>
      </w:r>
    </w:p>
    <w:p w14:paraId="1ED6C9CE" w14:textId="77777777" w:rsidR="00666A9D" w:rsidRDefault="00000000" w:rsidP="00521C89">
      <w:pPr>
        <w:spacing w:before="100" w:beforeAutospacing="1" w:after="100" w:afterAutospacing="1"/>
        <w:jc w:val="both"/>
      </w:pPr>
      <w:proofErr w:type="spellStart"/>
      <w:r>
        <w:t>Tobamovirus</w:t>
      </w:r>
      <w:proofErr w:type="spellEnd"/>
      <w:r>
        <w:t xml:space="preserve"> resistance in tomato had been regarded as one of the more stable achievements of resistance breeding until the emergence of tomato brown rugose fruit virus. Mechanistic work has established how the virus evades the deployed resistance: it avoids inducing self-association of the </w:t>
      </w:r>
      <w:r>
        <w:rPr>
          <w:i/>
          <w:iCs/>
        </w:rPr>
        <w:t>Tm-2²</w:t>
      </w:r>
      <w:r>
        <w:t xml:space="preserve"> protein, thereby failing to trigger the receptor activation step on which resistance depends (Ma et al., 2026). This is a mechanistically specific evasion rather than a generalised loss of recognition, and it illustrates a broader point about receptor-mediated resistance, namely that a pathogen may escape detection through subtle modification of the interaction interface while retaining function of the underlying effector.</w:t>
      </w:r>
    </w:p>
    <w:p w14:paraId="3108AA92" w14:textId="77777777" w:rsidR="00666A9D" w:rsidRDefault="00000000" w:rsidP="00521C89">
      <w:pPr>
        <w:spacing w:before="100" w:beforeAutospacing="1" w:after="100" w:afterAutospacing="1"/>
        <w:jc w:val="both"/>
      </w:pPr>
      <w:r>
        <w:t xml:space="preserve">The response has been to revisit alternative resistance sources. An allele of </w:t>
      </w:r>
      <w:r>
        <w:rPr>
          <w:i/>
          <w:iCs/>
        </w:rPr>
        <w:t>Tm-1</w:t>
      </w:r>
      <w:r>
        <w:t xml:space="preserve"> derived from </w:t>
      </w:r>
      <w:r>
        <w:rPr>
          <w:i/>
          <w:iCs/>
        </w:rPr>
        <w:t xml:space="preserve">Solanum </w:t>
      </w:r>
      <w:proofErr w:type="spellStart"/>
      <w:r>
        <w:rPr>
          <w:i/>
          <w:iCs/>
        </w:rPr>
        <w:t>pennellii</w:t>
      </w:r>
      <w:proofErr w:type="spellEnd"/>
      <w:r>
        <w:t xml:space="preserve"> accessions has been shown to contribute substantially to resistance against tomato brown rugose fruit virus (Zois et al., 2025), and </w:t>
      </w:r>
      <w:r>
        <w:rPr>
          <w:i/>
          <w:iCs/>
        </w:rPr>
        <w:t>Tm-1</w:t>
      </w:r>
      <w:r>
        <w:t>-based rootstocks have been developed with the specific aim of impeding soil-mediated infection (</w:t>
      </w:r>
      <w:proofErr w:type="spellStart"/>
      <w:r>
        <w:t>Rochsar</w:t>
      </w:r>
      <w:proofErr w:type="spellEnd"/>
      <w:r>
        <w:t xml:space="preserve"> et al., 2026). The rootstock approach is notable because it decouples the resistance from the fruiting scion, which avoids the linkage-drag and quality penalties that have historically limited use of S. </w:t>
      </w:r>
      <w:proofErr w:type="spellStart"/>
      <w:r>
        <w:t>pennellii</w:t>
      </w:r>
      <w:proofErr w:type="spellEnd"/>
      <w:r>
        <w:t>-derived segments in the scion genome. Its limitation is equally clear: rootstock-conferred protection addresses root-zone and soil-mediated inoculum but does not confer protection against mechanical transmission to the scion canopy, which is the dominant route in intensive protected production.</w:t>
      </w:r>
    </w:p>
    <w:p w14:paraId="34846880" w14:textId="77777777" w:rsidR="00666A9D" w:rsidRDefault="00000000" w:rsidP="00521C89">
      <w:pPr>
        <w:spacing w:before="100" w:beforeAutospacing="1" w:after="100" w:afterAutospacing="1"/>
        <w:jc w:val="both"/>
      </w:pPr>
      <w:r>
        <w:t xml:space="preserve">The evidence for </w:t>
      </w:r>
      <w:r>
        <w:rPr>
          <w:i/>
          <w:iCs/>
        </w:rPr>
        <w:t>Tm-1</w:t>
      </w:r>
      <w:r>
        <w:t xml:space="preserve">-based approaches is at present narrower than for </w:t>
      </w:r>
      <w:r>
        <w:rPr>
          <w:i/>
          <w:iCs/>
        </w:rPr>
        <w:t>Tm-2²</w:t>
      </w:r>
      <w:r>
        <w:t>. It rests on a smaller number of studies, in fewer genetic backgrounds, and without the multi-decade field record that accumulated for the earlier resistance. Describing these as promising is defensible; describing them as durable is not, since durability can only be established retrospectively against a pathogen population under sustained selection.</w:t>
      </w:r>
    </w:p>
    <w:p w14:paraId="56A9B896" w14:textId="77777777" w:rsidR="00666A9D" w:rsidRDefault="00000000" w:rsidP="00521C89">
      <w:pPr>
        <w:pStyle w:val="Heading2"/>
        <w:spacing w:before="100" w:beforeAutospacing="1" w:after="100" w:afterAutospacing="1"/>
      </w:pPr>
      <w:r>
        <w:t xml:space="preserve">4.3 </w:t>
      </w:r>
      <w:proofErr w:type="spellStart"/>
      <w:r>
        <w:t>Orthotospovirus</w:t>
      </w:r>
      <w:proofErr w:type="spellEnd"/>
      <w:r>
        <w:t xml:space="preserve"> resistance and the documented trajectory of </w:t>
      </w:r>
      <w:r>
        <w:rPr>
          <w:i/>
          <w:iCs/>
        </w:rPr>
        <w:t>Sw-5b</w:t>
      </w:r>
      <w:r>
        <w:t xml:space="preserve"> erosion</w:t>
      </w:r>
    </w:p>
    <w:p w14:paraId="481B3446" w14:textId="77777777" w:rsidR="00666A9D" w:rsidRDefault="00000000" w:rsidP="00521C89">
      <w:pPr>
        <w:spacing w:before="100" w:beforeAutospacing="1" w:after="100" w:afterAutospacing="1"/>
        <w:jc w:val="both"/>
      </w:pPr>
      <w:r>
        <w:t xml:space="preserve">Resistance conferred by </w:t>
      </w:r>
      <w:r>
        <w:rPr>
          <w:i/>
          <w:iCs/>
        </w:rPr>
        <w:t>Sw-5b</w:t>
      </w:r>
      <w:r>
        <w:t xml:space="preserve"> has been the mainstay of tomato spotted wilt management in tomato, and its erosion has been documented with unusual completeness. Local emergence, establishment and subsequent spread of resistance-breaking strains have been characterised across fresh-market and processing production (Macedo et al., 2024). Integrated genomic and phenotypic analysis of strains overcoming both </w:t>
      </w:r>
      <w:r>
        <w:rPr>
          <w:i/>
          <w:iCs/>
        </w:rPr>
        <w:t>Sw-5b</w:t>
      </w:r>
      <w:r>
        <w:t xml:space="preserve"> in tomato and </w:t>
      </w:r>
      <w:proofErr w:type="spellStart"/>
      <w:r>
        <w:rPr>
          <w:i/>
          <w:iCs/>
        </w:rPr>
        <w:t>Tsw</w:t>
      </w:r>
      <w:proofErr w:type="spellEnd"/>
      <w:r>
        <w:t xml:space="preserve"> in pepper has identified the genomic features associated with resistance breaking (</w:t>
      </w:r>
      <w:proofErr w:type="spellStart"/>
      <w:r>
        <w:t>Chinnaiah</w:t>
      </w:r>
      <w:proofErr w:type="spellEnd"/>
      <w:r>
        <w:t xml:space="preserve"> et al., 2026), and characterisation of Italian isolates has described double resistance-breaking strains affecting both crops together with the occurrence of a specific substitution in the </w:t>
      </w:r>
      <w:proofErr w:type="spellStart"/>
      <w:r>
        <w:t>avirulence</w:t>
      </w:r>
      <w:proofErr w:type="spellEnd"/>
      <w:r>
        <w:t xml:space="preserve"> determinant (Forgia et al., 2026).</w:t>
      </w:r>
    </w:p>
    <w:p w14:paraId="56B13CD7" w14:textId="77777777" w:rsidR="00666A9D" w:rsidRDefault="00000000" w:rsidP="00521C89">
      <w:pPr>
        <w:spacing w:before="100" w:beforeAutospacing="1" w:after="100" w:afterAutospacing="1"/>
        <w:jc w:val="both"/>
      </w:pPr>
      <w:r>
        <w:t xml:space="preserve">The physiological consequences of infection by resistance-breaking strains in plants carrying </w:t>
      </w:r>
      <w:r>
        <w:rPr>
          <w:i/>
          <w:iCs/>
        </w:rPr>
        <w:t>Sw-5</w:t>
      </w:r>
      <w:r>
        <w:t xml:space="preserve"> have been examined, with impairment of photosynthesis and protein synthesis pathways observed in a manner dependent on virus accumulation (</w:t>
      </w:r>
      <w:proofErr w:type="spellStart"/>
      <w:r>
        <w:t>Prigigallo</w:t>
      </w:r>
      <w:proofErr w:type="spellEnd"/>
      <w:r>
        <w:t xml:space="preserve"> et al., 2025). This finding is analytically useful because it indicates that the resistance is not simply absent in the breaking </w:t>
      </w:r>
      <w:r>
        <w:lastRenderedPageBreak/>
        <w:t>interaction but that damage scales with viral titre, which is consistent with a partial and quantitative residual effect rather than complete failure. The study is limited by the small number of isolates examined and by controlled-environment conditions, so the field relevance of the residual effect is undetermined.</w:t>
      </w:r>
    </w:p>
    <w:p w14:paraId="6877F505" w14:textId="77777777" w:rsidR="00666A9D" w:rsidRDefault="00000000" w:rsidP="00521C89">
      <w:pPr>
        <w:spacing w:before="100" w:beforeAutospacing="1" w:after="100" w:afterAutospacing="1"/>
        <w:jc w:val="both"/>
      </w:pPr>
      <w:r>
        <w:t xml:space="preserve">Two alternative strategies have been reported. Multigenic hairpin transgenes conferring resistance to multiple </w:t>
      </w:r>
      <w:proofErr w:type="spellStart"/>
      <w:r>
        <w:t>orthotospoviruses</w:t>
      </w:r>
      <w:proofErr w:type="spellEnd"/>
      <w:r>
        <w:t xml:space="preserve">, including </w:t>
      </w:r>
      <w:r>
        <w:rPr>
          <w:i/>
          <w:iCs/>
        </w:rPr>
        <w:t>Sw-5</w:t>
      </w:r>
      <w:r>
        <w:t xml:space="preserve"> resistance-breaking tomato spotted wilt virus, have been demonstrated in tomato (Oliver et al., 2024), and a gene conferring broad-spectrum </w:t>
      </w:r>
      <w:proofErr w:type="spellStart"/>
      <w:r>
        <w:t>orthotospovirus</w:t>
      </w:r>
      <w:proofErr w:type="spellEnd"/>
      <w:r>
        <w:t xml:space="preserve"> resistance has been identified within the Solanaceae (Liu et al., 2025). Both represent genuine advances in the underlying science. Neither has been evaluated over multiple seasons against evolving virus populations, and RNA interference-based approaches in particular have a history in other </w:t>
      </w:r>
      <w:proofErr w:type="spellStart"/>
      <w:r>
        <w:t>pathosystems</w:t>
      </w:r>
      <w:proofErr w:type="spellEnd"/>
      <w:r>
        <w:t xml:space="preserve"> of narrower and less stable field performance than controlled assays suggest. The transgenic status of hairpin constructs also constrains deployment in jurisdictions where such material faces restrictive approval pathways.</w:t>
      </w:r>
    </w:p>
    <w:p w14:paraId="5CFFB6C1" w14:textId="77777777" w:rsidR="00666A9D" w:rsidRDefault="00000000" w:rsidP="00521C89">
      <w:pPr>
        <w:spacing w:before="100" w:beforeAutospacing="1" w:after="100" w:afterAutospacing="1"/>
        <w:jc w:val="both"/>
      </w:pPr>
      <w:r>
        <w:t xml:space="preserve">Table 2 sets out the mechanistic class of the principal characterised resistance loci deployed against viruses in tomato alongside the documented status of each. Read across the rows, the table supports a conclusion that is central to this review: mechanistic class does not predict durability in any simple way. Receptor-mediated resistance conferred by </w:t>
      </w:r>
      <w:r>
        <w:rPr>
          <w:i/>
          <w:iCs/>
        </w:rPr>
        <w:t>Tm-2²</w:t>
      </w:r>
      <w:r>
        <w:t xml:space="preserve"> and </w:t>
      </w:r>
      <w:r>
        <w:rPr>
          <w:i/>
          <w:iCs/>
        </w:rPr>
        <w:t>Sw-5b</w:t>
      </w:r>
      <w:r>
        <w:t xml:space="preserve"> has been overcome, and so has resistance mediated by an RNA-dependent RNA polymerase. The determinant of erosion appears to be the intensity and duration of selection imposed by monogenic deployment across large contiguous areas rather than the biochemical route by which resistance operates.</w:t>
      </w:r>
    </w:p>
    <w:p w14:paraId="5912E034" w14:textId="77777777" w:rsidR="00666A9D" w:rsidRDefault="00000000" w:rsidP="00521C89">
      <w:pPr>
        <w:spacing w:before="100" w:beforeAutospacing="1" w:after="100" w:afterAutospacing="1"/>
      </w:pPr>
      <w:r>
        <w:rPr>
          <w:b/>
          <w:bCs/>
          <w:sz w:val="20"/>
          <w:szCs w:val="20"/>
        </w:rPr>
        <w:t>Table 2. Mechanistic class and reported durability status of principal characterised virus resistance loci deployed in tomato.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2"/>
        <w:gridCol w:w="1785"/>
        <w:gridCol w:w="1785"/>
        <w:gridCol w:w="1502"/>
        <w:gridCol w:w="2442"/>
      </w:tblGrid>
      <w:tr w:rsidR="00666A9D" w14:paraId="0B981A6F" w14:textId="77777777" w:rsidTr="00521C89">
        <w:trPr>
          <w:cantSplit/>
          <w:tblHeader/>
        </w:trPr>
        <w:tc>
          <w:tcPr>
            <w:tcW w:w="833"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4301FC7" w14:textId="77777777" w:rsidR="00666A9D" w:rsidRDefault="00000000" w:rsidP="00521C89">
            <w:pPr>
              <w:spacing w:before="100" w:beforeAutospacing="1" w:after="100" w:afterAutospacing="1"/>
            </w:pPr>
            <w:r>
              <w:rPr>
                <w:b/>
                <w:bCs/>
                <w:sz w:val="20"/>
                <w:szCs w:val="20"/>
              </w:rPr>
              <w:t>Locus or resistance source</w:t>
            </w:r>
          </w:p>
        </w:tc>
        <w:tc>
          <w:tcPr>
            <w:tcW w:w="99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53FFCEC" w14:textId="77777777" w:rsidR="00666A9D" w:rsidRDefault="00000000" w:rsidP="00521C89">
            <w:pPr>
              <w:spacing w:before="100" w:beforeAutospacing="1" w:after="100" w:afterAutospacing="1"/>
            </w:pPr>
            <w:r>
              <w:rPr>
                <w:b/>
                <w:bCs/>
                <w:sz w:val="20"/>
                <w:szCs w:val="20"/>
              </w:rPr>
              <w:t>Target virus group</w:t>
            </w:r>
          </w:p>
        </w:tc>
        <w:tc>
          <w:tcPr>
            <w:tcW w:w="99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2D6A53B" w14:textId="77777777" w:rsidR="00666A9D" w:rsidRDefault="00000000" w:rsidP="00521C89">
            <w:pPr>
              <w:spacing w:before="100" w:beforeAutospacing="1" w:after="100" w:afterAutospacing="1"/>
            </w:pPr>
            <w:r>
              <w:rPr>
                <w:b/>
                <w:bCs/>
                <w:sz w:val="20"/>
                <w:szCs w:val="20"/>
              </w:rPr>
              <w:t>Reported mechanistic basis</w:t>
            </w:r>
          </w:p>
        </w:tc>
        <w:tc>
          <w:tcPr>
            <w:tcW w:w="833"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F8D8473" w14:textId="77777777" w:rsidR="00666A9D" w:rsidRDefault="00000000" w:rsidP="00521C89">
            <w:pPr>
              <w:spacing w:before="100" w:beforeAutospacing="1" w:after="100" w:afterAutospacing="1"/>
            </w:pPr>
            <w:r>
              <w:rPr>
                <w:b/>
                <w:bCs/>
                <w:sz w:val="20"/>
                <w:szCs w:val="20"/>
              </w:rPr>
              <w:t>Documented erosion</w:t>
            </w:r>
          </w:p>
        </w:tc>
        <w:tc>
          <w:tcPr>
            <w:tcW w:w="1354"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31F1C93" w14:textId="77777777" w:rsidR="00666A9D" w:rsidRDefault="00000000" w:rsidP="00521C89">
            <w:pPr>
              <w:spacing w:before="100" w:beforeAutospacing="1" w:after="100" w:afterAutospacing="1"/>
            </w:pPr>
            <w:r>
              <w:rPr>
                <w:b/>
                <w:bCs/>
                <w:sz w:val="20"/>
                <w:szCs w:val="20"/>
              </w:rPr>
              <w:t>Supporting references</w:t>
            </w:r>
          </w:p>
        </w:tc>
      </w:tr>
      <w:tr w:rsidR="00666A9D" w14:paraId="084F1178"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3ABE82" w14:textId="77777777" w:rsidR="00666A9D" w:rsidRDefault="00000000" w:rsidP="00521C89">
            <w:pPr>
              <w:spacing w:before="100" w:beforeAutospacing="1" w:after="100" w:afterAutospacing="1"/>
            </w:pPr>
            <w:r>
              <w:rPr>
                <w:i/>
                <w:iCs/>
                <w:sz w:val="20"/>
                <w:szCs w:val="20"/>
              </w:rPr>
              <w:t>Ty-1</w:t>
            </w:r>
            <w:r>
              <w:rPr>
                <w:sz w:val="20"/>
                <w:szCs w:val="20"/>
              </w:rPr>
              <w:t xml:space="preserve"> and </w:t>
            </w:r>
            <w:r>
              <w:rPr>
                <w:i/>
                <w:iCs/>
                <w:sz w:val="20"/>
                <w:szCs w:val="20"/>
              </w:rPr>
              <w:t>Ty-3</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AB652F"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557B63" w14:textId="77777777" w:rsidR="00666A9D" w:rsidRDefault="00000000" w:rsidP="00521C89">
            <w:pPr>
              <w:spacing w:before="100" w:beforeAutospacing="1" w:after="100" w:afterAutospacing="1"/>
            </w:pPr>
            <w:r>
              <w:rPr>
                <w:sz w:val="20"/>
                <w:szCs w:val="20"/>
              </w:rPr>
              <w:t>Allelic; DFDGD-class RNA-dependent RNA polymerases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6B7175" w14:textId="77777777" w:rsidR="00666A9D" w:rsidRDefault="00000000" w:rsidP="00521C89">
            <w:pPr>
              <w:spacing w:before="100" w:beforeAutospacing="1" w:after="100" w:afterAutospacing="1"/>
            </w:pPr>
            <w:r>
              <w:rPr>
                <w:sz w:val="20"/>
                <w:szCs w:val="20"/>
              </w:rPr>
              <w:t xml:space="preserve">Breakdown of </w:t>
            </w:r>
            <w:r>
              <w:rPr>
                <w:i/>
                <w:iCs/>
                <w:sz w:val="20"/>
                <w:szCs w:val="20"/>
              </w:rPr>
              <w:t>Ty-3</w:t>
            </w:r>
            <w:r>
              <w:rPr>
                <w:sz w:val="20"/>
                <w:szCs w:val="20"/>
              </w:rPr>
              <w:t>-mediated resistance reported for a field isolate, with greater severity at elevated temperature</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EC964E" w14:textId="77777777" w:rsidR="00666A9D" w:rsidRDefault="00000000" w:rsidP="00521C89">
            <w:pPr>
              <w:spacing w:before="100" w:beforeAutospacing="1" w:after="100" w:afterAutospacing="1"/>
            </w:pPr>
            <w:r w:rsidRPr="00385B5B">
              <w:rPr>
                <w:sz w:val="20"/>
                <w:szCs w:val="20"/>
                <w:lang w:val="nl-BE"/>
              </w:rPr>
              <w:t xml:space="preserve">Mondal et al. (2026); Verlaan et al. </w:t>
            </w:r>
            <w:r>
              <w:rPr>
                <w:sz w:val="20"/>
                <w:szCs w:val="20"/>
              </w:rPr>
              <w:t>(2013)</w:t>
            </w:r>
          </w:p>
        </w:tc>
      </w:tr>
      <w:tr w:rsidR="00666A9D" w14:paraId="6B9D77CA"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5DE7FB" w14:textId="77777777" w:rsidR="00666A9D" w:rsidRDefault="00000000" w:rsidP="00521C89">
            <w:pPr>
              <w:spacing w:before="100" w:beforeAutospacing="1" w:after="100" w:afterAutospacing="1"/>
            </w:pPr>
            <w:r>
              <w:rPr>
                <w:i/>
                <w:iCs/>
                <w:sz w:val="20"/>
                <w:szCs w:val="20"/>
              </w:rPr>
              <w:t>ty-5</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997BA7"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2965A0" w14:textId="77777777" w:rsidR="00666A9D" w:rsidRDefault="00000000" w:rsidP="00521C89">
            <w:pPr>
              <w:spacing w:before="100" w:beforeAutospacing="1" w:after="100" w:afterAutospacing="1"/>
            </w:pPr>
            <w:r>
              <w:rPr>
                <w:sz w:val="20"/>
                <w:szCs w:val="20"/>
              </w:rPr>
              <w:t>Recessive; messenger RNA surveillance factor Pelota, with an AP2/ERF component implicated in the response network</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2C6831" w14:textId="77777777" w:rsidR="00666A9D" w:rsidRDefault="00000000" w:rsidP="00521C89">
            <w:pPr>
              <w:spacing w:before="100" w:beforeAutospacing="1" w:after="100" w:afterAutospacing="1"/>
            </w:pPr>
            <w:r>
              <w:rPr>
                <w:sz w:val="20"/>
                <w:szCs w:val="20"/>
              </w:rPr>
              <w:t>Not established in the sources reviewed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A5FB11" w14:textId="77777777" w:rsidR="00666A9D" w:rsidRDefault="00000000" w:rsidP="00521C89">
            <w:pPr>
              <w:spacing w:before="100" w:beforeAutospacing="1" w:after="100" w:afterAutospacing="1"/>
            </w:pPr>
            <w:r w:rsidRPr="00385B5B">
              <w:rPr>
                <w:sz w:val="20"/>
                <w:szCs w:val="20"/>
                <w:lang w:val="nl-BE"/>
              </w:rPr>
              <w:t xml:space="preserve">X. Li et al. (2025); Majumdar et al. </w:t>
            </w:r>
            <w:r>
              <w:rPr>
                <w:sz w:val="20"/>
                <w:szCs w:val="20"/>
              </w:rPr>
              <w:t>(2026); Padmanabhan et al. (2026)</w:t>
            </w:r>
          </w:p>
        </w:tc>
      </w:tr>
      <w:tr w:rsidR="00666A9D" w14:paraId="2D4DED2E"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097E91" w14:textId="77777777" w:rsidR="00666A9D" w:rsidRDefault="00000000" w:rsidP="00521C89">
            <w:pPr>
              <w:spacing w:before="100" w:beforeAutospacing="1" w:after="100" w:afterAutospacing="1"/>
            </w:pPr>
            <w:r>
              <w:rPr>
                <w:i/>
                <w:iCs/>
                <w:sz w:val="20"/>
                <w:szCs w:val="20"/>
              </w:rPr>
              <w:lastRenderedPageBreak/>
              <w:t>Ty-6</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492FA7"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B6159A" w14:textId="77777777" w:rsidR="00666A9D" w:rsidRDefault="00000000" w:rsidP="00521C89">
            <w:pPr>
              <w:spacing w:before="100" w:beforeAutospacing="1" w:after="100" w:afterAutospacing="1"/>
            </w:pPr>
            <w:r>
              <w:rPr>
                <w:sz w:val="20"/>
                <w:szCs w:val="20"/>
              </w:rPr>
              <w:t>DNA polymerase delta subunit 1; allelic variation at orthologous loci associated with resistance in other species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677934" w14:textId="77777777" w:rsidR="00666A9D" w:rsidRDefault="00000000" w:rsidP="00521C89">
            <w:pPr>
              <w:spacing w:before="100" w:beforeAutospacing="1" w:after="100" w:afterAutospacing="1"/>
            </w:pPr>
            <w:r>
              <w:rPr>
                <w:sz w:val="20"/>
                <w:szCs w:val="20"/>
              </w:rPr>
              <w:t>Not established in the sources reviewed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A1ABF0" w14:textId="77777777" w:rsidR="00666A9D" w:rsidRDefault="00000000" w:rsidP="00521C89">
            <w:pPr>
              <w:spacing w:before="100" w:beforeAutospacing="1" w:after="100" w:afterAutospacing="1"/>
            </w:pPr>
            <w:r w:rsidRPr="00385B5B">
              <w:rPr>
                <w:sz w:val="20"/>
                <w:szCs w:val="20"/>
                <w:lang w:val="nl-BE"/>
              </w:rPr>
              <w:t xml:space="preserve">Gilbert et al. (2025); Shen et al. </w:t>
            </w:r>
            <w:r>
              <w:rPr>
                <w:sz w:val="20"/>
                <w:szCs w:val="20"/>
              </w:rPr>
              <w:t>(2025)</w:t>
            </w:r>
          </w:p>
        </w:tc>
      </w:tr>
      <w:tr w:rsidR="00666A9D" w14:paraId="6E03A30F"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90D322" w14:textId="77777777" w:rsidR="00666A9D" w:rsidRDefault="00000000" w:rsidP="00521C89">
            <w:pPr>
              <w:spacing w:before="100" w:beforeAutospacing="1" w:after="100" w:afterAutospacing="1"/>
            </w:pPr>
            <w:r>
              <w:rPr>
                <w:i/>
                <w:iCs/>
                <w:sz w:val="20"/>
                <w:szCs w:val="20"/>
              </w:rPr>
              <w:t>Tm-2²</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007586" w14:textId="77777777" w:rsidR="00666A9D" w:rsidRDefault="00000000" w:rsidP="00521C89">
            <w:pPr>
              <w:spacing w:before="100" w:beforeAutospacing="1" w:after="100" w:afterAutospacing="1"/>
            </w:pPr>
            <w:proofErr w:type="spellStart"/>
            <w:r>
              <w:rPr>
                <w:sz w:val="20"/>
                <w:szCs w:val="20"/>
              </w:rPr>
              <w:t>Tobamovirus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A97C08" w14:textId="77777777" w:rsidR="00666A9D" w:rsidRDefault="00000000" w:rsidP="00521C89">
            <w:pPr>
              <w:spacing w:before="100" w:beforeAutospacing="1" w:after="100" w:afterAutospacing="1"/>
            </w:pPr>
            <w:r>
              <w:rPr>
                <w:sz w:val="20"/>
                <w:szCs w:val="20"/>
              </w:rPr>
              <w:t>Receptor-mediated; activation requires induced self-association</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081D64" w14:textId="77777777" w:rsidR="00666A9D" w:rsidRDefault="00000000" w:rsidP="00521C89">
            <w:pPr>
              <w:spacing w:before="100" w:beforeAutospacing="1" w:after="100" w:afterAutospacing="1"/>
            </w:pPr>
            <w:r>
              <w:rPr>
                <w:sz w:val="20"/>
                <w:szCs w:val="20"/>
              </w:rPr>
              <w:t>Evaded by tomato brown rugose fruit virus through avoidance of self-association</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5C610B" w14:textId="77777777" w:rsidR="00666A9D" w:rsidRDefault="00000000" w:rsidP="00521C89">
            <w:pPr>
              <w:spacing w:before="100" w:beforeAutospacing="1" w:after="100" w:afterAutospacing="1"/>
            </w:pPr>
            <w:r>
              <w:rPr>
                <w:sz w:val="20"/>
                <w:szCs w:val="20"/>
              </w:rPr>
              <w:t>Ma et al. (2026)</w:t>
            </w:r>
          </w:p>
        </w:tc>
      </w:tr>
      <w:tr w:rsidR="00666A9D" w14:paraId="402BD2C0"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935BE8" w14:textId="77777777" w:rsidR="00666A9D" w:rsidRDefault="00000000" w:rsidP="00521C89">
            <w:pPr>
              <w:spacing w:before="100" w:beforeAutospacing="1" w:after="100" w:afterAutospacing="1"/>
            </w:pPr>
            <w:r>
              <w:rPr>
                <w:i/>
                <w:iCs/>
                <w:sz w:val="20"/>
                <w:szCs w:val="20"/>
              </w:rPr>
              <w:t>Tm-1</w:t>
            </w:r>
            <w:r>
              <w:rPr>
                <w:sz w:val="20"/>
                <w:szCs w:val="20"/>
              </w:rPr>
              <w:t xml:space="preserve"> (</w:t>
            </w:r>
            <w:r>
              <w:rPr>
                <w:i/>
                <w:iCs/>
                <w:sz w:val="20"/>
                <w:szCs w:val="20"/>
              </w:rPr>
              <w:t xml:space="preserve">Solanum </w:t>
            </w:r>
            <w:proofErr w:type="spellStart"/>
            <w:r>
              <w:rPr>
                <w:i/>
                <w:iCs/>
                <w:sz w:val="20"/>
                <w:szCs w:val="20"/>
              </w:rPr>
              <w:t>pennellii</w:t>
            </w:r>
            <w:proofErr w:type="spellEnd"/>
            <w:r>
              <w:rPr>
                <w:sz w:val="20"/>
                <w:szCs w:val="20"/>
              </w:rPr>
              <w:t xml:space="preserve"> allele)</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3984A8" w14:textId="77777777" w:rsidR="00666A9D" w:rsidRDefault="00000000" w:rsidP="00521C89">
            <w:pPr>
              <w:spacing w:before="100" w:beforeAutospacing="1" w:after="100" w:afterAutospacing="1"/>
            </w:pPr>
            <w:proofErr w:type="spellStart"/>
            <w:r>
              <w:rPr>
                <w:sz w:val="20"/>
                <w:szCs w:val="20"/>
              </w:rPr>
              <w:t>Tobamovirus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A315C5" w14:textId="77777777" w:rsidR="00666A9D" w:rsidRDefault="00000000" w:rsidP="00521C89">
            <w:pPr>
              <w:spacing w:before="100" w:beforeAutospacing="1" w:after="100" w:afterAutospacing="1"/>
            </w:pPr>
            <w:r>
              <w:rPr>
                <w:sz w:val="20"/>
                <w:szCs w:val="20"/>
              </w:rPr>
              <w:t>Not resolved in the sources reviewed; allele contributes major effect against tomato brown rugose fruit virus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870041" w14:textId="77777777" w:rsidR="00666A9D" w:rsidRDefault="00000000" w:rsidP="00521C89">
            <w:pPr>
              <w:spacing w:before="100" w:beforeAutospacing="1" w:after="100" w:afterAutospacing="1"/>
            </w:pPr>
            <w:r>
              <w:rPr>
                <w:sz w:val="20"/>
                <w:szCs w:val="20"/>
              </w:rPr>
              <w:t>Not established; evidence base limited to recent studies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21A7B6" w14:textId="77777777" w:rsidR="00666A9D" w:rsidRDefault="00000000" w:rsidP="00521C89">
            <w:pPr>
              <w:spacing w:before="100" w:beforeAutospacing="1" w:after="100" w:afterAutospacing="1"/>
            </w:pPr>
            <w:r w:rsidRPr="00385B5B">
              <w:rPr>
                <w:sz w:val="20"/>
                <w:szCs w:val="20"/>
                <w:lang w:val="nl-BE"/>
              </w:rPr>
              <w:t xml:space="preserve">Rochsar et al. (2026); Zois et al. </w:t>
            </w:r>
            <w:r>
              <w:rPr>
                <w:sz w:val="20"/>
                <w:szCs w:val="20"/>
              </w:rPr>
              <w:t>(2025)</w:t>
            </w:r>
          </w:p>
        </w:tc>
      </w:tr>
      <w:tr w:rsidR="00666A9D" w14:paraId="36044A70"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40DD39" w14:textId="77777777" w:rsidR="00666A9D" w:rsidRDefault="00000000" w:rsidP="00521C89">
            <w:pPr>
              <w:spacing w:before="100" w:beforeAutospacing="1" w:after="100" w:afterAutospacing="1"/>
            </w:pPr>
            <w:r>
              <w:rPr>
                <w:i/>
                <w:iCs/>
                <w:sz w:val="20"/>
                <w:szCs w:val="20"/>
              </w:rPr>
              <w:t>Sw-5b</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73CCDF" w14:textId="77777777" w:rsidR="00666A9D" w:rsidRDefault="00000000" w:rsidP="00521C89">
            <w:pPr>
              <w:spacing w:before="100" w:beforeAutospacing="1" w:after="100" w:afterAutospacing="1"/>
            </w:pPr>
            <w:proofErr w:type="spellStart"/>
            <w:r>
              <w:rPr>
                <w:sz w:val="20"/>
                <w:szCs w:val="20"/>
              </w:rPr>
              <w:t>Orthotospovirus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872F8C" w14:textId="77777777" w:rsidR="00666A9D" w:rsidRDefault="00000000" w:rsidP="00521C89">
            <w:pPr>
              <w:spacing w:before="100" w:beforeAutospacing="1" w:after="100" w:afterAutospacing="1"/>
            </w:pPr>
            <w:r>
              <w:rPr>
                <w:sz w:val="20"/>
                <w:szCs w:val="20"/>
              </w:rPr>
              <w:t>Dominant resistance gene; recognition-dependent</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37F1F7" w14:textId="77777777" w:rsidR="00666A9D" w:rsidRDefault="00000000" w:rsidP="00521C89">
            <w:pPr>
              <w:spacing w:before="100" w:beforeAutospacing="1" w:after="100" w:afterAutospacing="1"/>
            </w:pPr>
            <w:r>
              <w:rPr>
                <w:sz w:val="20"/>
                <w:szCs w:val="20"/>
              </w:rPr>
              <w:t>Resistance-breaking strains emerged, established and spread; double resistance-breaking strains affecting tomato and pepper described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4A5DFB" w14:textId="77777777" w:rsidR="00666A9D" w:rsidRDefault="00000000" w:rsidP="00521C89">
            <w:pPr>
              <w:spacing w:before="100" w:beforeAutospacing="1" w:after="100" w:afterAutospacing="1"/>
            </w:pPr>
            <w:r w:rsidRPr="00385B5B">
              <w:rPr>
                <w:sz w:val="20"/>
                <w:szCs w:val="20"/>
                <w:lang w:val="nl-BE"/>
              </w:rPr>
              <w:t xml:space="preserve">Chinnaiah et al. (2026); Forgia et al. (2026); Macedo et al. (2024); Prigigallo et al. </w:t>
            </w:r>
            <w:r>
              <w:rPr>
                <w:sz w:val="20"/>
                <w:szCs w:val="20"/>
              </w:rPr>
              <w:t>(2025)</w:t>
            </w:r>
          </w:p>
        </w:tc>
      </w:tr>
    </w:tbl>
    <w:p w14:paraId="5DA88606" w14:textId="77777777" w:rsidR="00666A9D" w:rsidRDefault="00000000" w:rsidP="00521C89">
      <w:pPr>
        <w:spacing w:before="100" w:beforeAutospacing="1" w:after="100" w:afterAutospacing="1"/>
      </w:pPr>
      <w:r>
        <w:rPr>
          <w:sz w:val="18"/>
          <w:szCs w:val="18"/>
        </w:rPr>
        <w:t>Note. “Documented erosion” refers to resistance-breaking phenotypes reported in the peer-reviewed sources retrieved for this review; absence of a report is not evidence that erosion has not occurred. Mechanistic descriptions are restricted to those explicitly reported in the cited sources.</w:t>
      </w:r>
    </w:p>
    <w:p w14:paraId="252A7E21" w14:textId="77777777" w:rsidR="00666A9D" w:rsidRDefault="00000000" w:rsidP="00521C89">
      <w:pPr>
        <w:pStyle w:val="Heading1"/>
        <w:spacing w:before="100" w:beforeAutospacing="1" w:after="100" w:afterAutospacing="1"/>
      </w:pPr>
      <w:r>
        <w:t>5. Resistance to Fungal, Oomycete and Bacterial Pathogens</w:t>
      </w:r>
    </w:p>
    <w:p w14:paraId="6A358BAE" w14:textId="77777777" w:rsidR="00666A9D" w:rsidRDefault="00000000" w:rsidP="00521C89">
      <w:pPr>
        <w:spacing w:before="100" w:beforeAutospacing="1" w:after="100" w:afterAutospacing="1"/>
        <w:jc w:val="both"/>
      </w:pPr>
      <w:r>
        <w:t>Resistance to cellular pathogens in tomato spans the full range from single dominant genes to broadly distributed quantitative variation, and the evidentiary character of the literature differs correspondingly. Where viral resistance research is dominated by cloned genes and defined mechanisms, work on fungal, oomycete and bacterial pathogens is dominated by mapped intervals and transcriptional descriptions, with comparatively few resolved causal genes.</w:t>
      </w:r>
    </w:p>
    <w:p w14:paraId="233C8E4B" w14:textId="77777777" w:rsidR="00666A9D" w:rsidRDefault="00000000" w:rsidP="00521C89">
      <w:pPr>
        <w:pStyle w:val="Heading2"/>
        <w:spacing w:before="100" w:beforeAutospacing="1" w:after="100" w:afterAutospacing="1"/>
      </w:pPr>
      <w:r>
        <w:t>5.1 The recognition layer and its incomplete characterisation in tomato</w:t>
      </w:r>
    </w:p>
    <w:p w14:paraId="652BA54A" w14:textId="77777777" w:rsidR="00666A9D" w:rsidRDefault="00000000" w:rsidP="00521C89">
      <w:pPr>
        <w:spacing w:before="100" w:beforeAutospacing="1" w:after="100" w:afterAutospacing="1"/>
        <w:jc w:val="both"/>
      </w:pPr>
      <w:r>
        <w:t xml:space="preserve">Plant immunity in the Solanaceae operates through both cell-surface receptors detecting conserved microbial patterns and intracellular receptors detecting pathogen effectors, and current understanding of the surface receptor layer in this family, including receptors relevant to parasitic interactions, has been reviewed recently (Leuschen-Kohl &amp; Iyer-Pascuzzi, 2026). The genetic diversity available across the wider </w:t>
      </w:r>
      <w:r>
        <w:rPr>
          <w:i/>
          <w:iCs/>
        </w:rPr>
        <w:t>Solanum</w:t>
      </w:r>
      <w:r>
        <w:t xml:space="preserve"> gene pool has been argued to constitute the principal underexploited resource for crop protection (Fenn et al., 2026). These positions are well supported in general terms. Their translation into tomato-specific outcomes </w:t>
      </w:r>
      <w:r>
        <w:lastRenderedPageBreak/>
        <w:t>is less advanced than the volume of publication suggests, because most reported resistance in this domain has not been resolved to a causal receptor.</w:t>
      </w:r>
    </w:p>
    <w:p w14:paraId="5671041D" w14:textId="77777777" w:rsidR="00666A9D" w:rsidRDefault="00000000" w:rsidP="00521C89">
      <w:pPr>
        <w:spacing w:before="100" w:beforeAutospacing="1" w:after="100" w:afterAutospacing="1"/>
        <w:jc w:val="both"/>
      </w:pPr>
      <w:r>
        <w:t>Basal chemical defence provides a complementary layer. Two glycoalkaloid metabolism genes have been shown to contribute to alpha-tomatine biosynthesis and to basal defence in tomato (You et al., 2026), which establishes a functional link between a well-known specialised metabolite pathway and measurable disease outcomes. The wider evolutionary context of Solanaceae specialised metabolism, including the diversity and biosynthetic complexity of these compounds, has been synthesised comprehensively (Fiesel et al., 2022). The practical difficulty with metabolic defences is that they are frequently pleiotropic with fruit quality traits, so that selection for enhanced defence chemistry risks unacceptable effects on the harvested product. The available studies do not resolve how severe this constraint is in practice.</w:t>
      </w:r>
    </w:p>
    <w:p w14:paraId="48B7AC85" w14:textId="77777777" w:rsidR="00666A9D" w:rsidRDefault="00000000" w:rsidP="00521C89">
      <w:pPr>
        <w:pStyle w:val="Heading2"/>
        <w:spacing w:before="100" w:beforeAutospacing="1" w:after="100" w:afterAutospacing="1"/>
      </w:pPr>
      <w:r>
        <w:t>5.2 Quantitative resistance and the distance between mapping and deployment</w:t>
      </w:r>
    </w:p>
    <w:p w14:paraId="496237F1" w14:textId="77777777" w:rsidR="00666A9D" w:rsidRDefault="00000000" w:rsidP="00521C89">
      <w:pPr>
        <w:spacing w:before="100" w:beforeAutospacing="1" w:after="100" w:afterAutospacing="1"/>
        <w:jc w:val="both"/>
      </w:pPr>
      <w:r>
        <w:t xml:space="preserve">Late blight resistance illustrates the pattern clearly. Quantitative trait loci for resistance to </w:t>
      </w:r>
      <w:r>
        <w:rPr>
          <w:i/>
          <w:iCs/>
        </w:rPr>
        <w:t>Phytophthora infestans</w:t>
      </w:r>
      <w:r>
        <w:t xml:space="preserve"> have been identified in an interspecific recombinant inbred line population using genotyping by sequencing (Jia et al., 2025). The design is appropriate and the marker density adequate, but the outcome is a set of intervals whose transferability to elite backgrounds and whose stability across pathogen populations remain to be established. Marker-assisted pyramiding combining resistance to late blight with resistance to tomato leaf curl disease has been reported with the stated objective of stabilising production (</w:t>
      </w:r>
      <w:proofErr w:type="spellStart"/>
      <w:r>
        <w:t>Yerasu</w:t>
      </w:r>
      <w:proofErr w:type="spellEnd"/>
      <w:r>
        <w:t xml:space="preserve"> et al., 2025), which is a step closer to deployment. What neither study provides, and what the field generally lacks, is multi-season evaluation of pyramided material against characterised and monitored pathogen populations.</w:t>
      </w:r>
    </w:p>
    <w:p w14:paraId="5808F948" w14:textId="77777777" w:rsidR="00666A9D" w:rsidRDefault="00000000" w:rsidP="00521C89">
      <w:pPr>
        <w:spacing w:before="100" w:beforeAutospacing="1" w:after="100" w:afterAutospacing="1"/>
        <w:jc w:val="both"/>
      </w:pPr>
      <w:r>
        <w:t>Bacterial wilt resistance follows a similar trajectory. Association analysis has identified loci and generated single-nucleotide polymorphism markers intended for breeding use (</w:t>
      </w:r>
      <w:proofErr w:type="spellStart"/>
      <w:r>
        <w:t>Bhunchoth</w:t>
      </w:r>
      <w:proofErr w:type="spellEnd"/>
      <w:r>
        <w:t xml:space="preserve"> et al., 2025), and comparative transcriptomic analysis with weighted correlation network construction has identified hub genes within a hormone-mediated defence network responding to </w:t>
      </w:r>
      <w:r>
        <w:rPr>
          <w:i/>
          <w:iCs/>
        </w:rPr>
        <w:t>Ralstonia solanacearum</w:t>
      </w:r>
      <w:r>
        <w:t xml:space="preserve"> (C. Yu et al., 2026). The transcriptomic evidence is informative about the response but does not identify resistance determinants, since differential expression during infection is compatible with both causal involvement and downstream consequence. Treating hub-gene identification as equivalent to resistance-gene identification would be an overinterpretation, and the distinction is worth maintaining explicitly because the two are frequently conflated in this literature.</w:t>
      </w:r>
    </w:p>
    <w:p w14:paraId="6B502C1A" w14:textId="77777777" w:rsidR="00666A9D" w:rsidRDefault="00000000" w:rsidP="00521C89">
      <w:pPr>
        <w:spacing w:before="100" w:beforeAutospacing="1" w:after="100" w:afterAutospacing="1"/>
        <w:jc w:val="both"/>
      </w:pPr>
      <w:r>
        <w:t xml:space="preserve">Verticillium wilt resistance has been analysed by association mapping against race 3, identifying quantitative trait loci in a diverse panel (Adhikari et al., 2025). Fusarium wilt occupies a distinct evidentiary position, because the pathogen side of the interaction is comparatively well characterised: pathogen genomics, pathogenesis and host resistance in interactions between solanaceous vegetables and </w:t>
      </w:r>
      <w:r>
        <w:rPr>
          <w:i/>
          <w:iCs/>
        </w:rPr>
        <w:t xml:space="preserve">Fusarium </w:t>
      </w:r>
      <w:proofErr w:type="spellStart"/>
      <w:r>
        <w:rPr>
          <w:i/>
          <w:iCs/>
        </w:rPr>
        <w:t>oxysporum</w:t>
      </w:r>
      <w:proofErr w:type="spellEnd"/>
      <w:r>
        <w:t xml:space="preserve"> have been synthesised recently (M. Li et al., 2026). Effector-based understanding of the pathogen improves the prospect of anticipating resistance breakdown, since the relevant </w:t>
      </w:r>
      <w:proofErr w:type="spellStart"/>
      <w:r>
        <w:t>avirulence</w:t>
      </w:r>
      <w:proofErr w:type="spellEnd"/>
      <w:r>
        <w:t xml:space="preserve"> determinants can in principle be monitored in field populations. Whether such monitoring is being conducted at a scale sufficient to inform deployment decisions is not established by the sources reviewed.</w:t>
      </w:r>
    </w:p>
    <w:p w14:paraId="7DB8BF54" w14:textId="77777777" w:rsidR="00666A9D" w:rsidRDefault="00000000" w:rsidP="00521C89">
      <w:pPr>
        <w:pStyle w:val="Heading2"/>
        <w:spacing w:before="100" w:beforeAutospacing="1" w:after="100" w:afterAutospacing="1"/>
      </w:pPr>
      <w:r>
        <w:t>5.3 Susceptibility-gene editing: mechanistic promise and unresolved costs</w:t>
      </w:r>
    </w:p>
    <w:p w14:paraId="3390EA49" w14:textId="77777777" w:rsidR="00666A9D" w:rsidRDefault="00000000" w:rsidP="00521C89">
      <w:pPr>
        <w:spacing w:before="100" w:beforeAutospacing="1" w:after="100" w:afterAutospacing="1"/>
        <w:jc w:val="both"/>
      </w:pPr>
      <w:r>
        <w:lastRenderedPageBreak/>
        <w:t xml:space="preserve">Editing of susceptibility genes represents a mechanistically distinct approach, since loss of a host factor required by the pathogen is not readily circumvented by effector modification. Approaches to engineering tomato disease resistance through manipulation of susceptibility genes have been reviewed in detail (Wang et al., 2025), as have advances in genome editing for disease resistance breeding across crops (Amoroso &amp; Andolfo, 2026). The most instructive individual study identified here concerns editing of the </w:t>
      </w:r>
      <w:r>
        <w:rPr>
          <w:i/>
          <w:iCs/>
        </w:rPr>
        <w:t>DND1</w:t>
      </w:r>
      <w:r>
        <w:t xml:space="preserve"> gene, which enhanced resistance to powdery mildew in tomato while incurring low fitness costs (R. Li et al., 2024). That study is valuable precisely because it measured the fitness consequence rather than reporting the resistance phenotype alone, and because loss-of-function mutations in susceptibility genes have a well-recognised tendency to carry pleiotropic penalties.</w:t>
      </w:r>
    </w:p>
    <w:p w14:paraId="5978B43B" w14:textId="77777777" w:rsidR="00666A9D" w:rsidRDefault="00000000" w:rsidP="00521C89">
      <w:pPr>
        <w:spacing w:before="100" w:beforeAutospacing="1" w:after="100" w:afterAutospacing="1"/>
        <w:jc w:val="both"/>
      </w:pPr>
      <w:r>
        <w:t>The wider evidence on fitness costs is thin. Most published susceptibility-gene editing studies in tomato report disease phenotypes under controlled inoculation and, where growth is reported at all, do so under non-competitive glasshouse conditions over a single generation. Costs that manifest under field competition, under abiotic stress, or across multiple seasons would not be detected by such designs. The claim that susceptibility-gene editing offers durable resistance at acceptable agronomic cost is therefore mechanistically plausible but empirically underdetermined for tomato, and the strength of the evidence should not be equated with that available for characterised dominant resistance genes.</w:t>
      </w:r>
    </w:p>
    <w:p w14:paraId="06A720BE" w14:textId="77777777" w:rsidR="00666A9D" w:rsidRDefault="00000000" w:rsidP="00521C89">
      <w:pPr>
        <w:spacing w:before="100" w:beforeAutospacing="1" w:after="100" w:afterAutospacing="1"/>
        <w:jc w:val="both"/>
      </w:pPr>
      <w:r>
        <w:t>A conceptually different engineering route has been demonstrated for late blight, in which a plant protease was engineered on the basis of pathogen-derived design principles, enhancing resistance (Huang et al., 2026). This approach targets the biochemical interface rather than the recognition event and is of considerable interest, although it remains a proof of concept evaluated under controlled conditions. Delivery technology has advanced in parallel, with heritable virus-induced germline editing demonstrated in tomato (Oh et al., 2025), which addresses the transformation bottleneck that has constrained editing in recalcitrant genotypes. Access to the resulting material in commercial breeding depends on regulatory frameworks, and analysis of the proposed European regulation for new genomic techniques indicates that the policy environment remains in flux with material consequences for food system objectives (</w:t>
      </w:r>
      <w:proofErr w:type="spellStart"/>
      <w:r>
        <w:t>Kardung</w:t>
      </w:r>
      <w:proofErr w:type="spellEnd"/>
      <w:r>
        <w:t xml:space="preserve"> et al., 2026).</w:t>
      </w:r>
    </w:p>
    <w:p w14:paraId="549FBC50" w14:textId="77777777" w:rsidR="00666A9D" w:rsidRDefault="00000000" w:rsidP="00521C89">
      <w:pPr>
        <w:spacing w:before="100" w:beforeAutospacing="1" w:after="100" w:afterAutospacing="1"/>
        <w:jc w:val="both"/>
      </w:pPr>
      <w:r>
        <w:t>Table 3 summarises the recurring methodological limitations identified across the appraised literature on resistance to cellular pathogens, together with their analytical consequences. The pattern that emerges is that the limitations are systematic rather than idiosyncratic: they arise from the standard designs used in the field, not from occasional poor practice. This has a direct bearing on how confidently mapping and functional results can be extrapolated, and it identifies the specific design changes that would most improve the evidence base.</w:t>
      </w:r>
    </w:p>
    <w:p w14:paraId="0F08381C" w14:textId="77777777" w:rsidR="00666A9D" w:rsidRDefault="00000000" w:rsidP="00521C89">
      <w:pPr>
        <w:spacing w:before="100" w:beforeAutospacing="1" w:after="100" w:afterAutospacing="1"/>
      </w:pPr>
      <w:r>
        <w:rPr>
          <w:b/>
          <w:bCs/>
          <w:sz w:val="20"/>
          <w:szCs w:val="20"/>
        </w:rPr>
        <w:t>Table 3. Recurring methodological limitations in the appraised literature on tomato resistance to cellular pathogens, with analytical consequences.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6"/>
        <w:gridCol w:w="2723"/>
        <w:gridCol w:w="2348"/>
        <w:gridCol w:w="1879"/>
      </w:tblGrid>
      <w:tr w:rsidR="00666A9D" w14:paraId="2A93DF62" w14:textId="77777777" w:rsidTr="00521C89">
        <w:trPr>
          <w:cantSplit/>
          <w:tblHeader/>
        </w:trPr>
        <w:tc>
          <w:tcPr>
            <w:tcW w:w="1146"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95D44FE" w14:textId="77777777" w:rsidR="00666A9D" w:rsidRDefault="00000000" w:rsidP="00521C89">
            <w:pPr>
              <w:spacing w:before="100" w:beforeAutospacing="1" w:after="100" w:afterAutospacing="1"/>
            </w:pPr>
            <w:r>
              <w:rPr>
                <w:b/>
                <w:bCs/>
                <w:sz w:val="20"/>
                <w:szCs w:val="20"/>
              </w:rPr>
              <w:t>Limitation</w:t>
            </w:r>
          </w:p>
        </w:tc>
        <w:tc>
          <w:tcPr>
            <w:tcW w:w="151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A2C8E4E" w14:textId="77777777" w:rsidR="00666A9D" w:rsidRDefault="00000000" w:rsidP="00521C89">
            <w:pPr>
              <w:spacing w:before="100" w:beforeAutospacing="1" w:after="100" w:afterAutospacing="1"/>
            </w:pPr>
            <w:r>
              <w:rPr>
                <w:b/>
                <w:bCs/>
                <w:sz w:val="20"/>
                <w:szCs w:val="20"/>
              </w:rPr>
              <w:t>Description</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3A5C0B7F" w14:textId="77777777" w:rsidR="00666A9D" w:rsidRDefault="00000000" w:rsidP="00521C89">
            <w:pPr>
              <w:spacing w:before="100" w:beforeAutospacing="1" w:after="100" w:afterAutospacing="1"/>
            </w:pPr>
            <w:r>
              <w:rPr>
                <w:b/>
                <w:bCs/>
                <w:sz w:val="20"/>
                <w:szCs w:val="20"/>
              </w:rPr>
              <w:t>Consequence for interpretation</w:t>
            </w:r>
          </w:p>
        </w:tc>
        <w:tc>
          <w:tcPr>
            <w:tcW w:w="104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831D3B6" w14:textId="77777777" w:rsidR="00666A9D" w:rsidRDefault="00000000" w:rsidP="00521C89">
            <w:pPr>
              <w:spacing w:before="100" w:beforeAutospacing="1" w:after="100" w:afterAutospacing="1"/>
            </w:pPr>
            <w:r>
              <w:rPr>
                <w:b/>
                <w:bCs/>
                <w:sz w:val="20"/>
                <w:szCs w:val="20"/>
              </w:rPr>
              <w:t>Supporting references</w:t>
            </w:r>
          </w:p>
        </w:tc>
      </w:tr>
      <w:tr w:rsidR="00666A9D" w14:paraId="76A71CB0"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ED8C98" w14:textId="77777777" w:rsidR="00666A9D" w:rsidRDefault="00000000" w:rsidP="00521C89">
            <w:pPr>
              <w:spacing w:before="100" w:beforeAutospacing="1" w:after="100" w:afterAutospacing="1"/>
            </w:pPr>
            <w:r>
              <w:rPr>
                <w:sz w:val="20"/>
                <w:szCs w:val="20"/>
              </w:rPr>
              <w:t>Interval-level resolution</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375C78" w14:textId="77777777" w:rsidR="00666A9D" w:rsidRDefault="00000000" w:rsidP="00521C89">
            <w:pPr>
              <w:spacing w:before="100" w:beforeAutospacing="1" w:after="100" w:afterAutospacing="1"/>
            </w:pPr>
            <w:r>
              <w:rPr>
                <w:sz w:val="20"/>
                <w:szCs w:val="20"/>
              </w:rPr>
              <w:t>Association and linkage studies frequently report loci without resolution to candidate genes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E31261" w14:textId="77777777" w:rsidR="00666A9D" w:rsidRDefault="00000000" w:rsidP="00521C89">
            <w:pPr>
              <w:spacing w:before="100" w:beforeAutospacing="1" w:after="100" w:afterAutospacing="1"/>
            </w:pPr>
            <w:r>
              <w:rPr>
                <w:sz w:val="20"/>
                <w:szCs w:val="20"/>
              </w:rPr>
              <w:t>Marker transferability across genetic backgrounds uncertain; causal allele unknown</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44E237" w14:textId="77777777" w:rsidR="00666A9D" w:rsidRDefault="00000000" w:rsidP="00521C89">
            <w:pPr>
              <w:spacing w:before="100" w:beforeAutospacing="1" w:after="100" w:afterAutospacing="1"/>
            </w:pPr>
            <w:r w:rsidRPr="00385B5B">
              <w:rPr>
                <w:sz w:val="20"/>
                <w:szCs w:val="20"/>
                <w:lang w:val="nl-BE"/>
              </w:rPr>
              <w:t xml:space="preserve">Adhikari et al. (2025); Bhunchoth et al. (2025); Jia et al. (2025); Lou et al. </w:t>
            </w:r>
            <w:r>
              <w:rPr>
                <w:sz w:val="20"/>
                <w:szCs w:val="20"/>
              </w:rPr>
              <w:t>(2026)</w:t>
            </w:r>
          </w:p>
        </w:tc>
      </w:tr>
      <w:tr w:rsidR="00666A9D" w14:paraId="6CD198CD"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047B6F" w14:textId="77777777" w:rsidR="00666A9D" w:rsidRDefault="00000000" w:rsidP="00521C89">
            <w:pPr>
              <w:spacing w:before="100" w:beforeAutospacing="1" w:after="100" w:afterAutospacing="1"/>
            </w:pPr>
            <w:r>
              <w:rPr>
                <w:sz w:val="20"/>
                <w:szCs w:val="20"/>
              </w:rPr>
              <w:lastRenderedPageBreak/>
              <w:t>Single-environment phenotyping</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000F97" w14:textId="77777777" w:rsidR="00666A9D" w:rsidRDefault="00000000" w:rsidP="00521C89">
            <w:pPr>
              <w:spacing w:before="100" w:beforeAutospacing="1" w:after="100" w:afterAutospacing="1"/>
            </w:pPr>
            <w:r>
              <w:rPr>
                <w:sz w:val="20"/>
                <w:szCs w:val="20"/>
              </w:rPr>
              <w:t>Resistance scored in one location or season, often under controlled inoculation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62EB86" w14:textId="77777777" w:rsidR="00666A9D" w:rsidRDefault="00000000" w:rsidP="00521C89">
            <w:pPr>
              <w:spacing w:before="100" w:beforeAutospacing="1" w:after="100" w:afterAutospacing="1"/>
            </w:pPr>
            <w:r>
              <w:rPr>
                <w:sz w:val="20"/>
                <w:szCs w:val="20"/>
              </w:rPr>
              <w:t xml:space="preserve">Genotype-by-environment interaction </w:t>
            </w:r>
            <w:proofErr w:type="spellStart"/>
            <w:r>
              <w:rPr>
                <w:sz w:val="20"/>
                <w:szCs w:val="20"/>
              </w:rPr>
              <w:t>unestimated</w:t>
            </w:r>
            <w:proofErr w:type="spellEnd"/>
            <w:r>
              <w:rPr>
                <w:sz w:val="20"/>
                <w:szCs w:val="20"/>
              </w:rPr>
              <w:t>; field performance not predictable</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F23B16" w14:textId="77777777" w:rsidR="00666A9D" w:rsidRDefault="00000000" w:rsidP="00521C89">
            <w:pPr>
              <w:spacing w:before="100" w:beforeAutospacing="1" w:after="100" w:afterAutospacing="1"/>
            </w:pPr>
            <w:r w:rsidRPr="00385B5B">
              <w:rPr>
                <w:sz w:val="20"/>
                <w:szCs w:val="20"/>
                <w:lang w:val="nl-BE"/>
              </w:rPr>
              <w:t xml:space="preserve">Jia et al. (2025); Yerasu et al. </w:t>
            </w:r>
            <w:r>
              <w:rPr>
                <w:sz w:val="20"/>
                <w:szCs w:val="20"/>
              </w:rPr>
              <w:t>(2025)</w:t>
            </w:r>
          </w:p>
        </w:tc>
      </w:tr>
      <w:tr w:rsidR="00666A9D" w14:paraId="42ED5471"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DFDA32" w14:textId="77777777" w:rsidR="00666A9D" w:rsidRDefault="00000000" w:rsidP="00521C89">
            <w:pPr>
              <w:spacing w:before="100" w:beforeAutospacing="1" w:after="100" w:afterAutospacing="1"/>
            </w:pPr>
            <w:r>
              <w:rPr>
                <w:sz w:val="20"/>
                <w:szCs w:val="20"/>
              </w:rPr>
              <w:t>Pathogen population not characterised</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C29565" w14:textId="77777777" w:rsidR="00666A9D" w:rsidRDefault="00000000" w:rsidP="00521C89">
            <w:pPr>
              <w:spacing w:before="100" w:beforeAutospacing="1" w:after="100" w:afterAutospacing="1"/>
            </w:pPr>
            <w:r>
              <w:rPr>
                <w:sz w:val="20"/>
                <w:szCs w:val="20"/>
              </w:rPr>
              <w:t>Isolate identity or population composition at the evaluation site frequently unreported</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EA0662" w14:textId="77777777" w:rsidR="00666A9D" w:rsidRDefault="00000000" w:rsidP="00521C89">
            <w:pPr>
              <w:spacing w:before="100" w:beforeAutospacing="1" w:after="100" w:afterAutospacing="1"/>
            </w:pPr>
            <w:r>
              <w:rPr>
                <w:sz w:val="20"/>
                <w:szCs w:val="20"/>
              </w:rPr>
              <w:t>Durability cannot be assessed; apparent resistance may reflect local pathogen composition</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03840B" w14:textId="77777777" w:rsidR="00666A9D" w:rsidRDefault="00000000" w:rsidP="00521C89">
            <w:pPr>
              <w:spacing w:before="100" w:beforeAutospacing="1" w:after="100" w:afterAutospacing="1"/>
            </w:pPr>
            <w:r w:rsidRPr="00385B5B">
              <w:rPr>
                <w:sz w:val="20"/>
                <w:szCs w:val="20"/>
                <w:lang w:val="nl-BE"/>
              </w:rPr>
              <w:t xml:space="preserve">Chinnaiah et al. (2026); Forgia et al. </w:t>
            </w:r>
            <w:r>
              <w:rPr>
                <w:sz w:val="20"/>
                <w:szCs w:val="20"/>
              </w:rPr>
              <w:t>(2026); M. Li et al. (2026)</w:t>
            </w:r>
          </w:p>
        </w:tc>
      </w:tr>
      <w:tr w:rsidR="00666A9D" w14:paraId="4655D853"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CD409A" w14:textId="77777777" w:rsidR="00666A9D" w:rsidRDefault="00000000" w:rsidP="00521C89">
            <w:pPr>
              <w:spacing w:before="100" w:beforeAutospacing="1" w:after="100" w:afterAutospacing="1"/>
            </w:pPr>
            <w:r>
              <w:rPr>
                <w:sz w:val="20"/>
                <w:szCs w:val="20"/>
              </w:rPr>
              <w:t>Expression treated as evidence of causation</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342DB5" w14:textId="77777777" w:rsidR="00666A9D" w:rsidRDefault="00000000" w:rsidP="00521C89">
            <w:pPr>
              <w:spacing w:before="100" w:beforeAutospacing="1" w:after="100" w:afterAutospacing="1"/>
            </w:pPr>
            <w:r>
              <w:rPr>
                <w:sz w:val="20"/>
                <w:szCs w:val="20"/>
              </w:rPr>
              <w:t>Transcriptomic and network analyses identify responsive genes rather than resistance determinants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CA69D2" w14:textId="77777777" w:rsidR="00666A9D" w:rsidRDefault="00000000" w:rsidP="00521C89">
            <w:pPr>
              <w:spacing w:before="100" w:beforeAutospacing="1" w:after="100" w:afterAutospacing="1"/>
            </w:pPr>
            <w:r>
              <w:rPr>
                <w:sz w:val="20"/>
                <w:szCs w:val="20"/>
              </w:rPr>
              <w:t>Hub genes may be downstream consequences of infection rather than causes of resistance</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4A7ACC" w14:textId="77777777" w:rsidR="00666A9D" w:rsidRDefault="00000000" w:rsidP="00521C89">
            <w:pPr>
              <w:spacing w:before="100" w:beforeAutospacing="1" w:after="100" w:afterAutospacing="1"/>
            </w:pPr>
            <w:r>
              <w:rPr>
                <w:sz w:val="20"/>
                <w:szCs w:val="20"/>
              </w:rPr>
              <w:t>C. Yu et al. (2026)</w:t>
            </w:r>
          </w:p>
        </w:tc>
      </w:tr>
      <w:tr w:rsidR="00666A9D" w14:paraId="4D014209"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58B76D" w14:textId="77777777" w:rsidR="00666A9D" w:rsidRDefault="00000000" w:rsidP="00521C89">
            <w:pPr>
              <w:spacing w:before="100" w:beforeAutospacing="1" w:after="100" w:afterAutospacing="1"/>
            </w:pPr>
            <w:r>
              <w:rPr>
                <w:sz w:val="20"/>
                <w:szCs w:val="20"/>
              </w:rPr>
              <w:t>Fitness costs unmeasured</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81B12D" w14:textId="77777777" w:rsidR="00666A9D" w:rsidRDefault="00000000" w:rsidP="00521C89">
            <w:pPr>
              <w:spacing w:before="100" w:beforeAutospacing="1" w:after="100" w:afterAutospacing="1"/>
            </w:pPr>
            <w:r>
              <w:rPr>
                <w:sz w:val="20"/>
                <w:szCs w:val="20"/>
              </w:rPr>
              <w:t>Editing and transgenic studies commonly report disease phenotype without competitive agronomic evaluation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7710B9" w14:textId="77777777" w:rsidR="00666A9D" w:rsidRDefault="00000000" w:rsidP="00521C89">
            <w:pPr>
              <w:spacing w:before="100" w:beforeAutospacing="1" w:after="100" w:afterAutospacing="1"/>
            </w:pPr>
            <w:r>
              <w:rPr>
                <w:sz w:val="20"/>
                <w:szCs w:val="20"/>
              </w:rPr>
              <w:t>Net agronomic value of susceptibility-gene loss unquantified</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C948F9" w14:textId="77777777" w:rsidR="00666A9D" w:rsidRDefault="00000000" w:rsidP="00521C89">
            <w:pPr>
              <w:spacing w:before="100" w:beforeAutospacing="1" w:after="100" w:afterAutospacing="1"/>
            </w:pPr>
            <w:r w:rsidRPr="00385B5B">
              <w:rPr>
                <w:sz w:val="20"/>
                <w:szCs w:val="20"/>
                <w:lang w:val="nl-BE"/>
              </w:rPr>
              <w:t xml:space="preserve">Amoroso &amp; Andolfo (2026); R. Li et al. (2024); Wang et al. </w:t>
            </w:r>
            <w:r>
              <w:rPr>
                <w:sz w:val="20"/>
                <w:szCs w:val="20"/>
              </w:rPr>
              <w:t>(2025)</w:t>
            </w:r>
          </w:p>
        </w:tc>
      </w:tr>
      <w:tr w:rsidR="00666A9D" w14:paraId="7CFE3ED0"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4F3B58" w14:textId="77777777" w:rsidR="00666A9D" w:rsidRDefault="00000000" w:rsidP="00521C89">
            <w:pPr>
              <w:spacing w:before="100" w:beforeAutospacing="1" w:after="100" w:afterAutospacing="1"/>
            </w:pPr>
            <w:r>
              <w:rPr>
                <w:sz w:val="20"/>
                <w:szCs w:val="20"/>
              </w:rPr>
              <w:t>Proof of concept without field testing</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A48446" w14:textId="77777777" w:rsidR="00666A9D" w:rsidRDefault="00000000" w:rsidP="00521C89">
            <w:pPr>
              <w:spacing w:before="100" w:beforeAutospacing="1" w:after="100" w:afterAutospacing="1"/>
            </w:pPr>
            <w:r>
              <w:rPr>
                <w:sz w:val="20"/>
                <w:szCs w:val="20"/>
              </w:rPr>
              <w:t>Engineering approaches validated under controlled conditions only</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733B15" w14:textId="77777777" w:rsidR="00666A9D" w:rsidRDefault="00000000" w:rsidP="00521C89">
            <w:pPr>
              <w:spacing w:before="100" w:beforeAutospacing="1" w:after="100" w:afterAutospacing="1"/>
            </w:pPr>
            <w:r>
              <w:rPr>
                <w:sz w:val="20"/>
                <w:szCs w:val="20"/>
              </w:rPr>
              <w:t>Efficacy under field inoculum pressure and across seasons undetermined</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AE83AB" w14:textId="77777777" w:rsidR="00666A9D" w:rsidRDefault="00000000" w:rsidP="00521C89">
            <w:pPr>
              <w:spacing w:before="100" w:beforeAutospacing="1" w:after="100" w:afterAutospacing="1"/>
            </w:pPr>
            <w:r w:rsidRPr="00385B5B">
              <w:rPr>
                <w:sz w:val="20"/>
                <w:szCs w:val="20"/>
                <w:lang w:val="nl-BE"/>
              </w:rPr>
              <w:t xml:space="preserve">Huang et al. (2026); Oh et al. </w:t>
            </w:r>
            <w:r>
              <w:rPr>
                <w:sz w:val="20"/>
                <w:szCs w:val="20"/>
              </w:rPr>
              <w:t>(2025)</w:t>
            </w:r>
          </w:p>
        </w:tc>
      </w:tr>
    </w:tbl>
    <w:p w14:paraId="40BCAFF8" w14:textId="77777777" w:rsidR="00666A9D" w:rsidRDefault="00000000" w:rsidP="00521C89">
      <w:pPr>
        <w:spacing w:before="100" w:beforeAutospacing="1" w:after="100" w:afterAutospacing="1"/>
      </w:pPr>
      <w:r>
        <w:rPr>
          <w:sz w:val="18"/>
          <w:szCs w:val="18"/>
        </w:rPr>
        <w:t>Note. Limitations listed are those observed repeatedly across the sources cited and are characteristic of standard designs in the field rather than criticisms specific to individual studies.</w:t>
      </w:r>
    </w:p>
    <w:p w14:paraId="21B7810E" w14:textId="77777777" w:rsidR="00666A9D" w:rsidRDefault="00000000" w:rsidP="00521C89">
      <w:pPr>
        <w:pStyle w:val="Heading1"/>
        <w:spacing w:before="100" w:beforeAutospacing="1" w:after="100" w:afterAutospacing="1"/>
      </w:pPr>
      <w:r>
        <w:t>6. Nematode Resistance: Structural Dependence on a Single Locus</w:t>
      </w:r>
    </w:p>
    <w:p w14:paraId="17DEC643" w14:textId="77777777" w:rsidR="00666A9D" w:rsidRDefault="00000000" w:rsidP="00521C89">
      <w:pPr>
        <w:spacing w:before="100" w:beforeAutospacing="1" w:after="100" w:afterAutospacing="1"/>
        <w:jc w:val="both"/>
      </w:pPr>
      <w:r>
        <w:t>Resistance to root-knot nematodes in cultivated tomato presents the clearest example in this crop of structural dependence on one genetic solution, and the consequences of that dependence are becoming visible.</w:t>
      </w:r>
    </w:p>
    <w:p w14:paraId="5868B974" w14:textId="77777777" w:rsidR="00666A9D" w:rsidRDefault="00000000" w:rsidP="00521C89">
      <w:pPr>
        <w:pStyle w:val="Heading2"/>
        <w:spacing w:before="100" w:beforeAutospacing="1" w:after="100" w:afterAutospacing="1"/>
      </w:pPr>
      <w:r>
        <w:t xml:space="preserve">6.1 </w:t>
      </w:r>
      <w:r>
        <w:rPr>
          <w:i/>
          <w:iCs/>
        </w:rPr>
        <w:t>Mi-1</w:t>
      </w:r>
      <w:r>
        <w:t xml:space="preserve"> and the constraints of a single deployed locus</w:t>
      </w:r>
    </w:p>
    <w:p w14:paraId="449F6B0F" w14:textId="77777777" w:rsidR="00666A9D" w:rsidRDefault="00000000" w:rsidP="00521C89">
      <w:pPr>
        <w:spacing w:before="100" w:beforeAutospacing="1" w:after="100" w:afterAutospacing="1"/>
        <w:jc w:val="both"/>
      </w:pPr>
      <w:r>
        <w:t xml:space="preserve">The cloning of </w:t>
      </w:r>
      <w:r>
        <w:rPr>
          <w:i/>
          <w:iCs/>
        </w:rPr>
        <w:t>Mi-1</w:t>
      </w:r>
      <w:r>
        <w:t xml:space="preserve"> established that a single locus conferred resistance to both root-knot nematodes and the potato aphid </w:t>
      </w:r>
      <w:r>
        <w:rPr>
          <w:i/>
          <w:iCs/>
        </w:rPr>
        <w:t>Macrosiphum euphorbiae</w:t>
      </w:r>
      <w:r>
        <w:t xml:space="preserve"> Thomas (Vos et al., 1998), and this remains the principal genetic resistance available to tomato growers against </w:t>
      </w:r>
      <w:r>
        <w:rPr>
          <w:i/>
          <w:iCs/>
        </w:rPr>
        <w:t>Meloidogyne</w:t>
      </w:r>
      <w:r>
        <w:t xml:space="preserve"> species. Transcriptional analysis of tomato roots in near-isogenic material differing at </w:t>
      </w:r>
      <w:r>
        <w:rPr>
          <w:i/>
          <w:iCs/>
        </w:rPr>
        <w:t>Mi-1</w:t>
      </w:r>
      <w:r>
        <w:t xml:space="preserve"> has shown that the presence of the locus is associated with basal differences in root gene expression as well as with distinct responses during compatible and incompatible interactions (Rico et al., 2026). This is mechanistically informative and methodologically sound in its use of near-isogenic comparison, which controls for background effects that confound many resistance studies. It also indicates that </w:t>
      </w:r>
      <w:r>
        <w:rPr>
          <w:i/>
          <w:iCs/>
        </w:rPr>
        <w:t>Mi-1</w:t>
      </w:r>
      <w:r>
        <w:t xml:space="preserve"> is not phenotypically silent in the absence of challenge, which raises the possibility of constitutive costs that have not been systematically quantified.</w:t>
      </w:r>
    </w:p>
    <w:p w14:paraId="32DB0913" w14:textId="77777777" w:rsidR="00666A9D" w:rsidRDefault="00000000" w:rsidP="00521C89">
      <w:pPr>
        <w:spacing w:before="100" w:beforeAutospacing="1" w:after="100" w:afterAutospacing="1"/>
        <w:jc w:val="both"/>
      </w:pPr>
      <w:r>
        <w:t xml:space="preserve">Two constraints on </w:t>
      </w:r>
      <w:r>
        <w:rPr>
          <w:i/>
          <w:iCs/>
        </w:rPr>
        <w:t>Mi-1</w:t>
      </w:r>
      <w:r>
        <w:t xml:space="preserve"> are recognised in the field. The first is thermal instability, and the identification of </w:t>
      </w:r>
      <w:r>
        <w:rPr>
          <w:i/>
          <w:iCs/>
        </w:rPr>
        <w:t>Mi-9</w:t>
      </w:r>
      <w:r>
        <w:t xml:space="preserve"> as an NBS-LRR gene conferring heat-stable resistance to root-knot nematodes was explicitly framed as addressing this limitation (S. Chen et al., 2025). That study is important because heat sensitivity restricts the utility of </w:t>
      </w:r>
      <w:r>
        <w:rPr>
          <w:i/>
          <w:iCs/>
        </w:rPr>
        <w:t>Mi-1</w:t>
      </w:r>
      <w:r>
        <w:t xml:space="preserve"> in precisely the warm production environments where root-knot nematode pressure is greatest, and a heat-stable </w:t>
      </w:r>
      <w:r>
        <w:lastRenderedPageBreak/>
        <w:t>alternative would materially extend the geographical applicability of genetic resistance. The evidence at present rests on a small number of reports, and field validation across multiple environments has not been established.</w:t>
      </w:r>
    </w:p>
    <w:p w14:paraId="17F7E397" w14:textId="77777777" w:rsidR="00666A9D" w:rsidRDefault="00000000" w:rsidP="00521C89">
      <w:pPr>
        <w:spacing w:before="100" w:beforeAutospacing="1" w:after="100" w:afterAutospacing="1"/>
        <w:jc w:val="both"/>
      </w:pPr>
      <w:r>
        <w:t xml:space="preserve">The second constraint is virulence in nematode populations. Comparative assessment of host range has shown that virulent </w:t>
      </w:r>
      <w:r>
        <w:rPr>
          <w:i/>
          <w:iCs/>
        </w:rPr>
        <w:t>Meloidogyne incognita</w:t>
      </w:r>
      <w:r>
        <w:t xml:space="preserve"> (Kofoid and White) Chitwood populations and </w:t>
      </w:r>
      <w:r>
        <w:rPr>
          <w:i/>
          <w:iCs/>
        </w:rPr>
        <w:t xml:space="preserve">Meloidogyne </w:t>
      </w:r>
      <w:proofErr w:type="spellStart"/>
      <w:r>
        <w:rPr>
          <w:i/>
          <w:iCs/>
        </w:rPr>
        <w:t>enterolobii</w:t>
      </w:r>
      <w:proofErr w:type="spellEnd"/>
      <w:r>
        <w:t xml:space="preserve"> Yang and Eisenback differ in their intrinsic host ranges (</w:t>
      </w:r>
      <w:proofErr w:type="spellStart"/>
      <w:r>
        <w:t>Konigopal</w:t>
      </w:r>
      <w:proofErr w:type="spellEnd"/>
      <w:r>
        <w:t xml:space="preserve"> et al., 2025), which bears directly on the management value of resistance in mixed-species fields. Where resistance-breaking populations are present, deployment of </w:t>
      </w:r>
      <w:r>
        <w:rPr>
          <w:i/>
          <w:iCs/>
        </w:rPr>
        <w:t>Mi-1</w:t>
      </w:r>
      <w:r>
        <w:t xml:space="preserve"> imposes selection without providing protection, and rotation-based management becomes correspondingly more important. The available population studies are geographically restricted, and the frequency of virulence in the major producing regions is not well established from the sources retrieved.</w:t>
      </w:r>
    </w:p>
    <w:p w14:paraId="1BE2C87D" w14:textId="77777777" w:rsidR="00666A9D" w:rsidRDefault="00000000" w:rsidP="00521C89">
      <w:pPr>
        <w:pStyle w:val="Heading2"/>
        <w:spacing w:before="100" w:beforeAutospacing="1" w:after="100" w:afterAutospacing="1"/>
      </w:pPr>
      <w:r>
        <w:t xml:space="preserve">6.2 </w:t>
      </w:r>
      <w:r>
        <w:rPr>
          <w:i/>
          <w:iCs/>
        </w:rPr>
        <w:t xml:space="preserve">Meloidogyne </w:t>
      </w:r>
      <w:proofErr w:type="spellStart"/>
      <w:r>
        <w:rPr>
          <w:i/>
          <w:iCs/>
        </w:rPr>
        <w:t>enterolobii</w:t>
      </w:r>
      <w:proofErr w:type="spellEnd"/>
      <w:r>
        <w:t xml:space="preserve"> and the limits of the existing resistance</w:t>
      </w:r>
    </w:p>
    <w:p w14:paraId="66321277" w14:textId="77777777" w:rsidR="00666A9D" w:rsidRDefault="00000000" w:rsidP="00521C89">
      <w:pPr>
        <w:spacing w:before="100" w:beforeAutospacing="1" w:after="100" w:afterAutospacing="1"/>
        <w:jc w:val="both"/>
      </w:pPr>
      <w:r>
        <w:rPr>
          <w:i/>
          <w:iCs/>
        </w:rPr>
        <w:t xml:space="preserve">Meloidogyne </w:t>
      </w:r>
      <w:proofErr w:type="spellStart"/>
      <w:r>
        <w:rPr>
          <w:i/>
          <w:iCs/>
        </w:rPr>
        <w:t>enterolobii</w:t>
      </w:r>
      <w:proofErr w:type="spellEnd"/>
      <w:r>
        <w:t xml:space="preserve"> is not controlled by </w:t>
      </w:r>
      <w:r>
        <w:rPr>
          <w:i/>
          <w:iCs/>
        </w:rPr>
        <w:t>Mi-1</w:t>
      </w:r>
      <w:r>
        <w:t xml:space="preserve">, and its expanding distribution therefore represents a genuine gap rather than a degradation of an existing solution. Work on the tomato TGA transcription factor family has identified </w:t>
      </w:r>
      <w:r>
        <w:rPr>
          <w:i/>
          <w:iCs/>
        </w:rPr>
        <w:t>SlTGA03</w:t>
      </w:r>
      <w:r>
        <w:t xml:space="preserve"> as contributing to resistance against this species (J. Chen et al., 2026), which is among the more concrete leads currently available. The study identifies a candidate and provides functional evidence, but it does not yet constitute a breeding-ready resistance, since allelic variation in cultivated germplasm and effect size in field conditions remain to be characterised.</w:t>
      </w:r>
    </w:p>
    <w:p w14:paraId="29FB3BC5" w14:textId="77777777" w:rsidR="00666A9D" w:rsidRDefault="00000000" w:rsidP="00521C89">
      <w:pPr>
        <w:spacing w:before="100" w:beforeAutospacing="1" w:after="100" w:afterAutospacing="1"/>
        <w:jc w:val="both"/>
      </w:pPr>
      <w:r>
        <w:t>Broader assessments of the prospects for genetic modification in nematode control have surveyed the transferable lessons from other crops (Askri et al., 2026) and the emerging application of CRISPR-based technologies to root-knot nematode management (Pan et al., 2026). Both reviews are useful for orientation. Both also illustrate a recurring feature of this literature, which is that projected approaches substantially outnumber validated ones. Host-induced gene silencing and effector-targeted strategies are represented in the literature far more frequently than field-evaluated resistant lines.</w:t>
      </w:r>
    </w:p>
    <w:p w14:paraId="2630B48F" w14:textId="77777777" w:rsidR="00666A9D" w:rsidRDefault="00000000" w:rsidP="00521C89">
      <w:pPr>
        <w:pStyle w:val="Heading2"/>
        <w:spacing w:before="100" w:beforeAutospacing="1" w:after="100" w:afterAutospacing="1"/>
      </w:pPr>
      <w:r>
        <w:t>6.3 Grafting as an interim solution and its evidentiary status</w:t>
      </w:r>
    </w:p>
    <w:p w14:paraId="358B8A12" w14:textId="77777777" w:rsidR="00666A9D" w:rsidRDefault="00000000" w:rsidP="00521C89">
      <w:pPr>
        <w:spacing w:before="100" w:beforeAutospacing="1" w:after="100" w:afterAutospacing="1"/>
        <w:jc w:val="both"/>
      </w:pPr>
      <w:r>
        <w:t>Grafting tomato scions onto resistant rootstocks provides a route to nematode management that does not require modification of the fruiting genotype. Evaluation of tomato scions grafted onto root-knot nematode-resistant brinjal rootstocks, complemented with biological control agents, has been reported within an integrated management framework (</w:t>
      </w:r>
      <w:proofErr w:type="spellStart"/>
      <w:r>
        <w:t>Poonia</w:t>
      </w:r>
      <w:proofErr w:type="spellEnd"/>
      <w:r>
        <w:t xml:space="preserve"> et al., 2025). The approach has an obvious practical appeal, particularly where high-value protected production can absorb the additional propagation cost. Its evidentiary status is nonetheless weaker than the frequency of publication implies. Trials are typically short, rootstock genotypes are heterogeneous across studies, and the nematode populations used are seldom characterised for virulence, so that comparability among reports is limited.</w:t>
      </w:r>
    </w:p>
    <w:p w14:paraId="453CB040" w14:textId="77777777" w:rsidR="00666A9D" w:rsidRDefault="00000000" w:rsidP="00521C89">
      <w:pPr>
        <w:spacing w:before="100" w:beforeAutospacing="1" w:after="100" w:afterAutospacing="1"/>
        <w:jc w:val="both"/>
      </w:pPr>
      <w:r>
        <w:t>Grafting also has a specific structural limitation in relation to the argument of this review. It substitutes a management practice for genetic improvement in the crop itself, and where the rootstock resistance derives from the same or similar genetic sources, it does not reduce the selection pressure that drives virulence evolution. The approach is best understood as buying time rather than as a solution to the underlying dependence on a narrow resistance base.</w:t>
      </w:r>
    </w:p>
    <w:p w14:paraId="44426DAD" w14:textId="77777777" w:rsidR="00666A9D" w:rsidRDefault="00000000" w:rsidP="00521C89">
      <w:pPr>
        <w:pStyle w:val="Heading1"/>
        <w:spacing w:before="100" w:beforeAutospacing="1" w:after="100" w:afterAutospacing="1"/>
      </w:pPr>
      <w:r>
        <w:lastRenderedPageBreak/>
        <w:t>7. Insect Resistance: Metabolic and Morphological Traits against Mobile, Adaptable Targets</w:t>
      </w:r>
    </w:p>
    <w:p w14:paraId="43766B4D" w14:textId="77777777" w:rsidR="00666A9D" w:rsidRDefault="00000000" w:rsidP="00521C89">
      <w:pPr>
        <w:spacing w:before="100" w:beforeAutospacing="1" w:after="100" w:afterAutospacing="1"/>
        <w:jc w:val="both"/>
      </w:pPr>
      <w:r>
        <w:t>Resistance to insect herbivores in tomato differs from resistance to pathogens in a way that has substantive consequences for how genomic tools can be applied. The traits involved are predominantly metabolic and morphological, their genetic control is polygenic, their expression is environmentally contingent, and the herbivore can move, choose and adapt behaviourally as well as physiologically.</w:t>
      </w:r>
    </w:p>
    <w:p w14:paraId="30FF4091" w14:textId="77777777" w:rsidR="00666A9D" w:rsidRDefault="00000000" w:rsidP="00521C89">
      <w:pPr>
        <w:pStyle w:val="Heading2"/>
        <w:spacing w:before="100" w:beforeAutospacing="1" w:after="100" w:afterAutospacing="1"/>
      </w:pPr>
      <w:r>
        <w:t>7.1 Trichome-borne chemistry as the principal resistance mechanism</w:t>
      </w:r>
    </w:p>
    <w:p w14:paraId="4B5CBB1D" w14:textId="77777777" w:rsidR="00666A9D" w:rsidRDefault="00000000" w:rsidP="00521C89">
      <w:pPr>
        <w:spacing w:before="100" w:beforeAutospacing="1" w:after="100" w:afterAutospacing="1"/>
        <w:jc w:val="both"/>
      </w:pPr>
      <w:r>
        <w:t xml:space="preserve">Glandular trichomes and the specialised metabolites they contain constitute the best-supported source of insect resistance in the tomato clade. The evolutionary diversification of Solanaceae specialised metabolism, including the </w:t>
      </w:r>
      <w:proofErr w:type="spellStart"/>
      <w:r>
        <w:t>acylsugars</w:t>
      </w:r>
      <w:proofErr w:type="spellEnd"/>
      <w:r>
        <w:t xml:space="preserve"> and terpenoids relevant to herbivore deterrence, has been documented comprehensively (Fiesel et al., 2022). The physical mechanism by which these defences are delivered has been characterised: rupture of glandular trichomes in tomato is an ultra-fast and sensitive response to insect contact (Popowski et al., 2025). That work is valuable because it establishes a biophysical basis for a defence that had often been described only in terms of chemical composition.</w:t>
      </w:r>
    </w:p>
    <w:p w14:paraId="3F832977" w14:textId="77777777" w:rsidR="00666A9D" w:rsidRDefault="00000000" w:rsidP="00521C89">
      <w:pPr>
        <w:spacing w:before="100" w:beforeAutospacing="1" w:after="100" w:afterAutospacing="1"/>
        <w:jc w:val="both"/>
      </w:pPr>
      <w:proofErr w:type="spellStart"/>
      <w:r>
        <w:t>Acylsugar</w:t>
      </w:r>
      <w:proofErr w:type="spellEnd"/>
      <w:r>
        <w:t xml:space="preserve">-mediated resistance has the strongest field evidence within this domain. The amount and chemical composition of </w:t>
      </w:r>
      <w:proofErr w:type="spellStart"/>
      <w:r>
        <w:t>acylsugars</w:t>
      </w:r>
      <w:proofErr w:type="spellEnd"/>
      <w:r>
        <w:t xml:space="preserve"> have been shown to affect </w:t>
      </w:r>
      <w:proofErr w:type="spellStart"/>
      <w:r>
        <w:rPr>
          <w:i/>
          <w:iCs/>
        </w:rPr>
        <w:t>Bemisia</w:t>
      </w:r>
      <w:proofErr w:type="spellEnd"/>
      <w:r>
        <w:rPr>
          <w:i/>
          <w:iCs/>
        </w:rPr>
        <w:t xml:space="preserve"> </w:t>
      </w:r>
      <w:proofErr w:type="spellStart"/>
      <w:r>
        <w:rPr>
          <w:i/>
          <w:iCs/>
        </w:rPr>
        <w:t>tabaci</w:t>
      </w:r>
      <w:proofErr w:type="spellEnd"/>
      <w:r>
        <w:t xml:space="preserve"> oviposition and development, and to affect tomato yellow leaf curl virus incidence, in field-grown plants (</w:t>
      </w:r>
      <w:proofErr w:type="spellStart"/>
      <w:r>
        <w:t>Smeda</w:t>
      </w:r>
      <w:proofErr w:type="spellEnd"/>
      <w:r>
        <w:t xml:space="preserve"> et al., 2023), extending earlier evaluation of </w:t>
      </w:r>
      <w:proofErr w:type="spellStart"/>
      <w:r>
        <w:t>acylsugar</w:t>
      </w:r>
      <w:proofErr w:type="spellEnd"/>
      <w:r>
        <w:t xml:space="preserve">-mediated resistance against the vector and against virus transmission (Marchant et al., 2020). Two features of this evidence deserve emphasis. First, the effect depends on composition and not only on quantity, which means that selection on total </w:t>
      </w:r>
      <w:proofErr w:type="spellStart"/>
      <w:r>
        <w:t>acylsugar</w:t>
      </w:r>
      <w:proofErr w:type="spellEnd"/>
      <w:r>
        <w:t xml:space="preserve"> content is an inadequate proxy. Second, the demonstrated reduction in virus incidence establishes a direct link between a host metabolic trait and an epidemiological outcome, which is rare in this literature and analytically important.</w:t>
      </w:r>
    </w:p>
    <w:p w14:paraId="25DAA395" w14:textId="77777777" w:rsidR="00666A9D" w:rsidRDefault="00000000" w:rsidP="00521C89">
      <w:pPr>
        <w:spacing w:before="100" w:beforeAutospacing="1" w:after="100" w:afterAutospacing="1"/>
        <w:jc w:val="both"/>
      </w:pPr>
      <w:r>
        <w:t xml:space="preserve">Environmental contingency is a serious constraint. Sesquiterpene content in type VI trichomes of </w:t>
      </w:r>
      <w:r>
        <w:rPr>
          <w:i/>
          <w:iCs/>
        </w:rPr>
        <w:t xml:space="preserve">Solanum </w:t>
      </w:r>
      <w:proofErr w:type="spellStart"/>
      <w:r>
        <w:rPr>
          <w:i/>
          <w:iCs/>
        </w:rPr>
        <w:t>habrochaites</w:t>
      </w:r>
      <w:proofErr w:type="spellEnd"/>
      <w:r>
        <w:t xml:space="preserve"> falls under low red to far-red light ratios, with a corresponding increase in plant attractiveness to </w:t>
      </w:r>
      <w:proofErr w:type="spellStart"/>
      <w:r>
        <w:rPr>
          <w:i/>
          <w:iCs/>
        </w:rPr>
        <w:t>Phthorimaea</w:t>
      </w:r>
      <w:proofErr w:type="spellEnd"/>
      <w:r>
        <w:rPr>
          <w:i/>
          <w:iCs/>
        </w:rPr>
        <w:t xml:space="preserve"> </w:t>
      </w:r>
      <w:proofErr w:type="spellStart"/>
      <w:r>
        <w:rPr>
          <w:i/>
          <w:iCs/>
        </w:rPr>
        <w:t>absoluta</w:t>
      </w:r>
      <w:proofErr w:type="spellEnd"/>
      <w:r>
        <w:t xml:space="preserve"> females (Manzur et al., 2026). Low red to far-red ratios </w:t>
      </w:r>
      <w:proofErr w:type="gramStart"/>
      <w:r>
        <w:t>are</w:t>
      </w:r>
      <w:proofErr w:type="gramEnd"/>
      <w:r>
        <w:t xml:space="preserve"> characteristic of dense canopies and of shaded protected structures, which are precisely the conditions of intensive tomato production. The implication is that resistance selected and validated in open, well-spaced trials may be substantially weaker in commercial planting densities. This is a specific and testable concern that appears not to have been systematically addressed in the breeding literature.</w:t>
      </w:r>
    </w:p>
    <w:p w14:paraId="4FC24D71" w14:textId="77777777" w:rsidR="00666A9D" w:rsidRDefault="00000000" w:rsidP="00521C89">
      <w:pPr>
        <w:spacing w:before="100" w:beforeAutospacing="1" w:after="100" w:afterAutospacing="1"/>
        <w:jc w:val="both"/>
      </w:pPr>
      <w:r>
        <w:t xml:space="preserve">Comparisons between cultivated tomato and its wild relatives support the view that domestication reduced defensive capacity, but the picture is not uniform. Differential defensive and nutritional traits among cultivated tomato and wild relatives have been shown to shape interactions with a specialist herbivore in ways that reflect the joint action of deterrence and nutritional quality (Salazar-Mendoza et al., 2023), and the response of </w:t>
      </w:r>
      <w:proofErr w:type="spellStart"/>
      <w:r>
        <w:rPr>
          <w:i/>
          <w:iCs/>
        </w:rPr>
        <w:t>Phthorimaea</w:t>
      </w:r>
      <w:proofErr w:type="spellEnd"/>
      <w:r>
        <w:rPr>
          <w:i/>
          <w:iCs/>
        </w:rPr>
        <w:t xml:space="preserve"> </w:t>
      </w:r>
      <w:proofErr w:type="spellStart"/>
      <w:r>
        <w:rPr>
          <w:i/>
          <w:iCs/>
        </w:rPr>
        <w:t>absoluta</w:t>
      </w:r>
      <w:proofErr w:type="spellEnd"/>
      <w:r>
        <w:t xml:space="preserve"> to wild and domesticated genotypes varies according to the trait combination present (</w:t>
      </w:r>
      <w:proofErr w:type="spellStart"/>
      <w:r>
        <w:t>Zannou</w:t>
      </w:r>
      <w:proofErr w:type="spellEnd"/>
      <w:r>
        <w:t xml:space="preserve"> et al., 2025). Treating wild germplasm as uniformly resistant would therefore be an oversimplification, and screening strategies that assay a single defensive compound risk misclassifying </w:t>
      </w:r>
      <w:proofErr w:type="gramStart"/>
      <w:r>
        <w:t>accessions</w:t>
      </w:r>
      <w:proofErr w:type="gramEnd"/>
      <w:r>
        <w:t>.</w:t>
      </w:r>
    </w:p>
    <w:p w14:paraId="6C21B85F" w14:textId="77777777" w:rsidR="00666A9D" w:rsidRDefault="00000000" w:rsidP="00521C89">
      <w:pPr>
        <w:pStyle w:val="Heading2"/>
        <w:spacing w:before="100" w:beforeAutospacing="1" w:after="100" w:afterAutospacing="1"/>
      </w:pPr>
      <w:r>
        <w:t>7.2 Vector resistance, susceptibility factors and epidemiological coupling</w:t>
      </w:r>
    </w:p>
    <w:p w14:paraId="64AB09EC" w14:textId="77777777" w:rsidR="00666A9D" w:rsidRDefault="00000000" w:rsidP="00521C89">
      <w:pPr>
        <w:spacing w:before="100" w:beforeAutospacing="1" w:after="100" w:afterAutospacing="1"/>
        <w:jc w:val="both"/>
      </w:pPr>
      <w:r>
        <w:lastRenderedPageBreak/>
        <w:t xml:space="preserve">Because </w:t>
      </w:r>
      <w:proofErr w:type="spellStart"/>
      <w:r>
        <w:rPr>
          <w:i/>
          <w:iCs/>
        </w:rPr>
        <w:t>Bemisia</w:t>
      </w:r>
      <w:proofErr w:type="spellEnd"/>
      <w:r>
        <w:rPr>
          <w:i/>
          <w:iCs/>
        </w:rPr>
        <w:t xml:space="preserve"> </w:t>
      </w:r>
      <w:proofErr w:type="spellStart"/>
      <w:r>
        <w:rPr>
          <w:i/>
          <w:iCs/>
        </w:rPr>
        <w:t>tabaci</w:t>
      </w:r>
      <w:proofErr w:type="spellEnd"/>
      <w:r>
        <w:t xml:space="preserve"> transmits the </w:t>
      </w:r>
      <w:proofErr w:type="spellStart"/>
      <w:r>
        <w:t>begomoviruses</w:t>
      </w:r>
      <w:proofErr w:type="spellEnd"/>
      <w:r>
        <w:t xml:space="preserve"> that cause the most damaging viral disease of tomato in warm regions, vector resistance and virus resistance are functionally coupled. Plant resistance mechanisms against whitefly and approaches to their engineering have been reviewed (D. Li et al., 2023). A specific and promising finding is that </w:t>
      </w:r>
      <w:r>
        <w:rPr>
          <w:i/>
          <w:iCs/>
        </w:rPr>
        <w:t>GOLDEN2-Like 1</w:t>
      </w:r>
      <w:r>
        <w:t xml:space="preserve"> orthologs act as conserved susceptibility targets of </w:t>
      </w:r>
      <w:proofErr w:type="spellStart"/>
      <w:r>
        <w:rPr>
          <w:i/>
          <w:iCs/>
        </w:rPr>
        <w:t>Bemisia</w:t>
      </w:r>
      <w:proofErr w:type="spellEnd"/>
      <w:r>
        <w:rPr>
          <w:i/>
          <w:iCs/>
        </w:rPr>
        <w:t xml:space="preserve"> </w:t>
      </w:r>
      <w:proofErr w:type="spellStart"/>
      <w:r>
        <w:rPr>
          <w:i/>
          <w:iCs/>
        </w:rPr>
        <w:t>tabaci</w:t>
      </w:r>
      <w:proofErr w:type="spellEnd"/>
      <w:r>
        <w:t xml:space="preserve"> in both </w:t>
      </w:r>
      <w:r>
        <w:rPr>
          <w:i/>
          <w:iCs/>
        </w:rPr>
        <w:t>Arabidopsis</w:t>
      </w:r>
      <w:r>
        <w:t xml:space="preserve"> and tomato (van Kleeff et al., 2026). Conservation across distantly related hosts strengthens the inference that the gene function is genuinely required by the insect rather than reflecting an idiosyncratic feature of one host. The finding also raises an unresolved question, since </w:t>
      </w:r>
      <w:r>
        <w:rPr>
          <w:i/>
          <w:iCs/>
        </w:rPr>
        <w:t>GOLDEN2-Like</w:t>
      </w:r>
      <w:r>
        <w:t xml:space="preserve"> transcription factors have established roles in chloroplast development, so that loss of function may carry photosynthetic costs. The available evidence does not resolve the magnitude of any such cost in tomato.</w:t>
      </w:r>
    </w:p>
    <w:p w14:paraId="10A894DA" w14:textId="77777777" w:rsidR="00666A9D" w:rsidRDefault="00000000" w:rsidP="00521C89">
      <w:pPr>
        <w:spacing w:before="100" w:beforeAutospacing="1" w:after="100" w:afterAutospacing="1"/>
        <w:jc w:val="both"/>
      </w:pPr>
      <w:r>
        <w:t xml:space="preserve">Combining virus and vector resistance in single genotypes has been evaluated directly, with multi-disease and insect-resistant tomato lines shown to enhance suppression of tomato yellow leaf curl Thailand virus (Prabhakar et al., 2025). This is one of the few studies identified that tests the combination rather than the components, and its results support the expectation that vector resistance contributes additional epidemiological benefit beyond that provided by virus resistance alone. The study is limited in geographical scope and in the number of virus and vector populations examined, so generalisation to other </w:t>
      </w:r>
      <w:proofErr w:type="spellStart"/>
      <w:r>
        <w:t>begomovirus</w:t>
      </w:r>
      <w:proofErr w:type="spellEnd"/>
      <w:r>
        <w:t>-vector complexes should be cautious.</w:t>
      </w:r>
    </w:p>
    <w:p w14:paraId="2E633B2D" w14:textId="77777777" w:rsidR="00666A9D" w:rsidRDefault="00000000" w:rsidP="00521C89">
      <w:pPr>
        <w:pStyle w:val="Heading2"/>
        <w:spacing w:before="100" w:beforeAutospacing="1" w:after="100" w:afterAutospacing="1"/>
      </w:pPr>
      <w:r>
        <w:t>7.3 Transgenic insecticidal proteins and the boundary of genetic solutions</w:t>
      </w:r>
    </w:p>
    <w:p w14:paraId="2FE1E7DE" w14:textId="77777777" w:rsidR="00666A9D" w:rsidRDefault="00000000" w:rsidP="00521C89">
      <w:pPr>
        <w:spacing w:before="100" w:beforeAutospacing="1" w:after="100" w:afterAutospacing="1"/>
        <w:jc w:val="both"/>
      </w:pPr>
      <w:r>
        <w:t xml:space="preserve">Expression of dual Cry1Ab and Cry1Ac genes under regulation of a proteinase inhibitor promoter has been shown to enhance resistance to the tomato fruit borer </w:t>
      </w:r>
      <w:r>
        <w:rPr>
          <w:i/>
          <w:iCs/>
        </w:rPr>
        <w:t>Helicoverpa armigera</w:t>
      </w:r>
      <w:r>
        <w:t xml:space="preserve"> in tomato (Abbaszadeh et al., 2026). Two-gene stacking with tissue-preferential expression reflects sound resistance-management design, since it reduces the probability that a single change in the insect confers full resistance and limits unnecessary exposure. The general history of insecticidal protein deployment in other crops nonetheless indicates that resistance evolves where refuge strategies are not enforced, and no comparable resistance-management infrastructure exists for tomato in most producing regions. Regulatory acceptance is a further </w:t>
      </w:r>
      <w:proofErr w:type="gramStart"/>
      <w:r>
        <w:t>and in many jurisdictions</w:t>
      </w:r>
      <w:proofErr w:type="gramEnd"/>
      <w:r>
        <w:t xml:space="preserve"> decisive constraint, and analysis of the evolving European framework for new genomic techniques indicates continuing uncertainty about which products will reach the market and under what conditions (</w:t>
      </w:r>
      <w:proofErr w:type="spellStart"/>
      <w:r>
        <w:t>Kardung</w:t>
      </w:r>
      <w:proofErr w:type="spellEnd"/>
      <w:r>
        <w:t xml:space="preserve"> et al., 2026).</w:t>
      </w:r>
    </w:p>
    <w:p w14:paraId="0889042C" w14:textId="77777777" w:rsidR="00666A9D" w:rsidRDefault="00000000" w:rsidP="00521C89">
      <w:pPr>
        <w:spacing w:before="100" w:beforeAutospacing="1" w:after="100" w:afterAutospacing="1"/>
        <w:jc w:val="both"/>
      </w:pPr>
      <w:r>
        <w:t>Assessed as a whole, the insect resistance literature is weaker than the pathogen literature in three specific respects. Causal genes underlying quantitative resistance are rarely identified, so marker-assisted transfer relies on interval markers with uncertain transferability. Field evaluation is less common than controlled choice and no-choice assays, and the two frequently disagree because behavioural responses under choice conditions do not predict population-level outcomes in monoculture. Environmental modulation of the traits concerned is substantial and is seldom incorporated into evaluation designs. These are not reasons to discount the domain, which contains the clearest demonstration in this review of a host trait affecting disease epidemiology, but they do mean that confidence in projections of field performance should be lower than for characterised major resistance genes.</w:t>
      </w:r>
    </w:p>
    <w:p w14:paraId="0B71BB45" w14:textId="77777777" w:rsidR="00666A9D" w:rsidRDefault="00000000" w:rsidP="00521C89">
      <w:pPr>
        <w:spacing w:before="100" w:beforeAutospacing="1" w:after="100" w:afterAutospacing="1"/>
        <w:jc w:val="both"/>
      </w:pPr>
      <w:r>
        <w:t xml:space="preserve">Sections 6 and 7 have described a literature in which apparent contradictions are common. Table 4 sets out the principal points of conflict or qualification across the nematode and insect resistance evidence together with the most plausible explanations, since these two domains generate more unresolved discrepancy than the pathogen literature. The pattern indicates that </w:t>
      </w:r>
      <w:r>
        <w:lastRenderedPageBreak/>
        <w:t>most apparent conflicts are attributable to unmeasured environmental or population variables rather than to irreconcilable findings, which suggests that improved reporting of these variables would resolve a substantial proportion of the current uncertainty.</w:t>
      </w:r>
    </w:p>
    <w:p w14:paraId="2529EAC9" w14:textId="77777777" w:rsidR="00666A9D" w:rsidRDefault="00000000" w:rsidP="00521C89">
      <w:pPr>
        <w:spacing w:before="100" w:beforeAutospacing="1" w:after="100" w:afterAutospacing="1"/>
      </w:pPr>
      <w:r>
        <w:rPr>
          <w:b/>
          <w:bCs/>
          <w:sz w:val="20"/>
          <w:szCs w:val="20"/>
        </w:rPr>
        <w:t>Table 4. Apparent inconsistencies in the tomato nematode and insect resistance literature, with candidate explanations and their evidential status.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4"/>
        <w:gridCol w:w="2348"/>
        <w:gridCol w:w="2348"/>
        <w:gridCol w:w="2066"/>
      </w:tblGrid>
      <w:tr w:rsidR="00666A9D" w14:paraId="4942921F" w14:textId="77777777" w:rsidTr="00521C89">
        <w:trPr>
          <w:cantSplit/>
          <w:tblHeader/>
        </w:trPr>
        <w:tc>
          <w:tcPr>
            <w:tcW w:w="125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5420D4A5" w14:textId="77777777" w:rsidR="00666A9D" w:rsidRDefault="00000000" w:rsidP="00521C89">
            <w:pPr>
              <w:spacing w:before="100" w:beforeAutospacing="1" w:after="100" w:afterAutospacing="1"/>
            </w:pPr>
            <w:r>
              <w:rPr>
                <w:b/>
                <w:bCs/>
                <w:sz w:val="20"/>
                <w:szCs w:val="20"/>
              </w:rPr>
              <w:t>Observation</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A8A9D8E" w14:textId="77777777" w:rsidR="00666A9D" w:rsidRDefault="00000000" w:rsidP="00521C89">
            <w:pPr>
              <w:spacing w:before="100" w:beforeAutospacing="1" w:after="100" w:afterAutospacing="1"/>
            </w:pPr>
            <w:r>
              <w:rPr>
                <w:b/>
                <w:bCs/>
                <w:sz w:val="20"/>
                <w:szCs w:val="20"/>
              </w:rPr>
              <w:t>Conflicting or qualifying evidence</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2CAFB60" w14:textId="77777777" w:rsidR="00666A9D" w:rsidRDefault="00000000" w:rsidP="00521C89">
            <w:pPr>
              <w:spacing w:before="100" w:beforeAutospacing="1" w:after="100" w:afterAutospacing="1"/>
            </w:pPr>
            <w:r>
              <w:rPr>
                <w:b/>
                <w:bCs/>
                <w:sz w:val="20"/>
                <w:szCs w:val="20"/>
              </w:rPr>
              <w:t>Most plausible explanation</w:t>
            </w:r>
          </w:p>
        </w:tc>
        <w:tc>
          <w:tcPr>
            <w:tcW w:w="1146"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01A3A7D" w14:textId="77777777" w:rsidR="00666A9D" w:rsidRDefault="00000000" w:rsidP="00521C89">
            <w:pPr>
              <w:spacing w:before="100" w:beforeAutospacing="1" w:after="100" w:afterAutospacing="1"/>
            </w:pPr>
            <w:r>
              <w:rPr>
                <w:b/>
                <w:bCs/>
                <w:sz w:val="20"/>
                <w:szCs w:val="20"/>
              </w:rPr>
              <w:t>Supporting references</w:t>
            </w:r>
          </w:p>
        </w:tc>
      </w:tr>
      <w:tr w:rsidR="00666A9D" w14:paraId="42A05DEC"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EC8F66" w14:textId="77777777" w:rsidR="00666A9D" w:rsidRDefault="00000000" w:rsidP="00521C89">
            <w:pPr>
              <w:spacing w:before="100" w:beforeAutospacing="1" w:after="100" w:afterAutospacing="1"/>
            </w:pPr>
            <w:r>
              <w:rPr>
                <w:i/>
                <w:iCs/>
                <w:sz w:val="20"/>
                <w:szCs w:val="20"/>
              </w:rPr>
              <w:t>Mi-1</w:t>
            </w:r>
            <w:r>
              <w:rPr>
                <w:sz w:val="20"/>
                <w:szCs w:val="20"/>
              </w:rPr>
              <w:t xml:space="preserve"> provides effective root-knot nematode control</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45F141" w14:textId="77777777" w:rsidR="00666A9D" w:rsidRDefault="00000000" w:rsidP="00521C89">
            <w:pPr>
              <w:spacing w:before="100" w:beforeAutospacing="1" w:after="100" w:afterAutospacing="1"/>
            </w:pPr>
            <w:r>
              <w:rPr>
                <w:sz w:val="20"/>
                <w:szCs w:val="20"/>
              </w:rPr>
              <w:t>Resistance is thermally constrained, prompting the search for heat-stable alternatives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5231A" w14:textId="77777777" w:rsidR="00666A9D" w:rsidRDefault="00000000" w:rsidP="00521C89">
            <w:pPr>
              <w:spacing w:before="100" w:beforeAutospacing="1" w:after="100" w:afterAutospacing="1"/>
            </w:pPr>
            <w:r>
              <w:rPr>
                <w:sz w:val="20"/>
                <w:szCs w:val="20"/>
              </w:rPr>
              <w:t>Temperature-dependent expression of resistance limits efficacy in warm environments where pressure is highest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608A23" w14:textId="77777777" w:rsidR="00666A9D" w:rsidRDefault="00000000" w:rsidP="00521C89">
            <w:pPr>
              <w:spacing w:before="100" w:beforeAutospacing="1" w:after="100" w:afterAutospacing="1"/>
            </w:pPr>
            <w:r w:rsidRPr="00385B5B">
              <w:rPr>
                <w:sz w:val="20"/>
                <w:szCs w:val="20"/>
                <w:lang w:val="nl-BE"/>
              </w:rPr>
              <w:t xml:space="preserve">S. Chen et al. (2025); Vos et al. </w:t>
            </w:r>
            <w:r>
              <w:rPr>
                <w:sz w:val="20"/>
                <w:szCs w:val="20"/>
              </w:rPr>
              <w:t>(1998)</w:t>
            </w:r>
          </w:p>
        </w:tc>
      </w:tr>
      <w:tr w:rsidR="00666A9D" w14:paraId="1462A5AD"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3FEE4B" w14:textId="77777777" w:rsidR="00666A9D" w:rsidRDefault="00000000" w:rsidP="00521C89">
            <w:pPr>
              <w:spacing w:before="100" w:beforeAutospacing="1" w:after="100" w:afterAutospacing="1"/>
            </w:pPr>
            <w:r>
              <w:rPr>
                <w:i/>
                <w:iCs/>
                <w:sz w:val="20"/>
                <w:szCs w:val="20"/>
              </w:rPr>
              <w:t>Mi-1</w:t>
            </w:r>
            <w:r>
              <w:rPr>
                <w:sz w:val="20"/>
                <w:szCs w:val="20"/>
              </w:rPr>
              <w:t xml:space="preserve"> confers a discrete resistance phenotype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A578A1" w14:textId="77777777" w:rsidR="00666A9D" w:rsidRDefault="00000000" w:rsidP="00521C89">
            <w:pPr>
              <w:spacing w:before="100" w:beforeAutospacing="1" w:after="100" w:afterAutospacing="1"/>
            </w:pPr>
            <w:r>
              <w:rPr>
                <w:sz w:val="20"/>
                <w:szCs w:val="20"/>
              </w:rPr>
              <w:t>Presence of the locus is associated with basal differences in root transcription in the absence of challenge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1199F8" w14:textId="77777777" w:rsidR="00666A9D" w:rsidRDefault="00000000" w:rsidP="00521C89">
            <w:pPr>
              <w:spacing w:before="100" w:beforeAutospacing="1" w:after="100" w:afterAutospacing="1"/>
            </w:pPr>
            <w:r>
              <w:rPr>
                <w:sz w:val="20"/>
                <w:szCs w:val="20"/>
              </w:rPr>
              <w:t>Locus has constitutive effects; possible fitness consequences remain unquantified</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4CA500" w14:textId="77777777" w:rsidR="00666A9D" w:rsidRDefault="00000000" w:rsidP="00521C89">
            <w:pPr>
              <w:spacing w:before="100" w:beforeAutospacing="1" w:after="100" w:afterAutospacing="1"/>
            </w:pPr>
            <w:r>
              <w:rPr>
                <w:sz w:val="20"/>
                <w:szCs w:val="20"/>
              </w:rPr>
              <w:t>Rico et al. (2026)</w:t>
            </w:r>
          </w:p>
        </w:tc>
      </w:tr>
      <w:tr w:rsidR="00666A9D" w14:paraId="78C80073"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7AABED" w14:textId="77777777" w:rsidR="00666A9D" w:rsidRDefault="00000000" w:rsidP="00521C89">
            <w:pPr>
              <w:spacing w:before="100" w:beforeAutospacing="1" w:after="100" w:afterAutospacing="1"/>
            </w:pPr>
            <w:r>
              <w:rPr>
                <w:sz w:val="20"/>
                <w:szCs w:val="20"/>
              </w:rPr>
              <w:t xml:space="preserve">Genetic resistance manages </w:t>
            </w:r>
            <w:r>
              <w:rPr>
                <w:i/>
                <w:iCs/>
                <w:sz w:val="20"/>
                <w:szCs w:val="20"/>
              </w:rPr>
              <w:t>Meloidogyne</w:t>
            </w:r>
            <w:r>
              <w:rPr>
                <w:sz w:val="20"/>
                <w:szCs w:val="20"/>
              </w:rPr>
              <w:t xml:space="preserve"> in tomato</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2260EA" w14:textId="77777777" w:rsidR="00666A9D" w:rsidRDefault="00000000" w:rsidP="00521C89">
            <w:pPr>
              <w:spacing w:before="100" w:beforeAutospacing="1" w:after="100" w:afterAutospacing="1"/>
            </w:pPr>
            <w:r>
              <w:rPr>
                <w:i/>
                <w:iCs/>
                <w:sz w:val="20"/>
                <w:szCs w:val="20"/>
              </w:rPr>
              <w:t xml:space="preserve">Meloidogyne </w:t>
            </w:r>
            <w:proofErr w:type="spellStart"/>
            <w:r>
              <w:rPr>
                <w:i/>
                <w:iCs/>
                <w:sz w:val="20"/>
                <w:szCs w:val="20"/>
              </w:rPr>
              <w:t>enterolobii</w:t>
            </w:r>
            <w:proofErr w:type="spellEnd"/>
            <w:r>
              <w:rPr>
                <w:sz w:val="20"/>
                <w:szCs w:val="20"/>
              </w:rPr>
              <w:t xml:space="preserve"> is not covered, and virulent </w:t>
            </w:r>
            <w:r>
              <w:rPr>
                <w:i/>
                <w:iCs/>
                <w:sz w:val="20"/>
                <w:szCs w:val="20"/>
              </w:rPr>
              <w:t>Meloidogyne incognita</w:t>
            </w:r>
            <w:r>
              <w:rPr>
                <w:sz w:val="20"/>
                <w:szCs w:val="20"/>
              </w:rPr>
              <w:t xml:space="preserve"> populations differ in host range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ECC53A" w14:textId="77777777" w:rsidR="00666A9D" w:rsidRDefault="00000000" w:rsidP="00521C89">
            <w:pPr>
              <w:spacing w:before="100" w:beforeAutospacing="1" w:after="100" w:afterAutospacing="1"/>
            </w:pPr>
            <w:r>
              <w:rPr>
                <w:sz w:val="20"/>
                <w:szCs w:val="20"/>
              </w:rPr>
              <w:t>Resistance base is species- and population-specific rather than generic</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572235" w14:textId="77777777" w:rsidR="00666A9D" w:rsidRDefault="00000000" w:rsidP="00521C89">
            <w:pPr>
              <w:spacing w:before="100" w:beforeAutospacing="1" w:after="100" w:afterAutospacing="1"/>
            </w:pPr>
            <w:r w:rsidRPr="00385B5B">
              <w:rPr>
                <w:sz w:val="20"/>
                <w:szCs w:val="20"/>
                <w:lang w:val="nl-BE"/>
              </w:rPr>
              <w:t xml:space="preserve">J. Chen et al. (2026); Konigopal et al. </w:t>
            </w:r>
            <w:r>
              <w:rPr>
                <w:sz w:val="20"/>
                <w:szCs w:val="20"/>
              </w:rPr>
              <w:t>(2025)</w:t>
            </w:r>
          </w:p>
        </w:tc>
      </w:tr>
      <w:tr w:rsidR="00666A9D" w14:paraId="302A6F41"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C63AA2" w14:textId="77777777" w:rsidR="00666A9D" w:rsidRDefault="00000000" w:rsidP="00521C89">
            <w:pPr>
              <w:spacing w:before="100" w:beforeAutospacing="1" w:after="100" w:afterAutospacing="1"/>
            </w:pPr>
            <w:r>
              <w:rPr>
                <w:sz w:val="20"/>
                <w:szCs w:val="20"/>
              </w:rPr>
              <w:t>Trichome-borne sesquiterpenes deter herbivores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C42041" w14:textId="77777777" w:rsidR="00666A9D" w:rsidRDefault="00000000" w:rsidP="00521C89">
            <w:pPr>
              <w:spacing w:before="100" w:beforeAutospacing="1" w:after="100" w:afterAutospacing="1"/>
            </w:pPr>
            <w:r>
              <w:rPr>
                <w:sz w:val="20"/>
                <w:szCs w:val="20"/>
              </w:rPr>
              <w:t xml:space="preserve">Sesquiterpene content in type VI trichomes of </w:t>
            </w:r>
            <w:r>
              <w:rPr>
                <w:i/>
                <w:iCs/>
                <w:sz w:val="20"/>
                <w:szCs w:val="20"/>
              </w:rPr>
              <w:t xml:space="preserve">Solanum </w:t>
            </w:r>
            <w:proofErr w:type="spellStart"/>
            <w:r>
              <w:rPr>
                <w:i/>
                <w:iCs/>
                <w:sz w:val="20"/>
                <w:szCs w:val="20"/>
              </w:rPr>
              <w:t>habrochaites</w:t>
            </w:r>
            <w:proofErr w:type="spellEnd"/>
            <w:r>
              <w:rPr>
                <w:sz w:val="20"/>
                <w:szCs w:val="20"/>
              </w:rPr>
              <w:t xml:space="preserve"> falls under low red to far-red light ratios, increasing attractiveness to </w:t>
            </w:r>
            <w:proofErr w:type="spellStart"/>
            <w:r>
              <w:rPr>
                <w:i/>
                <w:iCs/>
                <w:sz w:val="20"/>
                <w:szCs w:val="20"/>
              </w:rPr>
              <w:t>Phthorimaea</w:t>
            </w:r>
            <w:proofErr w:type="spellEnd"/>
            <w:r>
              <w:rPr>
                <w:i/>
                <w:iCs/>
                <w:sz w:val="20"/>
                <w:szCs w:val="20"/>
              </w:rPr>
              <w:t xml:space="preserve"> </w:t>
            </w:r>
            <w:proofErr w:type="spellStart"/>
            <w:r>
              <w:rPr>
                <w:i/>
                <w:iCs/>
                <w:sz w:val="20"/>
                <w:szCs w:val="20"/>
              </w:rPr>
              <w:t>absoluta</w:t>
            </w:r>
            <w:proofErr w:type="spellEnd"/>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1661C9" w14:textId="77777777" w:rsidR="00666A9D" w:rsidRDefault="00000000" w:rsidP="00521C89">
            <w:pPr>
              <w:spacing w:before="100" w:beforeAutospacing="1" w:after="100" w:afterAutospacing="1"/>
            </w:pPr>
            <w:r>
              <w:rPr>
                <w:sz w:val="20"/>
                <w:szCs w:val="20"/>
              </w:rPr>
              <w:t>Defence chemistry is light-environment dependent; canopy density modifies expression of the trait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B245BE" w14:textId="77777777" w:rsidR="00666A9D" w:rsidRDefault="00000000" w:rsidP="00521C89">
            <w:pPr>
              <w:spacing w:before="100" w:beforeAutospacing="1" w:after="100" w:afterAutospacing="1"/>
            </w:pPr>
            <w:r>
              <w:rPr>
                <w:sz w:val="20"/>
                <w:szCs w:val="20"/>
              </w:rPr>
              <w:t>Manzur et al. (2026)</w:t>
            </w:r>
          </w:p>
        </w:tc>
      </w:tr>
      <w:tr w:rsidR="00666A9D" w14:paraId="167F45C1"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FAD35F" w14:textId="77777777" w:rsidR="00666A9D" w:rsidRDefault="00000000" w:rsidP="00521C89">
            <w:pPr>
              <w:spacing w:before="100" w:beforeAutospacing="1" w:after="100" w:afterAutospacing="1"/>
            </w:pPr>
            <w:r>
              <w:rPr>
                <w:sz w:val="20"/>
                <w:szCs w:val="20"/>
              </w:rPr>
              <w:t>Wild relatives are more resistant to specialist herbivores than cultivated tomato</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8BDDA5" w14:textId="77777777" w:rsidR="00666A9D" w:rsidRDefault="00000000" w:rsidP="00521C89">
            <w:pPr>
              <w:spacing w:before="100" w:beforeAutospacing="1" w:after="100" w:afterAutospacing="1"/>
            </w:pPr>
            <w:r>
              <w:rPr>
                <w:sz w:val="20"/>
                <w:szCs w:val="20"/>
              </w:rPr>
              <w:t xml:space="preserve">Responses of </w:t>
            </w:r>
            <w:proofErr w:type="spellStart"/>
            <w:r>
              <w:rPr>
                <w:i/>
                <w:iCs/>
                <w:sz w:val="20"/>
                <w:szCs w:val="20"/>
              </w:rPr>
              <w:t>Phthorimaea</w:t>
            </w:r>
            <w:proofErr w:type="spellEnd"/>
            <w:r>
              <w:rPr>
                <w:i/>
                <w:iCs/>
                <w:sz w:val="20"/>
                <w:szCs w:val="20"/>
              </w:rPr>
              <w:t xml:space="preserve"> </w:t>
            </w:r>
            <w:proofErr w:type="spellStart"/>
            <w:r>
              <w:rPr>
                <w:i/>
                <w:iCs/>
                <w:sz w:val="20"/>
                <w:szCs w:val="20"/>
              </w:rPr>
              <w:t>absoluta</w:t>
            </w:r>
            <w:proofErr w:type="spellEnd"/>
            <w:r>
              <w:rPr>
                <w:sz w:val="20"/>
                <w:szCs w:val="20"/>
              </w:rPr>
              <w:t xml:space="preserve"> to wild and domesticated genotypes vary with the trait combination present</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C2DFA0" w14:textId="77777777" w:rsidR="00666A9D" w:rsidRDefault="00000000" w:rsidP="00521C89">
            <w:pPr>
              <w:spacing w:before="100" w:beforeAutospacing="1" w:after="100" w:afterAutospacing="1"/>
            </w:pPr>
            <w:r>
              <w:rPr>
                <w:sz w:val="20"/>
                <w:szCs w:val="20"/>
              </w:rPr>
              <w:t>Defensive and nutritional traits act jointly; single-trait comparisons are insufficient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09F16B" w14:textId="77777777" w:rsidR="00666A9D" w:rsidRDefault="00000000" w:rsidP="00521C89">
            <w:pPr>
              <w:spacing w:before="100" w:beforeAutospacing="1" w:after="100" w:afterAutospacing="1"/>
            </w:pPr>
            <w:r w:rsidRPr="00385B5B">
              <w:rPr>
                <w:sz w:val="20"/>
                <w:szCs w:val="20"/>
                <w:lang w:val="nl-BE"/>
              </w:rPr>
              <w:t xml:space="preserve">Salazar-Mendoza et al. (2023); Zannou et al. </w:t>
            </w:r>
            <w:r>
              <w:rPr>
                <w:sz w:val="20"/>
                <w:szCs w:val="20"/>
              </w:rPr>
              <w:t>(2025)</w:t>
            </w:r>
          </w:p>
        </w:tc>
      </w:tr>
      <w:tr w:rsidR="00666A9D" w14:paraId="0B61ACE5"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A3B337" w14:textId="77777777" w:rsidR="00666A9D" w:rsidRDefault="00000000" w:rsidP="00521C89">
            <w:pPr>
              <w:spacing w:before="100" w:beforeAutospacing="1" w:after="100" w:afterAutospacing="1"/>
            </w:pPr>
            <w:proofErr w:type="spellStart"/>
            <w:r>
              <w:rPr>
                <w:sz w:val="20"/>
                <w:szCs w:val="20"/>
              </w:rPr>
              <w:t>Acylsugar</w:t>
            </w:r>
            <w:proofErr w:type="spellEnd"/>
            <w:r>
              <w:rPr>
                <w:sz w:val="20"/>
                <w:szCs w:val="20"/>
              </w:rPr>
              <w:t>-mediated resistance reduces virus incidence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1EFE00" w14:textId="77777777" w:rsidR="00666A9D" w:rsidRDefault="00000000" w:rsidP="00521C89">
            <w:pPr>
              <w:spacing w:before="100" w:beforeAutospacing="1" w:after="100" w:afterAutospacing="1"/>
            </w:pPr>
            <w:r>
              <w:rPr>
                <w:sz w:val="20"/>
                <w:szCs w:val="20"/>
              </w:rPr>
              <w:t xml:space="preserve">Effect size depends on </w:t>
            </w:r>
            <w:proofErr w:type="spellStart"/>
            <w:r>
              <w:rPr>
                <w:sz w:val="20"/>
                <w:szCs w:val="20"/>
              </w:rPr>
              <w:t>acylsugar</w:t>
            </w:r>
            <w:proofErr w:type="spellEnd"/>
            <w:r>
              <w:rPr>
                <w:sz w:val="20"/>
                <w:szCs w:val="20"/>
              </w:rPr>
              <w:t xml:space="preserve"> amount and chemical composition, and on field conditions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03289B" w14:textId="77777777" w:rsidR="00666A9D" w:rsidRDefault="00000000" w:rsidP="00521C89">
            <w:pPr>
              <w:spacing w:before="100" w:beforeAutospacing="1" w:after="100" w:afterAutospacing="1"/>
            </w:pPr>
            <w:r>
              <w:rPr>
                <w:sz w:val="20"/>
                <w:szCs w:val="20"/>
              </w:rPr>
              <w:t>Vector deterrence is quantitative and composition-specific rather than absolute</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399DA6" w14:textId="77777777" w:rsidR="00666A9D" w:rsidRDefault="00000000" w:rsidP="00521C89">
            <w:pPr>
              <w:spacing w:before="100" w:beforeAutospacing="1" w:after="100" w:afterAutospacing="1"/>
            </w:pPr>
            <w:r w:rsidRPr="00385B5B">
              <w:rPr>
                <w:sz w:val="20"/>
                <w:szCs w:val="20"/>
                <w:lang w:val="nl-BE"/>
              </w:rPr>
              <w:t xml:space="preserve">Marchant et al. (2020); Smeda et al. </w:t>
            </w:r>
            <w:r>
              <w:rPr>
                <w:sz w:val="20"/>
                <w:szCs w:val="20"/>
              </w:rPr>
              <w:t>(2023)</w:t>
            </w:r>
          </w:p>
        </w:tc>
      </w:tr>
    </w:tbl>
    <w:p w14:paraId="3D327A86" w14:textId="77777777" w:rsidR="00666A9D" w:rsidRDefault="00000000" w:rsidP="00521C89">
      <w:pPr>
        <w:spacing w:before="100" w:beforeAutospacing="1" w:after="100" w:afterAutospacing="1"/>
      </w:pPr>
      <w:r>
        <w:rPr>
          <w:sz w:val="18"/>
          <w:szCs w:val="18"/>
        </w:rPr>
        <w:t>Note. Candidate explanations are inferences drawn from the cited evidence and are not, in most cases, directly tested within the studies concerned. Where evidence is insufficient to adjudicate between explanations, this is stated in the accompanying text.</w:t>
      </w:r>
    </w:p>
    <w:p w14:paraId="54933C66" w14:textId="77777777" w:rsidR="00666A9D" w:rsidRDefault="00000000" w:rsidP="00521C89">
      <w:pPr>
        <w:pStyle w:val="Heading1"/>
        <w:spacing w:before="100" w:beforeAutospacing="1" w:after="100" w:afterAutospacing="1"/>
      </w:pPr>
      <w:r>
        <w:t>8. Cross-Cutting Constraints on Translation</w:t>
      </w:r>
    </w:p>
    <w:p w14:paraId="2F80E71A" w14:textId="77777777" w:rsidR="00666A9D" w:rsidRDefault="00000000" w:rsidP="00521C89">
      <w:pPr>
        <w:spacing w:before="100" w:beforeAutospacing="1" w:after="100" w:afterAutospacing="1"/>
        <w:jc w:val="both"/>
      </w:pPr>
      <w:r>
        <w:t>Four constraints recur across all three biotic domains and account for much of the gap between discovery and deployment. Setting them out explicitly clarifies which research investments would be most likely to change outcomes.</w:t>
      </w:r>
    </w:p>
    <w:p w14:paraId="7F2EA64F" w14:textId="77777777" w:rsidR="00666A9D" w:rsidRDefault="00000000" w:rsidP="00521C89">
      <w:pPr>
        <w:pStyle w:val="Heading2"/>
        <w:spacing w:before="100" w:beforeAutospacing="1" w:after="100" w:afterAutospacing="1"/>
      </w:pPr>
      <w:r>
        <w:t>8.1 Monogenic deployment and the structure of selection</w:t>
      </w:r>
    </w:p>
    <w:p w14:paraId="3BAF2B0C" w14:textId="77777777" w:rsidR="00666A9D" w:rsidRDefault="00000000" w:rsidP="00521C89">
      <w:pPr>
        <w:spacing w:before="100" w:beforeAutospacing="1" w:after="100" w:afterAutospacing="1"/>
        <w:jc w:val="both"/>
      </w:pPr>
      <w:r>
        <w:lastRenderedPageBreak/>
        <w:t xml:space="preserve">The erosion documented for </w:t>
      </w:r>
      <w:r>
        <w:rPr>
          <w:i/>
          <w:iCs/>
        </w:rPr>
        <w:t>Sw-5b</w:t>
      </w:r>
      <w:r>
        <w:t xml:space="preserve">, </w:t>
      </w:r>
      <w:r>
        <w:rPr>
          <w:i/>
          <w:iCs/>
        </w:rPr>
        <w:t>Tm-2²</w:t>
      </w:r>
      <w:r>
        <w:t xml:space="preserve"> and </w:t>
      </w:r>
      <w:r>
        <w:rPr>
          <w:i/>
          <w:iCs/>
        </w:rPr>
        <w:t>Ty-3</w:t>
      </w:r>
      <w:r>
        <w:t xml:space="preserve"> shares a common structure: a single resistance allele deployed across large contiguous areas of a genetically uniform crop, imposing intense and sustained directional selection on the pathogen population (</w:t>
      </w:r>
      <w:proofErr w:type="spellStart"/>
      <w:r>
        <w:t>Chinnaiah</w:t>
      </w:r>
      <w:proofErr w:type="spellEnd"/>
      <w:r>
        <w:t xml:space="preserve"> et al., 2026; Ma et al., 2026; Macedo et al., 2024; Mondal et al., 2026). The mechanistic route of the resistance varied among these cases, yet the outcome was similar, which supports the interpretation that deployment structure rather than mechanism is the dominant determinant. Pyramiding is the standard response, and it has been implemented in tomato (</w:t>
      </w:r>
      <w:proofErr w:type="spellStart"/>
      <w:r>
        <w:t>Yerasu</w:t>
      </w:r>
      <w:proofErr w:type="spellEnd"/>
      <w:r>
        <w:t xml:space="preserve"> et al., 2025), but pyramiding delays rather than prevents adaptation, and its effectiveness depends on the pyramided components being genuinely independent in the pathogen's evolutionary path. That independence is rarely demonstrated.</w:t>
      </w:r>
    </w:p>
    <w:p w14:paraId="4A13390F" w14:textId="77777777" w:rsidR="00666A9D" w:rsidRDefault="00000000" w:rsidP="00521C89">
      <w:pPr>
        <w:pStyle w:val="Heading2"/>
        <w:spacing w:before="100" w:beforeAutospacing="1" w:after="100" w:afterAutospacing="1"/>
      </w:pPr>
      <w:r>
        <w:t>8.2 Phenotyping as the limiting factor</w:t>
      </w:r>
    </w:p>
    <w:p w14:paraId="5E80DC26" w14:textId="77777777" w:rsidR="00666A9D" w:rsidRDefault="00000000" w:rsidP="00521C89">
      <w:pPr>
        <w:spacing w:before="100" w:beforeAutospacing="1" w:after="100" w:afterAutospacing="1"/>
        <w:jc w:val="both"/>
      </w:pPr>
      <w:r>
        <w:t>Across the appraised literature, genotyping resolution consistently exceeds phenotyping resolution. Mapping studies deploy dense marker coverage against disease scores collected in one or two environments using ordinal scales, and the resulting estimates of locus effect are correspondingly imprecise. This asymmetry has been recognised in the wider crop genomics literature and underlies the interest in higher-throughput phenotyping, but it is particularly consequential for resistance, where the phenotype depends on an interacting organism whose population composition is itself variable. Improvements in prediction accuracy will be bounded by phenotypic data quality regardless of marker density or model sophistication (Lee et al., 2024; Lou et al., 2026).</w:t>
      </w:r>
    </w:p>
    <w:p w14:paraId="108A86A2" w14:textId="77777777" w:rsidR="00666A9D" w:rsidRDefault="00000000" w:rsidP="00521C89">
      <w:pPr>
        <w:pStyle w:val="Heading2"/>
        <w:spacing w:before="100" w:beforeAutospacing="1" w:after="100" w:afterAutospacing="1"/>
      </w:pPr>
      <w:r>
        <w:t>8.3 Breeding-cycle logistics</w:t>
      </w:r>
    </w:p>
    <w:p w14:paraId="2D5BACC0" w14:textId="77777777" w:rsidR="00666A9D" w:rsidRDefault="00000000" w:rsidP="00521C89">
      <w:pPr>
        <w:spacing w:before="100" w:beforeAutospacing="1" w:after="100" w:afterAutospacing="1"/>
        <w:jc w:val="both"/>
      </w:pPr>
      <w:r>
        <w:t xml:space="preserve">Even where a resistance allele is identified and validated, the time required to </w:t>
      </w:r>
      <w:proofErr w:type="spellStart"/>
      <w:r>
        <w:t>introgress</w:t>
      </w:r>
      <w:proofErr w:type="spellEnd"/>
      <w:r>
        <w:t xml:space="preserve"> it into multiple elite backgrounds, purge linkage drag, and evaluate the resulting material remains substantial. Approaches that reduce this burden are therefore relevant to resistance outcomes even when they are not resistance research as such. Engineering of crop flower morphology to permit robotised cross-pollination and accelerated generation advance has been demonstrated in tomato and related species (Xie et al., 2025), and heritable virus-induced germline editing removes a transformation bottleneck for genotypes that resist tissue culture (Oh et al., 2025). These are enabling technologies whose eventual effect on resistance deployment is plausible but not yet demonstrated.</w:t>
      </w:r>
    </w:p>
    <w:p w14:paraId="30FF088F" w14:textId="77777777" w:rsidR="00666A9D" w:rsidRDefault="00000000" w:rsidP="00521C89">
      <w:pPr>
        <w:pStyle w:val="Heading2"/>
        <w:spacing w:before="100" w:beforeAutospacing="1" w:after="100" w:afterAutospacing="1"/>
      </w:pPr>
      <w:r>
        <w:t>8.4 The wild gene pool: accessibility rather than availability</w:t>
      </w:r>
    </w:p>
    <w:p w14:paraId="42F82260" w14:textId="77777777" w:rsidR="00666A9D" w:rsidRDefault="00000000" w:rsidP="00521C89">
      <w:pPr>
        <w:spacing w:before="100" w:beforeAutospacing="1" w:after="100" w:afterAutospacing="1"/>
        <w:jc w:val="both"/>
      </w:pPr>
      <w:r>
        <w:t>Genetic diversity in wild relatives is repeatedly identified as the principal underexploited resource for crop protection (Fenn et al., 2026), and genomic characterisation of the tomato clade has substantially improved access to it (Rose et al., 2025; Shi et al., 2026; J. Yu et al., 2025). The binding constraint has shifted from knowing what diversity exists to moving it into elite backgrounds at acceptable cost. Resequencing of elite cultivars shows that the introgression history of the crop is already substantial (Yamamoto et al., 2024), and each additional segment adds to a cumulative burden. This reframing has practical consequences: investment in recombination-enhancing methods and in precise segment reduction may deliver more resistance improvement per unit of expenditure than further discovery in the wild gene pool.</w:t>
      </w:r>
    </w:p>
    <w:p w14:paraId="444BA134" w14:textId="77777777" w:rsidR="00666A9D" w:rsidRDefault="00000000" w:rsidP="00521C89">
      <w:pPr>
        <w:spacing w:before="100" w:beforeAutospacing="1" w:after="100" w:afterAutospacing="1"/>
        <w:jc w:val="both"/>
      </w:pPr>
      <w:r>
        <w:t xml:space="preserve">Table 5 translates the analysis of Sections 3 to 8 into prioritised research needs, distinguishing the unresolved problem from the design that would address it. The prioritisation reflects the </w:t>
      </w:r>
      <w:r>
        <w:lastRenderedPageBreak/>
        <w:t>appraised strength of evidence rather than the novelty of the technology involved, and the immediate priorities are, in each case, evaluation problems rather than discovery problems. This is itself a finding of the review: the principal deficiency in the current evidence base is not a shortage of candidate loci but a shortage of rigorous evaluation of the loci already available.</w:t>
      </w:r>
    </w:p>
    <w:p w14:paraId="24742A0C" w14:textId="77777777" w:rsidR="00666A9D" w:rsidRDefault="00000000" w:rsidP="00521C89">
      <w:pPr>
        <w:spacing w:before="100" w:beforeAutospacing="1" w:after="100" w:afterAutospacing="1"/>
      </w:pPr>
      <w:r>
        <w:rPr>
          <w:b/>
          <w:bCs/>
          <w:sz w:val="20"/>
          <w:szCs w:val="20"/>
        </w:rPr>
        <w:t>Table 5. Prioritised research needs derived from the appraised evidence, with the deficiency addressed and the appropriate evaluation design.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7"/>
        <w:gridCol w:w="2348"/>
        <w:gridCol w:w="2442"/>
        <w:gridCol w:w="1221"/>
        <w:gridCol w:w="1408"/>
      </w:tblGrid>
      <w:tr w:rsidR="00666A9D" w14:paraId="7EB894A6" w14:textId="77777777" w:rsidTr="00521C89">
        <w:trPr>
          <w:cantSplit/>
          <w:tblHeader/>
        </w:trPr>
        <w:tc>
          <w:tcPr>
            <w:tcW w:w="885"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77DE641" w14:textId="77777777" w:rsidR="00666A9D" w:rsidRDefault="00000000" w:rsidP="00521C89">
            <w:pPr>
              <w:spacing w:before="100" w:beforeAutospacing="1" w:after="100" w:afterAutospacing="1"/>
            </w:pPr>
            <w:r>
              <w:rPr>
                <w:b/>
                <w:bCs/>
                <w:sz w:val="20"/>
                <w:szCs w:val="20"/>
              </w:rPr>
              <w:t>Priority area</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53F70190" w14:textId="77777777" w:rsidR="00666A9D" w:rsidRDefault="00000000" w:rsidP="00521C89">
            <w:pPr>
              <w:spacing w:before="100" w:beforeAutospacing="1" w:after="100" w:afterAutospacing="1"/>
            </w:pPr>
            <w:r>
              <w:rPr>
                <w:b/>
                <w:bCs/>
                <w:sz w:val="20"/>
                <w:szCs w:val="20"/>
              </w:rPr>
              <w:t>Deficiency in current evidence</w:t>
            </w:r>
          </w:p>
        </w:tc>
        <w:tc>
          <w:tcPr>
            <w:tcW w:w="1354"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603C2C2" w14:textId="77777777" w:rsidR="00666A9D" w:rsidRDefault="00000000" w:rsidP="00521C89">
            <w:pPr>
              <w:spacing w:before="100" w:beforeAutospacing="1" w:after="100" w:afterAutospacing="1"/>
            </w:pPr>
            <w:r>
              <w:rPr>
                <w:b/>
                <w:bCs/>
                <w:sz w:val="20"/>
                <w:szCs w:val="20"/>
              </w:rPr>
              <w:t>Appropriate design or improvement</w:t>
            </w:r>
          </w:p>
        </w:tc>
        <w:tc>
          <w:tcPr>
            <w:tcW w:w="677"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9537754" w14:textId="77777777" w:rsidR="00666A9D" w:rsidRDefault="00000000" w:rsidP="00521C89">
            <w:pPr>
              <w:spacing w:before="100" w:beforeAutospacing="1" w:after="100" w:afterAutospacing="1"/>
            </w:pPr>
            <w:r>
              <w:rPr>
                <w:b/>
                <w:bCs/>
                <w:sz w:val="20"/>
                <w:szCs w:val="20"/>
              </w:rPr>
              <w:t>Time horizon</w:t>
            </w:r>
          </w:p>
        </w:tc>
        <w:tc>
          <w:tcPr>
            <w:tcW w:w="781"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321585BE" w14:textId="77777777" w:rsidR="00666A9D" w:rsidRDefault="00000000" w:rsidP="00521C89">
            <w:pPr>
              <w:spacing w:before="100" w:beforeAutospacing="1" w:after="100" w:afterAutospacing="1"/>
            </w:pPr>
            <w:r>
              <w:rPr>
                <w:b/>
                <w:bCs/>
                <w:sz w:val="20"/>
                <w:szCs w:val="20"/>
              </w:rPr>
              <w:t>Supporting references</w:t>
            </w:r>
          </w:p>
        </w:tc>
      </w:tr>
      <w:tr w:rsidR="00666A9D" w14:paraId="3BFC10D8"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2BA137" w14:textId="77777777" w:rsidR="00666A9D" w:rsidRDefault="00000000" w:rsidP="00521C89">
            <w:pPr>
              <w:spacing w:before="100" w:beforeAutospacing="1" w:after="100" w:afterAutospacing="1"/>
            </w:pPr>
            <w:r>
              <w:rPr>
                <w:sz w:val="20"/>
                <w:szCs w:val="20"/>
              </w:rPr>
              <w:t>Durability evaluation of deployed loci</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D466AA" w14:textId="77777777" w:rsidR="00666A9D" w:rsidRDefault="00000000" w:rsidP="00521C89">
            <w:pPr>
              <w:spacing w:before="100" w:beforeAutospacing="1" w:after="100" w:afterAutospacing="1"/>
            </w:pPr>
            <w:r>
              <w:rPr>
                <w:sz w:val="20"/>
                <w:szCs w:val="20"/>
              </w:rPr>
              <w:t>Erosion documented retrospectively; no prospective monitoring linked to cultivar deployment</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735DA0" w14:textId="77777777" w:rsidR="00666A9D" w:rsidRDefault="00000000" w:rsidP="00521C89">
            <w:pPr>
              <w:spacing w:before="100" w:beforeAutospacing="1" w:after="100" w:afterAutospacing="1"/>
            </w:pPr>
            <w:r>
              <w:rPr>
                <w:sz w:val="20"/>
                <w:szCs w:val="20"/>
              </w:rPr>
              <w:t>Multi-season, multi-site trials of near-isogenic material with concurrent pathogen population genotyping</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DBA31C"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0D36CC" w14:textId="77777777" w:rsidR="00666A9D" w:rsidRDefault="00000000" w:rsidP="00521C89">
            <w:pPr>
              <w:spacing w:before="100" w:beforeAutospacing="1" w:after="100" w:afterAutospacing="1"/>
            </w:pPr>
            <w:r w:rsidRPr="00385B5B">
              <w:rPr>
                <w:sz w:val="20"/>
                <w:szCs w:val="20"/>
                <w:lang w:val="nl-BE"/>
              </w:rPr>
              <w:t xml:space="preserve">Chinnaiah et al. (2026); Forgia et al. (2026); Macedo et al. (2024); Mondal et al. </w:t>
            </w:r>
            <w:r>
              <w:rPr>
                <w:sz w:val="20"/>
                <w:szCs w:val="20"/>
              </w:rPr>
              <w:t>(2026)</w:t>
            </w:r>
          </w:p>
        </w:tc>
      </w:tr>
      <w:tr w:rsidR="00666A9D" w14:paraId="5A397F2F"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1EF50D" w14:textId="77777777" w:rsidR="00666A9D" w:rsidRDefault="00000000" w:rsidP="00521C89">
            <w:pPr>
              <w:spacing w:before="100" w:beforeAutospacing="1" w:after="100" w:afterAutospacing="1"/>
            </w:pPr>
            <w:r>
              <w:rPr>
                <w:sz w:val="20"/>
                <w:szCs w:val="20"/>
              </w:rPr>
              <w:t>Fitness cost of edited susceptibility alleles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ABD19B" w14:textId="77777777" w:rsidR="00666A9D" w:rsidRDefault="00000000" w:rsidP="00521C89">
            <w:pPr>
              <w:spacing w:before="100" w:beforeAutospacing="1" w:after="100" w:afterAutospacing="1"/>
            </w:pPr>
            <w:r>
              <w:rPr>
                <w:sz w:val="20"/>
                <w:szCs w:val="20"/>
              </w:rPr>
              <w:t>Disease phenotype reported without competitive agronomic evaluation in most studies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951801" w14:textId="77777777" w:rsidR="00666A9D" w:rsidRDefault="00000000" w:rsidP="00521C89">
            <w:pPr>
              <w:spacing w:before="100" w:beforeAutospacing="1" w:after="100" w:afterAutospacing="1"/>
            </w:pPr>
            <w:r>
              <w:rPr>
                <w:sz w:val="20"/>
                <w:szCs w:val="20"/>
              </w:rPr>
              <w:t>Replicated field trials of edited and unedited near-isogenic lines with yield and quality endpoints across environments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C69908"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E9AA5C" w14:textId="77777777" w:rsidR="00666A9D" w:rsidRDefault="00000000" w:rsidP="00521C89">
            <w:pPr>
              <w:spacing w:before="100" w:beforeAutospacing="1" w:after="100" w:afterAutospacing="1"/>
            </w:pPr>
            <w:r w:rsidRPr="00385B5B">
              <w:rPr>
                <w:sz w:val="20"/>
                <w:szCs w:val="20"/>
                <w:lang w:val="nl-BE"/>
              </w:rPr>
              <w:t xml:space="preserve">Amoroso &amp; Andolfo (2026); R. Li et al. (2024); Wang et al. </w:t>
            </w:r>
            <w:r>
              <w:rPr>
                <w:sz w:val="20"/>
                <w:szCs w:val="20"/>
              </w:rPr>
              <w:t>(2025)</w:t>
            </w:r>
          </w:p>
        </w:tc>
      </w:tr>
      <w:tr w:rsidR="00666A9D" w14:paraId="2E3E9DFA"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D12056" w14:textId="77777777" w:rsidR="00666A9D" w:rsidRDefault="00000000" w:rsidP="00521C89">
            <w:pPr>
              <w:spacing w:before="100" w:beforeAutospacing="1" w:after="100" w:afterAutospacing="1"/>
            </w:pPr>
            <w:r>
              <w:rPr>
                <w:sz w:val="20"/>
                <w:szCs w:val="20"/>
              </w:rPr>
              <w:t>Environmental modulation of trichome-based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D28384" w14:textId="77777777" w:rsidR="00666A9D" w:rsidRDefault="00000000" w:rsidP="00521C89">
            <w:pPr>
              <w:spacing w:before="100" w:beforeAutospacing="1" w:after="100" w:afterAutospacing="1"/>
            </w:pPr>
            <w:r>
              <w:rPr>
                <w:sz w:val="20"/>
                <w:szCs w:val="20"/>
              </w:rPr>
              <w:t>Defence chemistry shown to vary with light environment, but breeding evaluation conducted under non-representative conditions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0C5DF4" w14:textId="77777777" w:rsidR="00666A9D" w:rsidRDefault="00000000" w:rsidP="00521C89">
            <w:pPr>
              <w:spacing w:before="100" w:beforeAutospacing="1" w:after="100" w:afterAutospacing="1"/>
            </w:pPr>
            <w:r>
              <w:rPr>
                <w:sz w:val="20"/>
                <w:szCs w:val="20"/>
              </w:rPr>
              <w:t>Evaluation at commercial planting densities and under protected-structure light regimes, with metabolite quantification</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7D5558"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400CFA" w14:textId="77777777" w:rsidR="00666A9D" w:rsidRDefault="00000000" w:rsidP="00521C89">
            <w:pPr>
              <w:spacing w:before="100" w:beforeAutospacing="1" w:after="100" w:afterAutospacing="1"/>
            </w:pPr>
            <w:r w:rsidRPr="00385B5B">
              <w:rPr>
                <w:sz w:val="20"/>
                <w:szCs w:val="20"/>
                <w:lang w:val="nl-BE"/>
              </w:rPr>
              <w:t xml:space="preserve">Manzur et al. (2026); Popowski et al. </w:t>
            </w:r>
            <w:r>
              <w:rPr>
                <w:sz w:val="20"/>
                <w:szCs w:val="20"/>
              </w:rPr>
              <w:t>(2025)</w:t>
            </w:r>
          </w:p>
        </w:tc>
      </w:tr>
      <w:tr w:rsidR="00666A9D" w14:paraId="4025167A"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3F3A6A" w14:textId="77777777" w:rsidR="00666A9D" w:rsidRDefault="00000000" w:rsidP="00521C89">
            <w:pPr>
              <w:spacing w:before="100" w:beforeAutospacing="1" w:after="100" w:afterAutospacing="1"/>
            </w:pPr>
            <w:r>
              <w:rPr>
                <w:sz w:val="20"/>
                <w:szCs w:val="20"/>
              </w:rPr>
              <w:t>Integration of vector and virus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B0CFFF" w14:textId="77777777" w:rsidR="00666A9D" w:rsidRDefault="00000000" w:rsidP="00521C89">
            <w:pPr>
              <w:spacing w:before="100" w:beforeAutospacing="1" w:after="100" w:afterAutospacing="1"/>
            </w:pPr>
            <w:r>
              <w:rPr>
                <w:sz w:val="20"/>
                <w:szCs w:val="20"/>
              </w:rPr>
              <w:t>Components usually evaluated separately; combined effect tested in few studies and few regions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283B28" w14:textId="77777777" w:rsidR="00666A9D" w:rsidRDefault="00000000" w:rsidP="00521C89">
            <w:pPr>
              <w:spacing w:before="100" w:beforeAutospacing="1" w:after="100" w:afterAutospacing="1"/>
            </w:pPr>
            <w:r>
              <w:rPr>
                <w:sz w:val="20"/>
                <w:szCs w:val="20"/>
              </w:rPr>
              <w:t>Factorial evaluation of vector and virus resistance in a common background across contrasting vector-virus complexes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725F59"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C0AFCE" w14:textId="77777777" w:rsidR="00666A9D" w:rsidRDefault="00000000" w:rsidP="00521C89">
            <w:pPr>
              <w:spacing w:before="100" w:beforeAutospacing="1" w:after="100" w:afterAutospacing="1"/>
            </w:pPr>
            <w:r w:rsidRPr="00385B5B">
              <w:rPr>
                <w:sz w:val="20"/>
                <w:szCs w:val="20"/>
                <w:lang w:val="nl-BE"/>
              </w:rPr>
              <w:t xml:space="preserve">Marchant et al. (2020); Prabhakar et al. </w:t>
            </w:r>
            <w:r>
              <w:rPr>
                <w:sz w:val="20"/>
                <w:szCs w:val="20"/>
              </w:rPr>
              <w:t xml:space="preserve">(2025); </w:t>
            </w:r>
            <w:proofErr w:type="spellStart"/>
            <w:r>
              <w:rPr>
                <w:sz w:val="20"/>
                <w:szCs w:val="20"/>
              </w:rPr>
              <w:t>Smeda</w:t>
            </w:r>
            <w:proofErr w:type="spellEnd"/>
            <w:r>
              <w:rPr>
                <w:sz w:val="20"/>
                <w:szCs w:val="20"/>
              </w:rPr>
              <w:t xml:space="preserve"> et al. (2023)</w:t>
            </w:r>
          </w:p>
        </w:tc>
      </w:tr>
      <w:tr w:rsidR="00666A9D" w14:paraId="0E480E7B"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DC1957" w14:textId="77777777" w:rsidR="00666A9D" w:rsidRDefault="00000000" w:rsidP="00521C89">
            <w:pPr>
              <w:spacing w:before="100" w:beforeAutospacing="1" w:after="100" w:afterAutospacing="1"/>
            </w:pPr>
            <w:r>
              <w:rPr>
                <w:sz w:val="20"/>
                <w:szCs w:val="20"/>
              </w:rPr>
              <w:t xml:space="preserve">Resistance to </w:t>
            </w:r>
            <w:r>
              <w:rPr>
                <w:i/>
                <w:iCs/>
                <w:sz w:val="20"/>
                <w:szCs w:val="20"/>
              </w:rPr>
              <w:t xml:space="preserve">Meloidogyne </w:t>
            </w:r>
            <w:proofErr w:type="spellStart"/>
            <w:r>
              <w:rPr>
                <w:i/>
                <w:iCs/>
                <w:sz w:val="20"/>
                <w:szCs w:val="20"/>
              </w:rPr>
              <w:t>enterolobii</w:t>
            </w:r>
            <w:proofErr w:type="spellEnd"/>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C50256" w14:textId="77777777" w:rsidR="00666A9D" w:rsidRDefault="00000000" w:rsidP="00521C89">
            <w:pPr>
              <w:spacing w:before="100" w:beforeAutospacing="1" w:after="100" w:afterAutospacing="1"/>
            </w:pPr>
            <w:r>
              <w:rPr>
                <w:sz w:val="20"/>
                <w:szCs w:val="20"/>
              </w:rPr>
              <w:t>Candidate genes identified; allelic variation in cultivated germplasm and field effect size unknown</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F76E05" w14:textId="77777777" w:rsidR="00666A9D" w:rsidRDefault="00000000" w:rsidP="00521C89">
            <w:pPr>
              <w:spacing w:before="100" w:beforeAutospacing="1" w:after="100" w:afterAutospacing="1"/>
            </w:pPr>
            <w:r>
              <w:rPr>
                <w:sz w:val="20"/>
                <w:szCs w:val="20"/>
              </w:rPr>
              <w:t>Association mapping in diverse germplasm with controlled inoculation, followed by validation in elite backgrounds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4461F4"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6E8098" w14:textId="77777777" w:rsidR="00666A9D" w:rsidRDefault="00000000" w:rsidP="00521C89">
            <w:pPr>
              <w:spacing w:before="100" w:beforeAutospacing="1" w:after="100" w:afterAutospacing="1"/>
            </w:pPr>
            <w:r w:rsidRPr="00385B5B">
              <w:rPr>
                <w:sz w:val="20"/>
                <w:szCs w:val="20"/>
                <w:lang w:val="nl-BE"/>
              </w:rPr>
              <w:t xml:space="preserve">J. Chen et al. (2026); Konigopal et al. </w:t>
            </w:r>
            <w:r>
              <w:rPr>
                <w:sz w:val="20"/>
                <w:szCs w:val="20"/>
              </w:rPr>
              <w:t>(2025)</w:t>
            </w:r>
          </w:p>
        </w:tc>
      </w:tr>
      <w:tr w:rsidR="00666A9D" w14:paraId="01FE0681"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602E31" w14:textId="77777777" w:rsidR="00666A9D" w:rsidRDefault="00000000" w:rsidP="00521C89">
            <w:pPr>
              <w:spacing w:before="100" w:beforeAutospacing="1" w:after="100" w:afterAutospacing="1"/>
            </w:pPr>
            <w:r>
              <w:rPr>
                <w:sz w:val="20"/>
                <w:szCs w:val="20"/>
              </w:rPr>
              <w:t>Heat-stable nematode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D8FFC4" w14:textId="77777777" w:rsidR="00666A9D" w:rsidRDefault="00000000" w:rsidP="00521C89">
            <w:pPr>
              <w:spacing w:before="100" w:beforeAutospacing="1" w:after="100" w:afterAutospacing="1"/>
            </w:pPr>
            <w:r>
              <w:rPr>
                <w:sz w:val="20"/>
                <w:szCs w:val="20"/>
              </w:rPr>
              <w:t>Heat-stable alternative reported but not validated across environments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D8E6AF" w14:textId="77777777" w:rsidR="00666A9D" w:rsidRDefault="00000000" w:rsidP="00521C89">
            <w:pPr>
              <w:spacing w:before="100" w:beforeAutospacing="1" w:after="100" w:afterAutospacing="1"/>
            </w:pPr>
            <w:r>
              <w:rPr>
                <w:sz w:val="20"/>
                <w:szCs w:val="20"/>
              </w:rPr>
              <w:t>Multi-environment evaluation across temperature regimes with quantified nematode population densities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169160"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D40CDC" w14:textId="77777777" w:rsidR="00666A9D" w:rsidRDefault="00000000" w:rsidP="00521C89">
            <w:pPr>
              <w:spacing w:before="100" w:beforeAutospacing="1" w:after="100" w:afterAutospacing="1"/>
            </w:pPr>
            <w:r w:rsidRPr="00385B5B">
              <w:rPr>
                <w:sz w:val="20"/>
                <w:szCs w:val="20"/>
                <w:lang w:val="nl-BE"/>
              </w:rPr>
              <w:t xml:space="preserve">S. Chen et al. (2025); Rico et al. </w:t>
            </w:r>
            <w:r>
              <w:rPr>
                <w:sz w:val="20"/>
                <w:szCs w:val="20"/>
              </w:rPr>
              <w:t>(2026)</w:t>
            </w:r>
          </w:p>
        </w:tc>
      </w:tr>
      <w:tr w:rsidR="00666A9D" w14:paraId="1969DBDF"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4C2748" w14:textId="77777777" w:rsidR="00666A9D" w:rsidRDefault="00000000" w:rsidP="00521C89">
            <w:pPr>
              <w:spacing w:before="100" w:beforeAutospacing="1" w:after="100" w:afterAutospacing="1"/>
            </w:pPr>
            <w:r>
              <w:rPr>
                <w:sz w:val="20"/>
                <w:szCs w:val="20"/>
              </w:rPr>
              <w:t>Functional annotation of pangenome variation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8BB346" w14:textId="77777777" w:rsidR="00666A9D" w:rsidRDefault="00000000" w:rsidP="00521C89">
            <w:pPr>
              <w:spacing w:before="100" w:beforeAutospacing="1" w:after="100" w:afterAutospacing="1"/>
            </w:pPr>
            <w:r>
              <w:rPr>
                <w:sz w:val="20"/>
                <w:szCs w:val="20"/>
              </w:rPr>
              <w:t>Structural variants catalogued at scale; functional consequences largely unvalidated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696528" w14:textId="77777777" w:rsidR="00666A9D" w:rsidRDefault="00000000" w:rsidP="00521C89">
            <w:pPr>
              <w:spacing w:before="100" w:beforeAutospacing="1" w:after="100" w:afterAutospacing="1"/>
            </w:pPr>
            <w:r>
              <w:rPr>
                <w:sz w:val="20"/>
                <w:szCs w:val="20"/>
              </w:rPr>
              <w:t>Systematic functional testing of resistance-region variants using editing and complementation</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5A66D4" w14:textId="77777777" w:rsidR="00666A9D" w:rsidRDefault="00000000" w:rsidP="00521C89">
            <w:pPr>
              <w:spacing w:before="100" w:beforeAutospacing="1" w:after="100" w:afterAutospacing="1"/>
            </w:pPr>
            <w:r>
              <w:rPr>
                <w:sz w:val="20"/>
                <w:szCs w:val="20"/>
              </w:rPr>
              <w:t>Longer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27AECD" w14:textId="77777777" w:rsidR="00666A9D" w:rsidRDefault="00000000" w:rsidP="00521C89">
            <w:pPr>
              <w:spacing w:before="100" w:beforeAutospacing="1" w:after="100" w:afterAutospacing="1"/>
            </w:pPr>
            <w:r w:rsidRPr="00385B5B">
              <w:rPr>
                <w:sz w:val="20"/>
                <w:szCs w:val="20"/>
                <w:lang w:val="nl-BE"/>
              </w:rPr>
              <w:t xml:space="preserve">Cochetel &amp; Cantu (2026); Shi et al. </w:t>
            </w:r>
            <w:r>
              <w:rPr>
                <w:sz w:val="20"/>
                <w:szCs w:val="20"/>
              </w:rPr>
              <w:t>(2026); Zhou et al. (2022)</w:t>
            </w:r>
          </w:p>
        </w:tc>
      </w:tr>
      <w:tr w:rsidR="00666A9D" w14:paraId="67A0805F"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24B4FC" w14:textId="77777777" w:rsidR="00666A9D" w:rsidRDefault="00000000" w:rsidP="00521C89">
            <w:pPr>
              <w:spacing w:before="100" w:beforeAutospacing="1" w:after="100" w:afterAutospacing="1"/>
            </w:pPr>
            <w:r>
              <w:rPr>
                <w:sz w:val="20"/>
                <w:szCs w:val="20"/>
              </w:rPr>
              <w:lastRenderedPageBreak/>
              <w:t>Reduction of linkage drag</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3FD926" w14:textId="77777777" w:rsidR="00666A9D" w:rsidRDefault="00000000" w:rsidP="00521C89">
            <w:pPr>
              <w:spacing w:before="100" w:beforeAutospacing="1" w:after="100" w:afterAutospacing="1"/>
            </w:pPr>
            <w:r>
              <w:rPr>
                <w:sz w:val="20"/>
                <w:szCs w:val="20"/>
              </w:rPr>
              <w:t>Introgression burden documented; methods for segment reduction not systematically compared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7A6A16" w14:textId="77777777" w:rsidR="00666A9D" w:rsidRDefault="00000000" w:rsidP="00521C89">
            <w:pPr>
              <w:spacing w:before="100" w:beforeAutospacing="1" w:after="100" w:afterAutospacing="1"/>
            </w:pPr>
            <w:r>
              <w:rPr>
                <w:sz w:val="20"/>
                <w:szCs w:val="20"/>
              </w:rPr>
              <w:t>Comparative evaluation of recombination-enhancing and precision-introgression approaches in common backgrounds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449B51" w14:textId="77777777" w:rsidR="00666A9D" w:rsidRDefault="00000000" w:rsidP="00521C89">
            <w:pPr>
              <w:spacing w:before="100" w:beforeAutospacing="1" w:after="100" w:afterAutospacing="1"/>
            </w:pPr>
            <w:r>
              <w:rPr>
                <w:sz w:val="20"/>
                <w:szCs w:val="20"/>
              </w:rPr>
              <w:t>Longer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075DA6" w14:textId="77777777" w:rsidR="00666A9D" w:rsidRDefault="00000000" w:rsidP="00521C89">
            <w:pPr>
              <w:spacing w:before="100" w:beforeAutospacing="1" w:after="100" w:afterAutospacing="1"/>
            </w:pPr>
            <w:r w:rsidRPr="00385B5B">
              <w:rPr>
                <w:sz w:val="20"/>
                <w:szCs w:val="20"/>
                <w:lang w:val="nl-BE"/>
              </w:rPr>
              <w:t xml:space="preserve">Rose et al. (2025); Xie et al. </w:t>
            </w:r>
            <w:r>
              <w:rPr>
                <w:sz w:val="20"/>
                <w:szCs w:val="20"/>
              </w:rPr>
              <w:t>(2025); Yamamoto et al. (2024)</w:t>
            </w:r>
          </w:p>
        </w:tc>
      </w:tr>
    </w:tbl>
    <w:p w14:paraId="136998E7" w14:textId="77777777" w:rsidR="00666A9D" w:rsidRDefault="00000000" w:rsidP="00521C89">
      <w:pPr>
        <w:spacing w:before="100" w:beforeAutospacing="1" w:after="100" w:afterAutospacing="1"/>
      </w:pPr>
      <w:r>
        <w:rPr>
          <w:sz w:val="18"/>
          <w:szCs w:val="18"/>
        </w:rPr>
        <w:t>Note. Time horizons are relative judgements based on the maturity of the underlying methods and the availability of materials, not on funding or regulatory timelines. Priorities are derived from the evidence appraised in this review and are not exhaustive.</w:t>
      </w:r>
    </w:p>
    <w:p w14:paraId="551B87F8" w14:textId="77777777" w:rsidR="00666A9D" w:rsidRDefault="00000000" w:rsidP="00521C89">
      <w:pPr>
        <w:pStyle w:val="Heading1"/>
        <w:spacing w:before="100" w:beforeAutospacing="1" w:after="100" w:afterAutospacing="1"/>
      </w:pPr>
      <w:r>
        <w:t>9. Future Directions</w:t>
      </w:r>
    </w:p>
    <w:p w14:paraId="1C3C1BD3" w14:textId="77777777" w:rsidR="00666A9D" w:rsidRDefault="00000000" w:rsidP="00521C89">
      <w:pPr>
        <w:spacing w:before="100" w:beforeAutospacing="1" w:after="100" w:afterAutospacing="1"/>
        <w:jc w:val="both"/>
      </w:pPr>
      <w:r>
        <w:t>The priorities set out below follow from the appraisal rather than from the availability of new technology, and they are ordered by the degree to which the current evidence is inadequate for decisions that breeders and growers must already make.</w:t>
      </w:r>
    </w:p>
    <w:p w14:paraId="49042240" w14:textId="77777777" w:rsidR="00666A9D" w:rsidRDefault="00000000" w:rsidP="00521C89">
      <w:pPr>
        <w:spacing w:before="100" w:beforeAutospacing="1" w:after="100" w:afterAutospacing="1"/>
        <w:jc w:val="both"/>
      </w:pPr>
      <w:r>
        <w:t xml:space="preserve">The most pressing need is prospective durability assessment. At present, erosion of </w:t>
      </w:r>
      <w:r>
        <w:rPr>
          <w:i/>
          <w:iCs/>
        </w:rPr>
        <w:t>Sw-5b</w:t>
      </w:r>
      <w:r>
        <w:t xml:space="preserve">, </w:t>
      </w:r>
      <w:r>
        <w:rPr>
          <w:i/>
          <w:iCs/>
        </w:rPr>
        <w:t>Tm-2²</w:t>
      </w:r>
      <w:r>
        <w:t xml:space="preserve"> and </w:t>
      </w:r>
      <w:r>
        <w:rPr>
          <w:i/>
          <w:iCs/>
        </w:rPr>
        <w:t>Ty-3</w:t>
      </w:r>
      <w:r>
        <w:t>-mediated resistance has been characterised only after it occurred and after economic damage had been sustained (</w:t>
      </w:r>
      <w:proofErr w:type="spellStart"/>
      <w:r>
        <w:t>Chinnaiah</w:t>
      </w:r>
      <w:proofErr w:type="spellEnd"/>
      <w:r>
        <w:t xml:space="preserve"> et al., 2026; Ma et al., 2026; Macedo et al., 2024; Mondal et al., 2026). The evidence is inadequate because no published design links cultivar deployment area to concurrent pathogen population monitoring, so the rate at which virulence frequencies rise under defined selection cannot be estimated. The appropriate design is a multi-season network of sites in which near-isogenic materials differing at defined resistance loci are grown under commercial conditions while the local pathogen population is sampled and genotyped at each season. Outcome measures should include virulence allele frequency, disease incidence and severity, and marketable yield, so that the epidemiological and economic consequences can be related. Such a network would allow deployment recommendations, including rotation of resistance sources, to be made on evidence rather than on inference, and would provide the first quantitative basis for comparing the durability of mechanistically distinct resistances in this crop. The scale required is regional rather than national, since pathogen populations do not respect administrative boundaries, and the timescale is a minimum of five seasons.</w:t>
      </w:r>
    </w:p>
    <w:p w14:paraId="3EA2DEB8" w14:textId="77777777" w:rsidR="00666A9D" w:rsidRDefault="00000000" w:rsidP="00521C89">
      <w:pPr>
        <w:spacing w:before="100" w:beforeAutospacing="1" w:after="100" w:afterAutospacing="1"/>
        <w:jc w:val="both"/>
      </w:pPr>
      <w:r>
        <w:t xml:space="preserve">The second priority is quantification of the agronomic cost of susceptibility-gene loss. Editing of susceptibility genes is advancing rapidly in tomato and is frequently presented as a durable alternative to receptor-mediated resistance (Amoroso &amp; Andolfo, 2026; Wang et al., 2025), yet only a minority of studies measure fitness consequences, and the study that did so examined a single gene under favourable conditions (R. Li et al., 2024). The evidence is inadequate because loss-of-function alleles in genes with basal cellular roles are expected to carry costs that appear under competition and stress rather than under optimal glasshouse conditions. The appropriate design is replicated field evaluation of edited and unedited near-isogenic lines across contrasting environments, with yield, fruit quality and stress response measured alongside the disease phenotype, and with at least two seasons of data. Candidate targets should include the </w:t>
      </w:r>
      <w:r>
        <w:rPr>
          <w:i/>
          <w:iCs/>
        </w:rPr>
        <w:t>GOLDEN2-Like</w:t>
      </w:r>
      <w:r>
        <w:t xml:space="preserve"> susceptibility factor identified for </w:t>
      </w:r>
      <w:proofErr w:type="spellStart"/>
      <w:r>
        <w:rPr>
          <w:i/>
          <w:iCs/>
        </w:rPr>
        <w:t>Bemisia</w:t>
      </w:r>
      <w:proofErr w:type="spellEnd"/>
      <w:r>
        <w:rPr>
          <w:i/>
          <w:iCs/>
        </w:rPr>
        <w:t xml:space="preserve"> </w:t>
      </w:r>
      <w:proofErr w:type="spellStart"/>
      <w:r>
        <w:rPr>
          <w:i/>
          <w:iCs/>
        </w:rPr>
        <w:t>tabaci</w:t>
      </w:r>
      <w:proofErr w:type="spellEnd"/>
      <w:r>
        <w:t>, where a photosynthetic cost is mechanistically plausible (van Kleeff et al., 2026). Without such data, the comparison between susceptibility-gene editing and conventional resistance cannot be made on net agronomic value, which is the comparison that determines adoption.</w:t>
      </w:r>
    </w:p>
    <w:p w14:paraId="09472126" w14:textId="77777777" w:rsidR="00666A9D" w:rsidRDefault="00000000" w:rsidP="00521C89">
      <w:pPr>
        <w:spacing w:before="100" w:beforeAutospacing="1" w:after="100" w:afterAutospacing="1"/>
        <w:jc w:val="both"/>
      </w:pPr>
      <w:r>
        <w:lastRenderedPageBreak/>
        <w:t xml:space="preserve">The third priority concerns the environmental contingency of insect resistance. Trichome-borne sesquiterpene content declines under the low red to far-red light ratios characteristic of dense canopies, with a measurable increase in host attractiveness to </w:t>
      </w:r>
      <w:proofErr w:type="spellStart"/>
      <w:r>
        <w:rPr>
          <w:i/>
          <w:iCs/>
        </w:rPr>
        <w:t>Phthorimaea</w:t>
      </w:r>
      <w:proofErr w:type="spellEnd"/>
      <w:r>
        <w:rPr>
          <w:i/>
          <w:iCs/>
        </w:rPr>
        <w:t xml:space="preserve"> </w:t>
      </w:r>
      <w:proofErr w:type="spellStart"/>
      <w:r>
        <w:rPr>
          <w:i/>
          <w:iCs/>
        </w:rPr>
        <w:t>absoluta</w:t>
      </w:r>
      <w:proofErr w:type="spellEnd"/>
      <w:r>
        <w:t xml:space="preserve"> (Manzur et al., 2026). The evidence is inadequate because breeding evaluations of trichome-based resistance are typically conducted under spacing and light conditions unrepresentative of commercial production. The appropriate improvement is straightforward and inexpensive: evaluation of candidate materials at commercial planting density and under representative protected-structure light regimes, with concurrent quantification of the relevant metabolites, so that the genotype-by-environment interaction can be estimated rather than assumed. Outcome measures should include both herbivore performance and metabolite concentration, since the latter provides the mechanistic link. The immediate implication for practice is that current estimates of the value of trichome-based resistance in intensive systems may be optimistic.</w:t>
      </w:r>
    </w:p>
    <w:p w14:paraId="08CF5C4A" w14:textId="77777777" w:rsidR="00666A9D" w:rsidRDefault="00000000" w:rsidP="00521C89">
      <w:pPr>
        <w:spacing w:before="100" w:beforeAutospacing="1" w:after="100" w:afterAutospacing="1"/>
        <w:jc w:val="both"/>
      </w:pPr>
      <w:r>
        <w:t xml:space="preserve">The fourth priority is the integration of vector and virus resistance within single genetic backgrounds and across contrasting virus-vector complexes. Evidence that combining the two enhances viral disease suppression exists (Prabhakar et al., 2025), and evidence that </w:t>
      </w:r>
      <w:proofErr w:type="spellStart"/>
      <w:r>
        <w:t>acylsugar</w:t>
      </w:r>
      <w:proofErr w:type="spellEnd"/>
      <w:r>
        <w:t>-mediated vector deterrence reduces virus incidence in the field exists (</w:t>
      </w:r>
      <w:proofErr w:type="spellStart"/>
      <w:r>
        <w:t>Smeda</w:t>
      </w:r>
      <w:proofErr w:type="spellEnd"/>
      <w:r>
        <w:t xml:space="preserve"> et al., 2023), but the combination has been tested in few backgrounds and few regions. The appropriate design is factorial evaluation of virus resistance, vector resistance, and their combination in a common elite background at sites representing distinct </w:t>
      </w:r>
      <w:proofErr w:type="spellStart"/>
      <w:r>
        <w:t>begomovirus</w:t>
      </w:r>
      <w:proofErr w:type="spellEnd"/>
      <w:r>
        <w:t xml:space="preserve"> species and vector biotypes. Outcome measures should include vector settling and reproduction, virus incidence over time, and yield, permitting the epidemiological contribution of vector resistance to be separated from the direct contribution of virus resistance. The policy implication is material, because vector resistance reduces reliance on insecticides whose use is increasingly constrained.</w:t>
      </w:r>
    </w:p>
    <w:p w14:paraId="1614402D" w14:textId="77777777" w:rsidR="00666A9D" w:rsidRDefault="00000000" w:rsidP="00521C89">
      <w:pPr>
        <w:spacing w:before="100" w:beforeAutospacing="1" w:after="100" w:afterAutospacing="1"/>
        <w:jc w:val="both"/>
      </w:pPr>
      <w:r>
        <w:t xml:space="preserve">The fifth priority concerns nematode resistance, where dependence on a single locus is most acute. Resistance to </w:t>
      </w:r>
      <w:r>
        <w:rPr>
          <w:i/>
          <w:iCs/>
        </w:rPr>
        <w:t xml:space="preserve">Meloidogyne </w:t>
      </w:r>
      <w:proofErr w:type="spellStart"/>
      <w:r>
        <w:rPr>
          <w:i/>
          <w:iCs/>
        </w:rPr>
        <w:t>enterolobii</w:t>
      </w:r>
      <w:proofErr w:type="spellEnd"/>
      <w:r>
        <w:t xml:space="preserve"> is absent from cultivated germplasm in general use, and the candidate identified through analysis of the TGA family requires characterisation of allelic variation and field effect size before it can be used (J. Chen et al., 2026). Heat-stable resistance has been reported (S. Chen et al., 2025) but not validated across environments. The appropriate programme combines association mapping in diverse germplasm using controlled inoculation with characterised nematode populations, followed by validation of the strongest candidates in elite backgrounds under field conditions across a temperature gradient. Population densities and virulence status of the nematode populations must be reported, since the host-range differences between virulent </w:t>
      </w:r>
      <w:r>
        <w:rPr>
          <w:i/>
          <w:iCs/>
        </w:rPr>
        <w:t>Meloidogyne incognita</w:t>
      </w:r>
      <w:r>
        <w:t xml:space="preserve"> populations and </w:t>
      </w:r>
      <w:r>
        <w:rPr>
          <w:i/>
          <w:iCs/>
        </w:rPr>
        <w:t xml:space="preserve">Meloidogyne </w:t>
      </w:r>
      <w:proofErr w:type="spellStart"/>
      <w:r>
        <w:rPr>
          <w:i/>
          <w:iCs/>
        </w:rPr>
        <w:t>enterolobii</w:t>
      </w:r>
      <w:proofErr w:type="spellEnd"/>
      <w:r>
        <w:t xml:space="preserve"> materially affect interpretation (</w:t>
      </w:r>
      <w:proofErr w:type="spellStart"/>
      <w:r>
        <w:t>Konigopal</w:t>
      </w:r>
      <w:proofErr w:type="spellEnd"/>
      <w:r>
        <w:t xml:space="preserve"> et al., 2025).</w:t>
      </w:r>
    </w:p>
    <w:p w14:paraId="21EEC827" w14:textId="77777777" w:rsidR="00666A9D" w:rsidRDefault="00000000" w:rsidP="00521C89">
      <w:pPr>
        <w:spacing w:before="100" w:beforeAutospacing="1" w:after="100" w:afterAutospacing="1"/>
        <w:jc w:val="both"/>
      </w:pPr>
      <w:r>
        <w:t>Two longer-term priorities follow. Functional annotation of the structural variation now catalogued in tomato pangenomes is required if those resources are to influence breeding rather than description, and this will require systematic editing and complementation of candidate variants in resistance-associated regions (</w:t>
      </w:r>
      <w:proofErr w:type="spellStart"/>
      <w:r>
        <w:t>Cochetel</w:t>
      </w:r>
      <w:proofErr w:type="spellEnd"/>
      <w:r>
        <w:t xml:space="preserve"> &amp; Cantu, 2026; Zhou et al., 2022). Reduction of linkage drag associated with wild introgressions requires comparative evaluation of recombination-enhancing and precision-introgression methods in common genetic backgrounds, since the introgression burden of elite tomato is already substantial and each additional resistance adds to it (Yamamoto et al., 2024). Both would materially advance the field, the first by converting sequence-level knowledge into functional knowledge, the second by relaxing the constraint that currently limits how many resistances can be assembled in one cultivar.</w:t>
      </w:r>
    </w:p>
    <w:p w14:paraId="608156C9" w14:textId="77777777" w:rsidR="00666A9D" w:rsidRDefault="00000000" w:rsidP="00521C89">
      <w:pPr>
        <w:pStyle w:val="Heading1"/>
        <w:spacing w:before="100" w:beforeAutospacing="1" w:after="100" w:afterAutospacing="1"/>
      </w:pPr>
      <w:r>
        <w:t>10. Conclusions</w:t>
      </w:r>
    </w:p>
    <w:p w14:paraId="5CEB35F5" w14:textId="77777777" w:rsidR="00666A9D" w:rsidRDefault="00000000" w:rsidP="00521C89">
      <w:pPr>
        <w:spacing w:before="100" w:beforeAutospacing="1" w:after="100" w:afterAutospacing="1"/>
        <w:jc w:val="both"/>
      </w:pPr>
      <w:r>
        <w:lastRenderedPageBreak/>
        <w:t>The evidence assembled here supports a qualified assessment of genomics-assisted resistance improvement in tomato. Genomic resources have unambiguously improved the discovery phase. The transition from a single reference assembly to graph-based and telomere-to-telomere pangenome representations has removed a documented analytical bias against structurally variable regions, which is precisely where resistance loci are concentrated, and high-density genotyping has improved the precision with which donor segments can be tracked and reduced. These are well-supported conclusions resting on directly verifiable evidence.</w:t>
      </w:r>
    </w:p>
    <w:p w14:paraId="4681E925" w14:textId="77777777" w:rsidR="00666A9D" w:rsidRDefault="00000000" w:rsidP="00521C89">
      <w:pPr>
        <w:spacing w:before="100" w:beforeAutospacing="1" w:after="100" w:afterAutospacing="1"/>
        <w:jc w:val="both"/>
      </w:pPr>
      <w:r>
        <w:t xml:space="preserve">The claim that these gains have translated into more durable resistance in the field is not supported by the available evidence. Across the three biotic domains examined, the resistances actually deployed in commercial tomato remain largely those </w:t>
      </w:r>
      <w:proofErr w:type="spellStart"/>
      <w:r>
        <w:t>introgressed</w:t>
      </w:r>
      <w:proofErr w:type="spellEnd"/>
      <w:r>
        <w:t xml:space="preserve"> from a small set of wild donors, and the best-documented recent developments concern their erosion rather than their replacement. Resistance breakdown has been characterised for </w:t>
      </w:r>
      <w:proofErr w:type="spellStart"/>
      <w:r>
        <w:t>begomovirus</w:t>
      </w:r>
      <w:proofErr w:type="spellEnd"/>
      <w:r>
        <w:t xml:space="preserve">, </w:t>
      </w:r>
      <w:proofErr w:type="spellStart"/>
      <w:r>
        <w:t>tobamovirus</w:t>
      </w:r>
      <w:proofErr w:type="spellEnd"/>
      <w:r>
        <w:t xml:space="preserve"> and </w:t>
      </w:r>
      <w:proofErr w:type="spellStart"/>
      <w:r>
        <w:t>orthotospovirus</w:t>
      </w:r>
      <w:proofErr w:type="spellEnd"/>
      <w:r>
        <w:t xml:space="preserve"> resistance, and the single nematode resistance locus in general use is constrained by both thermal instability and virulent nematode populations. The mechanistic route by which a resistance operates does not appear to predict its durability; the structure of deployment, in which one allele is exposed across large uniform areas, appears to be the stronger determinant. This conclusion is well supported for the viral </w:t>
      </w:r>
      <w:proofErr w:type="spellStart"/>
      <w:r>
        <w:t>pathosystems</w:t>
      </w:r>
      <w:proofErr w:type="spellEnd"/>
      <w:r>
        <w:t>, where population-level evidence exists, and is more tentative for nematodes and insects, where equivalent monitoring has not been conducted.</w:t>
      </w:r>
    </w:p>
    <w:p w14:paraId="00DA14ED" w14:textId="77777777" w:rsidR="00666A9D" w:rsidRDefault="00000000" w:rsidP="00521C89">
      <w:pPr>
        <w:spacing w:before="100" w:beforeAutospacing="1" w:after="100" w:afterAutospacing="1"/>
        <w:jc w:val="both"/>
      </w:pPr>
      <w:r>
        <w:t>The three domains differ substantially in evidentiary maturity, and this difference should inform how their respective literatures are read. Viral resistance is characterised by cloned genes, defined mechanisms and documented population responses. Resistance to fungal, oomycete and bacterial pathogens is characterised by mapped intervals, transcriptional descriptions and comparatively few resolved causal genes, with a recurring tendency for expression evidence to be treated as though it established causation. Insect resistance rests on polygenic, metabolically mediated and environmentally labile traits whose expression varies with the light environment of the growing system, and its field evidence base, while containing the clearest demonstration in this review of a host trait altering disease epidemiology, is the thinnest of the three.</w:t>
      </w:r>
    </w:p>
    <w:p w14:paraId="49616B77" w14:textId="77777777" w:rsidR="00666A9D" w:rsidRDefault="00000000" w:rsidP="00521C89">
      <w:pPr>
        <w:spacing w:before="100" w:beforeAutospacing="1" w:after="100" w:afterAutospacing="1"/>
        <w:jc w:val="both"/>
      </w:pPr>
      <w:r>
        <w:t>Susceptibility-gene editing is the most significant conceptual development of the period reviewed, because loss of a required host factor is not readily circumvented by pathogen effector modification. Its promise is mechanistic rather than demonstrated. The critical unknown is not whether resistance can be conferred, which has been shown, but what it costs agronomically under field competition and over successive seasons, and the great majority of published studies are not designed to answer that question.</w:t>
      </w:r>
    </w:p>
    <w:p w14:paraId="396483E2" w14:textId="77777777" w:rsidR="00666A9D" w:rsidRDefault="00000000" w:rsidP="00521C89">
      <w:pPr>
        <w:spacing w:before="100" w:beforeAutospacing="1" w:after="100" w:afterAutospacing="1"/>
        <w:jc w:val="both"/>
      </w:pPr>
      <w:r>
        <w:t>The broader significance of this synthesis lies in the diagnosis it supports. The limiting factor in tomato resistance improvement is no longer the identification of candidate loci, nor access to genetic diversity, nor the technical capacity to modify the genome. It is the quality and duration of evaluation, and the structural tendency of the industry to deploy single resistances uniformly across large areas. Genomic technology has addressed the first set of constraints with considerable success and has, so far, left the second largely untouched. Directing a proportion of current investment from discovery towards prospective, population-aware evaluation would be the change most likely to alter outcomes, and the evidence reviewed here indicates that such a shift is both feasible with existing materials and overdue.</w:t>
      </w:r>
    </w:p>
    <w:p w14:paraId="60243743" w14:textId="77777777" w:rsidR="00666A9D" w:rsidRDefault="00000000" w:rsidP="00521C89">
      <w:pPr>
        <w:pStyle w:val="Heading1"/>
        <w:spacing w:before="100" w:beforeAutospacing="1" w:after="100" w:afterAutospacing="1"/>
      </w:pPr>
      <w:r>
        <w:t>11. Limitations</w:t>
      </w:r>
    </w:p>
    <w:p w14:paraId="6868EE16" w14:textId="77777777" w:rsidR="00666A9D" w:rsidRDefault="00000000" w:rsidP="00521C89">
      <w:pPr>
        <w:spacing w:before="100" w:beforeAutospacing="1" w:after="100" w:afterAutospacing="1"/>
        <w:jc w:val="both"/>
      </w:pPr>
      <w:r>
        <w:lastRenderedPageBreak/>
        <w:t>This review is a narrative synthesis and carries the limitations intrinsic to that design. Study selection was purposive and iterative rather than exhaustive, and although the search strategy, sources and eligibility criteria were reported transparently and appraisal criteria were applied consistently, the possibility of selection bias in the identification of studies and of interpretive bias in their appraisal cannot be excluded. A different reviewer applying the same criteria to the same literature might weight individual studies differently, particularly where evidence was mixed. No formal risk-of-bias instrument was applied, since none of the recognised tools is suited to the heterogeneous mixture of genome assemblies, mapping studies, functional experiments and field evaluations considered here, and because many reports lacked the methodological detail such instruments require.</w:t>
      </w:r>
    </w:p>
    <w:p w14:paraId="1C82BFA6" w14:textId="77777777" w:rsidR="00666A9D" w:rsidRDefault="00000000" w:rsidP="00521C89">
      <w:pPr>
        <w:spacing w:before="100" w:beforeAutospacing="1" w:after="100" w:afterAutospacing="1"/>
        <w:jc w:val="both"/>
      </w:pPr>
      <w:r>
        <w:t>Access to subscription databases was not available during preparation. Web of Science Core Collection, Scopus and the principal agricultural abstracting services were not searched, and their absence is likely to have reduced coverage of applied agronomic literature, regional breeding reports and older conference-derived material more than it reduced coverage of molecular studies, which are well represented in the biomedical indexes that were accessible. Restriction to English will have compounded this, since much applied tomato breeding work from the largest producing countries is published in other languages. The evidence base assembled here is therefore likely to over-represent molecular and mechanistic work relative to applied breeding practice.</w:t>
      </w:r>
    </w:p>
    <w:p w14:paraId="5EFF0E3B" w14:textId="77777777" w:rsidR="00666A9D" w:rsidRDefault="00000000" w:rsidP="00521C89">
      <w:pPr>
        <w:spacing w:before="100" w:beforeAutospacing="1" w:after="100" w:afterAutospacing="1"/>
        <w:jc w:val="both"/>
      </w:pPr>
      <w:r>
        <w:t>Heterogeneity among the included studies was substantial and precluded any quantitative synthesis. Study designs ranged from computational assembly analyses through controlled inoculation experiments to multi-site field evaluations, and outcome measures included disease severity scores, virus titre, nematode reproduction factors, insect development parameters, metabolite concentrations and yield, with no common scale. Effect sizes were therefore compared qualitatively, and statements about the relative strength of different resistances should be read as informed judgements rather than as quantitative comparisons.</w:t>
      </w:r>
    </w:p>
    <w:p w14:paraId="79D1DFD9" w14:textId="77777777" w:rsidR="00666A9D" w:rsidRDefault="00000000" w:rsidP="00521C89">
      <w:pPr>
        <w:spacing w:before="100" w:beforeAutospacing="1" w:after="100" w:afterAutospacing="1"/>
        <w:jc w:val="both"/>
      </w:pPr>
      <w:r>
        <w:t>Geographical representation among the included studies is uneven, with concentration in a limited number of research-intensive countries and comparatively sparse representation of tropical smallholder production systems, where the disease and pest pressures examined are frequently most severe. Publication bias is a plausible concern throughout, since studies reporting effective resistance or successful editing are more likely to be published than those reporting failure, and this asymmetry would tend to inflate the apparent efficacy of the approaches reviewed. The field is developing rapidly, particularly in genome editing and pangenome analysis, and conclusions drawn about the current state of these areas will date more quickly than conclusions about resistance durability. Long-term evidence is scarce across all three biotic domains, and evaluation horizons in most included studies were one or two seasons, which is inadequate for the durability questions that are central to this review.</w:t>
      </w:r>
    </w:p>
    <w:p w14:paraId="03856FB0" w14:textId="77777777" w:rsidR="00CB2C70" w:rsidRPr="00CB2C70" w:rsidRDefault="00CB2C70" w:rsidP="00CB2C70">
      <w:pPr>
        <w:rPr>
          <w:rFonts w:eastAsia="Calibri"/>
          <w:b/>
          <w:sz w:val="22"/>
          <w:szCs w:val="22"/>
          <w:lang w:val="en-US" w:eastAsia="en-US"/>
        </w:rPr>
      </w:pPr>
      <w:r w:rsidRPr="00CB2C70">
        <w:rPr>
          <w:rFonts w:eastAsia="Calibri"/>
          <w:b/>
          <w:sz w:val="22"/>
          <w:szCs w:val="22"/>
          <w:lang w:val="en-US" w:eastAsia="en-US"/>
        </w:rPr>
        <w:t>Declaration of AI Use</w:t>
      </w:r>
    </w:p>
    <w:p w14:paraId="311A5D20" w14:textId="77777777" w:rsidR="00CB2C70" w:rsidRPr="00CB2C70" w:rsidRDefault="00CB2C70" w:rsidP="00CB2C70">
      <w:pPr>
        <w:rPr>
          <w:rFonts w:eastAsia="Calibri"/>
          <w:sz w:val="22"/>
          <w:szCs w:val="22"/>
          <w:lang w:val="en-US" w:eastAsia="en-US"/>
        </w:rPr>
      </w:pPr>
    </w:p>
    <w:p w14:paraId="5B735237" w14:textId="77777777" w:rsidR="00CB2C70" w:rsidRPr="00CB2C70" w:rsidRDefault="00CB2C70" w:rsidP="00CB2C70">
      <w:pPr>
        <w:jc w:val="both"/>
        <w:rPr>
          <w:rFonts w:eastAsia="Calibri"/>
          <w:sz w:val="22"/>
          <w:szCs w:val="22"/>
          <w:lang w:val="en-US" w:eastAsia="en-US"/>
        </w:rPr>
      </w:pPr>
      <w:r w:rsidRPr="00CB2C70">
        <w:rPr>
          <w:rFonts w:eastAsia="Calibri"/>
          <w:sz w:val="22"/>
          <w:szCs w:val="22"/>
          <w:lang w:val="en-US"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225EDA8" w14:textId="77777777" w:rsidR="00CB2C70" w:rsidRPr="00CB2C70" w:rsidRDefault="00CB2C70" w:rsidP="00CB2C70">
      <w:pPr>
        <w:jc w:val="both"/>
        <w:rPr>
          <w:rFonts w:eastAsia="Calibri"/>
          <w:sz w:val="22"/>
          <w:szCs w:val="22"/>
          <w:lang w:val="en-US" w:eastAsia="en-US"/>
        </w:rPr>
      </w:pPr>
    </w:p>
    <w:p w14:paraId="341B3287" w14:textId="77777777" w:rsidR="00CB2C70" w:rsidRPr="00CB2C70" w:rsidRDefault="00CB2C70" w:rsidP="00CB2C70">
      <w:pPr>
        <w:jc w:val="both"/>
        <w:rPr>
          <w:rFonts w:eastAsia="Calibri"/>
          <w:sz w:val="22"/>
          <w:szCs w:val="22"/>
          <w:lang w:val="en-US" w:eastAsia="en-US"/>
        </w:rPr>
      </w:pPr>
    </w:p>
    <w:p w14:paraId="126E3F7C" w14:textId="77777777" w:rsidR="00CB2C70" w:rsidRPr="00CB2C70" w:rsidRDefault="00CB2C70" w:rsidP="00CB2C70">
      <w:pPr>
        <w:spacing w:after="200" w:line="276" w:lineRule="auto"/>
        <w:rPr>
          <w:rFonts w:ascii="Cambria" w:hAnsi="Cambria" w:cs="Arial"/>
          <w:b/>
          <w:bCs/>
          <w:sz w:val="22"/>
          <w:szCs w:val="22"/>
        </w:rPr>
      </w:pPr>
      <w:r w:rsidRPr="00CB2C70">
        <w:rPr>
          <w:rFonts w:ascii="Cambria" w:hAnsi="Cambria" w:cs="Arial"/>
          <w:b/>
          <w:bCs/>
          <w:sz w:val="22"/>
          <w:szCs w:val="22"/>
        </w:rPr>
        <w:t>COMPETING INTERESTS DISCLAIMER:</w:t>
      </w:r>
    </w:p>
    <w:p w14:paraId="2A8634BE" w14:textId="77777777" w:rsidR="00CB2C70" w:rsidRPr="00CB2C70" w:rsidRDefault="00CB2C70" w:rsidP="00CB2C70">
      <w:pPr>
        <w:spacing w:after="200" w:line="276" w:lineRule="auto"/>
        <w:rPr>
          <w:rFonts w:ascii="Cambria" w:hAnsi="Cambria"/>
          <w:sz w:val="22"/>
          <w:szCs w:val="22"/>
        </w:rPr>
      </w:pPr>
      <w:r w:rsidRPr="00CB2C70">
        <w:rPr>
          <w:rFonts w:ascii="Cambria" w:hAnsi="Cambria" w:cs="Arial"/>
          <w:sz w:val="22"/>
          <w:szCs w:val="22"/>
        </w:rPr>
        <w:t>Authors have declared that they have no known competing financial interests OR non-financial interests OR personal relationships that could have appeared to influence the work reported in this paper.</w:t>
      </w:r>
    </w:p>
    <w:p w14:paraId="79A21571" w14:textId="77777777" w:rsidR="00CB2C70" w:rsidRDefault="00CB2C70" w:rsidP="00521C89">
      <w:pPr>
        <w:spacing w:before="100" w:beforeAutospacing="1" w:after="100" w:afterAutospacing="1"/>
        <w:jc w:val="both"/>
      </w:pPr>
    </w:p>
    <w:p w14:paraId="5A1D87A3" w14:textId="77777777" w:rsidR="00CB2C70" w:rsidRDefault="00CB2C70" w:rsidP="00521C89">
      <w:pPr>
        <w:spacing w:before="100" w:beforeAutospacing="1" w:after="100" w:afterAutospacing="1"/>
        <w:jc w:val="both"/>
      </w:pPr>
    </w:p>
    <w:p w14:paraId="39E94E29" w14:textId="77777777" w:rsidR="00666A9D" w:rsidRDefault="00000000" w:rsidP="00521C89">
      <w:pPr>
        <w:pStyle w:val="Heading1"/>
        <w:spacing w:before="100" w:beforeAutospacing="1" w:after="100" w:afterAutospacing="1"/>
      </w:pPr>
      <w:r>
        <w:t>References</w:t>
      </w:r>
    </w:p>
    <w:p w14:paraId="229D47C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Abbaszadeh, K., </w:t>
      </w:r>
      <w:proofErr w:type="spellStart"/>
      <w:r w:rsidRPr="00385B5B">
        <w:rPr>
          <w:lang w:val="en-US" w:eastAsia="en-US"/>
        </w:rPr>
        <w:t>Shirzadian</w:t>
      </w:r>
      <w:proofErr w:type="spellEnd"/>
      <w:r w:rsidRPr="00385B5B">
        <w:rPr>
          <w:lang w:val="en-US" w:eastAsia="en-US"/>
        </w:rPr>
        <w:t xml:space="preserve">-Khorramabad, R., Sohani, M.-M., &amp; </w:t>
      </w:r>
      <w:proofErr w:type="spellStart"/>
      <w:r w:rsidRPr="00385B5B">
        <w:rPr>
          <w:lang w:val="en-US" w:eastAsia="en-US"/>
        </w:rPr>
        <w:t>Hajiahmadi</w:t>
      </w:r>
      <w:proofErr w:type="spellEnd"/>
      <w:r w:rsidRPr="00385B5B">
        <w:rPr>
          <w:lang w:val="en-US" w:eastAsia="en-US"/>
        </w:rPr>
        <w:t>, Z. (2026). Expression of dual Cry1Ab and Cry1Ac genes under regulation of MPI promoter enhances resistance to tomato fruit borer (</w:t>
      </w:r>
      <w:r w:rsidRPr="00385B5B">
        <w:rPr>
          <w:i/>
          <w:iCs/>
          <w:lang w:val="en-US" w:eastAsia="en-US"/>
        </w:rPr>
        <w:t>Helicoverpa armigera</w:t>
      </w:r>
      <w:r w:rsidRPr="00385B5B">
        <w:rPr>
          <w:lang w:val="en-US" w:eastAsia="en-US"/>
        </w:rPr>
        <w:t xml:space="preserve">) in tomato. </w:t>
      </w:r>
      <w:r w:rsidRPr="00385B5B">
        <w:rPr>
          <w:i/>
          <w:iCs/>
          <w:lang w:val="en-US" w:eastAsia="en-US"/>
        </w:rPr>
        <w:t>Molecular Biotechnology, 68</w:t>
      </w:r>
      <w:r w:rsidRPr="00385B5B">
        <w:rPr>
          <w:lang w:val="en-US" w:eastAsia="en-US"/>
        </w:rPr>
        <w:t xml:space="preserve">(4), 1987–1999. </w:t>
      </w:r>
      <w:hyperlink r:id="rId7" w:history="1">
        <w:r w:rsidRPr="00385B5B">
          <w:rPr>
            <w:color w:val="0000FF"/>
            <w:u w:val="single"/>
            <w:lang w:val="en-US" w:eastAsia="en-US"/>
          </w:rPr>
          <w:t>https://doi.org/10.1007/s12033-025-01486-6</w:t>
        </w:r>
      </w:hyperlink>
    </w:p>
    <w:p w14:paraId="06D7945C"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Acharya, N., Kumar, M., Bag, S., Torrance, T., Cloud, C., Simmons, A. M., Kumari, M., Suarez, E., &amp; McAvoy, T. (2026). Performance of tomato cultivars under natural tomato yellow leaf curl disease pressure in Georgia, U.S.A. </w:t>
      </w:r>
      <w:r w:rsidRPr="00385B5B">
        <w:rPr>
          <w:i/>
          <w:iCs/>
          <w:lang w:val="en-US" w:eastAsia="en-US"/>
        </w:rPr>
        <w:t>Plant Disease, 110</w:t>
      </w:r>
      <w:r w:rsidRPr="00385B5B">
        <w:rPr>
          <w:lang w:val="en-US" w:eastAsia="en-US"/>
        </w:rPr>
        <w:t xml:space="preserve">(5), 1662–1670. </w:t>
      </w:r>
      <w:hyperlink r:id="rId8" w:history="1">
        <w:r w:rsidRPr="00385B5B">
          <w:rPr>
            <w:color w:val="0000FF"/>
            <w:u w:val="single"/>
            <w:lang w:val="en-US" w:eastAsia="en-US"/>
          </w:rPr>
          <w:t>https://doi.org/10.1094/PDIS-03-25-0469-RE</w:t>
        </w:r>
      </w:hyperlink>
    </w:p>
    <w:p w14:paraId="17633297"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Adhikari, T. B., </w:t>
      </w:r>
      <w:proofErr w:type="spellStart"/>
      <w:r w:rsidRPr="00385B5B">
        <w:rPr>
          <w:lang w:val="en-US" w:eastAsia="en-US"/>
        </w:rPr>
        <w:t>Olukolu</w:t>
      </w:r>
      <w:proofErr w:type="spellEnd"/>
      <w:r w:rsidRPr="00385B5B">
        <w:rPr>
          <w:lang w:val="en-US" w:eastAsia="en-US"/>
        </w:rPr>
        <w:t xml:space="preserve">, B. A., Pandey, A., Philbrick, A. N., </w:t>
      </w:r>
      <w:proofErr w:type="spellStart"/>
      <w:r w:rsidRPr="00385B5B">
        <w:rPr>
          <w:lang w:val="en-US" w:eastAsia="en-US"/>
        </w:rPr>
        <w:t>Panthee</w:t>
      </w:r>
      <w:proofErr w:type="spellEnd"/>
      <w:r w:rsidRPr="00385B5B">
        <w:rPr>
          <w:lang w:val="en-US" w:eastAsia="en-US"/>
        </w:rPr>
        <w:t xml:space="preserve">, D. R., </w:t>
      </w:r>
      <w:proofErr w:type="spellStart"/>
      <w:r w:rsidRPr="00385B5B">
        <w:rPr>
          <w:lang w:val="en-US" w:eastAsia="en-US"/>
        </w:rPr>
        <w:t>Shekasteband</w:t>
      </w:r>
      <w:proofErr w:type="spellEnd"/>
      <w:r w:rsidRPr="00385B5B">
        <w:rPr>
          <w:lang w:val="en-US" w:eastAsia="en-US"/>
        </w:rPr>
        <w:t xml:space="preserve">, R., Gardner, R. G., Dean, R. A., &amp; </w:t>
      </w:r>
      <w:proofErr w:type="spellStart"/>
      <w:r w:rsidRPr="00385B5B">
        <w:rPr>
          <w:lang w:val="en-US" w:eastAsia="en-US"/>
        </w:rPr>
        <w:t>Louws</w:t>
      </w:r>
      <w:proofErr w:type="spellEnd"/>
      <w:r w:rsidRPr="00385B5B">
        <w:rPr>
          <w:lang w:val="en-US" w:eastAsia="en-US"/>
        </w:rPr>
        <w:t xml:space="preserve">, F. J. (2025). Genome-wide association study identifies quantitative trait loci associated with resistance to </w:t>
      </w:r>
      <w:r w:rsidRPr="00385B5B">
        <w:rPr>
          <w:i/>
          <w:iCs/>
          <w:lang w:val="en-US" w:eastAsia="en-US"/>
        </w:rPr>
        <w:t xml:space="preserve">Verticillium </w:t>
      </w:r>
      <w:proofErr w:type="spellStart"/>
      <w:r w:rsidRPr="00385B5B">
        <w:rPr>
          <w:i/>
          <w:iCs/>
          <w:lang w:val="en-US" w:eastAsia="en-US"/>
        </w:rPr>
        <w:t>dahliae</w:t>
      </w:r>
      <w:proofErr w:type="spellEnd"/>
      <w:r w:rsidRPr="00385B5B">
        <w:rPr>
          <w:lang w:val="en-US" w:eastAsia="en-US"/>
        </w:rPr>
        <w:t xml:space="preserve"> race 3 in tomato. </w:t>
      </w:r>
      <w:r w:rsidRPr="00385B5B">
        <w:rPr>
          <w:i/>
          <w:iCs/>
          <w:lang w:val="en-US" w:eastAsia="en-US"/>
        </w:rPr>
        <w:t>The Plant Genome, 18</w:t>
      </w:r>
      <w:r w:rsidRPr="00385B5B">
        <w:rPr>
          <w:lang w:val="en-US" w:eastAsia="en-US"/>
        </w:rPr>
        <w:t xml:space="preserve">(4), e70132. </w:t>
      </w:r>
      <w:hyperlink r:id="rId9" w:history="1">
        <w:r w:rsidRPr="00385B5B">
          <w:rPr>
            <w:color w:val="0000FF"/>
            <w:u w:val="single"/>
            <w:lang w:val="en-US" w:eastAsia="en-US"/>
          </w:rPr>
          <w:t>https://doi.org/10.1002/tpg2.70132</w:t>
        </w:r>
      </w:hyperlink>
    </w:p>
    <w:p w14:paraId="539881E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Amoroso, C. G., &amp; Andolfo, G. (2026). Advances in genome editing for plant disease resistance breeding. </w:t>
      </w:r>
      <w:r w:rsidRPr="00385B5B">
        <w:rPr>
          <w:i/>
          <w:iCs/>
          <w:lang w:val="en-US" w:eastAsia="en-US"/>
        </w:rPr>
        <w:t>Plants, 15</w:t>
      </w:r>
      <w:r w:rsidRPr="00385B5B">
        <w:rPr>
          <w:lang w:val="en-US" w:eastAsia="en-US"/>
        </w:rPr>
        <w:t xml:space="preserve">(11), 1644. </w:t>
      </w:r>
      <w:hyperlink r:id="rId10" w:history="1">
        <w:r w:rsidRPr="00385B5B">
          <w:rPr>
            <w:color w:val="0000FF"/>
            <w:u w:val="single"/>
            <w:lang w:val="en-US" w:eastAsia="en-US"/>
          </w:rPr>
          <w:t>https://doi.org/10.3390/plants15111644</w:t>
        </w:r>
      </w:hyperlink>
    </w:p>
    <w:p w14:paraId="1CBD4E5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Askri, S. M. H., Li, F., Wang, J., Shahwar, D., &amp; Zhang, X. (2026). Toward sustainable control of </w:t>
      </w:r>
      <w:proofErr w:type="spellStart"/>
      <w:r w:rsidRPr="00385B5B">
        <w:rPr>
          <w:lang w:val="en-US" w:eastAsia="en-US"/>
        </w:rPr>
        <w:t>phyto</w:t>
      </w:r>
      <w:proofErr w:type="spellEnd"/>
      <w:r w:rsidRPr="00385B5B">
        <w:rPr>
          <w:lang w:val="en-US" w:eastAsia="en-US"/>
        </w:rPr>
        <w:t xml:space="preserve">-nematodes: Integrating lessons from crops to advance genetic modification in tomato. </w:t>
      </w:r>
      <w:r w:rsidRPr="00385B5B">
        <w:rPr>
          <w:i/>
          <w:iCs/>
          <w:lang w:val="en-US" w:eastAsia="en-US"/>
        </w:rPr>
        <w:t>Theoretical and Applied Genetics, 139</w:t>
      </w:r>
      <w:r w:rsidRPr="00385B5B">
        <w:rPr>
          <w:lang w:val="en-US" w:eastAsia="en-US"/>
        </w:rPr>
        <w:t xml:space="preserve">(5), 133. </w:t>
      </w:r>
      <w:hyperlink r:id="rId11" w:history="1">
        <w:r w:rsidRPr="00385B5B">
          <w:rPr>
            <w:color w:val="0000FF"/>
            <w:u w:val="single"/>
            <w:lang w:val="en-US" w:eastAsia="en-US"/>
          </w:rPr>
          <w:t>https://doi.org/10.1007/s00122-026-05252-3</w:t>
        </w:r>
      </w:hyperlink>
    </w:p>
    <w:p w14:paraId="2573595E"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Baethge</w:t>
      </w:r>
      <w:proofErr w:type="spellEnd"/>
      <w:r w:rsidRPr="00385B5B">
        <w:rPr>
          <w:lang w:val="en-US" w:eastAsia="en-US"/>
        </w:rPr>
        <w:t xml:space="preserve">, C., Goldbeck-Wood, S., &amp; Mertens, S. (2019). SANRA—a scale for the quality assessment of narrative review articles. </w:t>
      </w:r>
      <w:r w:rsidRPr="00385B5B">
        <w:rPr>
          <w:i/>
          <w:iCs/>
          <w:lang w:val="en-US" w:eastAsia="en-US"/>
        </w:rPr>
        <w:t>Research Integrity and Peer Review, 4</w:t>
      </w:r>
      <w:r w:rsidRPr="00385B5B">
        <w:rPr>
          <w:lang w:val="en-US" w:eastAsia="en-US"/>
        </w:rPr>
        <w:t xml:space="preserve">(1), 5. </w:t>
      </w:r>
      <w:hyperlink r:id="rId12" w:history="1">
        <w:r w:rsidRPr="00385B5B">
          <w:rPr>
            <w:color w:val="0000FF"/>
            <w:u w:val="single"/>
            <w:lang w:val="en-US" w:eastAsia="en-US"/>
          </w:rPr>
          <w:t>https://doi.org/10.1186/s41073-019-0064-8</w:t>
        </w:r>
      </w:hyperlink>
    </w:p>
    <w:p w14:paraId="553824FE"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Bhunchoth</w:t>
      </w:r>
      <w:proofErr w:type="spellEnd"/>
      <w:r w:rsidRPr="00385B5B">
        <w:rPr>
          <w:lang w:val="en-US" w:eastAsia="en-US"/>
        </w:rPr>
        <w:t xml:space="preserve">, A., </w:t>
      </w:r>
      <w:proofErr w:type="spellStart"/>
      <w:r w:rsidRPr="00385B5B">
        <w:rPr>
          <w:lang w:val="en-US" w:eastAsia="en-US"/>
        </w:rPr>
        <w:t>Poncheewin</w:t>
      </w:r>
      <w:proofErr w:type="spellEnd"/>
      <w:r w:rsidRPr="00385B5B">
        <w:rPr>
          <w:lang w:val="en-US" w:eastAsia="en-US"/>
        </w:rPr>
        <w:t xml:space="preserve">, W., </w:t>
      </w:r>
      <w:proofErr w:type="spellStart"/>
      <w:r w:rsidRPr="00385B5B">
        <w:rPr>
          <w:lang w:val="en-US" w:eastAsia="en-US"/>
        </w:rPr>
        <w:t>Yongsuwan</w:t>
      </w:r>
      <w:proofErr w:type="spellEnd"/>
      <w:r w:rsidRPr="00385B5B">
        <w:rPr>
          <w:lang w:val="en-US" w:eastAsia="en-US"/>
        </w:rPr>
        <w:t xml:space="preserve">, A., </w:t>
      </w:r>
      <w:proofErr w:type="spellStart"/>
      <w:r w:rsidRPr="00385B5B">
        <w:rPr>
          <w:lang w:val="en-US" w:eastAsia="en-US"/>
        </w:rPr>
        <w:t>Chiangta</w:t>
      </w:r>
      <w:proofErr w:type="spellEnd"/>
      <w:r w:rsidRPr="00385B5B">
        <w:rPr>
          <w:lang w:val="en-US" w:eastAsia="en-US"/>
        </w:rPr>
        <w:t xml:space="preserve">, J., </w:t>
      </w:r>
      <w:proofErr w:type="spellStart"/>
      <w:r w:rsidRPr="00385B5B">
        <w:rPr>
          <w:lang w:val="en-US" w:eastAsia="en-US"/>
        </w:rPr>
        <w:t>Thunnom</w:t>
      </w:r>
      <w:proofErr w:type="spellEnd"/>
      <w:r w:rsidRPr="00385B5B">
        <w:rPr>
          <w:lang w:val="en-US" w:eastAsia="en-US"/>
        </w:rPr>
        <w:t xml:space="preserve">, B., </w:t>
      </w:r>
      <w:proofErr w:type="spellStart"/>
      <w:r w:rsidRPr="00385B5B">
        <w:rPr>
          <w:lang w:val="en-US" w:eastAsia="en-US"/>
        </w:rPr>
        <w:t>Aesomnuk</w:t>
      </w:r>
      <w:proofErr w:type="spellEnd"/>
      <w:r w:rsidRPr="00385B5B">
        <w:rPr>
          <w:lang w:val="en-US" w:eastAsia="en-US"/>
        </w:rPr>
        <w:t xml:space="preserve">, W., </w:t>
      </w:r>
      <w:proofErr w:type="spellStart"/>
      <w:r w:rsidRPr="00385B5B">
        <w:rPr>
          <w:lang w:val="en-US" w:eastAsia="en-US"/>
        </w:rPr>
        <w:t>Phironrit</w:t>
      </w:r>
      <w:proofErr w:type="spellEnd"/>
      <w:r w:rsidRPr="00385B5B">
        <w:rPr>
          <w:lang w:val="en-US" w:eastAsia="en-US"/>
        </w:rPr>
        <w:t xml:space="preserve">, N., </w:t>
      </w:r>
      <w:proofErr w:type="spellStart"/>
      <w:r w:rsidRPr="00385B5B">
        <w:rPr>
          <w:lang w:val="en-US" w:eastAsia="en-US"/>
        </w:rPr>
        <w:t>Phuangrat</w:t>
      </w:r>
      <w:proofErr w:type="spellEnd"/>
      <w:r w:rsidRPr="00385B5B">
        <w:rPr>
          <w:lang w:val="en-US" w:eastAsia="en-US"/>
        </w:rPr>
        <w:t xml:space="preserve">, B., </w:t>
      </w:r>
      <w:proofErr w:type="spellStart"/>
      <w:r w:rsidRPr="00385B5B">
        <w:rPr>
          <w:lang w:val="en-US" w:eastAsia="en-US"/>
        </w:rPr>
        <w:t>Koohapitakthum</w:t>
      </w:r>
      <w:proofErr w:type="spellEnd"/>
      <w:r w:rsidRPr="00385B5B">
        <w:rPr>
          <w:lang w:val="en-US" w:eastAsia="en-US"/>
        </w:rPr>
        <w:t xml:space="preserve">, R., </w:t>
      </w:r>
      <w:proofErr w:type="spellStart"/>
      <w:r w:rsidRPr="00385B5B">
        <w:rPr>
          <w:lang w:val="en-US" w:eastAsia="en-US"/>
        </w:rPr>
        <w:t>Deeto</w:t>
      </w:r>
      <w:proofErr w:type="spellEnd"/>
      <w:r w:rsidRPr="00385B5B">
        <w:rPr>
          <w:lang w:val="en-US" w:eastAsia="en-US"/>
        </w:rPr>
        <w:t xml:space="preserve">, R., Warin, N., </w:t>
      </w:r>
      <w:proofErr w:type="spellStart"/>
      <w:r w:rsidRPr="00385B5B">
        <w:rPr>
          <w:lang w:val="en-US" w:eastAsia="en-US"/>
        </w:rPr>
        <w:t>Wanchana</w:t>
      </w:r>
      <w:proofErr w:type="spellEnd"/>
      <w:r w:rsidRPr="00385B5B">
        <w:rPr>
          <w:lang w:val="en-US" w:eastAsia="en-US"/>
        </w:rPr>
        <w:t xml:space="preserve">, S., Arikit, S., </w:t>
      </w:r>
      <w:proofErr w:type="spellStart"/>
      <w:r w:rsidRPr="00385B5B">
        <w:rPr>
          <w:lang w:val="en-US" w:eastAsia="en-US"/>
        </w:rPr>
        <w:t>Chatchawankanphanich</w:t>
      </w:r>
      <w:proofErr w:type="spellEnd"/>
      <w:r w:rsidRPr="00385B5B">
        <w:rPr>
          <w:lang w:val="en-US" w:eastAsia="en-US"/>
        </w:rPr>
        <w:t xml:space="preserve">, O., &amp; </w:t>
      </w:r>
      <w:proofErr w:type="spellStart"/>
      <w:r w:rsidRPr="00385B5B">
        <w:rPr>
          <w:lang w:val="en-US" w:eastAsia="en-US"/>
        </w:rPr>
        <w:t>Ruanjaichon</w:t>
      </w:r>
      <w:proofErr w:type="spellEnd"/>
      <w:r w:rsidRPr="00385B5B">
        <w:rPr>
          <w:lang w:val="en-US" w:eastAsia="en-US"/>
        </w:rPr>
        <w:t>, V. (2025). Genome-wide association analysis and breeding-oriented SNP marker development for bacterial wilt resistance in tomato (</w:t>
      </w:r>
      <w:r w:rsidRPr="00385B5B">
        <w:rPr>
          <w:i/>
          <w:iCs/>
          <w:lang w:val="en-US" w:eastAsia="en-US"/>
        </w:rPr>
        <w:t xml:space="preserve">Solanum </w:t>
      </w:r>
      <w:proofErr w:type="spellStart"/>
      <w:r w:rsidRPr="00385B5B">
        <w:rPr>
          <w:i/>
          <w:iCs/>
          <w:lang w:val="en-US" w:eastAsia="en-US"/>
        </w:rPr>
        <w:t>lycopersicum</w:t>
      </w:r>
      <w:proofErr w:type="spellEnd"/>
      <w:r w:rsidRPr="00385B5B">
        <w:rPr>
          <w:lang w:val="en-US" w:eastAsia="en-US"/>
        </w:rPr>
        <w:t xml:space="preserve"> L.). </w:t>
      </w:r>
      <w:r w:rsidRPr="00385B5B">
        <w:rPr>
          <w:i/>
          <w:iCs/>
          <w:lang w:val="en-US" w:eastAsia="en-US"/>
        </w:rPr>
        <w:t>Plants, 14</w:t>
      </w:r>
      <w:r w:rsidRPr="00385B5B">
        <w:rPr>
          <w:lang w:val="en-US" w:eastAsia="en-US"/>
        </w:rPr>
        <w:t xml:space="preserve">(19), 3036. </w:t>
      </w:r>
      <w:hyperlink r:id="rId13" w:history="1">
        <w:r w:rsidRPr="00385B5B">
          <w:rPr>
            <w:color w:val="0000FF"/>
            <w:u w:val="single"/>
            <w:lang w:val="en-US" w:eastAsia="en-US"/>
          </w:rPr>
          <w:t>https://doi.org/10.3390/plants14193036</w:t>
        </w:r>
      </w:hyperlink>
    </w:p>
    <w:p w14:paraId="65F006CD" w14:textId="77777777" w:rsidR="00385B5B" w:rsidRPr="00385B5B" w:rsidRDefault="00385B5B" w:rsidP="00385B5B">
      <w:pPr>
        <w:spacing w:before="100" w:beforeAutospacing="1" w:after="100" w:afterAutospacing="1"/>
        <w:ind w:left="540" w:hanging="540"/>
        <w:jc w:val="both"/>
        <w:rPr>
          <w:lang w:val="nl-BE" w:eastAsia="en-US"/>
        </w:rPr>
      </w:pPr>
      <w:r w:rsidRPr="00385B5B">
        <w:rPr>
          <w:lang w:val="en-US" w:eastAsia="en-US"/>
        </w:rPr>
        <w:lastRenderedPageBreak/>
        <w:t xml:space="preserve">Chen, J., Wang, C., Shi, M., Li, H., Liu, Y., Luo, N., &amp; Guo, W. (2026). Analysis of the TGA gene family and the role of </w:t>
      </w:r>
      <w:r w:rsidRPr="00385B5B">
        <w:rPr>
          <w:i/>
          <w:iCs/>
          <w:lang w:val="en-US" w:eastAsia="en-US"/>
        </w:rPr>
        <w:t>SlTGA03</w:t>
      </w:r>
      <w:r w:rsidRPr="00385B5B">
        <w:rPr>
          <w:lang w:val="en-US" w:eastAsia="en-US"/>
        </w:rPr>
        <w:t xml:space="preserve"> in tomato resistance to </w:t>
      </w:r>
      <w:r w:rsidRPr="00385B5B">
        <w:rPr>
          <w:i/>
          <w:iCs/>
          <w:lang w:val="en-US" w:eastAsia="en-US"/>
        </w:rPr>
        <w:t xml:space="preserve">Meloidogyne </w:t>
      </w:r>
      <w:proofErr w:type="spellStart"/>
      <w:r w:rsidRPr="00385B5B">
        <w:rPr>
          <w:i/>
          <w:iCs/>
          <w:lang w:val="en-US" w:eastAsia="en-US"/>
        </w:rPr>
        <w:t>enterolobii</w:t>
      </w:r>
      <w:proofErr w:type="spellEnd"/>
      <w:r w:rsidRPr="00385B5B">
        <w:rPr>
          <w:lang w:val="en-US" w:eastAsia="en-US"/>
        </w:rPr>
        <w:t xml:space="preserve">. </w:t>
      </w:r>
      <w:r w:rsidRPr="00385B5B">
        <w:rPr>
          <w:i/>
          <w:iCs/>
          <w:lang w:val="nl-BE" w:eastAsia="en-US"/>
        </w:rPr>
        <w:t>BMC Genomics, 27</w:t>
      </w:r>
      <w:r w:rsidRPr="00385B5B">
        <w:rPr>
          <w:lang w:val="nl-BE" w:eastAsia="en-US"/>
        </w:rPr>
        <w:t xml:space="preserve">(1), 296. </w:t>
      </w:r>
      <w:r w:rsidRPr="00385B5B">
        <w:rPr>
          <w:lang w:val="en-US" w:eastAsia="en-US"/>
        </w:rPr>
        <w:fldChar w:fldCharType="begin"/>
      </w:r>
      <w:r w:rsidRPr="00385B5B">
        <w:rPr>
          <w:lang w:val="nl-BE" w:eastAsia="en-US"/>
        </w:rPr>
        <w:instrText>HYPERLINK "https://doi.org/10.1186/s12864-026-12580-7"</w:instrText>
      </w:r>
      <w:r w:rsidRPr="00385B5B">
        <w:rPr>
          <w:lang w:val="en-US" w:eastAsia="en-US"/>
        </w:rPr>
      </w:r>
      <w:r w:rsidRPr="00385B5B">
        <w:rPr>
          <w:lang w:val="en-US" w:eastAsia="en-US"/>
        </w:rPr>
        <w:fldChar w:fldCharType="separate"/>
      </w:r>
      <w:r w:rsidRPr="00385B5B">
        <w:rPr>
          <w:color w:val="0000FF"/>
          <w:u w:val="single"/>
          <w:lang w:val="nl-BE" w:eastAsia="en-US"/>
        </w:rPr>
        <w:t>https://doi.org/10.1186/s12864-026-12580-7</w:t>
      </w:r>
      <w:r w:rsidRPr="00385B5B">
        <w:rPr>
          <w:lang w:val="en-US" w:eastAsia="en-US"/>
        </w:rPr>
        <w:fldChar w:fldCharType="end"/>
      </w:r>
    </w:p>
    <w:p w14:paraId="4441E135"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Chen, S., Zou, Y., Tong, X., &amp; Xu, C. (2025). </w:t>
      </w:r>
      <w:r w:rsidRPr="00385B5B">
        <w:rPr>
          <w:lang w:val="en-US" w:eastAsia="en-US"/>
        </w:rPr>
        <w:t xml:space="preserve">A tomato NBS-LRR gene </w:t>
      </w:r>
      <w:r w:rsidRPr="00385B5B">
        <w:rPr>
          <w:i/>
          <w:iCs/>
          <w:lang w:val="en-US" w:eastAsia="en-US"/>
        </w:rPr>
        <w:t>Mi-9</w:t>
      </w:r>
      <w:r w:rsidRPr="00385B5B">
        <w:rPr>
          <w:lang w:val="en-US" w:eastAsia="en-US"/>
        </w:rPr>
        <w:t xml:space="preserve"> confers heat-stable resistance to root-knot nematodes. </w:t>
      </w:r>
      <w:r w:rsidRPr="00385B5B">
        <w:rPr>
          <w:i/>
          <w:iCs/>
          <w:lang w:val="en-US" w:eastAsia="en-US"/>
        </w:rPr>
        <w:t>Journal of Integrative Agriculture, 24</w:t>
      </w:r>
      <w:r w:rsidRPr="00385B5B">
        <w:rPr>
          <w:lang w:val="en-US" w:eastAsia="en-US"/>
        </w:rPr>
        <w:t xml:space="preserve">(7), 2869–2875. </w:t>
      </w:r>
      <w:hyperlink r:id="rId14" w:history="1">
        <w:r w:rsidRPr="00385B5B">
          <w:rPr>
            <w:color w:val="0000FF"/>
            <w:u w:val="single"/>
            <w:lang w:val="en-US" w:eastAsia="en-US"/>
          </w:rPr>
          <w:t>https://doi.org/10.1016/j.jia.2024.07.017</w:t>
        </w:r>
      </w:hyperlink>
    </w:p>
    <w:p w14:paraId="2E6975F6"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Chinnaiah</w:t>
      </w:r>
      <w:proofErr w:type="spellEnd"/>
      <w:r w:rsidRPr="00385B5B">
        <w:rPr>
          <w:lang w:val="en-US" w:eastAsia="en-US"/>
        </w:rPr>
        <w:t xml:space="preserve">, S., </w:t>
      </w:r>
      <w:proofErr w:type="spellStart"/>
      <w:r w:rsidRPr="00385B5B">
        <w:rPr>
          <w:lang w:val="en-US" w:eastAsia="en-US"/>
        </w:rPr>
        <w:t>Netla</w:t>
      </w:r>
      <w:proofErr w:type="spellEnd"/>
      <w:r w:rsidRPr="00385B5B">
        <w:rPr>
          <w:lang w:val="en-US" w:eastAsia="en-US"/>
        </w:rPr>
        <w:t xml:space="preserve">, V. R., Arora, A. K., Srinivasan, R., &amp; </w:t>
      </w:r>
      <w:proofErr w:type="spellStart"/>
      <w:r w:rsidRPr="00385B5B">
        <w:rPr>
          <w:lang w:val="en-US" w:eastAsia="en-US"/>
        </w:rPr>
        <w:t>Gadhave</w:t>
      </w:r>
      <w:proofErr w:type="spellEnd"/>
      <w:r w:rsidRPr="00385B5B">
        <w:rPr>
          <w:lang w:val="en-US" w:eastAsia="en-US"/>
        </w:rPr>
        <w:t xml:space="preserve">, K. R. (2026). Resistance breaking: Integrated genomic and phenotypic insights into </w:t>
      </w:r>
      <w:proofErr w:type="spellStart"/>
      <w:r w:rsidRPr="00385B5B">
        <w:rPr>
          <w:i/>
          <w:iCs/>
          <w:lang w:val="en-US" w:eastAsia="en-US"/>
        </w:rPr>
        <w:t>Orthotospovirus</w:t>
      </w:r>
      <w:proofErr w:type="spellEnd"/>
      <w:r w:rsidRPr="00385B5B">
        <w:rPr>
          <w:i/>
          <w:iCs/>
          <w:lang w:val="en-US" w:eastAsia="en-US"/>
        </w:rPr>
        <w:t xml:space="preserve"> </w:t>
      </w:r>
      <w:proofErr w:type="spellStart"/>
      <w:r w:rsidRPr="00385B5B">
        <w:rPr>
          <w:i/>
          <w:iCs/>
          <w:lang w:val="en-US" w:eastAsia="en-US"/>
        </w:rPr>
        <w:t>tomatomaculae</w:t>
      </w:r>
      <w:proofErr w:type="spellEnd"/>
      <w:r w:rsidRPr="00385B5B">
        <w:rPr>
          <w:lang w:val="en-US" w:eastAsia="en-US"/>
        </w:rPr>
        <w:t xml:space="preserve"> strains overcoming </w:t>
      </w:r>
      <w:r w:rsidRPr="00385B5B">
        <w:rPr>
          <w:i/>
          <w:iCs/>
          <w:lang w:val="en-US" w:eastAsia="en-US"/>
        </w:rPr>
        <w:t>Sw-5b</w:t>
      </w:r>
      <w:r w:rsidRPr="00385B5B">
        <w:rPr>
          <w:lang w:val="en-US" w:eastAsia="en-US"/>
        </w:rPr>
        <w:t xml:space="preserve"> and </w:t>
      </w:r>
      <w:proofErr w:type="spellStart"/>
      <w:r w:rsidRPr="00385B5B">
        <w:rPr>
          <w:i/>
          <w:iCs/>
          <w:lang w:val="en-US" w:eastAsia="en-US"/>
        </w:rPr>
        <w:t>Tsw</w:t>
      </w:r>
      <w:proofErr w:type="spellEnd"/>
      <w:r w:rsidRPr="00385B5B">
        <w:rPr>
          <w:lang w:val="en-US" w:eastAsia="en-US"/>
        </w:rPr>
        <w:t xml:space="preserve"> resistance. </w:t>
      </w:r>
      <w:r w:rsidRPr="00385B5B">
        <w:rPr>
          <w:i/>
          <w:iCs/>
          <w:lang w:val="en-US" w:eastAsia="en-US"/>
        </w:rPr>
        <w:t>BMC Genomics, 27</w:t>
      </w:r>
      <w:r w:rsidRPr="00385B5B">
        <w:rPr>
          <w:lang w:val="en-US" w:eastAsia="en-US"/>
        </w:rPr>
        <w:t xml:space="preserve">(1), 350. </w:t>
      </w:r>
      <w:hyperlink r:id="rId15" w:history="1">
        <w:r w:rsidRPr="00385B5B">
          <w:rPr>
            <w:color w:val="0000FF"/>
            <w:u w:val="single"/>
            <w:lang w:val="en-US" w:eastAsia="en-US"/>
          </w:rPr>
          <w:t>https://doi.org/10.1186/s12864-026-12682-2</w:t>
        </w:r>
      </w:hyperlink>
    </w:p>
    <w:p w14:paraId="1EDF31B1"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Cochetel</w:t>
      </w:r>
      <w:proofErr w:type="spellEnd"/>
      <w:r w:rsidRPr="00385B5B">
        <w:rPr>
          <w:lang w:val="en-US" w:eastAsia="en-US"/>
        </w:rPr>
        <w:t xml:space="preserve">, N., &amp; Cantu, D. (2026). From structural pangenomes to functional </w:t>
      </w:r>
      <w:proofErr w:type="spellStart"/>
      <w:r w:rsidRPr="00385B5B">
        <w:rPr>
          <w:lang w:val="en-US" w:eastAsia="en-US"/>
        </w:rPr>
        <w:t>panomics</w:t>
      </w:r>
      <w:proofErr w:type="spellEnd"/>
      <w:r w:rsidRPr="00385B5B">
        <w:rPr>
          <w:lang w:val="en-US" w:eastAsia="en-US"/>
        </w:rPr>
        <w:t xml:space="preserve"> in plants. </w:t>
      </w:r>
      <w:r w:rsidRPr="00385B5B">
        <w:rPr>
          <w:i/>
          <w:iCs/>
          <w:lang w:val="en-US" w:eastAsia="en-US"/>
        </w:rPr>
        <w:t>Molecular Biology and Evolution, 43</w:t>
      </w:r>
      <w:r w:rsidRPr="00385B5B">
        <w:rPr>
          <w:lang w:val="en-US" w:eastAsia="en-US"/>
        </w:rPr>
        <w:t xml:space="preserve">(4), msag087. </w:t>
      </w:r>
      <w:hyperlink r:id="rId16" w:history="1">
        <w:r w:rsidRPr="00385B5B">
          <w:rPr>
            <w:color w:val="0000FF"/>
            <w:u w:val="single"/>
            <w:lang w:val="en-US" w:eastAsia="en-US"/>
          </w:rPr>
          <w:t>https://doi.org/10.1093/molbev/msag087</w:t>
        </w:r>
      </w:hyperlink>
    </w:p>
    <w:p w14:paraId="7382062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Fenn, A., Correia de Lemos, S. M., Lahaye, T., Becker, C., </w:t>
      </w:r>
      <w:proofErr w:type="spellStart"/>
      <w:r w:rsidRPr="00385B5B">
        <w:rPr>
          <w:lang w:val="en-US" w:eastAsia="en-US"/>
        </w:rPr>
        <w:t>Hückelhoven</w:t>
      </w:r>
      <w:proofErr w:type="spellEnd"/>
      <w:r w:rsidRPr="00385B5B">
        <w:rPr>
          <w:lang w:val="en-US" w:eastAsia="en-US"/>
        </w:rPr>
        <w:t xml:space="preserve">, R., &amp; Kamal, N. (2026). Shaping immunity: Genetic diversity as a key resource for crop protection. </w:t>
      </w:r>
      <w:r w:rsidRPr="00385B5B">
        <w:rPr>
          <w:i/>
          <w:iCs/>
          <w:lang w:val="en-US" w:eastAsia="en-US"/>
        </w:rPr>
        <w:t>PLOS Pathogens, 22</w:t>
      </w:r>
      <w:r w:rsidRPr="00385B5B">
        <w:rPr>
          <w:lang w:val="en-US" w:eastAsia="en-US"/>
        </w:rPr>
        <w:t xml:space="preserve">(2), e1013892. </w:t>
      </w:r>
      <w:hyperlink r:id="rId17" w:history="1">
        <w:r w:rsidRPr="00385B5B">
          <w:rPr>
            <w:color w:val="0000FF"/>
            <w:u w:val="single"/>
            <w:lang w:val="en-US" w:eastAsia="en-US"/>
          </w:rPr>
          <w:t>https://doi.org/10.1371/journal.ppat.1013892</w:t>
        </w:r>
      </w:hyperlink>
    </w:p>
    <w:p w14:paraId="5E33D2FF"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Fiesel, P. D., Parks, H. M., Last, R. L., &amp; Barry, C. S. (2022). Fruity, sticky, stinky, spicy, bitter, addictive, and deadly: Evolutionary signatures of metabolic complexity in the Solanaceae. </w:t>
      </w:r>
      <w:r w:rsidRPr="00385B5B">
        <w:rPr>
          <w:i/>
          <w:iCs/>
          <w:lang w:val="en-US" w:eastAsia="en-US"/>
        </w:rPr>
        <w:t>Natural Product Reports, 39</w:t>
      </w:r>
      <w:r w:rsidRPr="00385B5B">
        <w:rPr>
          <w:lang w:val="en-US" w:eastAsia="en-US"/>
        </w:rPr>
        <w:t xml:space="preserve">(7), 1438–1464. </w:t>
      </w:r>
      <w:hyperlink r:id="rId18" w:history="1">
        <w:r w:rsidRPr="00385B5B">
          <w:rPr>
            <w:color w:val="0000FF"/>
            <w:u w:val="single"/>
            <w:lang w:val="en-US" w:eastAsia="en-US"/>
          </w:rPr>
          <w:t>https://doi.org/10.1039/D2NP00003B</w:t>
        </w:r>
      </w:hyperlink>
    </w:p>
    <w:p w14:paraId="05327B26"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Food and Agriculture Organization of the United Nations. (2023). </w:t>
      </w:r>
      <w:r w:rsidRPr="00385B5B">
        <w:rPr>
          <w:i/>
          <w:iCs/>
          <w:lang w:val="en-US" w:eastAsia="en-US"/>
        </w:rPr>
        <w:t>Agricultural production statistics 2000–2022</w:t>
      </w:r>
      <w:r w:rsidRPr="00385B5B">
        <w:rPr>
          <w:lang w:val="en-US" w:eastAsia="en-US"/>
        </w:rPr>
        <w:t xml:space="preserve"> (FAOSTAT Analytical Briefs No. 79). </w:t>
      </w:r>
      <w:hyperlink r:id="rId19" w:history="1">
        <w:r w:rsidRPr="00385B5B">
          <w:rPr>
            <w:color w:val="0000FF"/>
            <w:u w:val="single"/>
            <w:lang w:val="en-US" w:eastAsia="en-US"/>
          </w:rPr>
          <w:t>https://doi.org/10.4060/cc9205en</w:t>
        </w:r>
      </w:hyperlink>
    </w:p>
    <w:p w14:paraId="7CAB139A"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Forgia, M., Margaria, P., </w:t>
      </w:r>
      <w:proofErr w:type="spellStart"/>
      <w:r w:rsidRPr="00385B5B">
        <w:rPr>
          <w:lang w:val="en-US" w:eastAsia="en-US"/>
        </w:rPr>
        <w:t>Mammella</w:t>
      </w:r>
      <w:proofErr w:type="spellEnd"/>
      <w:r w:rsidRPr="00385B5B">
        <w:rPr>
          <w:lang w:val="en-US" w:eastAsia="en-US"/>
        </w:rPr>
        <w:t xml:space="preserve">, M., &amp; Ciuffo, M. (2026). Characterization of Italian resistance-breaking isolates of tomato spotted wilt virus reveals double resistance-breaking strains in tomato and pepper and new insights into the occurrence of the recently reported D122G substitution in the </w:t>
      </w:r>
      <w:proofErr w:type="spellStart"/>
      <w:r w:rsidRPr="00385B5B">
        <w:rPr>
          <w:lang w:val="en-US" w:eastAsia="en-US"/>
        </w:rPr>
        <w:t>NSm</w:t>
      </w:r>
      <w:proofErr w:type="spellEnd"/>
      <w:r w:rsidRPr="00385B5B">
        <w:rPr>
          <w:lang w:val="en-US" w:eastAsia="en-US"/>
        </w:rPr>
        <w:t xml:space="preserve"> protein. </w:t>
      </w:r>
      <w:r w:rsidRPr="00385B5B">
        <w:rPr>
          <w:i/>
          <w:iCs/>
          <w:lang w:val="en-US" w:eastAsia="en-US"/>
        </w:rPr>
        <w:t>Virology, 618</w:t>
      </w:r>
      <w:r w:rsidRPr="00385B5B">
        <w:rPr>
          <w:lang w:val="en-US" w:eastAsia="en-US"/>
        </w:rPr>
        <w:t xml:space="preserve">, 110820. </w:t>
      </w:r>
      <w:hyperlink r:id="rId20" w:history="1">
        <w:r w:rsidRPr="00385B5B">
          <w:rPr>
            <w:color w:val="0000FF"/>
            <w:u w:val="single"/>
            <w:lang w:val="en-US" w:eastAsia="en-US"/>
          </w:rPr>
          <w:t>https://doi.org/10.1016/j.virol.2026.110820</w:t>
        </w:r>
      </w:hyperlink>
    </w:p>
    <w:p w14:paraId="4A1C00FE"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Gilbert, K. B., Gallardo, P., King, S. F., Morris, C. M., Hernandez, G. L., Carrington, J. C., &amp; Bart, R. S. (2025). Allelic differences within DNA polymerase delta subunit 1 correlate with </w:t>
      </w:r>
      <w:proofErr w:type="spellStart"/>
      <w:r w:rsidRPr="00385B5B">
        <w:rPr>
          <w:lang w:val="en-US" w:eastAsia="en-US"/>
        </w:rPr>
        <w:t>geminivirus</w:t>
      </w:r>
      <w:proofErr w:type="spellEnd"/>
      <w:r w:rsidRPr="00385B5B">
        <w:rPr>
          <w:lang w:val="en-US" w:eastAsia="en-US"/>
        </w:rPr>
        <w:t xml:space="preserve"> resistance in diverse plants. </w:t>
      </w:r>
      <w:r w:rsidRPr="00385B5B">
        <w:rPr>
          <w:i/>
          <w:iCs/>
          <w:lang w:val="en-US" w:eastAsia="en-US"/>
        </w:rPr>
        <w:t>G3: Genes, Genomes, Genetics, 15</w:t>
      </w:r>
      <w:r w:rsidRPr="00385B5B">
        <w:rPr>
          <w:lang w:val="en-US" w:eastAsia="en-US"/>
        </w:rPr>
        <w:t xml:space="preserve">(12), jkaf216. </w:t>
      </w:r>
      <w:hyperlink r:id="rId21" w:history="1">
        <w:r w:rsidRPr="00385B5B">
          <w:rPr>
            <w:color w:val="0000FF"/>
            <w:u w:val="single"/>
            <w:lang w:val="en-US" w:eastAsia="en-US"/>
          </w:rPr>
          <w:t>https://doi.org/10.1093/g3journal/jkaf216</w:t>
        </w:r>
      </w:hyperlink>
    </w:p>
    <w:p w14:paraId="2F5EE877"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Huang, J., Penrose, A., Ossorio Carballo, L., &amp; van der Hoorn, R. A. L. (2026). Pathogen-inspired engineering of plant protease enhances late blight resistance. </w:t>
      </w:r>
      <w:r w:rsidRPr="00385B5B">
        <w:rPr>
          <w:i/>
          <w:iCs/>
          <w:lang w:val="en-US" w:eastAsia="en-US"/>
        </w:rPr>
        <w:t>Proceedings of the National Academy of Sciences of the United States of America, 123</w:t>
      </w:r>
      <w:r w:rsidRPr="00385B5B">
        <w:rPr>
          <w:lang w:val="en-US" w:eastAsia="en-US"/>
        </w:rPr>
        <w:t xml:space="preserve">(2), e2524700123. </w:t>
      </w:r>
      <w:hyperlink r:id="rId22" w:history="1">
        <w:r w:rsidRPr="00385B5B">
          <w:rPr>
            <w:color w:val="0000FF"/>
            <w:u w:val="single"/>
            <w:lang w:val="en-US" w:eastAsia="en-US"/>
          </w:rPr>
          <w:t>https://doi.org/10.1073/pnas.2524700123</w:t>
        </w:r>
      </w:hyperlink>
    </w:p>
    <w:p w14:paraId="6708EF0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Jia, M., Ashrafi, H., &amp; </w:t>
      </w:r>
      <w:proofErr w:type="spellStart"/>
      <w:r w:rsidRPr="00385B5B">
        <w:rPr>
          <w:lang w:val="en-US" w:eastAsia="en-US"/>
        </w:rPr>
        <w:t>Foolad</w:t>
      </w:r>
      <w:proofErr w:type="spellEnd"/>
      <w:r w:rsidRPr="00385B5B">
        <w:rPr>
          <w:lang w:val="en-US" w:eastAsia="en-US"/>
        </w:rPr>
        <w:t xml:space="preserve">, M. R. (2025). Identification of late blight resistance QTLs in an interspecific RIL population of tomato via genotyping-by-sequencing. </w:t>
      </w:r>
      <w:r w:rsidRPr="00385B5B">
        <w:rPr>
          <w:i/>
          <w:iCs/>
          <w:lang w:val="en-US" w:eastAsia="en-US"/>
        </w:rPr>
        <w:t>Molecular Breeding, 45</w:t>
      </w:r>
      <w:r w:rsidRPr="00385B5B">
        <w:rPr>
          <w:lang w:val="en-US" w:eastAsia="en-US"/>
        </w:rPr>
        <w:t xml:space="preserve">(4), 43. </w:t>
      </w:r>
      <w:hyperlink r:id="rId23" w:history="1">
        <w:r w:rsidRPr="00385B5B">
          <w:rPr>
            <w:color w:val="0000FF"/>
            <w:u w:val="single"/>
            <w:lang w:val="en-US" w:eastAsia="en-US"/>
          </w:rPr>
          <w:t>https://doi.org/10.1007/s11032-025-01560-6</w:t>
        </w:r>
      </w:hyperlink>
    </w:p>
    <w:p w14:paraId="5CC7AD0C"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lastRenderedPageBreak/>
        <w:t>Kardung</w:t>
      </w:r>
      <w:proofErr w:type="spellEnd"/>
      <w:r w:rsidRPr="00385B5B">
        <w:rPr>
          <w:lang w:val="en-US" w:eastAsia="en-US"/>
        </w:rPr>
        <w:t xml:space="preserve">, M., </w:t>
      </w:r>
      <w:proofErr w:type="spellStart"/>
      <w:r w:rsidRPr="00385B5B">
        <w:rPr>
          <w:lang w:val="en-US" w:eastAsia="en-US"/>
        </w:rPr>
        <w:t>Ahado</w:t>
      </w:r>
      <w:proofErr w:type="spellEnd"/>
      <w:r w:rsidRPr="00385B5B">
        <w:rPr>
          <w:lang w:val="en-US" w:eastAsia="en-US"/>
        </w:rPr>
        <w:t xml:space="preserve">, S., Ambrogio, Y., </w:t>
      </w:r>
      <w:proofErr w:type="spellStart"/>
      <w:r w:rsidRPr="00385B5B">
        <w:rPr>
          <w:lang w:val="en-US" w:eastAsia="en-US"/>
        </w:rPr>
        <w:t>Čechura</w:t>
      </w:r>
      <w:proofErr w:type="spellEnd"/>
      <w:r w:rsidRPr="00385B5B">
        <w:rPr>
          <w:lang w:val="en-US" w:eastAsia="en-US"/>
        </w:rPr>
        <w:t xml:space="preserve">, L., </w:t>
      </w:r>
      <w:proofErr w:type="spellStart"/>
      <w:r w:rsidRPr="00385B5B">
        <w:rPr>
          <w:lang w:val="en-US" w:eastAsia="en-US"/>
        </w:rPr>
        <w:t>Cingiz</w:t>
      </w:r>
      <w:proofErr w:type="spellEnd"/>
      <w:r w:rsidRPr="00385B5B">
        <w:rPr>
          <w:lang w:val="en-US" w:eastAsia="en-US"/>
        </w:rPr>
        <w:t xml:space="preserve">, K., Eriksson, D., Godinho, J., Jin, Y., Karpouzas, D. G., Kartakis, S., Smeets Kristkova, Z., &amp; Wesseler, J. (2026). How the proposal for a new regulation for new genomic techniques affects the European Union's food system sustainability objectives. </w:t>
      </w:r>
      <w:proofErr w:type="spellStart"/>
      <w:r w:rsidRPr="00385B5B">
        <w:rPr>
          <w:i/>
          <w:iCs/>
          <w:lang w:val="en-US" w:eastAsia="en-US"/>
        </w:rPr>
        <w:t>npj</w:t>
      </w:r>
      <w:proofErr w:type="spellEnd"/>
      <w:r w:rsidRPr="00385B5B">
        <w:rPr>
          <w:i/>
          <w:iCs/>
          <w:lang w:val="en-US" w:eastAsia="en-US"/>
        </w:rPr>
        <w:t xml:space="preserve"> Sustainable Agriculture, 4</w:t>
      </w:r>
      <w:r w:rsidRPr="00385B5B">
        <w:rPr>
          <w:lang w:val="en-US" w:eastAsia="en-US"/>
        </w:rPr>
        <w:t xml:space="preserve">(1), 43. </w:t>
      </w:r>
      <w:hyperlink r:id="rId24" w:history="1">
        <w:r w:rsidRPr="00385B5B">
          <w:rPr>
            <w:color w:val="0000FF"/>
            <w:u w:val="single"/>
            <w:lang w:val="en-US" w:eastAsia="en-US"/>
          </w:rPr>
          <w:t>https://doi.org/10.1038/s44264-026-00154-9</w:t>
        </w:r>
      </w:hyperlink>
    </w:p>
    <w:p w14:paraId="734691B4"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Khojasteh, M., Darzi Ramandi, H., Taghavi, S. M., Taheri, A., Rahmanzadeh, A., Chen, G., </w:t>
      </w:r>
      <w:proofErr w:type="spellStart"/>
      <w:r w:rsidRPr="00385B5B">
        <w:rPr>
          <w:lang w:val="en-US" w:eastAsia="en-US"/>
        </w:rPr>
        <w:t>Foolad</w:t>
      </w:r>
      <w:proofErr w:type="spellEnd"/>
      <w:r w:rsidRPr="00385B5B">
        <w:rPr>
          <w:lang w:val="en-US" w:eastAsia="en-US"/>
        </w:rPr>
        <w:t xml:space="preserve">, M. R., &amp; </w:t>
      </w:r>
      <w:proofErr w:type="spellStart"/>
      <w:r w:rsidRPr="00385B5B">
        <w:rPr>
          <w:lang w:val="en-US" w:eastAsia="en-US"/>
        </w:rPr>
        <w:t>Osdaghi</w:t>
      </w:r>
      <w:proofErr w:type="spellEnd"/>
      <w:r w:rsidRPr="00385B5B">
        <w:rPr>
          <w:lang w:val="en-US" w:eastAsia="en-US"/>
        </w:rPr>
        <w:t xml:space="preserve">, E. (2024). Unraveling the genetic basis of quantitative resistance to diseases in tomato: A meta-QTL analysis and mining of transcript profiles. </w:t>
      </w:r>
      <w:r w:rsidRPr="00385B5B">
        <w:rPr>
          <w:i/>
          <w:iCs/>
          <w:lang w:val="en-US" w:eastAsia="en-US"/>
        </w:rPr>
        <w:t>Plant Cell Reports, 43</w:t>
      </w:r>
      <w:r w:rsidRPr="00385B5B">
        <w:rPr>
          <w:lang w:val="en-US" w:eastAsia="en-US"/>
        </w:rPr>
        <w:t xml:space="preserve">(7), 184. </w:t>
      </w:r>
      <w:hyperlink r:id="rId25" w:history="1">
        <w:r w:rsidRPr="00385B5B">
          <w:rPr>
            <w:color w:val="0000FF"/>
            <w:u w:val="single"/>
            <w:lang w:val="en-US" w:eastAsia="en-US"/>
          </w:rPr>
          <w:t>https://doi.org/10.1007/s00299-024-03268-x</w:t>
        </w:r>
      </w:hyperlink>
    </w:p>
    <w:p w14:paraId="75509941"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Konigopal</w:t>
      </w:r>
      <w:proofErr w:type="spellEnd"/>
      <w:r w:rsidRPr="00385B5B">
        <w:rPr>
          <w:lang w:val="en-US" w:eastAsia="en-US"/>
        </w:rPr>
        <w:t xml:space="preserve">, H., </w:t>
      </w:r>
      <w:proofErr w:type="spellStart"/>
      <w:r w:rsidRPr="00385B5B">
        <w:rPr>
          <w:lang w:val="en-US" w:eastAsia="en-US"/>
        </w:rPr>
        <w:t>Finckh</w:t>
      </w:r>
      <w:proofErr w:type="spellEnd"/>
      <w:r w:rsidRPr="00385B5B">
        <w:rPr>
          <w:lang w:val="en-US" w:eastAsia="en-US"/>
        </w:rPr>
        <w:t xml:space="preserve">, M. R., Bailly-Bechet, M., </w:t>
      </w:r>
      <w:proofErr w:type="spellStart"/>
      <w:r w:rsidRPr="00385B5B">
        <w:rPr>
          <w:lang w:val="en-US" w:eastAsia="en-US"/>
        </w:rPr>
        <w:t>Danchin</w:t>
      </w:r>
      <w:proofErr w:type="spellEnd"/>
      <w:r w:rsidRPr="00385B5B">
        <w:rPr>
          <w:lang w:val="en-US" w:eastAsia="en-US"/>
        </w:rPr>
        <w:t xml:space="preserve">, E. G. J., &amp; </w:t>
      </w:r>
      <w:proofErr w:type="spellStart"/>
      <w:r w:rsidRPr="00385B5B">
        <w:rPr>
          <w:lang w:val="en-US" w:eastAsia="en-US"/>
        </w:rPr>
        <w:t>Kiewnick</w:t>
      </w:r>
      <w:proofErr w:type="spellEnd"/>
      <w:r w:rsidRPr="00385B5B">
        <w:rPr>
          <w:lang w:val="en-US" w:eastAsia="en-US"/>
        </w:rPr>
        <w:t xml:space="preserve">, S. (2025). Intrinsic host range of the root-knot nematode </w:t>
      </w:r>
      <w:r w:rsidRPr="00385B5B">
        <w:rPr>
          <w:i/>
          <w:iCs/>
          <w:lang w:val="en-US" w:eastAsia="en-US"/>
        </w:rPr>
        <w:t xml:space="preserve">Meloidogyne </w:t>
      </w:r>
      <w:proofErr w:type="spellStart"/>
      <w:r w:rsidRPr="00385B5B">
        <w:rPr>
          <w:i/>
          <w:iCs/>
          <w:lang w:val="en-US" w:eastAsia="en-US"/>
        </w:rPr>
        <w:t>enterolobii</w:t>
      </w:r>
      <w:proofErr w:type="spellEnd"/>
      <w:r w:rsidRPr="00385B5B">
        <w:rPr>
          <w:lang w:val="en-US" w:eastAsia="en-US"/>
        </w:rPr>
        <w:t xml:space="preserve"> and virulent </w:t>
      </w:r>
      <w:r w:rsidRPr="00385B5B">
        <w:rPr>
          <w:i/>
          <w:iCs/>
          <w:lang w:val="en-US" w:eastAsia="en-US"/>
        </w:rPr>
        <w:t>M. incognita</w:t>
      </w:r>
      <w:r w:rsidRPr="00385B5B">
        <w:rPr>
          <w:lang w:val="en-US" w:eastAsia="en-US"/>
        </w:rPr>
        <w:t xml:space="preserve"> populations. </w:t>
      </w:r>
      <w:r w:rsidRPr="00385B5B">
        <w:rPr>
          <w:i/>
          <w:iCs/>
          <w:lang w:val="en-US" w:eastAsia="en-US"/>
        </w:rPr>
        <w:t>Frontiers in Plant Science, 16</w:t>
      </w:r>
      <w:r w:rsidRPr="00385B5B">
        <w:rPr>
          <w:lang w:val="en-US" w:eastAsia="en-US"/>
        </w:rPr>
        <w:t xml:space="preserve">, 1668191. </w:t>
      </w:r>
      <w:hyperlink r:id="rId26" w:history="1">
        <w:r w:rsidRPr="00385B5B">
          <w:rPr>
            <w:color w:val="0000FF"/>
            <w:u w:val="single"/>
            <w:lang w:val="en-US" w:eastAsia="en-US"/>
          </w:rPr>
          <w:t>https://doi.org/10.3389/fpls.2025.1668191</w:t>
        </w:r>
      </w:hyperlink>
    </w:p>
    <w:p w14:paraId="30143DF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Lee, A. M. J., Foong, M. Y. M., Song, B. K., &amp; Chew, F. T. (2024). Genomic selection for crop improvement in fruits and vegetables: A systematic scoping review. </w:t>
      </w:r>
      <w:r w:rsidRPr="00385B5B">
        <w:rPr>
          <w:i/>
          <w:iCs/>
          <w:lang w:val="en-US" w:eastAsia="en-US"/>
        </w:rPr>
        <w:t>Molecular Breeding, 44</w:t>
      </w:r>
      <w:r w:rsidRPr="00385B5B">
        <w:rPr>
          <w:lang w:val="en-US" w:eastAsia="en-US"/>
        </w:rPr>
        <w:t xml:space="preserve">(9), 60. </w:t>
      </w:r>
      <w:hyperlink r:id="rId27" w:history="1">
        <w:r w:rsidRPr="00385B5B">
          <w:rPr>
            <w:color w:val="0000FF"/>
            <w:u w:val="single"/>
            <w:lang w:val="en-US" w:eastAsia="en-US"/>
          </w:rPr>
          <w:t>https://doi.org/10.1007/s11032-024-01497-2</w:t>
        </w:r>
      </w:hyperlink>
    </w:p>
    <w:p w14:paraId="139AD1A1"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Leuschen-Kohl, R., &amp; Iyer-Pascuzzi, A. S. (2026). Current understanding of cell-surface immune receptors for MAMPs and plant parasites in the Solanaceae family. </w:t>
      </w:r>
      <w:r w:rsidRPr="00385B5B">
        <w:rPr>
          <w:i/>
          <w:iCs/>
          <w:lang w:val="en-US" w:eastAsia="en-US"/>
        </w:rPr>
        <w:t>Molecular Plant Pathology, 27</w:t>
      </w:r>
      <w:r w:rsidRPr="00385B5B">
        <w:rPr>
          <w:lang w:val="en-US" w:eastAsia="en-US"/>
        </w:rPr>
        <w:t xml:space="preserve">(5), e70281. </w:t>
      </w:r>
      <w:hyperlink r:id="rId28" w:history="1">
        <w:r w:rsidRPr="00385B5B">
          <w:rPr>
            <w:color w:val="0000FF"/>
            <w:u w:val="single"/>
            <w:lang w:val="en-US" w:eastAsia="en-US"/>
          </w:rPr>
          <w:t>https://doi.org/10.1111/mpp.70281</w:t>
        </w:r>
      </w:hyperlink>
    </w:p>
    <w:p w14:paraId="3568C23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Li, D., Li, H.-Y., Zhang, J.-R., Wu, Y.-J., Zhao, S.-X., Liu, S.-S., &amp; Pan, L.-L. (2023). Plant resistance against whitefly and its engineering. </w:t>
      </w:r>
      <w:r w:rsidRPr="00385B5B">
        <w:rPr>
          <w:i/>
          <w:iCs/>
          <w:lang w:val="en-US" w:eastAsia="en-US"/>
        </w:rPr>
        <w:t>Frontiers in Plant Science, 14</w:t>
      </w:r>
      <w:r w:rsidRPr="00385B5B">
        <w:rPr>
          <w:lang w:val="en-US" w:eastAsia="en-US"/>
        </w:rPr>
        <w:t xml:space="preserve">, 1232735. </w:t>
      </w:r>
      <w:hyperlink r:id="rId29" w:history="1">
        <w:r w:rsidRPr="00385B5B">
          <w:rPr>
            <w:color w:val="0000FF"/>
            <w:u w:val="single"/>
            <w:lang w:val="en-US" w:eastAsia="en-US"/>
          </w:rPr>
          <w:t>https://doi.org/10.3389/fpls.2023.1232735</w:t>
        </w:r>
      </w:hyperlink>
    </w:p>
    <w:p w14:paraId="0EF07335"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Li, M., Hao, L., Shi, X., Wang, J., Li, H., Wang, Y., </w:t>
      </w:r>
      <w:proofErr w:type="spellStart"/>
      <w:r w:rsidRPr="00385B5B">
        <w:rPr>
          <w:lang w:val="en-US" w:eastAsia="en-US"/>
        </w:rPr>
        <w:t>Khambalkar</w:t>
      </w:r>
      <w:proofErr w:type="spellEnd"/>
      <w:r w:rsidRPr="00385B5B">
        <w:rPr>
          <w:lang w:val="en-US" w:eastAsia="en-US"/>
        </w:rPr>
        <w:t xml:space="preserve">, P., Sun, X., Rima, S., Guo, X., Fang, X., &amp; Ma, L. (2026). Solanaceous vegetables and </w:t>
      </w:r>
      <w:r w:rsidRPr="00385B5B">
        <w:rPr>
          <w:i/>
          <w:iCs/>
          <w:lang w:val="en-US" w:eastAsia="en-US"/>
        </w:rPr>
        <w:t xml:space="preserve">Fusarium </w:t>
      </w:r>
      <w:proofErr w:type="spellStart"/>
      <w:r w:rsidRPr="00385B5B">
        <w:rPr>
          <w:i/>
          <w:iCs/>
          <w:lang w:val="en-US" w:eastAsia="en-US"/>
        </w:rPr>
        <w:t>oxysporum</w:t>
      </w:r>
      <w:proofErr w:type="spellEnd"/>
      <w:r w:rsidRPr="00385B5B">
        <w:rPr>
          <w:lang w:val="en-US" w:eastAsia="en-US"/>
        </w:rPr>
        <w:t xml:space="preserve"> interactions: Pathogen genomics, pathogenesis, host resistance, and emerging microbiome-driven disease management. </w:t>
      </w:r>
      <w:r w:rsidRPr="00385B5B">
        <w:rPr>
          <w:i/>
          <w:iCs/>
          <w:lang w:val="en-US" w:eastAsia="en-US"/>
        </w:rPr>
        <w:t>Horticulture Research, 13</w:t>
      </w:r>
      <w:r w:rsidRPr="00385B5B">
        <w:rPr>
          <w:lang w:val="en-US" w:eastAsia="en-US"/>
        </w:rPr>
        <w:t xml:space="preserve">(6), uhag074. </w:t>
      </w:r>
      <w:hyperlink r:id="rId30" w:history="1">
        <w:r w:rsidRPr="00385B5B">
          <w:rPr>
            <w:color w:val="0000FF"/>
            <w:u w:val="single"/>
            <w:lang w:val="en-US" w:eastAsia="en-US"/>
          </w:rPr>
          <w:t>https://doi.org/10.1093/hr/uhag074</w:t>
        </w:r>
      </w:hyperlink>
    </w:p>
    <w:p w14:paraId="398071F3"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Li, R., Cui, L., Martina, M., </w:t>
      </w:r>
      <w:proofErr w:type="spellStart"/>
      <w:r w:rsidRPr="00385B5B">
        <w:rPr>
          <w:lang w:val="en-US" w:eastAsia="en-US"/>
        </w:rPr>
        <w:t>Bracuto</w:t>
      </w:r>
      <w:proofErr w:type="spellEnd"/>
      <w:r w:rsidRPr="00385B5B">
        <w:rPr>
          <w:lang w:val="en-US" w:eastAsia="en-US"/>
        </w:rPr>
        <w:t xml:space="preserve">, V., Meijer-Dekens, F., Wolters, A.-M. A., Moglia, A., Bai, Y., &amp; </w:t>
      </w:r>
      <w:proofErr w:type="spellStart"/>
      <w:r w:rsidRPr="00385B5B">
        <w:rPr>
          <w:lang w:val="en-US" w:eastAsia="en-US"/>
        </w:rPr>
        <w:t>Acquadro</w:t>
      </w:r>
      <w:proofErr w:type="spellEnd"/>
      <w:r w:rsidRPr="00385B5B">
        <w:rPr>
          <w:lang w:val="en-US" w:eastAsia="en-US"/>
        </w:rPr>
        <w:t xml:space="preserve">, A. (2024). Less is more: CRISPR/Cas9-based mutations in </w:t>
      </w:r>
      <w:r w:rsidRPr="00385B5B">
        <w:rPr>
          <w:i/>
          <w:iCs/>
          <w:lang w:val="en-US" w:eastAsia="en-US"/>
        </w:rPr>
        <w:t>DND1</w:t>
      </w:r>
      <w:r w:rsidRPr="00385B5B">
        <w:rPr>
          <w:lang w:val="en-US" w:eastAsia="en-US"/>
        </w:rPr>
        <w:t xml:space="preserve"> gene enhance tomato resistance to powdery mildew with low fitness costs. </w:t>
      </w:r>
      <w:r w:rsidRPr="00385B5B">
        <w:rPr>
          <w:i/>
          <w:iCs/>
          <w:lang w:val="en-US" w:eastAsia="en-US"/>
        </w:rPr>
        <w:t>BMC Plant Biology, 24</w:t>
      </w:r>
      <w:r w:rsidRPr="00385B5B">
        <w:rPr>
          <w:lang w:val="en-US" w:eastAsia="en-US"/>
        </w:rPr>
        <w:t xml:space="preserve">(1), 763. </w:t>
      </w:r>
      <w:hyperlink r:id="rId31" w:history="1">
        <w:r w:rsidRPr="00385B5B">
          <w:rPr>
            <w:color w:val="0000FF"/>
            <w:u w:val="single"/>
            <w:lang w:val="en-US" w:eastAsia="en-US"/>
          </w:rPr>
          <w:t>https://doi.org/10.1186/s12870-024-05428-3</w:t>
        </w:r>
      </w:hyperlink>
    </w:p>
    <w:p w14:paraId="0FA04BE0" w14:textId="77777777" w:rsidR="00385B5B" w:rsidRPr="00385B5B" w:rsidRDefault="00385B5B" w:rsidP="00385B5B">
      <w:pPr>
        <w:spacing w:before="100" w:beforeAutospacing="1" w:after="100" w:afterAutospacing="1"/>
        <w:ind w:left="540" w:hanging="540"/>
        <w:jc w:val="both"/>
        <w:rPr>
          <w:lang w:val="nl-BE" w:eastAsia="en-US"/>
        </w:rPr>
      </w:pPr>
      <w:r w:rsidRPr="00385B5B">
        <w:rPr>
          <w:lang w:val="en-US" w:eastAsia="en-US"/>
        </w:rPr>
        <w:t xml:space="preserve">Li, X., Zhou, X., &amp; Li, F. (2025). Pelota: A double-edged sword in virus infection. </w:t>
      </w:r>
      <w:r w:rsidRPr="00385B5B">
        <w:rPr>
          <w:i/>
          <w:iCs/>
          <w:lang w:val="nl-BE" w:eastAsia="en-US"/>
        </w:rPr>
        <w:t>PLOS Pathogens, 21</w:t>
      </w:r>
      <w:r w:rsidRPr="00385B5B">
        <w:rPr>
          <w:lang w:val="nl-BE" w:eastAsia="en-US"/>
        </w:rPr>
        <w:t xml:space="preserve">(7), e1013328. </w:t>
      </w:r>
      <w:r w:rsidRPr="00385B5B">
        <w:rPr>
          <w:lang w:val="en-US" w:eastAsia="en-US"/>
        </w:rPr>
        <w:fldChar w:fldCharType="begin"/>
      </w:r>
      <w:r w:rsidRPr="00385B5B">
        <w:rPr>
          <w:lang w:val="nl-BE" w:eastAsia="en-US"/>
        </w:rPr>
        <w:instrText>HYPERLINK "https://doi.org/10.1371/journal.ppat.1013328"</w:instrText>
      </w:r>
      <w:r w:rsidRPr="00385B5B">
        <w:rPr>
          <w:lang w:val="en-US" w:eastAsia="en-US"/>
        </w:rPr>
      </w:r>
      <w:r w:rsidRPr="00385B5B">
        <w:rPr>
          <w:lang w:val="en-US" w:eastAsia="en-US"/>
        </w:rPr>
        <w:fldChar w:fldCharType="separate"/>
      </w:r>
      <w:r w:rsidRPr="00385B5B">
        <w:rPr>
          <w:color w:val="0000FF"/>
          <w:u w:val="single"/>
          <w:lang w:val="nl-BE" w:eastAsia="en-US"/>
        </w:rPr>
        <w:t>https://doi.org/10.1371/journal.ppat.1013328</w:t>
      </w:r>
      <w:r w:rsidRPr="00385B5B">
        <w:rPr>
          <w:lang w:val="en-US" w:eastAsia="en-US"/>
        </w:rPr>
        <w:fldChar w:fldCharType="end"/>
      </w:r>
    </w:p>
    <w:p w14:paraId="138B86A0"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Liu, Y., Wang, J., Zuo, C., Fan, W., Yuan, C., Zeng, J., Yu, H., Tong, Z., Sui, X., Xu, Y., Zhu, M., Tao, X., Chen, J., Kuang, H., Novikova, P. Y., &amp; Huang, C. (2025). </w:t>
      </w:r>
      <w:r w:rsidRPr="00385B5B">
        <w:rPr>
          <w:lang w:val="en-US" w:eastAsia="en-US"/>
        </w:rPr>
        <w:t xml:space="preserve">Identification of a gene conferring broad-spectrum </w:t>
      </w:r>
      <w:proofErr w:type="spellStart"/>
      <w:r w:rsidRPr="00385B5B">
        <w:rPr>
          <w:lang w:val="en-US" w:eastAsia="en-US"/>
        </w:rPr>
        <w:t>orthotospovirus</w:t>
      </w:r>
      <w:proofErr w:type="spellEnd"/>
      <w:r w:rsidRPr="00385B5B">
        <w:rPr>
          <w:lang w:val="en-US" w:eastAsia="en-US"/>
        </w:rPr>
        <w:t xml:space="preserve"> resistance in Solanaceae. </w:t>
      </w:r>
      <w:r w:rsidRPr="00385B5B">
        <w:rPr>
          <w:i/>
          <w:iCs/>
          <w:lang w:val="en-US" w:eastAsia="en-US"/>
        </w:rPr>
        <w:t>Science Advances, 11</w:t>
      </w:r>
      <w:r w:rsidRPr="00385B5B">
        <w:rPr>
          <w:lang w:val="en-US" w:eastAsia="en-US"/>
        </w:rPr>
        <w:t xml:space="preserve">(25), eadw4333. </w:t>
      </w:r>
      <w:hyperlink r:id="rId32" w:history="1">
        <w:r w:rsidRPr="00385B5B">
          <w:rPr>
            <w:color w:val="0000FF"/>
            <w:u w:val="single"/>
            <w:lang w:val="en-US" w:eastAsia="en-US"/>
          </w:rPr>
          <w:t>https://doi.org/10.1126/sciadv.adw4333</w:t>
        </w:r>
      </w:hyperlink>
    </w:p>
    <w:p w14:paraId="6AB86F14"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Lou, D., Zhang, Y., Wu, P., Xiao, H., Guo, F., Zhang, X., Wang, P., &amp; Kong, W. (2026). </w:t>
      </w:r>
      <w:r w:rsidRPr="00385B5B">
        <w:rPr>
          <w:lang w:val="en-US" w:eastAsia="en-US"/>
        </w:rPr>
        <w:t xml:space="preserve">Genome-wide association studies in horticultural crops: Decoding genetic diversity for </w:t>
      </w:r>
      <w:r w:rsidRPr="00385B5B">
        <w:rPr>
          <w:lang w:val="en-US" w:eastAsia="en-US"/>
        </w:rPr>
        <w:lastRenderedPageBreak/>
        <w:t xml:space="preserve">precision breeding. </w:t>
      </w:r>
      <w:r w:rsidRPr="00385B5B">
        <w:rPr>
          <w:i/>
          <w:iCs/>
          <w:lang w:val="en-US" w:eastAsia="en-US"/>
        </w:rPr>
        <w:t>Horticulture Research, 13</w:t>
      </w:r>
      <w:r w:rsidRPr="00385B5B">
        <w:rPr>
          <w:lang w:val="en-US" w:eastAsia="en-US"/>
        </w:rPr>
        <w:t xml:space="preserve">(6), uhag059. </w:t>
      </w:r>
      <w:hyperlink r:id="rId33" w:history="1">
        <w:r w:rsidRPr="00385B5B">
          <w:rPr>
            <w:color w:val="0000FF"/>
            <w:u w:val="single"/>
            <w:lang w:val="en-US" w:eastAsia="en-US"/>
          </w:rPr>
          <w:t>https://doi.org/10.1093/hr/uhag059</w:t>
        </w:r>
      </w:hyperlink>
    </w:p>
    <w:p w14:paraId="408A52FE"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Ma, H.-Y., Liu, Y.-J., Huan, X.-X., Liu, S.-Y., Mu, X.-Q., Zhang, L.-M., Bao, Z.-L., Tian, Y.-P., Yan, Z.-Y., &amp; Li, X.-D. (2026). Tomato brown rugose fruit virus evades </w:t>
      </w:r>
      <w:r w:rsidRPr="00385B5B">
        <w:rPr>
          <w:i/>
          <w:iCs/>
          <w:lang w:val="en-US" w:eastAsia="en-US"/>
        </w:rPr>
        <w:t>Tm-2²</w:t>
      </w:r>
      <w:r w:rsidRPr="00385B5B">
        <w:rPr>
          <w:lang w:val="en-US" w:eastAsia="en-US"/>
        </w:rPr>
        <w:t xml:space="preserve">-mediated resistance by avoiding the induction of </w:t>
      </w:r>
      <w:r w:rsidRPr="00385B5B">
        <w:rPr>
          <w:i/>
          <w:iCs/>
          <w:lang w:val="en-US" w:eastAsia="en-US"/>
        </w:rPr>
        <w:t>Tm-2²</w:t>
      </w:r>
      <w:r w:rsidRPr="00385B5B">
        <w:rPr>
          <w:lang w:val="en-US" w:eastAsia="en-US"/>
        </w:rPr>
        <w:t xml:space="preserve"> self-association. </w:t>
      </w:r>
      <w:r w:rsidRPr="00385B5B">
        <w:rPr>
          <w:i/>
          <w:iCs/>
          <w:lang w:val="en-US" w:eastAsia="en-US"/>
        </w:rPr>
        <w:t>Molecular Plant Pathology, 27</w:t>
      </w:r>
      <w:r w:rsidRPr="00385B5B">
        <w:rPr>
          <w:lang w:val="en-US" w:eastAsia="en-US"/>
        </w:rPr>
        <w:t xml:space="preserve">(3), e70243. </w:t>
      </w:r>
      <w:hyperlink r:id="rId34" w:history="1">
        <w:r w:rsidRPr="00385B5B">
          <w:rPr>
            <w:color w:val="0000FF"/>
            <w:u w:val="single"/>
            <w:lang w:val="en-US" w:eastAsia="en-US"/>
          </w:rPr>
          <w:t>https://doi.org/10.1111/mpp.70243</w:t>
        </w:r>
      </w:hyperlink>
    </w:p>
    <w:p w14:paraId="159EB65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Macedo, M. A., Melgarejo, T., Cespedes, M., Rojas, M., Lazicki, P., Turini, T., </w:t>
      </w:r>
      <w:proofErr w:type="spellStart"/>
      <w:r w:rsidRPr="00385B5B">
        <w:rPr>
          <w:lang w:val="en-US" w:eastAsia="en-US"/>
        </w:rPr>
        <w:t>Batuman</w:t>
      </w:r>
      <w:proofErr w:type="spellEnd"/>
      <w:r w:rsidRPr="00385B5B">
        <w:rPr>
          <w:lang w:val="en-US" w:eastAsia="en-US"/>
        </w:rPr>
        <w:t xml:space="preserve">, O., &amp; Gilbertson, R. (2024). An all-out assault on a dominant resistance gene: Local emergence, establishment, and spread of strains of tomato spotted wilt </w:t>
      </w:r>
      <w:proofErr w:type="spellStart"/>
      <w:r w:rsidRPr="00385B5B">
        <w:rPr>
          <w:lang w:val="en-US" w:eastAsia="en-US"/>
        </w:rPr>
        <w:t>orthotospovirus</w:t>
      </w:r>
      <w:proofErr w:type="spellEnd"/>
      <w:r w:rsidRPr="00385B5B">
        <w:rPr>
          <w:lang w:val="en-US" w:eastAsia="en-US"/>
        </w:rPr>
        <w:t xml:space="preserve"> (TSWV) that overcome </w:t>
      </w:r>
      <w:r w:rsidRPr="00385B5B">
        <w:rPr>
          <w:i/>
          <w:iCs/>
          <w:lang w:val="en-US" w:eastAsia="en-US"/>
        </w:rPr>
        <w:t>Sw-5b</w:t>
      </w:r>
      <w:r w:rsidRPr="00385B5B">
        <w:rPr>
          <w:lang w:val="en-US" w:eastAsia="en-US"/>
        </w:rPr>
        <w:t xml:space="preserve">-mediated resistance in fresh market and processing tomatoes. </w:t>
      </w:r>
      <w:r w:rsidRPr="00385B5B">
        <w:rPr>
          <w:i/>
          <w:iCs/>
          <w:lang w:val="en-US" w:eastAsia="en-US"/>
        </w:rPr>
        <w:t>PLOS ONE, 19</w:t>
      </w:r>
      <w:r w:rsidRPr="00385B5B">
        <w:rPr>
          <w:lang w:val="en-US" w:eastAsia="en-US"/>
        </w:rPr>
        <w:t xml:space="preserve">(7), e0305402. </w:t>
      </w:r>
      <w:hyperlink r:id="rId35" w:history="1">
        <w:r w:rsidRPr="00385B5B">
          <w:rPr>
            <w:color w:val="0000FF"/>
            <w:u w:val="single"/>
            <w:lang w:val="en-US" w:eastAsia="en-US"/>
          </w:rPr>
          <w:t>https://doi.org/10.1371/journal.pone.0305402</w:t>
        </w:r>
      </w:hyperlink>
    </w:p>
    <w:p w14:paraId="04C6CA55"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Majumdar, A., Babu, Y. M., Mondal, F., Sarkar, M., Mazumder, P., Pradhan, P., Kumar, R., </w:t>
      </w:r>
      <w:proofErr w:type="spellStart"/>
      <w:r w:rsidRPr="00385B5B">
        <w:rPr>
          <w:lang w:val="en-US" w:eastAsia="en-US"/>
        </w:rPr>
        <w:t>Koeda</w:t>
      </w:r>
      <w:proofErr w:type="spellEnd"/>
      <w:r w:rsidRPr="00385B5B">
        <w:rPr>
          <w:lang w:val="en-US" w:eastAsia="en-US"/>
        </w:rPr>
        <w:t xml:space="preserve">, S., &amp; Roy, A. (2026). The prospects of targeting messenger RNA surveillance factor PELOTA for developing virus resistance in plants. </w:t>
      </w:r>
      <w:r w:rsidRPr="00385B5B">
        <w:rPr>
          <w:i/>
          <w:iCs/>
          <w:lang w:val="en-US" w:eastAsia="en-US"/>
        </w:rPr>
        <w:t>Plant Molecular Biology, 116</w:t>
      </w:r>
      <w:r w:rsidRPr="00385B5B">
        <w:rPr>
          <w:lang w:val="en-US" w:eastAsia="en-US"/>
        </w:rPr>
        <w:t xml:space="preserve">(2), 36. </w:t>
      </w:r>
      <w:hyperlink r:id="rId36" w:history="1">
        <w:r w:rsidRPr="00385B5B">
          <w:rPr>
            <w:color w:val="0000FF"/>
            <w:u w:val="single"/>
            <w:lang w:val="en-US" w:eastAsia="en-US"/>
          </w:rPr>
          <w:t>https://doi.org/10.1007/s11103-026-01700-2</w:t>
        </w:r>
      </w:hyperlink>
    </w:p>
    <w:p w14:paraId="594CC95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Manzur, M. E., Dávila, C., Fernández, P. C., Cagnotti, C. L., Guala, M. E., Lastra, R. A., Thompson, S., &amp; </w:t>
      </w:r>
      <w:proofErr w:type="spellStart"/>
      <w:r w:rsidRPr="00385B5B">
        <w:rPr>
          <w:lang w:val="en-US" w:eastAsia="en-US"/>
        </w:rPr>
        <w:t>Ballaré</w:t>
      </w:r>
      <w:proofErr w:type="spellEnd"/>
      <w:r w:rsidRPr="00385B5B">
        <w:rPr>
          <w:lang w:val="en-US" w:eastAsia="en-US"/>
        </w:rPr>
        <w:t xml:space="preserve">, C. L. (2026). Low </w:t>
      </w:r>
      <w:proofErr w:type="gramStart"/>
      <w:r w:rsidRPr="00385B5B">
        <w:rPr>
          <w:lang w:val="en-US" w:eastAsia="en-US"/>
        </w:rPr>
        <w:t>red light</w:t>
      </w:r>
      <w:proofErr w:type="gramEnd"/>
      <w:r w:rsidRPr="00385B5B">
        <w:rPr>
          <w:lang w:val="en-US" w:eastAsia="en-US"/>
        </w:rPr>
        <w:t xml:space="preserve"> ratios reduce the content of major sesquiterpenes in type VI trichomes of </w:t>
      </w:r>
      <w:r w:rsidRPr="00385B5B">
        <w:rPr>
          <w:i/>
          <w:iCs/>
          <w:lang w:val="en-US" w:eastAsia="en-US"/>
        </w:rPr>
        <w:t xml:space="preserve">Solanum </w:t>
      </w:r>
      <w:proofErr w:type="spellStart"/>
      <w:r w:rsidRPr="00385B5B">
        <w:rPr>
          <w:i/>
          <w:iCs/>
          <w:lang w:val="en-US" w:eastAsia="en-US"/>
        </w:rPr>
        <w:t>habrochaites</w:t>
      </w:r>
      <w:proofErr w:type="spellEnd"/>
      <w:r w:rsidRPr="00385B5B">
        <w:rPr>
          <w:lang w:val="en-US" w:eastAsia="en-US"/>
        </w:rPr>
        <w:t xml:space="preserve"> and increase plant attractiveness to </w:t>
      </w:r>
      <w:r w:rsidRPr="00385B5B">
        <w:rPr>
          <w:i/>
          <w:iCs/>
          <w:lang w:val="en-US" w:eastAsia="en-US"/>
        </w:rPr>
        <w:t xml:space="preserve">Tuta </w:t>
      </w:r>
      <w:proofErr w:type="spellStart"/>
      <w:r w:rsidRPr="00385B5B">
        <w:rPr>
          <w:i/>
          <w:iCs/>
          <w:lang w:val="en-US" w:eastAsia="en-US"/>
        </w:rPr>
        <w:t>absoluta</w:t>
      </w:r>
      <w:proofErr w:type="spellEnd"/>
      <w:r w:rsidRPr="00385B5B">
        <w:rPr>
          <w:lang w:val="en-US" w:eastAsia="en-US"/>
        </w:rPr>
        <w:t xml:space="preserve"> females. </w:t>
      </w:r>
      <w:r w:rsidRPr="00385B5B">
        <w:rPr>
          <w:i/>
          <w:iCs/>
          <w:lang w:val="en-US" w:eastAsia="en-US"/>
        </w:rPr>
        <w:t>Annals of Botany, 137</w:t>
      </w:r>
      <w:r w:rsidRPr="00385B5B">
        <w:rPr>
          <w:lang w:val="en-US" w:eastAsia="en-US"/>
        </w:rPr>
        <w:t xml:space="preserve">(3), 805–816. </w:t>
      </w:r>
      <w:hyperlink r:id="rId37" w:history="1">
        <w:r w:rsidRPr="00385B5B">
          <w:rPr>
            <w:color w:val="0000FF"/>
            <w:u w:val="single"/>
            <w:lang w:val="en-US" w:eastAsia="en-US"/>
          </w:rPr>
          <w:t>https://doi.org/10.1093/aob/mcaf292</w:t>
        </w:r>
      </w:hyperlink>
    </w:p>
    <w:p w14:paraId="71D5CE3F"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Marchant, W. G., </w:t>
      </w:r>
      <w:proofErr w:type="spellStart"/>
      <w:r w:rsidRPr="00385B5B">
        <w:rPr>
          <w:lang w:val="en-US" w:eastAsia="en-US"/>
        </w:rPr>
        <w:t>Legarrea</w:t>
      </w:r>
      <w:proofErr w:type="spellEnd"/>
      <w:r w:rsidRPr="00385B5B">
        <w:rPr>
          <w:lang w:val="en-US" w:eastAsia="en-US"/>
        </w:rPr>
        <w:t xml:space="preserve">, S., </w:t>
      </w:r>
      <w:proofErr w:type="spellStart"/>
      <w:r w:rsidRPr="00385B5B">
        <w:rPr>
          <w:lang w:val="en-US" w:eastAsia="en-US"/>
        </w:rPr>
        <w:t>Smeda</w:t>
      </w:r>
      <w:proofErr w:type="spellEnd"/>
      <w:r w:rsidRPr="00385B5B">
        <w:rPr>
          <w:lang w:val="en-US" w:eastAsia="en-US"/>
        </w:rPr>
        <w:t xml:space="preserve">, J. R., Mutschler, M. A., &amp; Srinivasan, R. (2020). Evaluating </w:t>
      </w:r>
      <w:proofErr w:type="spellStart"/>
      <w:r w:rsidRPr="00385B5B">
        <w:rPr>
          <w:lang w:val="en-US" w:eastAsia="en-US"/>
        </w:rPr>
        <w:t>acylsugars</w:t>
      </w:r>
      <w:proofErr w:type="spellEnd"/>
      <w:r w:rsidRPr="00385B5B">
        <w:rPr>
          <w:lang w:val="en-US" w:eastAsia="en-US"/>
        </w:rPr>
        <w:t xml:space="preserve">-mediated resistance in tomato against </w:t>
      </w:r>
      <w:proofErr w:type="spellStart"/>
      <w:r w:rsidRPr="00385B5B">
        <w:rPr>
          <w:i/>
          <w:iCs/>
          <w:lang w:val="en-US" w:eastAsia="en-US"/>
        </w:rPr>
        <w:t>Bemisia</w:t>
      </w:r>
      <w:proofErr w:type="spellEnd"/>
      <w:r w:rsidRPr="00385B5B">
        <w:rPr>
          <w:i/>
          <w:iCs/>
          <w:lang w:val="en-US" w:eastAsia="en-US"/>
        </w:rPr>
        <w:t xml:space="preserve"> </w:t>
      </w:r>
      <w:proofErr w:type="spellStart"/>
      <w:r w:rsidRPr="00385B5B">
        <w:rPr>
          <w:i/>
          <w:iCs/>
          <w:lang w:val="en-US" w:eastAsia="en-US"/>
        </w:rPr>
        <w:t>tabaci</w:t>
      </w:r>
      <w:proofErr w:type="spellEnd"/>
      <w:r w:rsidRPr="00385B5B">
        <w:rPr>
          <w:lang w:val="en-US" w:eastAsia="en-US"/>
        </w:rPr>
        <w:t xml:space="preserve"> and transmission of tomato yellow leaf curl virus. </w:t>
      </w:r>
      <w:r w:rsidRPr="00385B5B">
        <w:rPr>
          <w:i/>
          <w:iCs/>
          <w:lang w:val="en-US" w:eastAsia="en-US"/>
        </w:rPr>
        <w:t>Insects, 11</w:t>
      </w:r>
      <w:r w:rsidRPr="00385B5B">
        <w:rPr>
          <w:lang w:val="en-US" w:eastAsia="en-US"/>
        </w:rPr>
        <w:t xml:space="preserve">(12), 842. </w:t>
      </w:r>
      <w:hyperlink r:id="rId38" w:history="1">
        <w:r w:rsidRPr="00385B5B">
          <w:rPr>
            <w:color w:val="0000FF"/>
            <w:u w:val="single"/>
            <w:lang w:val="en-US" w:eastAsia="en-US"/>
          </w:rPr>
          <w:t>https://doi.org/10.3390/insects11120842</w:t>
        </w:r>
      </w:hyperlink>
    </w:p>
    <w:p w14:paraId="32564272"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Mondal, F., Saxena, S., Sarkar, M., Majumdar, A., Mazumder, P., Hussain, Z., Mandal, B., Biswas, K. K., &amp; Roy, A. (2026). Molecular characterization of a naturally occurring isolate of </w:t>
      </w:r>
      <w:proofErr w:type="spellStart"/>
      <w:r w:rsidRPr="00385B5B">
        <w:rPr>
          <w:i/>
          <w:iCs/>
          <w:lang w:val="en-US" w:eastAsia="en-US"/>
        </w:rPr>
        <w:t>Begomovirus</w:t>
      </w:r>
      <w:proofErr w:type="spellEnd"/>
      <w:r w:rsidRPr="00385B5B">
        <w:rPr>
          <w:i/>
          <w:iCs/>
          <w:lang w:val="en-US" w:eastAsia="en-US"/>
        </w:rPr>
        <w:t xml:space="preserve"> </w:t>
      </w:r>
      <w:proofErr w:type="spellStart"/>
      <w:r w:rsidRPr="00385B5B">
        <w:rPr>
          <w:i/>
          <w:iCs/>
          <w:lang w:val="en-US" w:eastAsia="en-US"/>
        </w:rPr>
        <w:t>solanumkarnatakaense</w:t>
      </w:r>
      <w:proofErr w:type="spellEnd"/>
      <w:r w:rsidRPr="00385B5B">
        <w:rPr>
          <w:lang w:val="en-US" w:eastAsia="en-US"/>
        </w:rPr>
        <w:t xml:space="preserve"> causing breakdown of </w:t>
      </w:r>
      <w:r w:rsidRPr="00385B5B">
        <w:rPr>
          <w:i/>
          <w:iCs/>
          <w:lang w:val="en-US" w:eastAsia="en-US"/>
        </w:rPr>
        <w:t>Ty-3</w:t>
      </w:r>
      <w:r w:rsidRPr="00385B5B">
        <w:rPr>
          <w:lang w:val="en-US" w:eastAsia="en-US"/>
        </w:rPr>
        <w:t xml:space="preserve">-mediated resistance in tomato plants with increased disease severity under elevated temperature. </w:t>
      </w:r>
      <w:r w:rsidRPr="00385B5B">
        <w:rPr>
          <w:i/>
          <w:iCs/>
          <w:lang w:val="en-US" w:eastAsia="en-US"/>
        </w:rPr>
        <w:t>BMC Plant Biology, 26</w:t>
      </w:r>
      <w:r w:rsidRPr="00385B5B">
        <w:rPr>
          <w:lang w:val="en-US" w:eastAsia="en-US"/>
        </w:rPr>
        <w:t xml:space="preserve">(1), 1194. </w:t>
      </w:r>
      <w:hyperlink r:id="rId39" w:history="1">
        <w:r w:rsidRPr="00385B5B">
          <w:rPr>
            <w:color w:val="0000FF"/>
            <w:u w:val="single"/>
            <w:lang w:val="en-US" w:eastAsia="en-US"/>
          </w:rPr>
          <w:t>https://doi.org/10.1186/s12870-026-08978-w</w:t>
        </w:r>
      </w:hyperlink>
    </w:p>
    <w:p w14:paraId="323FD71F"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Oh, Y., Nagalakshmi, U., Dahlbeck, D., Koehler, N., Cho, M.-J., Dinesh-Kumar, S. P., &amp; </w:t>
      </w:r>
      <w:proofErr w:type="spellStart"/>
      <w:r w:rsidRPr="00385B5B">
        <w:rPr>
          <w:lang w:val="en-US" w:eastAsia="en-US"/>
        </w:rPr>
        <w:t>Staskawicz</w:t>
      </w:r>
      <w:proofErr w:type="spellEnd"/>
      <w:r w:rsidRPr="00385B5B">
        <w:rPr>
          <w:lang w:val="en-US" w:eastAsia="en-US"/>
        </w:rPr>
        <w:t xml:space="preserve">, B. J. (2025). Heritable virus-induced germline editing in tomato. </w:t>
      </w:r>
      <w:r w:rsidRPr="00385B5B">
        <w:rPr>
          <w:i/>
          <w:iCs/>
          <w:lang w:val="en-US" w:eastAsia="en-US"/>
        </w:rPr>
        <w:t>The Plant Journal, 122</w:t>
      </w:r>
      <w:r w:rsidRPr="00385B5B">
        <w:rPr>
          <w:lang w:val="en-US" w:eastAsia="en-US"/>
        </w:rPr>
        <w:t xml:space="preserve">(1), e70115. </w:t>
      </w:r>
      <w:hyperlink r:id="rId40" w:history="1">
        <w:r w:rsidRPr="00385B5B">
          <w:rPr>
            <w:color w:val="0000FF"/>
            <w:u w:val="single"/>
            <w:lang w:val="en-US" w:eastAsia="en-US"/>
          </w:rPr>
          <w:t>https://doi.org/10.1111/tpj.70115</w:t>
        </w:r>
      </w:hyperlink>
    </w:p>
    <w:p w14:paraId="562C9395"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Oliver, J. E., Rotenberg, D., Agosto-Shaw, K., McInnes, H. A., </w:t>
      </w:r>
      <w:proofErr w:type="spellStart"/>
      <w:r w:rsidRPr="00385B5B">
        <w:rPr>
          <w:lang w:val="en-US" w:eastAsia="en-US"/>
        </w:rPr>
        <w:t>Lahre</w:t>
      </w:r>
      <w:proofErr w:type="spellEnd"/>
      <w:r w:rsidRPr="00385B5B">
        <w:rPr>
          <w:lang w:val="en-US" w:eastAsia="en-US"/>
        </w:rPr>
        <w:t xml:space="preserve">, K. A., </w:t>
      </w:r>
      <w:proofErr w:type="spellStart"/>
      <w:r w:rsidRPr="00385B5B">
        <w:rPr>
          <w:lang w:val="en-US" w:eastAsia="en-US"/>
        </w:rPr>
        <w:t>Mulot</w:t>
      </w:r>
      <w:proofErr w:type="spellEnd"/>
      <w:r w:rsidRPr="00385B5B">
        <w:rPr>
          <w:lang w:val="en-US" w:eastAsia="en-US"/>
        </w:rPr>
        <w:t xml:space="preserve">, M., Adkins, S., &amp; Whitfield, A. E. (2024). Multigenic hairpin transgenes in tomato confer resistance to multiple </w:t>
      </w:r>
      <w:proofErr w:type="spellStart"/>
      <w:r w:rsidRPr="00385B5B">
        <w:rPr>
          <w:lang w:val="en-US" w:eastAsia="en-US"/>
        </w:rPr>
        <w:t>orthotospoviruses</w:t>
      </w:r>
      <w:proofErr w:type="spellEnd"/>
      <w:r w:rsidRPr="00385B5B">
        <w:rPr>
          <w:lang w:val="en-US" w:eastAsia="en-US"/>
        </w:rPr>
        <w:t xml:space="preserve"> including </w:t>
      </w:r>
      <w:r w:rsidRPr="00385B5B">
        <w:rPr>
          <w:i/>
          <w:iCs/>
          <w:lang w:val="en-US" w:eastAsia="en-US"/>
        </w:rPr>
        <w:t>Sw-5</w:t>
      </w:r>
      <w:r w:rsidRPr="00385B5B">
        <w:rPr>
          <w:lang w:val="en-US" w:eastAsia="en-US"/>
        </w:rPr>
        <w:t xml:space="preserve"> resistance-breaking tomato spotted wilt virus. </w:t>
      </w:r>
      <w:r w:rsidRPr="00385B5B">
        <w:rPr>
          <w:i/>
          <w:iCs/>
          <w:lang w:val="en-US" w:eastAsia="en-US"/>
        </w:rPr>
        <w:t>Phytopathology, 114</w:t>
      </w:r>
      <w:r w:rsidRPr="00385B5B">
        <w:rPr>
          <w:lang w:val="en-US" w:eastAsia="en-US"/>
        </w:rPr>
        <w:t xml:space="preserve">(5), 1137–1149. </w:t>
      </w:r>
      <w:hyperlink r:id="rId41" w:history="1">
        <w:r w:rsidRPr="00385B5B">
          <w:rPr>
            <w:color w:val="0000FF"/>
            <w:u w:val="single"/>
            <w:lang w:val="en-US" w:eastAsia="en-US"/>
          </w:rPr>
          <w:t>https://doi.org/10.1094/PHYTO-07-23-0256-KC</w:t>
        </w:r>
      </w:hyperlink>
    </w:p>
    <w:p w14:paraId="0726945F"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Padmanabhan, C., Ma, Q., </w:t>
      </w:r>
      <w:proofErr w:type="spellStart"/>
      <w:r w:rsidRPr="00385B5B">
        <w:rPr>
          <w:lang w:val="en-US" w:eastAsia="en-US"/>
        </w:rPr>
        <w:t>Shamimuzzaman</w:t>
      </w:r>
      <w:proofErr w:type="spellEnd"/>
      <w:r w:rsidRPr="00385B5B">
        <w:rPr>
          <w:lang w:val="en-US" w:eastAsia="en-US"/>
        </w:rPr>
        <w:t xml:space="preserve">, M., Stewart, K. S., Wilson, J. R., Hasegawa, D. K., </w:t>
      </w:r>
      <w:proofErr w:type="spellStart"/>
      <w:r w:rsidRPr="00385B5B">
        <w:rPr>
          <w:lang w:val="en-US" w:eastAsia="en-US"/>
        </w:rPr>
        <w:t>Shekasteband</w:t>
      </w:r>
      <w:proofErr w:type="spellEnd"/>
      <w:r w:rsidRPr="00385B5B">
        <w:rPr>
          <w:lang w:val="en-US" w:eastAsia="en-US"/>
        </w:rPr>
        <w:t xml:space="preserve">, R., Hutton, S. F., Scott, J. W., Simmons, A. M., Fei, Z., &amp; Ling, K.-S. (2026). Elucidation of the </w:t>
      </w:r>
      <w:r w:rsidRPr="00385B5B">
        <w:rPr>
          <w:i/>
          <w:iCs/>
          <w:lang w:val="en-US" w:eastAsia="en-US"/>
        </w:rPr>
        <w:t>ty-5</w:t>
      </w:r>
      <w:r w:rsidRPr="00385B5B">
        <w:rPr>
          <w:lang w:val="en-US" w:eastAsia="en-US"/>
        </w:rPr>
        <w:t xml:space="preserve"> resistance network in tomato against tomato yellow leaf </w:t>
      </w:r>
      <w:r w:rsidRPr="00385B5B">
        <w:rPr>
          <w:lang w:val="en-US" w:eastAsia="en-US"/>
        </w:rPr>
        <w:lastRenderedPageBreak/>
        <w:t xml:space="preserve">curl virus reveals the involvement of AP2/ERF gene. </w:t>
      </w:r>
      <w:r w:rsidRPr="00385B5B">
        <w:rPr>
          <w:i/>
          <w:iCs/>
          <w:lang w:val="en-US" w:eastAsia="en-US"/>
        </w:rPr>
        <w:t>Frontiers in Plant Science, 17</w:t>
      </w:r>
      <w:r w:rsidRPr="00385B5B">
        <w:rPr>
          <w:lang w:val="en-US" w:eastAsia="en-US"/>
        </w:rPr>
        <w:t xml:space="preserve">, 1788099. </w:t>
      </w:r>
      <w:hyperlink r:id="rId42" w:history="1">
        <w:r w:rsidRPr="00385B5B">
          <w:rPr>
            <w:color w:val="0000FF"/>
            <w:u w:val="single"/>
            <w:lang w:val="en-US" w:eastAsia="en-US"/>
          </w:rPr>
          <w:t>https://doi.org/10.3389/fpls.2026.1788099</w:t>
        </w:r>
      </w:hyperlink>
    </w:p>
    <w:p w14:paraId="6E16C0CC"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Pan, X., Yildiz, U., Armstrong, S. K., &amp; Bissonnette, K. (2026). Status and advancement of root-knot nematode management strategies and the emerging CRISPR/Cas biotechnology application. </w:t>
      </w:r>
      <w:r w:rsidRPr="00385B5B">
        <w:rPr>
          <w:i/>
          <w:iCs/>
          <w:lang w:val="en-US" w:eastAsia="en-US"/>
        </w:rPr>
        <w:t>Functional &amp; Integrative Genomics, 26</w:t>
      </w:r>
      <w:r w:rsidRPr="00385B5B">
        <w:rPr>
          <w:lang w:val="en-US" w:eastAsia="en-US"/>
        </w:rPr>
        <w:t xml:space="preserve">(1), 38. </w:t>
      </w:r>
      <w:hyperlink r:id="rId43" w:history="1">
        <w:r w:rsidRPr="00385B5B">
          <w:rPr>
            <w:color w:val="0000FF"/>
            <w:u w:val="single"/>
            <w:lang w:val="en-US" w:eastAsia="en-US"/>
          </w:rPr>
          <w:t>https://doi.org/10.1007/s10142-025-01804-w</w:t>
        </w:r>
      </w:hyperlink>
    </w:p>
    <w:p w14:paraId="79EF4C77" w14:textId="77777777" w:rsidR="00385B5B" w:rsidRPr="00385B5B" w:rsidRDefault="00385B5B" w:rsidP="00385B5B">
      <w:pPr>
        <w:spacing w:before="100" w:beforeAutospacing="1" w:after="100" w:afterAutospacing="1"/>
        <w:ind w:left="540" w:hanging="540"/>
        <w:jc w:val="both"/>
        <w:rPr>
          <w:lang w:val="nl-BE" w:eastAsia="en-US"/>
        </w:rPr>
      </w:pPr>
      <w:proofErr w:type="spellStart"/>
      <w:r w:rsidRPr="00385B5B">
        <w:rPr>
          <w:lang w:val="en-US" w:eastAsia="en-US"/>
        </w:rPr>
        <w:t>Poonia</w:t>
      </w:r>
      <w:proofErr w:type="spellEnd"/>
      <w:r w:rsidRPr="00385B5B">
        <w:rPr>
          <w:lang w:val="en-US" w:eastAsia="en-US"/>
        </w:rPr>
        <w:t xml:space="preserve">, A. K., Koul, B., Kajla, S., Mishra, M., &amp; Rabbee, M. F. (2025). Grafting tomato scions on root knot nematode (RKN)-resistant brinjal rootstocks complemented with biocontrol agents as an integrated nematode management (INM) strategy for the development of RKN-resistant tomato. </w:t>
      </w:r>
      <w:r w:rsidRPr="00385B5B">
        <w:rPr>
          <w:i/>
          <w:iCs/>
          <w:lang w:val="nl-BE" w:eastAsia="en-US"/>
        </w:rPr>
        <w:t>Pathogens, 14</w:t>
      </w:r>
      <w:r w:rsidRPr="00385B5B">
        <w:rPr>
          <w:lang w:val="nl-BE" w:eastAsia="en-US"/>
        </w:rPr>
        <w:t xml:space="preserve">(12), 1257. </w:t>
      </w:r>
      <w:r w:rsidRPr="00385B5B">
        <w:rPr>
          <w:lang w:val="en-US" w:eastAsia="en-US"/>
        </w:rPr>
        <w:fldChar w:fldCharType="begin"/>
      </w:r>
      <w:r w:rsidRPr="00385B5B">
        <w:rPr>
          <w:lang w:val="nl-BE" w:eastAsia="en-US"/>
        </w:rPr>
        <w:instrText>HYPERLINK "https://doi.org/10.3390/pathogens14121257"</w:instrText>
      </w:r>
      <w:r w:rsidRPr="00385B5B">
        <w:rPr>
          <w:lang w:val="en-US" w:eastAsia="en-US"/>
        </w:rPr>
      </w:r>
      <w:r w:rsidRPr="00385B5B">
        <w:rPr>
          <w:lang w:val="en-US" w:eastAsia="en-US"/>
        </w:rPr>
        <w:fldChar w:fldCharType="separate"/>
      </w:r>
      <w:r w:rsidRPr="00385B5B">
        <w:rPr>
          <w:color w:val="0000FF"/>
          <w:u w:val="single"/>
          <w:lang w:val="nl-BE" w:eastAsia="en-US"/>
        </w:rPr>
        <w:t>https://doi.org/10.3390/pathogens14121257</w:t>
      </w:r>
      <w:r w:rsidRPr="00385B5B">
        <w:rPr>
          <w:lang w:val="en-US" w:eastAsia="en-US"/>
        </w:rPr>
        <w:fldChar w:fldCharType="end"/>
      </w:r>
    </w:p>
    <w:p w14:paraId="6C5562E5"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Popowski, J., Warma, L., Abarca Cifuentes, A., Bleeker, P., &amp; Jalaal, M. (2025). </w:t>
      </w:r>
      <w:r w:rsidRPr="00385B5B">
        <w:rPr>
          <w:lang w:val="en-US" w:eastAsia="en-US"/>
        </w:rPr>
        <w:t xml:space="preserve">Glandular trichome rupture in tomato plants is an ultra-fast and sensitive defense mechanism against insects. </w:t>
      </w:r>
      <w:r w:rsidRPr="00385B5B">
        <w:rPr>
          <w:i/>
          <w:iCs/>
          <w:lang w:val="en-US" w:eastAsia="en-US"/>
        </w:rPr>
        <w:t>Journal of Experimental Botany, 76</w:t>
      </w:r>
      <w:r w:rsidRPr="00385B5B">
        <w:rPr>
          <w:lang w:val="en-US" w:eastAsia="en-US"/>
        </w:rPr>
        <w:t xml:space="preserve">(21), 6508–6519. </w:t>
      </w:r>
      <w:hyperlink r:id="rId44" w:history="1">
        <w:r w:rsidRPr="00385B5B">
          <w:rPr>
            <w:color w:val="0000FF"/>
            <w:u w:val="single"/>
            <w:lang w:val="en-US" w:eastAsia="en-US"/>
          </w:rPr>
          <w:t>https://doi.org/10.1093/jxb/eraf257</w:t>
        </w:r>
      </w:hyperlink>
    </w:p>
    <w:p w14:paraId="22BFDA2A"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Prabhakar, S. S., Hsu, Y.-C., Yen, J., Chou, H.-Y., Lin, M.-Y., Priya, M. S., </w:t>
      </w:r>
      <w:proofErr w:type="spellStart"/>
      <w:r w:rsidRPr="00385B5B">
        <w:rPr>
          <w:lang w:val="en-US" w:eastAsia="en-US"/>
        </w:rPr>
        <w:t>Othim</w:t>
      </w:r>
      <w:proofErr w:type="spellEnd"/>
      <w:r w:rsidRPr="00385B5B">
        <w:rPr>
          <w:lang w:val="en-US" w:eastAsia="en-US"/>
        </w:rPr>
        <w:t xml:space="preserve">, S., Ramasamy, S., &amp; </w:t>
      </w:r>
      <w:proofErr w:type="spellStart"/>
      <w:r w:rsidRPr="00385B5B">
        <w:rPr>
          <w:lang w:val="en-US" w:eastAsia="en-US"/>
        </w:rPr>
        <w:t>Eybishitz</w:t>
      </w:r>
      <w:proofErr w:type="spellEnd"/>
      <w:r w:rsidRPr="00385B5B">
        <w:rPr>
          <w:lang w:val="en-US" w:eastAsia="en-US"/>
        </w:rPr>
        <w:t xml:space="preserve">, A. (2025). Enhanced tomato yellow leaf curl Thailand virus suppression through multi-disease and insect-resistant tomato lines combining virus and vector resistance. </w:t>
      </w:r>
      <w:r w:rsidRPr="00385B5B">
        <w:rPr>
          <w:i/>
          <w:iCs/>
          <w:lang w:val="en-US" w:eastAsia="en-US"/>
        </w:rPr>
        <w:t>Insects, 16</w:t>
      </w:r>
      <w:r w:rsidRPr="00385B5B">
        <w:rPr>
          <w:lang w:val="en-US" w:eastAsia="en-US"/>
        </w:rPr>
        <w:t xml:space="preserve">(7), 721. </w:t>
      </w:r>
      <w:hyperlink r:id="rId45" w:history="1">
        <w:r w:rsidRPr="00385B5B">
          <w:rPr>
            <w:color w:val="0000FF"/>
            <w:u w:val="single"/>
            <w:lang w:val="en-US" w:eastAsia="en-US"/>
          </w:rPr>
          <w:t>https://doi.org/10.3390/insects16070721</w:t>
        </w:r>
      </w:hyperlink>
    </w:p>
    <w:p w14:paraId="3521312F"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Prigigallo</w:t>
      </w:r>
      <w:proofErr w:type="spellEnd"/>
      <w:r w:rsidRPr="00385B5B">
        <w:rPr>
          <w:lang w:val="en-US" w:eastAsia="en-US"/>
        </w:rPr>
        <w:t xml:space="preserve">, M. I., Picciotti, U., &amp; </w:t>
      </w:r>
      <w:proofErr w:type="spellStart"/>
      <w:r w:rsidRPr="00385B5B">
        <w:rPr>
          <w:lang w:val="en-US" w:eastAsia="en-US"/>
        </w:rPr>
        <w:t>Bubici</w:t>
      </w:r>
      <w:proofErr w:type="spellEnd"/>
      <w:r w:rsidRPr="00385B5B">
        <w:rPr>
          <w:lang w:val="en-US" w:eastAsia="en-US"/>
        </w:rPr>
        <w:t xml:space="preserve">, G. (2025). Resistance-breaking strains of tomato spotted wilt virus hamper photosynthesis and protein synthesis pathways in a virus accumulation-dependent manner in Sw5-carrying tomatoes. </w:t>
      </w:r>
      <w:r w:rsidRPr="00385B5B">
        <w:rPr>
          <w:i/>
          <w:iCs/>
          <w:lang w:val="en-US" w:eastAsia="en-US"/>
        </w:rPr>
        <w:t>Scientific Reports, 15</w:t>
      </w:r>
      <w:r w:rsidRPr="00385B5B">
        <w:rPr>
          <w:lang w:val="en-US" w:eastAsia="en-US"/>
        </w:rPr>
        <w:t xml:space="preserve">(1), 3630. </w:t>
      </w:r>
      <w:hyperlink r:id="rId46" w:history="1">
        <w:r w:rsidRPr="00385B5B">
          <w:rPr>
            <w:color w:val="0000FF"/>
            <w:u w:val="single"/>
            <w:lang w:val="en-US" w:eastAsia="en-US"/>
          </w:rPr>
          <w:t>https://doi.org/10.1038/s41598-025-88028-x</w:t>
        </w:r>
      </w:hyperlink>
    </w:p>
    <w:p w14:paraId="5568AD31" w14:textId="77777777" w:rsidR="00385B5B" w:rsidRPr="00385B5B" w:rsidRDefault="00385B5B" w:rsidP="00385B5B">
      <w:pPr>
        <w:spacing w:before="100" w:beforeAutospacing="1" w:after="100" w:afterAutospacing="1"/>
        <w:ind w:left="540" w:hanging="540"/>
        <w:jc w:val="both"/>
        <w:rPr>
          <w:lang w:val="nl-BE" w:eastAsia="en-US"/>
        </w:rPr>
      </w:pPr>
      <w:r w:rsidRPr="00385B5B">
        <w:rPr>
          <w:lang w:val="en-US" w:eastAsia="en-US"/>
        </w:rPr>
        <w:t xml:space="preserve">Rico, A., Ávila, A., Emiliozzi, M., López-Vidriero, I., Franco-Zorrilla, J. M., &amp; </w:t>
      </w:r>
      <w:proofErr w:type="spellStart"/>
      <w:r w:rsidRPr="00385B5B">
        <w:rPr>
          <w:lang w:val="en-US" w:eastAsia="en-US"/>
        </w:rPr>
        <w:t>Nombela</w:t>
      </w:r>
      <w:proofErr w:type="spellEnd"/>
      <w:r w:rsidRPr="00385B5B">
        <w:rPr>
          <w:lang w:val="en-US" w:eastAsia="en-US"/>
        </w:rPr>
        <w:t xml:space="preserve">, G. (2026). Basal differences in the transcriptional profiles of tomato roots associated with the presence/absence of the resistance gene </w:t>
      </w:r>
      <w:r w:rsidRPr="00385B5B">
        <w:rPr>
          <w:i/>
          <w:iCs/>
          <w:lang w:val="en-US" w:eastAsia="en-US"/>
        </w:rPr>
        <w:t>Mi-1</w:t>
      </w:r>
      <w:r w:rsidRPr="00385B5B">
        <w:rPr>
          <w:lang w:val="en-US" w:eastAsia="en-US"/>
        </w:rPr>
        <w:t xml:space="preserve"> and time-course changes during the compatible and incompatible interactions with </w:t>
      </w:r>
      <w:r w:rsidRPr="00385B5B">
        <w:rPr>
          <w:i/>
          <w:iCs/>
          <w:lang w:val="en-US" w:eastAsia="en-US"/>
        </w:rPr>
        <w:t>Meloidogyne javanica</w:t>
      </w:r>
      <w:r w:rsidRPr="00385B5B">
        <w:rPr>
          <w:lang w:val="en-US" w:eastAsia="en-US"/>
        </w:rPr>
        <w:t xml:space="preserve">. </w:t>
      </w:r>
      <w:r w:rsidRPr="00385B5B">
        <w:rPr>
          <w:i/>
          <w:iCs/>
          <w:lang w:val="nl-BE" w:eastAsia="en-US"/>
        </w:rPr>
        <w:t>Plants, 15</w:t>
      </w:r>
      <w:r w:rsidRPr="00385B5B">
        <w:rPr>
          <w:lang w:val="nl-BE" w:eastAsia="en-US"/>
        </w:rPr>
        <w:t xml:space="preserve">(10), 1428. </w:t>
      </w:r>
      <w:r w:rsidRPr="00385B5B">
        <w:rPr>
          <w:lang w:val="en-US" w:eastAsia="en-US"/>
        </w:rPr>
        <w:fldChar w:fldCharType="begin"/>
      </w:r>
      <w:r w:rsidRPr="00385B5B">
        <w:rPr>
          <w:lang w:val="nl-BE" w:eastAsia="en-US"/>
        </w:rPr>
        <w:instrText>HYPERLINK "https://doi.org/10.3390/plants15101428"</w:instrText>
      </w:r>
      <w:r w:rsidRPr="00385B5B">
        <w:rPr>
          <w:lang w:val="en-US" w:eastAsia="en-US"/>
        </w:rPr>
      </w:r>
      <w:r w:rsidRPr="00385B5B">
        <w:rPr>
          <w:lang w:val="en-US" w:eastAsia="en-US"/>
        </w:rPr>
        <w:fldChar w:fldCharType="separate"/>
      </w:r>
      <w:r w:rsidRPr="00385B5B">
        <w:rPr>
          <w:color w:val="0000FF"/>
          <w:u w:val="single"/>
          <w:lang w:val="nl-BE" w:eastAsia="en-US"/>
        </w:rPr>
        <w:t>https://doi.org/10.3390/plants15101428</w:t>
      </w:r>
      <w:r w:rsidRPr="00385B5B">
        <w:rPr>
          <w:lang w:val="en-US" w:eastAsia="en-US"/>
        </w:rPr>
        <w:fldChar w:fldCharType="end"/>
      </w:r>
    </w:p>
    <w:p w14:paraId="2BC917D4"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Rochsar, E., Smith, E., Bandel, K., Klap, C., Bakelman, E., Koren, A., Zamir, D., &amp; Dombrovsky, A. (2026). </w:t>
      </w:r>
      <w:r w:rsidRPr="00385B5B">
        <w:rPr>
          <w:lang w:val="en-US" w:eastAsia="en-US"/>
        </w:rPr>
        <w:t xml:space="preserve">Breeding </w:t>
      </w:r>
      <w:r w:rsidRPr="00385B5B">
        <w:rPr>
          <w:i/>
          <w:iCs/>
          <w:lang w:val="en-US" w:eastAsia="en-US"/>
        </w:rPr>
        <w:t>Tm-1</w:t>
      </w:r>
      <w:r w:rsidRPr="00385B5B">
        <w:rPr>
          <w:lang w:val="en-US" w:eastAsia="en-US"/>
        </w:rPr>
        <w:t xml:space="preserve">-based tomato rootstocks, resistant to tomato brown rugose fruit virus, to impede soil-mediated viral infections. </w:t>
      </w:r>
      <w:r w:rsidRPr="00385B5B">
        <w:rPr>
          <w:i/>
          <w:iCs/>
          <w:lang w:val="en-US" w:eastAsia="en-US"/>
        </w:rPr>
        <w:t>Frontiers in Plant Science, 17</w:t>
      </w:r>
      <w:r w:rsidRPr="00385B5B">
        <w:rPr>
          <w:lang w:val="en-US" w:eastAsia="en-US"/>
        </w:rPr>
        <w:t xml:space="preserve">, 1815342. </w:t>
      </w:r>
      <w:hyperlink r:id="rId47" w:history="1">
        <w:r w:rsidRPr="00385B5B">
          <w:rPr>
            <w:color w:val="0000FF"/>
            <w:u w:val="single"/>
            <w:lang w:val="en-US" w:eastAsia="en-US"/>
          </w:rPr>
          <w:t>https://doi.org/10.3389/fpls.2026.1815342</w:t>
        </w:r>
      </w:hyperlink>
    </w:p>
    <w:p w14:paraId="5CA3F07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Rose, L. E., </w:t>
      </w:r>
      <w:proofErr w:type="spellStart"/>
      <w:r w:rsidRPr="00385B5B">
        <w:rPr>
          <w:lang w:val="en-US" w:eastAsia="en-US"/>
        </w:rPr>
        <w:t>Zangishei</w:t>
      </w:r>
      <w:proofErr w:type="spellEnd"/>
      <w:r w:rsidRPr="00385B5B">
        <w:rPr>
          <w:lang w:val="en-US" w:eastAsia="en-US"/>
        </w:rPr>
        <w:t xml:space="preserve">, Z., Fernie, A. R., &amp; </w:t>
      </w:r>
      <w:proofErr w:type="spellStart"/>
      <w:r w:rsidRPr="00385B5B">
        <w:rPr>
          <w:lang w:val="en-US" w:eastAsia="en-US"/>
        </w:rPr>
        <w:t>Usadel</w:t>
      </w:r>
      <w:proofErr w:type="spellEnd"/>
      <w:r w:rsidRPr="00385B5B">
        <w:rPr>
          <w:lang w:val="en-US" w:eastAsia="en-US"/>
        </w:rPr>
        <w:t xml:space="preserve">, B. (2025). Tomato and its relatives are breaking the genomics barriers. </w:t>
      </w:r>
      <w:r w:rsidRPr="00385B5B">
        <w:rPr>
          <w:i/>
          <w:iCs/>
          <w:lang w:val="en-US" w:eastAsia="en-US"/>
        </w:rPr>
        <w:t>Journal of Experimental Botany, 76</w:t>
      </w:r>
      <w:r w:rsidRPr="00385B5B">
        <w:rPr>
          <w:lang w:val="en-US" w:eastAsia="en-US"/>
        </w:rPr>
        <w:t xml:space="preserve">(21), 6259–6273. </w:t>
      </w:r>
      <w:hyperlink r:id="rId48" w:history="1">
        <w:r w:rsidRPr="00385B5B">
          <w:rPr>
            <w:color w:val="0000FF"/>
            <w:u w:val="single"/>
            <w:lang w:val="en-US" w:eastAsia="en-US"/>
          </w:rPr>
          <w:t>https://doi.org/10.1093/jxb/eraf298</w:t>
        </w:r>
      </w:hyperlink>
    </w:p>
    <w:p w14:paraId="184DC866"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Salazar-Mendoza, P., Magalhães, D. M., Lourenção, A. L., &amp; Bento, J. M. S. (2023). Differential defensive and nutritional traits among cultivated tomato and its wild relatives shape their interactions with a specialist herbivore. </w:t>
      </w:r>
      <w:r w:rsidRPr="00385B5B">
        <w:rPr>
          <w:i/>
          <w:iCs/>
          <w:lang w:val="en-US" w:eastAsia="en-US"/>
        </w:rPr>
        <w:t>Planta, 257</w:t>
      </w:r>
      <w:r w:rsidRPr="00385B5B">
        <w:rPr>
          <w:lang w:val="en-US" w:eastAsia="en-US"/>
        </w:rPr>
        <w:t xml:space="preserve">(4), 76. </w:t>
      </w:r>
      <w:hyperlink r:id="rId49" w:history="1">
        <w:r w:rsidRPr="00385B5B">
          <w:rPr>
            <w:color w:val="0000FF"/>
            <w:u w:val="single"/>
            <w:lang w:val="en-US" w:eastAsia="en-US"/>
          </w:rPr>
          <w:t>https://doi.org/10.1007/s00425-023-04108-0</w:t>
        </w:r>
      </w:hyperlink>
    </w:p>
    <w:p w14:paraId="7B0DB47D"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lastRenderedPageBreak/>
        <w:t xml:space="preserve">Shen, X., Gill, U., Arens, M., Yan, Z., Bai, Y., Hutton, S. F., &amp; Wolters, A.-M. A. (2025). The tomato gene </w:t>
      </w:r>
      <w:r w:rsidRPr="00385B5B">
        <w:rPr>
          <w:i/>
          <w:iCs/>
          <w:lang w:val="en-US" w:eastAsia="en-US"/>
        </w:rPr>
        <w:t>Ty-6</w:t>
      </w:r>
      <w:r w:rsidRPr="00385B5B">
        <w:rPr>
          <w:lang w:val="en-US" w:eastAsia="en-US"/>
        </w:rPr>
        <w:t xml:space="preserve">, encoding DNA polymerase delta subunit 1, confers broad resistance to </w:t>
      </w:r>
      <w:proofErr w:type="spellStart"/>
      <w:r w:rsidRPr="00385B5B">
        <w:rPr>
          <w:lang w:val="en-US" w:eastAsia="en-US"/>
        </w:rPr>
        <w:t>geminiviruses</w:t>
      </w:r>
      <w:proofErr w:type="spellEnd"/>
      <w:r w:rsidRPr="00385B5B">
        <w:rPr>
          <w:lang w:val="en-US" w:eastAsia="en-US"/>
        </w:rPr>
        <w:t xml:space="preserve">. </w:t>
      </w:r>
      <w:r w:rsidRPr="00385B5B">
        <w:rPr>
          <w:i/>
          <w:iCs/>
          <w:lang w:val="en-US" w:eastAsia="en-US"/>
        </w:rPr>
        <w:t>Theoretical and Applied Genetics, 138</w:t>
      </w:r>
      <w:r w:rsidRPr="00385B5B">
        <w:rPr>
          <w:lang w:val="en-US" w:eastAsia="en-US"/>
        </w:rPr>
        <w:t xml:space="preserve">(1), 22. </w:t>
      </w:r>
      <w:hyperlink r:id="rId50" w:history="1">
        <w:r w:rsidRPr="00385B5B">
          <w:rPr>
            <w:color w:val="0000FF"/>
            <w:u w:val="single"/>
            <w:lang w:val="en-US" w:eastAsia="en-US"/>
          </w:rPr>
          <w:t>https://doi.org/10.1007/s00122-024-04803-w</w:t>
        </w:r>
      </w:hyperlink>
    </w:p>
    <w:p w14:paraId="57D20B8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Shi, C., Chen, S., Wang, J., Chen, W., Sun, C., Guo, Q., Liao, S., Wang, H., Mu, Y., Shu, X., Meng, D., Zhao, J., Dong, L., Zhao, L., Hou, S., Guo, L., &amp; Yang, C. (2026). A tomato telomere-to-telomere super-pangenome empowers stress resilience breeding. </w:t>
      </w:r>
      <w:r w:rsidRPr="00385B5B">
        <w:rPr>
          <w:i/>
          <w:iCs/>
          <w:lang w:val="en-US" w:eastAsia="en-US"/>
        </w:rPr>
        <w:t>Nature Genetics, 58</w:t>
      </w:r>
      <w:r w:rsidRPr="00385B5B">
        <w:rPr>
          <w:lang w:val="en-US" w:eastAsia="en-US"/>
        </w:rPr>
        <w:t xml:space="preserve">(3), 630–642. </w:t>
      </w:r>
      <w:hyperlink r:id="rId51" w:history="1">
        <w:r w:rsidRPr="00385B5B">
          <w:rPr>
            <w:color w:val="0000FF"/>
            <w:u w:val="single"/>
            <w:lang w:val="en-US" w:eastAsia="en-US"/>
          </w:rPr>
          <w:t>https://doi.org/10.1038/s41588-026-02508-y</w:t>
        </w:r>
      </w:hyperlink>
    </w:p>
    <w:p w14:paraId="30113E71" w14:textId="77777777" w:rsidR="00385B5B" w:rsidRPr="00385B5B" w:rsidRDefault="00385B5B" w:rsidP="00385B5B">
      <w:pPr>
        <w:spacing w:before="100" w:beforeAutospacing="1" w:after="100" w:afterAutospacing="1"/>
        <w:ind w:left="540" w:hanging="540"/>
        <w:jc w:val="both"/>
        <w:rPr>
          <w:lang w:val="nl-BE" w:eastAsia="en-US"/>
        </w:rPr>
      </w:pPr>
      <w:proofErr w:type="spellStart"/>
      <w:r w:rsidRPr="00385B5B">
        <w:rPr>
          <w:lang w:val="en-US" w:eastAsia="en-US"/>
        </w:rPr>
        <w:t>Smeda</w:t>
      </w:r>
      <w:proofErr w:type="spellEnd"/>
      <w:r w:rsidRPr="00385B5B">
        <w:rPr>
          <w:lang w:val="en-US" w:eastAsia="en-US"/>
        </w:rPr>
        <w:t xml:space="preserve">, J. R., Smith, H. A., &amp; Mutschler, M. A. (2023). The amount and chemistry of </w:t>
      </w:r>
      <w:proofErr w:type="spellStart"/>
      <w:r w:rsidRPr="00385B5B">
        <w:rPr>
          <w:lang w:val="en-US" w:eastAsia="en-US"/>
        </w:rPr>
        <w:t>acylsugars</w:t>
      </w:r>
      <w:proofErr w:type="spellEnd"/>
      <w:r w:rsidRPr="00385B5B">
        <w:rPr>
          <w:lang w:val="en-US" w:eastAsia="en-US"/>
        </w:rPr>
        <w:t xml:space="preserve"> affects </w:t>
      </w:r>
      <w:proofErr w:type="spellStart"/>
      <w:r w:rsidRPr="00385B5B">
        <w:rPr>
          <w:lang w:val="en-US" w:eastAsia="en-US"/>
        </w:rPr>
        <w:t>sweetpotato</w:t>
      </w:r>
      <w:proofErr w:type="spellEnd"/>
      <w:r w:rsidRPr="00385B5B">
        <w:rPr>
          <w:lang w:val="en-US" w:eastAsia="en-US"/>
        </w:rPr>
        <w:t xml:space="preserve"> whitefly (</w:t>
      </w:r>
      <w:proofErr w:type="spellStart"/>
      <w:r w:rsidRPr="00385B5B">
        <w:rPr>
          <w:i/>
          <w:iCs/>
          <w:lang w:val="en-US" w:eastAsia="en-US"/>
        </w:rPr>
        <w:t>Bemisia</w:t>
      </w:r>
      <w:proofErr w:type="spellEnd"/>
      <w:r w:rsidRPr="00385B5B">
        <w:rPr>
          <w:i/>
          <w:iCs/>
          <w:lang w:val="en-US" w:eastAsia="en-US"/>
        </w:rPr>
        <w:t xml:space="preserve"> </w:t>
      </w:r>
      <w:proofErr w:type="spellStart"/>
      <w:r w:rsidRPr="00385B5B">
        <w:rPr>
          <w:i/>
          <w:iCs/>
          <w:lang w:val="en-US" w:eastAsia="en-US"/>
        </w:rPr>
        <w:t>tabaci</w:t>
      </w:r>
      <w:proofErr w:type="spellEnd"/>
      <w:r w:rsidRPr="00385B5B">
        <w:rPr>
          <w:lang w:val="en-US" w:eastAsia="en-US"/>
        </w:rPr>
        <w:t xml:space="preserve">) oviposition and development, and tomato yellow leaf curl virus incidence, in field grown tomato plants. </w:t>
      </w:r>
      <w:r w:rsidRPr="00385B5B">
        <w:rPr>
          <w:i/>
          <w:iCs/>
          <w:lang w:val="nl-BE" w:eastAsia="en-US"/>
        </w:rPr>
        <w:t>PLOS ONE, 18</w:t>
      </w:r>
      <w:r w:rsidRPr="00385B5B">
        <w:rPr>
          <w:lang w:val="nl-BE" w:eastAsia="en-US"/>
        </w:rPr>
        <w:t xml:space="preserve">(11), e0275112. </w:t>
      </w:r>
      <w:r w:rsidRPr="00385B5B">
        <w:rPr>
          <w:lang w:val="en-US" w:eastAsia="en-US"/>
        </w:rPr>
        <w:fldChar w:fldCharType="begin"/>
      </w:r>
      <w:r w:rsidRPr="00385B5B">
        <w:rPr>
          <w:lang w:val="nl-BE" w:eastAsia="en-US"/>
        </w:rPr>
        <w:instrText>HYPERLINK "https://doi.org/10.1371/journal.pone.0275112"</w:instrText>
      </w:r>
      <w:r w:rsidRPr="00385B5B">
        <w:rPr>
          <w:lang w:val="en-US" w:eastAsia="en-US"/>
        </w:rPr>
      </w:r>
      <w:r w:rsidRPr="00385B5B">
        <w:rPr>
          <w:lang w:val="en-US" w:eastAsia="en-US"/>
        </w:rPr>
        <w:fldChar w:fldCharType="separate"/>
      </w:r>
      <w:r w:rsidRPr="00385B5B">
        <w:rPr>
          <w:color w:val="0000FF"/>
          <w:u w:val="single"/>
          <w:lang w:val="nl-BE" w:eastAsia="en-US"/>
        </w:rPr>
        <w:t>https://doi.org/10.1371/journal.pone.0275112</w:t>
      </w:r>
      <w:r w:rsidRPr="00385B5B">
        <w:rPr>
          <w:lang w:val="en-US" w:eastAsia="en-US"/>
        </w:rPr>
        <w:fldChar w:fldCharType="end"/>
      </w:r>
    </w:p>
    <w:p w14:paraId="20954D52"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Su, C., Yang, R., Lv, R., Wang, Z., Zhu, J., Zhang, X., Li, H., &amp; Luan, Y. (2026). </w:t>
      </w:r>
      <w:r w:rsidRPr="00385B5B">
        <w:rPr>
          <w:lang w:val="en-US" w:eastAsia="en-US"/>
        </w:rPr>
        <w:t xml:space="preserve">The lncRNA47980-miR5303-FBA41 module modulates tomato disease resistance by fine-tuning reactive oxygen species and phytohormone levels. </w:t>
      </w:r>
      <w:r w:rsidRPr="00385B5B">
        <w:rPr>
          <w:i/>
          <w:iCs/>
          <w:lang w:val="en-US" w:eastAsia="en-US"/>
        </w:rPr>
        <w:t>Plant Physiology, 200</w:t>
      </w:r>
      <w:r w:rsidRPr="00385B5B">
        <w:rPr>
          <w:lang w:val="en-US" w:eastAsia="en-US"/>
        </w:rPr>
        <w:t xml:space="preserve">(2), kiag012. </w:t>
      </w:r>
      <w:hyperlink r:id="rId52" w:history="1">
        <w:r w:rsidRPr="00385B5B">
          <w:rPr>
            <w:color w:val="0000FF"/>
            <w:u w:val="single"/>
            <w:lang w:val="en-US" w:eastAsia="en-US"/>
          </w:rPr>
          <w:t>https://doi.org/10.1093/plphys/kiag012</w:t>
        </w:r>
      </w:hyperlink>
    </w:p>
    <w:p w14:paraId="1AC3F53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Thomas, W. J. W., Amas, J. C., </w:t>
      </w:r>
      <w:proofErr w:type="spellStart"/>
      <w:r w:rsidRPr="00385B5B">
        <w:rPr>
          <w:lang w:val="en-US" w:eastAsia="en-US"/>
        </w:rPr>
        <w:t>Dolatabadian</w:t>
      </w:r>
      <w:proofErr w:type="spellEnd"/>
      <w:r w:rsidRPr="00385B5B">
        <w:rPr>
          <w:lang w:val="en-US" w:eastAsia="en-US"/>
        </w:rPr>
        <w:t xml:space="preserve">, A., Huang, S., Zhang, F., Zandberg, J. D., </w:t>
      </w:r>
      <w:proofErr w:type="spellStart"/>
      <w:r w:rsidRPr="00385B5B">
        <w:rPr>
          <w:lang w:val="en-US" w:eastAsia="en-US"/>
        </w:rPr>
        <w:t>Neik</w:t>
      </w:r>
      <w:proofErr w:type="spellEnd"/>
      <w:r w:rsidRPr="00385B5B">
        <w:rPr>
          <w:lang w:val="en-US" w:eastAsia="en-US"/>
        </w:rPr>
        <w:t xml:space="preserve">, T. X., Edwards, D., &amp; Batley, J. (2024). Recent advances in the improvement of genetic resistance against disease in vegetable crops. </w:t>
      </w:r>
      <w:r w:rsidRPr="00385B5B">
        <w:rPr>
          <w:i/>
          <w:iCs/>
          <w:lang w:val="en-US" w:eastAsia="en-US"/>
        </w:rPr>
        <w:t>Plant Physiology, 196</w:t>
      </w:r>
      <w:r w:rsidRPr="00385B5B">
        <w:rPr>
          <w:lang w:val="en-US" w:eastAsia="en-US"/>
        </w:rPr>
        <w:t xml:space="preserve">(1), 32–46. </w:t>
      </w:r>
      <w:hyperlink r:id="rId53" w:history="1">
        <w:r w:rsidRPr="00385B5B">
          <w:rPr>
            <w:color w:val="0000FF"/>
            <w:u w:val="single"/>
            <w:lang w:val="en-US" w:eastAsia="en-US"/>
          </w:rPr>
          <w:t>https://doi.org/10.1093/plphys/kiae302</w:t>
        </w:r>
      </w:hyperlink>
    </w:p>
    <w:p w14:paraId="6AA3222F" w14:textId="77777777" w:rsidR="00385B5B" w:rsidRPr="00385B5B" w:rsidRDefault="00385B5B" w:rsidP="00385B5B">
      <w:pPr>
        <w:spacing w:before="100" w:beforeAutospacing="1" w:after="100" w:afterAutospacing="1"/>
        <w:ind w:left="540" w:hanging="540"/>
        <w:jc w:val="both"/>
        <w:rPr>
          <w:lang w:val="nl-BE" w:eastAsia="en-US"/>
        </w:rPr>
      </w:pPr>
      <w:r w:rsidRPr="00385B5B">
        <w:rPr>
          <w:lang w:val="en-US" w:eastAsia="en-US"/>
        </w:rPr>
        <w:t xml:space="preserve">The Tomato Genome Consortium. (2012). The tomato genome sequence provides insights into fleshy fruit evolution. </w:t>
      </w:r>
      <w:r w:rsidRPr="00385B5B">
        <w:rPr>
          <w:i/>
          <w:iCs/>
          <w:lang w:val="nl-BE" w:eastAsia="en-US"/>
        </w:rPr>
        <w:t>Nature, 485</w:t>
      </w:r>
      <w:r w:rsidRPr="00385B5B">
        <w:rPr>
          <w:lang w:val="nl-BE" w:eastAsia="en-US"/>
        </w:rPr>
        <w:t xml:space="preserve">(7400), 635–641. </w:t>
      </w:r>
      <w:r w:rsidRPr="00385B5B">
        <w:rPr>
          <w:lang w:val="en-US" w:eastAsia="en-US"/>
        </w:rPr>
        <w:fldChar w:fldCharType="begin"/>
      </w:r>
      <w:r w:rsidRPr="00385B5B">
        <w:rPr>
          <w:lang w:val="nl-BE" w:eastAsia="en-US"/>
        </w:rPr>
        <w:instrText>HYPERLINK "https://doi.org/10.1038/nature11119"</w:instrText>
      </w:r>
      <w:r w:rsidRPr="00385B5B">
        <w:rPr>
          <w:lang w:val="en-US" w:eastAsia="en-US"/>
        </w:rPr>
      </w:r>
      <w:r w:rsidRPr="00385B5B">
        <w:rPr>
          <w:lang w:val="en-US" w:eastAsia="en-US"/>
        </w:rPr>
        <w:fldChar w:fldCharType="separate"/>
      </w:r>
      <w:r w:rsidRPr="00385B5B">
        <w:rPr>
          <w:color w:val="0000FF"/>
          <w:u w:val="single"/>
          <w:lang w:val="nl-BE" w:eastAsia="en-US"/>
        </w:rPr>
        <w:t>https://doi.org/10.1038/nature11119</w:t>
      </w:r>
      <w:r w:rsidRPr="00385B5B">
        <w:rPr>
          <w:lang w:val="en-US" w:eastAsia="en-US"/>
        </w:rPr>
        <w:fldChar w:fldCharType="end"/>
      </w:r>
    </w:p>
    <w:p w14:paraId="0F6351CC"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van Kleeff, P. J. M., van Doore, E., Mastop, M., Liu, J., Silven, J., &amp; Schuurink, R. C. (2026). </w:t>
      </w:r>
      <w:r w:rsidRPr="00385B5B">
        <w:rPr>
          <w:i/>
          <w:iCs/>
          <w:lang w:val="en-US" w:eastAsia="en-US"/>
        </w:rPr>
        <w:t>GOLDEN2-Like 1</w:t>
      </w:r>
      <w:r w:rsidRPr="00385B5B">
        <w:rPr>
          <w:lang w:val="en-US" w:eastAsia="en-US"/>
        </w:rPr>
        <w:t xml:space="preserve"> orthologs are conserved susceptibility targets of </w:t>
      </w:r>
      <w:proofErr w:type="spellStart"/>
      <w:r w:rsidRPr="00385B5B">
        <w:rPr>
          <w:i/>
          <w:iCs/>
          <w:lang w:val="en-US" w:eastAsia="en-US"/>
        </w:rPr>
        <w:t>Bemisia</w:t>
      </w:r>
      <w:proofErr w:type="spellEnd"/>
      <w:r w:rsidRPr="00385B5B">
        <w:rPr>
          <w:i/>
          <w:iCs/>
          <w:lang w:val="en-US" w:eastAsia="en-US"/>
        </w:rPr>
        <w:t xml:space="preserve"> </w:t>
      </w:r>
      <w:proofErr w:type="spellStart"/>
      <w:r w:rsidRPr="00385B5B">
        <w:rPr>
          <w:i/>
          <w:iCs/>
          <w:lang w:val="en-US" w:eastAsia="en-US"/>
        </w:rPr>
        <w:t>tabaci</w:t>
      </w:r>
      <w:proofErr w:type="spellEnd"/>
      <w:r w:rsidRPr="00385B5B">
        <w:rPr>
          <w:lang w:val="en-US" w:eastAsia="en-US"/>
        </w:rPr>
        <w:t xml:space="preserve"> in </w:t>
      </w:r>
      <w:r w:rsidRPr="00385B5B">
        <w:rPr>
          <w:i/>
          <w:iCs/>
          <w:lang w:val="en-US" w:eastAsia="en-US"/>
        </w:rPr>
        <w:t>Arabidopsis</w:t>
      </w:r>
      <w:r w:rsidRPr="00385B5B">
        <w:rPr>
          <w:lang w:val="en-US" w:eastAsia="en-US"/>
        </w:rPr>
        <w:t xml:space="preserve"> and tomato. </w:t>
      </w:r>
      <w:r w:rsidRPr="00385B5B">
        <w:rPr>
          <w:i/>
          <w:iCs/>
          <w:lang w:val="en-US" w:eastAsia="en-US"/>
        </w:rPr>
        <w:t>Molecular Plant-Microbe Interactions, 39</w:t>
      </w:r>
      <w:r w:rsidRPr="00385B5B">
        <w:rPr>
          <w:lang w:val="en-US" w:eastAsia="en-US"/>
        </w:rPr>
        <w:t xml:space="preserve">(3), 508–519. </w:t>
      </w:r>
      <w:hyperlink r:id="rId54" w:history="1">
        <w:r w:rsidRPr="00385B5B">
          <w:rPr>
            <w:color w:val="0000FF"/>
            <w:u w:val="single"/>
            <w:lang w:val="en-US" w:eastAsia="en-US"/>
          </w:rPr>
          <w:t>https://doi.org/10.1094/MPMI-05-25-0059-R</w:t>
        </w:r>
      </w:hyperlink>
    </w:p>
    <w:p w14:paraId="7045C816" w14:textId="77777777" w:rsidR="00385B5B" w:rsidRPr="00385B5B" w:rsidRDefault="00385B5B" w:rsidP="00385B5B">
      <w:pPr>
        <w:spacing w:before="100" w:beforeAutospacing="1" w:after="100" w:afterAutospacing="1"/>
        <w:ind w:left="540" w:hanging="540"/>
        <w:jc w:val="both"/>
        <w:rPr>
          <w:lang w:val="nl-BE" w:eastAsia="en-US"/>
        </w:rPr>
      </w:pPr>
      <w:proofErr w:type="spellStart"/>
      <w:r w:rsidRPr="00385B5B">
        <w:rPr>
          <w:lang w:val="en-US" w:eastAsia="en-US"/>
        </w:rPr>
        <w:t>Verlaan</w:t>
      </w:r>
      <w:proofErr w:type="spellEnd"/>
      <w:r w:rsidRPr="00385B5B">
        <w:rPr>
          <w:lang w:val="en-US" w:eastAsia="en-US"/>
        </w:rPr>
        <w:t xml:space="preserve">, M. G., Hutton, S. F., Ibrahem, R. M., </w:t>
      </w:r>
      <w:proofErr w:type="spellStart"/>
      <w:r w:rsidRPr="00385B5B">
        <w:rPr>
          <w:lang w:val="en-US" w:eastAsia="en-US"/>
        </w:rPr>
        <w:t>Kormelink</w:t>
      </w:r>
      <w:proofErr w:type="spellEnd"/>
      <w:r w:rsidRPr="00385B5B">
        <w:rPr>
          <w:lang w:val="en-US" w:eastAsia="en-US"/>
        </w:rPr>
        <w:t xml:space="preserve">, R., Visser, R. G. F., Scott, J. W., Edwards, J. D., &amp; Bai, Y. (2013). The tomato yellow leaf curl virus resistance genes </w:t>
      </w:r>
      <w:r w:rsidRPr="00385B5B">
        <w:rPr>
          <w:i/>
          <w:iCs/>
          <w:lang w:val="en-US" w:eastAsia="en-US"/>
        </w:rPr>
        <w:t>Ty-1</w:t>
      </w:r>
      <w:r w:rsidRPr="00385B5B">
        <w:rPr>
          <w:lang w:val="en-US" w:eastAsia="en-US"/>
        </w:rPr>
        <w:t xml:space="preserve"> and </w:t>
      </w:r>
      <w:r w:rsidRPr="00385B5B">
        <w:rPr>
          <w:i/>
          <w:iCs/>
          <w:lang w:val="en-US" w:eastAsia="en-US"/>
        </w:rPr>
        <w:t>Ty-3</w:t>
      </w:r>
      <w:r w:rsidRPr="00385B5B">
        <w:rPr>
          <w:lang w:val="en-US" w:eastAsia="en-US"/>
        </w:rPr>
        <w:t xml:space="preserve"> are allelic and code for DFDGD-class RNA-dependent RNA polymerases. </w:t>
      </w:r>
      <w:r w:rsidRPr="00385B5B">
        <w:rPr>
          <w:i/>
          <w:iCs/>
          <w:lang w:val="nl-BE" w:eastAsia="en-US"/>
        </w:rPr>
        <w:t>PLOS Genetics, 9</w:t>
      </w:r>
      <w:r w:rsidRPr="00385B5B">
        <w:rPr>
          <w:lang w:val="nl-BE" w:eastAsia="en-US"/>
        </w:rPr>
        <w:t xml:space="preserve">(3), e1003399. </w:t>
      </w:r>
      <w:r w:rsidRPr="00385B5B">
        <w:rPr>
          <w:lang w:val="en-US" w:eastAsia="en-US"/>
        </w:rPr>
        <w:fldChar w:fldCharType="begin"/>
      </w:r>
      <w:r w:rsidRPr="00385B5B">
        <w:rPr>
          <w:lang w:val="nl-BE" w:eastAsia="en-US"/>
        </w:rPr>
        <w:instrText>HYPERLINK "https://doi.org/10.1371/journal.pgen.1003399"</w:instrText>
      </w:r>
      <w:r w:rsidRPr="00385B5B">
        <w:rPr>
          <w:lang w:val="en-US" w:eastAsia="en-US"/>
        </w:rPr>
      </w:r>
      <w:r w:rsidRPr="00385B5B">
        <w:rPr>
          <w:lang w:val="en-US" w:eastAsia="en-US"/>
        </w:rPr>
        <w:fldChar w:fldCharType="separate"/>
      </w:r>
      <w:r w:rsidRPr="00385B5B">
        <w:rPr>
          <w:color w:val="0000FF"/>
          <w:u w:val="single"/>
          <w:lang w:val="nl-BE" w:eastAsia="en-US"/>
        </w:rPr>
        <w:t>https://doi.org/10.1371/journal.pgen.1003399</w:t>
      </w:r>
      <w:r w:rsidRPr="00385B5B">
        <w:rPr>
          <w:lang w:val="en-US" w:eastAsia="en-US"/>
        </w:rPr>
        <w:fldChar w:fldCharType="end"/>
      </w:r>
    </w:p>
    <w:p w14:paraId="4019F10C"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Vos, P., Simons, G., Jesse, T., Wijbrandi, J., Heinen, L., Hogers, R., Frijters, A., Groenendijk, J., Diergaarde, P., Reijans, M., Fierens-Onstenk, J., de Both, M., Peleman, J., Liharska, T., Hontelez, J., &amp; Zabeau, M. (1998). </w:t>
      </w:r>
      <w:r w:rsidRPr="00385B5B">
        <w:rPr>
          <w:lang w:val="en-US" w:eastAsia="en-US"/>
        </w:rPr>
        <w:t xml:space="preserve">The tomato </w:t>
      </w:r>
      <w:r w:rsidRPr="00385B5B">
        <w:rPr>
          <w:i/>
          <w:iCs/>
          <w:lang w:val="en-US" w:eastAsia="en-US"/>
        </w:rPr>
        <w:t>Mi-1</w:t>
      </w:r>
      <w:r w:rsidRPr="00385B5B">
        <w:rPr>
          <w:lang w:val="en-US" w:eastAsia="en-US"/>
        </w:rPr>
        <w:t xml:space="preserve"> gene confers resistance to both root-knot nematodes and potato aphids. </w:t>
      </w:r>
      <w:r w:rsidRPr="00385B5B">
        <w:rPr>
          <w:i/>
          <w:iCs/>
          <w:lang w:val="en-US" w:eastAsia="en-US"/>
        </w:rPr>
        <w:t>Nature Biotechnology, 16</w:t>
      </w:r>
      <w:r w:rsidRPr="00385B5B">
        <w:rPr>
          <w:lang w:val="en-US" w:eastAsia="en-US"/>
        </w:rPr>
        <w:t xml:space="preserve">(13), 1365–1369. </w:t>
      </w:r>
      <w:hyperlink r:id="rId55" w:history="1">
        <w:r w:rsidRPr="00385B5B">
          <w:rPr>
            <w:color w:val="0000FF"/>
            <w:u w:val="single"/>
            <w:lang w:val="en-US" w:eastAsia="en-US"/>
          </w:rPr>
          <w:t>https://doi.org/10.1038/4350</w:t>
        </w:r>
      </w:hyperlink>
    </w:p>
    <w:p w14:paraId="3E41395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Wang, D., Mandal, P., Rahman, M. S., &amp; Yang, L. (2025). Engineering tomato disease resistance by manipulating susceptibility genes. </w:t>
      </w:r>
      <w:r w:rsidRPr="00385B5B">
        <w:rPr>
          <w:i/>
          <w:iCs/>
          <w:lang w:val="en-US" w:eastAsia="en-US"/>
        </w:rPr>
        <w:t>Frontiers in Genome Editing, 7</w:t>
      </w:r>
      <w:r w:rsidRPr="00385B5B">
        <w:rPr>
          <w:lang w:val="en-US" w:eastAsia="en-US"/>
        </w:rPr>
        <w:t xml:space="preserve">, 1537148. </w:t>
      </w:r>
      <w:hyperlink r:id="rId56" w:history="1">
        <w:r w:rsidRPr="00385B5B">
          <w:rPr>
            <w:color w:val="0000FF"/>
            <w:u w:val="single"/>
            <w:lang w:val="en-US" w:eastAsia="en-US"/>
          </w:rPr>
          <w:t>https://doi.org/10.3389/fgeed.2025.1537148</w:t>
        </w:r>
      </w:hyperlink>
    </w:p>
    <w:p w14:paraId="6741B29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Wang, Y., Gao, R., Gu, T., Li, X., Wang, M., Wang, A., &amp; Qiu, Y. (2025). </w:t>
      </w:r>
      <w:r w:rsidRPr="00385B5B">
        <w:rPr>
          <w:lang w:val="en-US" w:eastAsia="en-US"/>
        </w:rPr>
        <w:t xml:space="preserve">Metabolomics and transcriptomics reveal the role of the terpene biosynthetic pathway in the mechanism of </w:t>
      </w:r>
      <w:r w:rsidRPr="00385B5B">
        <w:rPr>
          <w:lang w:val="en-US" w:eastAsia="en-US"/>
        </w:rPr>
        <w:lastRenderedPageBreak/>
        <w:t xml:space="preserve">insect resistance in </w:t>
      </w:r>
      <w:r w:rsidRPr="00385B5B">
        <w:rPr>
          <w:i/>
          <w:iCs/>
          <w:lang w:val="en-US" w:eastAsia="en-US"/>
        </w:rPr>
        <w:t xml:space="preserve">Solanum </w:t>
      </w:r>
      <w:proofErr w:type="spellStart"/>
      <w:r w:rsidRPr="00385B5B">
        <w:rPr>
          <w:i/>
          <w:iCs/>
          <w:lang w:val="en-US" w:eastAsia="en-US"/>
        </w:rPr>
        <w:t>habrochaites</w:t>
      </w:r>
      <w:proofErr w:type="spellEnd"/>
      <w:r w:rsidRPr="00385B5B">
        <w:rPr>
          <w:lang w:val="en-US" w:eastAsia="en-US"/>
        </w:rPr>
        <w:t xml:space="preserve">. </w:t>
      </w:r>
      <w:r w:rsidRPr="00385B5B">
        <w:rPr>
          <w:i/>
          <w:iCs/>
          <w:lang w:val="en-US" w:eastAsia="en-US"/>
        </w:rPr>
        <w:t>Journal of Agricultural and Food Chemistry, 73</w:t>
      </w:r>
      <w:r w:rsidRPr="00385B5B">
        <w:rPr>
          <w:lang w:val="en-US" w:eastAsia="en-US"/>
        </w:rPr>
        <w:t xml:space="preserve">(10), 6253–6269. </w:t>
      </w:r>
      <w:hyperlink r:id="rId57" w:history="1">
        <w:r w:rsidRPr="00385B5B">
          <w:rPr>
            <w:color w:val="0000FF"/>
            <w:u w:val="single"/>
            <w:lang w:val="en-US" w:eastAsia="en-US"/>
          </w:rPr>
          <w:t>https://doi.org/10.1021/acs.jafc.4c10397</w:t>
        </w:r>
      </w:hyperlink>
    </w:p>
    <w:p w14:paraId="5E6D51F3"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Xie, Y., Zhang, T., Yang, M., Lyu, H., Zou, Y., Sun, Y., Xiao, J., Lian, W., Tao, J., Han, H., &amp; Xu, C. (2025). Engineering crop flower morphology facilitates robotization of cross-pollination and speed breeding. </w:t>
      </w:r>
      <w:r w:rsidRPr="00385B5B">
        <w:rPr>
          <w:i/>
          <w:iCs/>
          <w:lang w:val="en-US" w:eastAsia="en-US"/>
        </w:rPr>
        <w:t>Cell, 188</w:t>
      </w:r>
      <w:r w:rsidRPr="00385B5B">
        <w:rPr>
          <w:lang w:val="en-US" w:eastAsia="en-US"/>
        </w:rPr>
        <w:t xml:space="preserve">(21), 5809–5830.e27. </w:t>
      </w:r>
      <w:hyperlink r:id="rId58" w:history="1">
        <w:r w:rsidRPr="00385B5B">
          <w:rPr>
            <w:color w:val="0000FF"/>
            <w:u w:val="single"/>
            <w:lang w:val="en-US" w:eastAsia="en-US"/>
          </w:rPr>
          <w:t>https://doi.org/10.1016/j.cell.2025.07.028</w:t>
        </w:r>
      </w:hyperlink>
    </w:p>
    <w:p w14:paraId="22EDC43A"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Yamamoto, E., Matsunaga, H., Ohyama, A., </w:t>
      </w:r>
      <w:proofErr w:type="spellStart"/>
      <w:r w:rsidRPr="00385B5B">
        <w:rPr>
          <w:lang w:val="en-US" w:eastAsia="en-US"/>
        </w:rPr>
        <w:t>Nunome</w:t>
      </w:r>
      <w:proofErr w:type="spellEnd"/>
      <w:r w:rsidRPr="00385B5B">
        <w:rPr>
          <w:lang w:val="en-US" w:eastAsia="en-US"/>
        </w:rPr>
        <w:t xml:space="preserve">, T., Yamaguchi, H., Miyatake, K., </w:t>
      </w:r>
      <w:proofErr w:type="spellStart"/>
      <w:r w:rsidRPr="00385B5B">
        <w:rPr>
          <w:lang w:val="en-US" w:eastAsia="en-US"/>
        </w:rPr>
        <w:t>Shirasawa</w:t>
      </w:r>
      <w:proofErr w:type="spellEnd"/>
      <w:r w:rsidRPr="00385B5B">
        <w:rPr>
          <w:lang w:val="en-US" w:eastAsia="en-US"/>
        </w:rPr>
        <w:t xml:space="preserve">, K., &amp; Isobe, S. (2024). Whole-genome resequencing of Japanese large-sized tomato cultivars provides insights into the history of modern breeding. </w:t>
      </w:r>
      <w:r w:rsidRPr="00385B5B">
        <w:rPr>
          <w:i/>
          <w:iCs/>
          <w:lang w:val="en-US" w:eastAsia="en-US"/>
        </w:rPr>
        <w:t>Breeding Science, 74</w:t>
      </w:r>
      <w:r w:rsidRPr="00385B5B">
        <w:rPr>
          <w:lang w:val="en-US" w:eastAsia="en-US"/>
        </w:rPr>
        <w:t xml:space="preserve">(4), 344–353. </w:t>
      </w:r>
      <w:hyperlink r:id="rId59" w:history="1">
        <w:r w:rsidRPr="00385B5B">
          <w:rPr>
            <w:color w:val="0000FF"/>
            <w:u w:val="single"/>
            <w:lang w:val="en-US" w:eastAsia="en-US"/>
          </w:rPr>
          <w:t>https://doi.org/10.1270/jsbbs.24004</w:t>
        </w:r>
      </w:hyperlink>
    </w:p>
    <w:p w14:paraId="168D9C9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Yang, L., Ren, J., Yang, H., Zhou, T., &amp; Yang, W. (2025). Presence of disease resistance genes in tomato germplasm revealed by gene-based or gene-linked molecular markers. </w:t>
      </w:r>
      <w:r w:rsidRPr="00385B5B">
        <w:rPr>
          <w:i/>
          <w:iCs/>
          <w:lang w:val="en-US" w:eastAsia="en-US"/>
        </w:rPr>
        <w:t>Molecular Breeding, 45</w:t>
      </w:r>
      <w:r w:rsidRPr="00385B5B">
        <w:rPr>
          <w:lang w:val="en-US" w:eastAsia="en-US"/>
        </w:rPr>
        <w:t xml:space="preserve">(4), 34. </w:t>
      </w:r>
      <w:hyperlink r:id="rId60" w:history="1">
        <w:r w:rsidRPr="00385B5B">
          <w:rPr>
            <w:color w:val="0000FF"/>
            <w:u w:val="single"/>
            <w:lang w:val="en-US" w:eastAsia="en-US"/>
          </w:rPr>
          <w:t>https://doi.org/10.1007/s11032-025-01557-1</w:t>
        </w:r>
      </w:hyperlink>
    </w:p>
    <w:p w14:paraId="51BD3D8C" w14:textId="77777777" w:rsidR="00385B5B" w:rsidRPr="00385B5B" w:rsidRDefault="00385B5B" w:rsidP="00385B5B">
      <w:pPr>
        <w:spacing w:before="100" w:beforeAutospacing="1" w:after="100" w:afterAutospacing="1"/>
        <w:ind w:left="540" w:hanging="540"/>
        <w:jc w:val="both"/>
        <w:rPr>
          <w:lang w:val="en-US" w:eastAsia="en-US"/>
        </w:rPr>
      </w:pPr>
      <w:proofErr w:type="spellStart"/>
      <w:r w:rsidRPr="00385B5B">
        <w:rPr>
          <w:lang w:val="en-US" w:eastAsia="en-US"/>
        </w:rPr>
        <w:t>Yerasu</w:t>
      </w:r>
      <w:proofErr w:type="spellEnd"/>
      <w:r w:rsidRPr="00385B5B">
        <w:rPr>
          <w:lang w:val="en-US" w:eastAsia="en-US"/>
        </w:rPr>
        <w:t xml:space="preserve">, S. R., Prasanna, H. C., Krishnan, N., Maurya, S., Panwar, H. S., Reddy, S. K., Tiwari, J. K., Rai, N., &amp; Behera, T. K. (2025). Marker assisted pyramiding of major resistance genes of tomato leaf curl and late blight diseases for </w:t>
      </w:r>
      <w:proofErr w:type="spellStart"/>
      <w:r w:rsidRPr="00385B5B">
        <w:rPr>
          <w:lang w:val="en-US" w:eastAsia="en-US"/>
        </w:rPr>
        <w:t>stabilising</w:t>
      </w:r>
      <w:proofErr w:type="spellEnd"/>
      <w:r w:rsidRPr="00385B5B">
        <w:rPr>
          <w:lang w:val="en-US" w:eastAsia="en-US"/>
        </w:rPr>
        <w:t xml:space="preserve"> tomato production. </w:t>
      </w:r>
      <w:r w:rsidRPr="00385B5B">
        <w:rPr>
          <w:i/>
          <w:iCs/>
          <w:lang w:val="en-US" w:eastAsia="en-US"/>
        </w:rPr>
        <w:t>Physiology and Molecular Biology of Plants, 31</w:t>
      </w:r>
      <w:r w:rsidRPr="00385B5B">
        <w:rPr>
          <w:lang w:val="en-US" w:eastAsia="en-US"/>
        </w:rPr>
        <w:t xml:space="preserve">(1), 105–118. </w:t>
      </w:r>
      <w:hyperlink r:id="rId61" w:history="1">
        <w:r w:rsidRPr="00385B5B">
          <w:rPr>
            <w:color w:val="0000FF"/>
            <w:u w:val="single"/>
            <w:lang w:val="en-US" w:eastAsia="en-US"/>
          </w:rPr>
          <w:t>https://doi.org/10.1007/s12298-025-01548-8</w:t>
        </w:r>
      </w:hyperlink>
    </w:p>
    <w:p w14:paraId="63EF04E4"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You, Y., Balaji, A., Herrera Valderrama, A. L., Denarié, M.-E., Suraj, H. M., Ramirez Gaona, M., Hanika, K., Verstappen, F., Kappers, I. F., &amp; van Kan, J. A. L. (2026). </w:t>
      </w:r>
      <w:r w:rsidRPr="00385B5B">
        <w:rPr>
          <w:lang w:val="en-US" w:eastAsia="en-US"/>
        </w:rPr>
        <w:t xml:space="preserve">The role of two glycoalkaloid metabolism genes in α-tomatine biosynthesis and basal </w:t>
      </w:r>
      <w:proofErr w:type="spellStart"/>
      <w:r w:rsidRPr="00385B5B">
        <w:rPr>
          <w:lang w:val="en-US" w:eastAsia="en-US"/>
        </w:rPr>
        <w:t>defence</w:t>
      </w:r>
      <w:proofErr w:type="spellEnd"/>
      <w:r w:rsidRPr="00385B5B">
        <w:rPr>
          <w:lang w:val="en-US" w:eastAsia="en-US"/>
        </w:rPr>
        <w:t xml:space="preserve"> in tomato. </w:t>
      </w:r>
      <w:r w:rsidRPr="00385B5B">
        <w:rPr>
          <w:i/>
          <w:iCs/>
          <w:lang w:val="en-US" w:eastAsia="en-US"/>
        </w:rPr>
        <w:t>Molecular Plant Pathology, 27</w:t>
      </w:r>
      <w:r w:rsidRPr="00385B5B">
        <w:rPr>
          <w:lang w:val="en-US" w:eastAsia="en-US"/>
        </w:rPr>
        <w:t xml:space="preserve">(6), e70275. </w:t>
      </w:r>
      <w:hyperlink r:id="rId62" w:history="1">
        <w:r w:rsidRPr="00385B5B">
          <w:rPr>
            <w:color w:val="0000FF"/>
            <w:u w:val="single"/>
            <w:lang w:val="en-US" w:eastAsia="en-US"/>
          </w:rPr>
          <w:t>https://doi.org/10.1111/mpp.70275</w:t>
        </w:r>
      </w:hyperlink>
    </w:p>
    <w:p w14:paraId="639B8148"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Yu, C., Wang, X., Qin, C., Liu, Y., Gan, G., Cai, L., Xiang, R., Jiang, Y., Li, W., Yang, Q., &amp; Wang, Y. (2026). A comparative transcriptome and WGCNA of tomato </w:t>
      </w:r>
      <w:proofErr w:type="gramStart"/>
      <w:r w:rsidRPr="00385B5B">
        <w:rPr>
          <w:lang w:val="en-US" w:eastAsia="en-US"/>
        </w:rPr>
        <w:t>reveals</w:t>
      </w:r>
      <w:proofErr w:type="gramEnd"/>
      <w:r w:rsidRPr="00385B5B">
        <w:rPr>
          <w:lang w:val="en-US" w:eastAsia="en-US"/>
        </w:rPr>
        <w:t xml:space="preserve"> hub genes and a hormone-mediated defense network against </w:t>
      </w:r>
      <w:r w:rsidRPr="00385B5B">
        <w:rPr>
          <w:i/>
          <w:iCs/>
          <w:lang w:val="en-US" w:eastAsia="en-US"/>
        </w:rPr>
        <w:t>Ralstonia solanacearum</w:t>
      </w:r>
      <w:r w:rsidRPr="00385B5B">
        <w:rPr>
          <w:lang w:val="en-US" w:eastAsia="en-US"/>
        </w:rPr>
        <w:t xml:space="preserve">. </w:t>
      </w:r>
      <w:r w:rsidRPr="00385B5B">
        <w:rPr>
          <w:i/>
          <w:iCs/>
          <w:lang w:val="en-US" w:eastAsia="en-US"/>
        </w:rPr>
        <w:t>Biology, 15</w:t>
      </w:r>
      <w:r w:rsidRPr="00385B5B">
        <w:rPr>
          <w:lang w:val="en-US" w:eastAsia="en-US"/>
        </w:rPr>
        <w:t xml:space="preserve">(6), 509. </w:t>
      </w:r>
      <w:hyperlink r:id="rId63" w:history="1">
        <w:r w:rsidRPr="00385B5B">
          <w:rPr>
            <w:color w:val="0000FF"/>
            <w:u w:val="single"/>
            <w:lang w:val="en-US" w:eastAsia="en-US"/>
          </w:rPr>
          <w:t>https://doi.org/10.3390/biology15060509</w:t>
        </w:r>
      </w:hyperlink>
    </w:p>
    <w:p w14:paraId="5FBB9AEB"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Yu, J., Chen, Q., Yuan, L., Feng, S., Huang, M., Zheng, P., Chen, G., Tao, X., Edwards, D., Chen, Z.-H., &amp; Xu, S. (2025). Phylogenomic and super-pangenome analyses unveil the genetic landscape of tomato evolution and domestication. </w:t>
      </w:r>
      <w:r w:rsidRPr="00385B5B">
        <w:rPr>
          <w:i/>
          <w:iCs/>
          <w:lang w:val="en-US" w:eastAsia="en-US"/>
        </w:rPr>
        <w:t>Plant Biotechnology Journal, 23</w:t>
      </w:r>
      <w:r w:rsidRPr="00385B5B">
        <w:rPr>
          <w:lang w:val="en-US" w:eastAsia="en-US"/>
        </w:rPr>
        <w:t xml:space="preserve">(9), 3783–3797. </w:t>
      </w:r>
      <w:hyperlink r:id="rId64" w:history="1">
        <w:r w:rsidRPr="00385B5B">
          <w:rPr>
            <w:color w:val="0000FF"/>
            <w:u w:val="single"/>
            <w:lang w:val="en-US" w:eastAsia="en-US"/>
          </w:rPr>
          <w:t>https://doi.org/10.1111/pbi.70199</w:t>
        </w:r>
      </w:hyperlink>
    </w:p>
    <w:p w14:paraId="3B331B90"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Zannou, A. J., Romeis, J., &amp; Collatz, J. (2025). Response of the tomato leaf miner </w:t>
      </w:r>
      <w:proofErr w:type="spellStart"/>
      <w:r w:rsidRPr="00385B5B">
        <w:rPr>
          <w:i/>
          <w:iCs/>
          <w:lang w:val="en-US" w:eastAsia="en-US"/>
        </w:rPr>
        <w:t>Phthorimaea</w:t>
      </w:r>
      <w:proofErr w:type="spellEnd"/>
      <w:r w:rsidRPr="00385B5B">
        <w:rPr>
          <w:i/>
          <w:iCs/>
          <w:lang w:val="en-US" w:eastAsia="en-US"/>
        </w:rPr>
        <w:t xml:space="preserve"> </w:t>
      </w:r>
      <w:proofErr w:type="spellStart"/>
      <w:r w:rsidRPr="00385B5B">
        <w:rPr>
          <w:i/>
          <w:iCs/>
          <w:lang w:val="en-US" w:eastAsia="en-US"/>
        </w:rPr>
        <w:t>absoluta</w:t>
      </w:r>
      <w:proofErr w:type="spellEnd"/>
      <w:r w:rsidRPr="00385B5B">
        <w:rPr>
          <w:lang w:val="en-US" w:eastAsia="en-US"/>
        </w:rPr>
        <w:t xml:space="preserve"> to wild and domesticated tomato genotypes. </w:t>
      </w:r>
      <w:r w:rsidRPr="00385B5B">
        <w:rPr>
          <w:i/>
          <w:iCs/>
          <w:lang w:val="en-US" w:eastAsia="en-US"/>
        </w:rPr>
        <w:t>Pest Management Science, 81</w:t>
      </w:r>
      <w:r w:rsidRPr="00385B5B">
        <w:rPr>
          <w:lang w:val="en-US" w:eastAsia="en-US"/>
        </w:rPr>
        <w:t xml:space="preserve">(3), 1345–1359. </w:t>
      </w:r>
      <w:hyperlink r:id="rId65" w:history="1">
        <w:r w:rsidRPr="00385B5B">
          <w:rPr>
            <w:color w:val="0000FF"/>
            <w:u w:val="single"/>
            <w:lang w:val="en-US" w:eastAsia="en-US"/>
          </w:rPr>
          <w:t>https://doi.org/10.1002/ps.8534</w:t>
        </w:r>
      </w:hyperlink>
    </w:p>
    <w:p w14:paraId="32B53642"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en-US" w:eastAsia="en-US"/>
        </w:rPr>
        <w:t xml:space="preserve">Zhou, Y., Zhang, Z., Bao, Z., Li, H., Lyu, Y., Zan, Y., Wu, Y., Cheng, L., Fang, Y., Wu, K., Zhang, J., Lyu, H., Lin, T., Gao, Q., Saha, S., Mueller, L., Fei, Z., </w:t>
      </w:r>
      <w:proofErr w:type="spellStart"/>
      <w:r w:rsidRPr="00385B5B">
        <w:rPr>
          <w:lang w:val="en-US" w:eastAsia="en-US"/>
        </w:rPr>
        <w:t>Städler</w:t>
      </w:r>
      <w:proofErr w:type="spellEnd"/>
      <w:r w:rsidRPr="00385B5B">
        <w:rPr>
          <w:lang w:val="en-US" w:eastAsia="en-US"/>
        </w:rPr>
        <w:t xml:space="preserve">, T., Xu, S., … Huang, S. (2022). Graph pangenome captures missing heritability and empowers tomato breeding. </w:t>
      </w:r>
      <w:r w:rsidRPr="00385B5B">
        <w:rPr>
          <w:i/>
          <w:iCs/>
          <w:lang w:val="en-US" w:eastAsia="en-US"/>
        </w:rPr>
        <w:t>Nature, 606</w:t>
      </w:r>
      <w:r w:rsidRPr="00385B5B">
        <w:rPr>
          <w:lang w:val="en-US" w:eastAsia="en-US"/>
        </w:rPr>
        <w:t xml:space="preserve">(7914), 527–534. </w:t>
      </w:r>
      <w:hyperlink r:id="rId66" w:history="1">
        <w:r w:rsidRPr="00385B5B">
          <w:rPr>
            <w:color w:val="0000FF"/>
            <w:u w:val="single"/>
            <w:lang w:val="en-US" w:eastAsia="en-US"/>
          </w:rPr>
          <w:t>https://doi.org/10.1038/s41586-022-04808-9</w:t>
        </w:r>
      </w:hyperlink>
    </w:p>
    <w:p w14:paraId="6CEF5EBC" w14:textId="77777777" w:rsidR="00385B5B" w:rsidRPr="00385B5B" w:rsidRDefault="00385B5B" w:rsidP="00385B5B">
      <w:pPr>
        <w:spacing w:before="100" w:beforeAutospacing="1" w:after="100" w:afterAutospacing="1"/>
        <w:ind w:left="540" w:hanging="540"/>
        <w:jc w:val="both"/>
        <w:rPr>
          <w:lang w:val="en-US" w:eastAsia="en-US"/>
        </w:rPr>
      </w:pPr>
      <w:r w:rsidRPr="00385B5B">
        <w:rPr>
          <w:lang w:val="nl-BE" w:eastAsia="en-US"/>
        </w:rPr>
        <w:t xml:space="preserve">Zois, R., van Damme, M., Verbeek, M., Veenendaal, L. D. H., Bai, Y., &amp; Wolters, A.-M. A. (2025). </w:t>
      </w:r>
      <w:r w:rsidRPr="00385B5B">
        <w:rPr>
          <w:i/>
          <w:iCs/>
          <w:lang w:val="en-US" w:eastAsia="en-US"/>
        </w:rPr>
        <w:t>Tm-1</w:t>
      </w:r>
      <w:r w:rsidRPr="00385B5B">
        <w:rPr>
          <w:lang w:val="en-US" w:eastAsia="en-US"/>
        </w:rPr>
        <w:t xml:space="preserve"> back in business: An allele from </w:t>
      </w:r>
      <w:r w:rsidRPr="00385B5B">
        <w:rPr>
          <w:i/>
          <w:iCs/>
          <w:lang w:val="en-US" w:eastAsia="en-US"/>
        </w:rPr>
        <w:t xml:space="preserve">Solanum </w:t>
      </w:r>
      <w:proofErr w:type="spellStart"/>
      <w:r w:rsidRPr="00385B5B">
        <w:rPr>
          <w:i/>
          <w:iCs/>
          <w:lang w:val="en-US" w:eastAsia="en-US"/>
        </w:rPr>
        <w:t>pennellii</w:t>
      </w:r>
      <w:proofErr w:type="spellEnd"/>
      <w:r w:rsidRPr="00385B5B">
        <w:rPr>
          <w:lang w:val="en-US" w:eastAsia="en-US"/>
        </w:rPr>
        <w:t xml:space="preserve"> accessions plays a major </w:t>
      </w:r>
      <w:r w:rsidRPr="00385B5B">
        <w:rPr>
          <w:lang w:val="en-US" w:eastAsia="en-US"/>
        </w:rPr>
        <w:lastRenderedPageBreak/>
        <w:t xml:space="preserve">role in </w:t>
      </w:r>
      <w:proofErr w:type="spellStart"/>
      <w:r w:rsidRPr="00385B5B">
        <w:rPr>
          <w:lang w:val="en-US" w:eastAsia="en-US"/>
        </w:rPr>
        <w:t>ToBRFV</w:t>
      </w:r>
      <w:proofErr w:type="spellEnd"/>
      <w:r w:rsidRPr="00385B5B">
        <w:rPr>
          <w:lang w:val="en-US" w:eastAsia="en-US"/>
        </w:rPr>
        <w:t xml:space="preserve"> resistance. </w:t>
      </w:r>
      <w:r w:rsidRPr="00385B5B">
        <w:rPr>
          <w:i/>
          <w:iCs/>
          <w:lang w:val="en-US" w:eastAsia="en-US"/>
        </w:rPr>
        <w:t>Theoretical and Applied Genetics, 138</w:t>
      </w:r>
      <w:r w:rsidRPr="00385B5B">
        <w:rPr>
          <w:lang w:val="en-US" w:eastAsia="en-US"/>
        </w:rPr>
        <w:t xml:space="preserve">(10), 248. </w:t>
      </w:r>
      <w:hyperlink r:id="rId67" w:history="1">
        <w:r w:rsidRPr="00385B5B">
          <w:rPr>
            <w:color w:val="0000FF"/>
            <w:u w:val="single"/>
            <w:lang w:val="en-US" w:eastAsia="en-US"/>
          </w:rPr>
          <w:t>https://doi.org/10.1007/s00122-025-05036-1</w:t>
        </w:r>
      </w:hyperlink>
    </w:p>
    <w:p w14:paraId="7314115A" w14:textId="66D20882" w:rsidR="00666A9D" w:rsidRPr="00565DA6" w:rsidRDefault="00666A9D" w:rsidP="00385B5B">
      <w:pPr>
        <w:spacing w:before="100" w:beforeAutospacing="1" w:after="100" w:afterAutospacing="1"/>
        <w:ind w:left="720" w:hanging="720"/>
      </w:pPr>
    </w:p>
    <w:sectPr w:rsidR="00666A9D" w:rsidRPr="00565DA6">
      <w:headerReference w:type="even" r:id="rId68"/>
      <w:headerReference w:type="default" r:id="rId69"/>
      <w:footerReference w:type="even" r:id="rId70"/>
      <w:footerReference w:type="default" r:id="rId71"/>
      <w:headerReference w:type="first" r:id="rId72"/>
      <w:footerReference w:type="first" r:id="rId7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1F52" w14:textId="77777777" w:rsidR="004139C1" w:rsidRDefault="004139C1" w:rsidP="00F4061B">
      <w:r>
        <w:separator/>
      </w:r>
    </w:p>
  </w:endnote>
  <w:endnote w:type="continuationSeparator" w:id="0">
    <w:p w14:paraId="296ED4A8" w14:textId="77777777" w:rsidR="004139C1" w:rsidRDefault="004139C1" w:rsidP="00F40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DDE" w14:textId="77777777" w:rsidR="00F4061B" w:rsidRDefault="00F40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50FC" w14:textId="77777777" w:rsidR="00F4061B" w:rsidRDefault="00F40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B0E6" w14:textId="77777777" w:rsidR="00F4061B" w:rsidRDefault="00F40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C11E" w14:textId="77777777" w:rsidR="004139C1" w:rsidRDefault="004139C1" w:rsidP="00F4061B">
      <w:r>
        <w:separator/>
      </w:r>
    </w:p>
  </w:footnote>
  <w:footnote w:type="continuationSeparator" w:id="0">
    <w:p w14:paraId="4314718C" w14:textId="77777777" w:rsidR="004139C1" w:rsidRDefault="004139C1" w:rsidP="00F40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FB4B" w14:textId="77777777" w:rsidR="00F4061B" w:rsidRDefault="00000000">
    <w:pPr>
      <w:pStyle w:val="Header"/>
    </w:pPr>
    <w:r>
      <w:rPr>
        <w:noProof/>
      </w:rPr>
      <w:pict w14:anchorId="32D62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6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136C" w14:textId="77777777" w:rsidR="00F4061B" w:rsidRDefault="00000000">
    <w:pPr>
      <w:pStyle w:val="Header"/>
    </w:pPr>
    <w:r>
      <w:rPr>
        <w:noProof/>
      </w:rPr>
      <w:pict w14:anchorId="4292CD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6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2FD2" w14:textId="77777777" w:rsidR="00F4061B" w:rsidRDefault="00000000">
    <w:pPr>
      <w:pStyle w:val="Header"/>
    </w:pPr>
    <w:r>
      <w:rPr>
        <w:noProof/>
      </w:rPr>
      <w:pict w14:anchorId="027BC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5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77F2"/>
    <w:multiLevelType w:val="hybridMultilevel"/>
    <w:tmpl w:val="BA8AF776"/>
    <w:lvl w:ilvl="0" w:tplc="1AC43A16">
      <w:start w:val="1"/>
      <w:numFmt w:val="bullet"/>
      <w:lvlText w:val="●"/>
      <w:lvlJc w:val="left"/>
      <w:pPr>
        <w:ind w:left="720" w:hanging="360"/>
      </w:pPr>
    </w:lvl>
    <w:lvl w:ilvl="1" w:tplc="B2E8ED44">
      <w:start w:val="1"/>
      <w:numFmt w:val="bullet"/>
      <w:lvlText w:val="○"/>
      <w:lvlJc w:val="left"/>
      <w:pPr>
        <w:ind w:left="1440" w:hanging="360"/>
      </w:pPr>
    </w:lvl>
    <w:lvl w:ilvl="2" w:tplc="E17023D4">
      <w:start w:val="1"/>
      <w:numFmt w:val="bullet"/>
      <w:lvlText w:val="■"/>
      <w:lvlJc w:val="left"/>
      <w:pPr>
        <w:ind w:left="2160" w:hanging="360"/>
      </w:pPr>
    </w:lvl>
    <w:lvl w:ilvl="3" w:tplc="F5EC088A">
      <w:start w:val="1"/>
      <w:numFmt w:val="bullet"/>
      <w:lvlText w:val="●"/>
      <w:lvlJc w:val="left"/>
      <w:pPr>
        <w:ind w:left="2880" w:hanging="360"/>
      </w:pPr>
    </w:lvl>
    <w:lvl w:ilvl="4" w:tplc="D3A61056">
      <w:start w:val="1"/>
      <w:numFmt w:val="bullet"/>
      <w:lvlText w:val="○"/>
      <w:lvlJc w:val="left"/>
      <w:pPr>
        <w:ind w:left="3600" w:hanging="360"/>
      </w:pPr>
    </w:lvl>
    <w:lvl w:ilvl="5" w:tplc="FEA49B2E">
      <w:start w:val="1"/>
      <w:numFmt w:val="bullet"/>
      <w:lvlText w:val="■"/>
      <w:lvlJc w:val="left"/>
      <w:pPr>
        <w:ind w:left="4320" w:hanging="360"/>
      </w:pPr>
    </w:lvl>
    <w:lvl w:ilvl="6" w:tplc="9C8E7468">
      <w:start w:val="1"/>
      <w:numFmt w:val="bullet"/>
      <w:lvlText w:val="●"/>
      <w:lvlJc w:val="left"/>
      <w:pPr>
        <w:ind w:left="5040" w:hanging="360"/>
      </w:pPr>
    </w:lvl>
    <w:lvl w:ilvl="7" w:tplc="1D5492B4">
      <w:start w:val="1"/>
      <w:numFmt w:val="bullet"/>
      <w:lvlText w:val="●"/>
      <w:lvlJc w:val="left"/>
      <w:pPr>
        <w:ind w:left="5760" w:hanging="360"/>
      </w:pPr>
    </w:lvl>
    <w:lvl w:ilvl="8" w:tplc="7C88EA42">
      <w:start w:val="1"/>
      <w:numFmt w:val="bullet"/>
      <w:lvlText w:val="●"/>
      <w:lvlJc w:val="left"/>
      <w:pPr>
        <w:ind w:left="6480" w:hanging="360"/>
      </w:pPr>
    </w:lvl>
  </w:abstractNum>
  <w:num w:numId="1" w16cid:durableId="6218819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A9D"/>
    <w:rsid w:val="001574E4"/>
    <w:rsid w:val="002A7D74"/>
    <w:rsid w:val="00385B5B"/>
    <w:rsid w:val="003E3426"/>
    <w:rsid w:val="004139C1"/>
    <w:rsid w:val="00521C89"/>
    <w:rsid w:val="00565DA6"/>
    <w:rsid w:val="00666A9D"/>
    <w:rsid w:val="006A1F1E"/>
    <w:rsid w:val="0070408D"/>
    <w:rsid w:val="007A6248"/>
    <w:rsid w:val="008338FB"/>
    <w:rsid w:val="009A7CC5"/>
    <w:rsid w:val="009E4EF9"/>
    <w:rsid w:val="00B448DB"/>
    <w:rsid w:val="00C32745"/>
    <w:rsid w:val="00C3686D"/>
    <w:rsid w:val="00C47E2D"/>
    <w:rsid w:val="00C76CF2"/>
    <w:rsid w:val="00CB2C70"/>
    <w:rsid w:val="00CD1350"/>
    <w:rsid w:val="00F4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3C39C"/>
  <w15:docId w15:val="{46A6DF43-6A15-46D3-931A-0E641958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4061B"/>
    <w:pPr>
      <w:tabs>
        <w:tab w:val="center" w:pos="4513"/>
        <w:tab w:val="right" w:pos="9026"/>
      </w:tabs>
    </w:pPr>
  </w:style>
  <w:style w:type="character" w:customStyle="1" w:styleId="HeaderChar">
    <w:name w:val="Header Char"/>
    <w:basedOn w:val="DefaultParagraphFont"/>
    <w:link w:val="Header"/>
    <w:uiPriority w:val="99"/>
    <w:rsid w:val="00F4061B"/>
  </w:style>
  <w:style w:type="paragraph" w:styleId="Footer">
    <w:name w:val="footer"/>
    <w:basedOn w:val="Normal"/>
    <w:link w:val="FooterChar"/>
    <w:uiPriority w:val="99"/>
    <w:unhideWhenUsed/>
    <w:rsid w:val="00F4061B"/>
    <w:pPr>
      <w:tabs>
        <w:tab w:val="center" w:pos="4513"/>
        <w:tab w:val="right" w:pos="9026"/>
      </w:tabs>
    </w:pPr>
  </w:style>
  <w:style w:type="character" w:customStyle="1" w:styleId="FooterChar">
    <w:name w:val="Footer Char"/>
    <w:basedOn w:val="DefaultParagraphFont"/>
    <w:link w:val="Footer"/>
    <w:uiPriority w:val="99"/>
    <w:rsid w:val="00F40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pls.2025.1668191" TargetMode="External"/><Relationship Id="rId21" Type="http://schemas.openxmlformats.org/officeDocument/2006/relationships/hyperlink" Target="https://doi.org/10.1093/g3journal/jkaf216" TargetMode="External"/><Relationship Id="rId42" Type="http://schemas.openxmlformats.org/officeDocument/2006/relationships/hyperlink" Target="https://doi.org/10.3389/fpls.2026.1788099" TargetMode="External"/><Relationship Id="rId47" Type="http://schemas.openxmlformats.org/officeDocument/2006/relationships/hyperlink" Target="https://doi.org/10.3389/fpls.2026.1815342" TargetMode="External"/><Relationship Id="rId63" Type="http://schemas.openxmlformats.org/officeDocument/2006/relationships/hyperlink" Target="https://doi.org/10.3390/biology15060509" TargetMode="External"/><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93/molbev/msag087" TargetMode="External"/><Relationship Id="rId29" Type="http://schemas.openxmlformats.org/officeDocument/2006/relationships/hyperlink" Target="https://doi.org/10.3389/fpls.2023.1232735" TargetMode="External"/><Relationship Id="rId11" Type="http://schemas.openxmlformats.org/officeDocument/2006/relationships/hyperlink" Target="https://doi.org/10.1007/s00122-026-05252-3" TargetMode="External"/><Relationship Id="rId24" Type="http://schemas.openxmlformats.org/officeDocument/2006/relationships/hyperlink" Target="https://doi.org/10.1038/s44264-026-00154-9" TargetMode="External"/><Relationship Id="rId32" Type="http://schemas.openxmlformats.org/officeDocument/2006/relationships/hyperlink" Target="https://doi.org/10.1126/sciadv.adw4333" TargetMode="External"/><Relationship Id="rId37" Type="http://schemas.openxmlformats.org/officeDocument/2006/relationships/hyperlink" Target="https://doi.org/10.1093/aob/mcaf292" TargetMode="External"/><Relationship Id="rId40" Type="http://schemas.openxmlformats.org/officeDocument/2006/relationships/hyperlink" Target="https://doi.org/10.1111/tpj.70115" TargetMode="External"/><Relationship Id="rId45" Type="http://schemas.openxmlformats.org/officeDocument/2006/relationships/hyperlink" Target="https://doi.org/10.3390/insects16070721" TargetMode="External"/><Relationship Id="rId53" Type="http://schemas.openxmlformats.org/officeDocument/2006/relationships/hyperlink" Target="https://doi.org/10.1093/plphys/kiae302" TargetMode="External"/><Relationship Id="rId58" Type="http://schemas.openxmlformats.org/officeDocument/2006/relationships/hyperlink" Target="https://doi.org/10.1016/j.cell.2025.07.028" TargetMode="External"/><Relationship Id="rId66" Type="http://schemas.openxmlformats.org/officeDocument/2006/relationships/hyperlink" Target="https://doi.org/10.1038/s41586-022-04808-9"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doi.org/10.1007/s12298-025-01548-8" TargetMode="External"/><Relationship Id="rId19" Type="http://schemas.openxmlformats.org/officeDocument/2006/relationships/hyperlink" Target="https://doi.org/10.4060/cc9205en" TargetMode="External"/><Relationship Id="rId14" Type="http://schemas.openxmlformats.org/officeDocument/2006/relationships/hyperlink" Target="https://doi.org/10.1016/j.jia.2024.07.017" TargetMode="External"/><Relationship Id="rId22" Type="http://schemas.openxmlformats.org/officeDocument/2006/relationships/hyperlink" Target="https://doi.org/10.1073/pnas.2524700123" TargetMode="External"/><Relationship Id="rId27" Type="http://schemas.openxmlformats.org/officeDocument/2006/relationships/hyperlink" Target="https://doi.org/10.1007/s11032-024-01497-2" TargetMode="External"/><Relationship Id="rId30" Type="http://schemas.openxmlformats.org/officeDocument/2006/relationships/hyperlink" Target="https://doi.org/10.1093/hr/uhag074" TargetMode="External"/><Relationship Id="rId35" Type="http://schemas.openxmlformats.org/officeDocument/2006/relationships/hyperlink" Target="https://doi.org/10.1371/journal.pone.0305402" TargetMode="External"/><Relationship Id="rId43" Type="http://schemas.openxmlformats.org/officeDocument/2006/relationships/hyperlink" Target="https://doi.org/10.1007/s10142-025-01804-w" TargetMode="External"/><Relationship Id="rId48" Type="http://schemas.openxmlformats.org/officeDocument/2006/relationships/hyperlink" Target="https://doi.org/10.1093/jxb/eraf298" TargetMode="External"/><Relationship Id="rId56" Type="http://schemas.openxmlformats.org/officeDocument/2006/relationships/hyperlink" Target="https://doi.org/10.3389/fgeed.2025.1537148" TargetMode="External"/><Relationship Id="rId64" Type="http://schemas.openxmlformats.org/officeDocument/2006/relationships/hyperlink" Target="https://doi.org/10.1111/pbi.70199" TargetMode="External"/><Relationship Id="rId69" Type="http://schemas.openxmlformats.org/officeDocument/2006/relationships/header" Target="header2.xml"/><Relationship Id="rId8" Type="http://schemas.openxmlformats.org/officeDocument/2006/relationships/hyperlink" Target="https://doi.org/10.1094/PDIS-03-25-0469-RE" TargetMode="External"/><Relationship Id="rId51" Type="http://schemas.openxmlformats.org/officeDocument/2006/relationships/hyperlink" Target="https://doi.org/10.1038/s41588-026-02508-y" TargetMode="External"/><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doi.org/10.1186/s41073-019-0064-8" TargetMode="External"/><Relationship Id="rId17" Type="http://schemas.openxmlformats.org/officeDocument/2006/relationships/hyperlink" Target="https://doi.org/10.1371/journal.ppat.1013892" TargetMode="External"/><Relationship Id="rId25" Type="http://schemas.openxmlformats.org/officeDocument/2006/relationships/hyperlink" Target="https://doi.org/10.1007/s00299-024-03268-x" TargetMode="External"/><Relationship Id="rId33" Type="http://schemas.openxmlformats.org/officeDocument/2006/relationships/hyperlink" Target="https://doi.org/10.1093/hr/uhag059" TargetMode="External"/><Relationship Id="rId38" Type="http://schemas.openxmlformats.org/officeDocument/2006/relationships/hyperlink" Target="https://doi.org/10.3390/insects11120842" TargetMode="External"/><Relationship Id="rId46" Type="http://schemas.openxmlformats.org/officeDocument/2006/relationships/hyperlink" Target="https://doi.org/10.1038/s41598-025-88028-x" TargetMode="External"/><Relationship Id="rId59" Type="http://schemas.openxmlformats.org/officeDocument/2006/relationships/hyperlink" Target="https://doi.org/10.1270/jsbbs.24004" TargetMode="External"/><Relationship Id="rId67" Type="http://schemas.openxmlformats.org/officeDocument/2006/relationships/hyperlink" Target="https://doi.org/10.1007/s00122-025-05036-1" TargetMode="External"/><Relationship Id="rId20" Type="http://schemas.openxmlformats.org/officeDocument/2006/relationships/hyperlink" Target="https://doi.org/10.1016/j.virol.2026.110820" TargetMode="External"/><Relationship Id="rId41" Type="http://schemas.openxmlformats.org/officeDocument/2006/relationships/hyperlink" Target="https://doi.org/10.1094/PHYTO-07-23-0256-KC" TargetMode="External"/><Relationship Id="rId54" Type="http://schemas.openxmlformats.org/officeDocument/2006/relationships/hyperlink" Target="https://doi.org/10.1094/MPMI-05-25-0059-R" TargetMode="External"/><Relationship Id="rId62" Type="http://schemas.openxmlformats.org/officeDocument/2006/relationships/hyperlink" Target="https://doi.org/10.1111/mpp.70275"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864-026-12682-2" TargetMode="External"/><Relationship Id="rId23" Type="http://schemas.openxmlformats.org/officeDocument/2006/relationships/hyperlink" Target="https://doi.org/10.1007/s11032-025-01560-6" TargetMode="External"/><Relationship Id="rId28" Type="http://schemas.openxmlformats.org/officeDocument/2006/relationships/hyperlink" Target="https://doi.org/10.1111/mpp.70281" TargetMode="External"/><Relationship Id="rId36" Type="http://schemas.openxmlformats.org/officeDocument/2006/relationships/hyperlink" Target="https://doi.org/10.1007/s11103-026-01700-2" TargetMode="External"/><Relationship Id="rId49" Type="http://schemas.openxmlformats.org/officeDocument/2006/relationships/hyperlink" Target="https://doi.org/10.1007/s00425-023-04108-0" TargetMode="External"/><Relationship Id="rId57" Type="http://schemas.openxmlformats.org/officeDocument/2006/relationships/hyperlink" Target="https://doi.org/10.1021/acs.jafc.4c10397" TargetMode="External"/><Relationship Id="rId10" Type="http://schemas.openxmlformats.org/officeDocument/2006/relationships/hyperlink" Target="https://doi.org/10.3390/plants15111644" TargetMode="External"/><Relationship Id="rId31" Type="http://schemas.openxmlformats.org/officeDocument/2006/relationships/hyperlink" Target="https://doi.org/10.1186/s12870-024-05428-3" TargetMode="External"/><Relationship Id="rId44" Type="http://schemas.openxmlformats.org/officeDocument/2006/relationships/hyperlink" Target="https://doi.org/10.1093/jxb/eraf257" TargetMode="External"/><Relationship Id="rId52" Type="http://schemas.openxmlformats.org/officeDocument/2006/relationships/hyperlink" Target="https://doi.org/10.1093/plphys/kiag012" TargetMode="External"/><Relationship Id="rId60" Type="http://schemas.openxmlformats.org/officeDocument/2006/relationships/hyperlink" Target="https://doi.org/10.1007/s11032-025-01557-1" TargetMode="External"/><Relationship Id="rId65" Type="http://schemas.openxmlformats.org/officeDocument/2006/relationships/hyperlink" Target="https://doi.org/10.1002/ps.8534"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02/tpg2.70132" TargetMode="External"/><Relationship Id="rId13" Type="http://schemas.openxmlformats.org/officeDocument/2006/relationships/hyperlink" Target="https://doi.org/10.3390/plants14193036" TargetMode="External"/><Relationship Id="rId18" Type="http://schemas.openxmlformats.org/officeDocument/2006/relationships/hyperlink" Target="https://doi.org/10.1039/D2NP00003B" TargetMode="External"/><Relationship Id="rId39" Type="http://schemas.openxmlformats.org/officeDocument/2006/relationships/hyperlink" Target="https://doi.org/10.1186/s12870-026-08978-w" TargetMode="External"/><Relationship Id="rId34" Type="http://schemas.openxmlformats.org/officeDocument/2006/relationships/hyperlink" Target="https://doi.org/10.1111/mpp.70243" TargetMode="External"/><Relationship Id="rId50" Type="http://schemas.openxmlformats.org/officeDocument/2006/relationships/hyperlink" Target="https://doi.org/10.1007/s00122-024-04803-w" TargetMode="External"/><Relationship Id="rId55" Type="http://schemas.openxmlformats.org/officeDocument/2006/relationships/hyperlink" Target="https://doi.org/10.1038/4350" TargetMode="External"/><Relationship Id="rId7" Type="http://schemas.openxmlformats.org/officeDocument/2006/relationships/hyperlink" Target="https://doi.org/10.1007/s12033-025-01486-6" TargetMode="Externa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17346</Words>
  <Characters>98873</Characters>
  <Application>Microsoft Office Word</Application>
  <DocSecurity>0</DocSecurity>
  <Lines>823</Lines>
  <Paragraphs>231</Paragraphs>
  <ScaleCrop>false</ScaleCrop>
  <Company>HP</Company>
  <LinksUpToDate>false</LinksUpToDate>
  <CharactersWithSpaces>115988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Genomics-assisted improvement of resistance to insect pests, diseases and nematodes in tomato: a critical appraisal of discovery, durability and deployment</dc:title>
  <dc:creator>Manuscript</dc:creator>
  <cp:lastModifiedBy>Editor-90</cp:lastModifiedBy>
  <cp:revision>10</cp:revision>
  <dcterms:created xsi:type="dcterms:W3CDTF">2026-08-08T02:19:00Z</dcterms:created>
  <dcterms:modified xsi:type="dcterms:W3CDTF">2026-08-13T13:17:00Z</dcterms:modified>
</cp:coreProperties>
</file>