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1105" w14:textId="666559D5" w:rsidR="00214208" w:rsidRPr="00D6274C" w:rsidRDefault="006D6E4B">
      <w:pPr>
        <w:pStyle w:val="Normal1"/>
        <w:pBdr>
          <w:top w:val="nil"/>
          <w:left w:val="nil"/>
          <w:bottom w:val="nil"/>
          <w:right w:val="nil"/>
          <w:between w:val="nil"/>
        </w:pBdr>
        <w:tabs>
          <w:tab w:val="left" w:pos="1139"/>
        </w:tabs>
        <w:spacing w:line="480" w:lineRule="auto"/>
        <w:jc w:val="center"/>
        <w:rPr>
          <w:rFonts w:ascii="Times New Roman" w:eastAsia="Times New Roman" w:hAnsi="Times New Roman" w:cs="Times New Roman"/>
          <w:sz w:val="24"/>
          <w:szCs w:val="24"/>
        </w:rPr>
      </w:pPr>
      <w:r w:rsidRPr="00D6274C">
        <w:rPr>
          <w:rFonts w:ascii="Times New Roman" w:eastAsia="Times New Roman" w:hAnsi="Times New Roman" w:cs="Times New Roman"/>
          <w:b/>
          <w:bCs/>
          <w:sz w:val="24"/>
          <w:szCs w:val="24"/>
        </w:rPr>
        <w:t xml:space="preserve">Effects of Cow Dung and Immobilized </w:t>
      </w:r>
      <w:r w:rsidRPr="00D6274C">
        <w:rPr>
          <w:rFonts w:ascii="Times New Roman" w:eastAsia="Times New Roman" w:hAnsi="Times New Roman" w:cs="Times New Roman"/>
          <w:b/>
          <w:bCs/>
          <w:i/>
          <w:iCs/>
          <w:sz w:val="24"/>
          <w:szCs w:val="24"/>
        </w:rPr>
        <w:t>Lactobacillus sporogens</w:t>
      </w:r>
      <w:r w:rsidRPr="00D6274C">
        <w:rPr>
          <w:rFonts w:ascii="Times New Roman" w:eastAsia="Times New Roman" w:hAnsi="Times New Roman" w:cs="Times New Roman"/>
          <w:b/>
          <w:bCs/>
          <w:sz w:val="24"/>
          <w:szCs w:val="24"/>
        </w:rPr>
        <w:t xml:space="preserve"> on the Hemato-Immunological Responses of Indian Major Carp</w:t>
      </w:r>
      <w:r w:rsidR="008A60FE" w:rsidRPr="00D6274C">
        <w:rPr>
          <w:rFonts w:ascii="Times New Roman" w:eastAsia="Times New Roman" w:hAnsi="Times New Roman" w:cs="Times New Roman"/>
          <w:b/>
          <w:bCs/>
          <w:sz w:val="24"/>
          <w:szCs w:val="24"/>
        </w:rPr>
        <w:t xml:space="preserve"> (</w:t>
      </w:r>
      <w:r w:rsidRPr="00D6274C">
        <w:rPr>
          <w:rFonts w:ascii="Times New Roman" w:eastAsia="Times New Roman" w:hAnsi="Times New Roman" w:cs="Times New Roman"/>
          <w:b/>
          <w:bCs/>
          <w:i/>
          <w:iCs/>
          <w:sz w:val="24"/>
          <w:szCs w:val="24"/>
        </w:rPr>
        <w:t>Cirrhinus mrigala</w:t>
      </w:r>
      <w:r w:rsidRPr="00D6274C">
        <w:rPr>
          <w:rFonts w:ascii="Times New Roman" w:eastAsia="Times New Roman" w:hAnsi="Times New Roman" w:cs="Times New Roman"/>
          <w:b/>
          <w:bCs/>
          <w:sz w:val="24"/>
          <w:szCs w:val="24"/>
        </w:rPr>
        <w:t xml:space="preserve">, </w:t>
      </w:r>
      <w:r w:rsidRPr="00D6274C">
        <w:rPr>
          <w:rFonts w:ascii="Times New Roman" w:eastAsia="Times New Roman" w:hAnsi="Times New Roman" w:cs="Times New Roman"/>
          <w:b/>
          <w:bCs/>
          <w:i/>
          <w:iCs/>
          <w:sz w:val="24"/>
          <w:szCs w:val="24"/>
        </w:rPr>
        <w:t>Labeo rohita</w:t>
      </w:r>
      <w:r w:rsidR="008A60FE" w:rsidRPr="00D6274C">
        <w:rPr>
          <w:rFonts w:ascii="Times New Roman" w:eastAsia="Times New Roman" w:hAnsi="Times New Roman" w:cs="Times New Roman"/>
          <w:b/>
          <w:bCs/>
          <w:sz w:val="24"/>
          <w:szCs w:val="24"/>
        </w:rPr>
        <w:t>)</w:t>
      </w:r>
      <w:r w:rsidRPr="00D6274C">
        <w:rPr>
          <w:rFonts w:ascii="Times New Roman" w:eastAsia="Times New Roman" w:hAnsi="Times New Roman" w:cs="Times New Roman"/>
          <w:b/>
          <w:bCs/>
          <w:sz w:val="24"/>
          <w:szCs w:val="24"/>
        </w:rPr>
        <w:t xml:space="preserve"> and Exotic Carp</w:t>
      </w:r>
      <w:r w:rsidR="008A60FE" w:rsidRPr="00D6274C">
        <w:rPr>
          <w:rFonts w:ascii="Times New Roman" w:eastAsia="Times New Roman" w:hAnsi="Times New Roman" w:cs="Times New Roman"/>
          <w:b/>
          <w:bCs/>
          <w:sz w:val="24"/>
          <w:szCs w:val="24"/>
        </w:rPr>
        <w:t xml:space="preserve"> (</w:t>
      </w:r>
      <w:r w:rsidRPr="00D6274C">
        <w:rPr>
          <w:rFonts w:ascii="Times New Roman" w:eastAsia="Times New Roman" w:hAnsi="Times New Roman" w:cs="Times New Roman"/>
          <w:b/>
          <w:bCs/>
          <w:i/>
          <w:iCs/>
          <w:sz w:val="24"/>
          <w:szCs w:val="24"/>
        </w:rPr>
        <w:t>Cyprinus carpio</w:t>
      </w:r>
      <w:r w:rsidR="008A60FE" w:rsidRPr="00D6274C">
        <w:rPr>
          <w:rFonts w:ascii="Times New Roman" w:eastAsia="Times New Roman" w:hAnsi="Times New Roman" w:cs="Times New Roman"/>
          <w:b/>
          <w:bCs/>
          <w:i/>
          <w:iCs/>
          <w:sz w:val="24"/>
          <w:szCs w:val="24"/>
        </w:rPr>
        <w:t>)</w:t>
      </w:r>
    </w:p>
    <w:p w14:paraId="1C31D3FF" w14:textId="77777777" w:rsidR="00214208" w:rsidRPr="00D6274C" w:rsidRDefault="006D6E4B">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Abstract</w:t>
      </w:r>
    </w:p>
    <w:p w14:paraId="3E9E95AF" w14:textId="77777777" w:rsidR="00214208" w:rsidRPr="00D6274C" w:rsidRDefault="006D6E4B">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The present study investigates the effects of free and immobilised probiotic supplementation containing </w:t>
      </w:r>
      <w:r w:rsidRPr="00D6274C">
        <w:rPr>
          <w:rFonts w:ascii="Times New Roman" w:eastAsia="Times New Roman" w:hAnsi="Times New Roman" w:cs="Times New Roman"/>
          <w:i/>
          <w:color w:val="000000"/>
          <w:sz w:val="24"/>
          <w:szCs w:val="24"/>
        </w:rPr>
        <w:t>Lactobacillus sporogenes</w:t>
      </w:r>
      <w:r w:rsidRPr="00D6274C">
        <w:rPr>
          <w:rFonts w:ascii="Times New Roman" w:eastAsia="Times New Roman" w:hAnsi="Times New Roman" w:cs="Times New Roman"/>
          <w:color w:val="000000"/>
          <w:sz w:val="24"/>
          <w:szCs w:val="24"/>
        </w:rPr>
        <w:t xml:space="preserve"> with cow dung on the haematological and immunological responses of economically important Indian major carps, </w:t>
      </w:r>
      <w:r w:rsidRPr="00D6274C">
        <w:rPr>
          <w:rFonts w:ascii="Times New Roman" w:eastAsia="Times New Roman" w:hAnsi="Times New Roman" w:cs="Times New Roman"/>
          <w:i/>
          <w:color w:val="000000"/>
          <w:sz w:val="24"/>
          <w:szCs w:val="24"/>
        </w:rPr>
        <w:t>Cirrhinus mrigala</w:t>
      </w:r>
      <w:r w:rsidRPr="00D6274C">
        <w:rPr>
          <w:rFonts w:ascii="Times New Roman" w:eastAsia="Times New Roman" w:hAnsi="Times New Roman" w:cs="Times New Roman"/>
          <w:color w:val="000000"/>
          <w:sz w:val="24"/>
          <w:szCs w:val="24"/>
        </w:rPr>
        <w:t xml:space="preserve"> (11.5 ± 0.4 g), </w:t>
      </w:r>
      <w:r w:rsidRPr="00D6274C">
        <w:rPr>
          <w:rFonts w:ascii="Times New Roman" w:eastAsia="Times New Roman" w:hAnsi="Times New Roman" w:cs="Times New Roman"/>
          <w:i/>
          <w:color w:val="000000"/>
          <w:sz w:val="24"/>
          <w:szCs w:val="24"/>
        </w:rPr>
        <w:t>Labeo rohita</w:t>
      </w:r>
      <w:r w:rsidRPr="00D6274C">
        <w:rPr>
          <w:rFonts w:ascii="Times New Roman" w:eastAsia="Times New Roman" w:hAnsi="Times New Roman" w:cs="Times New Roman"/>
          <w:color w:val="000000"/>
          <w:sz w:val="24"/>
          <w:szCs w:val="24"/>
        </w:rPr>
        <w:t xml:space="preserve"> (8.5 ± 0.5 g), and exotic carp, </w:t>
      </w:r>
      <w:r w:rsidRPr="00D6274C">
        <w:rPr>
          <w:rFonts w:ascii="Times New Roman" w:eastAsia="Times New Roman" w:hAnsi="Times New Roman" w:cs="Times New Roman"/>
          <w:i/>
          <w:color w:val="000000"/>
          <w:sz w:val="24"/>
          <w:szCs w:val="24"/>
        </w:rPr>
        <w:t>Cyprinus carpio</w:t>
      </w:r>
      <w:r w:rsidRPr="00D6274C">
        <w:rPr>
          <w:rFonts w:ascii="Times New Roman" w:eastAsia="Times New Roman" w:hAnsi="Times New Roman" w:cs="Times New Roman"/>
          <w:color w:val="000000"/>
          <w:sz w:val="24"/>
          <w:szCs w:val="24"/>
        </w:rPr>
        <w:t xml:space="preserve"> (10.5 ± 0.6 g), reared in Aliyar Dam water. A total of 125 fingerlings of each fish species were randomly allocated to five treatment groups with triplicates over a 70-day experimental period. The experimental diets consisted of T1 (free probiotics), T2 (cow dung), T3 (cow dung + free probiotics), T4 (cow dung + immobilised probiotics), and a control group fed the basal diet without probiotic supplementation. At the end of the feeding experiment, haematological indices (haemoglobin (Hb), red blood cell (RBC) count, white blood cell (WBC) count, packed cell volume (PCV) or Haematocrit, mean corpuscular volume (MCV), mean corpuscular haemoglobin (MCH), and mean corpuscular haemoglobin concentration (MCHC)) and immunological parameters (Nitroblue tetrazolium (NBT) respiratory burst activity, lysozyme activity, and phagocytic activity) were evaluated. The results revealed a significant (P &lt; 0.05) enhancement in both haematological and immunological parameters in the probiotic-treated groups compared with the control. Among the treatments, fish receiving cow dung supplemented with immobilised probiotics (T4) exhibited the maximum response, followed by cow dung with free probiotics (T3). The improved haematological and immune responses indicate improved physiological </w:t>
      </w:r>
      <w:r w:rsidRPr="00D6274C">
        <w:rPr>
          <w:rFonts w:ascii="Times New Roman" w:eastAsia="Times New Roman" w:hAnsi="Times New Roman" w:cs="Times New Roman"/>
          <w:color w:val="000000"/>
          <w:sz w:val="24"/>
          <w:szCs w:val="24"/>
        </w:rPr>
        <w:lastRenderedPageBreak/>
        <w:t xml:space="preserve">status, oxygen-carrying capacity, and disease resistance in the fish </w:t>
      </w:r>
      <w:sdt>
        <w:sdtPr>
          <w:tag w:val="goog_rdk_0"/>
          <w:id w:val="-1020565361"/>
        </w:sdtPr>
        <w:sdtContent>
          <w:r w:rsidRPr="00D6274C">
            <w:rPr>
              <w:rFonts w:ascii="Arial Unicode MS" w:eastAsia="Arial Unicode MS" w:hAnsi="Arial Unicode MS" w:cs="Arial Unicode MS"/>
              <w:color w:val="000000"/>
              <w:sz w:val="20"/>
              <w:szCs w:val="20"/>
            </w:rPr>
            <w:t xml:space="preserve"> (P≤0.05) </w:t>
          </w:r>
        </w:sdtContent>
      </w:sdt>
      <w:r w:rsidRPr="00D6274C">
        <w:rPr>
          <w:rFonts w:ascii="Times New Roman" w:eastAsia="Times New Roman" w:hAnsi="Times New Roman" w:cs="Times New Roman"/>
          <w:color w:val="000000"/>
          <w:sz w:val="24"/>
          <w:szCs w:val="24"/>
        </w:rPr>
        <w:t xml:space="preserve">compared with the control. These findings suggest that immobilised </w:t>
      </w:r>
      <w:r w:rsidRPr="00D6274C">
        <w:rPr>
          <w:rFonts w:ascii="Times New Roman" w:eastAsia="Times New Roman" w:hAnsi="Times New Roman" w:cs="Times New Roman"/>
          <w:i/>
          <w:color w:val="000000"/>
          <w:sz w:val="24"/>
          <w:szCs w:val="24"/>
        </w:rPr>
        <w:t>Lactobacillus sporogenes</w:t>
      </w:r>
      <w:r w:rsidRPr="00D6274C">
        <w:rPr>
          <w:rFonts w:ascii="Times New Roman" w:eastAsia="Times New Roman" w:hAnsi="Times New Roman" w:cs="Times New Roman"/>
          <w:color w:val="000000"/>
          <w:sz w:val="24"/>
          <w:szCs w:val="24"/>
        </w:rPr>
        <w:t xml:space="preserve"> is an effective probiotic supplement for enhancing the survival rate of commercial IMC and exotic carp by enhancing immunity, reducing disease, improving the haematological profile, and supporting sustainable aquaculture through better water quality and reduced mortality.</w:t>
      </w:r>
    </w:p>
    <w:p w14:paraId="64E12F51" w14:textId="77777777" w:rsidR="00214208" w:rsidRPr="00D6274C" w:rsidRDefault="006D6E4B">
      <w:pPr>
        <w:pStyle w:val="Normal1"/>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rPr>
        <w:sectPr w:rsidR="00214208" w:rsidRPr="00D6274C">
          <w:headerReference w:type="even" r:id="rId8"/>
          <w:headerReference w:type="default" r:id="rId9"/>
          <w:headerReference w:type="first" r:id="rId10"/>
          <w:pgSz w:w="12240" w:h="15840"/>
          <w:pgMar w:top="1440" w:right="1440" w:bottom="1440" w:left="1440" w:header="720" w:footer="720" w:gutter="0"/>
          <w:pgNumType w:start="1"/>
          <w:cols w:space="720"/>
        </w:sectPr>
      </w:pPr>
      <w:r w:rsidRPr="00D6274C">
        <w:rPr>
          <w:rFonts w:ascii="Times New Roman" w:eastAsia="Times New Roman" w:hAnsi="Times New Roman" w:cs="Times New Roman"/>
          <w:b/>
          <w:bCs/>
          <w:color w:val="000000"/>
          <w:sz w:val="24"/>
          <w:szCs w:val="24"/>
        </w:rPr>
        <w:t>Key words</w:t>
      </w:r>
      <w:r w:rsidRPr="00D6274C">
        <w:rPr>
          <w:rFonts w:ascii="Times New Roman" w:eastAsia="Times New Roman" w:hAnsi="Times New Roman" w:cs="Times New Roman"/>
          <w:color w:val="000000"/>
          <w:sz w:val="24"/>
          <w:szCs w:val="24"/>
        </w:rPr>
        <w:t xml:space="preserve">: </w:t>
      </w:r>
      <w:r w:rsidRPr="00D6274C">
        <w:rPr>
          <w:rFonts w:ascii="Times New Roman" w:eastAsia="Times New Roman" w:hAnsi="Times New Roman" w:cs="Times New Roman"/>
          <w:sz w:val="24"/>
          <w:szCs w:val="24"/>
        </w:rPr>
        <w:t xml:space="preserve">Freshwater carps, </w:t>
      </w:r>
      <w:r w:rsidRPr="00D6274C">
        <w:rPr>
          <w:rFonts w:ascii="Times New Roman" w:eastAsia="Times New Roman" w:hAnsi="Times New Roman" w:cs="Times New Roman"/>
          <w:i/>
          <w:iCs/>
          <w:color w:val="000000"/>
          <w:sz w:val="24"/>
          <w:szCs w:val="24"/>
        </w:rPr>
        <w:t>Lactobacillus Sporogens</w:t>
      </w:r>
      <w:r w:rsidRPr="00D6274C">
        <w:rPr>
          <w:rFonts w:ascii="Times New Roman" w:eastAsia="Times New Roman" w:hAnsi="Times New Roman" w:cs="Times New Roman"/>
          <w:color w:val="000000"/>
          <w:sz w:val="24"/>
          <w:szCs w:val="24"/>
        </w:rPr>
        <w:t xml:space="preserve">, Immobilized probiotics, </w:t>
      </w:r>
      <w:r w:rsidRPr="00D6274C">
        <w:rPr>
          <w:rFonts w:ascii="Times New Roman" w:eastAsia="Times New Roman" w:hAnsi="Times New Roman" w:cs="Times New Roman"/>
          <w:sz w:val="24"/>
          <w:szCs w:val="24"/>
        </w:rPr>
        <w:t>H</w:t>
      </w:r>
      <w:r w:rsidRPr="00D6274C">
        <w:rPr>
          <w:rFonts w:ascii="Times New Roman" w:eastAsia="Times New Roman" w:hAnsi="Times New Roman" w:cs="Times New Roman"/>
          <w:color w:val="000000"/>
          <w:sz w:val="24"/>
          <w:szCs w:val="24"/>
        </w:rPr>
        <w:t xml:space="preserve">ematological Parameter, </w:t>
      </w:r>
      <w:r w:rsidRPr="00D6274C">
        <w:rPr>
          <w:rFonts w:ascii="Times New Roman" w:eastAsia="Times New Roman" w:hAnsi="Times New Roman" w:cs="Times New Roman"/>
          <w:sz w:val="24"/>
          <w:szCs w:val="24"/>
        </w:rPr>
        <w:t>I</w:t>
      </w:r>
      <w:r w:rsidRPr="00D6274C">
        <w:rPr>
          <w:rFonts w:ascii="Times New Roman" w:eastAsia="Times New Roman" w:hAnsi="Times New Roman" w:cs="Times New Roman"/>
          <w:color w:val="000000"/>
          <w:sz w:val="24"/>
          <w:szCs w:val="24"/>
        </w:rPr>
        <w:t xml:space="preserve">nnate immune response, </w:t>
      </w:r>
      <w:r w:rsidRPr="00D6274C">
        <w:rPr>
          <w:rFonts w:ascii="Times New Roman" w:eastAsia="Times New Roman" w:hAnsi="Times New Roman" w:cs="Times New Roman"/>
          <w:sz w:val="24"/>
          <w:szCs w:val="24"/>
        </w:rPr>
        <w:t>O</w:t>
      </w:r>
      <w:r w:rsidRPr="00D6274C">
        <w:rPr>
          <w:rFonts w:ascii="Times New Roman" w:eastAsia="Times New Roman" w:hAnsi="Times New Roman" w:cs="Times New Roman"/>
          <w:color w:val="000000"/>
          <w:sz w:val="24"/>
          <w:szCs w:val="24"/>
        </w:rPr>
        <w:t>rganic fertilization</w:t>
      </w:r>
    </w:p>
    <w:p w14:paraId="2DE120FA" w14:textId="77777777" w:rsidR="00214208" w:rsidRPr="00D6274C" w:rsidRDefault="006D6E4B">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 xml:space="preserve">Introduction  </w:t>
      </w:r>
    </w:p>
    <w:p w14:paraId="30BAD589" w14:textId="77777777" w:rsidR="00214208" w:rsidRPr="00D6274C" w:rsidRDefault="006D6E4B" w:rsidP="00C947AE">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 xml:space="preserve">Aquaculture is one of the fastest-growing food-production sectors and plays a vital role in meeting the increasing global demand for high-quality animal protein. Fish are an excellent source of nutrients, providing protein-rich food of high biological value that contains all necessary amino acids in suitable proportions, along with essential fatty acids, vitamins, and minerals required for human health (Qubay </w:t>
      </w:r>
      <w:r w:rsidRPr="00D6274C">
        <w:rPr>
          <w:rFonts w:ascii="Times New Roman" w:eastAsia="Times New Roman" w:hAnsi="Times New Roman" w:cs="Times New Roman"/>
          <w:i/>
          <w:sz w:val="24"/>
          <w:szCs w:val="24"/>
        </w:rPr>
        <w:t>et al</w:t>
      </w:r>
      <w:r w:rsidRPr="00D6274C">
        <w:rPr>
          <w:rFonts w:ascii="Times New Roman" w:eastAsia="Times New Roman" w:hAnsi="Times New Roman" w:cs="Times New Roman"/>
          <w:sz w:val="24"/>
          <w:szCs w:val="24"/>
        </w:rPr>
        <w:t xml:space="preserve">., 2025; Ryu </w:t>
      </w:r>
      <w:r w:rsidRPr="00D6274C">
        <w:rPr>
          <w:rFonts w:ascii="Times New Roman" w:eastAsia="Times New Roman" w:hAnsi="Times New Roman" w:cs="Times New Roman"/>
          <w:i/>
          <w:sz w:val="24"/>
          <w:szCs w:val="24"/>
        </w:rPr>
        <w:t>et al</w:t>
      </w:r>
      <w:r w:rsidRPr="00D6274C">
        <w:rPr>
          <w:rFonts w:ascii="Times New Roman" w:eastAsia="Times New Roman" w:hAnsi="Times New Roman" w:cs="Times New Roman"/>
          <w:sz w:val="24"/>
          <w:szCs w:val="24"/>
        </w:rPr>
        <w:t xml:space="preserve">., 2021). Therefore, the development of sustainable aquaculture practices is necessary to ensure food security while maintaining environmental quality. Intensive aquaculture practices often lead to deterioration in water quality, increased organic waste, and greater susceptibility to transmissible diseases, resulting in reduced productivity and economic losses. In recent research, probiotics have gained significant attention as a sustainable and eco-friendly alternative to antibiotics for improving fish health and maintaining water quality. The fish species </w:t>
      </w:r>
      <w:r w:rsidRPr="00D6274C">
        <w:rPr>
          <w:rFonts w:ascii="Times New Roman" w:eastAsia="Times New Roman" w:hAnsi="Times New Roman" w:cs="Times New Roman"/>
          <w:i/>
          <w:sz w:val="24"/>
          <w:szCs w:val="24"/>
        </w:rPr>
        <w:t>Cirrhinus mrigala</w:t>
      </w:r>
      <w:r w:rsidRPr="00D6274C">
        <w:rPr>
          <w:rFonts w:ascii="Times New Roman" w:eastAsia="Times New Roman" w:hAnsi="Times New Roman" w:cs="Times New Roman"/>
          <w:sz w:val="24"/>
          <w:szCs w:val="24"/>
        </w:rPr>
        <w:t xml:space="preserve"> (Mrigal), </w:t>
      </w:r>
      <w:r w:rsidRPr="00D6274C">
        <w:rPr>
          <w:rFonts w:ascii="Times New Roman" w:eastAsia="Times New Roman" w:hAnsi="Times New Roman" w:cs="Times New Roman"/>
          <w:i/>
          <w:sz w:val="24"/>
          <w:szCs w:val="24"/>
        </w:rPr>
        <w:t>Labeo rohita</w:t>
      </w:r>
      <w:r w:rsidRPr="00D6274C">
        <w:rPr>
          <w:rFonts w:ascii="Times New Roman" w:eastAsia="Times New Roman" w:hAnsi="Times New Roman" w:cs="Times New Roman"/>
          <w:sz w:val="24"/>
          <w:szCs w:val="24"/>
        </w:rPr>
        <w:t xml:space="preserve"> (Rohu), and </w:t>
      </w:r>
      <w:r w:rsidRPr="00D6274C">
        <w:rPr>
          <w:rFonts w:ascii="Times New Roman" w:eastAsia="Times New Roman" w:hAnsi="Times New Roman" w:cs="Times New Roman"/>
          <w:i/>
          <w:sz w:val="24"/>
          <w:szCs w:val="24"/>
        </w:rPr>
        <w:t>Cyprinus carpio</w:t>
      </w:r>
      <w:r w:rsidRPr="00D6274C">
        <w:rPr>
          <w:rFonts w:ascii="Times New Roman" w:eastAsia="Times New Roman" w:hAnsi="Times New Roman" w:cs="Times New Roman"/>
          <w:sz w:val="24"/>
          <w:szCs w:val="24"/>
        </w:rPr>
        <w:t xml:space="preserve"> (Common Carp) are economically important and widely cultured in India. These fish are the backbone of the country's freshwater and composite fish-culture systems. They grow rapidly compared with other fish, have good taste, provide protein-rich food, </w:t>
      </w:r>
      <w:r w:rsidRPr="00D6274C">
        <w:rPr>
          <w:rFonts w:ascii="Times New Roman" w:eastAsia="Times New Roman" w:hAnsi="Times New Roman" w:cs="Times New Roman"/>
          <w:sz w:val="24"/>
          <w:szCs w:val="24"/>
        </w:rPr>
        <w:lastRenderedPageBreak/>
        <w:t xml:space="preserve">consume different types of feed, and do not compete for space, helping fish farmers obtain maximum production from a single pond. These fish are generally used in composite fish farming because of their complementary feeding behaviour, rapid growth, adaptability to diverse ecological conditions, and high consumer demand. </w:t>
      </w:r>
      <w:r w:rsidRPr="00D6274C">
        <w:rPr>
          <w:rFonts w:ascii="Times New Roman" w:eastAsia="Times New Roman" w:hAnsi="Times New Roman" w:cs="Times New Roman"/>
          <w:i/>
          <w:sz w:val="24"/>
          <w:szCs w:val="24"/>
        </w:rPr>
        <w:t>Labeo rohita</w:t>
      </w:r>
      <w:r w:rsidRPr="00D6274C">
        <w:rPr>
          <w:rFonts w:ascii="Times New Roman" w:eastAsia="Times New Roman" w:hAnsi="Times New Roman" w:cs="Times New Roman"/>
          <w:sz w:val="24"/>
          <w:szCs w:val="24"/>
        </w:rPr>
        <w:t xml:space="preserve"> is primarily a column feeder, </w:t>
      </w:r>
      <w:r w:rsidRPr="00D6274C">
        <w:rPr>
          <w:rFonts w:ascii="Times New Roman" w:eastAsia="Times New Roman" w:hAnsi="Times New Roman" w:cs="Times New Roman"/>
          <w:i/>
          <w:sz w:val="24"/>
          <w:szCs w:val="24"/>
        </w:rPr>
        <w:t>Cirrhinus mrigala</w:t>
      </w:r>
      <w:r w:rsidRPr="00D6274C">
        <w:rPr>
          <w:rFonts w:ascii="Times New Roman" w:eastAsia="Times New Roman" w:hAnsi="Times New Roman" w:cs="Times New Roman"/>
          <w:sz w:val="24"/>
          <w:szCs w:val="24"/>
        </w:rPr>
        <w:t xml:space="preserve"> is a bottom feeder, and </w:t>
      </w:r>
      <w:r w:rsidRPr="00D6274C">
        <w:rPr>
          <w:rFonts w:ascii="Times New Roman" w:eastAsia="Times New Roman" w:hAnsi="Times New Roman" w:cs="Times New Roman"/>
          <w:i/>
          <w:sz w:val="24"/>
          <w:szCs w:val="24"/>
        </w:rPr>
        <w:t>Cyprinus carpio</w:t>
      </w:r>
      <w:r w:rsidRPr="00D6274C">
        <w:rPr>
          <w:rFonts w:ascii="Times New Roman" w:eastAsia="Times New Roman" w:hAnsi="Times New Roman" w:cs="Times New Roman"/>
          <w:sz w:val="24"/>
          <w:szCs w:val="24"/>
        </w:rPr>
        <w:t xml:space="preserve"> is an omnivorous bottom feeder, making them suitable for evaluating probiotic effects under polyculture conditions. In addition, these fish are known to respond positively to dietary probiotic supplementation, making them suitable experimental species for evaluating changes in haematological and immunological parameters. Consequently, results obtained from these economically important fish have practical significance for improving fish health, productivity, and sustainable aquaculture practices. The use of selected probiotics instead of conventional chemical agents enhances fish growth, improves immune responses, reduces or inhibits harmful microorganisms, and decreases the risks associated with antimicrobial resistance and chemical residues, making probiotics a sustainable approach to aquaculture (Yousuf </w:t>
      </w:r>
      <w:r w:rsidRPr="00D6274C">
        <w:rPr>
          <w:rFonts w:ascii="Times New Roman" w:eastAsia="Times New Roman" w:hAnsi="Times New Roman" w:cs="Times New Roman"/>
          <w:i/>
          <w:sz w:val="24"/>
          <w:szCs w:val="24"/>
        </w:rPr>
        <w:t>et al</w:t>
      </w:r>
      <w:r w:rsidRPr="00D6274C">
        <w:rPr>
          <w:rFonts w:ascii="Times New Roman" w:eastAsia="Times New Roman" w:hAnsi="Times New Roman" w:cs="Times New Roman"/>
          <w:sz w:val="24"/>
          <w:szCs w:val="24"/>
        </w:rPr>
        <w:t xml:space="preserve">., 2023). Probiotics are effective alternatives to antibiotics and chemical treatments in aquaculture (Veedu </w:t>
      </w:r>
      <w:r w:rsidRPr="00D6274C">
        <w:rPr>
          <w:rFonts w:ascii="Times New Roman" w:eastAsia="Times New Roman" w:hAnsi="Times New Roman" w:cs="Times New Roman"/>
          <w:i/>
          <w:sz w:val="24"/>
          <w:szCs w:val="24"/>
        </w:rPr>
        <w:t>et al</w:t>
      </w:r>
      <w:r w:rsidRPr="00D6274C">
        <w:rPr>
          <w:rFonts w:ascii="Times New Roman" w:eastAsia="Times New Roman" w:hAnsi="Times New Roman" w:cs="Times New Roman"/>
          <w:sz w:val="24"/>
          <w:szCs w:val="24"/>
        </w:rPr>
        <w:t xml:space="preserve">., 2026). Probiotics favourably influence the intestinal microbiota, improve nutrient utilisation, inhibit harmful microorganisms, and enhance both innate and adaptive immune responses. In addition, probiotic supplementation has been reported to improve important haematological indices, including red blood cell (RBC) count, white blood cell (WBC) count, haemoglobin concentration, mean corpuscular volume (MCV), mean corpuscular haemoglobin (MCH), and mean corpuscular haemoglobin concentration (MCHC), thereby improving oxygen transport and the overall physiological status of fish (Rachmawati </w:t>
      </w:r>
      <w:r w:rsidRPr="00D6274C">
        <w:rPr>
          <w:rFonts w:ascii="Times New Roman" w:eastAsia="Times New Roman" w:hAnsi="Times New Roman" w:cs="Times New Roman"/>
          <w:i/>
          <w:sz w:val="24"/>
          <w:szCs w:val="24"/>
        </w:rPr>
        <w:t>et al.</w:t>
      </w:r>
      <w:r w:rsidRPr="00D6274C">
        <w:rPr>
          <w:rFonts w:ascii="Times New Roman" w:eastAsia="Times New Roman" w:hAnsi="Times New Roman" w:cs="Times New Roman"/>
          <w:sz w:val="24"/>
          <w:szCs w:val="24"/>
        </w:rPr>
        <w:t xml:space="preserve">, 2021). The efficacy of probiotics depends on the microorganisms, dosage, feeding duration, and culture conditions. Among the commonly used probiotics, </w:t>
      </w:r>
      <w:r w:rsidRPr="00D6274C">
        <w:rPr>
          <w:rFonts w:ascii="Times New Roman" w:eastAsia="Times New Roman" w:hAnsi="Times New Roman" w:cs="Times New Roman"/>
          <w:i/>
          <w:sz w:val="24"/>
          <w:szCs w:val="24"/>
        </w:rPr>
        <w:t>Bacillus</w:t>
      </w:r>
      <w:r w:rsidRPr="00D6274C">
        <w:rPr>
          <w:rFonts w:ascii="Times New Roman" w:eastAsia="Times New Roman" w:hAnsi="Times New Roman" w:cs="Times New Roman"/>
          <w:sz w:val="24"/>
          <w:szCs w:val="24"/>
        </w:rPr>
        <w:t xml:space="preserve"> </w:t>
      </w:r>
      <w:r w:rsidRPr="00D6274C">
        <w:rPr>
          <w:rFonts w:ascii="Times New Roman" w:eastAsia="Times New Roman" w:hAnsi="Times New Roman" w:cs="Times New Roman"/>
          <w:sz w:val="24"/>
          <w:szCs w:val="24"/>
        </w:rPr>
        <w:lastRenderedPageBreak/>
        <w:t xml:space="preserve">species, including </w:t>
      </w:r>
      <w:r w:rsidRPr="00D6274C">
        <w:rPr>
          <w:rFonts w:ascii="Times New Roman" w:eastAsia="Times New Roman" w:hAnsi="Times New Roman" w:cs="Times New Roman"/>
          <w:i/>
          <w:sz w:val="24"/>
          <w:szCs w:val="24"/>
        </w:rPr>
        <w:t>Bacillus subtilis</w:t>
      </w:r>
      <w:r w:rsidRPr="00D6274C">
        <w:rPr>
          <w:rFonts w:ascii="Times New Roman" w:eastAsia="Times New Roman" w:hAnsi="Times New Roman" w:cs="Times New Roman"/>
          <w:sz w:val="24"/>
          <w:szCs w:val="24"/>
        </w:rPr>
        <w:t xml:space="preserve">, </w:t>
      </w:r>
      <w:r w:rsidRPr="00D6274C">
        <w:rPr>
          <w:rFonts w:ascii="Times New Roman" w:eastAsia="Times New Roman" w:hAnsi="Times New Roman" w:cs="Times New Roman"/>
          <w:i/>
          <w:sz w:val="24"/>
          <w:szCs w:val="24"/>
        </w:rPr>
        <w:t>Bacillus licheniformis</w:t>
      </w:r>
      <w:r w:rsidRPr="00D6274C">
        <w:rPr>
          <w:rFonts w:ascii="Times New Roman" w:eastAsia="Times New Roman" w:hAnsi="Times New Roman" w:cs="Times New Roman"/>
          <w:sz w:val="24"/>
          <w:szCs w:val="24"/>
        </w:rPr>
        <w:t xml:space="preserve">, and </w:t>
      </w:r>
      <w:r w:rsidRPr="00D6274C">
        <w:rPr>
          <w:rFonts w:ascii="Times New Roman" w:eastAsia="Times New Roman" w:hAnsi="Times New Roman" w:cs="Times New Roman"/>
          <w:i/>
          <w:sz w:val="24"/>
          <w:szCs w:val="24"/>
        </w:rPr>
        <w:t>Bacillus velezensis</w:t>
      </w:r>
      <w:r w:rsidRPr="00D6274C">
        <w:rPr>
          <w:rFonts w:ascii="Times New Roman" w:eastAsia="Times New Roman" w:hAnsi="Times New Roman" w:cs="Times New Roman"/>
          <w:sz w:val="24"/>
          <w:szCs w:val="24"/>
        </w:rPr>
        <w:t xml:space="preserve">, are recognised for their ability to degrade organic matter, reduce ammonia accumulation, and improve water quality in aquaculture systems. These beneficial bacteria also enhance growth performance and haematological characteristics in cultured fish. Similarly, </w:t>
      </w:r>
      <w:r w:rsidRPr="00D6274C">
        <w:rPr>
          <w:rFonts w:ascii="Times New Roman" w:eastAsia="Times New Roman" w:hAnsi="Times New Roman" w:cs="Times New Roman"/>
          <w:i/>
          <w:sz w:val="24"/>
          <w:szCs w:val="24"/>
        </w:rPr>
        <w:t>Lactobacillus</w:t>
      </w:r>
      <w:r w:rsidRPr="00D6274C">
        <w:rPr>
          <w:rFonts w:ascii="Times New Roman" w:eastAsia="Times New Roman" w:hAnsi="Times New Roman" w:cs="Times New Roman"/>
          <w:sz w:val="24"/>
          <w:szCs w:val="24"/>
        </w:rPr>
        <w:t xml:space="preserve"> </w:t>
      </w:r>
      <w:r w:rsidRPr="00D6274C">
        <w:rPr>
          <w:rFonts w:ascii="Times New Roman" w:eastAsia="Times New Roman" w:hAnsi="Times New Roman" w:cs="Times New Roman"/>
          <w:i/>
          <w:sz w:val="24"/>
          <w:szCs w:val="24"/>
        </w:rPr>
        <w:t>spp</w:t>
      </w:r>
      <w:r w:rsidRPr="00D6274C">
        <w:rPr>
          <w:rFonts w:ascii="Times New Roman" w:eastAsia="Times New Roman" w:hAnsi="Times New Roman" w:cs="Times New Roman"/>
          <w:sz w:val="24"/>
          <w:szCs w:val="24"/>
        </w:rPr>
        <w:t xml:space="preserve">., such as </w:t>
      </w:r>
      <w:r w:rsidRPr="00D6274C">
        <w:rPr>
          <w:rFonts w:ascii="Times New Roman" w:eastAsia="Times New Roman" w:hAnsi="Times New Roman" w:cs="Times New Roman"/>
          <w:i/>
          <w:sz w:val="24"/>
          <w:szCs w:val="24"/>
        </w:rPr>
        <w:t>Lactobacillus acidophilus</w:t>
      </w:r>
      <w:r w:rsidRPr="00D6274C">
        <w:rPr>
          <w:rFonts w:ascii="Times New Roman" w:eastAsia="Times New Roman" w:hAnsi="Times New Roman" w:cs="Times New Roman"/>
          <w:sz w:val="24"/>
          <w:szCs w:val="24"/>
        </w:rPr>
        <w:t xml:space="preserve"> and </w:t>
      </w:r>
      <w:r w:rsidRPr="00D6274C">
        <w:rPr>
          <w:rFonts w:ascii="Times New Roman" w:eastAsia="Times New Roman" w:hAnsi="Times New Roman" w:cs="Times New Roman"/>
          <w:i/>
          <w:sz w:val="24"/>
          <w:szCs w:val="24"/>
        </w:rPr>
        <w:t>Lactobacillus plantarum</w:t>
      </w:r>
      <w:r w:rsidRPr="00D6274C">
        <w:rPr>
          <w:rFonts w:ascii="Times New Roman" w:eastAsia="Times New Roman" w:hAnsi="Times New Roman" w:cs="Times New Roman"/>
          <w:sz w:val="24"/>
          <w:szCs w:val="24"/>
        </w:rPr>
        <w:t xml:space="preserve">, colonise the gastrointestinal tract (GIT), improve digestive efficiency, and reduce the colonisation of harmful bacteria. The yeast </w:t>
      </w:r>
      <w:r w:rsidRPr="00D6274C">
        <w:rPr>
          <w:rFonts w:ascii="Times New Roman" w:eastAsia="Times New Roman" w:hAnsi="Times New Roman" w:cs="Times New Roman"/>
          <w:i/>
          <w:sz w:val="24"/>
          <w:szCs w:val="24"/>
        </w:rPr>
        <w:t>Saccharomyces cerevisiae</w:t>
      </w:r>
      <w:r w:rsidRPr="00D6274C">
        <w:rPr>
          <w:rFonts w:ascii="Times New Roman" w:eastAsia="Times New Roman" w:hAnsi="Times New Roman" w:cs="Times New Roman"/>
          <w:sz w:val="24"/>
          <w:szCs w:val="24"/>
        </w:rPr>
        <w:t xml:space="preserve"> contributes to improved gut morphology, nutrient assimilation, and mucosal immune responses. In addition, probiotics stimulate the production of immunological agents, including immunoglobulins, lysozymes, and cytokines, which help prepare fish against bacterial infections such as </w:t>
      </w:r>
      <w:r w:rsidRPr="00D6274C">
        <w:rPr>
          <w:rFonts w:ascii="Times New Roman" w:eastAsia="Times New Roman" w:hAnsi="Times New Roman" w:cs="Times New Roman"/>
          <w:i/>
          <w:sz w:val="24"/>
          <w:szCs w:val="24"/>
        </w:rPr>
        <w:t>Aeromonas</w:t>
      </w:r>
      <w:r w:rsidRPr="00D6274C">
        <w:rPr>
          <w:rFonts w:ascii="Times New Roman" w:eastAsia="Times New Roman" w:hAnsi="Times New Roman" w:cs="Times New Roman"/>
          <w:sz w:val="24"/>
          <w:szCs w:val="24"/>
        </w:rPr>
        <w:t xml:space="preserve"> and </w:t>
      </w:r>
      <w:r w:rsidRPr="00D6274C">
        <w:rPr>
          <w:rFonts w:ascii="Times New Roman" w:eastAsia="Times New Roman" w:hAnsi="Times New Roman" w:cs="Times New Roman"/>
          <w:i/>
          <w:sz w:val="24"/>
          <w:szCs w:val="24"/>
        </w:rPr>
        <w:t>Vibrio</w:t>
      </w:r>
      <w:r w:rsidRPr="00D6274C">
        <w:rPr>
          <w:rFonts w:ascii="Times New Roman" w:eastAsia="Times New Roman" w:hAnsi="Times New Roman" w:cs="Times New Roman"/>
          <w:sz w:val="24"/>
          <w:szCs w:val="24"/>
        </w:rPr>
        <w:t xml:space="preserve"> (Kord </w:t>
      </w:r>
      <w:r w:rsidRPr="00D6274C">
        <w:rPr>
          <w:rFonts w:ascii="Times New Roman" w:eastAsia="Times New Roman" w:hAnsi="Times New Roman" w:cs="Times New Roman"/>
          <w:i/>
          <w:sz w:val="24"/>
          <w:szCs w:val="24"/>
        </w:rPr>
        <w:t>et al</w:t>
      </w:r>
      <w:r w:rsidRPr="00D6274C">
        <w:rPr>
          <w:rFonts w:ascii="Times New Roman" w:eastAsia="Times New Roman" w:hAnsi="Times New Roman" w:cs="Times New Roman"/>
          <w:sz w:val="24"/>
          <w:szCs w:val="24"/>
        </w:rPr>
        <w:t>., 2021). Several studies have demonstrated that dietary probiotic supplementation significantly improves haematological and immunological parameters, leading to increased haemoglobin concentration, enhanced blood cell production, and improved disease resistance in cultured fish. These beneficial effects highlight the potential of probiotics as a sustainable feed additive for promoting fish health, improving aquaculture productivity, and reducing dependence on antibiotics. Therefore, the present study was undertaken to evaluate the effects of probiotic supplementation on the haematological responses and immune status of cultured carp under aquaculture conditions. Probiotics improve oxygen transport, helping fish survive under low-oxygen and polluted conditions while maintaining good water quality.</w:t>
      </w:r>
    </w:p>
    <w:p w14:paraId="0A9EC3E3" w14:textId="77777777" w:rsidR="00FE6AB9" w:rsidRPr="00D6274C" w:rsidRDefault="00000000">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D6274C">
        <w:rPr>
          <w:rFonts w:ascii="Times New Roman" w:hAnsi="Times New Roman"/>
          <w:sz w:val="26"/>
        </w:rPr>
        <w:t xml:space="preserve">Recent freshwater-fish studies have also evaluated probiotic effects on feed utilisation, growth, and survival in Clarias gariepinus and on haematological and innate immune parameters in Cyprinus carpio haematopterus (Subandiyono et al., 2023; Shivani et al., 2025). Studies in common carp have further reported that dietary Lactobacillus </w:t>
      </w:r>
      <w:r w:rsidRPr="00D6274C">
        <w:rPr>
          <w:rFonts w:ascii="Times New Roman" w:hAnsi="Times New Roman"/>
          <w:sz w:val="26"/>
        </w:rPr>
        <w:lastRenderedPageBreak/>
        <w:t>rhamnosus and fengycin-producing Bacillus subtilis can modulate immune-related outcomes and disease resistance under controlled feeding conditions (Hajirezaee et al., 2024; Xia et al., 2024). A recent synthesis of the aquaculture literature emphasises that probiotic performance is influenced by strain selection, host specificity, administration strategy, and culture conditions, which should be considered when interpreting responses across fish species (Fachri et al., 2024).</w:t>
      </w:r>
    </w:p>
    <w:p w14:paraId="07CD8A26" w14:textId="77777777" w:rsidR="00FE6AB9" w:rsidRPr="00D6274C" w:rsidRDefault="00000000">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D6274C">
        <w:rPr>
          <w:rFonts w:ascii="Times New Roman" w:hAnsi="Times New Roman"/>
          <w:sz w:val="26"/>
        </w:rPr>
        <w:t>Within the scope of the present study, a specific research gap concerns the comparative responses of C. mrigala, L. rohita, and C. carpio to free versus immobilised Lactobacillus sporogenes used with cow dung, particularly with respect to haematological and innate immune indicators under the same experimental conditions.</w:t>
      </w:r>
    </w:p>
    <w:p w14:paraId="73398D7F" w14:textId="77777777" w:rsidR="00214208" w:rsidRPr="00D6274C" w:rsidRDefault="006D6E4B" w:rsidP="00C947AE">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 xml:space="preserve">The present study comparatively evaluated the effects of free and immobilised </w:t>
      </w:r>
      <w:r w:rsidRPr="00D6274C">
        <w:rPr>
          <w:rFonts w:ascii="Times New Roman" w:eastAsia="Times New Roman" w:hAnsi="Times New Roman" w:cs="Times New Roman"/>
          <w:i/>
          <w:sz w:val="24"/>
          <w:szCs w:val="24"/>
        </w:rPr>
        <w:t>Lactobacillus sporogenes</w:t>
      </w:r>
      <w:r w:rsidRPr="00D6274C">
        <w:rPr>
          <w:rFonts w:ascii="Times New Roman" w:eastAsia="Times New Roman" w:hAnsi="Times New Roman" w:cs="Times New Roman"/>
          <w:sz w:val="24"/>
          <w:szCs w:val="24"/>
        </w:rPr>
        <w:t xml:space="preserve"> probiotics with cow dung on the haematological and immunological responses of three economically important and commercially available carps: the Indian major carps (IMCs) </w:t>
      </w:r>
      <w:r w:rsidRPr="00D6274C">
        <w:rPr>
          <w:rFonts w:ascii="Times New Roman" w:eastAsia="Times New Roman" w:hAnsi="Times New Roman" w:cs="Times New Roman"/>
          <w:i/>
          <w:sz w:val="24"/>
          <w:szCs w:val="24"/>
        </w:rPr>
        <w:t>Cirrhinus mrigala</w:t>
      </w:r>
      <w:r w:rsidRPr="00D6274C">
        <w:rPr>
          <w:rFonts w:ascii="Times New Roman" w:eastAsia="Times New Roman" w:hAnsi="Times New Roman" w:cs="Times New Roman"/>
          <w:sz w:val="24"/>
          <w:szCs w:val="24"/>
        </w:rPr>
        <w:t xml:space="preserve"> and </w:t>
      </w:r>
      <w:r w:rsidRPr="00D6274C">
        <w:rPr>
          <w:rFonts w:ascii="Times New Roman" w:eastAsia="Times New Roman" w:hAnsi="Times New Roman" w:cs="Times New Roman"/>
          <w:i/>
          <w:sz w:val="24"/>
          <w:szCs w:val="24"/>
        </w:rPr>
        <w:t>Labeo rohita</w:t>
      </w:r>
      <w:r w:rsidRPr="00D6274C">
        <w:rPr>
          <w:rFonts w:ascii="Times New Roman" w:eastAsia="Times New Roman" w:hAnsi="Times New Roman" w:cs="Times New Roman"/>
          <w:sz w:val="24"/>
          <w:szCs w:val="24"/>
        </w:rPr>
        <w:t xml:space="preserve">, and the exotic carp </w:t>
      </w:r>
      <w:r w:rsidRPr="00D6274C">
        <w:rPr>
          <w:rFonts w:ascii="Times New Roman" w:eastAsia="Times New Roman" w:hAnsi="Times New Roman" w:cs="Times New Roman"/>
          <w:i/>
          <w:sz w:val="24"/>
          <w:szCs w:val="24"/>
        </w:rPr>
        <w:t>Cyprinus carpio</w:t>
      </w:r>
      <w:r w:rsidRPr="00D6274C">
        <w:rPr>
          <w:rFonts w:ascii="Times New Roman" w:eastAsia="Times New Roman" w:hAnsi="Times New Roman" w:cs="Times New Roman"/>
          <w:sz w:val="24"/>
          <w:szCs w:val="24"/>
        </w:rPr>
        <w:t>. Comparing these fish provides a better understanding of species-specific variations in probiotic effectiveness and helps identify the most suitable probiotic application for enhancing fish health status, resistance to disease, and sustainable aquaculture production by improving the haemato-immunological responses of the selected fish.</w:t>
      </w:r>
    </w:p>
    <w:p w14:paraId="01F63C19" w14:textId="77777777" w:rsidR="00214208" w:rsidRPr="00D6274C" w:rsidRDefault="006D6E4B">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Materials and Methods</w:t>
      </w:r>
    </w:p>
    <w:p w14:paraId="5E6C4167" w14:textId="77777777" w:rsidR="00214208" w:rsidRPr="00D6274C" w:rsidRDefault="006D6E4B">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The study was conducted from June to September 2021 using Aliyar Dam water under laboratory conditions. A total of 125 fingerlings of the three carps (</w:t>
      </w:r>
      <w:r w:rsidRPr="00D6274C">
        <w:rPr>
          <w:rFonts w:ascii="Times New Roman" w:eastAsia="Times New Roman" w:hAnsi="Times New Roman" w:cs="Times New Roman"/>
          <w:i/>
          <w:color w:val="000000"/>
          <w:sz w:val="24"/>
          <w:szCs w:val="24"/>
        </w:rPr>
        <w:t xml:space="preserve">Cirrhinus mrigala, Labeo rohita, </w:t>
      </w:r>
      <w:r w:rsidRPr="00D6274C">
        <w:rPr>
          <w:rFonts w:ascii="Times New Roman" w:eastAsia="Times New Roman" w:hAnsi="Times New Roman" w:cs="Times New Roman"/>
          <w:i/>
          <w:color w:val="000000"/>
          <w:sz w:val="24"/>
          <w:szCs w:val="24"/>
        </w:rPr>
        <w:lastRenderedPageBreak/>
        <w:t>Cyprinus carpio</w:t>
      </w:r>
      <w:r w:rsidRPr="00D6274C">
        <w:rPr>
          <w:rFonts w:ascii="Times New Roman" w:eastAsia="Times New Roman" w:hAnsi="Times New Roman" w:cs="Times New Roman"/>
          <w:color w:val="000000"/>
          <w:sz w:val="24"/>
          <w:szCs w:val="24"/>
        </w:rPr>
        <w:t>) were maintained in 150-L aquarium tanks. The freshwater fish were reared for 70 days with probiotics and cow dung. The experiment consisted of four treatment groups—T1, free probiotics; T2, cow dung; T3, cow dung with free probiotics; and T4, cow dung with immobilised bacteria—as well as a control group, each representing a combination of the three fish species (</w:t>
      </w:r>
      <w:r w:rsidRPr="00D6274C">
        <w:rPr>
          <w:rFonts w:ascii="Times New Roman" w:eastAsia="Times New Roman" w:hAnsi="Times New Roman" w:cs="Times New Roman"/>
          <w:i/>
          <w:color w:val="000000"/>
          <w:sz w:val="24"/>
          <w:szCs w:val="24"/>
        </w:rPr>
        <w:t>Cirrhinus mrigala, Labeo rohita, Cyprinus carpio</w:t>
      </w:r>
      <w:r w:rsidRPr="00D6274C">
        <w:rPr>
          <w:rFonts w:ascii="Times New Roman" w:eastAsia="Times New Roman" w:hAnsi="Times New Roman" w:cs="Times New Roman"/>
          <w:color w:val="000000"/>
          <w:sz w:val="24"/>
          <w:szCs w:val="24"/>
        </w:rPr>
        <w:t>).</w:t>
      </w:r>
    </w:p>
    <w:p w14:paraId="7A1600B5"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b/>
          <w:bCs/>
          <w:sz w:val="24"/>
          <w:szCs w:val="24"/>
        </w:rPr>
        <w:t>Preparation of Fish Feed</w:t>
      </w:r>
    </w:p>
    <w:p w14:paraId="39260D00" w14:textId="77777777" w:rsidR="00214208" w:rsidRPr="00D6274C" w:rsidRDefault="006D6E4B">
      <w:pPr>
        <w:pStyle w:val="Normal1"/>
        <w:spacing w:line="480" w:lineRule="auto"/>
        <w:ind w:firstLine="720"/>
        <w:jc w:val="both"/>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All feed ingredients listed in Table 1 were procured from the local market and screened to remove impurities. The ingredients were finely powdered using a mechanical grinder and passed through a 250 µm sieve to ensure uniform particle size. The dry ingredients, including soybean meal, groundnut oil cake, fish meal, wheat bran, wheat flour, rice bran, and tapioca flour, were weighed accurately according to the formulation and mixed thoroughly in a mechanical mixer for 20–30 minutes to achieve homogeneity. Subsequently, lipid sources (soybean oil and fish oil) were slowly added to the dry mixture while continuous mixing was maintained to ensure even distribution. The vitamin–mineral premix and sodium chloride were then incorporated. A suitable amount of water (approximately 30–40% of the total weight) was gradually added to form a consistent dough. A commercial binder (2 g/kg diet) was included to improve pellet stability.</w:t>
      </w:r>
    </w:p>
    <w:p w14:paraId="03CD8C8D" w14:textId="77777777" w:rsidR="00214208" w:rsidRPr="00D6274C" w:rsidRDefault="00214208">
      <w:pPr>
        <w:pStyle w:val="Normal1"/>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F959EA3"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b/>
          <w:bCs/>
          <w:sz w:val="24"/>
          <w:szCs w:val="24"/>
        </w:rPr>
        <w:t xml:space="preserve">Table 1: Basal diet composition (dry weight) </w:t>
      </w:r>
    </w:p>
    <w:tbl>
      <w:tblPr>
        <w:tblStyle w:val="a"/>
        <w:tblpPr w:leftFromText="180" w:rightFromText="180" w:vertAnchor="text" w:tblpY="1"/>
        <w:tblW w:w="47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5"/>
        <w:gridCol w:w="1643"/>
      </w:tblGrid>
      <w:tr w:rsidR="00214208" w:rsidRPr="00D6274C" w14:paraId="32D9E61A" w14:textId="77777777">
        <w:tc>
          <w:tcPr>
            <w:tcW w:w="3145" w:type="dxa"/>
          </w:tcPr>
          <w:p w14:paraId="29F3D3DE"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b/>
                <w:bCs/>
                <w:sz w:val="24"/>
                <w:szCs w:val="24"/>
              </w:rPr>
              <w:t>Ingredients</w:t>
            </w:r>
          </w:p>
        </w:tc>
        <w:tc>
          <w:tcPr>
            <w:tcW w:w="1643" w:type="dxa"/>
          </w:tcPr>
          <w:p w14:paraId="0A13C0D8"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b/>
                <w:bCs/>
                <w:sz w:val="24"/>
                <w:szCs w:val="24"/>
              </w:rPr>
              <w:t>g/kg</w:t>
            </w:r>
          </w:p>
        </w:tc>
      </w:tr>
      <w:tr w:rsidR="00214208" w:rsidRPr="00D6274C" w14:paraId="5A19AC05" w14:textId="77777777">
        <w:tc>
          <w:tcPr>
            <w:tcW w:w="3145" w:type="dxa"/>
          </w:tcPr>
          <w:p w14:paraId="6C5D3FCB"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Soybean meal</w:t>
            </w:r>
          </w:p>
        </w:tc>
        <w:tc>
          <w:tcPr>
            <w:tcW w:w="1643" w:type="dxa"/>
          </w:tcPr>
          <w:p w14:paraId="50655278"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35</w:t>
            </w:r>
          </w:p>
        </w:tc>
      </w:tr>
      <w:tr w:rsidR="00214208" w:rsidRPr="00D6274C" w14:paraId="63CDB2D5" w14:textId="77777777">
        <w:tc>
          <w:tcPr>
            <w:tcW w:w="3145" w:type="dxa"/>
          </w:tcPr>
          <w:p w14:paraId="25E92145"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Ground nut oil cake</w:t>
            </w:r>
          </w:p>
        </w:tc>
        <w:tc>
          <w:tcPr>
            <w:tcW w:w="1643" w:type="dxa"/>
          </w:tcPr>
          <w:p w14:paraId="7BAE2BA7"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12</w:t>
            </w:r>
          </w:p>
        </w:tc>
      </w:tr>
      <w:tr w:rsidR="00214208" w:rsidRPr="00D6274C" w14:paraId="5826E408" w14:textId="77777777">
        <w:tc>
          <w:tcPr>
            <w:tcW w:w="3145" w:type="dxa"/>
          </w:tcPr>
          <w:p w14:paraId="6552774F"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Fish meal</w:t>
            </w:r>
          </w:p>
        </w:tc>
        <w:tc>
          <w:tcPr>
            <w:tcW w:w="1643" w:type="dxa"/>
          </w:tcPr>
          <w:p w14:paraId="27B7FB0D"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15</w:t>
            </w:r>
          </w:p>
        </w:tc>
      </w:tr>
      <w:tr w:rsidR="00214208" w:rsidRPr="00D6274C" w14:paraId="0F8E45BF" w14:textId="77777777">
        <w:tc>
          <w:tcPr>
            <w:tcW w:w="3145" w:type="dxa"/>
          </w:tcPr>
          <w:p w14:paraId="6706FD97"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lastRenderedPageBreak/>
              <w:t>Wheat bran</w:t>
            </w:r>
          </w:p>
        </w:tc>
        <w:tc>
          <w:tcPr>
            <w:tcW w:w="1643" w:type="dxa"/>
          </w:tcPr>
          <w:p w14:paraId="123B7F45"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10</w:t>
            </w:r>
          </w:p>
        </w:tc>
      </w:tr>
      <w:tr w:rsidR="00214208" w:rsidRPr="00D6274C" w14:paraId="6E62E8CE" w14:textId="77777777">
        <w:tc>
          <w:tcPr>
            <w:tcW w:w="3145" w:type="dxa"/>
          </w:tcPr>
          <w:p w14:paraId="60167565"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Wheat flour</w:t>
            </w:r>
          </w:p>
        </w:tc>
        <w:tc>
          <w:tcPr>
            <w:tcW w:w="1643" w:type="dxa"/>
          </w:tcPr>
          <w:p w14:paraId="58A288B2"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10</w:t>
            </w:r>
          </w:p>
        </w:tc>
      </w:tr>
      <w:tr w:rsidR="00214208" w:rsidRPr="00D6274C" w14:paraId="6E219C73" w14:textId="77777777">
        <w:tc>
          <w:tcPr>
            <w:tcW w:w="3145" w:type="dxa"/>
          </w:tcPr>
          <w:p w14:paraId="638A265D"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Rice bran</w:t>
            </w:r>
          </w:p>
        </w:tc>
        <w:tc>
          <w:tcPr>
            <w:tcW w:w="1643" w:type="dxa"/>
          </w:tcPr>
          <w:p w14:paraId="45EE9D9E"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5</w:t>
            </w:r>
          </w:p>
        </w:tc>
      </w:tr>
      <w:tr w:rsidR="00214208" w:rsidRPr="00D6274C" w14:paraId="0D65A5B7" w14:textId="77777777">
        <w:tc>
          <w:tcPr>
            <w:tcW w:w="3145" w:type="dxa"/>
          </w:tcPr>
          <w:p w14:paraId="1A7BD0C1"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Tapioca flour</w:t>
            </w:r>
          </w:p>
        </w:tc>
        <w:tc>
          <w:tcPr>
            <w:tcW w:w="1643" w:type="dxa"/>
          </w:tcPr>
          <w:p w14:paraId="1B044206"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5</w:t>
            </w:r>
          </w:p>
        </w:tc>
      </w:tr>
      <w:tr w:rsidR="00214208" w:rsidRPr="00D6274C" w14:paraId="22D3DEC0" w14:textId="77777777">
        <w:tc>
          <w:tcPr>
            <w:tcW w:w="3145" w:type="dxa"/>
          </w:tcPr>
          <w:p w14:paraId="0F93268A"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Soybean oil</w:t>
            </w:r>
          </w:p>
        </w:tc>
        <w:tc>
          <w:tcPr>
            <w:tcW w:w="1643" w:type="dxa"/>
          </w:tcPr>
          <w:p w14:paraId="1B3A336F"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1.5</w:t>
            </w:r>
          </w:p>
        </w:tc>
      </w:tr>
      <w:tr w:rsidR="00214208" w:rsidRPr="00D6274C" w14:paraId="7787D8DF" w14:textId="77777777">
        <w:tc>
          <w:tcPr>
            <w:tcW w:w="3145" w:type="dxa"/>
          </w:tcPr>
          <w:p w14:paraId="351532C8"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Fish oil</w:t>
            </w:r>
          </w:p>
        </w:tc>
        <w:tc>
          <w:tcPr>
            <w:tcW w:w="1643" w:type="dxa"/>
          </w:tcPr>
          <w:p w14:paraId="094A03FE"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1.5</w:t>
            </w:r>
          </w:p>
        </w:tc>
      </w:tr>
      <w:tr w:rsidR="00214208" w:rsidRPr="00D6274C" w14:paraId="48898C27" w14:textId="77777777">
        <w:tc>
          <w:tcPr>
            <w:tcW w:w="3145" w:type="dxa"/>
          </w:tcPr>
          <w:p w14:paraId="3197ECA8"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vitamin miner mix*</w:t>
            </w:r>
          </w:p>
        </w:tc>
        <w:tc>
          <w:tcPr>
            <w:tcW w:w="1643" w:type="dxa"/>
          </w:tcPr>
          <w:p w14:paraId="2C5EB66F"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2</w:t>
            </w:r>
          </w:p>
        </w:tc>
      </w:tr>
      <w:tr w:rsidR="00214208" w:rsidRPr="00D6274C" w14:paraId="612D7880" w14:textId="77777777">
        <w:tc>
          <w:tcPr>
            <w:tcW w:w="3145" w:type="dxa"/>
          </w:tcPr>
          <w:p w14:paraId="5FD2871D"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NaCl</w:t>
            </w:r>
          </w:p>
        </w:tc>
        <w:tc>
          <w:tcPr>
            <w:tcW w:w="1643" w:type="dxa"/>
          </w:tcPr>
          <w:p w14:paraId="2A96404C"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1</w:t>
            </w:r>
          </w:p>
        </w:tc>
      </w:tr>
      <w:tr w:rsidR="00214208" w:rsidRPr="00D6274C" w14:paraId="362ED977" w14:textId="77777777">
        <w:tc>
          <w:tcPr>
            <w:tcW w:w="3145" w:type="dxa"/>
          </w:tcPr>
          <w:p w14:paraId="2874BEFD" w14:textId="77777777" w:rsidR="00214208" w:rsidRPr="00D6274C" w:rsidRDefault="006D6E4B">
            <w:pPr>
              <w:pStyle w:val="Normal1"/>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 xml:space="preserve">binder </w:t>
            </w:r>
          </w:p>
        </w:tc>
        <w:tc>
          <w:tcPr>
            <w:tcW w:w="1643" w:type="dxa"/>
          </w:tcPr>
          <w:p w14:paraId="21CFA663"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2</w:t>
            </w:r>
          </w:p>
        </w:tc>
      </w:tr>
      <w:tr w:rsidR="00214208" w:rsidRPr="00D6274C" w14:paraId="34972E48" w14:textId="77777777">
        <w:tc>
          <w:tcPr>
            <w:tcW w:w="3145" w:type="dxa"/>
          </w:tcPr>
          <w:p w14:paraId="3E59783B"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b/>
                <w:bCs/>
                <w:sz w:val="24"/>
                <w:szCs w:val="24"/>
              </w:rPr>
              <w:t xml:space="preserve">Total </w:t>
            </w:r>
          </w:p>
        </w:tc>
        <w:tc>
          <w:tcPr>
            <w:tcW w:w="1643" w:type="dxa"/>
          </w:tcPr>
          <w:p w14:paraId="09664CA6" w14:textId="77777777" w:rsidR="00214208" w:rsidRPr="00D6274C" w:rsidRDefault="006D6E4B">
            <w:pPr>
              <w:pStyle w:val="Normal1"/>
              <w:jc w:val="center"/>
              <w:rPr>
                <w:rFonts w:ascii="Times New Roman" w:eastAsia="Times New Roman" w:hAnsi="Times New Roman" w:cs="Times New Roman"/>
                <w:sz w:val="24"/>
                <w:szCs w:val="24"/>
              </w:rPr>
            </w:pPr>
            <w:r w:rsidRPr="00D6274C">
              <w:rPr>
                <w:rFonts w:ascii="Times New Roman" w:eastAsia="Times New Roman" w:hAnsi="Times New Roman" w:cs="Times New Roman"/>
                <w:b/>
                <w:bCs/>
                <w:sz w:val="24"/>
                <w:szCs w:val="24"/>
              </w:rPr>
              <w:t>100</w:t>
            </w:r>
          </w:p>
        </w:tc>
      </w:tr>
    </w:tbl>
    <w:p w14:paraId="26D75FEB" w14:textId="77777777" w:rsidR="00214208" w:rsidRPr="00D6274C" w:rsidRDefault="00214208">
      <w:pPr>
        <w:pStyle w:val="Normal1"/>
        <w:jc w:val="both"/>
        <w:rPr>
          <w:rFonts w:ascii="Times New Roman" w:eastAsia="Times New Roman" w:hAnsi="Times New Roman" w:cs="Times New Roman"/>
          <w:sz w:val="24"/>
          <w:szCs w:val="24"/>
        </w:rPr>
      </w:pPr>
    </w:p>
    <w:p w14:paraId="2F877318" w14:textId="77777777" w:rsidR="00214208" w:rsidRPr="00D6274C" w:rsidRDefault="00214208">
      <w:pPr>
        <w:pStyle w:val="Normal1"/>
        <w:jc w:val="both"/>
        <w:rPr>
          <w:rFonts w:ascii="Times New Roman" w:eastAsia="Times New Roman" w:hAnsi="Times New Roman" w:cs="Times New Roman"/>
          <w:sz w:val="24"/>
          <w:szCs w:val="24"/>
        </w:rPr>
      </w:pPr>
    </w:p>
    <w:p w14:paraId="7A572673" w14:textId="77777777" w:rsidR="00214208" w:rsidRPr="00D6274C" w:rsidRDefault="00214208">
      <w:pPr>
        <w:pStyle w:val="Normal1"/>
        <w:jc w:val="both"/>
        <w:rPr>
          <w:rFonts w:ascii="Times New Roman" w:eastAsia="Times New Roman" w:hAnsi="Times New Roman" w:cs="Times New Roman"/>
          <w:sz w:val="24"/>
          <w:szCs w:val="24"/>
        </w:rPr>
      </w:pPr>
    </w:p>
    <w:p w14:paraId="7C6AF599" w14:textId="77777777" w:rsidR="00214208" w:rsidRPr="00D6274C" w:rsidRDefault="00214208">
      <w:pPr>
        <w:pStyle w:val="Normal1"/>
        <w:jc w:val="both"/>
        <w:rPr>
          <w:rFonts w:ascii="Times New Roman" w:eastAsia="Times New Roman" w:hAnsi="Times New Roman" w:cs="Times New Roman"/>
          <w:sz w:val="24"/>
          <w:szCs w:val="24"/>
        </w:rPr>
      </w:pPr>
    </w:p>
    <w:p w14:paraId="2E5CD71C" w14:textId="77777777" w:rsidR="00024F39" w:rsidRPr="00D6274C" w:rsidRDefault="00024F39">
      <w:pPr>
        <w:pStyle w:val="Normal1"/>
        <w:jc w:val="both"/>
        <w:rPr>
          <w:rFonts w:ascii="Times New Roman" w:eastAsia="Times New Roman" w:hAnsi="Times New Roman" w:cs="Times New Roman"/>
          <w:sz w:val="24"/>
          <w:szCs w:val="24"/>
        </w:rPr>
      </w:pPr>
    </w:p>
    <w:p w14:paraId="3AB50FA2" w14:textId="77777777" w:rsidR="00024F39" w:rsidRPr="00D6274C" w:rsidRDefault="00024F39">
      <w:pPr>
        <w:pStyle w:val="Normal1"/>
        <w:jc w:val="both"/>
        <w:rPr>
          <w:rFonts w:ascii="Times New Roman" w:eastAsia="Times New Roman" w:hAnsi="Times New Roman" w:cs="Times New Roman"/>
          <w:sz w:val="24"/>
          <w:szCs w:val="24"/>
        </w:rPr>
      </w:pPr>
    </w:p>
    <w:p w14:paraId="4F25981C" w14:textId="77777777" w:rsidR="00024F39" w:rsidRPr="00D6274C" w:rsidRDefault="00024F39">
      <w:pPr>
        <w:pStyle w:val="Normal1"/>
        <w:jc w:val="both"/>
        <w:rPr>
          <w:rFonts w:ascii="Times New Roman" w:eastAsia="Times New Roman" w:hAnsi="Times New Roman" w:cs="Times New Roman"/>
          <w:sz w:val="24"/>
          <w:szCs w:val="24"/>
        </w:rPr>
      </w:pPr>
    </w:p>
    <w:p w14:paraId="70495757" w14:textId="77777777" w:rsidR="00024F39" w:rsidRPr="00D6274C" w:rsidRDefault="00024F39">
      <w:pPr>
        <w:pStyle w:val="Normal1"/>
        <w:jc w:val="both"/>
        <w:rPr>
          <w:rFonts w:ascii="Times New Roman" w:eastAsia="Times New Roman" w:hAnsi="Times New Roman" w:cs="Times New Roman"/>
          <w:sz w:val="24"/>
          <w:szCs w:val="24"/>
        </w:rPr>
      </w:pPr>
    </w:p>
    <w:p w14:paraId="48A89765" w14:textId="77777777" w:rsidR="00024F39" w:rsidRPr="00D6274C" w:rsidRDefault="00024F39">
      <w:pPr>
        <w:pStyle w:val="Normal1"/>
        <w:jc w:val="both"/>
        <w:rPr>
          <w:rFonts w:ascii="Times New Roman" w:eastAsia="Times New Roman" w:hAnsi="Times New Roman" w:cs="Times New Roman"/>
          <w:sz w:val="24"/>
          <w:szCs w:val="24"/>
        </w:rPr>
      </w:pPr>
    </w:p>
    <w:p w14:paraId="06C4E206" w14:textId="77777777" w:rsidR="00024F39" w:rsidRPr="00D6274C" w:rsidRDefault="00024F39">
      <w:pPr>
        <w:pStyle w:val="Normal1"/>
        <w:jc w:val="both"/>
        <w:rPr>
          <w:rFonts w:ascii="Times New Roman" w:eastAsia="Times New Roman" w:hAnsi="Times New Roman" w:cs="Times New Roman"/>
          <w:sz w:val="24"/>
          <w:szCs w:val="24"/>
        </w:rPr>
      </w:pPr>
    </w:p>
    <w:p w14:paraId="4A1FBBF9" w14:textId="77777777" w:rsidR="00024F39" w:rsidRPr="00D6274C" w:rsidRDefault="00024F39">
      <w:pPr>
        <w:pStyle w:val="Normal1"/>
        <w:jc w:val="both"/>
        <w:rPr>
          <w:rFonts w:ascii="Times New Roman" w:eastAsia="Times New Roman" w:hAnsi="Times New Roman" w:cs="Times New Roman"/>
          <w:sz w:val="24"/>
          <w:szCs w:val="24"/>
        </w:rPr>
      </w:pPr>
    </w:p>
    <w:p w14:paraId="3E7B1759" w14:textId="77777777" w:rsidR="00024F39" w:rsidRPr="00D6274C" w:rsidRDefault="00024F39">
      <w:pPr>
        <w:pStyle w:val="Normal1"/>
        <w:jc w:val="both"/>
        <w:rPr>
          <w:rFonts w:ascii="Times New Roman" w:eastAsia="Times New Roman" w:hAnsi="Times New Roman" w:cs="Times New Roman"/>
          <w:sz w:val="24"/>
          <w:szCs w:val="24"/>
        </w:rPr>
      </w:pPr>
    </w:p>
    <w:p w14:paraId="133B8DA6" w14:textId="77777777" w:rsidR="00024F39" w:rsidRPr="00D6274C" w:rsidRDefault="00024F39">
      <w:pPr>
        <w:pStyle w:val="Normal1"/>
        <w:jc w:val="both"/>
        <w:rPr>
          <w:rFonts w:ascii="Times New Roman" w:eastAsia="Times New Roman" w:hAnsi="Times New Roman" w:cs="Times New Roman"/>
          <w:sz w:val="24"/>
          <w:szCs w:val="24"/>
        </w:rPr>
      </w:pPr>
    </w:p>
    <w:p w14:paraId="6EB5C463" w14:textId="77777777" w:rsidR="00024F39" w:rsidRPr="00D6274C" w:rsidRDefault="00024F39">
      <w:pPr>
        <w:pStyle w:val="Normal1"/>
        <w:jc w:val="both"/>
        <w:rPr>
          <w:rFonts w:ascii="Times New Roman" w:eastAsia="Times New Roman" w:hAnsi="Times New Roman" w:cs="Times New Roman"/>
          <w:sz w:val="24"/>
          <w:szCs w:val="24"/>
        </w:rPr>
      </w:pPr>
    </w:p>
    <w:p w14:paraId="4E3BF4D0" w14:textId="77777777" w:rsidR="00024F39" w:rsidRPr="00D6274C" w:rsidRDefault="00024F39">
      <w:pPr>
        <w:pStyle w:val="Normal1"/>
        <w:jc w:val="both"/>
        <w:rPr>
          <w:rFonts w:ascii="Times New Roman" w:eastAsia="Times New Roman" w:hAnsi="Times New Roman" w:cs="Times New Roman"/>
          <w:sz w:val="24"/>
          <w:szCs w:val="24"/>
        </w:rPr>
      </w:pPr>
    </w:p>
    <w:p w14:paraId="6D2BAA4C" w14:textId="77777777" w:rsidR="00214208" w:rsidRPr="00D6274C" w:rsidRDefault="006D6E4B">
      <w:pPr>
        <w:pStyle w:val="Normal1"/>
        <w:spacing w:after="0" w:line="360" w:lineRule="auto"/>
        <w:jc w:val="both"/>
        <w:rPr>
          <w:rFonts w:ascii="Times New Roman" w:eastAsia="Times New Roman" w:hAnsi="Times New Roman" w:cs="Times New Roman"/>
          <w:sz w:val="24"/>
          <w:szCs w:val="24"/>
        </w:rPr>
      </w:pPr>
      <w:r w:rsidRPr="00D6274C">
        <w:rPr>
          <w:rFonts w:ascii="Times New Roman" w:eastAsia="Times New Roman" w:hAnsi="Times New Roman" w:cs="Times New Roman"/>
          <w:b/>
          <w:sz w:val="24"/>
          <w:szCs w:val="24"/>
        </w:rPr>
        <w:t xml:space="preserve">Preparation of Immobilised </w:t>
      </w:r>
      <w:r w:rsidRPr="00D6274C">
        <w:rPr>
          <w:rFonts w:ascii="Times New Roman" w:eastAsia="Times New Roman" w:hAnsi="Times New Roman" w:cs="Times New Roman"/>
          <w:b/>
          <w:i/>
          <w:sz w:val="24"/>
          <w:szCs w:val="24"/>
        </w:rPr>
        <w:t>Lactobacillus sporogens</w:t>
      </w:r>
      <w:r w:rsidRPr="00D6274C">
        <w:rPr>
          <w:rFonts w:ascii="Times New Roman" w:eastAsia="Times New Roman" w:hAnsi="Times New Roman" w:cs="Times New Roman"/>
          <w:b/>
          <w:sz w:val="24"/>
          <w:szCs w:val="24"/>
        </w:rPr>
        <w:t xml:space="preserve"> Probiotic</w:t>
      </w:r>
    </w:p>
    <w:p w14:paraId="3F31248A" w14:textId="77777777" w:rsidR="00214208" w:rsidRPr="00D6274C" w:rsidRDefault="006D6E4B">
      <w:pPr>
        <w:pStyle w:val="Normal1"/>
        <w:spacing w:after="0" w:line="480" w:lineRule="auto"/>
        <w:ind w:firstLine="720"/>
        <w:jc w:val="both"/>
        <w:rPr>
          <w:rFonts w:ascii="Times New Roman" w:eastAsia="Times New Roman" w:hAnsi="Times New Roman" w:cs="Times New Roman"/>
          <w:sz w:val="24"/>
          <w:szCs w:val="24"/>
        </w:rPr>
      </w:pPr>
      <w:bookmarkStart w:id="0" w:name="_heading=h.ezr8n83m8yip" w:colFirst="0" w:colLast="0"/>
      <w:bookmarkEnd w:id="0"/>
      <w:r w:rsidRPr="00D6274C">
        <w:rPr>
          <w:rFonts w:ascii="Times New Roman" w:eastAsia="Times New Roman" w:hAnsi="Times New Roman" w:cs="Times New Roman"/>
          <w:sz w:val="24"/>
          <w:szCs w:val="24"/>
        </w:rPr>
        <w:t xml:space="preserve">Cellulose acetate (CA) powder was dissolved in dimethyl sulfoxide (DMSO). Polyethylene oxide (PEO) was added at a ratio of 10% to enhance the spinnability of cellulose acetate. The solution was left on a magnetic stirrer until it became homogeneous, completely dissolved, clear, and viscous. Different concentrations of 12, 15, and 18 wt% CA/PEO solution were prepared. Immobilisation of </w:t>
      </w:r>
      <w:r w:rsidRPr="00D6274C">
        <w:rPr>
          <w:rFonts w:ascii="Times New Roman" w:eastAsia="Times New Roman" w:hAnsi="Times New Roman" w:cs="Times New Roman"/>
          <w:i/>
          <w:sz w:val="24"/>
          <w:szCs w:val="24"/>
        </w:rPr>
        <w:t>L.sporogens</w:t>
      </w:r>
      <w:r w:rsidRPr="00D6274C">
        <w:rPr>
          <w:rFonts w:ascii="Times New Roman" w:eastAsia="Times New Roman" w:hAnsi="Times New Roman" w:cs="Times New Roman"/>
          <w:sz w:val="24"/>
          <w:szCs w:val="24"/>
        </w:rPr>
        <w:t xml:space="preserve"> on CA/PEO was then performed. The isolated bacterial cells were cultured in a flask containing nutrient broth medium and placed in a shaker at 30 °C for growth. The nutrient broth contained peptone from meat (5.0 g), meat extract (3.0 g), and sodium chloride (6.0 g), dissolved in 1 L at pH 7. A volume of 80 mL from the L. sporogens culture was centrifuged, and the cell pellet was collected and added to the CA/PEO solution. The </w:t>
      </w:r>
      <w:r w:rsidRPr="00D6274C">
        <w:rPr>
          <w:rFonts w:ascii="Times New Roman" w:eastAsia="Times New Roman" w:hAnsi="Times New Roman" w:cs="Times New Roman"/>
          <w:sz w:val="24"/>
          <w:szCs w:val="24"/>
        </w:rPr>
        <w:lastRenderedPageBreak/>
        <w:t>mixture was then stirred at 400 rpm for 2 hours and centrifuged at 3000 rpm for 10 min; the pellets were collected, washed with phosphate-buffered saline, and freeze-dried for further studies. As optical density (OD 600 = 1.27), so the quantity of free bacterial cells in each mL = 1.27 × 5 × 10</w:t>
      </w:r>
      <w:r w:rsidRPr="00D6274C">
        <w:rPr>
          <w:rFonts w:ascii="Times New Roman" w:eastAsia="Times New Roman" w:hAnsi="Times New Roman" w:cs="Times New Roman"/>
          <w:sz w:val="24"/>
          <w:szCs w:val="24"/>
          <w:vertAlign w:val="superscript"/>
        </w:rPr>
        <w:t>8</w:t>
      </w:r>
      <w:r w:rsidRPr="00D6274C">
        <w:rPr>
          <w:rFonts w:ascii="Times New Roman" w:eastAsia="Times New Roman" w:hAnsi="Times New Roman" w:cs="Times New Roman"/>
          <w:sz w:val="24"/>
          <w:szCs w:val="24"/>
        </w:rPr>
        <w:t xml:space="preserve"> cells/mL</w:t>
      </w:r>
    </w:p>
    <w:p w14:paraId="5B539095" w14:textId="77777777" w:rsidR="00214208" w:rsidRPr="00D6274C" w:rsidRDefault="006D6E4B">
      <w:pPr>
        <w:pStyle w:val="Normal1"/>
        <w:spacing w:after="0" w:line="480" w:lineRule="auto"/>
        <w:jc w:val="both"/>
        <w:rPr>
          <w:rFonts w:ascii="Times New Roman" w:eastAsia="Times New Roman" w:hAnsi="Times New Roman" w:cs="Times New Roman"/>
          <w:sz w:val="24"/>
          <w:szCs w:val="24"/>
        </w:rPr>
      </w:pPr>
      <w:bookmarkStart w:id="1" w:name="_heading=h.fhbao66cw3qd" w:colFirst="0" w:colLast="0"/>
      <w:bookmarkEnd w:id="1"/>
      <w:r w:rsidRPr="00D6274C">
        <w:rPr>
          <w:rFonts w:ascii="Times New Roman" w:eastAsia="Times New Roman" w:hAnsi="Times New Roman" w:cs="Times New Roman"/>
          <w:b/>
          <w:bCs/>
          <w:sz w:val="24"/>
          <w:szCs w:val="24"/>
        </w:rPr>
        <w:t>Experimental Design</w:t>
      </w:r>
    </w:p>
    <w:p w14:paraId="2FDE84CA" w14:textId="77777777" w:rsidR="00214208" w:rsidRPr="00D6274C" w:rsidRDefault="006D6E4B">
      <w:pPr>
        <w:pStyle w:val="Normal1"/>
        <w:spacing w:before="280" w:after="280" w:line="480" w:lineRule="auto"/>
        <w:ind w:firstLine="720"/>
        <w:jc w:val="both"/>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 xml:space="preserve">Healthy fingerlings of Indian major carp species, namely </w:t>
      </w:r>
      <w:r w:rsidRPr="00D6274C">
        <w:rPr>
          <w:rFonts w:ascii="Times New Roman" w:eastAsia="Times New Roman" w:hAnsi="Times New Roman" w:cs="Times New Roman"/>
          <w:i/>
          <w:sz w:val="24"/>
          <w:szCs w:val="24"/>
        </w:rPr>
        <w:t>Cirrhinus mrigala</w:t>
      </w:r>
      <w:r w:rsidRPr="00D6274C">
        <w:rPr>
          <w:rFonts w:ascii="Times New Roman" w:eastAsia="Times New Roman" w:hAnsi="Times New Roman" w:cs="Times New Roman"/>
          <w:sz w:val="24"/>
          <w:szCs w:val="24"/>
        </w:rPr>
        <w:t xml:space="preserve"> (11.5 ± 0.4 g), </w:t>
      </w:r>
      <w:r w:rsidRPr="00D6274C">
        <w:rPr>
          <w:rFonts w:ascii="Times New Roman" w:eastAsia="Times New Roman" w:hAnsi="Times New Roman" w:cs="Times New Roman"/>
          <w:i/>
          <w:sz w:val="24"/>
          <w:szCs w:val="24"/>
        </w:rPr>
        <w:t>Labeo rohita</w:t>
      </w:r>
      <w:r w:rsidRPr="00D6274C">
        <w:rPr>
          <w:rFonts w:ascii="Times New Roman" w:eastAsia="Times New Roman" w:hAnsi="Times New Roman" w:cs="Times New Roman"/>
          <w:sz w:val="24"/>
          <w:szCs w:val="24"/>
        </w:rPr>
        <w:t xml:space="preserve"> (8.5 ± 0.5 g), and the exotic carp </w:t>
      </w:r>
      <w:r w:rsidRPr="00D6274C">
        <w:rPr>
          <w:rFonts w:ascii="Times New Roman" w:eastAsia="Times New Roman" w:hAnsi="Times New Roman" w:cs="Times New Roman"/>
          <w:i/>
          <w:sz w:val="24"/>
          <w:szCs w:val="24"/>
        </w:rPr>
        <w:t>Cyprinus carpio</w:t>
      </w:r>
      <w:r w:rsidRPr="00D6274C">
        <w:rPr>
          <w:rFonts w:ascii="Times New Roman" w:eastAsia="Times New Roman" w:hAnsi="Times New Roman" w:cs="Times New Roman"/>
          <w:sz w:val="24"/>
          <w:szCs w:val="24"/>
        </w:rPr>
        <w:t xml:space="preserve"> (10.5 ± 0.6 g), were procured from Tamil Nadu Fisheries Corporation facilities at Aliyar Dam, located on the Pollachi-Valparai Road in Aliyar village, Coimbatore District, Tamil Nadu, India. The experiment was carried out during the monsoon season (June–September 2021) under controlled laboratory conditions. Upon arrival, the fish were carefully examined for signs of disease and physical abnormalities and were subsequently acclimatised in 3000-L cement tanks for two weeks under laboratory conditions. During the acclimation period, all fish were fed a basal control diet (crude protein 30 to 40% and crude lipid 5 to 15%) without supplementation to allow adaptation to the experimental environment. After the two-week acclimation period, fish of each species were randomly distributed among five dietary treatment groups with three replicates per treatment. Each replicate consisted of 25 fingerlings stocked in separate experimental tanks (150 L capacity, reinforced circular tanks). The experiment followed a completely randomised design (CRD) and was conducted for 70 days. The dietary treatments were as follows: diet 1, Control Diet (Basal Diet; CD); diet 2, Free Probiotics Diet (FP); diet 3, Cow Dung Diet (CD); diet 4, Cow Dung + Free Probiotics Diet (CDFP); and diet 5, Cow Dung + Immobilised Probiotics Diet (CDIP). Fish were hand-fed at a daily ration equivalent to 4% of their body weight throughout the experimental period. The daily feed allowance was divided into two equal meals and </w:t>
      </w:r>
      <w:r w:rsidRPr="00D6274C">
        <w:rPr>
          <w:rFonts w:ascii="Times New Roman" w:eastAsia="Times New Roman" w:hAnsi="Times New Roman" w:cs="Times New Roman"/>
          <w:sz w:val="24"/>
          <w:szCs w:val="24"/>
        </w:rPr>
        <w:lastRenderedPageBreak/>
        <w:t>provided at fixed times each day (09.00 and 17.00 h). To ensure accurate feeding rates, all fish were batch-weighed at 10-day intervals, and feed quantities were adjusted accordingly on the basis of the updated biomass. One hour after feeding, uneaten feed and faecal matter were siphoned from the tanks to maintain water quality and prevent nutrient accumulation. Approximately 40% of the tank water was exchanged daily with Aliyar Dam water. Fish were reared under a 12 h light and 12 h dark photoperiod (12L:12D) throughout the study. Water-quality parameters were maintained within suitable ranges throughout the acclimation period, including a temperature of 25–30°C, dissolved oxygen of 5.0 to 6.7 mg/L, pH of 6.5 to 8.5, and total ammonia nitrogen below 0.05 mg/L. Fish health and feeding behaviour were monitored daily. Water-quality parameters were monitored regularly and maintained within optimal ranges for carp culture throughout the study.</w:t>
      </w:r>
    </w:p>
    <w:p w14:paraId="0698F900"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222222"/>
          <w:sz w:val="24"/>
          <w:szCs w:val="24"/>
        </w:rPr>
        <w:t>Haematological Parameters of Three Types of Freshwater Fish (</w:t>
      </w:r>
      <w:r w:rsidRPr="00D6274C">
        <w:rPr>
          <w:rFonts w:ascii="Times New Roman" w:eastAsia="Times New Roman" w:hAnsi="Times New Roman" w:cs="Times New Roman"/>
          <w:b/>
          <w:bCs/>
          <w:i/>
          <w:color w:val="222222"/>
          <w:sz w:val="24"/>
          <w:szCs w:val="24"/>
        </w:rPr>
        <w:t>C. mrigala, L. rohita , C. Carpio</w:t>
      </w:r>
      <w:r w:rsidRPr="00D6274C">
        <w:rPr>
          <w:rFonts w:ascii="Times New Roman" w:eastAsia="Times New Roman" w:hAnsi="Times New Roman" w:cs="Times New Roman"/>
          <w:b/>
          <w:bCs/>
          <w:color w:val="222222"/>
          <w:sz w:val="24"/>
          <w:szCs w:val="24"/>
        </w:rPr>
        <w:t>)</w:t>
      </w:r>
    </w:p>
    <w:p w14:paraId="359530A5"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222222"/>
          <w:sz w:val="24"/>
          <w:szCs w:val="24"/>
        </w:rPr>
        <w:t xml:space="preserve">Blood samples were collected from the fish at the end of the 70-day feeding period, and the haematological parameters (Hb, RBC, WBC, Hct, MCV, MCH, and MCHC) were measured using a haematology analyser. Ten fish per tank were randomly captured for blood collection. To collect blood, the fish (n=5/tank) were anaesthetised using clove powder (Sarhadi </w:t>
      </w:r>
      <w:r w:rsidRPr="00D6274C">
        <w:rPr>
          <w:rFonts w:ascii="Times New Roman" w:eastAsia="Times New Roman" w:hAnsi="Times New Roman" w:cs="Times New Roman"/>
          <w:i/>
          <w:color w:val="222222"/>
          <w:sz w:val="24"/>
          <w:szCs w:val="24"/>
        </w:rPr>
        <w:t>et al</w:t>
      </w:r>
      <w:r w:rsidRPr="00D6274C">
        <w:rPr>
          <w:rFonts w:ascii="Times New Roman" w:eastAsia="Times New Roman" w:hAnsi="Times New Roman" w:cs="Times New Roman"/>
          <w:color w:val="222222"/>
          <w:sz w:val="24"/>
          <w:szCs w:val="24"/>
        </w:rPr>
        <w:t>., 2020). Blood samples (n=10 fish/tank) were taken from the caudal region using a 25 mL syringe. The blood samples were centrifuged (13,000 × g for 5 min at 4 °C) in non-heparinised tubes, and the separated serum was stored at -80°C.</w:t>
      </w:r>
    </w:p>
    <w:p w14:paraId="3777F3E5"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222222"/>
          <w:sz w:val="24"/>
          <w:szCs w:val="24"/>
        </w:rPr>
      </w:pPr>
      <w:r w:rsidRPr="00D6274C">
        <w:rPr>
          <w:rFonts w:ascii="Times New Roman" w:eastAsia="Times New Roman" w:hAnsi="Times New Roman" w:cs="Times New Roman"/>
          <w:b/>
          <w:bCs/>
          <w:color w:val="000000"/>
          <w:sz w:val="24"/>
          <w:szCs w:val="24"/>
        </w:rPr>
        <w:t>Haemoglobin Content (Hb)</w:t>
      </w:r>
    </w:p>
    <w:p w14:paraId="0FD47CC0"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Haemoglobin was estimated using the Sahli Hellige method (Rouf, 1969). Blood was drawn to the 20 mm 3 mark in the Sahli pipette and transferred into a calibrated (transmission) test tube </w:t>
      </w:r>
      <w:r w:rsidRPr="00D6274C">
        <w:rPr>
          <w:rFonts w:ascii="Times New Roman" w:eastAsia="Times New Roman" w:hAnsi="Times New Roman" w:cs="Times New Roman"/>
          <w:color w:val="000000"/>
          <w:sz w:val="24"/>
          <w:szCs w:val="24"/>
        </w:rPr>
        <w:lastRenderedPageBreak/>
        <w:t>containing 2 mL of 0.1N HCl. The pipette was rinsed several times in the acid solution, and the sample was allowed to stand for 15 minutes to convert haemoglobin to acid haematin. The acid haematin was then diluted with distilled water until its colour matched that of the standard in the haemoglobinometer.</w:t>
      </w:r>
    </w:p>
    <w:p w14:paraId="65C27C15"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Total Erythrocyte Count</w:t>
      </w:r>
    </w:p>
    <w:p w14:paraId="711F2384" w14:textId="3E6D57E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Neubauer's counting chamber was used for counting RBCs (Baker &amp; Silverton, </w:t>
      </w:r>
      <w:r w:rsidR="00B75627" w:rsidRPr="00B75627">
        <w:rPr>
          <w:rFonts w:ascii="Times New Roman" w:eastAsia="Times New Roman" w:hAnsi="Times New Roman" w:cs="Times New Roman"/>
          <w:color w:val="000000"/>
          <w:sz w:val="24"/>
          <w:szCs w:val="24"/>
        </w:rPr>
        <w:t>1976</w:t>
      </w:r>
      <w:r w:rsidRPr="00D6274C">
        <w:rPr>
          <w:rFonts w:ascii="Times New Roman" w:eastAsia="Times New Roman" w:hAnsi="Times New Roman" w:cs="Times New Roman"/>
          <w:color w:val="000000"/>
          <w:sz w:val="24"/>
          <w:szCs w:val="24"/>
        </w:rPr>
        <w:t>). Using an RBC pipette, blood was drawn to the 0.5 mark and diluting fluid (Hayem's fluid) to the 101 mark. Although the fluid was drawn to the 101 mark, the actual dilution was 1:200 because the fluid in the capillary tube was discarded before counting. The number of RBCs per sq mm was calculated.</w:t>
      </w:r>
    </w:p>
    <w:p w14:paraId="52A282C0" w14:textId="1036FA78" w:rsidR="00214208" w:rsidRPr="00D6274C" w:rsidRDefault="006D6E4B">
      <w:pPr>
        <w:pStyle w:val="Normal1"/>
        <w:spacing w:after="175" w:line="240" w:lineRule="auto"/>
        <w:rPr>
          <w:rFonts w:ascii="Times New Roman" w:eastAsia="Times New Roman" w:hAnsi="Times New Roman" w:cs="Times New Roman"/>
          <w:sz w:val="24"/>
          <w:szCs w:val="24"/>
          <w:u w:val="single"/>
        </w:rPr>
      </w:pPr>
      <w:r w:rsidRPr="00D6274C">
        <w:rPr>
          <w:rFonts w:ascii="Times New Roman" w:eastAsia="Times New Roman" w:hAnsi="Times New Roman" w:cs="Times New Roman"/>
          <w:sz w:val="24"/>
          <w:szCs w:val="24"/>
        </w:rPr>
        <w:t>Total Cell Count = Number of Cells Counted X Dilution Factor</w:t>
      </w:r>
      <w:r w:rsidR="00B75627">
        <w:rPr>
          <w:noProof/>
        </w:rPr>
        <w:pict w14:anchorId="5E710D28">
          <v:shapetype id="_x0000_t32" coordsize="21600,21600" o:spt="32" o:oned="t" path="m,l21600,21600e" filled="f">
            <v:path arrowok="t" fillok="f" o:connecttype="none"/>
            <o:lock v:ext="edit" shapetype="t"/>
          </v:shapetype>
          <v:shape id="Straight Arrow Connector 1" o:spid="_x0000_s2050" type="#_x0000_t32" style="position:absolute;margin-left:98.65pt;margin-top:20.35pt;width:204.75pt;height:2.25pt;rotation:180;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">
            <v:stroke miterlimit="5243f" joinstyle="miter"/>
          </v:shape>
        </w:pict>
      </w:r>
    </w:p>
    <w:p w14:paraId="3F7EED12" w14:textId="77777777" w:rsidR="00214208" w:rsidRPr="00D6274C" w:rsidRDefault="006D6E4B">
      <w:pPr>
        <w:pStyle w:val="Normal1"/>
        <w:spacing w:after="175" w:line="240" w:lineRule="auto"/>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 xml:space="preserve">                                     Area Counted (mm</w:t>
      </w:r>
      <w:r w:rsidRPr="00D6274C">
        <w:rPr>
          <w:rFonts w:ascii="Times New Roman" w:eastAsia="Times New Roman" w:hAnsi="Times New Roman" w:cs="Times New Roman"/>
          <w:sz w:val="24"/>
          <w:szCs w:val="24"/>
          <w:vertAlign w:val="superscript"/>
        </w:rPr>
        <w:t>2</w:t>
      </w:r>
      <w:r w:rsidRPr="00D6274C">
        <w:rPr>
          <w:rFonts w:ascii="Times New Roman" w:eastAsia="Times New Roman" w:hAnsi="Times New Roman" w:cs="Times New Roman"/>
          <w:sz w:val="24"/>
          <w:szCs w:val="24"/>
        </w:rPr>
        <w:t>) X Depth (mm)</w:t>
      </w:r>
    </w:p>
    <w:p w14:paraId="0359A5E8" w14:textId="77777777" w:rsidR="00214208" w:rsidRPr="00D6274C" w:rsidRDefault="006D6E4B">
      <w:pPr>
        <w:pStyle w:val="Normal1"/>
        <w:spacing w:after="175" w:line="240" w:lineRule="auto"/>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RBC Count = CellsX200/0.02 = Cells counted X 10,000</w:t>
      </w:r>
    </w:p>
    <w:p w14:paraId="213E6B02"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222222"/>
          <w:sz w:val="24"/>
          <w:szCs w:val="24"/>
        </w:rPr>
      </w:pPr>
      <w:r w:rsidRPr="00D6274C">
        <w:rPr>
          <w:rFonts w:ascii="Times New Roman" w:eastAsia="Times New Roman" w:hAnsi="Times New Roman" w:cs="Times New Roman"/>
          <w:b/>
          <w:bCs/>
          <w:color w:val="000000"/>
          <w:sz w:val="24"/>
          <w:szCs w:val="24"/>
        </w:rPr>
        <w:t>Total Leucocyte Count</w:t>
      </w:r>
    </w:p>
    <w:p w14:paraId="729BE844" w14:textId="7B61E506" w:rsidR="00214208" w:rsidRPr="00D6274C" w:rsidRDefault="006D6E4B">
      <w:pPr>
        <w:pStyle w:val="Normal1"/>
        <w:widowControl w:val="0"/>
        <w:pBdr>
          <w:top w:val="nil"/>
          <w:left w:val="nil"/>
          <w:bottom w:val="nil"/>
          <w:right w:val="nil"/>
          <w:between w:val="nil"/>
        </w:pBdr>
        <w:spacing w:before="1" w:after="0" w:line="480" w:lineRule="auto"/>
        <w:ind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Neubauer's haemocytometer (Baker &amp; Silverton, </w:t>
      </w:r>
      <w:r w:rsidR="00B75627" w:rsidRPr="00B75627">
        <w:rPr>
          <w:rFonts w:ascii="Times New Roman" w:eastAsia="Times New Roman" w:hAnsi="Times New Roman" w:cs="Times New Roman"/>
          <w:color w:val="000000"/>
          <w:sz w:val="24"/>
          <w:szCs w:val="24"/>
        </w:rPr>
        <w:t>1976</w:t>
      </w:r>
      <w:r w:rsidRPr="00D6274C">
        <w:rPr>
          <w:rFonts w:ascii="Times New Roman" w:eastAsia="Times New Roman" w:hAnsi="Times New Roman" w:cs="Times New Roman"/>
          <w:color w:val="000000"/>
          <w:sz w:val="24"/>
          <w:szCs w:val="24"/>
        </w:rPr>
        <w:t>) was used for counting leucocytes. Using a white-cell pipette, blood was drawn to the 0.5 mark and the diluting fluid (Truck's fluid) to the 11 mark; thus, the dilution was 1:20.</w:t>
      </w:r>
    </w:p>
    <w:p w14:paraId="622A6FEA"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The number of WBCs per sq mm was calculated.</w:t>
      </w:r>
    </w:p>
    <w:p w14:paraId="11143D8D"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WBC Count = Cells × 20 / 0.4 = Cells counted × 50</w:t>
      </w:r>
    </w:p>
    <w:p w14:paraId="508A0005"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222222"/>
          <w:sz w:val="24"/>
          <w:szCs w:val="24"/>
        </w:rPr>
      </w:pPr>
      <w:r w:rsidRPr="00D6274C">
        <w:rPr>
          <w:rFonts w:ascii="Times New Roman" w:eastAsia="Times New Roman" w:hAnsi="Times New Roman" w:cs="Times New Roman"/>
          <w:b/>
          <w:bCs/>
          <w:color w:val="000000"/>
          <w:sz w:val="24"/>
          <w:szCs w:val="24"/>
        </w:rPr>
        <w:t>PCV or Haematocrit Value</w:t>
      </w:r>
    </w:p>
    <w:p w14:paraId="592FA9B0"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Heparinised blood was filled to the 100 mark of the haematocrit tube with the help of a Pasteur pipette and centrifuged at 3000 rpm for 30 minutes. The relative volume represented by the height of RBCs packed at the bottom of the haematocrit tube was recorded as PCV, expressed as </w:t>
      </w:r>
      <w:r w:rsidRPr="00D6274C">
        <w:rPr>
          <w:rFonts w:ascii="Times New Roman" w:eastAsia="Times New Roman" w:hAnsi="Times New Roman" w:cs="Times New Roman"/>
          <w:color w:val="000000"/>
          <w:sz w:val="24"/>
          <w:szCs w:val="24"/>
        </w:rPr>
        <w:lastRenderedPageBreak/>
        <w:t>a percentage of the total blood column in the haematocrit tube. The haematocrit value was determined using this method (Schalm, 1975).</w:t>
      </w:r>
    </w:p>
    <w:p w14:paraId="148DB808"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rPr>
        <w:t>PCV (%) = (He</w:t>
      </w:r>
      <w:r w:rsidR="001D0503" w:rsidRPr="00D6274C">
        <w:rPr>
          <w:rFonts w:ascii="Times New Roman" w:eastAsia="Times New Roman" w:hAnsi="Times New Roman" w:cs="Times New Roman"/>
          <w:color w:val="000000"/>
        </w:rPr>
        <w:t>ight of packed red blood cells/</w:t>
      </w:r>
      <w:r w:rsidRPr="00D6274C">
        <w:rPr>
          <w:rFonts w:ascii="Times New Roman" w:eastAsia="Times New Roman" w:hAnsi="Times New Roman" w:cs="Times New Roman"/>
          <w:color w:val="000000"/>
        </w:rPr>
        <w:t xml:space="preserve"> Total height of the blood column) × 100.</w:t>
      </w:r>
    </w:p>
    <w:p w14:paraId="1BD9BE62"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Mean Corpuscular Volume</w:t>
      </w:r>
    </w:p>
    <w:p w14:paraId="0B698747"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This parameter provides information on the average size of RBCs, measured in femtolitres.</w:t>
      </w:r>
    </w:p>
    <w:p w14:paraId="6A7761D1" w14:textId="77777777" w:rsidR="00214208" w:rsidRPr="00D6274C" w:rsidRDefault="006D6E4B">
      <w:pPr>
        <w:pStyle w:val="Normal1"/>
        <w:pBdr>
          <w:top w:val="nil"/>
          <w:left w:val="nil"/>
          <w:bottom w:val="nil"/>
          <w:right w:val="nil"/>
          <w:between w:val="nil"/>
        </w:pBdr>
        <w:spacing w:after="0" w:line="480" w:lineRule="auto"/>
        <w:ind w:left="720"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     MCV in fl = (Hematocrit %)/</w:t>
      </w:r>
      <w:r w:rsidR="009D27E0" w:rsidRPr="00D6274C">
        <w:rPr>
          <w:rFonts w:ascii="Times New Roman" w:eastAsia="Times New Roman" w:hAnsi="Times New Roman" w:cs="Times New Roman"/>
          <w:color w:val="000000"/>
          <w:sz w:val="24"/>
          <w:szCs w:val="24"/>
        </w:rPr>
        <w:t>( RBC</w:t>
      </w:r>
      <w:r w:rsidRPr="00D6274C">
        <w:rPr>
          <w:rFonts w:ascii="Times New Roman" w:eastAsia="Times New Roman" w:hAnsi="Times New Roman" w:cs="Times New Roman"/>
          <w:color w:val="000000"/>
          <w:sz w:val="24"/>
          <w:szCs w:val="24"/>
        </w:rPr>
        <w:t xml:space="preserve"> x 10</w:t>
      </w:r>
      <w:r w:rsidRPr="00D6274C">
        <w:rPr>
          <w:rFonts w:ascii="Times New Roman" w:eastAsia="Times New Roman" w:hAnsi="Times New Roman" w:cs="Times New Roman"/>
          <w:color w:val="000000"/>
          <w:sz w:val="24"/>
          <w:szCs w:val="24"/>
          <w:vertAlign w:val="superscript"/>
        </w:rPr>
        <w:t>12</w:t>
      </w:r>
      <w:r w:rsidRPr="00D6274C">
        <w:rPr>
          <w:rFonts w:ascii="Times New Roman" w:eastAsia="Times New Roman" w:hAnsi="Times New Roman" w:cs="Times New Roman"/>
          <w:color w:val="000000"/>
          <w:sz w:val="24"/>
          <w:szCs w:val="24"/>
        </w:rPr>
        <w:t>/L) x 10</w:t>
      </w:r>
    </w:p>
    <w:p w14:paraId="00F08385"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Mean Corpuscular Haemoglobin</w:t>
      </w:r>
    </w:p>
    <w:p w14:paraId="25F22AB5"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This parameter indicates the average weight of haemoglobin in the tested RBC population.</w:t>
      </w:r>
    </w:p>
    <w:p w14:paraId="565D2DBB"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                  MCH in pg = (Hemoglobin in g/dL)/(RBC x 10</w:t>
      </w:r>
      <w:r w:rsidRPr="00D6274C">
        <w:rPr>
          <w:rFonts w:ascii="Times New Roman" w:eastAsia="Times New Roman" w:hAnsi="Times New Roman" w:cs="Times New Roman"/>
          <w:color w:val="000000"/>
          <w:sz w:val="24"/>
          <w:szCs w:val="24"/>
          <w:vertAlign w:val="superscript"/>
        </w:rPr>
        <w:t>12</w:t>
      </w:r>
      <w:r w:rsidRPr="00D6274C">
        <w:rPr>
          <w:rFonts w:ascii="Times New Roman" w:eastAsia="Times New Roman" w:hAnsi="Times New Roman" w:cs="Times New Roman"/>
          <w:color w:val="000000"/>
          <w:sz w:val="24"/>
          <w:szCs w:val="24"/>
        </w:rPr>
        <w:t>/L) x 10</w:t>
      </w:r>
    </w:p>
    <w:p w14:paraId="4FB04B51"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Mean Corpuscular Haemoglobin Concentration</w:t>
      </w:r>
    </w:p>
    <w:p w14:paraId="394645A2"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This parameter provides information on the average concentration of haemoglobin in the red blood cell.</w:t>
      </w:r>
    </w:p>
    <w:p w14:paraId="57EA1E35" w14:textId="77777777" w:rsidR="00214208" w:rsidRPr="00D6274C" w:rsidRDefault="006D6E4B">
      <w:pPr>
        <w:pStyle w:val="Normal1"/>
        <w:pBdr>
          <w:top w:val="nil"/>
          <w:left w:val="nil"/>
          <w:bottom w:val="nil"/>
          <w:right w:val="nil"/>
          <w:between w:val="nil"/>
        </w:pBdr>
        <w:spacing w:line="480" w:lineRule="auto"/>
        <w:ind w:left="720"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    MCHC in g/dL = (Hemoglobin in g/dL)/(Hematocrit %) x 100</w:t>
      </w:r>
    </w:p>
    <w:p w14:paraId="4B95C699" w14:textId="77777777" w:rsidR="00214208" w:rsidRPr="00D6274C" w:rsidRDefault="006D6E4B">
      <w:pPr>
        <w:pStyle w:val="Normal1"/>
        <w:pBdr>
          <w:top w:val="nil"/>
          <w:left w:val="nil"/>
          <w:bottom w:val="nil"/>
          <w:right w:val="nil"/>
          <w:between w:val="nil"/>
        </w:pBdr>
        <w:spacing w:line="480" w:lineRule="auto"/>
        <w:ind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Immunological Optimisation of Three Types of Freshwater Fish (</w:t>
      </w:r>
      <w:r w:rsidRPr="00D6274C">
        <w:rPr>
          <w:rFonts w:ascii="Times New Roman" w:eastAsia="Times New Roman" w:hAnsi="Times New Roman" w:cs="Times New Roman"/>
          <w:b/>
          <w:bCs/>
          <w:i/>
          <w:color w:val="000000"/>
          <w:sz w:val="24"/>
          <w:szCs w:val="24"/>
        </w:rPr>
        <w:t>C. mrigala, L. rohita , C. Carpio</w:t>
      </w:r>
      <w:r w:rsidRPr="00D6274C">
        <w:rPr>
          <w:rFonts w:ascii="Times New Roman" w:eastAsia="Times New Roman" w:hAnsi="Times New Roman" w:cs="Times New Roman"/>
          <w:b/>
          <w:bCs/>
          <w:color w:val="000000"/>
          <w:sz w:val="24"/>
          <w:szCs w:val="24"/>
        </w:rPr>
        <w:t>)</w:t>
      </w:r>
    </w:p>
    <w:p w14:paraId="4BF0B246" w14:textId="77777777" w:rsidR="00214208" w:rsidRPr="00D6274C" w:rsidRDefault="006D6E4B">
      <w:pPr>
        <w:pStyle w:val="Normal1"/>
        <w:pBdr>
          <w:top w:val="nil"/>
          <w:left w:val="nil"/>
          <w:bottom w:val="nil"/>
          <w:right w:val="nil"/>
          <w:between w:val="nil"/>
        </w:pBdr>
        <w:spacing w:line="480" w:lineRule="auto"/>
        <w:ind w:right="284"/>
        <w:jc w:val="both"/>
        <w:rPr>
          <w:rFonts w:ascii="Times New Roman" w:eastAsia="Times New Roman" w:hAnsi="Times New Roman" w:cs="Times New Roman"/>
          <w:color w:val="222222"/>
          <w:sz w:val="24"/>
          <w:szCs w:val="24"/>
        </w:rPr>
      </w:pPr>
      <w:r w:rsidRPr="00D6274C">
        <w:rPr>
          <w:rFonts w:ascii="Times New Roman" w:eastAsia="Times New Roman" w:hAnsi="Times New Roman" w:cs="Times New Roman"/>
          <w:b/>
          <w:bCs/>
          <w:color w:val="000000"/>
          <w:sz w:val="24"/>
          <w:szCs w:val="24"/>
        </w:rPr>
        <w:t>Neutrophil Activity (NBT) Respiratory Burst Activity</w:t>
      </w:r>
    </w:p>
    <w:p w14:paraId="6BF40756"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RBA was performed using the NitroBlue Tetrazolium (NBT) assay according to the method of Bellinati-Pires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(1992). A volume of 100 µL of blood was placed into the wells of “U”-bottom microtitre plates and incubated at 37 °C for 1 h to allow cell adhesion. The supernatant was removed, and the loaded wells were washed three times with phosphate-buffered saline (PBS). After washing, 100 µL of 0.2% NBT was added, and the plate was incubated for a further 1 h. The cells were then mixed with 100% ethanol for 2–3 min and washed three times with 70% </w:t>
      </w:r>
      <w:r w:rsidRPr="00D6274C">
        <w:rPr>
          <w:rFonts w:ascii="Times New Roman" w:eastAsia="Times New Roman" w:hAnsi="Times New Roman" w:cs="Times New Roman"/>
          <w:color w:val="000000"/>
          <w:sz w:val="24"/>
          <w:szCs w:val="24"/>
        </w:rPr>
        <w:lastRenderedPageBreak/>
        <w:t>ethanol. The plates were then air-dried. Subsequently, 120 µL of 2N KOH and 140 µL of DMSO (dimethyl sulphoxide) were added to each well to form the formazan blue precipitate. The optical density (OD) of the solution was then read using a microplate reader (Cyber lab) at 540 nm (visible range).</w:t>
      </w:r>
    </w:p>
    <w:p w14:paraId="0BCA5B44"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222222"/>
          <w:sz w:val="24"/>
          <w:szCs w:val="24"/>
        </w:rPr>
      </w:pPr>
      <w:r w:rsidRPr="00D6274C">
        <w:rPr>
          <w:rFonts w:ascii="Times New Roman" w:eastAsia="Times New Roman" w:hAnsi="Times New Roman" w:cs="Times New Roman"/>
          <w:b/>
          <w:bCs/>
          <w:color w:val="000000"/>
          <w:sz w:val="24"/>
          <w:szCs w:val="24"/>
        </w:rPr>
        <w:t>Serum Lysozyme Activity</w:t>
      </w:r>
    </w:p>
    <w:p w14:paraId="6D1BFE44"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In this technique, 0.03% lyophilised </w:t>
      </w:r>
      <w:r w:rsidRPr="00D6274C">
        <w:rPr>
          <w:rFonts w:ascii="Times New Roman" w:eastAsia="Times New Roman" w:hAnsi="Times New Roman" w:cs="Times New Roman"/>
          <w:i/>
          <w:color w:val="000000"/>
          <w:sz w:val="24"/>
          <w:szCs w:val="24"/>
        </w:rPr>
        <w:t>Micrococcus lutetus</w:t>
      </w:r>
      <w:r w:rsidRPr="00D6274C">
        <w:rPr>
          <w:rFonts w:ascii="Times New Roman" w:eastAsia="Times New Roman" w:hAnsi="Times New Roman" w:cs="Times New Roman"/>
          <w:color w:val="000000"/>
          <w:sz w:val="24"/>
          <w:szCs w:val="24"/>
        </w:rPr>
        <w:t xml:space="preserve"> in 0.05 mM sodium phosphate buffer (pH 6.2) was used as the substrate. A 10 µL volume of fish serum was added to 250 µL of bacterial suspension in a microplate, and the reduction in absorbance at 490 nm was determined after 0.5 and 4.5 min of incubation at 22 °C using a microplate reader. One unit of lysozyme activity was defined as a reduction in absorbance of 0.001 per min. Lysozyme activity was measured by the turbidimetric assay of Parry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(1965), with the microplate adaptation of Hutchinson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(2003).</w:t>
      </w:r>
    </w:p>
    <w:p w14:paraId="65F66A3E"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222222"/>
          <w:sz w:val="24"/>
          <w:szCs w:val="24"/>
        </w:rPr>
      </w:pPr>
      <w:r w:rsidRPr="00D6274C">
        <w:rPr>
          <w:rFonts w:ascii="Times New Roman" w:eastAsia="Times New Roman" w:hAnsi="Times New Roman" w:cs="Times New Roman"/>
          <w:b/>
          <w:bCs/>
          <w:color w:val="000000"/>
          <w:sz w:val="24"/>
          <w:szCs w:val="24"/>
        </w:rPr>
        <w:t>Phagocytic Activity</w:t>
      </w:r>
    </w:p>
    <w:p w14:paraId="3956A9F6"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The blood sample was layered over the Histo-paque medium and centrifuged (3000 g at 4 °C for 10 min). The obtained leucocytes were washed twice in RPMI-1640 medium. The cell suspension (1 mL) was mixed with </w:t>
      </w:r>
      <w:r w:rsidRPr="00D6274C">
        <w:rPr>
          <w:rFonts w:ascii="Times New Roman" w:eastAsia="Times New Roman" w:hAnsi="Times New Roman" w:cs="Times New Roman"/>
          <w:i/>
          <w:color w:val="000000"/>
          <w:sz w:val="24"/>
          <w:szCs w:val="24"/>
        </w:rPr>
        <w:t>Saccharomyces cerevisiae</w:t>
      </w:r>
      <w:r w:rsidRPr="00D6274C">
        <w:rPr>
          <w:rFonts w:ascii="Times New Roman" w:eastAsia="Times New Roman" w:hAnsi="Times New Roman" w:cs="Times New Roman"/>
          <w:color w:val="000000"/>
          <w:sz w:val="24"/>
          <w:szCs w:val="24"/>
        </w:rPr>
        <w:t xml:space="preserve"> suspension and incubated at 37 °C for 1 h. A drop of the mixture was applied to a clean glass slide and stained with Giemsa solution. The preparation was examined under a biological microscope (Olympus CX22). Phagocytic activity (%) was calculated by enumerating 100 leucocytes per fish under a microscope. Phagocytic activity was determined according to Guan et al. (1991).</w:t>
      </w:r>
    </w:p>
    <w:p w14:paraId="4CC30940"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PA (%) = number of cells ingest-ing zymosans/number of cells observed × 100.</w:t>
      </w:r>
    </w:p>
    <w:p w14:paraId="7146AFA4"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Statistical Analysis</w:t>
      </w:r>
    </w:p>
    <w:p w14:paraId="3FCD2D26" w14:textId="77777777" w:rsidR="00214208" w:rsidRPr="00D6274C" w:rsidRDefault="00000000">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sdt>
        <w:sdtPr>
          <w:tag w:val="goog_rdk_1"/>
          <w:id w:val="-2077127519"/>
          <w:showingPlcHdr/>
        </w:sdtPr>
        <w:sdtContent>
          <w:r w:rsidR="00AA6E8B" w:rsidRPr="00D6274C">
            <w:t xml:space="preserve">     </w:t>
          </w:r>
        </w:sdtContent>
      </w:sdt>
      <w:r w:rsidR="006D6E4B" w:rsidRPr="00D6274C">
        <w:rPr>
          <w:rFonts w:ascii="Times New Roman" w:eastAsia="Times New Roman" w:hAnsi="Times New Roman" w:cs="Times New Roman"/>
          <w:color w:val="000000"/>
          <w:sz w:val="24"/>
          <w:szCs w:val="24"/>
        </w:rPr>
        <w:t>Data were collected, documented, and saved in a computer spreadsheet for statistical analysis during the experiment. Statistical variance among the treatment groups was assessed using a one-way analysis of variance (p≤0.05). All data were expressed as the mean and standard deviation (SD).</w:t>
      </w:r>
    </w:p>
    <w:p w14:paraId="3D49ED56"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Results and Discussion:</w:t>
      </w:r>
    </w:p>
    <w:p w14:paraId="5822D09C"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Haematological Performance of Three Species (</w:t>
      </w:r>
      <w:r w:rsidRPr="00D6274C">
        <w:rPr>
          <w:rFonts w:ascii="Times New Roman" w:eastAsia="Times New Roman" w:hAnsi="Times New Roman" w:cs="Times New Roman"/>
          <w:b/>
          <w:bCs/>
          <w:i/>
          <w:color w:val="000000"/>
          <w:sz w:val="24"/>
          <w:szCs w:val="24"/>
        </w:rPr>
        <w:t>C. mrigala, L. rohita , C. Carpio</w:t>
      </w:r>
      <w:r w:rsidRPr="00D6274C">
        <w:rPr>
          <w:rFonts w:ascii="Times New Roman" w:eastAsia="Times New Roman" w:hAnsi="Times New Roman" w:cs="Times New Roman"/>
          <w:b/>
          <w:bCs/>
          <w:color w:val="000000"/>
          <w:sz w:val="24"/>
          <w:szCs w:val="24"/>
        </w:rPr>
        <w:t>)</w:t>
      </w:r>
    </w:p>
    <w:p w14:paraId="4AA9DEBE"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Haemoglobin Content (Hb)</w:t>
      </w:r>
    </w:p>
    <w:p w14:paraId="71D2F257"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rPr>
        <w:br/>
      </w:r>
      <w:r w:rsidRPr="00D6274C">
        <w:rPr>
          <w:rFonts w:ascii="Times New Roman" w:eastAsia="Times New Roman" w:hAnsi="Times New Roman" w:cs="Times New Roman"/>
          <w:b/>
          <w:bCs/>
          <w:noProof/>
          <w:color w:val="000000"/>
          <w:sz w:val="24"/>
          <w:szCs w:val="24"/>
        </w:rPr>
        <w:drawing>
          <wp:inline distT="0" distB="0" distL="114300" distR="114300" wp14:anchorId="6A6DA48E" wp14:editId="0B4ED1D4">
            <wp:extent cx="4585335" cy="1476375"/>
            <wp:effectExtent l="0" t="0" r="0" b="0"/>
            <wp:docPr id="2"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11" cstate="print"/>
                    <a:srcRect/>
                    <a:stretch>
                      <a:fillRect/>
                    </a:stretch>
                  </pic:blipFill>
                  <pic:spPr>
                    <a:xfrm>
                      <a:off x="0" y="0"/>
                      <a:ext cx="4585335" cy="1476375"/>
                    </a:xfrm>
                    <a:prstGeom prst="rect">
                      <a:avLst/>
                    </a:prstGeom>
                    <a:ln/>
                  </pic:spPr>
                </pic:pic>
              </a:graphicData>
            </a:graphic>
          </wp:inline>
        </w:drawing>
      </w:r>
    </w:p>
    <w:p w14:paraId="44A7F335"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color w:val="000000"/>
          <w:sz w:val="26"/>
          <w:szCs w:val="26"/>
        </w:rPr>
      </w:pPr>
      <w:r w:rsidRPr="00D6274C">
        <w:rPr>
          <w:rFonts w:ascii="Times New Roman" w:eastAsia="Times New Roman" w:hAnsi="Times New Roman" w:cs="Times New Roman"/>
          <w:b/>
          <w:bCs/>
          <w:color w:val="000000"/>
          <w:sz w:val="24"/>
          <w:szCs w:val="24"/>
        </w:rPr>
        <w:t xml:space="preserve">Figure no. 1 The Haemoglobin levels of various fish species subjected to five different </w:t>
      </w:r>
      <w:r w:rsidRPr="00D6274C">
        <w:rPr>
          <w:rFonts w:ascii="Times New Roman" w:eastAsia="Times New Roman" w:hAnsi="Times New Roman" w:cs="Times New Roman"/>
          <w:b/>
          <w:bCs/>
          <w:color w:val="000000"/>
          <w:sz w:val="26"/>
          <w:szCs w:val="26"/>
        </w:rPr>
        <w:t xml:space="preserve">treatment groups </w:t>
      </w:r>
    </w:p>
    <w:p w14:paraId="7A2A1EFA"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color w:val="000000"/>
          <w:sz w:val="28"/>
          <w:szCs w:val="28"/>
        </w:rPr>
      </w:pPr>
      <w:r w:rsidRPr="00D6274C">
        <w:rPr>
          <w:rFonts w:ascii="Times New Roman" w:eastAsia="Times New Roman" w:hAnsi="Times New Roman" w:cs="Times New Roman"/>
          <w:color w:val="000000"/>
          <w:sz w:val="24"/>
          <w:szCs w:val="24"/>
        </w:rPr>
        <w:t xml:space="preserve">The maximum Haemoglobin (Hb) level was observed in T4 (cow dung with immobilised probiotics) of </w:t>
      </w:r>
      <w:r w:rsidRPr="00D6274C">
        <w:rPr>
          <w:rFonts w:ascii="Times New Roman" w:eastAsia="Times New Roman" w:hAnsi="Times New Roman" w:cs="Times New Roman"/>
          <w:i/>
          <w:color w:val="000000"/>
          <w:sz w:val="24"/>
          <w:szCs w:val="24"/>
        </w:rPr>
        <w:t>cirrhinus mrigala</w:t>
      </w:r>
      <w:r w:rsidRPr="00D6274C">
        <w:rPr>
          <w:rFonts w:ascii="Times New Roman" w:eastAsia="Times New Roman" w:hAnsi="Times New Roman" w:cs="Times New Roman"/>
          <w:color w:val="000000"/>
          <w:sz w:val="24"/>
          <w:szCs w:val="24"/>
        </w:rPr>
        <w:t>. The next highest level was observed in T3 (cow dung with free probiotics) in two species. The combination of the traditional method (cow dung) with immobilised probiotics provided better dietary supplementation for the fish.</w:t>
      </w:r>
    </w:p>
    <w:p w14:paraId="3CF35E26"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Haemoglobin (Hb) concentration is considered an important haematological parameter for assessing the physiological and health status of fish because it is an oxygen-transport protein and reflects respiratory efficiency. Shahjahan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(2018) reported that diets combined with probiotics significantly increased haemoglobin levels and erythrocyte counts in fish, indicating better physiological status. Vhatkar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(2016) reported increased Hb levels in probiotic-treated </w:t>
      </w:r>
      <w:r w:rsidRPr="00D6274C">
        <w:rPr>
          <w:rFonts w:ascii="Times New Roman" w:eastAsia="Times New Roman" w:hAnsi="Times New Roman" w:cs="Times New Roman"/>
          <w:color w:val="000000"/>
          <w:sz w:val="24"/>
          <w:szCs w:val="24"/>
        </w:rPr>
        <w:lastRenderedPageBreak/>
        <w:t xml:space="preserve">fish. Haematological indices (Hb and RBC) vary in relation to probiotic diets. Microencapsulated probiotics enhanced haemoglobin levels in fish (Boonanuntanasarn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2019).</w:t>
      </w:r>
    </w:p>
    <w:p w14:paraId="5F6F9F0F"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Total Erythrocyte Count</w:t>
      </w:r>
    </w:p>
    <w:p w14:paraId="5835F8AF"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noProof/>
          <w:color w:val="000000"/>
          <w:sz w:val="24"/>
          <w:szCs w:val="24"/>
        </w:rPr>
        <w:drawing>
          <wp:inline distT="0" distB="0" distL="114300" distR="114300" wp14:anchorId="69D45741" wp14:editId="12243D05">
            <wp:extent cx="4501515" cy="1333500"/>
            <wp:effectExtent l="0" t="0" r="0" b="0"/>
            <wp:docPr id="4" name="image7.png" descr="Chart"/>
            <wp:cNvGraphicFramePr/>
            <a:graphic xmlns:a="http://schemas.openxmlformats.org/drawingml/2006/main">
              <a:graphicData uri="http://schemas.openxmlformats.org/drawingml/2006/picture">
                <pic:pic xmlns:pic="http://schemas.openxmlformats.org/drawingml/2006/picture">
                  <pic:nvPicPr>
                    <pic:cNvPr id="0" name="image7.png" descr="Chart"/>
                    <pic:cNvPicPr preferRelativeResize="0"/>
                  </pic:nvPicPr>
                  <pic:blipFill>
                    <a:blip r:embed="rId12" cstate="print"/>
                    <a:srcRect/>
                    <a:stretch>
                      <a:fillRect/>
                    </a:stretch>
                  </pic:blipFill>
                  <pic:spPr>
                    <a:xfrm>
                      <a:off x="0" y="0"/>
                      <a:ext cx="4501515" cy="1333500"/>
                    </a:xfrm>
                    <a:prstGeom prst="rect">
                      <a:avLst/>
                    </a:prstGeom>
                    <a:ln/>
                  </pic:spPr>
                </pic:pic>
              </a:graphicData>
            </a:graphic>
          </wp:inline>
        </w:drawing>
      </w:r>
    </w:p>
    <w:p w14:paraId="2992438B"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 xml:space="preserve">Figure No. 2 Total RBC Count of various fish species subjected to five different  treatment groups </w:t>
      </w:r>
    </w:p>
    <w:p w14:paraId="6B35E989"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The highest RBC (x10</w:t>
      </w:r>
      <w:r w:rsidRPr="00D6274C">
        <w:rPr>
          <w:rFonts w:ascii="Times New Roman" w:eastAsia="Times New Roman" w:hAnsi="Times New Roman" w:cs="Times New Roman"/>
          <w:color w:val="000000"/>
          <w:sz w:val="24"/>
          <w:szCs w:val="24"/>
          <w:vertAlign w:val="superscript"/>
        </w:rPr>
        <w:t>6</w:t>
      </w:r>
      <w:r w:rsidRPr="00D6274C">
        <w:rPr>
          <w:rFonts w:ascii="Times New Roman" w:eastAsia="Times New Roman" w:hAnsi="Times New Roman" w:cs="Times New Roman"/>
          <w:color w:val="000000"/>
          <w:sz w:val="24"/>
          <w:szCs w:val="24"/>
        </w:rPr>
        <w:t xml:space="preserve"> cells/µL) values were recorded for </w:t>
      </w:r>
      <w:r w:rsidRPr="00D6274C">
        <w:rPr>
          <w:rFonts w:ascii="Times New Roman" w:eastAsia="Times New Roman" w:hAnsi="Times New Roman" w:cs="Times New Roman"/>
          <w:i/>
          <w:color w:val="000000"/>
          <w:sz w:val="24"/>
          <w:szCs w:val="24"/>
        </w:rPr>
        <w:t>L. rohita</w:t>
      </w:r>
      <w:r w:rsidRPr="00D6274C">
        <w:rPr>
          <w:rFonts w:ascii="Times New Roman" w:eastAsia="Times New Roman" w:hAnsi="Times New Roman" w:cs="Times New Roman"/>
          <w:color w:val="000000"/>
          <w:sz w:val="24"/>
          <w:szCs w:val="24"/>
        </w:rPr>
        <w:t xml:space="preserve"> and </w:t>
      </w:r>
      <w:r w:rsidRPr="00D6274C">
        <w:rPr>
          <w:rFonts w:ascii="Times New Roman" w:eastAsia="Times New Roman" w:hAnsi="Times New Roman" w:cs="Times New Roman"/>
          <w:i/>
          <w:color w:val="000000"/>
          <w:sz w:val="24"/>
          <w:szCs w:val="24"/>
        </w:rPr>
        <w:t>C.carpio</w:t>
      </w:r>
      <w:r w:rsidRPr="00D6274C">
        <w:rPr>
          <w:rFonts w:ascii="Times New Roman" w:eastAsia="Times New Roman" w:hAnsi="Times New Roman" w:cs="Times New Roman"/>
          <w:color w:val="000000"/>
          <w:sz w:val="24"/>
          <w:szCs w:val="24"/>
        </w:rPr>
        <w:t xml:space="preserve"> in T4. The next highest RBC level for </w:t>
      </w:r>
      <w:r w:rsidRPr="00D6274C">
        <w:rPr>
          <w:rFonts w:ascii="Times New Roman" w:eastAsia="Times New Roman" w:hAnsi="Times New Roman" w:cs="Times New Roman"/>
          <w:i/>
          <w:color w:val="000000"/>
          <w:sz w:val="24"/>
          <w:szCs w:val="24"/>
        </w:rPr>
        <w:t>C. mrigala recorded</w:t>
      </w:r>
      <w:r w:rsidRPr="00D6274C">
        <w:rPr>
          <w:rFonts w:ascii="Times New Roman" w:eastAsia="Times New Roman" w:hAnsi="Times New Roman" w:cs="Times New Roman"/>
          <w:color w:val="000000"/>
          <w:sz w:val="24"/>
          <w:szCs w:val="24"/>
        </w:rPr>
        <w:t xml:space="preserve"> in T4. The lowest RBC level was recorded in T2, which was treated with cow dung. RBCs are important for oxygen transport, and the results showed high RBC values in fish treated with cow dung and immobilised bacteria.</w:t>
      </w:r>
    </w:p>
    <w:p w14:paraId="0E4D15E6"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Higher RBC values are generally associated with improved oxygen transport and better health conditions (Fazio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2022; Udoy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2025), and better dietary supplementation has been reported to increase erythrocyte counts in fish. According to Michael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(2019), probiotic supplementation has been reported to enhance RBC counts in several cultured fish species. Mohapatra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(2014) reported higher Hb and RBC levels in carp due to improved metabolic efficiency under probiotic supplementation. Immobilised probiotics have been reported to enhance RBC counts in host species (Boonanuntanasarn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2019). The increase in haemoglobin and RBC levels in probiotic-treated groups suggests improved blood-cell formation and nutrient utilisation. Nayak et al. (2010) explained that probiotics enhanced digestive enzyme </w:t>
      </w:r>
      <w:r w:rsidRPr="00D6274C">
        <w:rPr>
          <w:rFonts w:ascii="Times New Roman" w:eastAsia="Times New Roman" w:hAnsi="Times New Roman" w:cs="Times New Roman"/>
          <w:color w:val="000000"/>
          <w:sz w:val="24"/>
          <w:szCs w:val="24"/>
        </w:rPr>
        <w:lastRenderedPageBreak/>
        <w:t>activity and improved the absorption of essential nutrients such as iron and proteins, leading to improved blood formation.</w:t>
      </w:r>
    </w:p>
    <w:p w14:paraId="3E4DC609"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Total Leucocyte Count</w:t>
      </w:r>
    </w:p>
    <w:p w14:paraId="48B32AED"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noProof/>
          <w:color w:val="000000"/>
          <w:sz w:val="24"/>
          <w:szCs w:val="24"/>
        </w:rPr>
        <w:drawing>
          <wp:inline distT="0" distB="0" distL="114300" distR="114300" wp14:anchorId="1345AB95" wp14:editId="72D42088">
            <wp:extent cx="4662488" cy="1514475"/>
            <wp:effectExtent l="0" t="0" r="0" b="0"/>
            <wp:docPr id="3"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3" cstate="print"/>
                    <a:srcRect/>
                    <a:stretch>
                      <a:fillRect/>
                    </a:stretch>
                  </pic:blipFill>
                  <pic:spPr>
                    <a:xfrm>
                      <a:off x="0" y="0"/>
                      <a:ext cx="4662488" cy="1514475"/>
                    </a:xfrm>
                    <a:prstGeom prst="rect">
                      <a:avLst/>
                    </a:prstGeom>
                    <a:ln/>
                  </pic:spPr>
                </pic:pic>
              </a:graphicData>
            </a:graphic>
          </wp:inline>
        </w:drawing>
      </w:r>
    </w:p>
    <w:p w14:paraId="1C828FE8"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b/>
          <w:bCs/>
          <w:color w:val="000000"/>
          <w:sz w:val="24"/>
          <w:szCs w:val="24"/>
        </w:rPr>
      </w:pPr>
      <w:r w:rsidRPr="00D6274C">
        <w:rPr>
          <w:rFonts w:ascii="Times New Roman" w:eastAsia="Times New Roman" w:hAnsi="Times New Roman" w:cs="Times New Roman"/>
          <w:b/>
          <w:bCs/>
          <w:color w:val="000000"/>
          <w:sz w:val="24"/>
          <w:szCs w:val="24"/>
        </w:rPr>
        <w:t>Figure No. 3 Total WBC count of various fish species subjected to five different treatment groups</w:t>
      </w:r>
    </w:p>
    <w:p w14:paraId="57D76789"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In comparative analyses of these treatment groups, the maximum WBC (x10</w:t>
      </w:r>
      <w:r w:rsidRPr="00D6274C">
        <w:rPr>
          <w:rFonts w:ascii="Times New Roman" w:eastAsia="Times New Roman" w:hAnsi="Times New Roman" w:cs="Times New Roman"/>
          <w:sz w:val="24"/>
          <w:szCs w:val="24"/>
          <w:vertAlign w:val="superscript"/>
        </w:rPr>
        <w:t>3</w:t>
      </w:r>
      <w:r w:rsidRPr="00D6274C">
        <w:rPr>
          <w:rFonts w:ascii="Times New Roman" w:eastAsia="Times New Roman" w:hAnsi="Times New Roman" w:cs="Times New Roman"/>
          <w:sz w:val="24"/>
          <w:szCs w:val="24"/>
        </w:rPr>
        <w:t xml:space="preserve"> cells/µL) count was recorded in T4. The next highest WBC (x10</w:t>
      </w:r>
      <w:r w:rsidRPr="00D6274C">
        <w:rPr>
          <w:rFonts w:ascii="Times New Roman" w:eastAsia="Times New Roman" w:hAnsi="Times New Roman" w:cs="Times New Roman"/>
          <w:sz w:val="24"/>
          <w:szCs w:val="24"/>
          <w:vertAlign w:val="superscript"/>
        </w:rPr>
        <w:t>3</w:t>
      </w:r>
      <w:r w:rsidRPr="00D6274C">
        <w:rPr>
          <w:rFonts w:ascii="Times New Roman" w:eastAsia="Times New Roman" w:hAnsi="Times New Roman" w:cs="Times New Roman"/>
          <w:sz w:val="24"/>
          <w:szCs w:val="24"/>
        </w:rPr>
        <w:t xml:space="preserve"> cells/µL) count was recorded in T3. The lowest WBC value was recorded in the control. Probiotics enhanced leucocyte activity and disease resistance in fish. The results showed that the performance of immobilised probiotics with cow dung was better than that of the other treatments (Fig. No. 3).</w:t>
      </w:r>
    </w:p>
    <w:p w14:paraId="7DABCBB5"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The probiotic-treated groups are consistent with Boonanuntanasarn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(2019), who reported that microencapsulated probiotics stimulate non-specific immunity and increase leucocyte activity in fish. However, in the current investigation, WBC values showed moderate variation across treatments, which has also been reported by Ashour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(2026) and Abdel-Rahim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(2025), suggesting that the immune response depends on probiotic strain, dose, and environmental conditions.</w:t>
      </w:r>
    </w:p>
    <w:p w14:paraId="42B2CFE5"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PCV or Haematocrit (%)</w:t>
      </w:r>
    </w:p>
    <w:p w14:paraId="60DE68D2"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noProof/>
          <w:color w:val="000000"/>
          <w:sz w:val="24"/>
          <w:szCs w:val="24"/>
        </w:rPr>
        <w:lastRenderedPageBreak/>
        <w:drawing>
          <wp:inline distT="0" distB="0" distL="114300" distR="114300" wp14:anchorId="4EF10475" wp14:editId="0F44CA82">
            <wp:extent cx="4935855" cy="1000125"/>
            <wp:effectExtent l="0" t="0" r="0" b="0"/>
            <wp:docPr id="6" name="image3.png" descr="Chart"/>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r:embed="rId14" cstate="print"/>
                    <a:srcRect/>
                    <a:stretch>
                      <a:fillRect/>
                    </a:stretch>
                  </pic:blipFill>
                  <pic:spPr>
                    <a:xfrm>
                      <a:off x="0" y="0"/>
                      <a:ext cx="4935855" cy="1000125"/>
                    </a:xfrm>
                    <a:prstGeom prst="rect">
                      <a:avLst/>
                    </a:prstGeom>
                    <a:ln/>
                  </pic:spPr>
                </pic:pic>
              </a:graphicData>
            </a:graphic>
          </wp:inline>
        </w:drawing>
      </w:r>
    </w:p>
    <w:p w14:paraId="4F6817F4"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 xml:space="preserve">Figure No. 4. The Haematocrit levels of various fish species subjected to five different treatment groups </w:t>
      </w:r>
    </w:p>
    <w:p w14:paraId="676BD969" w14:textId="77777777" w:rsidR="00214208" w:rsidRPr="00D6274C" w:rsidRDefault="006D6E4B">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D6274C">
        <w:rPr>
          <w:rFonts w:ascii="Times New Roman" w:eastAsia="Times New Roman" w:hAnsi="Times New Roman" w:cs="Times New Roman"/>
          <w:color w:val="000000"/>
          <w:sz w:val="24"/>
          <w:szCs w:val="24"/>
        </w:rPr>
        <w:t xml:space="preserve">The maximum Haematocrit value was recorded in T4 for the selected fish. The next highest haematocrit values were recorded in T3. The PCV result indicated improved nutritional status and reduced stress. Haematocrit reflects the proportion of red blood cells in the blood and indicates overall health and oxygen-transport capacity (Abdel-Tawwab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2020).</w:t>
      </w:r>
    </w:p>
    <w:p w14:paraId="2F806EF5" w14:textId="77777777" w:rsidR="00214208" w:rsidRPr="00D6274C" w:rsidRDefault="006D6E4B">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D6274C">
        <w:rPr>
          <w:rFonts w:ascii="Times New Roman" w:eastAsia="Times New Roman" w:hAnsi="Times New Roman" w:cs="Times New Roman"/>
          <w:color w:val="000000"/>
          <w:sz w:val="24"/>
          <w:szCs w:val="24"/>
        </w:rPr>
        <w:t xml:space="preserve">According to Ashour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(2026), increased haematocrit indicated improved nutritional status and reduced stress. Haematocrit values were increased in the treated groups, reflecting improved oxygen-carrying capacity and metabolic activity. Higher PCV values indicate improved physiological condition and stress tolerance in fish cultured under probiotic and organic fertilisation systems, as reported by Abdel-Tawwab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(2020).</w:t>
      </w:r>
    </w:p>
    <w:p w14:paraId="6D2D705D" w14:textId="77777777" w:rsidR="00214208" w:rsidRPr="00D6274C" w:rsidRDefault="006D6E4B">
      <w:pPr>
        <w:pStyle w:val="Normal1"/>
        <w:pBdr>
          <w:top w:val="nil"/>
          <w:left w:val="nil"/>
          <w:bottom w:val="nil"/>
          <w:right w:val="nil"/>
          <w:between w:val="nil"/>
        </w:pBdr>
        <w:spacing w:before="280" w:after="28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Mean Corpuscular Volume (MCV)</w:t>
      </w:r>
    </w:p>
    <w:p w14:paraId="033C84F1"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noProof/>
          <w:color w:val="000000"/>
          <w:sz w:val="24"/>
          <w:szCs w:val="24"/>
        </w:rPr>
        <w:drawing>
          <wp:inline distT="0" distB="0" distL="114300" distR="114300" wp14:anchorId="5D199413" wp14:editId="3952753E">
            <wp:extent cx="5229225" cy="1226245"/>
            <wp:effectExtent l="0" t="0" r="0" b="0"/>
            <wp:docPr id="5" name="image2.png" descr="Chart"/>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15" cstate="print"/>
                    <a:srcRect/>
                    <a:stretch>
                      <a:fillRect/>
                    </a:stretch>
                  </pic:blipFill>
                  <pic:spPr>
                    <a:xfrm>
                      <a:off x="0" y="0"/>
                      <a:ext cx="5229225" cy="1226245"/>
                    </a:xfrm>
                    <a:prstGeom prst="rect">
                      <a:avLst/>
                    </a:prstGeom>
                    <a:ln/>
                  </pic:spPr>
                </pic:pic>
              </a:graphicData>
            </a:graphic>
          </wp:inline>
        </w:drawing>
      </w:r>
      <w:r w:rsidRPr="00D6274C">
        <w:rPr>
          <w:rFonts w:ascii="Times New Roman" w:eastAsia="Times New Roman" w:hAnsi="Times New Roman" w:cs="Times New Roman"/>
          <w:color w:val="000000"/>
          <w:sz w:val="24"/>
          <w:szCs w:val="24"/>
        </w:rPr>
        <w:t xml:space="preserve"> </w:t>
      </w:r>
    </w:p>
    <w:p w14:paraId="43C4CD6B"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 xml:space="preserve">Figure No. 5. The MCV levels of various fish species subjected to five different treatment groups </w:t>
      </w:r>
    </w:p>
    <w:p w14:paraId="700960BB"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sz w:val="24"/>
          <w:szCs w:val="24"/>
        </w:rPr>
        <w:lastRenderedPageBreak/>
        <w:t>Comparative studies revealed that the maximum MCV value was recorded in T2. The next highest MCV values were recorded in T3. The lowest MCV value was recorded in the control.</w:t>
      </w:r>
    </w:p>
    <w:p w14:paraId="32D0D521"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The increase in MCV observed in the treatment group may be attributed to the beneficial effect of microbial supplementation on erythropoiesis, similar to the observations of Vhatkar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(2016), who reported improved haematological indices in probiotic-fed catfish. Chen and Luo (2023) noted that Mean Corpuscular Volume (MCV) was higher in fish reared in ponds treated with cow dung and immobilised bacteria than in the control. The increase in MCV indicates improved erythrocyte development and enhanced oxygen-carrying capacity. The beneficial effects were attributed to improved pond productivity through cow dung fertilisation and enhanced microbial activity associated with immobilised probiotics. Similarly, improvements in haematological indices have been reported in probiotic-treated fish by Vhatkar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(2016) and Neepa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(2022), who observed elevated MCV values and improved physiological status in bacterial-supplemented groups.</w:t>
      </w:r>
    </w:p>
    <w:p w14:paraId="108D1BBF"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Mean Corpuscular Haemoglobin (MCH)</w:t>
      </w:r>
    </w:p>
    <w:p w14:paraId="106E302D"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noProof/>
          <w:color w:val="000000"/>
          <w:sz w:val="24"/>
          <w:szCs w:val="24"/>
        </w:rPr>
        <w:drawing>
          <wp:inline distT="0" distB="0" distL="114300" distR="114300" wp14:anchorId="2B68AB49" wp14:editId="697FC83D">
            <wp:extent cx="3983355" cy="1000125"/>
            <wp:effectExtent l="0" t="0" r="0" b="0"/>
            <wp:docPr id="8" name="image6.png" descr="Chart"/>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16" cstate="print"/>
                    <a:srcRect/>
                    <a:stretch>
                      <a:fillRect/>
                    </a:stretch>
                  </pic:blipFill>
                  <pic:spPr>
                    <a:xfrm>
                      <a:off x="0" y="0"/>
                      <a:ext cx="3983355" cy="1000125"/>
                    </a:xfrm>
                    <a:prstGeom prst="rect">
                      <a:avLst/>
                    </a:prstGeom>
                    <a:ln/>
                  </pic:spPr>
                </pic:pic>
              </a:graphicData>
            </a:graphic>
          </wp:inline>
        </w:drawing>
      </w:r>
    </w:p>
    <w:p w14:paraId="6E3AF441"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 xml:space="preserve">Figure No. 6 Mean Corpuscular haemoglobin (pg) levels of various fish species subjected to five different treatment groups </w:t>
      </w:r>
    </w:p>
    <w:p w14:paraId="66B94D82"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The current investigation showed that the highest MCH was recorded in T3 and T4. The next highest MCH level was recorded in T2, which was treated with cow dung alone. Among all five </w:t>
      </w:r>
      <w:r w:rsidRPr="00D6274C">
        <w:rPr>
          <w:rFonts w:ascii="Times New Roman" w:eastAsia="Times New Roman" w:hAnsi="Times New Roman" w:cs="Times New Roman"/>
          <w:color w:val="000000"/>
          <w:sz w:val="24"/>
          <w:szCs w:val="24"/>
        </w:rPr>
        <w:lastRenderedPageBreak/>
        <w:t>treatments, the highest values were observed in fish treated with combinations of cow dung with free probiotics or immobilised probiotics.</w:t>
      </w:r>
    </w:p>
    <w:p w14:paraId="6DDF63A4" w14:textId="5761530A"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The elevated MCV and MCH observed in cow dung-treated groups suggest enlarged erythrocytes and improved nutrient availability. </w:t>
      </w:r>
      <w:r w:rsidR="00B75627" w:rsidRPr="00B75627">
        <w:rPr>
          <w:rFonts w:ascii="Times New Roman" w:eastAsia="Times New Roman" w:hAnsi="Times New Roman" w:cs="Times New Roman"/>
          <w:color w:val="000000"/>
          <w:sz w:val="24"/>
          <w:szCs w:val="24"/>
        </w:rPr>
        <w:t>Adeyemo &amp; Enefe</w:t>
      </w:r>
      <w:r w:rsidRPr="00D6274C">
        <w:rPr>
          <w:rFonts w:ascii="Times New Roman" w:eastAsia="Times New Roman" w:hAnsi="Times New Roman" w:cs="Times New Roman"/>
          <w:color w:val="000000"/>
          <w:sz w:val="24"/>
          <w:szCs w:val="24"/>
        </w:rPr>
        <w:t xml:space="preserve"> (2021) stated that organic fertilisation increases plankton biomass, thereby enhancing fish nutrition and indirectly influencing blood physiology. Wang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(2021) and Dawood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(2020) found that MCV, MCH, and MCHC values remain within the normal range but improve under balanced probiotic diets. Microencapsulated probiotics enhance haematological values such as MCV and MCH (Boonanuntanasarn et al., 2019).</w:t>
      </w:r>
    </w:p>
    <w:p w14:paraId="2DFE8E9A"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Mean Corpuscular Haemoglobin Concentration (MCHC)</w:t>
      </w:r>
    </w:p>
    <w:p w14:paraId="19B185E3"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noProof/>
          <w:color w:val="000000"/>
          <w:sz w:val="24"/>
          <w:szCs w:val="24"/>
        </w:rPr>
        <w:drawing>
          <wp:inline distT="0" distB="0" distL="114300" distR="114300" wp14:anchorId="6631B941" wp14:editId="1C9CDE70">
            <wp:extent cx="4295775" cy="1481138"/>
            <wp:effectExtent l="0" t="0" r="0" b="0"/>
            <wp:docPr id="7" name="image5.png" descr="Chart"/>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17" cstate="print"/>
                    <a:srcRect/>
                    <a:stretch>
                      <a:fillRect/>
                    </a:stretch>
                  </pic:blipFill>
                  <pic:spPr>
                    <a:xfrm>
                      <a:off x="0" y="0"/>
                      <a:ext cx="4295775" cy="1481138"/>
                    </a:xfrm>
                    <a:prstGeom prst="rect">
                      <a:avLst/>
                    </a:prstGeom>
                    <a:ln/>
                  </pic:spPr>
                </pic:pic>
              </a:graphicData>
            </a:graphic>
          </wp:inline>
        </w:drawing>
      </w:r>
    </w:p>
    <w:p w14:paraId="4A6A0412"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Figure No. 7 MCHC levels of various fish species subjected to five different treatment groups</w:t>
      </w:r>
    </w:p>
    <w:p w14:paraId="602AFFA1"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A moderate level of MCHC was observed in T4. The lowest MCHC value was recorded in T2. According to the results, immobilised bacteria enhanced the MHC value, followed by T2 fish treated with cow dung.</w:t>
      </w:r>
    </w:p>
    <w:p w14:paraId="6C9D9C33"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Increased MCHC indicated enhanced haemoglobin concentration within erythrocytes, compensatory physiological responses, or changes in erythrocyte morphology under stress </w:t>
      </w:r>
      <w:r w:rsidRPr="00D6274C">
        <w:rPr>
          <w:rFonts w:ascii="Times New Roman" w:eastAsia="Times New Roman" w:hAnsi="Times New Roman" w:cs="Times New Roman"/>
          <w:color w:val="000000"/>
          <w:sz w:val="24"/>
          <w:szCs w:val="24"/>
        </w:rPr>
        <w:lastRenderedPageBreak/>
        <w:t xml:space="preserve">conditions. Fazio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(2022) reported that haematological indices such as MCHC are sensitive indicators of fish health and can be used to assess physiological responses to environmental, nutritional, and management-related factors in aquaculture. Cow dung and immobilised bacteria showed a moderate increase in the MHC value compared with the other treatments.</w:t>
      </w:r>
    </w:p>
    <w:p w14:paraId="757E5320"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Immunological Optimisation of Three Species (</w:t>
      </w:r>
      <w:r w:rsidRPr="00D6274C">
        <w:rPr>
          <w:rFonts w:ascii="Times New Roman" w:eastAsia="Times New Roman" w:hAnsi="Times New Roman" w:cs="Times New Roman"/>
          <w:b/>
          <w:bCs/>
          <w:i/>
          <w:color w:val="000000"/>
          <w:sz w:val="24"/>
          <w:szCs w:val="24"/>
        </w:rPr>
        <w:t>C. mrigala, L. rohita , C. Carpio</w:t>
      </w:r>
      <w:r w:rsidRPr="00D6274C">
        <w:rPr>
          <w:rFonts w:ascii="Times New Roman" w:eastAsia="Times New Roman" w:hAnsi="Times New Roman" w:cs="Times New Roman"/>
          <w:b/>
          <w:bCs/>
          <w:color w:val="000000"/>
          <w:sz w:val="24"/>
          <w:szCs w:val="24"/>
        </w:rPr>
        <w:t>)</w:t>
      </w:r>
    </w:p>
    <w:p w14:paraId="0A47E38C"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sidRPr="00D6274C">
        <w:rPr>
          <w:rFonts w:ascii="Times New Roman" w:eastAsia="Times New Roman" w:hAnsi="Times New Roman" w:cs="Times New Roman"/>
          <w:b/>
          <w:bCs/>
          <w:color w:val="000000"/>
          <w:sz w:val="24"/>
          <w:szCs w:val="24"/>
        </w:rPr>
        <w:t>Neutrophil Activity (NBT) Respiratory Burst Activity (RBA)</w:t>
      </w:r>
    </w:p>
    <w:p w14:paraId="02F11B26" w14:textId="77777777" w:rsidR="00214208" w:rsidRPr="00D6274C" w:rsidRDefault="00214208">
      <w:pPr>
        <w:pStyle w:val="Normal1"/>
        <w:pBdr>
          <w:top w:val="nil"/>
          <w:left w:val="nil"/>
          <w:bottom w:val="nil"/>
          <w:right w:val="nil"/>
          <w:between w:val="nil"/>
        </w:pBdr>
        <w:spacing w:after="0" w:line="480" w:lineRule="auto"/>
        <w:jc w:val="both"/>
        <w:rPr>
          <w:rFonts w:ascii="Times New Roman" w:eastAsia="Times New Roman" w:hAnsi="Times New Roman" w:cs="Times New Roman"/>
          <w:b/>
          <w:bCs/>
          <w:sz w:val="24"/>
          <w:szCs w:val="24"/>
        </w:rPr>
      </w:pPr>
    </w:p>
    <w:p w14:paraId="76AB3780"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FF0000"/>
          <w:sz w:val="24"/>
          <w:szCs w:val="24"/>
        </w:rPr>
      </w:pPr>
      <w:r w:rsidRPr="00D6274C">
        <w:rPr>
          <w:rFonts w:ascii="Times New Roman" w:eastAsia="Times New Roman" w:hAnsi="Times New Roman" w:cs="Times New Roman"/>
          <w:noProof/>
          <w:color w:val="FF0000"/>
          <w:sz w:val="24"/>
          <w:szCs w:val="24"/>
        </w:rPr>
        <w:drawing>
          <wp:inline distT="0" distB="0" distL="114300" distR="114300" wp14:anchorId="490E30C6" wp14:editId="4071FDB6">
            <wp:extent cx="5576888" cy="2076450"/>
            <wp:effectExtent l="0" t="0" r="0" b="0"/>
            <wp:docPr id="10" name="image10.png" descr="C:\Users\jaya\Desktop\Thesis\RBA Immunology.png"/>
            <wp:cNvGraphicFramePr/>
            <a:graphic xmlns:a="http://schemas.openxmlformats.org/drawingml/2006/main">
              <a:graphicData uri="http://schemas.openxmlformats.org/drawingml/2006/picture">
                <pic:pic xmlns:pic="http://schemas.openxmlformats.org/drawingml/2006/picture">
                  <pic:nvPicPr>
                    <pic:cNvPr id="0" name="image10.png" descr="C:\Users\jaya\Desktop\Thesis\RBA Immunology.png"/>
                    <pic:cNvPicPr preferRelativeResize="0"/>
                  </pic:nvPicPr>
                  <pic:blipFill>
                    <a:blip r:embed="rId18" cstate="print"/>
                    <a:srcRect/>
                    <a:stretch>
                      <a:fillRect/>
                    </a:stretch>
                  </pic:blipFill>
                  <pic:spPr>
                    <a:xfrm>
                      <a:off x="0" y="0"/>
                      <a:ext cx="5576888" cy="2076450"/>
                    </a:xfrm>
                    <a:prstGeom prst="rect">
                      <a:avLst/>
                    </a:prstGeom>
                    <a:ln/>
                  </pic:spPr>
                </pic:pic>
              </a:graphicData>
            </a:graphic>
          </wp:inline>
        </w:drawing>
      </w:r>
    </w:p>
    <w:p w14:paraId="217D1A46"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FF0000"/>
          <w:sz w:val="24"/>
          <w:szCs w:val="24"/>
        </w:rPr>
      </w:pPr>
      <w:r w:rsidRPr="00D6274C">
        <w:rPr>
          <w:rFonts w:ascii="Times New Roman" w:eastAsia="Times New Roman" w:hAnsi="Times New Roman" w:cs="Times New Roman"/>
          <w:b/>
          <w:bCs/>
          <w:color w:val="000000"/>
          <w:sz w:val="24"/>
          <w:szCs w:val="24"/>
        </w:rPr>
        <w:t xml:space="preserve">Figure no.8 Respiratory Burst activity (RBA OD at 540 nm) of various fish species subjected to five different treatment groups </w:t>
      </w:r>
    </w:p>
    <w:p w14:paraId="5765A1B5"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D6274C">
        <w:rPr>
          <w:rFonts w:ascii="Times New Roman" w:eastAsia="Times New Roman" w:hAnsi="Times New Roman" w:cs="Times New Roman"/>
          <w:color w:val="000000"/>
          <w:sz w:val="24"/>
          <w:szCs w:val="24"/>
        </w:rPr>
        <w:t>In the current study, the highest RBA (OD at 540 nm) was observed in T4 compared with the other treatments. The next highest RBA was observed in T3. RBA plays an important role in the immune system. The results revealed the reaction that occurs in phagocytes to degrade internalised particles and bacteria in the selected fish treated with cow dung and immobilised bacteria.</w:t>
      </w:r>
    </w:p>
    <w:p w14:paraId="70F97205" w14:textId="77777777" w:rsidR="00214208" w:rsidRPr="00D6274C" w:rsidRDefault="006D6E4B">
      <w:pPr>
        <w:pStyle w:val="Normal1"/>
        <w:pBdr>
          <w:top w:val="nil"/>
          <w:left w:val="nil"/>
          <w:bottom w:val="nil"/>
          <w:right w:val="nil"/>
          <w:between w:val="nil"/>
        </w:pBdr>
        <w:spacing w:line="480" w:lineRule="auto"/>
        <w:ind w:firstLine="720"/>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According to Chan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(2024), </w:t>
      </w:r>
      <w:r w:rsidRPr="00D6274C">
        <w:rPr>
          <w:rFonts w:ascii="Times New Roman" w:eastAsia="Times New Roman" w:hAnsi="Times New Roman" w:cs="Times New Roman"/>
          <w:i/>
          <w:color w:val="000000"/>
          <w:sz w:val="24"/>
          <w:szCs w:val="24"/>
        </w:rPr>
        <w:t>Lactobacillus</w:t>
      </w:r>
      <w:r w:rsidRPr="00D6274C">
        <w:rPr>
          <w:rFonts w:ascii="Times New Roman" w:eastAsia="Times New Roman" w:hAnsi="Times New Roman" w:cs="Times New Roman"/>
          <w:color w:val="000000"/>
          <w:sz w:val="24"/>
          <w:szCs w:val="24"/>
        </w:rPr>
        <w:t xml:space="preserve"> </w:t>
      </w:r>
      <w:r w:rsidRPr="00D6274C">
        <w:rPr>
          <w:rFonts w:ascii="Times New Roman" w:eastAsia="Times New Roman" w:hAnsi="Times New Roman" w:cs="Times New Roman"/>
          <w:i/>
          <w:color w:val="000000"/>
          <w:sz w:val="24"/>
          <w:szCs w:val="24"/>
        </w:rPr>
        <w:t>rhamnosus</w:t>
      </w:r>
      <w:r w:rsidRPr="00D6274C">
        <w:rPr>
          <w:rFonts w:ascii="Times New Roman" w:eastAsia="Times New Roman" w:hAnsi="Times New Roman" w:cs="Times New Roman"/>
          <w:color w:val="000000"/>
          <w:sz w:val="24"/>
          <w:szCs w:val="24"/>
        </w:rPr>
        <w:t xml:space="preserve"> FS3051 significantly changed the gut microbial communities and improved fish immune responses. The most prevalent method </w:t>
      </w:r>
      <w:r w:rsidRPr="00D6274C">
        <w:rPr>
          <w:rFonts w:ascii="Times New Roman" w:eastAsia="Times New Roman" w:hAnsi="Times New Roman" w:cs="Times New Roman"/>
          <w:color w:val="000000"/>
          <w:sz w:val="24"/>
          <w:szCs w:val="24"/>
        </w:rPr>
        <w:lastRenderedPageBreak/>
        <w:t xml:space="preserve">of probiotic administration is the incorporation of various probiotic formulations into feed. Melo‐Bolívar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(2021) indicated that 92.8% of probiotics are administered through feed, 4.8% are directly added to water, and 1.8% are incorporated into live food within fish culture systems. In large-scale aquaculture production, probiotics such as yeast, vital microbial communities, and crucial chemicals are widely used as supplements (Puri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2022). Enhanced immunity and improved fish growth have been reported following dietary supplementation with probiotics (Silarudee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2019). Likewise, other researchers have reported similar results (Akhter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2015; Shadrack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2023). Silarudee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(2019) and Boonanuntanasarn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(2019) noted that probiotics and microencapsulated probiotics greatly enhance fish immune systems, thereby improving their physiological condition. The present work verified that cow dung containing immobilised probiotics showed a notable improvement in the immune system of the three fish varieties.</w:t>
      </w:r>
    </w:p>
    <w:p w14:paraId="2C981EC8"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Serum Lysozyme Activity</w:t>
      </w:r>
    </w:p>
    <w:p w14:paraId="62E1A6F6"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noProof/>
          <w:color w:val="000000"/>
          <w:sz w:val="24"/>
          <w:szCs w:val="24"/>
        </w:rPr>
        <w:drawing>
          <wp:inline distT="0" distB="0" distL="114300" distR="114300" wp14:anchorId="701F0A87" wp14:editId="71E3CDF5">
            <wp:extent cx="4810125" cy="1404938"/>
            <wp:effectExtent l="0" t="0" r="0" b="0"/>
            <wp:docPr id="9" name="image8.png" descr="C:\Users\jaya\Desktop\Thesis\Lysozyme activity.png"/>
            <wp:cNvGraphicFramePr/>
            <a:graphic xmlns:a="http://schemas.openxmlformats.org/drawingml/2006/main">
              <a:graphicData uri="http://schemas.openxmlformats.org/drawingml/2006/picture">
                <pic:pic xmlns:pic="http://schemas.openxmlformats.org/drawingml/2006/picture">
                  <pic:nvPicPr>
                    <pic:cNvPr id="0" name="image8.png" descr="C:\Users\jaya\Desktop\Thesis\Lysozyme activity.png"/>
                    <pic:cNvPicPr preferRelativeResize="0"/>
                  </pic:nvPicPr>
                  <pic:blipFill>
                    <a:blip r:embed="rId19" cstate="print"/>
                    <a:srcRect/>
                    <a:stretch>
                      <a:fillRect/>
                    </a:stretch>
                  </pic:blipFill>
                  <pic:spPr>
                    <a:xfrm>
                      <a:off x="0" y="0"/>
                      <a:ext cx="4810125" cy="1404938"/>
                    </a:xfrm>
                    <a:prstGeom prst="rect">
                      <a:avLst/>
                    </a:prstGeom>
                    <a:ln/>
                  </pic:spPr>
                </pic:pic>
              </a:graphicData>
            </a:graphic>
          </wp:inline>
        </w:drawing>
      </w:r>
    </w:p>
    <w:p w14:paraId="05CF1013"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Figure No. 9</w:t>
      </w:r>
      <w:r w:rsidRPr="00D6274C">
        <w:rPr>
          <w:rFonts w:ascii="Times New Roman" w:eastAsia="Times New Roman" w:hAnsi="Times New Roman" w:cs="Times New Roman"/>
          <w:b/>
          <w:bCs/>
          <w:color w:val="FF0000"/>
          <w:sz w:val="24"/>
          <w:szCs w:val="24"/>
        </w:rPr>
        <w:t xml:space="preserve"> </w:t>
      </w:r>
      <w:r w:rsidRPr="00D6274C">
        <w:rPr>
          <w:rFonts w:ascii="Times New Roman" w:eastAsia="Times New Roman" w:hAnsi="Times New Roman" w:cs="Times New Roman"/>
          <w:b/>
          <w:bCs/>
          <w:color w:val="000000"/>
          <w:sz w:val="24"/>
          <w:szCs w:val="24"/>
        </w:rPr>
        <w:t xml:space="preserve">Lysozyme activity (U/mL) of various fish species subjected to five different treatment groups </w:t>
      </w:r>
    </w:p>
    <w:p w14:paraId="73A8612C"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sz w:val="24"/>
          <w:szCs w:val="24"/>
        </w:rPr>
      </w:pPr>
      <w:r w:rsidRPr="00D6274C">
        <w:rPr>
          <w:rFonts w:ascii="Times New Roman" w:eastAsia="Times New Roman" w:hAnsi="Times New Roman" w:cs="Times New Roman"/>
          <w:sz w:val="24"/>
          <w:szCs w:val="24"/>
        </w:rPr>
        <w:t xml:space="preserve">The maximum level of lysozyme activity was observed in T4. The next highest level of lysozyme activity was observed in T3. According to the results, high lysozyme activity was observed in fish fed immobilised probiotics compared with the other treatments, suggesting </w:t>
      </w:r>
      <w:r w:rsidRPr="00D6274C">
        <w:rPr>
          <w:rFonts w:ascii="Times New Roman" w:eastAsia="Times New Roman" w:hAnsi="Times New Roman" w:cs="Times New Roman"/>
          <w:sz w:val="24"/>
          <w:szCs w:val="24"/>
        </w:rPr>
        <w:lastRenderedPageBreak/>
        <w:t>enhanced phagocytic-cell activity stimulated by dietary supplementation, specifically cow dung with immobilised bacteria.</w:t>
      </w:r>
    </w:p>
    <w:p w14:paraId="1DA4BEA3"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Under excessive salinity conditions, the administration of probiotics, specifically </w:t>
      </w:r>
      <w:r w:rsidRPr="00D6274C">
        <w:rPr>
          <w:rFonts w:ascii="Times New Roman" w:eastAsia="Times New Roman" w:hAnsi="Times New Roman" w:cs="Times New Roman"/>
          <w:i/>
          <w:color w:val="000000"/>
          <w:sz w:val="24"/>
          <w:szCs w:val="24"/>
        </w:rPr>
        <w:t>Lactobacillus plantarum</w:t>
      </w:r>
      <w:r w:rsidRPr="00D6274C">
        <w:rPr>
          <w:rFonts w:ascii="Times New Roman" w:eastAsia="Times New Roman" w:hAnsi="Times New Roman" w:cs="Times New Roman"/>
          <w:color w:val="000000"/>
          <w:sz w:val="24"/>
          <w:szCs w:val="24"/>
        </w:rPr>
        <w:t xml:space="preserve">, to tilapia leads to increased lysozyme enzyme activity and a range of immunoglobulins (Abou‐El‐Atta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2019; Mohammadi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2020). Saurabh and Sahoo (2008) noted that lysozyme is an essential component of the fish innate immune system, and lysozyme activity is widely used as an indicator of the non-specific immune response in fish. Lysozyme activity is measured as a non-specific immune defence in fish, while nitroblue tetrazolium (NBT) is monitored as an indicator of innate immunity (Dawood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2020; Mohammadian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2020).</w:t>
      </w:r>
    </w:p>
    <w:p w14:paraId="54322B2F"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Phagocytic Activity</w:t>
      </w:r>
    </w:p>
    <w:p w14:paraId="23AF9E37" w14:textId="77777777" w:rsidR="00214208" w:rsidRPr="00D6274C" w:rsidRDefault="006D6E4B">
      <w:pPr>
        <w:pStyle w:val="Normal1"/>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sidRPr="00D6274C">
        <w:rPr>
          <w:rFonts w:ascii="Times New Roman" w:eastAsia="Times New Roman" w:hAnsi="Times New Roman" w:cs="Times New Roman"/>
          <w:noProof/>
          <w:color w:val="000000"/>
          <w:sz w:val="24"/>
          <w:szCs w:val="24"/>
        </w:rPr>
        <w:drawing>
          <wp:inline distT="0" distB="0" distL="114300" distR="114300" wp14:anchorId="4B612604" wp14:editId="68FC4496">
            <wp:extent cx="3452813" cy="1247775"/>
            <wp:effectExtent l="0" t="0" r="0" b="0"/>
            <wp:docPr id="11" name="image4.png" descr="C:\Users\jaya\Desktop\Thesis\Phagocytosis.png"/>
            <wp:cNvGraphicFramePr/>
            <a:graphic xmlns:a="http://schemas.openxmlformats.org/drawingml/2006/main">
              <a:graphicData uri="http://schemas.openxmlformats.org/drawingml/2006/picture">
                <pic:pic xmlns:pic="http://schemas.openxmlformats.org/drawingml/2006/picture">
                  <pic:nvPicPr>
                    <pic:cNvPr id="0" name="image4.png" descr="C:\Users\jaya\Desktop\Thesis\Phagocytosis.png"/>
                    <pic:cNvPicPr preferRelativeResize="0"/>
                  </pic:nvPicPr>
                  <pic:blipFill>
                    <a:blip r:embed="rId20" cstate="print"/>
                    <a:srcRect/>
                    <a:stretch>
                      <a:fillRect/>
                    </a:stretch>
                  </pic:blipFill>
                  <pic:spPr>
                    <a:xfrm>
                      <a:off x="0" y="0"/>
                      <a:ext cx="3452813" cy="1247775"/>
                    </a:xfrm>
                    <a:prstGeom prst="rect">
                      <a:avLst/>
                    </a:prstGeom>
                    <a:ln/>
                  </pic:spPr>
                </pic:pic>
              </a:graphicData>
            </a:graphic>
          </wp:inline>
        </w:drawing>
      </w:r>
    </w:p>
    <w:p w14:paraId="23556C4A" w14:textId="77777777" w:rsidR="00214208" w:rsidRPr="00D6274C" w:rsidRDefault="006D6E4B">
      <w:pPr>
        <w:pStyle w:val="Normal1"/>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 xml:space="preserve">Figure No. 10. Phagocytic activity (%) of three different </w:t>
      </w:r>
      <w:r w:rsidR="00283768" w:rsidRPr="00D6274C">
        <w:rPr>
          <w:rFonts w:ascii="Times New Roman" w:eastAsia="Times New Roman" w:hAnsi="Times New Roman" w:cs="Times New Roman"/>
          <w:b/>
          <w:bCs/>
          <w:color w:val="000000"/>
          <w:sz w:val="24"/>
          <w:szCs w:val="24"/>
        </w:rPr>
        <w:t>freshwater species</w:t>
      </w:r>
      <w:r w:rsidRPr="00D6274C">
        <w:rPr>
          <w:rFonts w:ascii="Times New Roman" w:eastAsia="Times New Roman" w:hAnsi="Times New Roman" w:cs="Times New Roman"/>
          <w:b/>
          <w:bCs/>
          <w:color w:val="000000"/>
          <w:sz w:val="24"/>
          <w:szCs w:val="24"/>
        </w:rPr>
        <w:t xml:space="preserve"> subjected to five different treatment groups </w:t>
      </w:r>
    </w:p>
    <w:p w14:paraId="1F28113A"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color w:val="000000"/>
          <w:sz w:val="24"/>
          <w:szCs w:val="24"/>
        </w:rPr>
        <w:t xml:space="preserve">The maximum Phagocytic activity was observed in T4. The next highest level was observed in T3. The Phagocytic activity (Fig. No. 10) showed that the combination of cow dung with immobilised probiotics produced a better result than treatment with cow dung or probiotic alone. Fath El-Bab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(2022) and Mohammadian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xml:space="preserve">. (2020) conducted experiments demonstrating improved phagocytic activity in Nile tilapia farming through the use of probiotic diets related to </w:t>
      </w:r>
      <w:r w:rsidRPr="00D6274C">
        <w:rPr>
          <w:rFonts w:ascii="Times New Roman" w:eastAsia="Times New Roman" w:hAnsi="Times New Roman" w:cs="Times New Roman"/>
          <w:i/>
          <w:color w:val="000000"/>
          <w:sz w:val="24"/>
          <w:szCs w:val="24"/>
        </w:rPr>
        <w:t>Bacillus</w:t>
      </w:r>
      <w:r w:rsidRPr="00D6274C">
        <w:rPr>
          <w:rFonts w:ascii="Times New Roman" w:eastAsia="Times New Roman" w:hAnsi="Times New Roman" w:cs="Times New Roman"/>
          <w:color w:val="000000"/>
          <w:sz w:val="24"/>
          <w:szCs w:val="24"/>
        </w:rPr>
        <w:t xml:space="preserve"> coagulans. Probiotics have the potential to significantly </w:t>
      </w:r>
      <w:r w:rsidRPr="00D6274C">
        <w:rPr>
          <w:rFonts w:ascii="Times New Roman" w:eastAsia="Times New Roman" w:hAnsi="Times New Roman" w:cs="Times New Roman"/>
          <w:color w:val="000000"/>
          <w:sz w:val="24"/>
          <w:szCs w:val="24"/>
        </w:rPr>
        <w:lastRenderedPageBreak/>
        <w:t xml:space="preserve">enhance innate immune responses by interacting with immune cells, such as phagocytic cells (macrophages and monocytes), polymorphonuclear leucocytes (neutrophils), and NK cells, as documented by Nayak </w:t>
      </w:r>
      <w:r w:rsidRPr="00D6274C">
        <w:rPr>
          <w:rFonts w:ascii="Times New Roman" w:eastAsia="Times New Roman" w:hAnsi="Times New Roman" w:cs="Times New Roman"/>
          <w:i/>
          <w:color w:val="000000"/>
          <w:sz w:val="24"/>
          <w:szCs w:val="24"/>
        </w:rPr>
        <w:t>et al</w:t>
      </w:r>
      <w:r w:rsidRPr="00D6274C">
        <w:rPr>
          <w:rFonts w:ascii="Times New Roman" w:eastAsia="Times New Roman" w:hAnsi="Times New Roman" w:cs="Times New Roman"/>
          <w:color w:val="000000"/>
          <w:sz w:val="24"/>
          <w:szCs w:val="24"/>
        </w:rPr>
        <w:t>. (2010).</w:t>
      </w:r>
    </w:p>
    <w:p w14:paraId="5F299657" w14:textId="77777777" w:rsidR="00214208" w:rsidRPr="00D6274C" w:rsidRDefault="006D6E4B">
      <w:pPr>
        <w:pStyle w:val="Normal1"/>
        <w:widowControl w:val="0"/>
        <w:pBdr>
          <w:top w:val="nil"/>
          <w:left w:val="nil"/>
          <w:bottom w:val="nil"/>
          <w:right w:val="nil"/>
          <w:between w:val="nil"/>
        </w:pBdr>
        <w:spacing w:after="0" w:line="480" w:lineRule="auto"/>
        <w:ind w:right="284"/>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Conclusion</w:t>
      </w:r>
    </w:p>
    <w:p w14:paraId="690EDA6F" w14:textId="11D7CDD4" w:rsidR="00D6274C" w:rsidRDefault="00D6274C" w:rsidP="00D6274C">
      <w:pPr>
        <w:pStyle w:val="Normal1"/>
        <w:jc w:val="both"/>
      </w:pPr>
      <w:r>
        <w:t xml:space="preserve">Under the conditions of the 70-day feeding trial, supplementation with free or immobilised </w:t>
      </w:r>
      <w:r>
        <w:rPr>
          <w:rStyle w:val="Emphasis"/>
        </w:rPr>
        <w:t>Lactobacillus sporogenes</w:t>
      </w:r>
      <w:r>
        <w:t xml:space="preserve">, particularly when combined with cow dung, was associated with measurable changes in the haematological and innate immune responses of </w:t>
      </w:r>
      <w:r>
        <w:rPr>
          <w:rStyle w:val="Emphasis"/>
        </w:rPr>
        <w:t>C. mrigala</w:t>
      </w:r>
      <w:r>
        <w:t xml:space="preserve">, </w:t>
      </w:r>
      <w:r>
        <w:rPr>
          <w:rStyle w:val="Emphasis"/>
        </w:rPr>
        <w:t>L. rohita</w:t>
      </w:r>
      <w:r>
        <w:t xml:space="preserve">, and </w:t>
      </w:r>
      <w:r>
        <w:rPr>
          <w:rStyle w:val="Emphasis"/>
        </w:rPr>
        <w:t>C. carpio</w:t>
      </w:r>
      <w:r>
        <w:t xml:space="preserve">. Among the experimental treatments, T4 (cow dung with immobilised probiotics) generally produced the highest responses for haemoglobin, red and white blood cell counts, haematocrit, respiratory burst activity, lysozyme activity, and phagocytic activity, while T3 frequently showed the next highest values. These patterns suggest that immobilisation may support the functional effectiveness of probiotic supplementation under the tested culture conditions. The findings are specific to the experimental design, duration, species, and measured indicators and should therefore be interpreted within those boundaries. Overall, the study provides evidence that the combined use of cow dung and immobilised probiotics may be a useful management approach for supporting haematological condition and innate immune activity in cultured freshwater carps. Further validation under broader culture conditions would be required before wider application. </w:t>
      </w:r>
    </w:p>
    <w:p w14:paraId="5A92CF72" w14:textId="616401E8" w:rsidR="00D6274C" w:rsidRPr="00D6274C" w:rsidRDefault="00D6274C" w:rsidP="00D6274C">
      <w:pPr>
        <w:pStyle w:val="Normal1"/>
        <w:jc w:val="both"/>
        <w:rPr>
          <w:b/>
          <w:bCs/>
        </w:rPr>
      </w:pPr>
      <w:r w:rsidRPr="00D6274C">
        <w:rPr>
          <w:b/>
          <w:bCs/>
        </w:rPr>
        <w:t>Limitations</w:t>
      </w:r>
    </w:p>
    <w:p w14:paraId="1C8312DA" w14:textId="2A70CD22" w:rsidR="00D6274C" w:rsidRDefault="00D6274C" w:rsidP="00D6274C">
      <w:pPr>
        <w:pStyle w:val="Normal1"/>
        <w:jc w:val="both"/>
      </w:pPr>
      <w:r>
        <w:t>The study was conducted under controlled laboratory conditions for 70 days using three carp species and a defined set of dietary treatments. Interpretation is therefore limited to the measured haematological and innate immune indicators under these experimental conditions. The manuscript does not report pathogen-challenge outcomes or long-term field performance, and the observed responses should not be extrapolated beyond the assessed endpoints. Further studies across culture systems, environmental conditions, and longer production periods would help determine the consistency and practical applicability of the observed effects.</w:t>
      </w:r>
    </w:p>
    <w:p w14:paraId="700884B4" w14:textId="77777777" w:rsidR="00D6274C" w:rsidRDefault="00D6274C">
      <w:pPr>
        <w:pStyle w:val="Normal1"/>
      </w:pPr>
    </w:p>
    <w:p w14:paraId="4A894D9C" w14:textId="79DEB667" w:rsidR="00214208" w:rsidRPr="00D6274C" w:rsidRDefault="006D6E4B">
      <w:pPr>
        <w:pStyle w:val="Normal1"/>
        <w:rPr>
          <w:rFonts w:ascii="Times New Roman" w:eastAsia="Times New Roman" w:hAnsi="Times New Roman" w:cs="Times New Roman"/>
        </w:rPr>
      </w:pPr>
      <w:r w:rsidRPr="00D6274C">
        <w:rPr>
          <w:rFonts w:ascii="Times New Roman" w:eastAsia="Times New Roman" w:hAnsi="Times New Roman" w:cs="Times New Roman"/>
          <w:b/>
          <w:bCs/>
        </w:rPr>
        <w:t>Declaration of AI Use</w:t>
      </w:r>
    </w:p>
    <w:p w14:paraId="10733DA1" w14:textId="77777777" w:rsidR="00214208" w:rsidRPr="00D6274C" w:rsidRDefault="006D6E4B">
      <w:pPr>
        <w:pStyle w:val="Normal1"/>
        <w:spacing w:line="360" w:lineRule="auto"/>
        <w:jc w:val="both"/>
        <w:rPr>
          <w:rFonts w:ascii="Times New Roman" w:eastAsia="Times New Roman" w:hAnsi="Times New Roman" w:cs="Times New Roman"/>
        </w:rPr>
      </w:pPr>
      <w:r w:rsidRPr="00D6274C">
        <w:rPr>
          <w:rFonts w:ascii="Times New Roman" w:eastAsia="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w:t>
      </w:r>
      <w:r w:rsidRPr="00D6274C">
        <w:rPr>
          <w:rFonts w:ascii="Times New Roman" w:eastAsia="Times New Roman" w:hAnsi="Times New Roman" w:cs="Times New Roman"/>
        </w:rPr>
        <w:lastRenderedPageBreak/>
        <w:t>approved by the author(s). The author(s) accept full responsibility for the accuracy, integrity, and final content of the manuscript.</w:t>
      </w:r>
    </w:p>
    <w:p w14:paraId="301008CE" w14:textId="77777777" w:rsidR="00214208" w:rsidRPr="00D6274C" w:rsidRDefault="006D6E4B">
      <w:pPr>
        <w:pStyle w:val="Normal1"/>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D6274C">
        <w:rPr>
          <w:rFonts w:ascii="Times New Roman" w:eastAsia="Times New Roman" w:hAnsi="Times New Roman" w:cs="Times New Roman"/>
          <w:b/>
          <w:bCs/>
          <w:color w:val="000000"/>
          <w:sz w:val="24"/>
          <w:szCs w:val="24"/>
        </w:rPr>
        <w:t>References</w:t>
      </w:r>
    </w:p>
    <w:p w14:paraId="29203F03"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Abdel-Rahim, M. M., Shahin, S. A., Mansour, A. T., Alsaqufi, A. S., Elshafey, A. E., Omar, A. A., El-Sharkawy, H. A., Mohamed, R. A., &amp; Elhetawy, A. I. G. (2025). The effect of aqueous application of probiotics on growth, heavy metal accumulation, blood biochemistry, and histological alterations of </w:t>
      </w:r>
      <w:r w:rsidRPr="00B75627">
        <w:rPr>
          <w:rFonts w:ascii="Times New Roman" w:eastAsia="Times New Roman" w:hAnsi="Times New Roman" w:cs="Times New Roman"/>
          <w:i/>
          <w:iCs/>
          <w:sz w:val="24"/>
          <w:szCs w:val="24"/>
        </w:rPr>
        <w:t>Dicentrarcus labrax</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Aquaculture International, 33</w:t>
      </w:r>
      <w:r w:rsidRPr="00B75627">
        <w:rPr>
          <w:rFonts w:ascii="Times New Roman" w:eastAsia="Times New Roman" w:hAnsi="Times New Roman" w:cs="Times New Roman"/>
          <w:sz w:val="24"/>
          <w:szCs w:val="24"/>
        </w:rPr>
        <w:t xml:space="preserve">, Article 222. </w:t>
      </w:r>
      <w:hyperlink r:id="rId21" w:history="1">
        <w:r w:rsidRPr="00B75627">
          <w:rPr>
            <w:rFonts w:ascii="Times New Roman" w:eastAsia="Times New Roman" w:hAnsi="Times New Roman" w:cs="Times New Roman"/>
            <w:color w:val="0000FF"/>
            <w:sz w:val="24"/>
            <w:szCs w:val="24"/>
            <w:u w:val="single"/>
          </w:rPr>
          <w:t>https://doi.org/10.1007/s10499-025-01900-5</w:t>
        </w:r>
      </w:hyperlink>
    </w:p>
    <w:p w14:paraId="551E2630"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Abdel-Tawwab, M., &amp; Hamed, H. S. (2020). Antagonistic effects of dietary guava (</w:t>
      </w:r>
      <w:r w:rsidRPr="00B75627">
        <w:rPr>
          <w:rFonts w:ascii="Times New Roman" w:eastAsia="Times New Roman" w:hAnsi="Times New Roman" w:cs="Times New Roman"/>
          <w:i/>
          <w:iCs/>
          <w:sz w:val="24"/>
          <w:szCs w:val="24"/>
        </w:rPr>
        <w:t>Psidium guajava</w:t>
      </w:r>
      <w:r w:rsidRPr="00B75627">
        <w:rPr>
          <w:rFonts w:ascii="Times New Roman" w:eastAsia="Times New Roman" w:hAnsi="Times New Roman" w:cs="Times New Roman"/>
          <w:sz w:val="24"/>
          <w:szCs w:val="24"/>
        </w:rPr>
        <w:t xml:space="preserve">) leaves extract on growth, hemato-biochemical, and immunity response of cypermethrin-intoxicated Nile tilapia, </w:t>
      </w:r>
      <w:r w:rsidRPr="00B75627">
        <w:rPr>
          <w:rFonts w:ascii="Times New Roman" w:eastAsia="Times New Roman" w:hAnsi="Times New Roman" w:cs="Times New Roman"/>
          <w:i/>
          <w:iCs/>
          <w:sz w:val="24"/>
          <w:szCs w:val="24"/>
        </w:rPr>
        <w:t>Oreochromis niloticus</w:t>
      </w:r>
      <w:r w:rsidRPr="00B75627">
        <w:rPr>
          <w:rFonts w:ascii="Times New Roman" w:eastAsia="Times New Roman" w:hAnsi="Times New Roman" w:cs="Times New Roman"/>
          <w:sz w:val="24"/>
          <w:szCs w:val="24"/>
        </w:rPr>
        <w:t xml:space="preserve">, fingerlings. </w:t>
      </w:r>
      <w:r w:rsidRPr="00B75627">
        <w:rPr>
          <w:rFonts w:ascii="Times New Roman" w:eastAsia="Times New Roman" w:hAnsi="Times New Roman" w:cs="Times New Roman"/>
          <w:i/>
          <w:iCs/>
          <w:sz w:val="24"/>
          <w:szCs w:val="24"/>
        </w:rPr>
        <w:t>Aquaculture, 529</w:t>
      </w:r>
      <w:r w:rsidRPr="00B75627">
        <w:rPr>
          <w:rFonts w:ascii="Times New Roman" w:eastAsia="Times New Roman" w:hAnsi="Times New Roman" w:cs="Times New Roman"/>
          <w:sz w:val="24"/>
          <w:szCs w:val="24"/>
        </w:rPr>
        <w:t xml:space="preserve">, Article 735668. </w:t>
      </w:r>
      <w:hyperlink r:id="rId22" w:history="1">
        <w:r w:rsidRPr="00B75627">
          <w:rPr>
            <w:rFonts w:ascii="Times New Roman" w:eastAsia="Times New Roman" w:hAnsi="Times New Roman" w:cs="Times New Roman"/>
            <w:color w:val="0000FF"/>
            <w:sz w:val="24"/>
            <w:szCs w:val="24"/>
            <w:u w:val="single"/>
          </w:rPr>
          <w:t>https://doi.org/10.1016/j.aquaculture.2020.735668</w:t>
        </w:r>
      </w:hyperlink>
    </w:p>
    <w:p w14:paraId="00ABDFF3"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Abou-El-Atta, M. E., Abdel-Tawwab, M., Abdel-Razek, N., &amp; Abdelhakim, T. M. (2019). Effects of dietary probiotic </w:t>
      </w:r>
      <w:r w:rsidRPr="00B75627">
        <w:rPr>
          <w:rFonts w:ascii="Times New Roman" w:eastAsia="Times New Roman" w:hAnsi="Times New Roman" w:cs="Times New Roman"/>
          <w:i/>
          <w:iCs/>
          <w:sz w:val="24"/>
          <w:szCs w:val="24"/>
        </w:rPr>
        <w:t>Lactobacillus plantarum</w:t>
      </w:r>
      <w:r w:rsidRPr="00B75627">
        <w:rPr>
          <w:rFonts w:ascii="Times New Roman" w:eastAsia="Times New Roman" w:hAnsi="Times New Roman" w:cs="Times New Roman"/>
          <w:sz w:val="24"/>
          <w:szCs w:val="24"/>
        </w:rPr>
        <w:t xml:space="preserve"> and whey protein concentrate on the productive parameters, immunity response, and susceptibility of Nile tilapia, </w:t>
      </w:r>
      <w:r w:rsidRPr="00B75627">
        <w:rPr>
          <w:rFonts w:ascii="Times New Roman" w:eastAsia="Times New Roman" w:hAnsi="Times New Roman" w:cs="Times New Roman"/>
          <w:i/>
          <w:iCs/>
          <w:sz w:val="24"/>
          <w:szCs w:val="24"/>
        </w:rPr>
        <w:t>Oreochromis niloticus</w:t>
      </w:r>
      <w:r w:rsidRPr="00B75627">
        <w:rPr>
          <w:rFonts w:ascii="Times New Roman" w:eastAsia="Times New Roman" w:hAnsi="Times New Roman" w:cs="Times New Roman"/>
          <w:sz w:val="24"/>
          <w:szCs w:val="24"/>
        </w:rPr>
        <w:t xml:space="preserve"> (L.), to </w:t>
      </w:r>
      <w:r w:rsidRPr="00B75627">
        <w:rPr>
          <w:rFonts w:ascii="Times New Roman" w:eastAsia="Times New Roman" w:hAnsi="Times New Roman" w:cs="Times New Roman"/>
          <w:i/>
          <w:iCs/>
          <w:sz w:val="24"/>
          <w:szCs w:val="24"/>
        </w:rPr>
        <w:t>Aeromonas sobria</w:t>
      </w:r>
      <w:r w:rsidRPr="00B75627">
        <w:rPr>
          <w:rFonts w:ascii="Times New Roman" w:eastAsia="Times New Roman" w:hAnsi="Times New Roman" w:cs="Times New Roman"/>
          <w:sz w:val="24"/>
          <w:szCs w:val="24"/>
        </w:rPr>
        <w:t xml:space="preserve"> infection. </w:t>
      </w:r>
      <w:r w:rsidRPr="00B75627">
        <w:rPr>
          <w:rFonts w:ascii="Times New Roman" w:eastAsia="Times New Roman" w:hAnsi="Times New Roman" w:cs="Times New Roman"/>
          <w:i/>
          <w:iCs/>
          <w:sz w:val="24"/>
          <w:szCs w:val="24"/>
        </w:rPr>
        <w:t>Aquaculture Nutrition, 25</w:t>
      </w:r>
      <w:r w:rsidRPr="00B75627">
        <w:rPr>
          <w:rFonts w:ascii="Times New Roman" w:eastAsia="Times New Roman" w:hAnsi="Times New Roman" w:cs="Times New Roman"/>
          <w:sz w:val="24"/>
          <w:szCs w:val="24"/>
        </w:rPr>
        <w:t xml:space="preserve">(6), 1367–1377. </w:t>
      </w:r>
      <w:hyperlink r:id="rId23" w:history="1">
        <w:r w:rsidRPr="00B75627">
          <w:rPr>
            <w:rFonts w:ascii="Times New Roman" w:eastAsia="Times New Roman" w:hAnsi="Times New Roman" w:cs="Times New Roman"/>
            <w:color w:val="0000FF"/>
            <w:sz w:val="24"/>
            <w:szCs w:val="24"/>
            <w:u w:val="single"/>
          </w:rPr>
          <w:t>https://doi.org/10.1111/anu.12957</w:t>
        </w:r>
      </w:hyperlink>
    </w:p>
    <w:p w14:paraId="5CBB1EF4"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Akhter, N., Wu, B., Memon, A. M., &amp; Mohsin, M. (2015). Probiotics and prebiotics associated with aquaculture: A review. </w:t>
      </w:r>
      <w:r w:rsidRPr="00B75627">
        <w:rPr>
          <w:rFonts w:ascii="Times New Roman" w:eastAsia="Times New Roman" w:hAnsi="Times New Roman" w:cs="Times New Roman"/>
          <w:i/>
          <w:iCs/>
          <w:sz w:val="24"/>
          <w:szCs w:val="24"/>
        </w:rPr>
        <w:t>Fish &amp; Shellfish Immunology, 45</w:t>
      </w:r>
      <w:r w:rsidRPr="00B75627">
        <w:rPr>
          <w:rFonts w:ascii="Times New Roman" w:eastAsia="Times New Roman" w:hAnsi="Times New Roman" w:cs="Times New Roman"/>
          <w:sz w:val="24"/>
          <w:szCs w:val="24"/>
        </w:rPr>
        <w:t xml:space="preserve">(2), 733–741. </w:t>
      </w:r>
      <w:hyperlink r:id="rId24" w:history="1">
        <w:r w:rsidRPr="00B75627">
          <w:rPr>
            <w:rFonts w:ascii="Times New Roman" w:eastAsia="Times New Roman" w:hAnsi="Times New Roman" w:cs="Times New Roman"/>
            <w:color w:val="0000FF"/>
            <w:sz w:val="24"/>
            <w:szCs w:val="24"/>
            <w:u w:val="single"/>
          </w:rPr>
          <w:t>https://doi.org/10.1016/j.fsi.2015.05.038</w:t>
        </w:r>
      </w:hyperlink>
    </w:p>
    <w:p w14:paraId="119F60E5"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Ashour, M., Ringø, E., Ali, F. S., Mamoon, A., Abdelzaher, O. F., Mathew, R. T., Mansour, A. T., Alkhamis, Y. A., Mohammed, E. S. I., Hassanien, H. S., Elokaby, M. A., &amp; Mabrouk, M. M. (2026). Seaweed liquid extract improves growth, immunity, and gene expression in Nile tilapia (</w:t>
      </w:r>
      <w:r w:rsidRPr="00B75627">
        <w:rPr>
          <w:rFonts w:ascii="Times New Roman" w:eastAsia="Times New Roman" w:hAnsi="Times New Roman" w:cs="Times New Roman"/>
          <w:i/>
          <w:iCs/>
          <w:sz w:val="24"/>
          <w:szCs w:val="24"/>
        </w:rPr>
        <w:t>Oreochromis niloticus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Journal of Applied Phycology</w:t>
      </w:r>
      <w:r w:rsidRPr="00B75627">
        <w:rPr>
          <w:rFonts w:ascii="Times New Roman" w:eastAsia="Times New Roman" w:hAnsi="Times New Roman" w:cs="Times New Roman"/>
          <w:sz w:val="24"/>
          <w:szCs w:val="24"/>
        </w:rPr>
        <w:t xml:space="preserve">. Advance online publication. </w:t>
      </w:r>
      <w:hyperlink r:id="rId25" w:history="1">
        <w:r w:rsidRPr="00B75627">
          <w:rPr>
            <w:rFonts w:ascii="Times New Roman" w:eastAsia="Times New Roman" w:hAnsi="Times New Roman" w:cs="Times New Roman"/>
            <w:color w:val="0000FF"/>
            <w:sz w:val="24"/>
            <w:szCs w:val="24"/>
            <w:u w:val="single"/>
          </w:rPr>
          <w:t>https://doi.org/10.1007/s10811-026-03910-z</w:t>
        </w:r>
      </w:hyperlink>
    </w:p>
    <w:p w14:paraId="2A54DF80"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Baker, F. J., &amp; Silverton, R. E. (1976). </w:t>
      </w:r>
      <w:r w:rsidRPr="00B75627">
        <w:rPr>
          <w:rFonts w:ascii="Times New Roman" w:eastAsia="Times New Roman" w:hAnsi="Times New Roman" w:cs="Times New Roman"/>
          <w:i/>
          <w:iCs/>
          <w:sz w:val="24"/>
          <w:szCs w:val="24"/>
        </w:rPr>
        <w:t>Introduction to medical laboratory technology</w:t>
      </w:r>
      <w:r w:rsidRPr="00B75627">
        <w:rPr>
          <w:rFonts w:ascii="Times New Roman" w:eastAsia="Times New Roman" w:hAnsi="Times New Roman" w:cs="Times New Roman"/>
          <w:sz w:val="24"/>
          <w:szCs w:val="24"/>
        </w:rPr>
        <w:t xml:space="preserve"> (5th ed.). Butterworth-Heinemann. </w:t>
      </w:r>
      <w:hyperlink r:id="rId26" w:history="1">
        <w:r w:rsidRPr="00B75627">
          <w:rPr>
            <w:rFonts w:ascii="Times New Roman" w:eastAsia="Times New Roman" w:hAnsi="Times New Roman" w:cs="Times New Roman"/>
            <w:color w:val="0000FF"/>
            <w:sz w:val="24"/>
            <w:szCs w:val="24"/>
            <w:u w:val="single"/>
          </w:rPr>
          <w:t>https://doi.org/10.1016/C2013-0-06213-5</w:t>
        </w:r>
      </w:hyperlink>
    </w:p>
    <w:p w14:paraId="78E8CBAD"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Bellinati-Pires, R., Carneiro-Sampaio, M. M., &amp; Colletto, G. M. (1992). Functional evaluation of human neutrophils: Is the bactericidal activity correlated with nitroblue tetrazolium reduction? </w:t>
      </w:r>
      <w:r w:rsidRPr="00B75627">
        <w:rPr>
          <w:rFonts w:ascii="Times New Roman" w:eastAsia="Times New Roman" w:hAnsi="Times New Roman" w:cs="Times New Roman"/>
          <w:i/>
          <w:iCs/>
          <w:sz w:val="24"/>
          <w:szCs w:val="24"/>
        </w:rPr>
        <w:t>Journal of Investigational Allergology &amp; Clinical Immunology, 2</w:t>
      </w:r>
      <w:r w:rsidRPr="00B75627">
        <w:rPr>
          <w:rFonts w:ascii="Times New Roman" w:eastAsia="Times New Roman" w:hAnsi="Times New Roman" w:cs="Times New Roman"/>
          <w:sz w:val="24"/>
          <w:szCs w:val="24"/>
        </w:rPr>
        <w:t xml:space="preserve">(3), 146–153. </w:t>
      </w:r>
      <w:hyperlink r:id="rId27" w:history="1">
        <w:r w:rsidRPr="00B75627">
          <w:rPr>
            <w:rFonts w:ascii="Times New Roman" w:eastAsia="Times New Roman" w:hAnsi="Times New Roman" w:cs="Times New Roman"/>
            <w:color w:val="0000FF"/>
            <w:sz w:val="24"/>
            <w:szCs w:val="24"/>
            <w:u w:val="single"/>
          </w:rPr>
          <w:t>https://pubmed.ncbi.nlm.nih.gov/1342894/</w:t>
        </w:r>
      </w:hyperlink>
    </w:p>
    <w:p w14:paraId="15DAACF4"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Adeyemo, B. T., &amp; Enefe, N. G. (2021). Haematological and serum biochemical reference intervals of juvenile African bonytongue fish (</w:t>
      </w:r>
      <w:r w:rsidRPr="00B75627">
        <w:rPr>
          <w:rFonts w:ascii="Times New Roman" w:eastAsia="Times New Roman" w:hAnsi="Times New Roman" w:cs="Times New Roman"/>
          <w:i/>
          <w:iCs/>
          <w:sz w:val="24"/>
          <w:szCs w:val="24"/>
        </w:rPr>
        <w:t>Heterotis niloticus</w:t>
      </w:r>
      <w:r w:rsidRPr="00B75627">
        <w:rPr>
          <w:rFonts w:ascii="Times New Roman" w:eastAsia="Times New Roman" w:hAnsi="Times New Roman" w:cs="Times New Roman"/>
          <w:sz w:val="24"/>
          <w:szCs w:val="24"/>
        </w:rPr>
        <w:t xml:space="preserve">. Cuvier, 1829) sampled from the River Benue, Nigeria. </w:t>
      </w:r>
      <w:r w:rsidRPr="00B75627">
        <w:rPr>
          <w:rFonts w:ascii="Times New Roman" w:eastAsia="Times New Roman" w:hAnsi="Times New Roman" w:cs="Times New Roman"/>
          <w:i/>
          <w:iCs/>
          <w:sz w:val="24"/>
          <w:szCs w:val="24"/>
        </w:rPr>
        <w:t>Mansoura Veterinary Medical Journal, 22</w:t>
      </w:r>
      <w:r w:rsidRPr="00B75627">
        <w:rPr>
          <w:rFonts w:ascii="Times New Roman" w:eastAsia="Times New Roman" w:hAnsi="Times New Roman" w:cs="Times New Roman"/>
          <w:sz w:val="24"/>
          <w:szCs w:val="24"/>
        </w:rPr>
        <w:t xml:space="preserve">(2), 82–90. </w:t>
      </w:r>
      <w:hyperlink r:id="rId28" w:history="1">
        <w:r w:rsidRPr="00B75627">
          <w:rPr>
            <w:rFonts w:ascii="Times New Roman" w:eastAsia="Times New Roman" w:hAnsi="Times New Roman" w:cs="Times New Roman"/>
            <w:color w:val="0000FF"/>
            <w:sz w:val="24"/>
            <w:szCs w:val="24"/>
            <w:u w:val="single"/>
          </w:rPr>
          <w:t>https://doi.org/10.21608/mvmj.2021.56537.1024</w:t>
        </w:r>
      </w:hyperlink>
    </w:p>
    <w:p w14:paraId="1A6DEC2F"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lastRenderedPageBreak/>
        <w:t xml:space="preserve">Boonanuntanasarn, S., Ditthab, K., Jangprai, A., &amp; Nakharuthai, C. (2019). Effects of microencapsulated </w:t>
      </w:r>
      <w:r w:rsidRPr="00B75627">
        <w:rPr>
          <w:rFonts w:ascii="Times New Roman" w:eastAsia="Times New Roman" w:hAnsi="Times New Roman" w:cs="Times New Roman"/>
          <w:i/>
          <w:iCs/>
          <w:sz w:val="24"/>
          <w:szCs w:val="24"/>
        </w:rPr>
        <w:t>Saccharomyces cerevisiae</w:t>
      </w:r>
      <w:r w:rsidRPr="00B75627">
        <w:rPr>
          <w:rFonts w:ascii="Times New Roman" w:eastAsia="Times New Roman" w:hAnsi="Times New Roman" w:cs="Times New Roman"/>
          <w:sz w:val="24"/>
          <w:szCs w:val="24"/>
        </w:rPr>
        <w:t xml:space="preserve"> on growth, hematological indices, blood chemical, and immune parameters and intestinal morphology in striped catfish, </w:t>
      </w:r>
      <w:r w:rsidRPr="00B75627">
        <w:rPr>
          <w:rFonts w:ascii="Times New Roman" w:eastAsia="Times New Roman" w:hAnsi="Times New Roman" w:cs="Times New Roman"/>
          <w:i/>
          <w:iCs/>
          <w:sz w:val="24"/>
          <w:szCs w:val="24"/>
        </w:rPr>
        <w:t>Pangasianodon hypophthalmus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Probiotics and Antimicrobial Proteins, 11</w:t>
      </w:r>
      <w:r w:rsidRPr="00B75627">
        <w:rPr>
          <w:rFonts w:ascii="Times New Roman" w:eastAsia="Times New Roman" w:hAnsi="Times New Roman" w:cs="Times New Roman"/>
          <w:sz w:val="24"/>
          <w:szCs w:val="24"/>
        </w:rPr>
        <w:t xml:space="preserve">(2), 427–437. </w:t>
      </w:r>
      <w:hyperlink r:id="rId29" w:history="1">
        <w:r w:rsidRPr="00B75627">
          <w:rPr>
            <w:rFonts w:ascii="Times New Roman" w:eastAsia="Times New Roman" w:hAnsi="Times New Roman" w:cs="Times New Roman"/>
            <w:color w:val="0000FF"/>
            <w:sz w:val="24"/>
            <w:szCs w:val="24"/>
            <w:u w:val="single"/>
          </w:rPr>
          <w:t>https://doi.org/10.1007/s12602-018-9404-0</w:t>
        </w:r>
      </w:hyperlink>
    </w:p>
    <w:p w14:paraId="060A7469"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Chan, C. H., Chen, L. H., Chen, K. Y., Chen, I. H., Lee, K. T., Lai, L. C., Tsai, M. H., Chuang, E. Y., Lin, M. T., &amp; Yan, T. R. (2024). Single-strain probiotics enhance growth, anti-pathogen immunity, and resistance to </w:t>
      </w:r>
      <w:r w:rsidRPr="00B75627">
        <w:rPr>
          <w:rFonts w:ascii="Times New Roman" w:eastAsia="Times New Roman" w:hAnsi="Times New Roman" w:cs="Times New Roman"/>
          <w:i/>
          <w:iCs/>
          <w:sz w:val="24"/>
          <w:szCs w:val="24"/>
        </w:rPr>
        <w:t>Nocardia seriolae</w:t>
      </w:r>
      <w:r w:rsidRPr="00B75627">
        <w:rPr>
          <w:rFonts w:ascii="Times New Roman" w:eastAsia="Times New Roman" w:hAnsi="Times New Roman" w:cs="Times New Roman"/>
          <w:sz w:val="24"/>
          <w:szCs w:val="24"/>
        </w:rPr>
        <w:t xml:space="preserve"> in grey mullet (</w:t>
      </w:r>
      <w:r w:rsidRPr="00B75627">
        <w:rPr>
          <w:rFonts w:ascii="Times New Roman" w:eastAsia="Times New Roman" w:hAnsi="Times New Roman" w:cs="Times New Roman"/>
          <w:i/>
          <w:iCs/>
          <w:sz w:val="24"/>
          <w:szCs w:val="24"/>
        </w:rPr>
        <w:t>Mugil cephalus</w:t>
      </w:r>
      <w:r w:rsidRPr="00B75627">
        <w:rPr>
          <w:rFonts w:ascii="Times New Roman" w:eastAsia="Times New Roman" w:hAnsi="Times New Roman" w:cs="Times New Roman"/>
          <w:sz w:val="24"/>
          <w:szCs w:val="24"/>
        </w:rPr>
        <w:t xml:space="preserve">) via gut microbiota modulation. </w:t>
      </w:r>
      <w:r w:rsidRPr="00B75627">
        <w:rPr>
          <w:rFonts w:ascii="Times New Roman" w:eastAsia="Times New Roman" w:hAnsi="Times New Roman" w:cs="Times New Roman"/>
          <w:i/>
          <w:iCs/>
          <w:sz w:val="24"/>
          <w:szCs w:val="24"/>
        </w:rPr>
        <w:t>Animal Microbiome, 6</w:t>
      </w:r>
      <w:r w:rsidRPr="00B75627">
        <w:rPr>
          <w:rFonts w:ascii="Times New Roman" w:eastAsia="Times New Roman" w:hAnsi="Times New Roman" w:cs="Times New Roman"/>
          <w:sz w:val="24"/>
          <w:szCs w:val="24"/>
        </w:rPr>
        <w:t xml:space="preserve">(1), Article 67. </w:t>
      </w:r>
      <w:hyperlink r:id="rId30" w:history="1">
        <w:r w:rsidRPr="00B75627">
          <w:rPr>
            <w:rFonts w:ascii="Times New Roman" w:eastAsia="Times New Roman" w:hAnsi="Times New Roman" w:cs="Times New Roman"/>
            <w:color w:val="0000FF"/>
            <w:sz w:val="24"/>
            <w:szCs w:val="24"/>
            <w:u w:val="single"/>
          </w:rPr>
          <w:t>https://doi.org/10.1186/s42523-024-00353-0</w:t>
        </w:r>
      </w:hyperlink>
    </w:p>
    <w:p w14:paraId="5A208F7F"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Chen, H., &amp; Luo, D. (2023). Application of haematology parameters for health management in fish farms. </w:t>
      </w:r>
      <w:r w:rsidRPr="00B75627">
        <w:rPr>
          <w:rFonts w:ascii="Times New Roman" w:eastAsia="Times New Roman" w:hAnsi="Times New Roman" w:cs="Times New Roman"/>
          <w:i/>
          <w:iCs/>
          <w:sz w:val="24"/>
          <w:szCs w:val="24"/>
        </w:rPr>
        <w:t>Reviews in Aquaculture, 15</w:t>
      </w:r>
      <w:r w:rsidRPr="00B75627">
        <w:rPr>
          <w:rFonts w:ascii="Times New Roman" w:eastAsia="Times New Roman" w:hAnsi="Times New Roman" w:cs="Times New Roman"/>
          <w:sz w:val="24"/>
          <w:szCs w:val="24"/>
        </w:rPr>
        <w:t xml:space="preserve">(2), 704–737. </w:t>
      </w:r>
      <w:hyperlink r:id="rId31" w:history="1">
        <w:r w:rsidRPr="00B75627">
          <w:rPr>
            <w:rFonts w:ascii="Times New Roman" w:eastAsia="Times New Roman" w:hAnsi="Times New Roman" w:cs="Times New Roman"/>
            <w:color w:val="0000FF"/>
            <w:sz w:val="24"/>
            <w:szCs w:val="24"/>
            <w:u w:val="single"/>
          </w:rPr>
          <w:t>https://doi.org/10.1111/raq.12753</w:t>
        </w:r>
      </w:hyperlink>
    </w:p>
    <w:p w14:paraId="2E2DF38C"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Dawood, M. A., AbdEl-Kader, M. F., Moustafa, E. M., Gewaily, M. S., &amp; Abdo, S. E. (2020). Growth performance and hemato-immunological responses of Nile tilapia (</w:t>
      </w:r>
      <w:r w:rsidRPr="00B75627">
        <w:rPr>
          <w:rFonts w:ascii="Times New Roman" w:eastAsia="Times New Roman" w:hAnsi="Times New Roman" w:cs="Times New Roman"/>
          <w:i/>
          <w:iCs/>
          <w:sz w:val="24"/>
          <w:szCs w:val="24"/>
        </w:rPr>
        <w:t>Oreochromis niloticus</w:t>
      </w:r>
      <w:r w:rsidRPr="00B75627">
        <w:rPr>
          <w:rFonts w:ascii="Times New Roman" w:eastAsia="Times New Roman" w:hAnsi="Times New Roman" w:cs="Times New Roman"/>
          <w:sz w:val="24"/>
          <w:szCs w:val="24"/>
        </w:rPr>
        <w:t xml:space="preserve">) exposed to deltamethrin and fed immunobiotics. </w:t>
      </w:r>
      <w:r w:rsidRPr="00B75627">
        <w:rPr>
          <w:rFonts w:ascii="Times New Roman" w:eastAsia="Times New Roman" w:hAnsi="Times New Roman" w:cs="Times New Roman"/>
          <w:i/>
          <w:iCs/>
          <w:sz w:val="24"/>
          <w:szCs w:val="24"/>
        </w:rPr>
        <w:t>Environmental Science and Pollution Research, 27</w:t>
      </w:r>
      <w:r w:rsidRPr="00B75627">
        <w:rPr>
          <w:rFonts w:ascii="Times New Roman" w:eastAsia="Times New Roman" w:hAnsi="Times New Roman" w:cs="Times New Roman"/>
          <w:sz w:val="24"/>
          <w:szCs w:val="24"/>
        </w:rPr>
        <w:t xml:space="preserve">(11), 11608–11617. </w:t>
      </w:r>
      <w:hyperlink r:id="rId32" w:history="1">
        <w:r w:rsidRPr="00B75627">
          <w:rPr>
            <w:rFonts w:ascii="Times New Roman" w:eastAsia="Times New Roman" w:hAnsi="Times New Roman" w:cs="Times New Roman"/>
            <w:color w:val="0000FF"/>
            <w:sz w:val="24"/>
            <w:szCs w:val="24"/>
            <w:u w:val="single"/>
          </w:rPr>
          <w:t>https://doi.org/10.1007/s11356-020-07775-8</w:t>
        </w:r>
      </w:hyperlink>
    </w:p>
    <w:p w14:paraId="33E517BA"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Fachri, M., Amoah, K., Huang, Y., Cai, J., Alfatat, A., Ndandala, C. B., Shija, V. M., Jin, X., Bissih, F., &amp; Chen, H. (2024). Probiotics and paraprobiotics in aquaculture: A sustainable strategy for enhancing fish growth, health and disease prevention—A review. </w:t>
      </w:r>
      <w:r w:rsidRPr="00B75627">
        <w:rPr>
          <w:rFonts w:ascii="Times New Roman" w:eastAsia="Times New Roman" w:hAnsi="Times New Roman" w:cs="Times New Roman"/>
          <w:i/>
          <w:iCs/>
          <w:sz w:val="24"/>
          <w:szCs w:val="24"/>
        </w:rPr>
        <w:t>Frontiers in Marine Science, 11</w:t>
      </w:r>
      <w:r w:rsidRPr="00B75627">
        <w:rPr>
          <w:rFonts w:ascii="Times New Roman" w:eastAsia="Times New Roman" w:hAnsi="Times New Roman" w:cs="Times New Roman"/>
          <w:sz w:val="24"/>
          <w:szCs w:val="24"/>
        </w:rPr>
        <w:t xml:space="preserve">, Article 1499228. </w:t>
      </w:r>
      <w:hyperlink r:id="rId33" w:history="1">
        <w:r w:rsidRPr="00B75627">
          <w:rPr>
            <w:rFonts w:ascii="Times New Roman" w:eastAsia="Times New Roman" w:hAnsi="Times New Roman" w:cs="Times New Roman"/>
            <w:color w:val="0000FF"/>
            <w:sz w:val="24"/>
            <w:szCs w:val="24"/>
            <w:u w:val="single"/>
          </w:rPr>
          <w:t>https://doi.org/10.3389/fmars.2024.1499228</w:t>
        </w:r>
      </w:hyperlink>
    </w:p>
    <w:p w14:paraId="76CC1A8D"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Fath El-Bab, A. F., Majrashi, K. A., Sheikh, H. M., Shafi, M. E., El-Ratel, I. T., Neamat-Allah, A. N. F., El-Raghi, A. A., Elazem, A. Y. A., Abd-Elghany, M. F., Abdelnour, S. A., Abduh, M. S., Jaremko, M., &amp; Naiel, M. A. E. (2022). Dietary supplementation of Nile tilapia (</w:t>
      </w:r>
      <w:r w:rsidRPr="00B75627">
        <w:rPr>
          <w:rFonts w:ascii="Times New Roman" w:eastAsia="Times New Roman" w:hAnsi="Times New Roman" w:cs="Times New Roman"/>
          <w:i/>
          <w:iCs/>
          <w:sz w:val="24"/>
          <w:szCs w:val="24"/>
        </w:rPr>
        <w:t>Oreochromis niloticus</w:t>
      </w:r>
      <w:r w:rsidRPr="00B75627">
        <w:rPr>
          <w:rFonts w:ascii="Times New Roman" w:eastAsia="Times New Roman" w:hAnsi="Times New Roman" w:cs="Times New Roman"/>
          <w:sz w:val="24"/>
          <w:szCs w:val="24"/>
        </w:rPr>
        <w:t xml:space="preserve">) with β-glucan and/or </w:t>
      </w:r>
      <w:r w:rsidRPr="00B75627">
        <w:rPr>
          <w:rFonts w:ascii="Times New Roman" w:eastAsia="Times New Roman" w:hAnsi="Times New Roman" w:cs="Times New Roman"/>
          <w:i/>
          <w:iCs/>
          <w:sz w:val="24"/>
          <w:szCs w:val="24"/>
        </w:rPr>
        <w:t>Bacillus coagulans</w:t>
      </w:r>
      <w:r w:rsidRPr="00B75627">
        <w:rPr>
          <w:rFonts w:ascii="Times New Roman" w:eastAsia="Times New Roman" w:hAnsi="Times New Roman" w:cs="Times New Roman"/>
          <w:sz w:val="24"/>
          <w:szCs w:val="24"/>
        </w:rPr>
        <w:t xml:space="preserve">: Synergistic impacts on performance, immune responses, redox status and expression of some related genes. </w:t>
      </w:r>
      <w:r w:rsidRPr="00B75627">
        <w:rPr>
          <w:rFonts w:ascii="Times New Roman" w:eastAsia="Times New Roman" w:hAnsi="Times New Roman" w:cs="Times New Roman"/>
          <w:i/>
          <w:iCs/>
          <w:sz w:val="24"/>
          <w:szCs w:val="24"/>
        </w:rPr>
        <w:t>Frontiers in Veterinary Science, 9</w:t>
      </w:r>
      <w:r w:rsidRPr="00B75627">
        <w:rPr>
          <w:rFonts w:ascii="Times New Roman" w:eastAsia="Times New Roman" w:hAnsi="Times New Roman" w:cs="Times New Roman"/>
          <w:sz w:val="24"/>
          <w:szCs w:val="24"/>
        </w:rPr>
        <w:t xml:space="preserve">, Article 1011715. </w:t>
      </w:r>
      <w:hyperlink r:id="rId34" w:history="1">
        <w:r w:rsidRPr="00B75627">
          <w:rPr>
            <w:rFonts w:ascii="Times New Roman" w:eastAsia="Times New Roman" w:hAnsi="Times New Roman" w:cs="Times New Roman"/>
            <w:color w:val="0000FF"/>
            <w:sz w:val="24"/>
            <w:szCs w:val="24"/>
            <w:u w:val="single"/>
          </w:rPr>
          <w:t>https://doi.org/10.3389/fvets.2022.1011715</w:t>
        </w:r>
      </w:hyperlink>
    </w:p>
    <w:p w14:paraId="0F238737"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Fazio, F., Habib, S. S., Naz, S., Filiciotto, F., Cicero, N., Rehman, H. U., Saddozai, S., Rind, K. H., Rind, N. A., &amp; Shar, A. H. (2022). Effect of fortified feed with olive leaves extract on the haematological and biochemical parameters of </w:t>
      </w:r>
      <w:r w:rsidRPr="00B75627">
        <w:rPr>
          <w:rFonts w:ascii="Times New Roman" w:eastAsia="Times New Roman" w:hAnsi="Times New Roman" w:cs="Times New Roman"/>
          <w:i/>
          <w:iCs/>
          <w:sz w:val="24"/>
          <w:szCs w:val="24"/>
        </w:rPr>
        <w:t>Oreochromis niloticus</w:t>
      </w:r>
      <w:r w:rsidRPr="00B75627">
        <w:rPr>
          <w:rFonts w:ascii="Times New Roman" w:eastAsia="Times New Roman" w:hAnsi="Times New Roman" w:cs="Times New Roman"/>
          <w:sz w:val="24"/>
          <w:szCs w:val="24"/>
        </w:rPr>
        <w:t xml:space="preserve"> (Nile tilapia). </w:t>
      </w:r>
      <w:r w:rsidRPr="00B75627">
        <w:rPr>
          <w:rFonts w:ascii="Times New Roman" w:eastAsia="Times New Roman" w:hAnsi="Times New Roman" w:cs="Times New Roman"/>
          <w:i/>
          <w:iCs/>
          <w:sz w:val="24"/>
          <w:szCs w:val="24"/>
        </w:rPr>
        <w:t>Natural Product Research, 36</w:t>
      </w:r>
      <w:r w:rsidRPr="00B75627">
        <w:rPr>
          <w:rFonts w:ascii="Times New Roman" w:eastAsia="Times New Roman" w:hAnsi="Times New Roman" w:cs="Times New Roman"/>
          <w:sz w:val="24"/>
          <w:szCs w:val="24"/>
        </w:rPr>
        <w:t xml:space="preserve">(6), 1575–1580. </w:t>
      </w:r>
      <w:hyperlink r:id="rId35" w:history="1">
        <w:r w:rsidRPr="00B75627">
          <w:rPr>
            <w:rFonts w:ascii="Times New Roman" w:eastAsia="Times New Roman" w:hAnsi="Times New Roman" w:cs="Times New Roman"/>
            <w:color w:val="0000FF"/>
            <w:sz w:val="24"/>
            <w:szCs w:val="24"/>
            <w:u w:val="single"/>
          </w:rPr>
          <w:t>https://doi.org/10.1080/14786419.2021.1883606</w:t>
        </w:r>
      </w:hyperlink>
    </w:p>
    <w:p w14:paraId="61070359"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Guan, E. N., Burgess, W., Robinson, S. L., Goodman, E. B., McTigue, K. J., &amp; Tenner, A. J. (1991). Phagocytic cell molecules that bind the collagen-like region of C1q: Involvement in the C1q-mediated enhancement of phagocytosis. </w:t>
      </w:r>
      <w:r w:rsidRPr="00B75627">
        <w:rPr>
          <w:rFonts w:ascii="Times New Roman" w:eastAsia="Times New Roman" w:hAnsi="Times New Roman" w:cs="Times New Roman"/>
          <w:i/>
          <w:iCs/>
          <w:sz w:val="24"/>
          <w:szCs w:val="24"/>
        </w:rPr>
        <w:t>Journal of Biological Chemistry, 266</w:t>
      </w:r>
      <w:r w:rsidRPr="00B75627">
        <w:rPr>
          <w:rFonts w:ascii="Times New Roman" w:eastAsia="Times New Roman" w:hAnsi="Times New Roman" w:cs="Times New Roman"/>
          <w:sz w:val="24"/>
          <w:szCs w:val="24"/>
        </w:rPr>
        <w:t xml:space="preserve">(30), 20345–20355. </w:t>
      </w:r>
      <w:hyperlink r:id="rId36" w:history="1">
        <w:r w:rsidRPr="00B75627">
          <w:rPr>
            <w:rFonts w:ascii="Times New Roman" w:eastAsia="Times New Roman" w:hAnsi="Times New Roman" w:cs="Times New Roman"/>
            <w:color w:val="0000FF"/>
            <w:sz w:val="24"/>
            <w:szCs w:val="24"/>
            <w:u w:val="single"/>
          </w:rPr>
          <w:t>https://doi.org/10.1016/S0021-9258(18)54929-2</w:t>
        </w:r>
      </w:hyperlink>
    </w:p>
    <w:p w14:paraId="65185A47"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Hajirezaee, S., Ramezani, S., &amp; Ahani, S. (2024). Betaine and the probiotic, </w:t>
      </w:r>
      <w:r w:rsidRPr="00B75627">
        <w:rPr>
          <w:rFonts w:ascii="Times New Roman" w:eastAsia="Times New Roman" w:hAnsi="Times New Roman" w:cs="Times New Roman"/>
          <w:i/>
          <w:iCs/>
          <w:sz w:val="24"/>
          <w:szCs w:val="24"/>
        </w:rPr>
        <w:t>Lactobacillus rhamnosus</w:t>
      </w:r>
      <w:r w:rsidRPr="00B75627">
        <w:rPr>
          <w:rFonts w:ascii="Times New Roman" w:eastAsia="Times New Roman" w:hAnsi="Times New Roman" w:cs="Times New Roman"/>
          <w:sz w:val="24"/>
          <w:szCs w:val="24"/>
        </w:rPr>
        <w:t xml:space="preserve"> in the diet of the common carp, </w:t>
      </w:r>
      <w:r w:rsidRPr="00B75627">
        <w:rPr>
          <w:rFonts w:ascii="Times New Roman" w:eastAsia="Times New Roman" w:hAnsi="Times New Roman" w:cs="Times New Roman"/>
          <w:i/>
          <w:iCs/>
          <w:sz w:val="24"/>
          <w:szCs w:val="24"/>
        </w:rPr>
        <w:t>Cyprinus carpio</w:t>
      </w:r>
      <w:r w:rsidRPr="00B75627">
        <w:rPr>
          <w:rFonts w:ascii="Times New Roman" w:eastAsia="Times New Roman" w:hAnsi="Times New Roman" w:cs="Times New Roman"/>
          <w:sz w:val="24"/>
          <w:szCs w:val="24"/>
        </w:rPr>
        <w:t xml:space="preserve">: Effects on growth, digestive </w:t>
      </w:r>
      <w:r w:rsidRPr="00B75627">
        <w:rPr>
          <w:rFonts w:ascii="Times New Roman" w:eastAsia="Times New Roman" w:hAnsi="Times New Roman" w:cs="Times New Roman"/>
          <w:sz w:val="24"/>
          <w:szCs w:val="24"/>
        </w:rPr>
        <w:lastRenderedPageBreak/>
        <w:t xml:space="preserve">enzyme activities, antioxidant system, humoral and mucosal immunity and resistance to </w:t>
      </w:r>
      <w:r w:rsidRPr="00B75627">
        <w:rPr>
          <w:rFonts w:ascii="Times New Roman" w:eastAsia="Times New Roman" w:hAnsi="Times New Roman" w:cs="Times New Roman"/>
          <w:i/>
          <w:iCs/>
          <w:sz w:val="24"/>
          <w:szCs w:val="24"/>
        </w:rPr>
        <w:t>Streptococcus iniae</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Aquaculture Reports, 38</w:t>
      </w:r>
      <w:r w:rsidRPr="00B75627">
        <w:rPr>
          <w:rFonts w:ascii="Times New Roman" w:eastAsia="Times New Roman" w:hAnsi="Times New Roman" w:cs="Times New Roman"/>
          <w:sz w:val="24"/>
          <w:szCs w:val="24"/>
        </w:rPr>
        <w:t xml:space="preserve">, Article 102282. </w:t>
      </w:r>
      <w:hyperlink r:id="rId37" w:history="1">
        <w:r w:rsidRPr="00B75627">
          <w:rPr>
            <w:rFonts w:ascii="Times New Roman" w:eastAsia="Times New Roman" w:hAnsi="Times New Roman" w:cs="Times New Roman"/>
            <w:color w:val="0000FF"/>
            <w:sz w:val="24"/>
            <w:szCs w:val="24"/>
            <w:u w:val="single"/>
          </w:rPr>
          <w:t>https://doi.org/10.1016/j.aqrep.2024.102282</w:t>
        </w:r>
      </w:hyperlink>
    </w:p>
    <w:p w14:paraId="724C33AD"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Hutchinson, T. H., Field, M. D., &amp; Manning, M. J. (2003). Evaluation of non-specific immune functions in dab, </w:t>
      </w:r>
      <w:r w:rsidRPr="00B75627">
        <w:rPr>
          <w:rFonts w:ascii="Times New Roman" w:eastAsia="Times New Roman" w:hAnsi="Times New Roman" w:cs="Times New Roman"/>
          <w:i/>
          <w:iCs/>
          <w:sz w:val="24"/>
          <w:szCs w:val="24"/>
        </w:rPr>
        <w:t>Limanda limanda</w:t>
      </w:r>
      <w:r w:rsidRPr="00B75627">
        <w:rPr>
          <w:rFonts w:ascii="Times New Roman" w:eastAsia="Times New Roman" w:hAnsi="Times New Roman" w:cs="Times New Roman"/>
          <w:sz w:val="24"/>
          <w:szCs w:val="24"/>
        </w:rPr>
        <w:t xml:space="preserve"> L., following short-term exposure to sediments contaminated with polyaromatic hydrocarbons and/or polychlorinated biphenyls. </w:t>
      </w:r>
      <w:r w:rsidRPr="00B75627">
        <w:rPr>
          <w:rFonts w:ascii="Times New Roman" w:eastAsia="Times New Roman" w:hAnsi="Times New Roman" w:cs="Times New Roman"/>
          <w:i/>
          <w:iCs/>
          <w:sz w:val="24"/>
          <w:szCs w:val="24"/>
        </w:rPr>
        <w:t>Marine Environmental Research, 55</w:t>
      </w:r>
      <w:r w:rsidRPr="00B75627">
        <w:rPr>
          <w:rFonts w:ascii="Times New Roman" w:eastAsia="Times New Roman" w:hAnsi="Times New Roman" w:cs="Times New Roman"/>
          <w:sz w:val="24"/>
          <w:szCs w:val="24"/>
        </w:rPr>
        <w:t xml:space="preserve">(3), 193–202. </w:t>
      </w:r>
      <w:hyperlink r:id="rId38" w:history="1">
        <w:r w:rsidRPr="00B75627">
          <w:rPr>
            <w:rFonts w:ascii="Times New Roman" w:eastAsia="Times New Roman" w:hAnsi="Times New Roman" w:cs="Times New Roman"/>
            <w:color w:val="0000FF"/>
            <w:sz w:val="24"/>
            <w:szCs w:val="24"/>
            <w:u w:val="single"/>
          </w:rPr>
          <w:t>https://doi.org/10.1016/S0141-1136(02)00214-3</w:t>
        </w:r>
      </w:hyperlink>
    </w:p>
    <w:p w14:paraId="7067648A"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lang w:val="nl-BE"/>
        </w:rPr>
        <w:t xml:space="preserve">Kord, M. I., Srour, T. M., Omar, E. A., Farag, A. A., Nour, A. A. M., &amp; Khalil, H. S. (2021). </w:t>
      </w:r>
      <w:r w:rsidRPr="00B75627">
        <w:rPr>
          <w:rFonts w:ascii="Times New Roman" w:eastAsia="Times New Roman" w:hAnsi="Times New Roman" w:cs="Times New Roman"/>
          <w:sz w:val="24"/>
          <w:szCs w:val="24"/>
        </w:rPr>
        <w:t xml:space="preserve">The immunostimulatory effects of commercial feed additives on growth performance, non-specific immune response, antioxidants assay, and intestinal morphometry of Nile tilapia, </w:t>
      </w:r>
      <w:r w:rsidRPr="00B75627">
        <w:rPr>
          <w:rFonts w:ascii="Times New Roman" w:eastAsia="Times New Roman" w:hAnsi="Times New Roman" w:cs="Times New Roman"/>
          <w:i/>
          <w:iCs/>
          <w:sz w:val="24"/>
          <w:szCs w:val="24"/>
        </w:rPr>
        <w:t>Oreochromis niloticus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Frontiers in Physiology, 12</w:t>
      </w:r>
      <w:r w:rsidRPr="00B75627">
        <w:rPr>
          <w:rFonts w:ascii="Times New Roman" w:eastAsia="Times New Roman" w:hAnsi="Times New Roman" w:cs="Times New Roman"/>
          <w:sz w:val="24"/>
          <w:szCs w:val="24"/>
        </w:rPr>
        <w:t xml:space="preserve">, Article 627499. </w:t>
      </w:r>
      <w:hyperlink r:id="rId39" w:history="1">
        <w:r w:rsidRPr="00B75627">
          <w:rPr>
            <w:rFonts w:ascii="Times New Roman" w:eastAsia="Times New Roman" w:hAnsi="Times New Roman" w:cs="Times New Roman"/>
            <w:color w:val="0000FF"/>
            <w:sz w:val="24"/>
            <w:szCs w:val="24"/>
            <w:u w:val="single"/>
          </w:rPr>
          <w:t>https://doi.org/10.3389/fphys.2021.627499</w:t>
        </w:r>
      </w:hyperlink>
    </w:p>
    <w:p w14:paraId="4988E32A"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Melo-Bolívar, J. F., Ruiz Pardo, R. Y., Hume, M. E., &amp; Villamil Díaz, L. M. (2021). Multistrain probiotics use in main commercially cultured freshwater fish: A systematic review of evidence. </w:t>
      </w:r>
      <w:r w:rsidRPr="00B75627">
        <w:rPr>
          <w:rFonts w:ascii="Times New Roman" w:eastAsia="Times New Roman" w:hAnsi="Times New Roman" w:cs="Times New Roman"/>
          <w:i/>
          <w:iCs/>
          <w:sz w:val="24"/>
          <w:szCs w:val="24"/>
        </w:rPr>
        <w:t>Reviews in Aquaculture, 13</w:t>
      </w:r>
      <w:r w:rsidRPr="00B75627">
        <w:rPr>
          <w:rFonts w:ascii="Times New Roman" w:eastAsia="Times New Roman" w:hAnsi="Times New Roman" w:cs="Times New Roman"/>
          <w:sz w:val="24"/>
          <w:szCs w:val="24"/>
        </w:rPr>
        <w:t xml:space="preserve">(4), 1758–1780. </w:t>
      </w:r>
      <w:hyperlink r:id="rId40" w:history="1">
        <w:r w:rsidRPr="00B75627">
          <w:rPr>
            <w:rFonts w:ascii="Times New Roman" w:eastAsia="Times New Roman" w:hAnsi="Times New Roman" w:cs="Times New Roman"/>
            <w:color w:val="0000FF"/>
            <w:sz w:val="24"/>
            <w:szCs w:val="24"/>
            <w:u w:val="single"/>
          </w:rPr>
          <w:t>https://doi.org/10.1111/raq.12543</w:t>
        </w:r>
      </w:hyperlink>
    </w:p>
    <w:p w14:paraId="237FA4CA"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Michael, S. E., Abarike, E. D., &amp; Cai, J. (2019). A review on the probiotic effects on haematological parameters in fish. </w:t>
      </w:r>
      <w:r w:rsidRPr="00B75627">
        <w:rPr>
          <w:rFonts w:ascii="Times New Roman" w:eastAsia="Times New Roman" w:hAnsi="Times New Roman" w:cs="Times New Roman"/>
          <w:i/>
          <w:iCs/>
          <w:sz w:val="24"/>
          <w:szCs w:val="24"/>
        </w:rPr>
        <w:t>Journal of FisheriesSciences.com, 13</w:t>
      </w:r>
      <w:r w:rsidRPr="00B75627">
        <w:rPr>
          <w:rFonts w:ascii="Times New Roman" w:eastAsia="Times New Roman" w:hAnsi="Times New Roman" w:cs="Times New Roman"/>
          <w:sz w:val="24"/>
          <w:szCs w:val="24"/>
        </w:rPr>
        <w:t xml:space="preserve">(3), 25–31. </w:t>
      </w:r>
      <w:hyperlink r:id="rId41" w:history="1">
        <w:r w:rsidRPr="00B75627">
          <w:rPr>
            <w:rFonts w:ascii="Times New Roman" w:eastAsia="Times New Roman" w:hAnsi="Times New Roman" w:cs="Times New Roman"/>
            <w:color w:val="0000FF"/>
            <w:sz w:val="24"/>
            <w:szCs w:val="24"/>
            <w:u w:val="single"/>
          </w:rPr>
          <w:t>https://doi.org/10.36648/1307-234X.13.3.166</w:t>
        </w:r>
      </w:hyperlink>
    </w:p>
    <w:p w14:paraId="72E1ADC0"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Mohammadi, G., Rafiee, G., &amp; Abdelrahman, H. A. (2020). Effects of dietary </w:t>
      </w:r>
      <w:r w:rsidRPr="00B75627">
        <w:rPr>
          <w:rFonts w:ascii="Times New Roman" w:eastAsia="Times New Roman" w:hAnsi="Times New Roman" w:cs="Times New Roman"/>
          <w:i/>
          <w:iCs/>
          <w:sz w:val="24"/>
          <w:szCs w:val="24"/>
        </w:rPr>
        <w:t>Lactobacillus plantarum</w:t>
      </w:r>
      <w:r w:rsidRPr="00B75627">
        <w:rPr>
          <w:rFonts w:ascii="Times New Roman" w:eastAsia="Times New Roman" w:hAnsi="Times New Roman" w:cs="Times New Roman"/>
          <w:sz w:val="24"/>
          <w:szCs w:val="24"/>
        </w:rPr>
        <w:t xml:space="preserve"> (KC426951) in biofloc and stagnant-renewal culture systems on growth performance, mucosal parameters, and serum innate responses of Nile tilapia </w:t>
      </w:r>
      <w:r w:rsidRPr="00B75627">
        <w:rPr>
          <w:rFonts w:ascii="Times New Roman" w:eastAsia="Times New Roman" w:hAnsi="Times New Roman" w:cs="Times New Roman"/>
          <w:i/>
          <w:iCs/>
          <w:sz w:val="24"/>
          <w:szCs w:val="24"/>
        </w:rPr>
        <w:t>Oreochromis niloticus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Fish Physiology and Biochemistry, 46</w:t>
      </w:r>
      <w:r w:rsidRPr="00B75627">
        <w:rPr>
          <w:rFonts w:ascii="Times New Roman" w:eastAsia="Times New Roman" w:hAnsi="Times New Roman" w:cs="Times New Roman"/>
          <w:sz w:val="24"/>
          <w:szCs w:val="24"/>
        </w:rPr>
        <w:t xml:space="preserve">, 1167–1181. </w:t>
      </w:r>
      <w:hyperlink r:id="rId42" w:history="1">
        <w:r w:rsidRPr="00B75627">
          <w:rPr>
            <w:rFonts w:ascii="Times New Roman" w:eastAsia="Times New Roman" w:hAnsi="Times New Roman" w:cs="Times New Roman"/>
            <w:color w:val="0000FF"/>
            <w:sz w:val="24"/>
            <w:szCs w:val="24"/>
            <w:u w:val="single"/>
          </w:rPr>
          <w:t>https://doi.org/10.1007/s10695-020-00777-w</w:t>
        </w:r>
      </w:hyperlink>
    </w:p>
    <w:p w14:paraId="56D38CD2"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Mohammadian, T., Dezfuly, Z. T., Motlagh, R. G., Jangaran-Nejad, A., Hosseini, S. S., Khaj, H., &amp; Alijani, N. (2020). Effect of encapsulated </w:t>
      </w:r>
      <w:r w:rsidRPr="00B75627">
        <w:rPr>
          <w:rFonts w:ascii="Times New Roman" w:eastAsia="Times New Roman" w:hAnsi="Times New Roman" w:cs="Times New Roman"/>
          <w:i/>
          <w:iCs/>
          <w:sz w:val="24"/>
          <w:szCs w:val="24"/>
        </w:rPr>
        <w:t>Lactobacillus bulgaricus</w:t>
      </w:r>
      <w:r w:rsidRPr="00B75627">
        <w:rPr>
          <w:rFonts w:ascii="Times New Roman" w:eastAsia="Times New Roman" w:hAnsi="Times New Roman" w:cs="Times New Roman"/>
          <w:sz w:val="24"/>
          <w:szCs w:val="24"/>
        </w:rPr>
        <w:t xml:space="preserve"> on innate immune system and hematological parameters in rainbow trout (</w:t>
      </w:r>
      <w:r w:rsidRPr="00B75627">
        <w:rPr>
          <w:rFonts w:ascii="Times New Roman" w:eastAsia="Times New Roman" w:hAnsi="Times New Roman" w:cs="Times New Roman"/>
          <w:i/>
          <w:iCs/>
          <w:sz w:val="24"/>
          <w:szCs w:val="24"/>
        </w:rPr>
        <w:t>Oncorhynchus mykiss</w:t>
      </w:r>
      <w:r w:rsidRPr="00B75627">
        <w:rPr>
          <w:rFonts w:ascii="Times New Roman" w:eastAsia="Times New Roman" w:hAnsi="Times New Roman" w:cs="Times New Roman"/>
          <w:sz w:val="24"/>
          <w:szCs w:val="24"/>
        </w:rPr>
        <w:t xml:space="preserve">), post-administration of Pb. </w:t>
      </w:r>
      <w:r w:rsidRPr="00B75627">
        <w:rPr>
          <w:rFonts w:ascii="Times New Roman" w:eastAsia="Times New Roman" w:hAnsi="Times New Roman" w:cs="Times New Roman"/>
          <w:i/>
          <w:iCs/>
          <w:sz w:val="24"/>
          <w:szCs w:val="24"/>
        </w:rPr>
        <w:t>Probiotics and Antimicrobial Proteins, 12</w:t>
      </w:r>
      <w:r w:rsidRPr="00B75627">
        <w:rPr>
          <w:rFonts w:ascii="Times New Roman" w:eastAsia="Times New Roman" w:hAnsi="Times New Roman" w:cs="Times New Roman"/>
          <w:sz w:val="24"/>
          <w:szCs w:val="24"/>
        </w:rPr>
        <w:t xml:space="preserve">(3), 375–388. </w:t>
      </w:r>
      <w:hyperlink r:id="rId43" w:history="1">
        <w:r w:rsidRPr="00B75627">
          <w:rPr>
            <w:rFonts w:ascii="Times New Roman" w:eastAsia="Times New Roman" w:hAnsi="Times New Roman" w:cs="Times New Roman"/>
            <w:color w:val="0000FF"/>
            <w:sz w:val="24"/>
            <w:szCs w:val="24"/>
            <w:u w:val="single"/>
          </w:rPr>
          <w:t>https://doi.org/10.1007/s12602-019-09544-7</w:t>
        </w:r>
      </w:hyperlink>
    </w:p>
    <w:p w14:paraId="0CCE27B0"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Mohapatra, S., Chakraborty, T., Prusty, A. K., PaniPrasad, K., &amp; Mohanta, K. N. (2014). Beneficial effects of dietary probiotics mixture on hemato-immunology and cell apoptosis of </w:t>
      </w:r>
      <w:r w:rsidRPr="00B75627">
        <w:rPr>
          <w:rFonts w:ascii="Times New Roman" w:eastAsia="Times New Roman" w:hAnsi="Times New Roman" w:cs="Times New Roman"/>
          <w:i/>
          <w:iCs/>
          <w:sz w:val="24"/>
          <w:szCs w:val="24"/>
        </w:rPr>
        <w:t>Labeo rohita</w:t>
      </w:r>
      <w:r w:rsidRPr="00B75627">
        <w:rPr>
          <w:rFonts w:ascii="Times New Roman" w:eastAsia="Times New Roman" w:hAnsi="Times New Roman" w:cs="Times New Roman"/>
          <w:sz w:val="24"/>
          <w:szCs w:val="24"/>
        </w:rPr>
        <w:t xml:space="preserve"> fingerlings reared at higher water temperatures. </w:t>
      </w:r>
      <w:r w:rsidRPr="00B75627">
        <w:rPr>
          <w:rFonts w:ascii="Times New Roman" w:eastAsia="Times New Roman" w:hAnsi="Times New Roman" w:cs="Times New Roman"/>
          <w:i/>
          <w:iCs/>
          <w:sz w:val="24"/>
          <w:szCs w:val="24"/>
        </w:rPr>
        <w:t>PLOS ONE, 9</w:t>
      </w:r>
      <w:r w:rsidRPr="00B75627">
        <w:rPr>
          <w:rFonts w:ascii="Times New Roman" w:eastAsia="Times New Roman" w:hAnsi="Times New Roman" w:cs="Times New Roman"/>
          <w:sz w:val="24"/>
          <w:szCs w:val="24"/>
        </w:rPr>
        <w:t xml:space="preserve">(6), Article e100929. </w:t>
      </w:r>
      <w:hyperlink r:id="rId44" w:history="1">
        <w:r w:rsidRPr="00B75627">
          <w:rPr>
            <w:rFonts w:ascii="Times New Roman" w:eastAsia="Times New Roman" w:hAnsi="Times New Roman" w:cs="Times New Roman"/>
            <w:color w:val="0000FF"/>
            <w:sz w:val="24"/>
            <w:szCs w:val="24"/>
            <w:u w:val="single"/>
          </w:rPr>
          <w:t>https://doi.org/10.1371/journal.pone.0100929</w:t>
        </w:r>
      </w:hyperlink>
    </w:p>
    <w:p w14:paraId="5BD544C8"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Nayak, S. K. (2010). Probiotics and immunity: A fish perspective. </w:t>
      </w:r>
      <w:r w:rsidRPr="00B75627">
        <w:rPr>
          <w:rFonts w:ascii="Times New Roman" w:eastAsia="Times New Roman" w:hAnsi="Times New Roman" w:cs="Times New Roman"/>
          <w:i/>
          <w:iCs/>
          <w:sz w:val="24"/>
          <w:szCs w:val="24"/>
        </w:rPr>
        <w:t>Fish &amp; Shellfish Immunology, 29</w:t>
      </w:r>
      <w:r w:rsidRPr="00B75627">
        <w:rPr>
          <w:rFonts w:ascii="Times New Roman" w:eastAsia="Times New Roman" w:hAnsi="Times New Roman" w:cs="Times New Roman"/>
          <w:sz w:val="24"/>
          <w:szCs w:val="24"/>
        </w:rPr>
        <w:t xml:space="preserve">(1), 2–14. </w:t>
      </w:r>
      <w:hyperlink r:id="rId45" w:history="1">
        <w:r w:rsidRPr="00B75627">
          <w:rPr>
            <w:rFonts w:ascii="Times New Roman" w:eastAsia="Times New Roman" w:hAnsi="Times New Roman" w:cs="Times New Roman"/>
            <w:color w:val="0000FF"/>
            <w:sz w:val="24"/>
            <w:szCs w:val="24"/>
            <w:u w:val="single"/>
          </w:rPr>
          <w:t>https://doi.org/10.1016/j.fsi.2010.02.017</w:t>
        </w:r>
      </w:hyperlink>
    </w:p>
    <w:p w14:paraId="1FBC8F30"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Neepa, N. N., Islam, M. R., Mely, S. S., Mrong, C. E., Kole, K., Sultana, N., &amp; Mostakim, G. M. (2022). Improvement of growth and hematological profile of juvenile silver barb </w:t>
      </w:r>
      <w:r w:rsidRPr="00B75627">
        <w:rPr>
          <w:rFonts w:ascii="Times New Roman" w:eastAsia="Times New Roman" w:hAnsi="Times New Roman" w:cs="Times New Roman"/>
          <w:sz w:val="24"/>
          <w:szCs w:val="24"/>
        </w:rPr>
        <w:lastRenderedPageBreak/>
        <w:t>(</w:t>
      </w:r>
      <w:r w:rsidRPr="00B75627">
        <w:rPr>
          <w:rFonts w:ascii="Times New Roman" w:eastAsia="Times New Roman" w:hAnsi="Times New Roman" w:cs="Times New Roman"/>
          <w:i/>
          <w:iCs/>
          <w:sz w:val="24"/>
          <w:szCs w:val="24"/>
        </w:rPr>
        <w:t>Barbonymus gonionotus</w:t>
      </w:r>
      <w:r w:rsidRPr="00B75627">
        <w:rPr>
          <w:rFonts w:ascii="Times New Roman" w:eastAsia="Times New Roman" w:hAnsi="Times New Roman" w:cs="Times New Roman"/>
          <w:sz w:val="24"/>
          <w:szCs w:val="24"/>
        </w:rPr>
        <w:t>) through dietary probiotic (</w:t>
      </w:r>
      <w:r w:rsidRPr="00B75627">
        <w:rPr>
          <w:rFonts w:ascii="Times New Roman" w:eastAsia="Times New Roman" w:hAnsi="Times New Roman" w:cs="Times New Roman"/>
          <w:i/>
          <w:iCs/>
          <w:sz w:val="24"/>
          <w:szCs w:val="24"/>
        </w:rPr>
        <w:t>Bacillus</w:t>
      </w:r>
      <w:r w:rsidRPr="00B75627">
        <w:rPr>
          <w:rFonts w:ascii="Times New Roman" w:eastAsia="Times New Roman" w:hAnsi="Times New Roman" w:cs="Times New Roman"/>
          <w:sz w:val="24"/>
          <w:szCs w:val="24"/>
        </w:rPr>
        <w:t xml:space="preserve"> sp.) supplementation. </w:t>
      </w:r>
      <w:r w:rsidRPr="00B75627">
        <w:rPr>
          <w:rFonts w:ascii="Times New Roman" w:eastAsia="Times New Roman" w:hAnsi="Times New Roman" w:cs="Times New Roman"/>
          <w:i/>
          <w:iCs/>
          <w:sz w:val="24"/>
          <w:szCs w:val="24"/>
        </w:rPr>
        <w:t>Journal of Survey in Fisheries Sciences, 8</w:t>
      </w:r>
      <w:r w:rsidRPr="00B75627">
        <w:rPr>
          <w:rFonts w:ascii="Times New Roman" w:eastAsia="Times New Roman" w:hAnsi="Times New Roman" w:cs="Times New Roman"/>
          <w:sz w:val="24"/>
          <w:szCs w:val="24"/>
        </w:rPr>
        <w:t xml:space="preserve">(2), 11–25. </w:t>
      </w:r>
      <w:hyperlink r:id="rId46" w:history="1">
        <w:r w:rsidRPr="00B75627">
          <w:rPr>
            <w:rFonts w:ascii="Times New Roman" w:eastAsia="Times New Roman" w:hAnsi="Times New Roman" w:cs="Times New Roman"/>
            <w:color w:val="0000FF"/>
            <w:sz w:val="24"/>
            <w:szCs w:val="24"/>
            <w:u w:val="single"/>
          </w:rPr>
          <w:t>https://doi.org/10.17762/sfs.v8i2.48</w:t>
        </w:r>
      </w:hyperlink>
    </w:p>
    <w:p w14:paraId="1FCDF8CF"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Parry, R. M., Jr., Chandan, R. C., &amp; Shahani, K. M. (1965). A rapid and sensitive assay of muramidase. </w:t>
      </w:r>
      <w:r w:rsidRPr="00B75627">
        <w:rPr>
          <w:rFonts w:ascii="Times New Roman" w:eastAsia="Times New Roman" w:hAnsi="Times New Roman" w:cs="Times New Roman"/>
          <w:i/>
          <w:iCs/>
          <w:sz w:val="24"/>
          <w:szCs w:val="24"/>
        </w:rPr>
        <w:t>Proceedings of the Society for Experimental Biology and Medicine, 119</w:t>
      </w:r>
      <w:r w:rsidRPr="00B75627">
        <w:rPr>
          <w:rFonts w:ascii="Times New Roman" w:eastAsia="Times New Roman" w:hAnsi="Times New Roman" w:cs="Times New Roman"/>
          <w:sz w:val="24"/>
          <w:szCs w:val="24"/>
        </w:rPr>
        <w:t xml:space="preserve">(2), 384–386. </w:t>
      </w:r>
      <w:hyperlink r:id="rId47" w:history="1">
        <w:r w:rsidRPr="00B75627">
          <w:rPr>
            <w:rFonts w:ascii="Times New Roman" w:eastAsia="Times New Roman" w:hAnsi="Times New Roman" w:cs="Times New Roman"/>
            <w:color w:val="0000FF"/>
            <w:sz w:val="24"/>
            <w:szCs w:val="24"/>
            <w:u w:val="single"/>
          </w:rPr>
          <w:t>https://doi.org/10.3181/00379727-119-30188</w:t>
        </w:r>
      </w:hyperlink>
    </w:p>
    <w:p w14:paraId="3BCEE4E8"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Puri, P., Sharma, J. G., &amp; Singh, R. (2022). Biotherapeutic microbial supplementation for ameliorating fish health: Developing trends in probiotics, prebiotics, and synbiotics use in finfish aquaculture. </w:t>
      </w:r>
      <w:r w:rsidRPr="00B75627">
        <w:rPr>
          <w:rFonts w:ascii="Times New Roman" w:eastAsia="Times New Roman" w:hAnsi="Times New Roman" w:cs="Times New Roman"/>
          <w:i/>
          <w:iCs/>
          <w:sz w:val="24"/>
          <w:szCs w:val="24"/>
        </w:rPr>
        <w:t>Animal Health Research Reviews, 23</w:t>
      </w:r>
      <w:r w:rsidRPr="00B75627">
        <w:rPr>
          <w:rFonts w:ascii="Times New Roman" w:eastAsia="Times New Roman" w:hAnsi="Times New Roman" w:cs="Times New Roman"/>
          <w:sz w:val="24"/>
          <w:szCs w:val="24"/>
        </w:rPr>
        <w:t xml:space="preserve">(2), 113–135. </w:t>
      </w:r>
      <w:hyperlink r:id="rId48" w:history="1">
        <w:r w:rsidRPr="00B75627">
          <w:rPr>
            <w:rFonts w:ascii="Times New Roman" w:eastAsia="Times New Roman" w:hAnsi="Times New Roman" w:cs="Times New Roman"/>
            <w:color w:val="0000FF"/>
            <w:sz w:val="24"/>
            <w:szCs w:val="24"/>
            <w:u w:val="single"/>
          </w:rPr>
          <w:t>https://doi.org/10.1017/S1466252321000165</w:t>
        </w:r>
      </w:hyperlink>
    </w:p>
    <w:p w14:paraId="0B306B9B"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Qubay, M., Vegi, M. R., &amp; Mutegoa, E. (2025). Proximate composition and mineral content of the common fish species in the selected lakes of Tanzania. </w:t>
      </w:r>
      <w:r w:rsidRPr="00B75627">
        <w:rPr>
          <w:rFonts w:ascii="Times New Roman" w:eastAsia="Times New Roman" w:hAnsi="Times New Roman" w:cs="Times New Roman"/>
          <w:i/>
          <w:iCs/>
          <w:sz w:val="24"/>
          <w:szCs w:val="24"/>
        </w:rPr>
        <w:t>Journal of Food Composition and Analysis, 142</w:t>
      </w:r>
      <w:r w:rsidRPr="00B75627">
        <w:rPr>
          <w:rFonts w:ascii="Times New Roman" w:eastAsia="Times New Roman" w:hAnsi="Times New Roman" w:cs="Times New Roman"/>
          <w:sz w:val="24"/>
          <w:szCs w:val="24"/>
        </w:rPr>
        <w:t xml:space="preserve">, Article 107510. </w:t>
      </w:r>
      <w:hyperlink r:id="rId49" w:history="1">
        <w:r w:rsidRPr="00B75627">
          <w:rPr>
            <w:rFonts w:ascii="Times New Roman" w:eastAsia="Times New Roman" w:hAnsi="Times New Roman" w:cs="Times New Roman"/>
            <w:color w:val="0000FF"/>
            <w:sz w:val="24"/>
            <w:szCs w:val="24"/>
            <w:u w:val="single"/>
          </w:rPr>
          <w:t>https://doi.org/10.1016/j.jfca.2025.107510</w:t>
        </w:r>
      </w:hyperlink>
    </w:p>
    <w:p w14:paraId="5B9CCC2F"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Rachmawati, D., Setyobudi, R. H., Burlakovs, J., Elfitasari, T., &amp; Purnomo, A. H. (2021). Impacts of immunostimulant yeast (</w:t>
      </w:r>
      <w:r w:rsidRPr="00B75627">
        <w:rPr>
          <w:rFonts w:ascii="Times New Roman" w:eastAsia="Times New Roman" w:hAnsi="Times New Roman" w:cs="Times New Roman"/>
          <w:i/>
          <w:iCs/>
          <w:sz w:val="24"/>
          <w:szCs w:val="24"/>
        </w:rPr>
        <w:t>Saccharomyces cerevisiae</w:t>
      </w:r>
      <w:r w:rsidRPr="00B75627">
        <w:rPr>
          <w:rFonts w:ascii="Times New Roman" w:eastAsia="Times New Roman" w:hAnsi="Times New Roman" w:cs="Times New Roman"/>
          <w:sz w:val="24"/>
          <w:szCs w:val="24"/>
        </w:rPr>
        <w:t>) supplemented feed on growth and blood profile of Java barb (</w:t>
      </w:r>
      <w:r w:rsidRPr="00B75627">
        <w:rPr>
          <w:rFonts w:ascii="Times New Roman" w:eastAsia="Times New Roman" w:hAnsi="Times New Roman" w:cs="Times New Roman"/>
          <w:i/>
          <w:iCs/>
          <w:sz w:val="24"/>
          <w:szCs w:val="24"/>
        </w:rPr>
        <w:t>Barbonymus gonionotus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Jordan Journal of Biological Sciences, 14</w:t>
      </w:r>
      <w:r w:rsidRPr="00B75627">
        <w:rPr>
          <w:rFonts w:ascii="Times New Roman" w:eastAsia="Times New Roman" w:hAnsi="Times New Roman" w:cs="Times New Roman"/>
          <w:sz w:val="24"/>
          <w:szCs w:val="24"/>
        </w:rPr>
        <w:t xml:space="preserve">(2), 297–302. </w:t>
      </w:r>
      <w:hyperlink r:id="rId50" w:history="1">
        <w:r w:rsidRPr="00B75627">
          <w:rPr>
            <w:rFonts w:ascii="Times New Roman" w:eastAsia="Times New Roman" w:hAnsi="Times New Roman" w:cs="Times New Roman"/>
            <w:color w:val="0000FF"/>
            <w:sz w:val="24"/>
            <w:szCs w:val="24"/>
            <w:u w:val="single"/>
          </w:rPr>
          <w:t>https://doi.org/10.54319/jjbs/140215</w:t>
        </w:r>
      </w:hyperlink>
    </w:p>
    <w:p w14:paraId="29520DBA"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Rouf, M. A. (1969). Hematology of the leopard frog, </w:t>
      </w:r>
      <w:r w:rsidRPr="00B75627">
        <w:rPr>
          <w:rFonts w:ascii="Times New Roman" w:eastAsia="Times New Roman" w:hAnsi="Times New Roman" w:cs="Times New Roman"/>
          <w:i/>
          <w:iCs/>
          <w:sz w:val="24"/>
          <w:szCs w:val="24"/>
        </w:rPr>
        <w:t>Rana pipiens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Copeia, 1969</w:t>
      </w:r>
      <w:r w:rsidRPr="00B75627">
        <w:rPr>
          <w:rFonts w:ascii="Times New Roman" w:eastAsia="Times New Roman" w:hAnsi="Times New Roman" w:cs="Times New Roman"/>
          <w:sz w:val="24"/>
          <w:szCs w:val="24"/>
        </w:rPr>
        <w:t xml:space="preserve">(4), 682–687. </w:t>
      </w:r>
      <w:hyperlink r:id="rId51" w:history="1">
        <w:r w:rsidRPr="00B75627">
          <w:rPr>
            <w:rFonts w:ascii="Times New Roman" w:eastAsia="Times New Roman" w:hAnsi="Times New Roman" w:cs="Times New Roman"/>
            <w:color w:val="0000FF"/>
            <w:sz w:val="24"/>
            <w:szCs w:val="24"/>
            <w:u w:val="single"/>
          </w:rPr>
          <w:t>https://doi.org/10.2307/1441793</w:t>
        </w:r>
      </w:hyperlink>
    </w:p>
    <w:p w14:paraId="4BE56C91"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Ryu, B., Shin, K. H., &amp; Kim, S. K. (2021). Muscle protein hydrolysates and amino acid composition in fish. </w:t>
      </w:r>
      <w:r w:rsidRPr="00B75627">
        <w:rPr>
          <w:rFonts w:ascii="Times New Roman" w:eastAsia="Times New Roman" w:hAnsi="Times New Roman" w:cs="Times New Roman"/>
          <w:i/>
          <w:iCs/>
          <w:sz w:val="24"/>
          <w:szCs w:val="24"/>
        </w:rPr>
        <w:t>Marine Drugs, 19</w:t>
      </w:r>
      <w:r w:rsidRPr="00B75627">
        <w:rPr>
          <w:rFonts w:ascii="Times New Roman" w:eastAsia="Times New Roman" w:hAnsi="Times New Roman" w:cs="Times New Roman"/>
          <w:sz w:val="24"/>
          <w:szCs w:val="24"/>
        </w:rPr>
        <w:t xml:space="preserve">(7), Article 377. </w:t>
      </w:r>
      <w:hyperlink r:id="rId52" w:history="1">
        <w:r w:rsidRPr="00B75627">
          <w:rPr>
            <w:rFonts w:ascii="Times New Roman" w:eastAsia="Times New Roman" w:hAnsi="Times New Roman" w:cs="Times New Roman"/>
            <w:color w:val="0000FF"/>
            <w:sz w:val="24"/>
            <w:szCs w:val="24"/>
            <w:u w:val="single"/>
          </w:rPr>
          <w:t>https://doi.org/10.3390/md19070377</w:t>
        </w:r>
      </w:hyperlink>
    </w:p>
    <w:p w14:paraId="3B82C1E8"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Sarhadi, I., Alizadeh, E., Ahmadifar, E., Adineh, H., &amp; Dawood, M. A. (2020). Skin mucosal, serum immunity and antioxidant capacity of common carp (</w:t>
      </w:r>
      <w:r w:rsidRPr="00B75627">
        <w:rPr>
          <w:rFonts w:ascii="Times New Roman" w:eastAsia="Times New Roman" w:hAnsi="Times New Roman" w:cs="Times New Roman"/>
          <w:i/>
          <w:iCs/>
          <w:sz w:val="24"/>
          <w:szCs w:val="24"/>
        </w:rPr>
        <w:t>Cyprinus carpio</w:t>
      </w:r>
      <w:r w:rsidRPr="00B75627">
        <w:rPr>
          <w:rFonts w:ascii="Times New Roman" w:eastAsia="Times New Roman" w:hAnsi="Times New Roman" w:cs="Times New Roman"/>
          <w:sz w:val="24"/>
          <w:szCs w:val="24"/>
        </w:rPr>
        <w:t>) fed artemisia (</w:t>
      </w:r>
      <w:r w:rsidRPr="00B75627">
        <w:rPr>
          <w:rFonts w:ascii="Times New Roman" w:eastAsia="Times New Roman" w:hAnsi="Times New Roman" w:cs="Times New Roman"/>
          <w:i/>
          <w:iCs/>
          <w:sz w:val="24"/>
          <w:szCs w:val="24"/>
        </w:rPr>
        <w:t>Artemisia annua</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Annals of Animal Science, 20</w:t>
      </w:r>
      <w:r w:rsidRPr="00B75627">
        <w:rPr>
          <w:rFonts w:ascii="Times New Roman" w:eastAsia="Times New Roman" w:hAnsi="Times New Roman" w:cs="Times New Roman"/>
          <w:sz w:val="24"/>
          <w:szCs w:val="24"/>
        </w:rPr>
        <w:t xml:space="preserve">(3), 1011–1027. </w:t>
      </w:r>
      <w:hyperlink r:id="rId53" w:history="1">
        <w:r w:rsidRPr="00B75627">
          <w:rPr>
            <w:rFonts w:ascii="Times New Roman" w:eastAsia="Times New Roman" w:hAnsi="Times New Roman" w:cs="Times New Roman"/>
            <w:color w:val="0000FF"/>
            <w:sz w:val="24"/>
            <w:szCs w:val="24"/>
            <w:u w:val="single"/>
          </w:rPr>
          <w:t>https://doi.org/10.2478/aoas-2020-0011</w:t>
        </w:r>
      </w:hyperlink>
    </w:p>
    <w:p w14:paraId="2255A2D8"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Saurabh, S., &amp; Sahoo, P. K. (2008). Lysozyme: An important defence molecule of fish innate immune system. </w:t>
      </w:r>
      <w:r w:rsidRPr="00B75627">
        <w:rPr>
          <w:rFonts w:ascii="Times New Roman" w:eastAsia="Times New Roman" w:hAnsi="Times New Roman" w:cs="Times New Roman"/>
          <w:i/>
          <w:iCs/>
          <w:sz w:val="24"/>
          <w:szCs w:val="24"/>
        </w:rPr>
        <w:t>Aquaculture Research, 39</w:t>
      </w:r>
      <w:r w:rsidRPr="00B75627">
        <w:rPr>
          <w:rFonts w:ascii="Times New Roman" w:eastAsia="Times New Roman" w:hAnsi="Times New Roman" w:cs="Times New Roman"/>
          <w:sz w:val="24"/>
          <w:szCs w:val="24"/>
        </w:rPr>
        <w:t xml:space="preserve">(3), 223–239. </w:t>
      </w:r>
      <w:hyperlink r:id="rId54" w:history="1">
        <w:r w:rsidRPr="00B75627">
          <w:rPr>
            <w:rFonts w:ascii="Times New Roman" w:eastAsia="Times New Roman" w:hAnsi="Times New Roman" w:cs="Times New Roman"/>
            <w:color w:val="0000FF"/>
            <w:sz w:val="24"/>
            <w:szCs w:val="24"/>
            <w:u w:val="single"/>
          </w:rPr>
          <w:t>https://doi.org/10.1111/j.1365-2109.2007.01883.x</w:t>
        </w:r>
      </w:hyperlink>
    </w:p>
    <w:p w14:paraId="4A550FD6"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Schalm, O. W., Jain, N. C., &amp; Carroll, E. J. (1975). </w:t>
      </w:r>
      <w:r w:rsidRPr="00B75627">
        <w:rPr>
          <w:rFonts w:ascii="Times New Roman" w:eastAsia="Times New Roman" w:hAnsi="Times New Roman" w:cs="Times New Roman"/>
          <w:i/>
          <w:iCs/>
          <w:sz w:val="24"/>
          <w:szCs w:val="24"/>
        </w:rPr>
        <w:t>Veterinary hematology</w:t>
      </w:r>
      <w:r w:rsidRPr="00B75627">
        <w:rPr>
          <w:rFonts w:ascii="Times New Roman" w:eastAsia="Times New Roman" w:hAnsi="Times New Roman" w:cs="Times New Roman"/>
          <w:sz w:val="24"/>
          <w:szCs w:val="24"/>
        </w:rPr>
        <w:t xml:space="preserve"> (3rd ed.). Lea &amp; Febiger. </w:t>
      </w:r>
      <w:hyperlink r:id="rId55" w:history="1">
        <w:r w:rsidRPr="00B75627">
          <w:rPr>
            <w:rFonts w:ascii="Times New Roman" w:eastAsia="Times New Roman" w:hAnsi="Times New Roman" w:cs="Times New Roman"/>
            <w:color w:val="0000FF"/>
            <w:sz w:val="24"/>
            <w:szCs w:val="24"/>
            <w:u w:val="single"/>
          </w:rPr>
          <w:t>https://agris.fao.org/search/en/providers/122535/records/65dde0324c5aef494fd6493e</w:t>
        </w:r>
      </w:hyperlink>
    </w:p>
    <w:p w14:paraId="3C4D56A4"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Shadrack, R. S., Kotra, K. K., Gereva, S., Teiba, I. I., El-Ratel, I. T., &amp; El Basuini, M. F. (2023). Utilizing dietary probiotics can boost amberjack (</w:t>
      </w:r>
      <w:r w:rsidRPr="00B75627">
        <w:rPr>
          <w:rFonts w:ascii="Times New Roman" w:eastAsia="Times New Roman" w:hAnsi="Times New Roman" w:cs="Times New Roman"/>
          <w:i/>
          <w:iCs/>
          <w:sz w:val="24"/>
          <w:szCs w:val="24"/>
        </w:rPr>
        <w:t>Seriola dumerili</w:t>
      </w:r>
      <w:r w:rsidRPr="00B75627">
        <w:rPr>
          <w:rFonts w:ascii="Times New Roman" w:eastAsia="Times New Roman" w:hAnsi="Times New Roman" w:cs="Times New Roman"/>
          <w:sz w:val="24"/>
          <w:szCs w:val="24"/>
        </w:rPr>
        <w:t xml:space="preserve">) lysozyme activity, antioxidant capacity, and gut microbiota. </w:t>
      </w:r>
      <w:r w:rsidRPr="00B75627">
        <w:rPr>
          <w:rFonts w:ascii="Times New Roman" w:eastAsia="Times New Roman" w:hAnsi="Times New Roman" w:cs="Times New Roman"/>
          <w:i/>
          <w:iCs/>
          <w:sz w:val="24"/>
          <w:szCs w:val="24"/>
        </w:rPr>
        <w:t>Scientific African, 22</w:t>
      </w:r>
      <w:r w:rsidRPr="00B75627">
        <w:rPr>
          <w:rFonts w:ascii="Times New Roman" w:eastAsia="Times New Roman" w:hAnsi="Times New Roman" w:cs="Times New Roman"/>
          <w:sz w:val="24"/>
          <w:szCs w:val="24"/>
        </w:rPr>
        <w:t xml:space="preserve">, Article e01905. </w:t>
      </w:r>
      <w:hyperlink r:id="rId56" w:history="1">
        <w:r w:rsidRPr="00B75627">
          <w:rPr>
            <w:rFonts w:ascii="Times New Roman" w:eastAsia="Times New Roman" w:hAnsi="Times New Roman" w:cs="Times New Roman"/>
            <w:color w:val="0000FF"/>
            <w:sz w:val="24"/>
            <w:szCs w:val="24"/>
            <w:u w:val="single"/>
          </w:rPr>
          <w:t>https://doi.org/10.1016/j.sciaf.2023.e01905</w:t>
        </w:r>
      </w:hyperlink>
    </w:p>
    <w:p w14:paraId="7E019981"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lastRenderedPageBreak/>
        <w:t xml:space="preserve">Shahjahan, M., Uddin, M. H., Bain, V., &amp; Haque, M. M. (2018). Increased water temperature altered hemato-biochemical parameters and structure of peripheral erythrocytes in striped catfish </w:t>
      </w:r>
      <w:r w:rsidRPr="00B75627">
        <w:rPr>
          <w:rFonts w:ascii="Times New Roman" w:eastAsia="Times New Roman" w:hAnsi="Times New Roman" w:cs="Times New Roman"/>
          <w:i/>
          <w:iCs/>
          <w:sz w:val="24"/>
          <w:szCs w:val="24"/>
        </w:rPr>
        <w:t>Pangasianodon hypophthalmus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Fish Physiology and Biochemistry, 44</w:t>
      </w:r>
      <w:r w:rsidRPr="00B75627">
        <w:rPr>
          <w:rFonts w:ascii="Times New Roman" w:eastAsia="Times New Roman" w:hAnsi="Times New Roman" w:cs="Times New Roman"/>
          <w:sz w:val="24"/>
          <w:szCs w:val="24"/>
        </w:rPr>
        <w:t xml:space="preserve">(5), 1309–1318. </w:t>
      </w:r>
      <w:hyperlink r:id="rId57" w:history="1">
        <w:r w:rsidRPr="00B75627">
          <w:rPr>
            <w:rFonts w:ascii="Times New Roman" w:eastAsia="Times New Roman" w:hAnsi="Times New Roman" w:cs="Times New Roman"/>
            <w:color w:val="0000FF"/>
            <w:sz w:val="24"/>
            <w:szCs w:val="24"/>
            <w:u w:val="single"/>
          </w:rPr>
          <w:t>https://doi.org/10.1007/s10695-018-0522-0</w:t>
        </w:r>
      </w:hyperlink>
    </w:p>
    <w:p w14:paraId="08CA4718"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Shivani, D. G., Ganapathi Naik, M., Amogha, K. R., Dheeraj, S. B., Jaya Naik, Girisha, S. K., Manjappa, N., &amp; Lakshmipathi, M. T. (2025). Probiotic potential of dietary </w:t>
      </w:r>
      <w:r w:rsidRPr="00B75627">
        <w:rPr>
          <w:rFonts w:ascii="Times New Roman" w:eastAsia="Times New Roman" w:hAnsi="Times New Roman" w:cs="Times New Roman"/>
          <w:i/>
          <w:iCs/>
          <w:sz w:val="24"/>
          <w:szCs w:val="24"/>
        </w:rPr>
        <w:t>Bacillus amyloliquefaciens</w:t>
      </w:r>
      <w:r w:rsidRPr="00B75627">
        <w:rPr>
          <w:rFonts w:ascii="Times New Roman" w:eastAsia="Times New Roman" w:hAnsi="Times New Roman" w:cs="Times New Roman"/>
          <w:sz w:val="24"/>
          <w:szCs w:val="24"/>
        </w:rPr>
        <w:t xml:space="preserve"> in enhancing health parameters of Amur common carp (</w:t>
      </w:r>
      <w:r w:rsidRPr="00B75627">
        <w:rPr>
          <w:rFonts w:ascii="Times New Roman" w:eastAsia="Times New Roman" w:hAnsi="Times New Roman" w:cs="Times New Roman"/>
          <w:i/>
          <w:iCs/>
          <w:sz w:val="24"/>
          <w:szCs w:val="24"/>
        </w:rPr>
        <w:t>Cyprinus carpio haematopterus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Journal of Advances in Biology &amp; Biotechnology, 28</w:t>
      </w:r>
      <w:r w:rsidRPr="00B75627">
        <w:rPr>
          <w:rFonts w:ascii="Times New Roman" w:eastAsia="Times New Roman" w:hAnsi="Times New Roman" w:cs="Times New Roman"/>
          <w:sz w:val="24"/>
          <w:szCs w:val="24"/>
        </w:rPr>
        <w:t xml:space="preserve">(4), 1041–1056. </w:t>
      </w:r>
      <w:hyperlink r:id="rId58" w:history="1">
        <w:r w:rsidRPr="00B75627">
          <w:rPr>
            <w:rFonts w:ascii="Times New Roman" w:eastAsia="Times New Roman" w:hAnsi="Times New Roman" w:cs="Times New Roman"/>
            <w:color w:val="0000FF"/>
            <w:sz w:val="24"/>
            <w:szCs w:val="24"/>
            <w:u w:val="single"/>
          </w:rPr>
          <w:t>https://doi.org/10.9734/jabb/2025/v28i42260</w:t>
        </w:r>
      </w:hyperlink>
    </w:p>
    <w:p w14:paraId="53162C19"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Silarudee, S., Tongpim, S., Charoensri, N., &amp; Doolgindachbaporn, S. (2019). Effect of a probiotic </w:t>
      </w:r>
      <w:r w:rsidRPr="00B75627">
        <w:rPr>
          <w:rFonts w:ascii="Times New Roman" w:eastAsia="Times New Roman" w:hAnsi="Times New Roman" w:cs="Times New Roman"/>
          <w:i/>
          <w:iCs/>
          <w:sz w:val="24"/>
          <w:szCs w:val="24"/>
        </w:rPr>
        <w:t>Lactobacillus plantarum</w:t>
      </w:r>
      <w:r w:rsidRPr="00B75627">
        <w:rPr>
          <w:rFonts w:ascii="Times New Roman" w:eastAsia="Times New Roman" w:hAnsi="Times New Roman" w:cs="Times New Roman"/>
          <w:sz w:val="24"/>
          <w:szCs w:val="24"/>
        </w:rPr>
        <w:t xml:space="preserve"> CR1T5 dietary supplement on non-specific immunity in black eared catfish (</w:t>
      </w:r>
      <w:r w:rsidRPr="00B75627">
        <w:rPr>
          <w:rFonts w:ascii="Times New Roman" w:eastAsia="Times New Roman" w:hAnsi="Times New Roman" w:cs="Times New Roman"/>
          <w:i/>
          <w:iCs/>
          <w:sz w:val="24"/>
          <w:szCs w:val="24"/>
        </w:rPr>
        <w:t>Pangasius larnaudii</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Journal of Pure and Applied Microbiology, 13</w:t>
      </w:r>
      <w:r w:rsidRPr="00B75627">
        <w:rPr>
          <w:rFonts w:ascii="Times New Roman" w:eastAsia="Times New Roman" w:hAnsi="Times New Roman" w:cs="Times New Roman"/>
          <w:sz w:val="24"/>
          <w:szCs w:val="24"/>
        </w:rPr>
        <w:t xml:space="preserve">(1), 289–296. </w:t>
      </w:r>
      <w:hyperlink r:id="rId59" w:history="1">
        <w:r w:rsidRPr="00B75627">
          <w:rPr>
            <w:rFonts w:ascii="Times New Roman" w:eastAsia="Times New Roman" w:hAnsi="Times New Roman" w:cs="Times New Roman"/>
            <w:color w:val="0000FF"/>
            <w:sz w:val="24"/>
            <w:szCs w:val="24"/>
            <w:u w:val="single"/>
          </w:rPr>
          <w:t>https://doi.org/10.22207/JPAM.13.1.31</w:t>
        </w:r>
      </w:hyperlink>
    </w:p>
    <w:p w14:paraId="14A6A6C2"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Subandiyono, Lestari, N. D., Chilmawati, D., &amp; Nugroho, R. A. (2023). Influence of probiotic on feed utilization efficiency, growth performance and survival of </w:t>
      </w:r>
      <w:r w:rsidRPr="00B75627">
        <w:rPr>
          <w:rFonts w:ascii="Times New Roman" w:eastAsia="Times New Roman" w:hAnsi="Times New Roman" w:cs="Times New Roman"/>
          <w:i/>
          <w:iCs/>
          <w:sz w:val="24"/>
          <w:szCs w:val="24"/>
        </w:rPr>
        <w:t>Clarias gariepinus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Asian Journal of Research in Biology, 6</w:t>
      </w:r>
      <w:r w:rsidRPr="00B75627">
        <w:rPr>
          <w:rFonts w:ascii="Times New Roman" w:eastAsia="Times New Roman" w:hAnsi="Times New Roman" w:cs="Times New Roman"/>
          <w:sz w:val="24"/>
          <w:szCs w:val="24"/>
        </w:rPr>
        <w:t xml:space="preserve">(1), 87–93. </w:t>
      </w:r>
      <w:hyperlink r:id="rId60" w:history="1">
        <w:r w:rsidRPr="00B75627">
          <w:rPr>
            <w:rFonts w:ascii="Times New Roman" w:eastAsia="Times New Roman" w:hAnsi="Times New Roman" w:cs="Times New Roman"/>
            <w:color w:val="0000FF"/>
            <w:sz w:val="24"/>
            <w:szCs w:val="24"/>
            <w:u w:val="single"/>
          </w:rPr>
          <w:t>https://doi.org/10.56557/ajrib/2023/v6i121</w:t>
        </w:r>
      </w:hyperlink>
    </w:p>
    <w:p w14:paraId="585814A0"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Udoy, F. R., Jebin, M., Bristy, F. S., Gias, T., Rahman, N., &amp; Hossain, M. A. (2025). Comparative analysis of hematological characteristics of some freshwater fish species from wild and cultured environments. </w:t>
      </w:r>
      <w:r w:rsidRPr="00B75627">
        <w:rPr>
          <w:rFonts w:ascii="Times New Roman" w:eastAsia="Times New Roman" w:hAnsi="Times New Roman" w:cs="Times New Roman"/>
          <w:i/>
          <w:iCs/>
          <w:sz w:val="24"/>
          <w:szCs w:val="24"/>
        </w:rPr>
        <w:t>Ecology Journal, 7</w:t>
      </w:r>
      <w:r w:rsidRPr="00B75627">
        <w:rPr>
          <w:rFonts w:ascii="Times New Roman" w:eastAsia="Times New Roman" w:hAnsi="Times New Roman" w:cs="Times New Roman"/>
          <w:sz w:val="24"/>
          <w:szCs w:val="24"/>
        </w:rPr>
        <w:t xml:space="preserve">(2), 93–101. </w:t>
      </w:r>
      <w:hyperlink r:id="rId61" w:history="1">
        <w:r w:rsidRPr="00B75627">
          <w:rPr>
            <w:rFonts w:ascii="Times New Roman" w:eastAsia="Times New Roman" w:hAnsi="Times New Roman" w:cs="Times New Roman"/>
            <w:color w:val="0000FF"/>
            <w:sz w:val="24"/>
            <w:szCs w:val="24"/>
            <w:u w:val="single"/>
          </w:rPr>
          <w:t>https://doi.org/10.59619/ej.7.2.2</w:t>
        </w:r>
      </w:hyperlink>
    </w:p>
    <w:p w14:paraId="461C2826"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Veedu, A. K., &amp; Thomas, J. (2026). Probiotics and prebiotics as alternatives to antibiotics in aquaculture: A systematic and bibliometric review of antimicrobial and antioxidant mechanisms. </w:t>
      </w:r>
      <w:r w:rsidRPr="00B75627">
        <w:rPr>
          <w:rFonts w:ascii="Times New Roman" w:eastAsia="Times New Roman" w:hAnsi="Times New Roman" w:cs="Times New Roman"/>
          <w:i/>
          <w:iCs/>
          <w:sz w:val="24"/>
          <w:szCs w:val="24"/>
        </w:rPr>
        <w:t>Frontiers in Microbiology, 17</w:t>
      </w:r>
      <w:r w:rsidRPr="00B75627">
        <w:rPr>
          <w:rFonts w:ascii="Times New Roman" w:eastAsia="Times New Roman" w:hAnsi="Times New Roman" w:cs="Times New Roman"/>
          <w:sz w:val="24"/>
          <w:szCs w:val="24"/>
        </w:rPr>
        <w:t xml:space="preserve">, Article 1784036. </w:t>
      </w:r>
      <w:hyperlink r:id="rId62" w:history="1">
        <w:r w:rsidRPr="00B75627">
          <w:rPr>
            <w:rFonts w:ascii="Times New Roman" w:eastAsia="Times New Roman" w:hAnsi="Times New Roman" w:cs="Times New Roman"/>
            <w:color w:val="0000FF"/>
            <w:sz w:val="24"/>
            <w:szCs w:val="24"/>
            <w:u w:val="single"/>
          </w:rPr>
          <w:t>https://doi.org/10.3389/fmicb.2026.1784036</w:t>
        </w:r>
      </w:hyperlink>
    </w:p>
    <w:p w14:paraId="413D1478"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Vhatkar, A., Chavan, B., &amp; Prasad, K. P. (2016). Study of haematological parameters in catfish </w:t>
      </w:r>
      <w:r w:rsidRPr="00B75627">
        <w:rPr>
          <w:rFonts w:ascii="Times New Roman" w:eastAsia="Times New Roman" w:hAnsi="Times New Roman" w:cs="Times New Roman"/>
          <w:i/>
          <w:iCs/>
          <w:sz w:val="24"/>
          <w:szCs w:val="24"/>
        </w:rPr>
        <w:t>Pangasianodon hypophthalmus</w:t>
      </w:r>
      <w:r w:rsidRPr="00B75627">
        <w:rPr>
          <w:rFonts w:ascii="Times New Roman" w:eastAsia="Times New Roman" w:hAnsi="Times New Roman" w:cs="Times New Roman"/>
          <w:sz w:val="24"/>
          <w:szCs w:val="24"/>
        </w:rPr>
        <w:t xml:space="preserve"> fed with probiotics supplemented diets. </w:t>
      </w:r>
      <w:r w:rsidRPr="00B75627">
        <w:rPr>
          <w:rFonts w:ascii="Times New Roman" w:eastAsia="Times New Roman" w:hAnsi="Times New Roman" w:cs="Times New Roman"/>
          <w:i/>
          <w:iCs/>
          <w:sz w:val="24"/>
          <w:szCs w:val="24"/>
        </w:rPr>
        <w:t>International Journal of Science and Research, 5</w:t>
      </w:r>
      <w:r w:rsidRPr="00B75627">
        <w:rPr>
          <w:rFonts w:ascii="Times New Roman" w:eastAsia="Times New Roman" w:hAnsi="Times New Roman" w:cs="Times New Roman"/>
          <w:sz w:val="24"/>
          <w:szCs w:val="24"/>
        </w:rPr>
        <w:t xml:space="preserve">(8), 1865–1868. </w:t>
      </w:r>
      <w:hyperlink r:id="rId63" w:history="1">
        <w:r w:rsidRPr="00B75627">
          <w:rPr>
            <w:rFonts w:ascii="Times New Roman" w:eastAsia="Times New Roman" w:hAnsi="Times New Roman" w:cs="Times New Roman"/>
            <w:color w:val="0000FF"/>
            <w:sz w:val="24"/>
            <w:szCs w:val="24"/>
            <w:u w:val="single"/>
          </w:rPr>
          <w:t>https://doi.org/10.21275/ART20161330</w:t>
        </w:r>
      </w:hyperlink>
    </w:p>
    <w:p w14:paraId="5F471130"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lang w:val="nl-BE"/>
        </w:rPr>
        <w:t xml:space="preserve">Wang, Z., Dong, Z., Zhang, D., Liang, L., &amp; Mu, W. (2021). </w:t>
      </w:r>
      <w:r w:rsidRPr="00B75627">
        <w:rPr>
          <w:rFonts w:ascii="Times New Roman" w:eastAsia="Times New Roman" w:hAnsi="Times New Roman" w:cs="Times New Roman"/>
          <w:sz w:val="24"/>
          <w:szCs w:val="24"/>
        </w:rPr>
        <w:t>Histopathological parameters, antioxidant enzyme levels, transcriptome, and hematology parameters of Amur minnow (</w:t>
      </w:r>
      <w:r w:rsidRPr="00B75627">
        <w:rPr>
          <w:rFonts w:ascii="Times New Roman" w:eastAsia="Times New Roman" w:hAnsi="Times New Roman" w:cs="Times New Roman"/>
          <w:i/>
          <w:iCs/>
          <w:sz w:val="24"/>
          <w:szCs w:val="24"/>
        </w:rPr>
        <w:t>Phoxinus lagowskii</w:t>
      </w:r>
      <w:r w:rsidRPr="00B75627">
        <w:rPr>
          <w:rFonts w:ascii="Times New Roman" w:eastAsia="Times New Roman" w:hAnsi="Times New Roman" w:cs="Times New Roman"/>
          <w:sz w:val="24"/>
          <w:szCs w:val="24"/>
        </w:rPr>
        <w:t xml:space="preserve">) infection with </w:t>
      </w:r>
      <w:r w:rsidRPr="00B75627">
        <w:rPr>
          <w:rFonts w:ascii="Times New Roman" w:eastAsia="Times New Roman" w:hAnsi="Times New Roman" w:cs="Times New Roman"/>
          <w:i/>
          <w:iCs/>
          <w:sz w:val="24"/>
          <w:szCs w:val="24"/>
        </w:rPr>
        <w:t>Tetrahymena pyriformis</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Aquaculture International, 29</w:t>
      </w:r>
      <w:r w:rsidRPr="00B75627">
        <w:rPr>
          <w:rFonts w:ascii="Times New Roman" w:eastAsia="Times New Roman" w:hAnsi="Times New Roman" w:cs="Times New Roman"/>
          <w:sz w:val="24"/>
          <w:szCs w:val="24"/>
        </w:rPr>
        <w:t xml:space="preserve">(6), 2635–2659. </w:t>
      </w:r>
      <w:hyperlink r:id="rId64" w:history="1">
        <w:r w:rsidRPr="00B75627">
          <w:rPr>
            <w:rFonts w:ascii="Times New Roman" w:eastAsia="Times New Roman" w:hAnsi="Times New Roman" w:cs="Times New Roman"/>
            <w:color w:val="0000FF"/>
            <w:sz w:val="24"/>
            <w:szCs w:val="24"/>
            <w:u w:val="single"/>
          </w:rPr>
          <w:t>https://doi.org/10.1007/s10499-021-00772-9</w:t>
        </w:r>
      </w:hyperlink>
    </w:p>
    <w:p w14:paraId="446B5739"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t xml:space="preserve">Xia, R., Li, S., Yang, H., Zhao, Y., Teame, T., Hao, Q., Xie, M., Li, M., Chen, Q., Song, C., Ran, C., Yang, Y., Zhang, Z., &amp; Zhou, Z. (2024). Effects of dietary bacterial culture of fengycin-producing </w:t>
      </w:r>
      <w:r w:rsidRPr="00B75627">
        <w:rPr>
          <w:rFonts w:ascii="Times New Roman" w:eastAsia="Times New Roman" w:hAnsi="Times New Roman" w:cs="Times New Roman"/>
          <w:i/>
          <w:iCs/>
          <w:sz w:val="24"/>
          <w:szCs w:val="24"/>
        </w:rPr>
        <w:t>Bacillus subtilis</w:t>
      </w:r>
      <w:r w:rsidRPr="00B75627">
        <w:rPr>
          <w:rFonts w:ascii="Times New Roman" w:eastAsia="Times New Roman" w:hAnsi="Times New Roman" w:cs="Times New Roman"/>
          <w:sz w:val="24"/>
          <w:szCs w:val="24"/>
        </w:rPr>
        <w:t xml:space="preserve"> on growth performance, intestinal and hepatopancreas health, intestinal microbiota and disease resistance of common carp (</w:t>
      </w:r>
      <w:r w:rsidRPr="00B75627">
        <w:rPr>
          <w:rFonts w:ascii="Times New Roman" w:eastAsia="Times New Roman" w:hAnsi="Times New Roman" w:cs="Times New Roman"/>
          <w:i/>
          <w:iCs/>
          <w:sz w:val="24"/>
          <w:szCs w:val="24"/>
        </w:rPr>
        <w:t>Cyprinus carpio</w:t>
      </w:r>
      <w:r w:rsidRPr="00B75627">
        <w:rPr>
          <w:rFonts w:ascii="Times New Roman" w:eastAsia="Times New Roman" w:hAnsi="Times New Roman" w:cs="Times New Roman"/>
          <w:sz w:val="24"/>
          <w:szCs w:val="24"/>
        </w:rPr>
        <w:t xml:space="preserve">). </w:t>
      </w:r>
      <w:r w:rsidRPr="00B75627">
        <w:rPr>
          <w:rFonts w:ascii="Times New Roman" w:eastAsia="Times New Roman" w:hAnsi="Times New Roman" w:cs="Times New Roman"/>
          <w:i/>
          <w:iCs/>
          <w:sz w:val="24"/>
          <w:szCs w:val="24"/>
        </w:rPr>
        <w:t>Aquaculture, 585</w:t>
      </w:r>
      <w:r w:rsidRPr="00B75627">
        <w:rPr>
          <w:rFonts w:ascii="Times New Roman" w:eastAsia="Times New Roman" w:hAnsi="Times New Roman" w:cs="Times New Roman"/>
          <w:sz w:val="24"/>
          <w:szCs w:val="24"/>
        </w:rPr>
        <w:t xml:space="preserve">, Article 740725. </w:t>
      </w:r>
      <w:hyperlink r:id="rId65" w:history="1">
        <w:r w:rsidRPr="00B75627">
          <w:rPr>
            <w:rFonts w:ascii="Times New Roman" w:eastAsia="Times New Roman" w:hAnsi="Times New Roman" w:cs="Times New Roman"/>
            <w:color w:val="0000FF"/>
            <w:sz w:val="24"/>
            <w:szCs w:val="24"/>
            <w:u w:val="single"/>
          </w:rPr>
          <w:t>https://doi.org/10.1016/j.aquaculture.2024.740725</w:t>
        </w:r>
      </w:hyperlink>
    </w:p>
    <w:p w14:paraId="64FDF80D" w14:textId="77777777" w:rsidR="00B75627" w:rsidRPr="00B75627" w:rsidRDefault="00B75627" w:rsidP="00B75627">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B75627">
        <w:rPr>
          <w:rFonts w:ascii="Times New Roman" w:eastAsia="Times New Roman" w:hAnsi="Times New Roman" w:cs="Times New Roman"/>
          <w:sz w:val="24"/>
          <w:szCs w:val="24"/>
        </w:rPr>
        <w:lastRenderedPageBreak/>
        <w:t xml:space="preserve">Yousuf, S., Tyagi, A., &amp; Singh, R. (2023). Probiotic supplementation as an emerging alternative to chemical therapeutics in finfish aquaculture: A review. </w:t>
      </w:r>
      <w:r w:rsidRPr="00B75627">
        <w:rPr>
          <w:rFonts w:ascii="Times New Roman" w:eastAsia="Times New Roman" w:hAnsi="Times New Roman" w:cs="Times New Roman"/>
          <w:i/>
          <w:iCs/>
          <w:sz w:val="24"/>
          <w:szCs w:val="24"/>
        </w:rPr>
        <w:t>Probiotics and Antimicrobial Proteins, 15</w:t>
      </w:r>
      <w:r w:rsidRPr="00B75627">
        <w:rPr>
          <w:rFonts w:ascii="Times New Roman" w:eastAsia="Times New Roman" w:hAnsi="Times New Roman" w:cs="Times New Roman"/>
          <w:sz w:val="24"/>
          <w:szCs w:val="24"/>
        </w:rPr>
        <w:t xml:space="preserve">(5), 1151–1168. </w:t>
      </w:r>
      <w:hyperlink r:id="rId66" w:history="1">
        <w:r w:rsidRPr="00B75627">
          <w:rPr>
            <w:rFonts w:ascii="Times New Roman" w:eastAsia="Times New Roman" w:hAnsi="Times New Roman" w:cs="Times New Roman"/>
            <w:color w:val="0000FF"/>
            <w:sz w:val="24"/>
            <w:szCs w:val="24"/>
            <w:u w:val="single"/>
          </w:rPr>
          <w:t>https://doi.org/10.1007/s12602-022-09971-z</w:t>
        </w:r>
      </w:hyperlink>
    </w:p>
    <w:p w14:paraId="3BEECD85" w14:textId="04220B82" w:rsidR="00214208" w:rsidRPr="001B4317" w:rsidRDefault="00214208" w:rsidP="00B75627">
      <w:pPr>
        <w:pStyle w:val="Normal1"/>
        <w:pBdr>
          <w:top w:val="nil"/>
          <w:left w:val="nil"/>
          <w:bottom w:val="nil"/>
          <w:right w:val="nil"/>
          <w:between w:val="nil"/>
        </w:pBdr>
        <w:spacing w:after="0" w:line="480" w:lineRule="auto"/>
        <w:ind w:left="720" w:hanging="720"/>
        <w:jc w:val="both"/>
        <w:rPr>
          <w:rFonts w:ascii="Times New Roman" w:eastAsia="Times New Roman" w:hAnsi="Times New Roman" w:cs="Times New Roman"/>
          <w:color w:val="000000"/>
          <w:sz w:val="26"/>
          <w:szCs w:val="26"/>
        </w:rPr>
      </w:pPr>
    </w:p>
    <w:sectPr w:rsidR="00214208" w:rsidRPr="001B4317" w:rsidSect="0021420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E7CB8" w14:textId="77777777" w:rsidR="00547247" w:rsidRDefault="00547247" w:rsidP="00214208">
      <w:pPr>
        <w:spacing w:after="0" w:line="240" w:lineRule="auto"/>
      </w:pPr>
      <w:r>
        <w:separator/>
      </w:r>
    </w:p>
  </w:endnote>
  <w:endnote w:type="continuationSeparator" w:id="0">
    <w:p w14:paraId="74226E5D" w14:textId="77777777" w:rsidR="00547247" w:rsidRDefault="00547247" w:rsidP="00214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52D49B5-F13A-47BA-8785-891F10173FDE}"/>
    <w:embedBold r:id="rId2" w:fontKey="{44A0ED0E-07FB-4E90-9039-A7CA6D771495}"/>
    <w:embedItalic r:id="rId3" w:fontKey="{4A33775C-8A57-4ECC-ABF5-066039EA83BF}"/>
  </w:font>
  <w:font w:name="Cambria">
    <w:panose1 w:val="02040503050406030204"/>
    <w:charset w:val="00"/>
    <w:family w:val="roman"/>
    <w:pitch w:val="variable"/>
    <w:sig w:usb0="E00006FF" w:usb1="420024FF" w:usb2="02000000" w:usb3="00000000" w:csb0="0000019F" w:csb1="00000000"/>
    <w:embedRegular r:id="rId4" w:fontKey="{638CD8C8-01A4-4051-B505-89F3C905DCA8}"/>
    <w:embedBold r:id="rId5" w:fontKey="{A905F593-7AE7-4523-8173-5FA161269E36}"/>
  </w:font>
  <w:font w:name="Georgia">
    <w:panose1 w:val="02040502050405020303"/>
    <w:charset w:val="00"/>
    <w:family w:val="roman"/>
    <w:pitch w:val="variable"/>
    <w:sig w:usb0="00000287" w:usb1="00000000" w:usb2="00000000" w:usb3="00000000" w:csb0="0000009F" w:csb1="00000000"/>
    <w:embedItalic r:id="rId6" w:fontKey="{257E899C-A8DA-4EF6-A17F-617A0D0FD60D}"/>
  </w:font>
  <w:font w:name="Tahoma">
    <w:panose1 w:val="020B0604030504040204"/>
    <w:charset w:val="00"/>
    <w:family w:val="swiss"/>
    <w:pitch w:val="variable"/>
    <w:sig w:usb0="E1002EFF" w:usb1="C000605B" w:usb2="00000029" w:usb3="00000000" w:csb0="000101FF" w:csb1="00000000"/>
    <w:embedRegular r:id="rId7" w:fontKey="{C620B26B-7414-4B43-A0B3-00BC651583CB}"/>
  </w:font>
  <w:font w:name="Arial Unicode MS">
    <w:panose1 w:val="020B0604020202020204"/>
    <w:charset w:val="80"/>
    <w:family w:val="swiss"/>
    <w:pitch w:val="variable"/>
    <w:sig w:usb0="F7FFAFFF" w:usb1="E9DFFFFF" w:usb2="0000003F" w:usb3="00000000" w:csb0="003F01FF" w:csb1="00000000"/>
    <w:embedRegular r:id="rId8" w:subsetted="1" w:fontKey="{AB25EADF-C154-44AC-AADF-B2FCAEB6A49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91590" w14:textId="77777777" w:rsidR="00547247" w:rsidRDefault="00547247" w:rsidP="00214208">
      <w:pPr>
        <w:spacing w:after="0" w:line="240" w:lineRule="auto"/>
      </w:pPr>
      <w:r>
        <w:separator/>
      </w:r>
    </w:p>
  </w:footnote>
  <w:footnote w:type="continuationSeparator" w:id="0">
    <w:p w14:paraId="472F1080" w14:textId="77777777" w:rsidR="00547247" w:rsidRDefault="00547247" w:rsidP="00214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8FDD" w14:textId="77777777" w:rsidR="00214208" w:rsidRDefault="00000000">
    <w:pPr>
      <w:pStyle w:val="Normal1"/>
      <w:pBdr>
        <w:top w:val="nil"/>
        <w:left w:val="nil"/>
        <w:bottom w:val="nil"/>
        <w:right w:val="nil"/>
        <w:between w:val="nil"/>
      </w:pBdr>
      <w:tabs>
        <w:tab w:val="center" w:pos="4680"/>
        <w:tab w:val="right" w:pos="9360"/>
      </w:tabs>
      <w:rPr>
        <w:color w:val="000000"/>
      </w:rPr>
    </w:pPr>
    <w:r>
      <w:rPr>
        <w:color w:val="000000"/>
      </w:rPr>
      <w:pict w14:anchorId="220527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55pt;height:104pt;rotation:315;z-index:-251657728;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843B" w14:textId="77777777" w:rsidR="00214208" w:rsidRDefault="00000000">
    <w:pPr>
      <w:pStyle w:val="Normal1"/>
      <w:pBdr>
        <w:top w:val="nil"/>
        <w:left w:val="nil"/>
        <w:bottom w:val="nil"/>
        <w:right w:val="nil"/>
        <w:between w:val="nil"/>
      </w:pBdr>
      <w:jc w:val="right"/>
      <w:rPr>
        <w:color w:val="000000"/>
      </w:rPr>
    </w:pPr>
    <w:r>
      <w:rPr>
        <w:color w:val="000000"/>
      </w:rPr>
      <w:pict w14:anchorId="3ACB57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style="position:absolute;left:0;text-align:left;margin-left:0;margin-top:0;width:555pt;height:104pt;rotation:315;z-index:-251659776;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r w:rsidR="00600A7C">
      <w:rPr>
        <w:color w:val="000000"/>
      </w:rPr>
      <w:fldChar w:fldCharType="begin"/>
    </w:r>
    <w:r w:rsidR="006D6E4B">
      <w:rPr>
        <w:color w:val="000000"/>
      </w:rPr>
      <w:instrText>PAGE</w:instrText>
    </w:r>
    <w:r w:rsidR="00600A7C">
      <w:rPr>
        <w:color w:val="000000"/>
      </w:rPr>
      <w:fldChar w:fldCharType="separate"/>
    </w:r>
    <w:r w:rsidR="00A04D7F">
      <w:rPr>
        <w:noProof/>
        <w:color w:val="000000"/>
      </w:rPr>
      <w:t>28</w:t>
    </w:r>
    <w:r w:rsidR="00600A7C">
      <w:rPr>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2D4F" w14:textId="77777777" w:rsidR="00214208" w:rsidRDefault="00000000">
    <w:pPr>
      <w:pStyle w:val="Normal1"/>
      <w:pBdr>
        <w:top w:val="nil"/>
        <w:left w:val="nil"/>
        <w:bottom w:val="nil"/>
        <w:right w:val="nil"/>
        <w:between w:val="nil"/>
      </w:pBdr>
      <w:tabs>
        <w:tab w:val="center" w:pos="4680"/>
        <w:tab w:val="right" w:pos="9360"/>
      </w:tabs>
      <w:rPr>
        <w:color w:val="000000"/>
      </w:rPr>
    </w:pPr>
    <w:r>
      <w:rPr>
        <w:color w:val="000000"/>
      </w:rPr>
      <w:pict w14:anchorId="25EEEF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margin-left:0;margin-top:0;width:555pt;height:104pt;rotation:315;z-index:-251658752;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1C36"/>
    <w:multiLevelType w:val="multilevel"/>
    <w:tmpl w:val="0BAAEE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576FF"/>
    <w:multiLevelType w:val="hybridMultilevel"/>
    <w:tmpl w:val="D52EF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D1590D"/>
    <w:multiLevelType w:val="multilevel"/>
    <w:tmpl w:val="1DF24CC6"/>
    <w:lvl w:ilvl="0">
      <w:start w:val="1"/>
      <w:numFmt w:val="decimal"/>
      <w:lvlText w:val="%1."/>
      <w:lvlJc w:val="left"/>
      <w:pPr>
        <w:ind w:left="630" w:hanging="360"/>
      </w:pPr>
      <w:rPr>
        <w:b w:val="0"/>
        <w:bCs w:val="0"/>
        <w:sz w:val="24"/>
        <w:szCs w:val="24"/>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 w15:restartNumberingAfterBreak="0">
    <w:nsid w:val="500C2600"/>
    <w:multiLevelType w:val="multilevel"/>
    <w:tmpl w:val="1340F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0E46FC"/>
    <w:multiLevelType w:val="multilevel"/>
    <w:tmpl w:val="F9F27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890A28"/>
    <w:multiLevelType w:val="multilevel"/>
    <w:tmpl w:val="858A6BB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9422714">
    <w:abstractNumId w:val="2"/>
  </w:num>
  <w:num w:numId="2" w16cid:durableId="1955209823">
    <w:abstractNumId w:val="4"/>
  </w:num>
  <w:num w:numId="3" w16cid:durableId="1332220635">
    <w:abstractNumId w:val="3"/>
  </w:num>
  <w:num w:numId="4" w16cid:durableId="1058434124">
    <w:abstractNumId w:val="0"/>
  </w:num>
  <w:num w:numId="5" w16cid:durableId="1420297626">
    <w:abstractNumId w:val="5"/>
  </w:num>
  <w:num w:numId="6" w16cid:durableId="363100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zMzE2MzU0MzM0MTRV0lEKTi0uzszPAykwrAUA3QFbnSwAAAA="/>
  </w:docVars>
  <w:rsids>
    <w:rsidRoot w:val="00214208"/>
    <w:rsid w:val="00001280"/>
    <w:rsid w:val="00023BA9"/>
    <w:rsid w:val="00024F39"/>
    <w:rsid w:val="00045940"/>
    <w:rsid w:val="00053900"/>
    <w:rsid w:val="000804CE"/>
    <w:rsid w:val="001172E2"/>
    <w:rsid w:val="001608D1"/>
    <w:rsid w:val="001B094D"/>
    <w:rsid w:val="001B365D"/>
    <w:rsid w:val="001B4317"/>
    <w:rsid w:val="001D0503"/>
    <w:rsid w:val="00214208"/>
    <w:rsid w:val="002235A9"/>
    <w:rsid w:val="00283768"/>
    <w:rsid w:val="00327B30"/>
    <w:rsid w:val="003F055A"/>
    <w:rsid w:val="004721A2"/>
    <w:rsid w:val="004E6CCC"/>
    <w:rsid w:val="00547247"/>
    <w:rsid w:val="00592CFB"/>
    <w:rsid w:val="00600A7C"/>
    <w:rsid w:val="006D6E4B"/>
    <w:rsid w:val="007550F5"/>
    <w:rsid w:val="007D30E0"/>
    <w:rsid w:val="007F1901"/>
    <w:rsid w:val="008A60FE"/>
    <w:rsid w:val="009206D3"/>
    <w:rsid w:val="0098097D"/>
    <w:rsid w:val="009D27E0"/>
    <w:rsid w:val="00A04D7F"/>
    <w:rsid w:val="00AA6E8B"/>
    <w:rsid w:val="00AF37BB"/>
    <w:rsid w:val="00B75627"/>
    <w:rsid w:val="00BC40FB"/>
    <w:rsid w:val="00BE265A"/>
    <w:rsid w:val="00C75CA1"/>
    <w:rsid w:val="00C947AE"/>
    <w:rsid w:val="00CE32E5"/>
    <w:rsid w:val="00D45047"/>
    <w:rsid w:val="00D6274C"/>
    <w:rsid w:val="00D73CFB"/>
    <w:rsid w:val="00D82BB8"/>
    <w:rsid w:val="00E94058"/>
    <w:rsid w:val="00FE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1" type="connector" idref="#Straight Arrow Connector 1"/>
      </o:rules>
    </o:shapelayout>
  </w:shapeDefaults>
  <w:decimalSymbol w:val="."/>
  <w:listSeparator w:val=","/>
  <w14:docId w14:val="5868E025"/>
  <w15:docId w15:val="{3FACBC70-19F5-473E-819B-58203BD3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2E5"/>
  </w:style>
  <w:style w:type="paragraph" w:styleId="Heading1">
    <w:name w:val="heading 1"/>
    <w:basedOn w:val="Normal1"/>
    <w:next w:val="Normal1"/>
    <w:rsid w:val="00214208"/>
    <w:pPr>
      <w:keepNext/>
      <w:keepLines/>
      <w:pBdr>
        <w:top w:val="nil"/>
        <w:left w:val="nil"/>
        <w:bottom w:val="nil"/>
        <w:right w:val="nil"/>
        <w:between w:val="nil"/>
      </w:pBdr>
      <w:spacing w:before="480" w:after="0"/>
      <w:outlineLvl w:val="0"/>
    </w:pPr>
    <w:rPr>
      <w:rFonts w:ascii="Cambria" w:eastAsia="Cambria" w:hAnsi="Cambria" w:cs="Cambria"/>
      <w:b/>
      <w:bCs/>
      <w:color w:val="366091"/>
      <w:sz w:val="28"/>
      <w:szCs w:val="28"/>
    </w:rPr>
  </w:style>
  <w:style w:type="paragraph" w:styleId="Heading2">
    <w:name w:val="heading 2"/>
    <w:basedOn w:val="Normal1"/>
    <w:next w:val="Normal1"/>
    <w:rsid w:val="00214208"/>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1"/>
    <w:next w:val="Normal1"/>
    <w:rsid w:val="00214208"/>
    <w:pPr>
      <w:keepNext/>
      <w:keepLines/>
      <w:pBdr>
        <w:top w:val="nil"/>
        <w:left w:val="nil"/>
        <w:bottom w:val="nil"/>
        <w:right w:val="nil"/>
        <w:between w:val="nil"/>
      </w:pBdr>
      <w:spacing w:before="200" w:after="0" w:line="259" w:lineRule="auto"/>
      <w:outlineLvl w:val="2"/>
    </w:pPr>
    <w:rPr>
      <w:rFonts w:ascii="Cambria" w:eastAsia="Cambria" w:hAnsi="Cambria" w:cs="Cambria"/>
      <w:b/>
      <w:bCs/>
      <w:color w:val="4F81BD"/>
    </w:rPr>
  </w:style>
  <w:style w:type="paragraph" w:styleId="Heading4">
    <w:name w:val="heading 4"/>
    <w:basedOn w:val="Normal1"/>
    <w:next w:val="Normal1"/>
    <w:rsid w:val="00214208"/>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1"/>
    <w:next w:val="Normal1"/>
    <w:rsid w:val="00214208"/>
    <w:pPr>
      <w:keepNext/>
      <w:keepLines/>
      <w:pBdr>
        <w:top w:val="nil"/>
        <w:left w:val="nil"/>
        <w:bottom w:val="nil"/>
        <w:right w:val="nil"/>
        <w:between w:val="nil"/>
      </w:pBdr>
      <w:spacing w:before="220" w:after="40"/>
      <w:outlineLvl w:val="4"/>
    </w:pPr>
    <w:rPr>
      <w:b/>
      <w:bCs/>
      <w:color w:val="000000"/>
    </w:rPr>
  </w:style>
  <w:style w:type="paragraph" w:styleId="Heading6">
    <w:name w:val="heading 6"/>
    <w:basedOn w:val="Normal1"/>
    <w:next w:val="Normal1"/>
    <w:rsid w:val="00214208"/>
    <w:pPr>
      <w:keepNext/>
      <w:keepLines/>
      <w:pBdr>
        <w:top w:val="nil"/>
        <w:left w:val="nil"/>
        <w:bottom w:val="nil"/>
        <w:right w:val="nil"/>
        <w:between w:val="nil"/>
      </w:pBdr>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214208"/>
    <w:tblPr>
      <w:tblCellMar>
        <w:top w:w="100" w:type="dxa"/>
        <w:left w:w="100" w:type="dxa"/>
        <w:bottom w:w="100" w:type="dxa"/>
        <w:right w:w="100" w:type="dxa"/>
      </w:tblCellMar>
    </w:tblPr>
  </w:style>
  <w:style w:type="paragraph" w:customStyle="1" w:styleId="Normal1">
    <w:name w:val="Normal1"/>
    <w:rsid w:val="00214208"/>
  </w:style>
  <w:style w:type="paragraph" w:styleId="Title">
    <w:name w:val="Title"/>
    <w:basedOn w:val="Normal1"/>
    <w:next w:val="Normal1"/>
    <w:rsid w:val="00214208"/>
    <w:pPr>
      <w:keepNext/>
      <w:keepLines/>
      <w:pBdr>
        <w:top w:val="nil"/>
        <w:left w:val="nil"/>
        <w:bottom w:val="nil"/>
        <w:right w:val="nil"/>
        <w:between w:val="nil"/>
      </w:pBdr>
      <w:spacing w:before="480" w:after="120"/>
    </w:pPr>
    <w:rPr>
      <w:b/>
      <w:bCs/>
      <w:color w:val="000000"/>
      <w:sz w:val="72"/>
      <w:szCs w:val="72"/>
    </w:rPr>
  </w:style>
  <w:style w:type="paragraph" w:styleId="Subtitle">
    <w:name w:val="Subtitle"/>
    <w:basedOn w:val="Normal1"/>
    <w:next w:val="Normal1"/>
    <w:rsid w:val="00214208"/>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0"/>
    <w:rsid w:val="00214208"/>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47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7AE"/>
    <w:rPr>
      <w:rFonts w:ascii="Tahoma" w:hAnsi="Tahoma" w:cs="Tahoma"/>
      <w:sz w:val="16"/>
      <w:szCs w:val="16"/>
    </w:rPr>
  </w:style>
  <w:style w:type="character" w:styleId="Emphasis">
    <w:name w:val="Emphasis"/>
    <w:basedOn w:val="DefaultParagraphFont"/>
    <w:uiPriority w:val="20"/>
    <w:qFormat/>
    <w:rsid w:val="00D6274C"/>
    <w:rPr>
      <w:i/>
      <w:iCs/>
    </w:rPr>
  </w:style>
  <w:style w:type="paragraph" w:styleId="ListParagraph">
    <w:name w:val="List Paragraph"/>
    <w:basedOn w:val="Normal"/>
    <w:uiPriority w:val="34"/>
    <w:qFormat/>
    <w:rsid w:val="00B75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16/C2013-0-06213-5" TargetMode="External"/><Relationship Id="rId21" Type="http://schemas.openxmlformats.org/officeDocument/2006/relationships/hyperlink" Target="https://doi.org/10.1007/s10499-025-01900-5" TargetMode="External"/><Relationship Id="rId34" Type="http://schemas.openxmlformats.org/officeDocument/2006/relationships/hyperlink" Target="https://doi.org/10.3389/fvets.2022.1011715" TargetMode="External"/><Relationship Id="rId42" Type="http://schemas.openxmlformats.org/officeDocument/2006/relationships/hyperlink" Target="https://doi.org/10.1007/s10695-020-00777-w" TargetMode="External"/><Relationship Id="rId47" Type="http://schemas.openxmlformats.org/officeDocument/2006/relationships/hyperlink" Target="https://doi.org/10.3181/00379727-119-30188" TargetMode="External"/><Relationship Id="rId50" Type="http://schemas.openxmlformats.org/officeDocument/2006/relationships/hyperlink" Target="https://doi.org/10.54319/jjbs/140215" TargetMode="External"/><Relationship Id="rId55" Type="http://schemas.openxmlformats.org/officeDocument/2006/relationships/hyperlink" Target="https://agris.fao.org/search/en/providers/122535/records/65dde0324c5aef494fd6493e" TargetMode="External"/><Relationship Id="rId63" Type="http://schemas.openxmlformats.org/officeDocument/2006/relationships/hyperlink" Target="https://doi.org/10.21275/ART2016133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1007/s12602-018-9404-0" TargetMode="External"/><Relationship Id="rId11" Type="http://schemas.openxmlformats.org/officeDocument/2006/relationships/image" Target="media/image1.png"/><Relationship Id="rId24" Type="http://schemas.openxmlformats.org/officeDocument/2006/relationships/hyperlink" Target="https://doi.org/10.1016/j.fsi.2015.05.038" TargetMode="External"/><Relationship Id="rId32" Type="http://schemas.openxmlformats.org/officeDocument/2006/relationships/hyperlink" Target="https://doi.org/10.1007/s11356-020-07775-8" TargetMode="External"/><Relationship Id="rId37" Type="http://schemas.openxmlformats.org/officeDocument/2006/relationships/hyperlink" Target="https://doi.org/10.1016/j.aqrep.2024.102282" TargetMode="External"/><Relationship Id="rId40" Type="http://schemas.openxmlformats.org/officeDocument/2006/relationships/hyperlink" Target="https://doi.org/10.1111/raq.12543" TargetMode="External"/><Relationship Id="rId45" Type="http://schemas.openxmlformats.org/officeDocument/2006/relationships/hyperlink" Target="https://doi.org/10.1016/j.fsi.2010.02.017" TargetMode="External"/><Relationship Id="rId53" Type="http://schemas.openxmlformats.org/officeDocument/2006/relationships/hyperlink" Target="https://doi.org/10.2478/aoas-2020-0011" TargetMode="External"/><Relationship Id="rId58" Type="http://schemas.openxmlformats.org/officeDocument/2006/relationships/hyperlink" Target="https://doi.org/10.9734/jabb/2025/v28i42260" TargetMode="External"/><Relationship Id="rId66" Type="http://schemas.openxmlformats.org/officeDocument/2006/relationships/hyperlink" Target="https://doi.org/10.1007/s12602-022-09971-z" TargetMode="External"/><Relationship Id="rId5" Type="http://schemas.openxmlformats.org/officeDocument/2006/relationships/webSettings" Target="webSettings.xml"/><Relationship Id="rId61" Type="http://schemas.openxmlformats.org/officeDocument/2006/relationships/hyperlink" Target="https://doi.org/10.59619/ej.7.2.2"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doi.org/10.1016/j.aquaculture.2020.735668" TargetMode="External"/><Relationship Id="rId27" Type="http://schemas.openxmlformats.org/officeDocument/2006/relationships/hyperlink" Target="https://pubmed.ncbi.nlm.nih.gov/1342894/" TargetMode="External"/><Relationship Id="rId30" Type="http://schemas.openxmlformats.org/officeDocument/2006/relationships/hyperlink" Target="https://doi.org/10.1186/s42523-024-00353-0" TargetMode="External"/><Relationship Id="rId35" Type="http://schemas.openxmlformats.org/officeDocument/2006/relationships/hyperlink" Target="https://doi.org/10.1080/14786419.2021.1883606" TargetMode="External"/><Relationship Id="rId43" Type="http://schemas.openxmlformats.org/officeDocument/2006/relationships/hyperlink" Target="https://doi.org/10.1007/s12602-019-09544-7" TargetMode="External"/><Relationship Id="rId48" Type="http://schemas.openxmlformats.org/officeDocument/2006/relationships/hyperlink" Target="https://doi.org/10.1017/S1466252321000165" TargetMode="External"/><Relationship Id="rId56" Type="http://schemas.openxmlformats.org/officeDocument/2006/relationships/hyperlink" Target="https://doi.org/10.1016/j.sciaf.2023.e01905" TargetMode="External"/><Relationship Id="rId64" Type="http://schemas.openxmlformats.org/officeDocument/2006/relationships/hyperlink" Target="https://doi.org/10.1007/s10499-021-00772-9" TargetMode="External"/><Relationship Id="rId8" Type="http://schemas.openxmlformats.org/officeDocument/2006/relationships/header" Target="header1.xml"/><Relationship Id="rId51" Type="http://schemas.openxmlformats.org/officeDocument/2006/relationships/hyperlink" Target="https://doi.org/10.2307/1441793"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1007/s10811-026-03910-z" TargetMode="External"/><Relationship Id="rId33" Type="http://schemas.openxmlformats.org/officeDocument/2006/relationships/hyperlink" Target="https://doi.org/10.3389/fmars.2024.1499228" TargetMode="External"/><Relationship Id="rId38" Type="http://schemas.openxmlformats.org/officeDocument/2006/relationships/hyperlink" Target="https://doi.org/10.1016/S0141-1136(02)00214-3" TargetMode="External"/><Relationship Id="rId46" Type="http://schemas.openxmlformats.org/officeDocument/2006/relationships/hyperlink" Target="https://doi.org/10.17762/sfs.v8i2.48" TargetMode="External"/><Relationship Id="rId59" Type="http://schemas.openxmlformats.org/officeDocument/2006/relationships/hyperlink" Target="https://doi.org/10.22207/JPAM.13.1.31" TargetMode="External"/><Relationship Id="rId6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s://doi.org/10.36648/1307-234X.13.3.166" TargetMode="External"/><Relationship Id="rId54" Type="http://schemas.openxmlformats.org/officeDocument/2006/relationships/hyperlink" Target="https://doi.org/10.1111/j.1365-2109.2007.01883.x" TargetMode="External"/><Relationship Id="rId62" Type="http://schemas.openxmlformats.org/officeDocument/2006/relationships/hyperlink" Target="https://doi.org/10.3389/fmicb.2026.178403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1111/anu.12957" TargetMode="External"/><Relationship Id="rId28" Type="http://schemas.openxmlformats.org/officeDocument/2006/relationships/hyperlink" Target="https://doi.org/10.21608/mvmj.2021.56537.1024" TargetMode="External"/><Relationship Id="rId36" Type="http://schemas.openxmlformats.org/officeDocument/2006/relationships/hyperlink" Target="https://doi.org/10.1016/S0021-9258(18)54929-2" TargetMode="External"/><Relationship Id="rId49" Type="http://schemas.openxmlformats.org/officeDocument/2006/relationships/hyperlink" Target="https://doi.org/10.1016/j.jfca.2025.107510" TargetMode="External"/><Relationship Id="rId57" Type="http://schemas.openxmlformats.org/officeDocument/2006/relationships/hyperlink" Target="https://doi.org/10.1007/s10695-018-0522-0" TargetMode="External"/><Relationship Id="rId10" Type="http://schemas.openxmlformats.org/officeDocument/2006/relationships/header" Target="header3.xml"/><Relationship Id="rId31" Type="http://schemas.openxmlformats.org/officeDocument/2006/relationships/hyperlink" Target="https://doi.org/10.1111/raq.12753" TargetMode="External"/><Relationship Id="rId44" Type="http://schemas.openxmlformats.org/officeDocument/2006/relationships/hyperlink" Target="https://doi.org/10.1371/journal.pone.0100929" TargetMode="External"/><Relationship Id="rId52" Type="http://schemas.openxmlformats.org/officeDocument/2006/relationships/hyperlink" Target="https://doi.org/10.3390/md19070377" TargetMode="External"/><Relationship Id="rId60" Type="http://schemas.openxmlformats.org/officeDocument/2006/relationships/hyperlink" Target="https://doi.org/10.56557/ajrib/2023/v6i121" TargetMode="External"/><Relationship Id="rId65" Type="http://schemas.openxmlformats.org/officeDocument/2006/relationships/hyperlink" Target="https://doi.org/10.1016/j.aquaculture.2024.740725"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doi.org/10.3389/fphys.2021.62749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7EBlRW8t+T+Ijidq6ReOS5l7aw==">CgMxLjAaJAoBMBIfCh0IB0IZCgVBcmlhbBIQQXJpYWwgVW5pY29kZSBNUxolCgExEiAKHggHQhoKD1RpbWVzIE5ldyBSb21hbhIHR3VuZ3N1aDIOaC5lenI4bjgzbTh5aXAyDmguZmhiYW82NmN3M3FkOAByITFmVkFZNHktZGJvdV8xaTN2WTE5YzM5S2w3X2hraDFKZw==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7769</Words>
  <Characters>44286</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Editor-90</cp:lastModifiedBy>
  <cp:revision>21</cp:revision>
  <dcterms:created xsi:type="dcterms:W3CDTF">2026-08-07T00:23:00Z</dcterms:created>
  <dcterms:modified xsi:type="dcterms:W3CDTF">2026-08-10T04:54:00Z</dcterms:modified>
</cp:coreProperties>
</file>