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68D1F" w14:textId="77777777" w:rsidR="007426BF" w:rsidRPr="00EC5920" w:rsidRDefault="007426BF" w:rsidP="007426BF">
      <w:pPr>
        <w:spacing w:before="120" w:after="120" w:line="240" w:lineRule="auto"/>
        <w:rPr>
          <w:rFonts w:ascii="Arial" w:hAnsi="Arial" w:cs="Arial"/>
          <w:b/>
          <w:sz w:val="36"/>
          <w:szCs w:val="36"/>
          <w:u w:val="single"/>
        </w:rPr>
      </w:pPr>
      <w:r w:rsidRPr="00EC5920">
        <w:rPr>
          <w:rFonts w:ascii="Arial" w:hAnsi="Arial" w:cs="Arial"/>
          <w:b/>
          <w:sz w:val="36"/>
          <w:szCs w:val="36"/>
          <w:u w:val="single"/>
        </w:rPr>
        <w:t xml:space="preserve">Original Research Article </w:t>
      </w:r>
    </w:p>
    <w:p w14:paraId="79709568" w14:textId="77777777" w:rsidR="005A6C26" w:rsidRPr="00EC5920" w:rsidRDefault="005A6C26" w:rsidP="004D74CA">
      <w:pPr>
        <w:spacing w:before="120" w:after="120" w:line="240" w:lineRule="auto"/>
        <w:jc w:val="right"/>
        <w:rPr>
          <w:rFonts w:ascii="Arial" w:hAnsi="Arial" w:cs="Arial"/>
          <w:b/>
          <w:sz w:val="36"/>
          <w:szCs w:val="36"/>
        </w:rPr>
      </w:pPr>
      <w:r w:rsidRPr="00EC5920">
        <w:rPr>
          <w:rFonts w:ascii="Arial" w:hAnsi="Arial" w:cs="Arial"/>
          <w:b/>
          <w:sz w:val="36"/>
          <w:szCs w:val="36"/>
        </w:rPr>
        <w:t xml:space="preserve">Integration of selective insecticides with </w:t>
      </w:r>
      <w:r w:rsidRPr="00EC5920">
        <w:rPr>
          <w:rFonts w:ascii="Arial" w:hAnsi="Arial" w:cs="Arial"/>
          <w:b/>
          <w:i/>
          <w:iCs/>
          <w:sz w:val="36"/>
          <w:szCs w:val="36"/>
        </w:rPr>
        <w:t>Metarhizium anisopliae</w:t>
      </w:r>
      <w:r w:rsidRPr="00EC5920">
        <w:rPr>
          <w:rFonts w:ascii="Arial" w:hAnsi="Arial" w:cs="Arial"/>
          <w:b/>
          <w:sz w:val="36"/>
          <w:szCs w:val="36"/>
        </w:rPr>
        <w:t xml:space="preserve"> for sustainable management of fall armyworm, </w:t>
      </w:r>
      <w:r w:rsidRPr="00EC5920">
        <w:rPr>
          <w:rFonts w:ascii="Arial" w:hAnsi="Arial" w:cs="Arial"/>
          <w:b/>
          <w:i/>
          <w:iCs/>
          <w:sz w:val="36"/>
          <w:szCs w:val="36"/>
        </w:rPr>
        <w:t xml:space="preserve">Spodoptera </w:t>
      </w:r>
      <w:proofErr w:type="spellStart"/>
      <w:r w:rsidRPr="00EC5920">
        <w:rPr>
          <w:rFonts w:ascii="Arial" w:hAnsi="Arial" w:cs="Arial"/>
          <w:b/>
          <w:i/>
          <w:iCs/>
          <w:sz w:val="36"/>
          <w:szCs w:val="36"/>
        </w:rPr>
        <w:t>frugiperda</w:t>
      </w:r>
      <w:proofErr w:type="spellEnd"/>
      <w:r w:rsidRPr="00EC5920">
        <w:rPr>
          <w:rFonts w:ascii="Arial" w:hAnsi="Arial" w:cs="Arial"/>
          <w:b/>
          <w:sz w:val="36"/>
          <w:szCs w:val="36"/>
        </w:rPr>
        <w:t xml:space="preserve"> (J.E. Smith) in maize</w:t>
      </w:r>
    </w:p>
    <w:p w14:paraId="6F20AAFE" w14:textId="77777777" w:rsidR="007426BF" w:rsidRPr="00EC5920" w:rsidRDefault="007426BF" w:rsidP="0084573A">
      <w:pPr>
        <w:pBdr>
          <w:bottom w:val="single" w:sz="4" w:space="1" w:color="auto"/>
        </w:pBdr>
        <w:spacing w:before="120" w:after="120" w:line="240" w:lineRule="auto"/>
        <w:jc w:val="right"/>
        <w:rPr>
          <w:rFonts w:ascii="Arial" w:hAnsi="Arial" w:cs="Arial"/>
          <w:bCs/>
          <w:sz w:val="20"/>
          <w:szCs w:val="20"/>
          <w:lang w:val="en-IN"/>
        </w:rPr>
      </w:pPr>
    </w:p>
    <w:p w14:paraId="534CC7FC" w14:textId="77777777" w:rsidR="00FE2A8D" w:rsidRPr="00EC5920" w:rsidRDefault="004D3988" w:rsidP="002E7D34">
      <w:pPr>
        <w:spacing w:before="120" w:after="120" w:line="240" w:lineRule="auto"/>
        <w:jc w:val="both"/>
        <w:rPr>
          <w:rFonts w:ascii="Arial" w:hAnsi="Arial" w:cs="Arial"/>
          <w:bCs/>
        </w:rPr>
      </w:pPr>
      <w:r w:rsidRPr="00EC5920">
        <w:rPr>
          <w:rFonts w:ascii="Arial" w:hAnsi="Arial" w:cs="Arial"/>
          <w:b/>
          <w:bCs/>
        </w:rPr>
        <w:t>ABSTRACT</w:t>
      </w:r>
    </w:p>
    <w:p w14:paraId="43A0F62C" w14:textId="77777777" w:rsidR="00A41330" w:rsidRPr="00EC5920" w:rsidRDefault="00A95BDC" w:rsidP="002E7D34">
      <w:pPr>
        <w:spacing w:before="120" w:after="120" w:line="240" w:lineRule="auto"/>
        <w:jc w:val="both"/>
        <w:rPr>
          <w:rFonts w:ascii="Arial" w:hAnsi="Arial" w:cs="Arial"/>
          <w:bCs/>
          <w:sz w:val="20"/>
          <w:szCs w:val="20"/>
        </w:rPr>
      </w:pPr>
      <w:r w:rsidRPr="00EC5920">
        <w:rPr>
          <w:rFonts w:ascii="Arial" w:hAnsi="Arial" w:cs="Arial"/>
          <w:bCs/>
          <w:i/>
          <w:iCs/>
          <w:sz w:val="20"/>
          <w:szCs w:val="20"/>
        </w:rPr>
        <w:t xml:space="preserve">Spodoptera </w:t>
      </w:r>
      <w:proofErr w:type="spellStart"/>
      <w:r w:rsidRPr="00EC5920">
        <w:rPr>
          <w:rFonts w:ascii="Arial" w:hAnsi="Arial" w:cs="Arial"/>
          <w:bCs/>
          <w:i/>
          <w:iCs/>
          <w:sz w:val="20"/>
          <w:szCs w:val="20"/>
        </w:rPr>
        <w:t>frugiperda</w:t>
      </w:r>
      <w:proofErr w:type="spellEnd"/>
      <w:r w:rsidRPr="00EC5920">
        <w:rPr>
          <w:rFonts w:ascii="Arial" w:hAnsi="Arial" w:cs="Arial"/>
          <w:bCs/>
          <w:sz w:val="20"/>
          <w:szCs w:val="20"/>
        </w:rPr>
        <w:t xml:space="preserve"> (J.E. Smith) is a destructive invasive pest that poses a serious threat to maize production, necessitating the development of sustainable management strategies. </w:t>
      </w:r>
      <w:r w:rsidR="00772955" w:rsidRPr="00EC5920">
        <w:rPr>
          <w:rFonts w:ascii="Arial" w:hAnsi="Arial" w:cs="Arial"/>
          <w:bCs/>
          <w:sz w:val="20"/>
          <w:szCs w:val="20"/>
        </w:rPr>
        <w:t xml:space="preserve">The present study evaluated the efficacy of integrating selective insecticides with </w:t>
      </w:r>
      <w:r w:rsidR="00772955" w:rsidRPr="00EC5920">
        <w:rPr>
          <w:rFonts w:ascii="Arial" w:hAnsi="Arial" w:cs="Arial"/>
          <w:bCs/>
          <w:i/>
          <w:iCs/>
          <w:sz w:val="20"/>
          <w:szCs w:val="20"/>
        </w:rPr>
        <w:t>Metarhizium anisopliae</w:t>
      </w:r>
      <w:r w:rsidR="00772955" w:rsidRPr="00EC5920">
        <w:rPr>
          <w:rFonts w:ascii="Arial" w:hAnsi="Arial" w:cs="Arial"/>
          <w:bCs/>
          <w:sz w:val="20"/>
          <w:szCs w:val="20"/>
        </w:rPr>
        <w:t xml:space="preserve"> for the management of fall armyworm under field conditions. </w:t>
      </w:r>
      <w:r w:rsidRPr="00EC5920">
        <w:rPr>
          <w:rFonts w:ascii="Arial" w:hAnsi="Arial" w:cs="Arial"/>
          <w:bCs/>
          <w:sz w:val="20"/>
          <w:szCs w:val="20"/>
        </w:rPr>
        <w:t xml:space="preserve">Field experiments were conducted at two locations in South Gujarat, India, during the </w:t>
      </w:r>
      <w:r w:rsidRPr="00EC5920">
        <w:rPr>
          <w:rFonts w:ascii="Arial" w:hAnsi="Arial" w:cs="Arial"/>
          <w:bCs/>
          <w:i/>
          <w:iCs/>
          <w:sz w:val="20"/>
          <w:szCs w:val="20"/>
        </w:rPr>
        <w:t>Rabi</w:t>
      </w:r>
      <w:r w:rsidRPr="00EC5920">
        <w:rPr>
          <w:rFonts w:ascii="Arial" w:hAnsi="Arial" w:cs="Arial"/>
          <w:bCs/>
          <w:sz w:val="20"/>
          <w:szCs w:val="20"/>
        </w:rPr>
        <w:t xml:space="preserve"> 2025–26 season using novaluron 5.25 + </w:t>
      </w:r>
      <w:proofErr w:type="spellStart"/>
      <w:r w:rsidRPr="00EC5920">
        <w:rPr>
          <w:rFonts w:ascii="Arial" w:hAnsi="Arial" w:cs="Arial"/>
          <w:bCs/>
          <w:sz w:val="20"/>
          <w:szCs w:val="20"/>
        </w:rPr>
        <w:t>emamectin</w:t>
      </w:r>
      <w:proofErr w:type="spellEnd"/>
      <w:r w:rsidRPr="00EC5920">
        <w:rPr>
          <w:rFonts w:ascii="Arial" w:hAnsi="Arial" w:cs="Arial"/>
          <w:bCs/>
          <w:sz w:val="20"/>
          <w:szCs w:val="20"/>
        </w:rPr>
        <w:t xml:space="preserve"> benzoate 0.9 SC and thiamethoxam 12.60 + lambda-cyhalothrin 9.50 SC applied alone and in combination with </w:t>
      </w:r>
      <w:r w:rsidR="00772955" w:rsidRPr="00EC5920">
        <w:rPr>
          <w:rFonts w:ascii="Arial" w:hAnsi="Arial" w:cs="Arial"/>
          <w:bCs/>
          <w:i/>
          <w:iCs/>
          <w:sz w:val="20"/>
          <w:szCs w:val="20"/>
          <w:lang w:val="en-IN"/>
        </w:rPr>
        <w:t>M. anisopliae</w:t>
      </w:r>
      <w:r w:rsidR="00772955" w:rsidRPr="00EC5920">
        <w:rPr>
          <w:rFonts w:ascii="Arial" w:hAnsi="Arial" w:cs="Arial"/>
          <w:bCs/>
          <w:iCs/>
          <w:sz w:val="20"/>
          <w:szCs w:val="20"/>
          <w:lang w:val="en-IN"/>
        </w:rPr>
        <w:t>,</w:t>
      </w:r>
      <w:r w:rsidRPr="00EC5920">
        <w:rPr>
          <w:rFonts w:ascii="Arial" w:hAnsi="Arial" w:cs="Arial"/>
          <w:bCs/>
          <w:sz w:val="20"/>
          <w:szCs w:val="20"/>
        </w:rPr>
        <w:t xml:space="preserve"> along with </w:t>
      </w:r>
      <w:r w:rsidRPr="00EC5920">
        <w:rPr>
          <w:rFonts w:ascii="Arial" w:hAnsi="Arial" w:cs="Arial"/>
          <w:bCs/>
          <w:i/>
          <w:iCs/>
          <w:sz w:val="20"/>
          <w:szCs w:val="20"/>
        </w:rPr>
        <w:t>M. anisopliae</w:t>
      </w:r>
      <w:r w:rsidRPr="00EC5920">
        <w:rPr>
          <w:rFonts w:ascii="Arial" w:hAnsi="Arial" w:cs="Arial"/>
          <w:bCs/>
          <w:sz w:val="20"/>
          <w:szCs w:val="20"/>
        </w:rPr>
        <w:t xml:space="preserve"> alone and an untreated control. Repeated-measures mixed-effects analysis revealed significant treatment effects on plant infestation, leaf damage, cob infestation and cob yield. Among the evaluated treatments, novaluron 5.25 + </w:t>
      </w:r>
      <w:proofErr w:type="spellStart"/>
      <w:r w:rsidRPr="00EC5920">
        <w:rPr>
          <w:rFonts w:ascii="Arial" w:hAnsi="Arial" w:cs="Arial"/>
          <w:bCs/>
          <w:sz w:val="20"/>
          <w:szCs w:val="20"/>
        </w:rPr>
        <w:t>emamectin</w:t>
      </w:r>
      <w:proofErr w:type="spellEnd"/>
      <w:r w:rsidRPr="00EC5920">
        <w:rPr>
          <w:rFonts w:ascii="Arial" w:hAnsi="Arial" w:cs="Arial"/>
          <w:bCs/>
          <w:sz w:val="20"/>
          <w:szCs w:val="20"/>
        </w:rPr>
        <w:t xml:space="preserve"> benzoate 0.9 SC integrated with </w:t>
      </w:r>
      <w:r w:rsidRPr="00EC5920">
        <w:rPr>
          <w:rFonts w:ascii="Arial" w:hAnsi="Arial" w:cs="Arial"/>
          <w:bCs/>
          <w:i/>
          <w:iCs/>
          <w:sz w:val="20"/>
          <w:szCs w:val="20"/>
        </w:rPr>
        <w:t>M. anisopliae</w:t>
      </w:r>
      <w:r w:rsidRPr="00EC5920">
        <w:rPr>
          <w:rFonts w:ascii="Arial" w:hAnsi="Arial" w:cs="Arial"/>
          <w:bCs/>
          <w:sz w:val="20"/>
          <w:szCs w:val="20"/>
        </w:rPr>
        <w:t xml:space="preserve"> recorded the lowest plant infestation (32.92%), leaf damage score (2.70) and cob infestation (11.01%), and produced the highest cob yield (13.21 t ha</w:t>
      </w:r>
      <w:r w:rsidRPr="00EC5920">
        <w:rPr>
          <w:rFonts w:ascii="Cambria Math" w:hAnsi="Cambria Math" w:cs="Cambria Math"/>
          <w:bCs/>
          <w:sz w:val="20"/>
          <w:szCs w:val="20"/>
        </w:rPr>
        <w:t>⁻</w:t>
      </w:r>
      <w:r w:rsidRPr="00EC5920">
        <w:rPr>
          <w:rFonts w:ascii="Arial" w:hAnsi="Arial" w:cs="Arial"/>
          <w:bCs/>
          <w:sz w:val="20"/>
          <w:szCs w:val="20"/>
        </w:rPr>
        <w:t xml:space="preserve">¹), representing a 40.53% increase over the untreated control. Although statistically comparable with novaluron 5.25 + </w:t>
      </w:r>
      <w:proofErr w:type="spellStart"/>
      <w:r w:rsidRPr="00EC5920">
        <w:rPr>
          <w:rFonts w:ascii="Arial" w:hAnsi="Arial" w:cs="Arial"/>
          <w:bCs/>
          <w:sz w:val="20"/>
          <w:szCs w:val="20"/>
        </w:rPr>
        <w:t>emamectin</w:t>
      </w:r>
      <w:proofErr w:type="spellEnd"/>
      <w:r w:rsidRPr="00EC5920">
        <w:rPr>
          <w:rFonts w:ascii="Arial" w:hAnsi="Arial" w:cs="Arial"/>
          <w:bCs/>
          <w:sz w:val="20"/>
          <w:szCs w:val="20"/>
        </w:rPr>
        <w:t xml:space="preserve"> benzoate 0.9 SC applied alone for most parameters, the integrated treatment consistently showed numerically superior performance. In contrast, </w:t>
      </w:r>
      <w:r w:rsidRPr="00EC5920">
        <w:rPr>
          <w:rFonts w:ascii="Arial" w:hAnsi="Arial" w:cs="Arial"/>
          <w:bCs/>
          <w:i/>
          <w:iCs/>
          <w:sz w:val="20"/>
          <w:szCs w:val="20"/>
        </w:rPr>
        <w:t>M. anisopliae</w:t>
      </w:r>
      <w:r w:rsidRPr="00EC5920">
        <w:rPr>
          <w:rFonts w:ascii="Arial" w:hAnsi="Arial" w:cs="Arial"/>
          <w:bCs/>
          <w:sz w:val="20"/>
          <w:szCs w:val="20"/>
        </w:rPr>
        <w:t xml:space="preserve"> applied alone provided only moderate suppression of fall armyworm and lower yield protection than </w:t>
      </w:r>
      <w:r>
        <w:rPr>
          <w:rFonts w:ascii="Arial" w:hAnsi="Arial" w:cs="Arial"/>
          <w:bCs/>
          <w:sz w:val="20"/>
          <w:szCs w:val="20"/>
          <w:highlight w:val="yellow"/>
        </w:rPr>
        <w:t>insecticide-based treatments</w:t>
      </w:r>
      <w:r w:rsidRPr="00EC5920">
        <w:rPr>
          <w:rFonts w:ascii="Arial" w:hAnsi="Arial" w:cs="Arial"/>
          <w:bCs/>
          <w:sz w:val="20"/>
          <w:szCs w:val="20"/>
        </w:rPr>
        <w:t xml:space="preserve">. </w:t>
      </w:r>
      <w:r w:rsidR="00A41330" w:rsidRPr="00EC5920">
        <w:rPr>
          <w:rFonts w:ascii="Arial" w:hAnsi="Arial" w:cs="Arial"/>
          <w:bCs/>
          <w:sz w:val="20"/>
          <w:szCs w:val="20"/>
        </w:rPr>
        <w:t xml:space="preserve">These findings demonstrate that integrating </w:t>
      </w:r>
      <w:r w:rsidR="00A41330" w:rsidRPr="00EC5920">
        <w:rPr>
          <w:rFonts w:ascii="Arial" w:hAnsi="Arial" w:cs="Arial"/>
          <w:bCs/>
          <w:i/>
          <w:iCs/>
          <w:sz w:val="20"/>
          <w:szCs w:val="20"/>
        </w:rPr>
        <w:t>M. anisopliae</w:t>
      </w:r>
      <w:r w:rsidR="00A41330" w:rsidRPr="00EC5920">
        <w:rPr>
          <w:rFonts w:ascii="Arial" w:hAnsi="Arial" w:cs="Arial"/>
          <w:bCs/>
          <w:sz w:val="20"/>
          <w:szCs w:val="20"/>
        </w:rPr>
        <w:t xml:space="preserve"> with selective insecticides improves fall armyworm management and maize productivity, highlighting its potential as an effective component of integrated pest management (IPM) for sustainable maize production.</w:t>
      </w:r>
    </w:p>
    <w:p w14:paraId="4C3A8D2B" w14:textId="77777777" w:rsidR="00A45D6A" w:rsidRDefault="00FE2A8D" w:rsidP="00A45D6A">
      <w:pPr>
        <w:pStyle w:val="pdq2pgselectionanchorcontainer"/>
      </w:pPr>
      <w:r w:rsidRPr="00EC5920">
        <w:rPr>
          <w:rFonts w:ascii="Arial" w:hAnsi="Arial" w:cs="Arial"/>
          <w:b/>
          <w:bCs/>
          <w:i/>
          <w:iCs/>
          <w:sz w:val="20"/>
          <w:szCs w:val="20"/>
        </w:rPr>
        <w:t xml:space="preserve">Keywords: </w:t>
      </w:r>
      <w:r w:rsidR="00A45D6A">
        <w:t xml:space="preserve">Fall armyworm; maize; </w:t>
      </w:r>
      <w:r w:rsidR="00A45D6A">
        <w:rPr>
          <w:rStyle w:val="Emphasis"/>
        </w:rPr>
        <w:t xml:space="preserve">Spodoptera </w:t>
      </w:r>
      <w:proofErr w:type="spellStart"/>
      <w:r w:rsidR="00A45D6A">
        <w:rPr>
          <w:rStyle w:val="Emphasis"/>
        </w:rPr>
        <w:t>frugiperda</w:t>
      </w:r>
      <w:proofErr w:type="spellEnd"/>
      <w:r w:rsidR="00A45D6A">
        <w:t xml:space="preserve">; </w:t>
      </w:r>
      <w:r w:rsidR="00A45D6A">
        <w:rPr>
          <w:rStyle w:val="Emphasis"/>
        </w:rPr>
        <w:t>Metarhizium anisopliae</w:t>
      </w:r>
      <w:r w:rsidR="00A45D6A">
        <w:t xml:space="preserve">; biological control; selective insecticides; integrated pest management; </w:t>
      </w:r>
      <w:proofErr w:type="spellStart"/>
      <w:r w:rsidR="00A45D6A">
        <w:t>emamectin</w:t>
      </w:r>
      <w:proofErr w:type="spellEnd"/>
      <w:r w:rsidR="00A45D6A">
        <w:t xml:space="preserve"> benzoate; novaluron; field efficacy.</w:t>
      </w:r>
    </w:p>
    <w:p w14:paraId="1110D7D8" w14:textId="7D4688F4" w:rsidR="00FE2A8D" w:rsidRPr="00EC5920" w:rsidRDefault="00FE2A8D" w:rsidP="002E7D34">
      <w:pPr>
        <w:spacing w:before="120" w:after="120" w:line="240" w:lineRule="auto"/>
        <w:jc w:val="both"/>
        <w:rPr>
          <w:rFonts w:ascii="Arial" w:hAnsi="Arial" w:cs="Arial"/>
          <w:i/>
          <w:iCs/>
          <w:sz w:val="20"/>
          <w:szCs w:val="20"/>
        </w:rPr>
      </w:pPr>
    </w:p>
    <w:p w14:paraId="4E35357C" w14:textId="77777777" w:rsidR="00CC1C63" w:rsidRPr="00EC5920" w:rsidRDefault="00225ECB" w:rsidP="002E7D34">
      <w:pPr>
        <w:spacing w:before="120" w:after="120" w:line="240" w:lineRule="auto"/>
        <w:jc w:val="both"/>
        <w:rPr>
          <w:rFonts w:ascii="Arial" w:hAnsi="Arial" w:cs="Arial"/>
          <w:b/>
          <w:bCs/>
        </w:rPr>
      </w:pPr>
      <w:r w:rsidRPr="00EC5920">
        <w:rPr>
          <w:rFonts w:ascii="Arial" w:hAnsi="Arial" w:cs="Arial"/>
          <w:b/>
          <w:bCs/>
        </w:rPr>
        <w:t>1. INTRODUCTION</w:t>
      </w:r>
    </w:p>
    <w:p w14:paraId="6A51C2D7" w14:textId="77777777" w:rsidR="00CC1C63" w:rsidRPr="00EC5920" w:rsidRDefault="00CC1C63" w:rsidP="002E7D34">
      <w:pPr>
        <w:spacing w:before="120" w:after="120" w:line="240" w:lineRule="auto"/>
        <w:jc w:val="both"/>
        <w:rPr>
          <w:rFonts w:ascii="Arial" w:hAnsi="Arial" w:cs="Arial"/>
          <w:bCs/>
          <w:sz w:val="20"/>
          <w:szCs w:val="20"/>
        </w:rPr>
      </w:pPr>
      <w:r w:rsidRPr="00EC5920">
        <w:rPr>
          <w:rFonts w:ascii="Arial" w:hAnsi="Arial" w:cs="Arial"/>
          <w:bCs/>
          <w:sz w:val="20"/>
          <w:szCs w:val="20"/>
        </w:rPr>
        <w:t>Maize (</w:t>
      </w:r>
      <w:r w:rsidRPr="00EC5920">
        <w:rPr>
          <w:rFonts w:ascii="Arial" w:hAnsi="Arial" w:cs="Arial"/>
          <w:bCs/>
          <w:i/>
          <w:iCs/>
          <w:sz w:val="20"/>
          <w:szCs w:val="20"/>
        </w:rPr>
        <w:t>Zea mays</w:t>
      </w:r>
      <w:r w:rsidRPr="00EC5920">
        <w:rPr>
          <w:rFonts w:ascii="Arial" w:hAnsi="Arial" w:cs="Arial"/>
          <w:bCs/>
          <w:sz w:val="20"/>
          <w:szCs w:val="20"/>
        </w:rPr>
        <w:t xml:space="preserve"> L.) is one of the most important cereal crops worldwide, serving as a major source of food, feed and industrial raw materials. However, its productivity is severely constrained by the fall armyworm, </w:t>
      </w:r>
      <w:r w:rsidRPr="00EC5920">
        <w:rPr>
          <w:rFonts w:ascii="Arial" w:hAnsi="Arial" w:cs="Arial"/>
          <w:bCs/>
          <w:i/>
          <w:iCs/>
          <w:sz w:val="20"/>
          <w:szCs w:val="20"/>
        </w:rPr>
        <w:t xml:space="preserve">Spodoptera </w:t>
      </w:r>
      <w:proofErr w:type="spellStart"/>
      <w:r w:rsidRPr="00EC5920">
        <w:rPr>
          <w:rFonts w:ascii="Arial" w:hAnsi="Arial" w:cs="Arial"/>
          <w:bCs/>
          <w:i/>
          <w:iCs/>
          <w:sz w:val="20"/>
          <w:szCs w:val="20"/>
        </w:rPr>
        <w:t>frugiperda</w:t>
      </w:r>
      <w:proofErr w:type="spellEnd"/>
      <w:r w:rsidRPr="00EC5920">
        <w:rPr>
          <w:rFonts w:ascii="Arial" w:hAnsi="Arial" w:cs="Arial"/>
          <w:bCs/>
          <w:sz w:val="20"/>
          <w:szCs w:val="20"/>
        </w:rPr>
        <w:t xml:space="preserve"> (J. E. Smith) (Lepidoptera: </w:t>
      </w:r>
      <w:proofErr w:type="spellStart"/>
      <w:r w:rsidRPr="00EC5920">
        <w:rPr>
          <w:rFonts w:ascii="Arial" w:hAnsi="Arial" w:cs="Arial"/>
          <w:bCs/>
          <w:sz w:val="20"/>
          <w:szCs w:val="20"/>
        </w:rPr>
        <w:t>Noctuidae</w:t>
      </w:r>
      <w:proofErr w:type="spellEnd"/>
      <w:r w:rsidRPr="00EC5920">
        <w:rPr>
          <w:rFonts w:ascii="Arial" w:hAnsi="Arial" w:cs="Arial"/>
          <w:bCs/>
          <w:sz w:val="20"/>
          <w:szCs w:val="20"/>
        </w:rPr>
        <w:t xml:space="preserve">), an invasive pest that has become a serious threat to maize production across tropical and subtropical regions. Native to the Americas, </w:t>
      </w:r>
      <w:r w:rsidRPr="00EC5920">
        <w:rPr>
          <w:rFonts w:ascii="Arial" w:hAnsi="Arial" w:cs="Arial"/>
          <w:bCs/>
          <w:i/>
          <w:iCs/>
          <w:sz w:val="20"/>
          <w:szCs w:val="20"/>
        </w:rPr>
        <w:t xml:space="preserve">S. </w:t>
      </w:r>
      <w:proofErr w:type="spellStart"/>
      <w:r w:rsidRPr="00EC5920">
        <w:rPr>
          <w:rFonts w:ascii="Arial" w:hAnsi="Arial" w:cs="Arial"/>
          <w:bCs/>
          <w:i/>
          <w:iCs/>
          <w:sz w:val="20"/>
          <w:szCs w:val="20"/>
        </w:rPr>
        <w:t>frugiperda</w:t>
      </w:r>
      <w:proofErr w:type="spellEnd"/>
      <w:r w:rsidRPr="00EC5920">
        <w:rPr>
          <w:rFonts w:ascii="Arial" w:hAnsi="Arial" w:cs="Arial"/>
          <w:bCs/>
          <w:sz w:val="20"/>
          <w:szCs w:val="20"/>
        </w:rPr>
        <w:t xml:space="preserve"> was first reported outside its native range in West Africa in 2016 and subsequently spread rapidly across Africa, Asia and Oceania (Goergen </w:t>
      </w:r>
      <w:r w:rsidRPr="00EC5920">
        <w:rPr>
          <w:rFonts w:ascii="Arial" w:hAnsi="Arial" w:cs="Arial"/>
          <w:bCs/>
          <w:i/>
          <w:iCs/>
          <w:sz w:val="20"/>
          <w:szCs w:val="20"/>
        </w:rPr>
        <w:t>et al.</w:t>
      </w:r>
      <w:r w:rsidRPr="00EC5920">
        <w:rPr>
          <w:rFonts w:ascii="Arial" w:hAnsi="Arial" w:cs="Arial"/>
          <w:bCs/>
          <w:sz w:val="20"/>
          <w:szCs w:val="20"/>
        </w:rPr>
        <w:t>, 2016; Food and Agriculture Organization of the United Nations, 2019). In India, the pest was first detected on maize in Karnataka during 2018 and quickly establi</w:t>
      </w:r>
      <w:r w:rsidR="00584181" w:rsidRPr="00EC5920">
        <w:rPr>
          <w:rFonts w:ascii="Arial" w:hAnsi="Arial" w:cs="Arial"/>
          <w:bCs/>
          <w:sz w:val="20"/>
          <w:szCs w:val="20"/>
        </w:rPr>
        <w:t xml:space="preserve">shed across major </w:t>
      </w:r>
      <w:r>
        <w:rPr>
          <w:rFonts w:ascii="Arial" w:hAnsi="Arial" w:cs="Arial"/>
          <w:bCs/>
          <w:sz w:val="20"/>
          <w:szCs w:val="20"/>
          <w:highlight w:val="yellow"/>
        </w:rPr>
        <w:t>maize-growing regions</w:t>
      </w:r>
      <w:r w:rsidRPr="00EC5920">
        <w:rPr>
          <w:rFonts w:ascii="Arial" w:hAnsi="Arial" w:cs="Arial"/>
          <w:bCs/>
          <w:sz w:val="20"/>
          <w:szCs w:val="20"/>
        </w:rPr>
        <w:t>, including Gujarat, owing to its strong migratory ability, high reproductive potential and continuous availability of host plants (</w:t>
      </w:r>
      <w:proofErr w:type="spellStart"/>
      <w:r w:rsidRPr="00EC5920">
        <w:rPr>
          <w:rFonts w:ascii="Arial" w:hAnsi="Arial" w:cs="Arial"/>
          <w:bCs/>
          <w:sz w:val="20"/>
          <w:szCs w:val="20"/>
        </w:rPr>
        <w:t>Sharanabasappa</w:t>
      </w:r>
      <w:proofErr w:type="spellEnd"/>
      <w:r w:rsidRPr="00EC5920">
        <w:rPr>
          <w:rFonts w:ascii="Arial" w:hAnsi="Arial" w:cs="Arial"/>
          <w:bCs/>
          <w:sz w:val="20"/>
          <w:szCs w:val="20"/>
        </w:rPr>
        <w:t xml:space="preserve"> </w:t>
      </w:r>
      <w:r w:rsidRPr="00EC5920">
        <w:rPr>
          <w:rFonts w:ascii="Arial" w:hAnsi="Arial" w:cs="Arial"/>
          <w:bCs/>
          <w:i/>
          <w:iCs/>
          <w:sz w:val="20"/>
          <w:szCs w:val="20"/>
        </w:rPr>
        <w:t>et al.</w:t>
      </w:r>
      <w:r w:rsidRPr="00EC5920">
        <w:rPr>
          <w:rFonts w:ascii="Arial" w:hAnsi="Arial" w:cs="Arial"/>
          <w:bCs/>
          <w:sz w:val="20"/>
          <w:szCs w:val="20"/>
        </w:rPr>
        <w:t xml:space="preserve">, 2018; </w:t>
      </w:r>
      <w:proofErr w:type="spellStart"/>
      <w:r w:rsidRPr="00EC5920">
        <w:rPr>
          <w:rFonts w:ascii="Arial" w:hAnsi="Arial" w:cs="Arial"/>
          <w:bCs/>
          <w:sz w:val="20"/>
          <w:szCs w:val="20"/>
        </w:rPr>
        <w:t>Sisodiya</w:t>
      </w:r>
      <w:proofErr w:type="spellEnd"/>
      <w:r w:rsidRPr="00EC5920">
        <w:rPr>
          <w:rFonts w:ascii="Arial" w:hAnsi="Arial" w:cs="Arial"/>
          <w:bCs/>
          <w:sz w:val="20"/>
          <w:szCs w:val="20"/>
        </w:rPr>
        <w:t xml:space="preserve"> </w:t>
      </w:r>
      <w:r w:rsidRPr="00EC5920">
        <w:rPr>
          <w:rFonts w:ascii="Arial" w:hAnsi="Arial" w:cs="Arial"/>
          <w:bCs/>
          <w:i/>
          <w:iCs/>
          <w:sz w:val="20"/>
          <w:szCs w:val="20"/>
        </w:rPr>
        <w:t>et al.</w:t>
      </w:r>
      <w:r w:rsidRPr="00EC5920">
        <w:rPr>
          <w:rFonts w:ascii="Arial" w:hAnsi="Arial" w:cs="Arial"/>
          <w:bCs/>
          <w:sz w:val="20"/>
          <w:szCs w:val="20"/>
        </w:rPr>
        <w:t xml:space="preserve">, 2018). </w:t>
      </w:r>
    </w:p>
    <w:p w14:paraId="5DACA86A" w14:textId="77777777" w:rsidR="00CC1C63" w:rsidRPr="00EC5920" w:rsidRDefault="00CC1C63" w:rsidP="002E7D34">
      <w:pPr>
        <w:spacing w:before="120" w:after="120" w:line="240" w:lineRule="auto"/>
        <w:jc w:val="both"/>
        <w:rPr>
          <w:rFonts w:ascii="Arial" w:hAnsi="Arial" w:cs="Arial"/>
          <w:bCs/>
          <w:sz w:val="20"/>
          <w:szCs w:val="20"/>
        </w:rPr>
      </w:pPr>
      <w:r w:rsidRPr="00EC5920">
        <w:rPr>
          <w:rFonts w:ascii="Arial" w:hAnsi="Arial" w:cs="Arial"/>
          <w:bCs/>
          <w:sz w:val="20"/>
          <w:szCs w:val="20"/>
        </w:rPr>
        <w:t xml:space="preserve">The invasive success of </w:t>
      </w:r>
      <w:r w:rsidRPr="00EC5920">
        <w:rPr>
          <w:rFonts w:ascii="Arial" w:hAnsi="Arial" w:cs="Arial"/>
          <w:bCs/>
          <w:i/>
          <w:iCs/>
          <w:sz w:val="20"/>
          <w:szCs w:val="20"/>
        </w:rPr>
        <w:t xml:space="preserve">S. </w:t>
      </w:r>
      <w:proofErr w:type="spellStart"/>
      <w:r w:rsidRPr="00EC5920">
        <w:rPr>
          <w:rFonts w:ascii="Arial" w:hAnsi="Arial" w:cs="Arial"/>
          <w:bCs/>
          <w:i/>
          <w:iCs/>
          <w:sz w:val="20"/>
          <w:szCs w:val="20"/>
        </w:rPr>
        <w:t>frugiperda</w:t>
      </w:r>
      <w:proofErr w:type="spellEnd"/>
      <w:r w:rsidRPr="00EC5920">
        <w:rPr>
          <w:rFonts w:ascii="Arial" w:hAnsi="Arial" w:cs="Arial"/>
          <w:bCs/>
          <w:sz w:val="20"/>
          <w:szCs w:val="20"/>
        </w:rPr>
        <w:t xml:space="preserve"> is attributed to its polyphagous nature, rapid population growth and concealed feeding </w:t>
      </w:r>
      <w:proofErr w:type="spellStart"/>
      <w:r w:rsidRPr="00EC5920">
        <w:rPr>
          <w:rFonts w:ascii="Arial" w:hAnsi="Arial" w:cs="Arial"/>
          <w:bCs/>
          <w:sz w:val="20"/>
          <w:szCs w:val="20"/>
        </w:rPr>
        <w:t>behaviour</w:t>
      </w:r>
      <w:proofErr w:type="spellEnd"/>
      <w:r w:rsidRPr="00EC5920">
        <w:rPr>
          <w:rFonts w:ascii="Arial" w:hAnsi="Arial" w:cs="Arial"/>
          <w:bCs/>
          <w:sz w:val="20"/>
          <w:szCs w:val="20"/>
        </w:rPr>
        <w:t xml:space="preserve">. Larvae feed predominantly within the maize whorl, producing characteristic foliar injury that reduces photosynthetic efficiency and, under severe infestations, may destroy the growing point and substantially reduce grain yield. The concealed feeding habit of older larvae also limits their exposure to insecticides and natural enemies, making effective management difficult. Yield losses exceeding 50% have been reported under severe infestations, </w:t>
      </w:r>
      <w:proofErr w:type="spellStart"/>
      <w:r>
        <w:rPr>
          <w:rFonts w:ascii="Arial" w:hAnsi="Arial" w:cs="Arial"/>
          <w:bCs/>
          <w:sz w:val="20"/>
          <w:szCs w:val="20"/>
          <w:highlight w:val="yellow"/>
        </w:rPr>
        <w:t>emphasising</w:t>
      </w:r>
      <w:proofErr w:type="spellEnd"/>
      <w:r>
        <w:rPr>
          <w:rFonts w:ascii="Arial" w:hAnsi="Arial" w:cs="Arial"/>
          <w:bCs/>
          <w:sz w:val="20"/>
          <w:szCs w:val="20"/>
        </w:rPr>
        <w:t xml:space="preserve"> the need for efficient and sustainable management strategies (</w:t>
      </w:r>
      <w:r>
        <w:rPr>
          <w:rFonts w:ascii="Arial" w:hAnsi="Arial" w:cs="Arial"/>
          <w:bCs/>
          <w:sz w:val="20"/>
          <w:szCs w:val="20"/>
          <w:highlight w:val="yellow"/>
        </w:rPr>
        <w:t>Morrill &amp; Greene</w:t>
      </w:r>
      <w:r>
        <w:rPr>
          <w:rFonts w:ascii="Arial" w:hAnsi="Arial" w:cs="Arial"/>
          <w:bCs/>
          <w:sz w:val="20"/>
          <w:szCs w:val="20"/>
        </w:rPr>
        <w:t xml:space="preserve">, 1973; Young, 1979; Martin </w:t>
      </w:r>
      <w:r w:rsidRPr="00EC5920">
        <w:rPr>
          <w:rFonts w:ascii="Arial" w:hAnsi="Arial" w:cs="Arial"/>
          <w:bCs/>
          <w:i/>
          <w:iCs/>
          <w:sz w:val="20"/>
          <w:szCs w:val="20"/>
        </w:rPr>
        <w:t>et al.</w:t>
      </w:r>
      <w:r w:rsidRPr="00EC5920">
        <w:rPr>
          <w:rFonts w:ascii="Arial" w:hAnsi="Arial" w:cs="Arial"/>
          <w:bCs/>
          <w:sz w:val="20"/>
          <w:szCs w:val="20"/>
        </w:rPr>
        <w:t xml:space="preserve">, 1980; Srinivasan </w:t>
      </w:r>
      <w:r w:rsidRPr="00EC5920">
        <w:rPr>
          <w:rFonts w:ascii="Arial" w:hAnsi="Arial" w:cs="Arial"/>
          <w:bCs/>
          <w:i/>
          <w:iCs/>
          <w:sz w:val="20"/>
          <w:szCs w:val="20"/>
        </w:rPr>
        <w:t>et al.</w:t>
      </w:r>
      <w:r w:rsidRPr="00EC5920">
        <w:rPr>
          <w:rFonts w:ascii="Arial" w:hAnsi="Arial" w:cs="Arial"/>
          <w:bCs/>
          <w:sz w:val="20"/>
          <w:szCs w:val="20"/>
        </w:rPr>
        <w:t xml:space="preserve">, 2022). </w:t>
      </w:r>
    </w:p>
    <w:p w14:paraId="43C5E371" w14:textId="77777777" w:rsidR="00CC1C63" w:rsidRPr="00EC5920" w:rsidRDefault="00CC1C63" w:rsidP="002E7D34">
      <w:pPr>
        <w:spacing w:before="120" w:after="120" w:line="240" w:lineRule="auto"/>
        <w:jc w:val="both"/>
        <w:rPr>
          <w:rFonts w:ascii="Arial" w:hAnsi="Arial" w:cs="Arial"/>
          <w:bCs/>
          <w:sz w:val="20"/>
          <w:szCs w:val="20"/>
        </w:rPr>
      </w:pPr>
      <w:r w:rsidRPr="00EC5920">
        <w:rPr>
          <w:rFonts w:ascii="Arial" w:hAnsi="Arial" w:cs="Arial"/>
          <w:bCs/>
          <w:sz w:val="20"/>
          <w:szCs w:val="20"/>
        </w:rPr>
        <w:lastRenderedPageBreak/>
        <w:t xml:space="preserve">Chemical insecticides remain the primary means of managing fall armyworm because of their rapid knockdown effect and reliable field performance. In particular, newer premix insecticides with multiple modes of action have improved control efficiency and are increasingly adopted in pest management </w:t>
      </w:r>
      <w:proofErr w:type="spellStart"/>
      <w:r w:rsidRPr="00EC5920">
        <w:rPr>
          <w:rFonts w:ascii="Arial" w:hAnsi="Arial" w:cs="Arial"/>
          <w:bCs/>
          <w:sz w:val="20"/>
          <w:szCs w:val="20"/>
        </w:rPr>
        <w:t>programmes</w:t>
      </w:r>
      <w:proofErr w:type="spellEnd"/>
      <w:r w:rsidRPr="00EC5920">
        <w:rPr>
          <w:rFonts w:ascii="Arial" w:hAnsi="Arial" w:cs="Arial"/>
          <w:bCs/>
          <w:sz w:val="20"/>
          <w:szCs w:val="20"/>
        </w:rPr>
        <w:t xml:space="preserve">. However, excessive reliance on chemical insecticides has accelerated the development of insecticide resistance and raised concerns regarding non-target effects, environmental contamination and long-term sustainability (Yu, 1991; Day </w:t>
      </w:r>
      <w:r w:rsidRPr="00EC5920">
        <w:rPr>
          <w:rFonts w:ascii="Arial" w:hAnsi="Arial" w:cs="Arial"/>
          <w:bCs/>
          <w:i/>
          <w:iCs/>
          <w:sz w:val="20"/>
          <w:szCs w:val="20"/>
        </w:rPr>
        <w:t>et al.</w:t>
      </w:r>
      <w:r w:rsidRPr="00EC5920">
        <w:rPr>
          <w:rFonts w:ascii="Arial" w:hAnsi="Arial" w:cs="Arial"/>
          <w:bCs/>
          <w:sz w:val="20"/>
          <w:szCs w:val="20"/>
        </w:rPr>
        <w:t xml:space="preserve">, 2017; Prasanna </w:t>
      </w:r>
      <w:r w:rsidRPr="00EC5920">
        <w:rPr>
          <w:rFonts w:ascii="Arial" w:hAnsi="Arial" w:cs="Arial"/>
          <w:bCs/>
          <w:i/>
          <w:iCs/>
          <w:sz w:val="20"/>
          <w:szCs w:val="20"/>
        </w:rPr>
        <w:t>et al.</w:t>
      </w:r>
      <w:r w:rsidRPr="00EC5920">
        <w:rPr>
          <w:rFonts w:ascii="Arial" w:hAnsi="Arial" w:cs="Arial"/>
          <w:bCs/>
          <w:sz w:val="20"/>
          <w:szCs w:val="20"/>
        </w:rPr>
        <w:t xml:space="preserve">, 2018). These limitations have reinforced the need to integrate biological control agents with chemical control as part of sustainable integrated pest management (IPM) </w:t>
      </w:r>
      <w:proofErr w:type="spellStart"/>
      <w:r w:rsidRPr="00EC5920">
        <w:rPr>
          <w:rFonts w:ascii="Arial" w:hAnsi="Arial" w:cs="Arial"/>
          <w:bCs/>
          <w:sz w:val="20"/>
          <w:szCs w:val="20"/>
        </w:rPr>
        <w:t>programmes</w:t>
      </w:r>
      <w:proofErr w:type="spellEnd"/>
      <w:r w:rsidRPr="00EC5920">
        <w:rPr>
          <w:rFonts w:ascii="Arial" w:hAnsi="Arial" w:cs="Arial"/>
          <w:bCs/>
          <w:sz w:val="20"/>
          <w:szCs w:val="20"/>
        </w:rPr>
        <w:t>.</w:t>
      </w:r>
      <w:r>
        <w:rPr>
          <w:rFonts w:ascii="Arial" w:hAnsi="Arial"/>
          <w:b/>
          <w:sz w:val="20"/>
          <w:highlight w:val="yellow"/>
        </w:rPr>
        <w:t xml:space="preserve"> Recent resistance-monitoring evidence has documented substantial variation in susceptibility among </w:t>
      </w:r>
      <w:r>
        <w:rPr>
          <w:rFonts w:ascii="Arial" w:hAnsi="Arial"/>
          <w:b/>
          <w:i/>
          <w:sz w:val="20"/>
          <w:highlight w:val="yellow"/>
        </w:rPr>
        <w:t xml:space="preserve">S. </w:t>
      </w:r>
      <w:proofErr w:type="spellStart"/>
      <w:r>
        <w:rPr>
          <w:rFonts w:ascii="Arial" w:hAnsi="Arial"/>
          <w:b/>
          <w:i/>
          <w:sz w:val="20"/>
          <w:highlight w:val="yellow"/>
        </w:rPr>
        <w:t>frugiperda</w:t>
      </w:r>
      <w:proofErr w:type="spellEnd"/>
      <w:r>
        <w:rPr>
          <w:rFonts w:ascii="Arial" w:hAnsi="Arial"/>
          <w:b/>
          <w:sz w:val="20"/>
          <w:highlight w:val="yellow"/>
        </w:rPr>
        <w:t xml:space="preserve"> populations exposed to conventional insecticides, reinforcing the need for resistance-aware diversification of control tactics within IPM (Nascimento </w:t>
      </w:r>
      <w:r>
        <w:rPr>
          <w:rFonts w:ascii="Arial" w:hAnsi="Arial"/>
          <w:b/>
          <w:i/>
          <w:sz w:val="20"/>
          <w:highlight w:val="yellow"/>
        </w:rPr>
        <w:t>et al.</w:t>
      </w:r>
      <w:r>
        <w:rPr>
          <w:rFonts w:ascii="Arial" w:hAnsi="Arial"/>
          <w:b/>
          <w:sz w:val="20"/>
          <w:highlight w:val="yellow"/>
        </w:rPr>
        <w:t>, 2023).</w:t>
      </w:r>
    </w:p>
    <w:p w14:paraId="19B34656" w14:textId="77777777" w:rsidR="00CC1C63" w:rsidRPr="00EC5920" w:rsidRDefault="00CC1C63" w:rsidP="002E7D34">
      <w:pPr>
        <w:spacing w:before="120" w:after="120" w:line="240" w:lineRule="auto"/>
        <w:jc w:val="both"/>
        <w:rPr>
          <w:rFonts w:ascii="Arial" w:hAnsi="Arial" w:cs="Arial"/>
          <w:bCs/>
          <w:sz w:val="20"/>
          <w:szCs w:val="20"/>
        </w:rPr>
      </w:pPr>
      <w:r w:rsidRPr="00EC5920">
        <w:rPr>
          <w:rFonts w:ascii="Arial" w:hAnsi="Arial" w:cs="Arial"/>
          <w:bCs/>
          <w:sz w:val="20"/>
          <w:szCs w:val="20"/>
        </w:rPr>
        <w:t xml:space="preserve">Among microbial biocontrol agents, the entomopathogenic fungus </w:t>
      </w:r>
      <w:r w:rsidRPr="00EC5920">
        <w:rPr>
          <w:rFonts w:ascii="Arial" w:hAnsi="Arial" w:cs="Arial"/>
          <w:bCs/>
          <w:i/>
          <w:iCs/>
          <w:sz w:val="20"/>
          <w:szCs w:val="20"/>
        </w:rPr>
        <w:t>Metarhizium anisopliae</w:t>
      </w:r>
      <w:r w:rsidRPr="00EC5920">
        <w:rPr>
          <w:rFonts w:ascii="Arial" w:hAnsi="Arial" w:cs="Arial"/>
          <w:bCs/>
          <w:sz w:val="20"/>
          <w:szCs w:val="20"/>
        </w:rPr>
        <w:t xml:space="preserve"> (</w:t>
      </w:r>
      <w:proofErr w:type="spellStart"/>
      <w:r w:rsidRPr="00EC5920">
        <w:rPr>
          <w:rFonts w:ascii="Arial" w:hAnsi="Arial" w:cs="Arial"/>
          <w:bCs/>
          <w:sz w:val="20"/>
          <w:szCs w:val="20"/>
        </w:rPr>
        <w:t>Metschn</w:t>
      </w:r>
      <w:proofErr w:type="spellEnd"/>
      <w:r w:rsidRPr="00EC5920">
        <w:rPr>
          <w:rFonts w:ascii="Arial" w:hAnsi="Arial" w:cs="Arial"/>
          <w:bCs/>
          <w:sz w:val="20"/>
          <w:szCs w:val="20"/>
        </w:rPr>
        <w:t>.) Sorokin has attracted considerable attention because of its broad host range, environmental safety and ability to infect insects through direct cuticular penetration (</w:t>
      </w:r>
      <w:r>
        <w:rPr>
          <w:rFonts w:ascii="Arial" w:hAnsi="Arial" w:cs="Arial"/>
          <w:bCs/>
          <w:sz w:val="20"/>
          <w:szCs w:val="20"/>
          <w:highlight w:val="yellow"/>
        </w:rPr>
        <w:t>Roberts &amp; St. Leger</w:t>
      </w:r>
      <w:r>
        <w:rPr>
          <w:rFonts w:ascii="Arial" w:hAnsi="Arial" w:cs="Arial"/>
          <w:bCs/>
          <w:sz w:val="20"/>
          <w:szCs w:val="20"/>
        </w:rPr>
        <w:t xml:space="preserve">, 2004). Nevertheless, its comparatively slower speed of action and moderate efficacy under heavy pest pressure often limit its use as a stand-alone management option against </w:t>
      </w:r>
      <w:r w:rsidRPr="00EC5920">
        <w:rPr>
          <w:rFonts w:ascii="Arial" w:hAnsi="Arial" w:cs="Arial"/>
          <w:bCs/>
          <w:i/>
          <w:iCs/>
          <w:sz w:val="20"/>
          <w:szCs w:val="20"/>
        </w:rPr>
        <w:t xml:space="preserve">S. </w:t>
      </w:r>
      <w:proofErr w:type="spellStart"/>
      <w:r w:rsidRPr="00EC5920">
        <w:rPr>
          <w:rFonts w:ascii="Arial" w:hAnsi="Arial" w:cs="Arial"/>
          <w:bCs/>
          <w:i/>
          <w:iCs/>
          <w:sz w:val="20"/>
          <w:szCs w:val="20"/>
        </w:rPr>
        <w:t>frugiperda</w:t>
      </w:r>
      <w:proofErr w:type="spellEnd"/>
      <w:r w:rsidRPr="00EC5920">
        <w:rPr>
          <w:rFonts w:ascii="Arial" w:hAnsi="Arial" w:cs="Arial"/>
          <w:bCs/>
          <w:sz w:val="20"/>
          <w:szCs w:val="20"/>
        </w:rPr>
        <w:t xml:space="preserve"> (Carneiro </w:t>
      </w:r>
      <w:r w:rsidRPr="00EC5920">
        <w:rPr>
          <w:rFonts w:ascii="Arial" w:hAnsi="Arial" w:cs="Arial"/>
          <w:bCs/>
          <w:i/>
          <w:iCs/>
          <w:sz w:val="20"/>
          <w:szCs w:val="20"/>
        </w:rPr>
        <w:t>et al.</w:t>
      </w:r>
      <w:r w:rsidRPr="00EC5920">
        <w:rPr>
          <w:rFonts w:ascii="Arial" w:hAnsi="Arial" w:cs="Arial"/>
          <w:bCs/>
          <w:sz w:val="20"/>
          <w:szCs w:val="20"/>
        </w:rPr>
        <w:t xml:space="preserve">, 2008; </w:t>
      </w:r>
      <w:r>
        <w:rPr>
          <w:rFonts w:ascii="Arial" w:hAnsi="Arial" w:cs="Arial"/>
          <w:bCs/>
          <w:sz w:val="20"/>
          <w:szCs w:val="20"/>
          <w:highlight w:val="yellow"/>
        </w:rPr>
        <w:t>García-G.</w:t>
      </w:r>
      <w:r>
        <w:rPr>
          <w:rFonts w:ascii="Arial" w:hAnsi="Arial" w:cs="Arial"/>
          <w:bCs/>
          <w:sz w:val="20"/>
          <w:szCs w:val="20"/>
        </w:rPr>
        <w:t xml:space="preserve"> </w:t>
      </w:r>
      <w:r w:rsidRPr="00EC5920">
        <w:rPr>
          <w:rFonts w:ascii="Arial" w:hAnsi="Arial" w:cs="Arial"/>
          <w:bCs/>
          <w:i/>
          <w:iCs/>
          <w:sz w:val="20"/>
          <w:szCs w:val="20"/>
        </w:rPr>
        <w:t>et al.</w:t>
      </w:r>
      <w:r w:rsidRPr="00EC5920">
        <w:rPr>
          <w:rFonts w:ascii="Arial" w:hAnsi="Arial" w:cs="Arial"/>
          <w:bCs/>
          <w:sz w:val="20"/>
          <w:szCs w:val="20"/>
        </w:rPr>
        <w:t xml:space="preserve">, 2011; </w:t>
      </w:r>
      <w:proofErr w:type="spellStart"/>
      <w:r w:rsidRPr="00EC5920">
        <w:rPr>
          <w:rFonts w:ascii="Arial" w:hAnsi="Arial" w:cs="Arial"/>
          <w:bCs/>
          <w:sz w:val="20"/>
          <w:szCs w:val="20"/>
        </w:rPr>
        <w:t>Thomazoni</w:t>
      </w:r>
      <w:proofErr w:type="spellEnd"/>
      <w:r w:rsidRPr="00EC5920">
        <w:rPr>
          <w:rFonts w:ascii="Arial" w:hAnsi="Arial" w:cs="Arial"/>
          <w:bCs/>
          <w:sz w:val="20"/>
          <w:szCs w:val="20"/>
        </w:rPr>
        <w:t xml:space="preserve"> </w:t>
      </w:r>
      <w:r w:rsidRPr="00EC5920">
        <w:rPr>
          <w:rFonts w:ascii="Arial" w:hAnsi="Arial" w:cs="Arial"/>
          <w:bCs/>
          <w:i/>
          <w:iCs/>
          <w:sz w:val="20"/>
          <w:szCs w:val="20"/>
        </w:rPr>
        <w:t>et al.</w:t>
      </w:r>
      <w:r w:rsidRPr="00EC5920">
        <w:rPr>
          <w:rFonts w:ascii="Arial" w:hAnsi="Arial" w:cs="Arial"/>
          <w:bCs/>
          <w:sz w:val="20"/>
          <w:szCs w:val="20"/>
        </w:rPr>
        <w:t xml:space="preserve">, 2014). Consequently, integrating compatible insecticides with </w:t>
      </w:r>
      <w:r w:rsidRPr="00EC5920">
        <w:rPr>
          <w:rFonts w:ascii="Arial" w:hAnsi="Arial" w:cs="Arial"/>
          <w:bCs/>
          <w:i/>
          <w:iCs/>
          <w:sz w:val="20"/>
          <w:szCs w:val="20"/>
        </w:rPr>
        <w:t>M. anisopliae</w:t>
      </w:r>
      <w:r w:rsidRPr="00EC5920">
        <w:rPr>
          <w:rFonts w:ascii="Arial" w:hAnsi="Arial" w:cs="Arial"/>
          <w:bCs/>
          <w:sz w:val="20"/>
          <w:szCs w:val="20"/>
        </w:rPr>
        <w:t xml:space="preserve"> has been proposed as a promising strategy to combine the rapid suppression provided by insecticides with the long-term biological activity of the fungus, thereby improving pest management while reducing dependence on synthetic insecticides.</w:t>
      </w:r>
      <w:r>
        <w:rPr>
          <w:rFonts w:ascii="Arial" w:hAnsi="Arial"/>
          <w:b/>
          <w:sz w:val="20"/>
          <w:highlight w:val="yellow"/>
        </w:rPr>
        <w:t xml:space="preserve"> Recent compatibility assays further showed that </w:t>
      </w:r>
      <w:proofErr w:type="spellStart"/>
      <w:r>
        <w:rPr>
          <w:rFonts w:ascii="Arial" w:hAnsi="Arial"/>
          <w:b/>
          <w:sz w:val="20"/>
          <w:highlight w:val="yellow"/>
        </w:rPr>
        <w:t>emamectin</w:t>
      </w:r>
      <w:proofErr w:type="spellEnd"/>
      <w:r>
        <w:rPr>
          <w:rFonts w:ascii="Arial" w:hAnsi="Arial"/>
          <w:b/>
          <w:sz w:val="20"/>
          <w:highlight w:val="yellow"/>
        </w:rPr>
        <w:t xml:space="preserve"> benzoate and the novaluron + </w:t>
      </w:r>
      <w:proofErr w:type="spellStart"/>
      <w:r>
        <w:rPr>
          <w:rFonts w:ascii="Arial" w:hAnsi="Arial"/>
          <w:b/>
          <w:sz w:val="20"/>
          <w:highlight w:val="yellow"/>
        </w:rPr>
        <w:t>emamectin</w:t>
      </w:r>
      <w:proofErr w:type="spellEnd"/>
      <w:r>
        <w:rPr>
          <w:rFonts w:ascii="Arial" w:hAnsi="Arial"/>
          <w:b/>
          <w:sz w:val="20"/>
          <w:highlight w:val="yellow"/>
        </w:rPr>
        <w:t xml:space="preserve"> benzoate premix caused relatively low inhibition of </w:t>
      </w:r>
      <w:r>
        <w:rPr>
          <w:rFonts w:ascii="Arial" w:hAnsi="Arial"/>
          <w:b/>
          <w:i/>
          <w:sz w:val="20"/>
          <w:highlight w:val="yellow"/>
        </w:rPr>
        <w:t>M. anisopliae</w:t>
      </w:r>
      <w:r>
        <w:rPr>
          <w:rFonts w:ascii="Arial" w:hAnsi="Arial"/>
          <w:b/>
          <w:sz w:val="20"/>
          <w:highlight w:val="yellow"/>
        </w:rPr>
        <w:t xml:space="preserve"> growth, supporting their consideration in fungus-insecticide integration (Sugeetha </w:t>
      </w:r>
      <w:r>
        <w:rPr>
          <w:rFonts w:ascii="Arial" w:hAnsi="Arial"/>
          <w:b/>
          <w:i/>
          <w:sz w:val="20"/>
          <w:highlight w:val="yellow"/>
        </w:rPr>
        <w:t>et al.</w:t>
      </w:r>
      <w:r>
        <w:rPr>
          <w:rFonts w:ascii="Arial" w:hAnsi="Arial"/>
          <w:b/>
          <w:sz w:val="20"/>
          <w:highlight w:val="yellow"/>
        </w:rPr>
        <w:t xml:space="preserve">, 2024). Experimental evidence has also reported synergistic activity between </w:t>
      </w:r>
      <w:proofErr w:type="spellStart"/>
      <w:r>
        <w:rPr>
          <w:rFonts w:ascii="Arial" w:hAnsi="Arial"/>
          <w:b/>
          <w:sz w:val="20"/>
          <w:highlight w:val="yellow"/>
        </w:rPr>
        <w:t>emamectin</w:t>
      </w:r>
      <w:proofErr w:type="spellEnd"/>
      <w:r>
        <w:rPr>
          <w:rFonts w:ascii="Arial" w:hAnsi="Arial"/>
          <w:b/>
          <w:sz w:val="20"/>
          <w:highlight w:val="yellow"/>
        </w:rPr>
        <w:t xml:space="preserve"> benzoate and </w:t>
      </w:r>
      <w:r>
        <w:rPr>
          <w:rFonts w:ascii="Arial" w:hAnsi="Arial"/>
          <w:b/>
          <w:i/>
          <w:sz w:val="20"/>
          <w:highlight w:val="yellow"/>
        </w:rPr>
        <w:t>M. anisopliae</w:t>
      </w:r>
      <w:r>
        <w:rPr>
          <w:rFonts w:ascii="Arial" w:hAnsi="Arial"/>
          <w:b/>
          <w:sz w:val="20"/>
          <w:highlight w:val="yellow"/>
        </w:rPr>
        <w:t xml:space="preserve"> against </w:t>
      </w:r>
      <w:r>
        <w:rPr>
          <w:rFonts w:ascii="Arial" w:hAnsi="Arial"/>
          <w:b/>
          <w:i/>
          <w:sz w:val="20"/>
          <w:highlight w:val="yellow"/>
        </w:rPr>
        <w:t xml:space="preserve">S. </w:t>
      </w:r>
      <w:proofErr w:type="spellStart"/>
      <w:r>
        <w:rPr>
          <w:rFonts w:ascii="Arial" w:hAnsi="Arial"/>
          <w:b/>
          <w:i/>
          <w:sz w:val="20"/>
          <w:highlight w:val="yellow"/>
        </w:rPr>
        <w:t>frugiperda</w:t>
      </w:r>
      <w:proofErr w:type="spellEnd"/>
      <w:r>
        <w:rPr>
          <w:rFonts w:ascii="Arial" w:hAnsi="Arial"/>
          <w:b/>
          <w:sz w:val="20"/>
          <w:highlight w:val="yellow"/>
        </w:rPr>
        <w:t xml:space="preserve"> larvae, while </w:t>
      </w:r>
      <w:proofErr w:type="spellStart"/>
      <w:r>
        <w:rPr>
          <w:rFonts w:ascii="Arial" w:hAnsi="Arial"/>
          <w:b/>
          <w:sz w:val="20"/>
          <w:highlight w:val="yellow"/>
        </w:rPr>
        <w:t>emphasising</w:t>
      </w:r>
      <w:proofErr w:type="spellEnd"/>
      <w:r>
        <w:rPr>
          <w:rFonts w:ascii="Arial" w:hAnsi="Arial"/>
          <w:b/>
          <w:sz w:val="20"/>
          <w:highlight w:val="yellow"/>
        </w:rPr>
        <w:t xml:space="preserve"> the need to translate laboratory responses into robust field validation (Cao </w:t>
      </w:r>
      <w:r>
        <w:rPr>
          <w:rFonts w:ascii="Arial" w:hAnsi="Arial"/>
          <w:b/>
          <w:i/>
          <w:sz w:val="20"/>
          <w:highlight w:val="yellow"/>
        </w:rPr>
        <w:t>et al.</w:t>
      </w:r>
      <w:r>
        <w:rPr>
          <w:rFonts w:ascii="Arial" w:hAnsi="Arial"/>
          <w:b/>
          <w:sz w:val="20"/>
          <w:highlight w:val="yellow"/>
        </w:rPr>
        <w:t xml:space="preserve">, 2025). A recent review of fall armyworm management in maize similarly </w:t>
      </w:r>
      <w:proofErr w:type="spellStart"/>
      <w:r>
        <w:rPr>
          <w:rFonts w:ascii="Arial" w:hAnsi="Arial"/>
          <w:b/>
          <w:sz w:val="20"/>
          <w:highlight w:val="yellow"/>
        </w:rPr>
        <w:t>emphasised</w:t>
      </w:r>
      <w:proofErr w:type="spellEnd"/>
      <w:r>
        <w:rPr>
          <w:rFonts w:ascii="Arial" w:hAnsi="Arial"/>
          <w:b/>
          <w:sz w:val="20"/>
          <w:highlight w:val="yellow"/>
        </w:rPr>
        <w:t xml:space="preserve"> microbial and other ecological approaches as components of broader IPM </w:t>
      </w:r>
      <w:proofErr w:type="spellStart"/>
      <w:r>
        <w:rPr>
          <w:rFonts w:ascii="Arial" w:hAnsi="Arial"/>
          <w:b/>
          <w:sz w:val="20"/>
          <w:highlight w:val="yellow"/>
        </w:rPr>
        <w:t>programmes</w:t>
      </w:r>
      <w:proofErr w:type="spellEnd"/>
      <w:r>
        <w:rPr>
          <w:rFonts w:ascii="Arial" w:hAnsi="Arial"/>
          <w:b/>
          <w:sz w:val="20"/>
          <w:highlight w:val="yellow"/>
        </w:rPr>
        <w:t xml:space="preserve"> rather than as isolated interventions (Murugan </w:t>
      </w:r>
      <w:r>
        <w:rPr>
          <w:rFonts w:ascii="Arial" w:hAnsi="Arial"/>
          <w:b/>
          <w:i/>
          <w:sz w:val="20"/>
          <w:highlight w:val="yellow"/>
        </w:rPr>
        <w:t>et al.</w:t>
      </w:r>
      <w:r>
        <w:rPr>
          <w:rFonts w:ascii="Arial" w:hAnsi="Arial"/>
          <w:b/>
          <w:sz w:val="20"/>
          <w:highlight w:val="yellow"/>
        </w:rPr>
        <w:t>, 2026).</w:t>
      </w:r>
    </w:p>
    <w:p w14:paraId="0D9E1462" w14:textId="77777777" w:rsidR="00076D94" w:rsidRPr="00EC5920" w:rsidRDefault="00076D94" w:rsidP="002E7D34">
      <w:pPr>
        <w:spacing w:before="120" w:after="120" w:line="240" w:lineRule="auto"/>
        <w:jc w:val="both"/>
        <w:rPr>
          <w:rFonts w:ascii="Arial" w:hAnsi="Arial" w:cs="Arial"/>
          <w:bCs/>
          <w:sz w:val="20"/>
          <w:szCs w:val="20"/>
        </w:rPr>
      </w:pPr>
      <w:r w:rsidRPr="00EC5920">
        <w:rPr>
          <w:rFonts w:ascii="Arial" w:hAnsi="Arial" w:cs="Arial"/>
          <w:bCs/>
          <w:sz w:val="20"/>
          <w:szCs w:val="20"/>
        </w:rPr>
        <w:t xml:space="preserve">Although several studies have investigated the efficacy of insecticides or entomopathogenic fungi against </w:t>
      </w:r>
      <w:r w:rsidRPr="00EC5920">
        <w:rPr>
          <w:rFonts w:ascii="Arial" w:hAnsi="Arial" w:cs="Arial"/>
          <w:bCs/>
          <w:i/>
          <w:iCs/>
          <w:sz w:val="20"/>
          <w:szCs w:val="20"/>
        </w:rPr>
        <w:t xml:space="preserve">S. </w:t>
      </w:r>
      <w:proofErr w:type="spellStart"/>
      <w:r w:rsidRPr="00EC5920">
        <w:rPr>
          <w:rFonts w:ascii="Arial" w:hAnsi="Arial" w:cs="Arial"/>
          <w:bCs/>
          <w:i/>
          <w:iCs/>
          <w:sz w:val="20"/>
          <w:szCs w:val="20"/>
        </w:rPr>
        <w:t>frugiperda</w:t>
      </w:r>
      <w:proofErr w:type="spellEnd"/>
      <w:r w:rsidRPr="00EC5920">
        <w:rPr>
          <w:rFonts w:ascii="Arial" w:hAnsi="Arial" w:cs="Arial"/>
          <w:bCs/>
          <w:sz w:val="20"/>
          <w:szCs w:val="20"/>
        </w:rPr>
        <w:t xml:space="preserve"> and a few have examined their compatibility under laboratory conditions, field validation of compatible insecticide and </w:t>
      </w:r>
      <w:r w:rsidRPr="00EC5920">
        <w:rPr>
          <w:rFonts w:ascii="Arial" w:hAnsi="Arial" w:cs="Arial"/>
          <w:bCs/>
          <w:i/>
          <w:iCs/>
          <w:sz w:val="20"/>
          <w:szCs w:val="20"/>
        </w:rPr>
        <w:t>M. anisopliae</w:t>
      </w:r>
      <w:r w:rsidRPr="00EC5920">
        <w:rPr>
          <w:rFonts w:ascii="Arial" w:hAnsi="Arial" w:cs="Arial"/>
          <w:bCs/>
          <w:sz w:val="20"/>
          <w:szCs w:val="20"/>
        </w:rPr>
        <w:t xml:space="preserve"> combinations under natural infestations remains limited, particularly under Indian </w:t>
      </w:r>
      <w:proofErr w:type="spellStart"/>
      <w:r w:rsidRPr="00EC5920">
        <w:rPr>
          <w:rFonts w:ascii="Arial" w:hAnsi="Arial" w:cs="Arial"/>
          <w:bCs/>
          <w:sz w:val="20"/>
          <w:szCs w:val="20"/>
        </w:rPr>
        <w:t>agro</w:t>
      </w:r>
      <w:proofErr w:type="spellEnd"/>
      <w:r w:rsidRPr="00EC5920">
        <w:rPr>
          <w:rFonts w:ascii="Arial" w:hAnsi="Arial" w:cs="Arial"/>
          <w:bCs/>
          <w:sz w:val="20"/>
          <w:szCs w:val="20"/>
        </w:rPr>
        <w:t xml:space="preserve">-climatic conditions. Furthermore, information on their effects on crop injury and yield under field conditions is insufficient to support practical integrated pest management (IPM) recommendations. In this context, the present study was undertaken to evaluate the field efficacy of selected insecticides applied individually and in combination with </w:t>
      </w:r>
      <w:r w:rsidRPr="00EC5920">
        <w:rPr>
          <w:rFonts w:ascii="Arial" w:hAnsi="Arial" w:cs="Arial"/>
          <w:bCs/>
          <w:i/>
          <w:iCs/>
          <w:sz w:val="20"/>
          <w:szCs w:val="20"/>
        </w:rPr>
        <w:t>M. anisopliae</w:t>
      </w:r>
      <w:r w:rsidRPr="00EC5920">
        <w:rPr>
          <w:rFonts w:ascii="Arial" w:hAnsi="Arial" w:cs="Arial"/>
          <w:bCs/>
          <w:sz w:val="20"/>
          <w:szCs w:val="20"/>
        </w:rPr>
        <w:t xml:space="preserve"> against </w:t>
      </w:r>
      <w:r w:rsidRPr="00EC5920">
        <w:rPr>
          <w:rFonts w:ascii="Arial" w:hAnsi="Arial" w:cs="Arial"/>
          <w:bCs/>
          <w:i/>
          <w:iCs/>
          <w:sz w:val="20"/>
          <w:szCs w:val="20"/>
        </w:rPr>
        <w:t xml:space="preserve">S. </w:t>
      </w:r>
      <w:proofErr w:type="spellStart"/>
      <w:r w:rsidRPr="00EC5920">
        <w:rPr>
          <w:rFonts w:ascii="Arial" w:hAnsi="Arial" w:cs="Arial"/>
          <w:bCs/>
          <w:i/>
          <w:iCs/>
          <w:sz w:val="20"/>
          <w:szCs w:val="20"/>
        </w:rPr>
        <w:t>frugiperda</w:t>
      </w:r>
      <w:proofErr w:type="spellEnd"/>
      <w:r w:rsidRPr="00EC5920">
        <w:rPr>
          <w:rFonts w:ascii="Arial" w:hAnsi="Arial" w:cs="Arial"/>
          <w:bCs/>
          <w:sz w:val="20"/>
          <w:szCs w:val="20"/>
        </w:rPr>
        <w:t xml:space="preserve"> in maize by assessing their effects on plant infestation, leaf damage, cob infestation, and cob yield.</w:t>
      </w:r>
    </w:p>
    <w:p w14:paraId="04809D7E" w14:textId="77777777" w:rsidR="00D17F7E" w:rsidRPr="00EC5920" w:rsidRDefault="00225ECB" w:rsidP="002E7D34">
      <w:pPr>
        <w:spacing w:before="120" w:after="120" w:line="240" w:lineRule="auto"/>
        <w:jc w:val="both"/>
        <w:rPr>
          <w:rFonts w:ascii="Arial" w:hAnsi="Arial" w:cs="Arial"/>
          <w:b/>
          <w:bCs/>
        </w:rPr>
      </w:pPr>
      <w:r w:rsidRPr="00EC5920">
        <w:rPr>
          <w:rFonts w:ascii="Arial" w:hAnsi="Arial" w:cs="Arial"/>
          <w:b/>
          <w:bCs/>
        </w:rPr>
        <w:t>2 MATERIALS AND METHODS</w:t>
      </w:r>
    </w:p>
    <w:p w14:paraId="55268C7D" w14:textId="77777777" w:rsidR="000C1CE4" w:rsidRPr="00EC5920" w:rsidRDefault="000C1CE4" w:rsidP="00ED6391">
      <w:pPr>
        <w:jc w:val="both"/>
        <w:rPr>
          <w:rFonts w:ascii="Arial" w:hAnsi="Arial" w:cs="Arial"/>
          <w:bCs/>
          <w:iCs/>
          <w:sz w:val="20"/>
          <w:szCs w:val="20"/>
          <w:lang w:val="en-IN"/>
        </w:rPr>
      </w:pPr>
      <w:r w:rsidRPr="00EC5920">
        <w:rPr>
          <w:rFonts w:ascii="Arial" w:hAnsi="Arial" w:cs="Arial"/>
          <w:bCs/>
          <w:iCs/>
          <w:sz w:val="20"/>
          <w:szCs w:val="20"/>
          <w:lang w:val="en-IN"/>
        </w:rPr>
        <w:t xml:space="preserve">A field experiment was conducted to evaluate the efficacy of selected insecticides applied individually and in combination with </w:t>
      </w:r>
      <w:r w:rsidRPr="00EC5920">
        <w:rPr>
          <w:rFonts w:ascii="Arial" w:hAnsi="Arial" w:cs="Arial"/>
          <w:bCs/>
          <w:i/>
          <w:iCs/>
          <w:sz w:val="20"/>
          <w:szCs w:val="20"/>
          <w:lang w:val="en-IN"/>
        </w:rPr>
        <w:t>Metarhizium anisopliae</w:t>
      </w:r>
      <w:r w:rsidRPr="00EC5920">
        <w:rPr>
          <w:rFonts w:ascii="Arial" w:hAnsi="Arial" w:cs="Arial"/>
          <w:bCs/>
          <w:iCs/>
          <w:sz w:val="20"/>
          <w:szCs w:val="20"/>
          <w:lang w:val="en-IN"/>
        </w:rPr>
        <w:t xml:space="preserve"> for the management of fall armyworm, </w:t>
      </w:r>
      <w:r w:rsidR="00ED6391" w:rsidRPr="00EC5920">
        <w:rPr>
          <w:rFonts w:ascii="Arial" w:hAnsi="Arial" w:cs="Arial"/>
          <w:bCs/>
          <w:i/>
          <w:iCs/>
          <w:sz w:val="20"/>
          <w:szCs w:val="20"/>
          <w:lang w:val="en-IN"/>
        </w:rPr>
        <w:t>S.</w:t>
      </w:r>
      <w:r w:rsidRPr="00EC5920">
        <w:rPr>
          <w:rFonts w:ascii="Arial" w:hAnsi="Arial" w:cs="Arial"/>
          <w:bCs/>
          <w:i/>
          <w:iCs/>
          <w:sz w:val="20"/>
          <w:szCs w:val="20"/>
          <w:lang w:val="en-IN"/>
        </w:rPr>
        <w:t xml:space="preserve"> </w:t>
      </w:r>
      <w:proofErr w:type="spellStart"/>
      <w:r w:rsidRPr="00EC5920">
        <w:rPr>
          <w:rFonts w:ascii="Arial" w:hAnsi="Arial" w:cs="Arial"/>
          <w:bCs/>
          <w:i/>
          <w:iCs/>
          <w:sz w:val="20"/>
          <w:szCs w:val="20"/>
          <w:lang w:val="en-IN"/>
        </w:rPr>
        <w:t>frugiperda</w:t>
      </w:r>
      <w:proofErr w:type="spellEnd"/>
      <w:r>
        <w:rPr>
          <w:rFonts w:ascii="Arial" w:hAnsi="Arial" w:cs="Arial"/>
          <w:bCs/>
          <w:iCs/>
          <w:sz w:val="20"/>
          <w:szCs w:val="20"/>
          <w:highlight w:val="yellow"/>
          <w:lang w:val="en-IN"/>
        </w:rPr>
        <w:t>, in sweet corn.</w:t>
      </w:r>
      <w:r>
        <w:rPr>
          <w:rFonts w:ascii="Arial" w:hAnsi="Arial" w:cs="Arial"/>
          <w:bCs/>
          <w:iCs/>
          <w:sz w:val="20"/>
          <w:szCs w:val="20"/>
          <w:lang w:val="en-IN"/>
        </w:rPr>
        <w:t xml:space="preserve"> The experiment was conducted during the </w:t>
      </w:r>
      <w:r w:rsidRPr="00EC5920">
        <w:rPr>
          <w:rFonts w:ascii="Arial" w:hAnsi="Arial" w:cs="Arial"/>
          <w:bCs/>
          <w:i/>
          <w:sz w:val="20"/>
          <w:szCs w:val="20"/>
          <w:lang w:val="en-IN"/>
        </w:rPr>
        <w:t>Rabi</w:t>
      </w:r>
      <w:r w:rsidRPr="00EC5920">
        <w:rPr>
          <w:rFonts w:ascii="Arial" w:hAnsi="Arial" w:cs="Arial"/>
          <w:bCs/>
          <w:iCs/>
          <w:sz w:val="20"/>
          <w:szCs w:val="20"/>
          <w:lang w:val="en-IN"/>
        </w:rPr>
        <w:t xml:space="preserve"> 2025–26 cropping season at two locations in South Gujarat, India, namely Navsari (20°55′40.41″ N, 72°54′11.96″ E) and Bardoli (21°07′43.61″ N, 73°05′43.11″ E). The crop was sown in November 2025 using the sweet corn variety </w:t>
      </w:r>
      <w:r w:rsidR="00ED6391" w:rsidRPr="00EC5920">
        <w:rPr>
          <w:rFonts w:ascii="Arial" w:hAnsi="Arial" w:cs="Arial"/>
          <w:bCs/>
          <w:iCs/>
          <w:sz w:val="20"/>
          <w:szCs w:val="20"/>
          <w:lang w:val="en-IN"/>
        </w:rPr>
        <w:t>‘</w:t>
      </w:r>
      <w:r w:rsidRPr="00EC5920">
        <w:rPr>
          <w:rFonts w:ascii="Arial" w:hAnsi="Arial" w:cs="Arial"/>
          <w:bCs/>
          <w:iCs/>
          <w:sz w:val="20"/>
          <w:szCs w:val="20"/>
          <w:lang w:val="en-IN"/>
        </w:rPr>
        <w:t>Sweet Glory</w:t>
      </w:r>
      <w:r w:rsidR="00ED6391" w:rsidRPr="00EC5920">
        <w:rPr>
          <w:rFonts w:ascii="Arial" w:hAnsi="Arial" w:cs="Arial"/>
          <w:bCs/>
          <w:iCs/>
          <w:sz w:val="20"/>
          <w:szCs w:val="20"/>
          <w:lang w:val="en-IN"/>
        </w:rPr>
        <w:t>’</w:t>
      </w:r>
      <w:r w:rsidRPr="00EC5920">
        <w:rPr>
          <w:rFonts w:ascii="Arial" w:hAnsi="Arial" w:cs="Arial"/>
          <w:bCs/>
          <w:iCs/>
          <w:sz w:val="20"/>
          <w:szCs w:val="20"/>
          <w:lang w:val="en-IN"/>
        </w:rPr>
        <w:t>.</w:t>
      </w:r>
    </w:p>
    <w:p w14:paraId="42E88D92" w14:textId="77777777" w:rsidR="000C1CE4" w:rsidRPr="00EC5920" w:rsidRDefault="000C1CE4" w:rsidP="00ED6391">
      <w:pPr>
        <w:jc w:val="both"/>
        <w:rPr>
          <w:rFonts w:ascii="Arial" w:hAnsi="Arial" w:cs="Arial"/>
          <w:bCs/>
          <w:iCs/>
          <w:sz w:val="20"/>
          <w:szCs w:val="20"/>
          <w:lang w:val="en-IN"/>
        </w:rPr>
      </w:pPr>
      <w:r w:rsidRPr="00EC5920">
        <w:rPr>
          <w:rFonts w:ascii="Arial" w:hAnsi="Arial" w:cs="Arial"/>
          <w:bCs/>
          <w:iCs/>
          <w:sz w:val="20"/>
          <w:szCs w:val="20"/>
          <w:lang w:val="en-IN"/>
        </w:rPr>
        <w:t xml:space="preserve">The experiment was laid out in a </w:t>
      </w:r>
      <w:r>
        <w:rPr>
          <w:rFonts w:ascii="Arial" w:hAnsi="Arial" w:cs="Arial"/>
          <w:bCs/>
          <w:iCs/>
          <w:sz w:val="20"/>
          <w:szCs w:val="20"/>
          <w:highlight w:val="yellow"/>
          <w:lang w:val="en-IN"/>
        </w:rPr>
        <w:t>Randomised</w:t>
      </w:r>
      <w:r>
        <w:rPr>
          <w:rFonts w:ascii="Arial" w:hAnsi="Arial" w:cs="Arial"/>
          <w:bCs/>
          <w:iCs/>
          <w:sz w:val="20"/>
          <w:szCs w:val="20"/>
          <w:lang w:val="en-IN"/>
        </w:rPr>
        <w:t xml:space="preserve"> Complete Block Design (RCBD) with three replications. Each treatment plot measured 3.6 × 4.0 m with a net plot size of 2.4 × 3.2 m used for recording observations. The crop was maintained at a spacing of 60 cm × 20 cm (row × plant). The details of the insecticides evaluated are presented in Table 1.</w:t>
      </w:r>
    </w:p>
    <w:p w14:paraId="6E8C0509" w14:textId="77777777" w:rsidR="00ED6391" w:rsidRPr="00EC5920" w:rsidRDefault="00ED6391" w:rsidP="00ED6391">
      <w:pPr>
        <w:spacing w:before="120" w:after="120" w:line="240" w:lineRule="auto"/>
        <w:jc w:val="both"/>
        <w:rPr>
          <w:rFonts w:ascii="Arial" w:hAnsi="Arial" w:cs="Arial"/>
          <w:bCs/>
          <w:iCs/>
          <w:sz w:val="20"/>
          <w:szCs w:val="20"/>
        </w:rPr>
      </w:pPr>
      <w:r w:rsidRPr="00EC5920">
        <w:rPr>
          <w:rFonts w:ascii="Arial" w:hAnsi="Arial" w:cs="Arial"/>
          <w:b/>
          <w:bCs/>
          <w:iCs/>
          <w:sz w:val="20"/>
          <w:szCs w:val="20"/>
        </w:rPr>
        <w:t xml:space="preserve">Table 1. Details of insecticides evaluated in the field against </w:t>
      </w:r>
      <w:r w:rsidRPr="00EC5920">
        <w:rPr>
          <w:rFonts w:ascii="Arial" w:hAnsi="Arial" w:cs="Arial"/>
          <w:b/>
          <w:bCs/>
          <w:i/>
          <w:iCs/>
          <w:sz w:val="20"/>
          <w:szCs w:val="20"/>
        </w:rPr>
        <w:t xml:space="preserve">S. </w:t>
      </w:r>
      <w:proofErr w:type="spellStart"/>
      <w:r w:rsidRPr="00EC5920">
        <w:rPr>
          <w:rFonts w:ascii="Arial" w:hAnsi="Arial" w:cs="Arial"/>
          <w:b/>
          <w:bCs/>
          <w:i/>
          <w:iCs/>
          <w:sz w:val="20"/>
          <w:szCs w:val="20"/>
        </w:rPr>
        <w:t>frugiperda</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3549"/>
        <w:gridCol w:w="1176"/>
        <w:gridCol w:w="828"/>
      </w:tblGrid>
      <w:tr w:rsidR="005016A8" w:rsidRPr="00EC5920" w14:paraId="2A4737BE" w14:textId="77777777" w:rsidTr="003E0E8B">
        <w:tc>
          <w:tcPr>
            <w:tcW w:w="0" w:type="auto"/>
            <w:tcBorders>
              <w:top w:val="single" w:sz="4" w:space="0" w:color="auto"/>
              <w:bottom w:val="single" w:sz="4" w:space="0" w:color="auto"/>
            </w:tcBorders>
            <w:vAlign w:val="center"/>
          </w:tcPr>
          <w:p w14:paraId="0CAA12CC" w14:textId="77777777" w:rsidR="005016A8" w:rsidRPr="00EC5920" w:rsidRDefault="005016A8" w:rsidP="00EF66DF">
            <w:pPr>
              <w:jc w:val="center"/>
              <w:rPr>
                <w:rFonts w:ascii="Arial" w:hAnsi="Arial" w:cs="Arial"/>
                <w:b/>
                <w:bCs/>
                <w:sz w:val="20"/>
                <w:szCs w:val="20"/>
              </w:rPr>
            </w:pPr>
            <w:r w:rsidRPr="00EC5920">
              <w:rPr>
                <w:rFonts w:ascii="Arial" w:hAnsi="Arial" w:cs="Arial"/>
                <w:b/>
                <w:bCs/>
                <w:sz w:val="20"/>
                <w:szCs w:val="20"/>
              </w:rPr>
              <w:t>Technical name</w:t>
            </w:r>
          </w:p>
        </w:tc>
        <w:tc>
          <w:tcPr>
            <w:tcW w:w="0" w:type="auto"/>
            <w:tcBorders>
              <w:top w:val="single" w:sz="4" w:space="0" w:color="auto"/>
              <w:bottom w:val="single" w:sz="4" w:space="0" w:color="auto"/>
            </w:tcBorders>
            <w:vAlign w:val="center"/>
          </w:tcPr>
          <w:p w14:paraId="739FDE91" w14:textId="77777777" w:rsidR="005016A8" w:rsidRPr="00EC5920" w:rsidRDefault="005016A8" w:rsidP="00EF66DF">
            <w:pPr>
              <w:jc w:val="center"/>
              <w:rPr>
                <w:rFonts w:ascii="Arial" w:hAnsi="Arial" w:cs="Arial"/>
                <w:b/>
                <w:bCs/>
                <w:sz w:val="20"/>
                <w:szCs w:val="20"/>
              </w:rPr>
            </w:pPr>
            <w:r w:rsidRPr="00EC5920">
              <w:rPr>
                <w:rFonts w:ascii="Arial" w:hAnsi="Arial" w:cs="Arial"/>
                <w:b/>
                <w:bCs/>
                <w:sz w:val="20"/>
                <w:szCs w:val="20"/>
              </w:rPr>
              <w:t>Chemical class</w:t>
            </w:r>
          </w:p>
        </w:tc>
        <w:tc>
          <w:tcPr>
            <w:tcW w:w="0" w:type="auto"/>
            <w:tcBorders>
              <w:top w:val="single" w:sz="4" w:space="0" w:color="auto"/>
              <w:bottom w:val="single" w:sz="4" w:space="0" w:color="auto"/>
            </w:tcBorders>
            <w:vAlign w:val="center"/>
          </w:tcPr>
          <w:p w14:paraId="572A654C" w14:textId="77777777" w:rsidR="005016A8" w:rsidRPr="00EC5920" w:rsidRDefault="005016A8" w:rsidP="00EF66DF">
            <w:pPr>
              <w:jc w:val="center"/>
              <w:rPr>
                <w:rFonts w:ascii="Arial" w:hAnsi="Arial" w:cs="Arial"/>
                <w:b/>
                <w:bCs/>
                <w:sz w:val="20"/>
                <w:szCs w:val="20"/>
              </w:rPr>
            </w:pPr>
            <w:r w:rsidRPr="00EC5920">
              <w:rPr>
                <w:rFonts w:ascii="Arial" w:hAnsi="Arial" w:cs="Arial"/>
                <w:b/>
                <w:bCs/>
                <w:sz w:val="20"/>
                <w:szCs w:val="20"/>
              </w:rPr>
              <w:t>IRAC Group</w:t>
            </w:r>
          </w:p>
        </w:tc>
        <w:tc>
          <w:tcPr>
            <w:tcW w:w="0" w:type="auto"/>
            <w:tcBorders>
              <w:top w:val="single" w:sz="4" w:space="0" w:color="auto"/>
              <w:bottom w:val="single" w:sz="4" w:space="0" w:color="auto"/>
            </w:tcBorders>
          </w:tcPr>
          <w:p w14:paraId="107D01EF" w14:textId="77777777" w:rsidR="005016A8" w:rsidRPr="00EC5920" w:rsidRDefault="005016A8" w:rsidP="00EF66DF">
            <w:pPr>
              <w:jc w:val="center"/>
              <w:rPr>
                <w:rFonts w:ascii="Arial" w:hAnsi="Arial" w:cs="Arial"/>
                <w:b/>
                <w:bCs/>
                <w:sz w:val="20"/>
                <w:szCs w:val="20"/>
              </w:rPr>
            </w:pPr>
            <w:r w:rsidRPr="00EC5920">
              <w:rPr>
                <w:rFonts w:ascii="Arial" w:hAnsi="Arial" w:cs="Arial"/>
                <w:b/>
                <w:bCs/>
                <w:sz w:val="20"/>
                <w:szCs w:val="20"/>
              </w:rPr>
              <w:t>Conc.</w:t>
            </w:r>
          </w:p>
          <w:p w14:paraId="26BFE1D4" w14:textId="77777777" w:rsidR="005016A8" w:rsidRPr="00EC5920" w:rsidRDefault="005016A8" w:rsidP="00EF66DF">
            <w:pPr>
              <w:jc w:val="center"/>
              <w:rPr>
                <w:rFonts w:ascii="Arial" w:hAnsi="Arial" w:cs="Arial"/>
                <w:b/>
                <w:bCs/>
                <w:sz w:val="20"/>
                <w:szCs w:val="20"/>
              </w:rPr>
            </w:pPr>
            <w:r w:rsidRPr="00EC5920">
              <w:rPr>
                <w:rFonts w:ascii="Arial" w:hAnsi="Arial" w:cs="Arial"/>
                <w:b/>
                <w:bCs/>
                <w:sz w:val="20"/>
                <w:szCs w:val="20"/>
              </w:rPr>
              <w:t>(%)</w:t>
            </w:r>
          </w:p>
        </w:tc>
      </w:tr>
      <w:tr w:rsidR="005016A8" w:rsidRPr="00EC5920" w14:paraId="2230D9D9" w14:textId="77777777" w:rsidTr="003E0E8B">
        <w:tc>
          <w:tcPr>
            <w:tcW w:w="0" w:type="auto"/>
            <w:tcBorders>
              <w:top w:val="single" w:sz="4" w:space="0" w:color="auto"/>
            </w:tcBorders>
            <w:vAlign w:val="center"/>
          </w:tcPr>
          <w:p w14:paraId="09323092" w14:textId="77777777" w:rsidR="005016A8" w:rsidRPr="00EC5920" w:rsidRDefault="005016A8" w:rsidP="00EF66DF">
            <w:pPr>
              <w:rPr>
                <w:rFonts w:ascii="Arial" w:hAnsi="Arial" w:cs="Arial"/>
                <w:sz w:val="20"/>
                <w:szCs w:val="20"/>
              </w:rPr>
            </w:pPr>
            <w:r w:rsidRPr="00EC5920">
              <w:rPr>
                <w:rFonts w:ascii="Arial" w:hAnsi="Arial" w:cs="Arial"/>
                <w:sz w:val="20"/>
                <w:szCs w:val="20"/>
              </w:rPr>
              <w:t xml:space="preserve">Novaluron 5.25 + </w:t>
            </w:r>
            <w:proofErr w:type="spellStart"/>
            <w:r w:rsidRPr="00EC5920">
              <w:rPr>
                <w:rFonts w:ascii="Arial" w:hAnsi="Arial" w:cs="Arial"/>
                <w:sz w:val="20"/>
                <w:szCs w:val="20"/>
              </w:rPr>
              <w:t>emamectin</w:t>
            </w:r>
            <w:proofErr w:type="spellEnd"/>
            <w:r w:rsidRPr="00EC5920">
              <w:rPr>
                <w:rFonts w:ascii="Arial" w:hAnsi="Arial" w:cs="Arial"/>
                <w:sz w:val="20"/>
                <w:szCs w:val="20"/>
              </w:rPr>
              <w:t xml:space="preserve"> benzoate 0.9 SC</w:t>
            </w:r>
          </w:p>
        </w:tc>
        <w:tc>
          <w:tcPr>
            <w:tcW w:w="0" w:type="auto"/>
            <w:tcBorders>
              <w:top w:val="single" w:sz="4" w:space="0" w:color="auto"/>
            </w:tcBorders>
            <w:vAlign w:val="center"/>
          </w:tcPr>
          <w:p w14:paraId="657DFB85" w14:textId="77777777" w:rsidR="005016A8" w:rsidRPr="00EC5920" w:rsidRDefault="005016A8" w:rsidP="00EF66DF">
            <w:pPr>
              <w:jc w:val="center"/>
              <w:rPr>
                <w:rFonts w:ascii="Arial" w:hAnsi="Arial" w:cs="Arial"/>
                <w:sz w:val="20"/>
                <w:szCs w:val="20"/>
              </w:rPr>
            </w:pPr>
            <w:r w:rsidRPr="00EC5920">
              <w:rPr>
                <w:rFonts w:ascii="Arial" w:hAnsi="Arial" w:cs="Arial"/>
                <w:bCs/>
                <w:sz w:val="20"/>
                <w:szCs w:val="20"/>
              </w:rPr>
              <w:t>Benzoylurea insect growth regulator</w:t>
            </w:r>
            <w:r w:rsidRPr="00EC5920">
              <w:rPr>
                <w:rFonts w:ascii="Arial" w:hAnsi="Arial" w:cs="Arial"/>
                <w:sz w:val="20"/>
                <w:szCs w:val="20"/>
              </w:rPr>
              <w:t xml:space="preserve"> + </w:t>
            </w:r>
            <w:proofErr w:type="spellStart"/>
            <w:r w:rsidRPr="00EC5920">
              <w:rPr>
                <w:rFonts w:ascii="Arial" w:hAnsi="Arial" w:cs="Arial"/>
                <w:bCs/>
                <w:sz w:val="20"/>
                <w:szCs w:val="20"/>
              </w:rPr>
              <w:t>Avermectin</w:t>
            </w:r>
            <w:proofErr w:type="spellEnd"/>
          </w:p>
        </w:tc>
        <w:tc>
          <w:tcPr>
            <w:tcW w:w="0" w:type="auto"/>
            <w:tcBorders>
              <w:top w:val="single" w:sz="4" w:space="0" w:color="auto"/>
            </w:tcBorders>
            <w:vAlign w:val="center"/>
          </w:tcPr>
          <w:p w14:paraId="2D271D25" w14:textId="77777777" w:rsidR="005016A8" w:rsidRPr="00EC5920" w:rsidRDefault="005016A8" w:rsidP="00EF66DF">
            <w:pPr>
              <w:jc w:val="center"/>
              <w:rPr>
                <w:rFonts w:ascii="Arial" w:hAnsi="Arial" w:cs="Arial"/>
                <w:sz w:val="20"/>
                <w:szCs w:val="20"/>
              </w:rPr>
            </w:pPr>
            <w:r w:rsidRPr="00EC5920">
              <w:rPr>
                <w:rFonts w:ascii="Arial" w:hAnsi="Arial" w:cs="Arial"/>
                <w:sz w:val="20"/>
                <w:szCs w:val="20"/>
              </w:rPr>
              <w:t>15 + 6</w:t>
            </w:r>
          </w:p>
        </w:tc>
        <w:tc>
          <w:tcPr>
            <w:tcW w:w="0" w:type="auto"/>
            <w:tcBorders>
              <w:top w:val="single" w:sz="4" w:space="0" w:color="auto"/>
            </w:tcBorders>
            <w:vAlign w:val="center"/>
          </w:tcPr>
          <w:p w14:paraId="5095E9A2" w14:textId="77777777" w:rsidR="005016A8" w:rsidRPr="00EC5920" w:rsidRDefault="005016A8" w:rsidP="00EF66DF">
            <w:pPr>
              <w:jc w:val="center"/>
              <w:rPr>
                <w:rFonts w:ascii="Arial" w:hAnsi="Arial" w:cs="Arial"/>
                <w:sz w:val="20"/>
                <w:szCs w:val="20"/>
              </w:rPr>
            </w:pPr>
            <w:r w:rsidRPr="00EC5920">
              <w:rPr>
                <w:rFonts w:ascii="Arial" w:hAnsi="Arial" w:cs="Arial"/>
                <w:sz w:val="20"/>
                <w:szCs w:val="20"/>
              </w:rPr>
              <w:t>0.0027</w:t>
            </w:r>
          </w:p>
        </w:tc>
      </w:tr>
      <w:tr w:rsidR="005016A8" w:rsidRPr="00EC5920" w14:paraId="387343B4" w14:textId="77777777" w:rsidTr="003E0E8B">
        <w:tc>
          <w:tcPr>
            <w:tcW w:w="0" w:type="auto"/>
            <w:tcBorders>
              <w:bottom w:val="single" w:sz="4" w:space="0" w:color="auto"/>
            </w:tcBorders>
            <w:vAlign w:val="center"/>
          </w:tcPr>
          <w:p w14:paraId="4722262F" w14:textId="77777777" w:rsidR="005016A8" w:rsidRPr="00EC5920" w:rsidRDefault="005016A8" w:rsidP="00EF66DF">
            <w:pPr>
              <w:rPr>
                <w:rFonts w:ascii="Arial" w:hAnsi="Arial" w:cs="Arial"/>
                <w:sz w:val="20"/>
                <w:szCs w:val="20"/>
              </w:rPr>
            </w:pPr>
            <w:r w:rsidRPr="00EC5920">
              <w:rPr>
                <w:rFonts w:ascii="Arial" w:hAnsi="Arial" w:cs="Arial"/>
                <w:sz w:val="20"/>
                <w:szCs w:val="20"/>
              </w:rPr>
              <w:t>Thiamethoxam 12.60 + lambda-</w:t>
            </w:r>
            <w:r w:rsidRPr="00EC5920">
              <w:rPr>
                <w:rFonts w:ascii="Arial" w:hAnsi="Arial" w:cs="Arial"/>
                <w:sz w:val="20"/>
                <w:szCs w:val="20"/>
              </w:rPr>
              <w:lastRenderedPageBreak/>
              <w:t>cyhalothrin 9.50 SC</w:t>
            </w:r>
          </w:p>
        </w:tc>
        <w:tc>
          <w:tcPr>
            <w:tcW w:w="0" w:type="auto"/>
            <w:tcBorders>
              <w:bottom w:val="single" w:sz="4" w:space="0" w:color="auto"/>
            </w:tcBorders>
            <w:vAlign w:val="center"/>
          </w:tcPr>
          <w:p w14:paraId="041FB670" w14:textId="77777777" w:rsidR="005016A8" w:rsidRPr="00EC5920" w:rsidRDefault="005016A8" w:rsidP="00EF66DF">
            <w:pPr>
              <w:jc w:val="center"/>
              <w:rPr>
                <w:rFonts w:ascii="Arial" w:hAnsi="Arial" w:cs="Arial"/>
                <w:sz w:val="20"/>
                <w:szCs w:val="20"/>
              </w:rPr>
            </w:pPr>
            <w:r w:rsidRPr="00EC5920">
              <w:rPr>
                <w:rFonts w:ascii="Arial" w:hAnsi="Arial" w:cs="Arial"/>
                <w:bCs/>
                <w:sz w:val="20"/>
                <w:szCs w:val="20"/>
              </w:rPr>
              <w:lastRenderedPageBreak/>
              <w:t xml:space="preserve">Neonicotinoid </w:t>
            </w:r>
            <w:r w:rsidRPr="00EC5920">
              <w:rPr>
                <w:rFonts w:ascii="Arial" w:hAnsi="Arial" w:cs="Arial"/>
                <w:sz w:val="20"/>
                <w:szCs w:val="20"/>
              </w:rPr>
              <w:t xml:space="preserve">+ </w:t>
            </w:r>
            <w:r w:rsidRPr="00EC5920">
              <w:rPr>
                <w:rFonts w:ascii="Arial" w:hAnsi="Arial" w:cs="Arial"/>
                <w:bCs/>
                <w:sz w:val="20"/>
                <w:szCs w:val="20"/>
              </w:rPr>
              <w:t>Pyrethroid</w:t>
            </w:r>
          </w:p>
        </w:tc>
        <w:tc>
          <w:tcPr>
            <w:tcW w:w="0" w:type="auto"/>
            <w:tcBorders>
              <w:bottom w:val="single" w:sz="4" w:space="0" w:color="auto"/>
            </w:tcBorders>
            <w:vAlign w:val="center"/>
          </w:tcPr>
          <w:p w14:paraId="4FA6A69A" w14:textId="77777777" w:rsidR="005016A8" w:rsidRPr="00EC5920" w:rsidRDefault="005016A8" w:rsidP="00EF66DF">
            <w:pPr>
              <w:jc w:val="center"/>
              <w:rPr>
                <w:rFonts w:ascii="Arial" w:hAnsi="Arial" w:cs="Arial"/>
                <w:sz w:val="20"/>
                <w:szCs w:val="20"/>
              </w:rPr>
            </w:pPr>
            <w:r w:rsidRPr="00EC5920">
              <w:rPr>
                <w:rFonts w:ascii="Arial" w:hAnsi="Arial" w:cs="Arial"/>
                <w:sz w:val="20"/>
                <w:szCs w:val="20"/>
              </w:rPr>
              <w:t>4A + 3A</w:t>
            </w:r>
          </w:p>
        </w:tc>
        <w:tc>
          <w:tcPr>
            <w:tcW w:w="0" w:type="auto"/>
            <w:tcBorders>
              <w:bottom w:val="single" w:sz="4" w:space="0" w:color="auto"/>
            </w:tcBorders>
            <w:vAlign w:val="center"/>
          </w:tcPr>
          <w:p w14:paraId="47523976" w14:textId="77777777" w:rsidR="005016A8" w:rsidRPr="00EC5920" w:rsidRDefault="005016A8" w:rsidP="00EF66DF">
            <w:pPr>
              <w:jc w:val="center"/>
              <w:rPr>
                <w:rFonts w:ascii="Arial" w:hAnsi="Arial" w:cs="Arial"/>
                <w:sz w:val="20"/>
                <w:szCs w:val="20"/>
              </w:rPr>
            </w:pPr>
            <w:r w:rsidRPr="00EC5920">
              <w:rPr>
                <w:rFonts w:ascii="Arial" w:hAnsi="Arial" w:cs="Arial"/>
                <w:sz w:val="20"/>
                <w:szCs w:val="20"/>
              </w:rPr>
              <w:t>0.0055</w:t>
            </w:r>
          </w:p>
        </w:tc>
      </w:tr>
    </w:tbl>
    <w:p w14:paraId="38F91015" w14:textId="77777777" w:rsidR="00AD27C6" w:rsidRPr="00EC5920" w:rsidRDefault="00AD27C6" w:rsidP="00ED6391">
      <w:pPr>
        <w:jc w:val="both"/>
        <w:rPr>
          <w:rFonts w:ascii="Arial" w:hAnsi="Arial" w:cs="Arial"/>
          <w:bCs/>
          <w:i/>
          <w:iCs/>
          <w:sz w:val="20"/>
          <w:szCs w:val="20"/>
          <w:lang w:val="en-IN"/>
        </w:rPr>
      </w:pPr>
    </w:p>
    <w:p w14:paraId="45EAB83D" w14:textId="77777777" w:rsidR="000C1CE4" w:rsidRPr="00EC5920" w:rsidRDefault="00ED6391" w:rsidP="00ED6391">
      <w:pPr>
        <w:jc w:val="both"/>
        <w:rPr>
          <w:rFonts w:ascii="Arial" w:hAnsi="Arial" w:cs="Arial"/>
          <w:bCs/>
          <w:iCs/>
          <w:sz w:val="20"/>
          <w:szCs w:val="20"/>
          <w:lang w:val="en-IN"/>
        </w:rPr>
      </w:pPr>
      <w:r w:rsidRPr="00EC5920">
        <w:rPr>
          <w:rFonts w:ascii="Arial" w:hAnsi="Arial" w:cs="Arial"/>
          <w:bCs/>
          <w:i/>
          <w:iCs/>
          <w:sz w:val="20"/>
          <w:szCs w:val="20"/>
          <w:lang w:val="en-IN"/>
        </w:rPr>
        <w:t>M.</w:t>
      </w:r>
      <w:r w:rsidR="000C1CE4" w:rsidRPr="00EC5920">
        <w:rPr>
          <w:rFonts w:ascii="Arial" w:hAnsi="Arial" w:cs="Arial"/>
          <w:bCs/>
          <w:i/>
          <w:iCs/>
          <w:sz w:val="20"/>
          <w:szCs w:val="20"/>
          <w:lang w:val="en-IN"/>
        </w:rPr>
        <w:t xml:space="preserve"> anisopliae</w:t>
      </w:r>
      <w:r w:rsidR="000C1CE4" w:rsidRPr="00EC5920">
        <w:rPr>
          <w:rFonts w:ascii="Arial" w:hAnsi="Arial" w:cs="Arial"/>
          <w:bCs/>
          <w:iCs/>
          <w:sz w:val="20"/>
          <w:szCs w:val="20"/>
          <w:lang w:val="en-IN"/>
        </w:rPr>
        <w:t xml:space="preserve"> 1.15 WP (1 × 10⁸ CFU g</w:t>
      </w:r>
      <w:r w:rsidR="000C1CE4" w:rsidRPr="00EC5920">
        <w:rPr>
          <w:rFonts w:ascii="Cambria Math" w:hAnsi="Cambria Math" w:cs="Cambria Math"/>
          <w:bCs/>
          <w:iCs/>
          <w:sz w:val="20"/>
          <w:szCs w:val="20"/>
          <w:lang w:val="en-IN"/>
        </w:rPr>
        <w:t>⁻</w:t>
      </w:r>
      <w:r w:rsidR="000C1CE4" w:rsidRPr="00EC5920">
        <w:rPr>
          <w:rFonts w:ascii="Arial" w:hAnsi="Arial" w:cs="Arial"/>
          <w:bCs/>
          <w:iCs/>
          <w:sz w:val="20"/>
          <w:szCs w:val="20"/>
          <w:lang w:val="en-IN"/>
        </w:rPr>
        <w:t xml:space="preserve">¹; NAU strain) was applied at 0.007% either alone or in combination with the respective insecticides. Treatments were applied as foliar sprays using a battery-operated knapsack sprayer calibrated to ensure uniform coverage of the maize whorl and foliage. The first spray was applied at the onset of </w:t>
      </w:r>
      <w:r w:rsidR="000C1CE4" w:rsidRPr="00EC5920">
        <w:rPr>
          <w:rFonts w:ascii="Arial" w:hAnsi="Arial" w:cs="Arial"/>
          <w:bCs/>
          <w:i/>
          <w:iCs/>
          <w:sz w:val="20"/>
          <w:szCs w:val="20"/>
          <w:lang w:val="en-IN"/>
        </w:rPr>
        <w:t xml:space="preserve">S. </w:t>
      </w:r>
      <w:proofErr w:type="spellStart"/>
      <w:r w:rsidR="000C1CE4" w:rsidRPr="00EC5920">
        <w:rPr>
          <w:rFonts w:ascii="Arial" w:hAnsi="Arial" w:cs="Arial"/>
          <w:bCs/>
          <w:i/>
          <w:iCs/>
          <w:sz w:val="20"/>
          <w:szCs w:val="20"/>
          <w:lang w:val="en-IN"/>
        </w:rPr>
        <w:t>frugiperda</w:t>
      </w:r>
      <w:proofErr w:type="spellEnd"/>
      <w:r w:rsidR="000C1CE4" w:rsidRPr="00EC5920">
        <w:rPr>
          <w:rFonts w:ascii="Arial" w:hAnsi="Arial" w:cs="Arial"/>
          <w:bCs/>
          <w:iCs/>
          <w:sz w:val="20"/>
          <w:szCs w:val="20"/>
          <w:lang w:val="en-IN"/>
        </w:rPr>
        <w:t xml:space="preserve"> infestation, followed by a second application 15 days later. All treatments were applied using the recommended spray volume, and care was taken to avoid spray drift between adjacent plots.</w:t>
      </w:r>
    </w:p>
    <w:p w14:paraId="58AAE85B" w14:textId="77777777" w:rsidR="000C1CE4" w:rsidRPr="00EC5920" w:rsidRDefault="000C1CE4" w:rsidP="00ED6391">
      <w:pPr>
        <w:jc w:val="both"/>
        <w:rPr>
          <w:rFonts w:ascii="Arial" w:hAnsi="Arial" w:cs="Arial"/>
          <w:bCs/>
          <w:iCs/>
          <w:sz w:val="20"/>
          <w:szCs w:val="20"/>
          <w:lang w:val="en-IN"/>
        </w:rPr>
      </w:pPr>
      <w:r w:rsidRPr="00EC5920">
        <w:rPr>
          <w:rFonts w:ascii="Arial" w:hAnsi="Arial" w:cs="Arial"/>
          <w:bCs/>
          <w:iCs/>
          <w:sz w:val="20"/>
          <w:szCs w:val="20"/>
          <w:lang w:val="en-IN"/>
        </w:rPr>
        <w:t xml:space="preserve">Per cent plant infestation was assessed by recording the number of infested and healthy plants in each net plot. Since leaf damage caused by </w:t>
      </w:r>
      <w:r w:rsidRPr="00EC5920">
        <w:rPr>
          <w:rFonts w:ascii="Arial" w:hAnsi="Arial" w:cs="Arial"/>
          <w:bCs/>
          <w:i/>
          <w:iCs/>
          <w:sz w:val="20"/>
          <w:szCs w:val="20"/>
          <w:lang w:val="en-IN"/>
        </w:rPr>
        <w:t xml:space="preserve">S. </w:t>
      </w:r>
      <w:proofErr w:type="spellStart"/>
      <w:r w:rsidRPr="00EC5920">
        <w:rPr>
          <w:rFonts w:ascii="Arial" w:hAnsi="Arial" w:cs="Arial"/>
          <w:bCs/>
          <w:i/>
          <w:iCs/>
          <w:sz w:val="20"/>
          <w:szCs w:val="20"/>
          <w:lang w:val="en-IN"/>
        </w:rPr>
        <w:t>frugiperda</w:t>
      </w:r>
      <w:proofErr w:type="spellEnd"/>
      <w:r w:rsidRPr="00EC5920">
        <w:rPr>
          <w:rFonts w:ascii="Arial" w:hAnsi="Arial" w:cs="Arial"/>
          <w:bCs/>
          <w:iCs/>
          <w:sz w:val="20"/>
          <w:szCs w:val="20"/>
          <w:lang w:val="en-IN"/>
        </w:rPr>
        <w:t xml:space="preserve"> larvae is irreversible, observations were recorded on the newly emerging whorls to obtain an accurate assessment of fresh infestation following each spray. Leaf damage was assessed using the 0–9 visual damage rating </w:t>
      </w:r>
      <w:r w:rsidR="00F73706" w:rsidRPr="00EC5920">
        <w:rPr>
          <w:rFonts w:ascii="Arial" w:hAnsi="Arial" w:cs="Arial"/>
          <w:bCs/>
          <w:iCs/>
          <w:sz w:val="20"/>
          <w:szCs w:val="20"/>
          <w:lang w:val="en-IN"/>
        </w:rPr>
        <w:t xml:space="preserve">score </w:t>
      </w:r>
      <w:r w:rsidRPr="00EC5920">
        <w:rPr>
          <w:rFonts w:ascii="Arial" w:hAnsi="Arial" w:cs="Arial"/>
          <w:bCs/>
          <w:iCs/>
          <w:sz w:val="20"/>
          <w:szCs w:val="20"/>
          <w:lang w:val="en-IN"/>
        </w:rPr>
        <w:t xml:space="preserve">developed by Davis </w:t>
      </w:r>
      <w:r w:rsidRPr="00EC5920">
        <w:rPr>
          <w:rFonts w:ascii="Arial" w:hAnsi="Arial" w:cs="Arial"/>
          <w:bCs/>
          <w:i/>
          <w:iCs/>
          <w:sz w:val="20"/>
          <w:szCs w:val="20"/>
          <w:lang w:val="en-IN"/>
        </w:rPr>
        <w:t>et al.</w:t>
      </w:r>
      <w:r w:rsidRPr="00EC5920">
        <w:rPr>
          <w:rFonts w:ascii="Arial" w:hAnsi="Arial" w:cs="Arial"/>
          <w:bCs/>
          <w:iCs/>
          <w:sz w:val="20"/>
          <w:szCs w:val="20"/>
          <w:lang w:val="en-IN"/>
        </w:rPr>
        <w:t xml:space="preserve"> (1992) (Table 2).</w:t>
      </w:r>
    </w:p>
    <w:p w14:paraId="2FA0CFFD" w14:textId="77777777" w:rsidR="000C1CE4" w:rsidRPr="00EC5920" w:rsidRDefault="000C1CE4" w:rsidP="00ED6391">
      <w:pPr>
        <w:jc w:val="both"/>
        <w:rPr>
          <w:rFonts w:ascii="Arial" w:hAnsi="Arial" w:cs="Arial"/>
          <w:bCs/>
          <w:iCs/>
          <w:sz w:val="20"/>
          <w:szCs w:val="20"/>
          <w:lang w:val="en-IN"/>
        </w:rPr>
      </w:pPr>
      <w:r w:rsidRPr="00EC5920">
        <w:rPr>
          <w:rFonts w:ascii="Arial" w:hAnsi="Arial" w:cs="Arial"/>
          <w:bCs/>
          <w:iCs/>
          <w:sz w:val="20"/>
          <w:szCs w:val="20"/>
          <w:lang w:val="en-IN"/>
        </w:rPr>
        <w:t>Sweet corn cobs were harvested at marketable maturity, and the cumulative cob yield was calculated by summing the yield from all harvests. At each picking, healthy and infested cobs from each plot were counted to determine per cent cob infestation. Subsequently, the entire above-ground biomass from each plot was harvested to estimate fodder yield. Cob yield and fodder yield recorded on a plot basis (kg plot</w:t>
      </w:r>
      <w:r w:rsidRPr="00EC5920">
        <w:rPr>
          <w:rFonts w:ascii="Cambria Math" w:hAnsi="Cambria Math" w:cs="Cambria Math"/>
          <w:bCs/>
          <w:iCs/>
          <w:sz w:val="20"/>
          <w:szCs w:val="20"/>
          <w:lang w:val="en-IN"/>
        </w:rPr>
        <w:t>⁻</w:t>
      </w:r>
      <w:r w:rsidRPr="00EC5920">
        <w:rPr>
          <w:rFonts w:ascii="Arial" w:hAnsi="Arial" w:cs="Arial"/>
          <w:bCs/>
          <w:iCs/>
          <w:sz w:val="20"/>
          <w:szCs w:val="20"/>
          <w:lang w:val="en-IN"/>
        </w:rPr>
        <w:t>¹) were converted to tonnes per hectare (t ha</w:t>
      </w:r>
      <w:r w:rsidRPr="00EC5920">
        <w:rPr>
          <w:rFonts w:ascii="Cambria Math" w:hAnsi="Cambria Math" w:cs="Cambria Math"/>
          <w:bCs/>
          <w:iCs/>
          <w:sz w:val="20"/>
          <w:szCs w:val="20"/>
          <w:lang w:val="en-IN"/>
        </w:rPr>
        <w:t>⁻</w:t>
      </w:r>
      <w:r w:rsidRPr="00EC5920">
        <w:rPr>
          <w:rFonts w:ascii="Arial" w:hAnsi="Arial" w:cs="Arial"/>
          <w:bCs/>
          <w:iCs/>
          <w:sz w:val="20"/>
          <w:szCs w:val="20"/>
          <w:lang w:val="en-IN"/>
        </w:rPr>
        <w:t>¹). The per cent increase in cob yield over the untreated control was calculated as:</w:t>
      </w:r>
    </w:p>
    <w:p w14:paraId="4757EA16" w14:textId="77777777" w:rsidR="00ED6391" w:rsidRPr="00EC5920" w:rsidRDefault="00AB6CB3" w:rsidP="00ED6391">
      <w:pPr>
        <w:spacing w:before="120" w:after="120" w:line="240" w:lineRule="auto"/>
        <w:jc w:val="center"/>
        <w:rPr>
          <w:rFonts w:ascii="Arial" w:hAnsi="Arial" w:cs="Arial"/>
          <w:bCs/>
          <w:iCs/>
          <w:sz w:val="20"/>
          <w:szCs w:val="20"/>
        </w:rPr>
      </w:pPr>
      <m:oMathPara>
        <m:oMath>
          <m:r>
            <m:rPr>
              <m:sty m:val="p"/>
            </m:rPr>
            <w:rPr>
              <w:rFonts w:ascii="Cambria Math" w:hAnsi="Cambria Math" w:cs="Arial"/>
              <w:sz w:val="20"/>
              <w:szCs w:val="20"/>
            </w:rPr>
            <m:t xml:space="preserve">Per cent yield increase over control </m:t>
          </m:r>
          <m:r>
            <w:rPr>
              <w:rFonts w:ascii="Cambria Math" w:hAnsi="Cambria Math" w:cs="Arial"/>
              <w:sz w:val="20"/>
              <w:szCs w:val="20"/>
            </w:rPr>
            <m:t>=</m:t>
          </m:r>
          <m:d>
            <m:dPr>
              <m:begChr m:val="["/>
              <m:endChr m:val="]"/>
              <m:ctrlPr>
                <w:rPr>
                  <w:rFonts w:ascii="Cambria Math" w:hAnsi="Cambria Math" w:cs="Arial"/>
                  <w:bCs/>
                  <w:sz w:val="20"/>
                  <w:szCs w:val="20"/>
                </w:rPr>
              </m:ctrlPr>
            </m:dPr>
            <m:e>
              <m:f>
                <m:fPr>
                  <m:ctrlPr>
                    <w:rPr>
                      <w:rFonts w:ascii="Cambria Math" w:hAnsi="Cambria Math" w:cs="Arial"/>
                      <w:bCs/>
                      <w:sz w:val="20"/>
                      <w:szCs w:val="20"/>
                    </w:rPr>
                  </m:ctrlPr>
                </m:fPr>
                <m:num>
                  <m:r>
                    <m:rPr>
                      <m:sty m:val="p"/>
                    </m:rPr>
                    <w:rPr>
                      <w:rFonts w:ascii="Cambria Math" w:hAnsi="Cambria Math" w:cs="Arial"/>
                      <w:sz w:val="20"/>
                      <w:szCs w:val="20"/>
                    </w:rPr>
                    <m:t>T-C</m:t>
                  </m:r>
                </m:num>
                <m:den>
                  <m:r>
                    <m:rPr>
                      <m:sty m:val="p"/>
                    </m:rPr>
                    <w:rPr>
                      <w:rFonts w:ascii="Cambria Math" w:hAnsi="Cambria Math" w:cs="Arial"/>
                      <w:sz w:val="20"/>
                      <w:szCs w:val="20"/>
                    </w:rPr>
                    <m:t>C</m:t>
                  </m:r>
                </m:den>
              </m:f>
            </m:e>
          </m:d>
          <m:r>
            <w:rPr>
              <w:rFonts w:ascii="Cambria Math" w:hAnsi="Cambria Math" w:cs="Arial"/>
              <w:sz w:val="20"/>
              <w:szCs w:val="20"/>
            </w:rPr>
            <m:t xml:space="preserve"> × 100</m:t>
          </m:r>
        </m:oMath>
      </m:oMathPara>
    </w:p>
    <w:p w14:paraId="12BC2B48" w14:textId="77777777" w:rsidR="000C1CE4" w:rsidRPr="00EC5920" w:rsidRDefault="000C1CE4" w:rsidP="00ED6391">
      <w:pPr>
        <w:jc w:val="both"/>
        <w:rPr>
          <w:rFonts w:ascii="Arial" w:hAnsi="Arial" w:cs="Arial"/>
          <w:bCs/>
          <w:iCs/>
          <w:sz w:val="20"/>
          <w:szCs w:val="20"/>
          <w:lang w:val="en-IN"/>
        </w:rPr>
      </w:pPr>
      <w:r w:rsidRPr="00EC5920">
        <w:rPr>
          <w:rFonts w:ascii="Arial" w:hAnsi="Arial" w:cs="Arial"/>
          <w:bCs/>
          <w:iCs/>
          <w:sz w:val="20"/>
          <w:szCs w:val="20"/>
          <w:lang w:val="en-IN"/>
        </w:rPr>
        <w:t>where T is the cob yield of the treatment (kg ha</w:t>
      </w:r>
      <w:r w:rsidRPr="00EC5920">
        <w:rPr>
          <w:rFonts w:ascii="Cambria Math" w:hAnsi="Cambria Math" w:cs="Cambria Math"/>
          <w:bCs/>
          <w:iCs/>
          <w:sz w:val="20"/>
          <w:szCs w:val="20"/>
          <w:lang w:val="en-IN"/>
        </w:rPr>
        <w:t>⁻</w:t>
      </w:r>
      <w:r w:rsidRPr="00EC5920">
        <w:rPr>
          <w:rFonts w:ascii="Arial" w:hAnsi="Arial" w:cs="Arial"/>
          <w:bCs/>
          <w:iCs/>
          <w:sz w:val="20"/>
          <w:szCs w:val="20"/>
          <w:lang w:val="en-IN"/>
        </w:rPr>
        <w:t>¹) and C is the cob yield of the untreated control (kg ha</w:t>
      </w:r>
      <w:r w:rsidRPr="00EC5920">
        <w:rPr>
          <w:rFonts w:ascii="Cambria Math" w:hAnsi="Cambria Math" w:cs="Cambria Math"/>
          <w:bCs/>
          <w:iCs/>
          <w:sz w:val="20"/>
          <w:szCs w:val="20"/>
          <w:lang w:val="en-IN"/>
        </w:rPr>
        <w:t>⁻</w:t>
      </w:r>
      <w:r w:rsidRPr="00EC5920">
        <w:rPr>
          <w:rFonts w:ascii="Arial" w:hAnsi="Arial" w:cs="Arial"/>
          <w:bCs/>
          <w:iCs/>
          <w:sz w:val="20"/>
          <w:szCs w:val="20"/>
          <w:lang w:val="en-IN"/>
        </w:rPr>
        <w:t>¹).</w:t>
      </w:r>
    </w:p>
    <w:p w14:paraId="57D5221A" w14:textId="77777777" w:rsidR="000C1CE4" w:rsidRPr="00EC5920" w:rsidRDefault="000C1CE4" w:rsidP="00ED6391">
      <w:pPr>
        <w:jc w:val="both"/>
        <w:rPr>
          <w:rFonts w:ascii="Arial" w:hAnsi="Arial" w:cs="Arial"/>
          <w:bCs/>
          <w:iCs/>
          <w:sz w:val="20"/>
          <w:szCs w:val="20"/>
          <w:lang w:val="en-IN"/>
        </w:rPr>
      </w:pPr>
      <w:r w:rsidRPr="00EC5920">
        <w:rPr>
          <w:rFonts w:ascii="Arial" w:hAnsi="Arial" w:cs="Arial"/>
          <w:bCs/>
          <w:iCs/>
          <w:sz w:val="20"/>
          <w:szCs w:val="20"/>
          <w:lang w:val="en-IN"/>
        </w:rPr>
        <w:t xml:space="preserve">Leaf damage score data were subjected to </w:t>
      </w:r>
      <w:proofErr w:type="gramStart"/>
      <w:r w:rsidRPr="00EC5920">
        <w:rPr>
          <w:rFonts w:ascii="Arial" w:hAnsi="Arial" w:cs="Arial"/>
          <w:bCs/>
          <w:iCs/>
          <w:sz w:val="20"/>
          <w:szCs w:val="20"/>
          <w:lang w:val="en-IN"/>
        </w:rPr>
        <w:t>√(</w:t>
      </w:r>
      <w:proofErr w:type="gramEnd"/>
      <w:r w:rsidRPr="00EC5920">
        <w:rPr>
          <w:rFonts w:ascii="Arial" w:hAnsi="Arial" w:cs="Arial"/>
          <w:bCs/>
          <w:iCs/>
          <w:sz w:val="20"/>
          <w:szCs w:val="20"/>
          <w:lang w:val="en-IN"/>
        </w:rPr>
        <w:t>x + 0.5) transformation, whereas per cent plant infestation and per cent cob infestation data were subjected to arcsine transformation before statistical analysis. Data recorded over successive observation periods were analysed using a repeated-measures linear mixed-effects model fitted by restricted maximum likelihood (REML), with location, spray, treatment and observation period considered as fixed effects. Repeated observations on the same experimental plots were modelled using a first-order autoregressive [</w:t>
      </w:r>
      <w:proofErr w:type="gramStart"/>
      <w:r w:rsidRPr="00EC5920">
        <w:rPr>
          <w:rFonts w:ascii="Arial" w:hAnsi="Arial" w:cs="Arial"/>
          <w:bCs/>
          <w:iCs/>
          <w:sz w:val="20"/>
          <w:szCs w:val="20"/>
          <w:lang w:val="en-IN"/>
        </w:rPr>
        <w:t>AR(</w:t>
      </w:r>
      <w:proofErr w:type="gramEnd"/>
      <w:r w:rsidRPr="00EC5920">
        <w:rPr>
          <w:rFonts w:ascii="Arial" w:hAnsi="Arial" w:cs="Arial"/>
          <w:bCs/>
          <w:iCs/>
          <w:sz w:val="20"/>
          <w:szCs w:val="20"/>
          <w:lang w:val="en-IN"/>
        </w:rPr>
        <w:t xml:space="preserve">1)] covariance structure. Fixed effects were evaluated by analysis of variance (ANOVA), and model assumptions were assessed using residual diagnostic plots, the Shapiro–Wilk, Levene's and Bartlett's tests, and Cook's distance. Estimated marginal means were computed using the </w:t>
      </w:r>
      <w:proofErr w:type="spellStart"/>
      <w:r w:rsidRPr="00EC5920">
        <w:rPr>
          <w:rFonts w:ascii="Arial" w:hAnsi="Arial" w:cs="Arial"/>
          <w:bCs/>
          <w:iCs/>
          <w:sz w:val="20"/>
          <w:szCs w:val="20"/>
          <w:lang w:val="en-IN"/>
        </w:rPr>
        <w:t>emmeans</w:t>
      </w:r>
      <w:proofErr w:type="spellEnd"/>
      <w:r w:rsidRPr="00EC5920">
        <w:rPr>
          <w:rFonts w:ascii="Arial" w:hAnsi="Arial" w:cs="Arial"/>
          <w:bCs/>
          <w:iCs/>
          <w:sz w:val="20"/>
          <w:szCs w:val="20"/>
          <w:lang w:val="en-IN"/>
        </w:rPr>
        <w:t xml:space="preserve"> package, and treatment means were separated using Tukey's multiple comparison test at P &lt; 0.05. All statistical analyses were performed using R version 4.5.1 (R Foundation for Statistical Computing, Vienna, Austria) within the RStudio Integrated Development Environment (Posit Software, Boston, MA, USA).</w:t>
      </w:r>
    </w:p>
    <w:p w14:paraId="268A1B16" w14:textId="77777777" w:rsidR="00045F69" w:rsidRPr="00EC5920" w:rsidRDefault="00045F69" w:rsidP="002E7D34">
      <w:pPr>
        <w:spacing w:before="120" w:after="120" w:line="240" w:lineRule="auto"/>
        <w:jc w:val="both"/>
        <w:rPr>
          <w:rFonts w:ascii="Arial" w:hAnsi="Arial" w:cs="Arial"/>
          <w:bCs/>
          <w:sz w:val="20"/>
          <w:szCs w:val="20"/>
        </w:rPr>
      </w:pPr>
      <w:r w:rsidRPr="00EC5920">
        <w:rPr>
          <w:rFonts w:ascii="Arial" w:hAnsi="Arial" w:cs="Arial"/>
          <w:b/>
          <w:bCs/>
          <w:iCs/>
          <w:sz w:val="20"/>
          <w:szCs w:val="20"/>
        </w:rPr>
        <w:t>Table 2</w:t>
      </w:r>
      <w:r w:rsidR="00561C0E" w:rsidRPr="00EC5920">
        <w:rPr>
          <w:rFonts w:ascii="Arial" w:hAnsi="Arial" w:cs="Arial"/>
          <w:b/>
          <w:bCs/>
          <w:iCs/>
          <w:sz w:val="20"/>
          <w:szCs w:val="20"/>
        </w:rPr>
        <w:t>.</w:t>
      </w:r>
      <w:r w:rsidRPr="00EC5920">
        <w:rPr>
          <w:rFonts w:ascii="Arial" w:hAnsi="Arial" w:cs="Arial"/>
          <w:b/>
          <w:bCs/>
          <w:iCs/>
          <w:sz w:val="20"/>
          <w:szCs w:val="20"/>
        </w:rPr>
        <w:t xml:space="preserve"> Visual rating </w:t>
      </w:r>
      <w:r w:rsidR="00F73706" w:rsidRPr="00EC5920">
        <w:rPr>
          <w:rFonts w:ascii="Arial" w:hAnsi="Arial" w:cs="Arial"/>
          <w:b/>
          <w:bCs/>
          <w:iCs/>
          <w:sz w:val="20"/>
          <w:szCs w:val="20"/>
        </w:rPr>
        <w:t xml:space="preserve">scores </w:t>
      </w:r>
      <w:r w:rsidRPr="00EC5920">
        <w:rPr>
          <w:rFonts w:ascii="Arial" w:hAnsi="Arial" w:cs="Arial"/>
          <w:b/>
          <w:bCs/>
          <w:iCs/>
          <w:sz w:val="20"/>
          <w:szCs w:val="20"/>
        </w:rPr>
        <w:t>for leaf damage assessment</w:t>
      </w:r>
    </w:p>
    <w:tbl>
      <w:tblPr>
        <w:tblStyle w:val="TableGrid"/>
        <w:tblW w:w="4911"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
        <w:gridCol w:w="8265"/>
      </w:tblGrid>
      <w:tr w:rsidR="00076D94" w:rsidRPr="00EC5920" w14:paraId="0CF346E5" w14:textId="77777777" w:rsidTr="003E0E8B">
        <w:tc>
          <w:tcPr>
            <w:tcW w:w="448" w:type="pct"/>
            <w:tcBorders>
              <w:top w:val="single" w:sz="4" w:space="0" w:color="auto"/>
              <w:bottom w:val="single" w:sz="4" w:space="0" w:color="auto"/>
            </w:tcBorders>
            <w:vAlign w:val="center"/>
          </w:tcPr>
          <w:p w14:paraId="1B3DD417" w14:textId="77777777" w:rsidR="004818B7" w:rsidRPr="00EC5920" w:rsidRDefault="00F73706" w:rsidP="00561C0E">
            <w:pPr>
              <w:jc w:val="center"/>
              <w:rPr>
                <w:rFonts w:ascii="Arial" w:hAnsi="Arial" w:cs="Arial"/>
                <w:b/>
                <w:bCs/>
                <w:iCs/>
                <w:sz w:val="20"/>
                <w:szCs w:val="20"/>
                <w:lang w:bidi="gu-IN"/>
              </w:rPr>
            </w:pPr>
            <w:r w:rsidRPr="00EC5920">
              <w:rPr>
                <w:rFonts w:ascii="Arial" w:hAnsi="Arial" w:cs="Arial"/>
                <w:b/>
                <w:bCs/>
                <w:iCs/>
                <w:sz w:val="20"/>
                <w:szCs w:val="20"/>
                <w:lang w:bidi="gu-IN"/>
              </w:rPr>
              <w:t>Score</w:t>
            </w:r>
          </w:p>
        </w:tc>
        <w:tc>
          <w:tcPr>
            <w:tcW w:w="4552" w:type="pct"/>
            <w:tcBorders>
              <w:top w:val="single" w:sz="4" w:space="0" w:color="auto"/>
              <w:bottom w:val="single" w:sz="4" w:space="0" w:color="auto"/>
            </w:tcBorders>
            <w:vAlign w:val="center"/>
          </w:tcPr>
          <w:p w14:paraId="2DFE3991" w14:textId="77777777" w:rsidR="004818B7" w:rsidRPr="00EC5920" w:rsidRDefault="004818B7" w:rsidP="004B3EC7">
            <w:pPr>
              <w:jc w:val="both"/>
              <w:rPr>
                <w:rFonts w:ascii="Arial" w:hAnsi="Arial" w:cs="Arial"/>
                <w:b/>
                <w:bCs/>
                <w:iCs/>
                <w:sz w:val="20"/>
                <w:szCs w:val="20"/>
                <w:lang w:bidi="gu-IN"/>
              </w:rPr>
            </w:pPr>
            <w:r w:rsidRPr="00EC5920">
              <w:rPr>
                <w:rFonts w:ascii="Arial" w:hAnsi="Arial" w:cs="Arial"/>
                <w:b/>
                <w:bCs/>
                <w:iCs/>
                <w:sz w:val="20"/>
                <w:szCs w:val="20"/>
                <w:lang w:bidi="gu-IN"/>
              </w:rPr>
              <w:t>Damage</w:t>
            </w:r>
          </w:p>
        </w:tc>
      </w:tr>
      <w:tr w:rsidR="00076D94" w:rsidRPr="00EC5920" w14:paraId="7CB9D43A" w14:textId="77777777" w:rsidTr="003E0E8B">
        <w:tc>
          <w:tcPr>
            <w:tcW w:w="448" w:type="pct"/>
            <w:tcBorders>
              <w:top w:val="single" w:sz="4" w:space="0" w:color="auto"/>
            </w:tcBorders>
            <w:vAlign w:val="center"/>
          </w:tcPr>
          <w:p w14:paraId="6BF38326" w14:textId="77777777" w:rsidR="004818B7" w:rsidRPr="00EC5920" w:rsidRDefault="004818B7" w:rsidP="00561C0E">
            <w:pPr>
              <w:jc w:val="center"/>
              <w:rPr>
                <w:rFonts w:ascii="Arial" w:hAnsi="Arial" w:cs="Arial"/>
                <w:bCs/>
                <w:iCs/>
                <w:sz w:val="20"/>
                <w:szCs w:val="20"/>
                <w:lang w:bidi="gu-IN"/>
              </w:rPr>
            </w:pPr>
            <w:r w:rsidRPr="00EC5920">
              <w:rPr>
                <w:rFonts w:ascii="Arial" w:hAnsi="Arial" w:cs="Arial"/>
                <w:bCs/>
                <w:iCs/>
                <w:sz w:val="20"/>
                <w:szCs w:val="20"/>
                <w:lang w:bidi="gu-IN"/>
              </w:rPr>
              <w:t>0</w:t>
            </w:r>
          </w:p>
        </w:tc>
        <w:tc>
          <w:tcPr>
            <w:tcW w:w="4552" w:type="pct"/>
            <w:tcBorders>
              <w:top w:val="single" w:sz="4" w:space="0" w:color="auto"/>
            </w:tcBorders>
            <w:vAlign w:val="center"/>
          </w:tcPr>
          <w:p w14:paraId="77FB3F57" w14:textId="77777777" w:rsidR="004818B7" w:rsidRPr="00EC5920" w:rsidRDefault="004818B7" w:rsidP="004B3EC7">
            <w:pPr>
              <w:jc w:val="both"/>
              <w:rPr>
                <w:rFonts w:ascii="Arial" w:hAnsi="Arial" w:cs="Arial"/>
                <w:bCs/>
                <w:iCs/>
                <w:sz w:val="20"/>
                <w:szCs w:val="20"/>
                <w:lang w:bidi="gu-IN"/>
              </w:rPr>
            </w:pPr>
            <w:r w:rsidRPr="00EC5920">
              <w:rPr>
                <w:rFonts w:ascii="Arial" w:hAnsi="Arial" w:cs="Arial"/>
                <w:bCs/>
                <w:iCs/>
                <w:sz w:val="20"/>
                <w:szCs w:val="20"/>
                <w:lang w:bidi="gu-IN"/>
              </w:rPr>
              <w:t>No visible leaf damage</w:t>
            </w:r>
          </w:p>
        </w:tc>
      </w:tr>
      <w:tr w:rsidR="00076D94" w:rsidRPr="00EC5920" w14:paraId="1DF01AE7" w14:textId="77777777" w:rsidTr="003E0E8B">
        <w:tc>
          <w:tcPr>
            <w:tcW w:w="448" w:type="pct"/>
            <w:vAlign w:val="center"/>
          </w:tcPr>
          <w:p w14:paraId="000FBD5E" w14:textId="77777777" w:rsidR="004818B7" w:rsidRPr="00EC5920" w:rsidRDefault="004818B7" w:rsidP="00561C0E">
            <w:pPr>
              <w:jc w:val="center"/>
              <w:rPr>
                <w:rFonts w:ascii="Arial" w:hAnsi="Arial" w:cs="Arial"/>
                <w:bCs/>
                <w:iCs/>
                <w:sz w:val="20"/>
                <w:szCs w:val="20"/>
                <w:lang w:bidi="gu-IN"/>
              </w:rPr>
            </w:pPr>
            <w:r w:rsidRPr="00EC5920">
              <w:rPr>
                <w:rFonts w:ascii="Arial" w:hAnsi="Arial" w:cs="Arial"/>
                <w:bCs/>
                <w:iCs/>
                <w:sz w:val="20"/>
                <w:szCs w:val="20"/>
                <w:lang w:bidi="gu-IN"/>
              </w:rPr>
              <w:t>1</w:t>
            </w:r>
          </w:p>
        </w:tc>
        <w:tc>
          <w:tcPr>
            <w:tcW w:w="4552" w:type="pct"/>
            <w:vAlign w:val="center"/>
          </w:tcPr>
          <w:p w14:paraId="76E08235" w14:textId="77777777" w:rsidR="004818B7" w:rsidRPr="00EC5920" w:rsidRDefault="004818B7" w:rsidP="004B3EC7">
            <w:pPr>
              <w:jc w:val="both"/>
              <w:rPr>
                <w:rFonts w:ascii="Arial" w:hAnsi="Arial" w:cs="Arial"/>
                <w:bCs/>
                <w:iCs/>
                <w:sz w:val="20"/>
                <w:szCs w:val="20"/>
                <w:lang w:bidi="gu-IN"/>
              </w:rPr>
            </w:pPr>
            <w:r w:rsidRPr="00EC5920">
              <w:rPr>
                <w:rFonts w:ascii="Arial" w:hAnsi="Arial" w:cs="Arial"/>
                <w:bCs/>
                <w:iCs/>
                <w:sz w:val="20"/>
                <w:szCs w:val="20"/>
                <w:lang w:bidi="gu-IN"/>
              </w:rPr>
              <w:t>Only pinhole damage on leaves</w:t>
            </w:r>
          </w:p>
        </w:tc>
      </w:tr>
      <w:tr w:rsidR="00076D94" w:rsidRPr="00EC5920" w14:paraId="44FB5BF5" w14:textId="77777777" w:rsidTr="003E0E8B">
        <w:tc>
          <w:tcPr>
            <w:tcW w:w="448" w:type="pct"/>
            <w:vAlign w:val="center"/>
          </w:tcPr>
          <w:p w14:paraId="1F44C38C" w14:textId="77777777" w:rsidR="004818B7" w:rsidRPr="00EC5920" w:rsidRDefault="004818B7" w:rsidP="00561C0E">
            <w:pPr>
              <w:jc w:val="center"/>
              <w:rPr>
                <w:rFonts w:ascii="Arial" w:hAnsi="Arial" w:cs="Arial"/>
                <w:bCs/>
                <w:iCs/>
                <w:sz w:val="20"/>
                <w:szCs w:val="20"/>
                <w:lang w:bidi="gu-IN"/>
              </w:rPr>
            </w:pPr>
            <w:r w:rsidRPr="00EC5920">
              <w:rPr>
                <w:rFonts w:ascii="Arial" w:hAnsi="Arial" w:cs="Arial"/>
                <w:bCs/>
                <w:iCs/>
                <w:sz w:val="20"/>
                <w:szCs w:val="20"/>
                <w:lang w:bidi="gu-IN"/>
              </w:rPr>
              <w:t>2</w:t>
            </w:r>
          </w:p>
        </w:tc>
        <w:tc>
          <w:tcPr>
            <w:tcW w:w="4552" w:type="pct"/>
            <w:vAlign w:val="center"/>
          </w:tcPr>
          <w:p w14:paraId="2C0E8B1B" w14:textId="77777777" w:rsidR="004818B7" w:rsidRPr="00EC5920" w:rsidRDefault="004818B7" w:rsidP="004B3EC7">
            <w:pPr>
              <w:jc w:val="both"/>
              <w:rPr>
                <w:rFonts w:ascii="Arial" w:hAnsi="Arial" w:cs="Arial"/>
                <w:bCs/>
                <w:iCs/>
                <w:sz w:val="20"/>
                <w:szCs w:val="20"/>
                <w:lang w:bidi="gu-IN"/>
              </w:rPr>
            </w:pPr>
            <w:r w:rsidRPr="00EC5920">
              <w:rPr>
                <w:rFonts w:ascii="Arial" w:hAnsi="Arial" w:cs="Arial"/>
                <w:bCs/>
                <w:iCs/>
                <w:sz w:val="20"/>
                <w:szCs w:val="20"/>
                <w:lang w:bidi="gu-IN"/>
              </w:rPr>
              <w:t>Pinhole and shot hole damage to leaf</w:t>
            </w:r>
          </w:p>
        </w:tc>
      </w:tr>
      <w:tr w:rsidR="00076D94" w:rsidRPr="00EC5920" w14:paraId="53F58B65" w14:textId="77777777" w:rsidTr="003E0E8B">
        <w:tc>
          <w:tcPr>
            <w:tcW w:w="448" w:type="pct"/>
            <w:vAlign w:val="center"/>
          </w:tcPr>
          <w:p w14:paraId="7A0394FA" w14:textId="77777777" w:rsidR="004818B7" w:rsidRPr="00EC5920" w:rsidRDefault="004818B7" w:rsidP="00561C0E">
            <w:pPr>
              <w:jc w:val="center"/>
              <w:rPr>
                <w:rFonts w:ascii="Arial" w:hAnsi="Arial" w:cs="Arial"/>
                <w:bCs/>
                <w:iCs/>
                <w:sz w:val="20"/>
                <w:szCs w:val="20"/>
                <w:lang w:bidi="gu-IN"/>
              </w:rPr>
            </w:pPr>
            <w:r w:rsidRPr="00EC5920">
              <w:rPr>
                <w:rFonts w:ascii="Arial" w:hAnsi="Arial" w:cs="Arial"/>
                <w:bCs/>
                <w:iCs/>
                <w:sz w:val="20"/>
                <w:szCs w:val="20"/>
                <w:lang w:bidi="gu-IN"/>
              </w:rPr>
              <w:t>3</w:t>
            </w:r>
          </w:p>
        </w:tc>
        <w:tc>
          <w:tcPr>
            <w:tcW w:w="4552" w:type="pct"/>
            <w:vAlign w:val="center"/>
          </w:tcPr>
          <w:p w14:paraId="767725E4" w14:textId="77777777" w:rsidR="004818B7" w:rsidRPr="00EC5920" w:rsidRDefault="004818B7" w:rsidP="004B3EC7">
            <w:pPr>
              <w:jc w:val="both"/>
              <w:rPr>
                <w:rFonts w:ascii="Arial" w:hAnsi="Arial" w:cs="Arial"/>
                <w:bCs/>
                <w:iCs/>
                <w:sz w:val="20"/>
                <w:szCs w:val="20"/>
                <w:lang w:bidi="gu-IN"/>
              </w:rPr>
            </w:pPr>
            <w:r w:rsidRPr="00EC5920">
              <w:rPr>
                <w:rFonts w:ascii="Arial" w:hAnsi="Arial" w:cs="Arial"/>
                <w:bCs/>
                <w:iCs/>
                <w:sz w:val="20"/>
                <w:szCs w:val="20"/>
                <w:lang w:bidi="gu-IN"/>
              </w:rPr>
              <w:t>Small, elongated lesions (5-10mm) on 1-3 leaves</w:t>
            </w:r>
          </w:p>
        </w:tc>
      </w:tr>
      <w:tr w:rsidR="00076D94" w:rsidRPr="00EC5920" w14:paraId="689064A1" w14:textId="77777777" w:rsidTr="003E0E8B">
        <w:tc>
          <w:tcPr>
            <w:tcW w:w="448" w:type="pct"/>
            <w:vAlign w:val="center"/>
          </w:tcPr>
          <w:p w14:paraId="0DF18D5E" w14:textId="77777777" w:rsidR="004818B7" w:rsidRPr="00EC5920" w:rsidRDefault="004818B7" w:rsidP="00561C0E">
            <w:pPr>
              <w:jc w:val="center"/>
              <w:rPr>
                <w:rFonts w:ascii="Arial" w:hAnsi="Arial" w:cs="Arial"/>
                <w:bCs/>
                <w:iCs/>
                <w:sz w:val="20"/>
                <w:szCs w:val="20"/>
                <w:lang w:bidi="gu-IN"/>
              </w:rPr>
            </w:pPr>
            <w:r w:rsidRPr="00EC5920">
              <w:rPr>
                <w:rFonts w:ascii="Arial" w:hAnsi="Arial" w:cs="Arial"/>
                <w:bCs/>
                <w:iCs/>
                <w:sz w:val="20"/>
                <w:szCs w:val="20"/>
                <w:lang w:bidi="gu-IN"/>
              </w:rPr>
              <w:t>4</w:t>
            </w:r>
          </w:p>
        </w:tc>
        <w:tc>
          <w:tcPr>
            <w:tcW w:w="4552" w:type="pct"/>
            <w:vAlign w:val="center"/>
          </w:tcPr>
          <w:p w14:paraId="06C9034D" w14:textId="77777777" w:rsidR="004818B7" w:rsidRPr="00EC5920" w:rsidRDefault="004818B7" w:rsidP="004B3EC7">
            <w:pPr>
              <w:jc w:val="both"/>
              <w:rPr>
                <w:rFonts w:ascii="Arial" w:hAnsi="Arial" w:cs="Arial"/>
                <w:bCs/>
                <w:iCs/>
                <w:sz w:val="20"/>
                <w:szCs w:val="20"/>
                <w:lang w:bidi="gu-IN"/>
              </w:rPr>
            </w:pPr>
            <w:r w:rsidRPr="00EC5920">
              <w:rPr>
                <w:rFonts w:ascii="Arial" w:hAnsi="Arial" w:cs="Arial"/>
                <w:bCs/>
                <w:iCs/>
                <w:sz w:val="20"/>
                <w:szCs w:val="20"/>
                <w:lang w:bidi="gu-IN"/>
              </w:rPr>
              <w:t>Midsized lesions (10-30mm) on 4-7 leaves</w:t>
            </w:r>
          </w:p>
        </w:tc>
      </w:tr>
      <w:tr w:rsidR="00076D94" w:rsidRPr="00EC5920" w14:paraId="6A2565A4" w14:textId="77777777" w:rsidTr="003E0E8B">
        <w:tc>
          <w:tcPr>
            <w:tcW w:w="448" w:type="pct"/>
            <w:vAlign w:val="center"/>
          </w:tcPr>
          <w:p w14:paraId="06717585" w14:textId="77777777" w:rsidR="004818B7" w:rsidRPr="00EC5920" w:rsidRDefault="004818B7" w:rsidP="00561C0E">
            <w:pPr>
              <w:jc w:val="center"/>
              <w:rPr>
                <w:rFonts w:ascii="Arial" w:hAnsi="Arial" w:cs="Arial"/>
                <w:bCs/>
                <w:iCs/>
                <w:sz w:val="20"/>
                <w:szCs w:val="20"/>
                <w:lang w:bidi="gu-IN"/>
              </w:rPr>
            </w:pPr>
            <w:r w:rsidRPr="00EC5920">
              <w:rPr>
                <w:rFonts w:ascii="Arial" w:hAnsi="Arial" w:cs="Arial"/>
                <w:bCs/>
                <w:iCs/>
                <w:sz w:val="20"/>
                <w:szCs w:val="20"/>
                <w:lang w:bidi="gu-IN"/>
              </w:rPr>
              <w:t>5</w:t>
            </w:r>
          </w:p>
        </w:tc>
        <w:tc>
          <w:tcPr>
            <w:tcW w:w="4552" w:type="pct"/>
            <w:vAlign w:val="center"/>
          </w:tcPr>
          <w:p w14:paraId="49B61A8D" w14:textId="77777777" w:rsidR="004818B7" w:rsidRPr="00EC5920" w:rsidRDefault="004818B7" w:rsidP="004B3EC7">
            <w:pPr>
              <w:jc w:val="both"/>
              <w:rPr>
                <w:rFonts w:ascii="Arial" w:hAnsi="Arial" w:cs="Arial"/>
                <w:bCs/>
                <w:iCs/>
                <w:sz w:val="20"/>
                <w:szCs w:val="20"/>
                <w:lang w:bidi="gu-IN"/>
              </w:rPr>
            </w:pPr>
            <w:r w:rsidRPr="00EC5920">
              <w:rPr>
                <w:rFonts w:ascii="Arial" w:hAnsi="Arial" w:cs="Arial"/>
                <w:bCs/>
                <w:iCs/>
                <w:sz w:val="20"/>
                <w:szCs w:val="20"/>
                <w:lang w:bidi="gu-IN"/>
              </w:rPr>
              <w:t>Large, elongated lesions (&gt;30cm) or small pinhole lesions</w:t>
            </w:r>
          </w:p>
        </w:tc>
      </w:tr>
      <w:tr w:rsidR="00076D94" w:rsidRPr="00EC5920" w14:paraId="03C9D8D8" w14:textId="77777777" w:rsidTr="003E0E8B">
        <w:tc>
          <w:tcPr>
            <w:tcW w:w="448" w:type="pct"/>
            <w:vAlign w:val="center"/>
          </w:tcPr>
          <w:p w14:paraId="37B93D4A" w14:textId="77777777" w:rsidR="004818B7" w:rsidRPr="00EC5920" w:rsidRDefault="004818B7" w:rsidP="00561C0E">
            <w:pPr>
              <w:jc w:val="center"/>
              <w:rPr>
                <w:rFonts w:ascii="Arial" w:hAnsi="Arial" w:cs="Arial"/>
                <w:bCs/>
                <w:iCs/>
                <w:sz w:val="20"/>
                <w:szCs w:val="20"/>
                <w:lang w:bidi="gu-IN"/>
              </w:rPr>
            </w:pPr>
            <w:r w:rsidRPr="00EC5920">
              <w:rPr>
                <w:rFonts w:ascii="Arial" w:hAnsi="Arial" w:cs="Arial"/>
                <w:bCs/>
                <w:iCs/>
                <w:sz w:val="20"/>
                <w:szCs w:val="20"/>
                <w:lang w:bidi="gu-IN"/>
              </w:rPr>
              <w:t>6</w:t>
            </w:r>
          </w:p>
        </w:tc>
        <w:tc>
          <w:tcPr>
            <w:tcW w:w="4552" w:type="pct"/>
            <w:vAlign w:val="center"/>
          </w:tcPr>
          <w:p w14:paraId="58710B42" w14:textId="77777777" w:rsidR="004818B7" w:rsidRPr="00EC5920" w:rsidRDefault="004818B7" w:rsidP="004B3EC7">
            <w:pPr>
              <w:jc w:val="both"/>
              <w:rPr>
                <w:rFonts w:ascii="Arial" w:hAnsi="Arial" w:cs="Arial"/>
                <w:bCs/>
                <w:iCs/>
                <w:sz w:val="20"/>
                <w:szCs w:val="20"/>
                <w:lang w:bidi="gu-IN"/>
              </w:rPr>
            </w:pPr>
            <w:r w:rsidRPr="00EC5920">
              <w:rPr>
                <w:rFonts w:ascii="Arial" w:hAnsi="Arial" w:cs="Arial"/>
                <w:bCs/>
                <w:iCs/>
                <w:sz w:val="20"/>
                <w:szCs w:val="20"/>
                <w:lang w:bidi="gu-IN"/>
              </w:rPr>
              <w:t>Elongated lesions (&gt;30cm) and large portions eaten on 3-5 leaves</w:t>
            </w:r>
          </w:p>
        </w:tc>
      </w:tr>
      <w:tr w:rsidR="00076D94" w:rsidRPr="00EC5920" w14:paraId="42615F98" w14:textId="77777777" w:rsidTr="003E0E8B">
        <w:tc>
          <w:tcPr>
            <w:tcW w:w="448" w:type="pct"/>
            <w:vAlign w:val="center"/>
          </w:tcPr>
          <w:p w14:paraId="71907F3A" w14:textId="77777777" w:rsidR="004818B7" w:rsidRPr="00EC5920" w:rsidRDefault="004818B7" w:rsidP="00561C0E">
            <w:pPr>
              <w:jc w:val="center"/>
              <w:rPr>
                <w:rFonts w:ascii="Arial" w:hAnsi="Arial" w:cs="Arial"/>
                <w:bCs/>
                <w:iCs/>
                <w:sz w:val="20"/>
                <w:szCs w:val="20"/>
                <w:lang w:bidi="gu-IN"/>
              </w:rPr>
            </w:pPr>
            <w:r w:rsidRPr="00EC5920">
              <w:rPr>
                <w:rFonts w:ascii="Arial" w:hAnsi="Arial" w:cs="Arial"/>
                <w:bCs/>
                <w:iCs/>
                <w:sz w:val="20"/>
                <w:szCs w:val="20"/>
                <w:lang w:bidi="gu-IN"/>
              </w:rPr>
              <w:t>7</w:t>
            </w:r>
          </w:p>
        </w:tc>
        <w:tc>
          <w:tcPr>
            <w:tcW w:w="4552" w:type="pct"/>
            <w:vAlign w:val="center"/>
          </w:tcPr>
          <w:p w14:paraId="4F6DCD14" w14:textId="77777777" w:rsidR="004818B7" w:rsidRPr="00EC5920" w:rsidRDefault="004818B7" w:rsidP="004B3EC7">
            <w:pPr>
              <w:jc w:val="both"/>
              <w:rPr>
                <w:rFonts w:ascii="Arial" w:hAnsi="Arial" w:cs="Arial"/>
                <w:bCs/>
                <w:iCs/>
                <w:sz w:val="20"/>
                <w:szCs w:val="20"/>
                <w:lang w:bidi="gu-IN"/>
              </w:rPr>
            </w:pPr>
            <w:r w:rsidRPr="00EC5920">
              <w:rPr>
                <w:rFonts w:ascii="Arial" w:hAnsi="Arial" w:cs="Arial"/>
                <w:bCs/>
                <w:iCs/>
                <w:sz w:val="20"/>
                <w:szCs w:val="20"/>
                <w:lang w:bidi="gu-IN"/>
              </w:rPr>
              <w:t>Elongated lesions (&gt;30cm) and 50% of leaf eaten</w:t>
            </w:r>
          </w:p>
        </w:tc>
      </w:tr>
      <w:tr w:rsidR="00076D94" w:rsidRPr="00EC5920" w14:paraId="6C2252A0" w14:textId="77777777" w:rsidTr="003E0E8B">
        <w:tc>
          <w:tcPr>
            <w:tcW w:w="448" w:type="pct"/>
            <w:vAlign w:val="center"/>
          </w:tcPr>
          <w:p w14:paraId="2C9D1034" w14:textId="77777777" w:rsidR="004818B7" w:rsidRPr="00EC5920" w:rsidRDefault="004818B7" w:rsidP="00561C0E">
            <w:pPr>
              <w:jc w:val="center"/>
              <w:rPr>
                <w:rFonts w:ascii="Arial" w:hAnsi="Arial" w:cs="Arial"/>
                <w:bCs/>
                <w:iCs/>
                <w:sz w:val="20"/>
                <w:szCs w:val="20"/>
                <w:lang w:bidi="gu-IN"/>
              </w:rPr>
            </w:pPr>
            <w:r w:rsidRPr="00EC5920">
              <w:rPr>
                <w:rFonts w:ascii="Arial" w:hAnsi="Arial" w:cs="Arial"/>
                <w:bCs/>
                <w:iCs/>
                <w:sz w:val="20"/>
                <w:szCs w:val="20"/>
                <w:lang w:bidi="gu-IN"/>
              </w:rPr>
              <w:t>8</w:t>
            </w:r>
          </w:p>
        </w:tc>
        <w:tc>
          <w:tcPr>
            <w:tcW w:w="4552" w:type="pct"/>
            <w:vAlign w:val="center"/>
          </w:tcPr>
          <w:p w14:paraId="20836765" w14:textId="77777777" w:rsidR="004818B7" w:rsidRPr="00EC5920" w:rsidRDefault="004818B7" w:rsidP="004B3EC7">
            <w:pPr>
              <w:jc w:val="both"/>
              <w:rPr>
                <w:rFonts w:ascii="Arial" w:hAnsi="Arial" w:cs="Arial"/>
                <w:bCs/>
                <w:iCs/>
                <w:sz w:val="20"/>
                <w:szCs w:val="20"/>
                <w:lang w:bidi="gu-IN"/>
              </w:rPr>
            </w:pPr>
            <w:r w:rsidRPr="00EC5920">
              <w:rPr>
                <w:rFonts w:ascii="Arial" w:hAnsi="Arial" w:cs="Arial"/>
                <w:bCs/>
                <w:iCs/>
                <w:sz w:val="20"/>
                <w:szCs w:val="20"/>
                <w:lang w:bidi="gu-IN"/>
              </w:rPr>
              <w:t>Elongated lesions (&gt;30cm) and large portions eaten on 70% of leaves</w:t>
            </w:r>
          </w:p>
        </w:tc>
      </w:tr>
      <w:tr w:rsidR="00076D94" w:rsidRPr="00EC5920" w14:paraId="70AAF8A1" w14:textId="77777777" w:rsidTr="003E0E8B">
        <w:tc>
          <w:tcPr>
            <w:tcW w:w="448" w:type="pct"/>
            <w:tcBorders>
              <w:bottom w:val="single" w:sz="4" w:space="0" w:color="auto"/>
            </w:tcBorders>
            <w:vAlign w:val="center"/>
          </w:tcPr>
          <w:p w14:paraId="7BC8A228" w14:textId="77777777" w:rsidR="004818B7" w:rsidRPr="00EC5920" w:rsidRDefault="004818B7" w:rsidP="00561C0E">
            <w:pPr>
              <w:jc w:val="center"/>
              <w:rPr>
                <w:rFonts w:ascii="Arial" w:hAnsi="Arial" w:cs="Arial"/>
                <w:bCs/>
                <w:iCs/>
                <w:sz w:val="20"/>
                <w:szCs w:val="20"/>
                <w:lang w:bidi="gu-IN"/>
              </w:rPr>
            </w:pPr>
            <w:r w:rsidRPr="00EC5920">
              <w:rPr>
                <w:rFonts w:ascii="Arial" w:hAnsi="Arial" w:cs="Arial"/>
                <w:bCs/>
                <w:iCs/>
                <w:sz w:val="20"/>
                <w:szCs w:val="20"/>
                <w:lang w:bidi="gu-IN"/>
              </w:rPr>
              <w:t>9</w:t>
            </w:r>
          </w:p>
        </w:tc>
        <w:tc>
          <w:tcPr>
            <w:tcW w:w="4552" w:type="pct"/>
            <w:tcBorders>
              <w:bottom w:val="single" w:sz="4" w:space="0" w:color="auto"/>
            </w:tcBorders>
            <w:vAlign w:val="center"/>
          </w:tcPr>
          <w:p w14:paraId="5B01D73C" w14:textId="77777777" w:rsidR="004818B7" w:rsidRPr="00EC5920" w:rsidRDefault="004818B7" w:rsidP="004B3EC7">
            <w:pPr>
              <w:jc w:val="both"/>
              <w:rPr>
                <w:rFonts w:ascii="Arial" w:hAnsi="Arial" w:cs="Arial"/>
                <w:bCs/>
                <w:iCs/>
                <w:sz w:val="20"/>
                <w:szCs w:val="20"/>
                <w:lang w:bidi="gu-IN"/>
              </w:rPr>
            </w:pPr>
            <w:r w:rsidRPr="00EC5920">
              <w:rPr>
                <w:rFonts w:ascii="Arial" w:hAnsi="Arial" w:cs="Arial"/>
                <w:bCs/>
                <w:iCs/>
                <w:sz w:val="20"/>
                <w:szCs w:val="20"/>
                <w:lang w:bidi="gu-IN"/>
              </w:rPr>
              <w:t>Most leaves with long lesions and complete defoliation observed</w:t>
            </w:r>
          </w:p>
        </w:tc>
      </w:tr>
    </w:tbl>
    <w:p w14:paraId="6A111E8A" w14:textId="77777777" w:rsidR="00D17F7E" w:rsidRPr="00EC5920" w:rsidRDefault="00225ECB" w:rsidP="002E7D34">
      <w:pPr>
        <w:spacing w:before="120" w:after="120" w:line="240" w:lineRule="auto"/>
        <w:jc w:val="both"/>
        <w:rPr>
          <w:rFonts w:ascii="Arial" w:hAnsi="Arial" w:cs="Arial"/>
          <w:b/>
          <w:bCs/>
        </w:rPr>
      </w:pPr>
      <w:r w:rsidRPr="00EC5920">
        <w:rPr>
          <w:rFonts w:ascii="Arial" w:hAnsi="Arial" w:cs="Arial"/>
          <w:b/>
          <w:bCs/>
        </w:rPr>
        <w:t>3</w:t>
      </w:r>
      <w:r w:rsidR="00AD27C6" w:rsidRPr="00EC5920">
        <w:rPr>
          <w:rFonts w:ascii="Arial" w:hAnsi="Arial" w:cs="Arial"/>
          <w:b/>
          <w:bCs/>
        </w:rPr>
        <w:t>.</w:t>
      </w:r>
      <w:r w:rsidRPr="00EC5920">
        <w:rPr>
          <w:rFonts w:ascii="Arial" w:hAnsi="Arial" w:cs="Arial"/>
          <w:b/>
          <w:bCs/>
        </w:rPr>
        <w:t xml:space="preserve"> RESULTS AND DISCUSSION</w:t>
      </w:r>
    </w:p>
    <w:p w14:paraId="2DCD7D42" w14:textId="77777777" w:rsidR="00C6089A" w:rsidRPr="00EC5920" w:rsidRDefault="00C6089A" w:rsidP="002E7D34">
      <w:pPr>
        <w:spacing w:before="120" w:after="120" w:line="240" w:lineRule="auto"/>
        <w:jc w:val="both"/>
        <w:rPr>
          <w:rFonts w:ascii="Arial" w:hAnsi="Arial" w:cs="Arial"/>
          <w:b/>
          <w:bCs/>
        </w:rPr>
      </w:pPr>
      <w:r w:rsidRPr="00EC5920">
        <w:rPr>
          <w:rFonts w:ascii="Arial" w:hAnsi="Arial" w:cs="Arial"/>
          <w:b/>
          <w:bCs/>
        </w:rPr>
        <w:lastRenderedPageBreak/>
        <w:t xml:space="preserve">3.1 Effect of </w:t>
      </w:r>
      <w:r w:rsidR="00225ECB" w:rsidRPr="00EC5920">
        <w:rPr>
          <w:rFonts w:ascii="Arial" w:hAnsi="Arial" w:cs="Arial"/>
          <w:b/>
          <w:bCs/>
        </w:rPr>
        <w:t xml:space="preserve">Treatments </w:t>
      </w:r>
      <w:r w:rsidRPr="00EC5920">
        <w:rPr>
          <w:rFonts w:ascii="Arial" w:hAnsi="Arial" w:cs="Arial"/>
          <w:b/>
          <w:bCs/>
        </w:rPr>
        <w:t xml:space="preserve">on </w:t>
      </w:r>
      <w:r w:rsidR="00225ECB" w:rsidRPr="00EC5920">
        <w:rPr>
          <w:rFonts w:ascii="Arial" w:hAnsi="Arial" w:cs="Arial"/>
          <w:b/>
          <w:bCs/>
        </w:rPr>
        <w:t xml:space="preserve">Per </w:t>
      </w:r>
      <w:r w:rsidRPr="00EC5920">
        <w:rPr>
          <w:rFonts w:ascii="Arial" w:hAnsi="Arial" w:cs="Arial"/>
          <w:b/>
          <w:bCs/>
        </w:rPr>
        <w:t xml:space="preserve">cent </w:t>
      </w:r>
      <w:r w:rsidR="00225ECB" w:rsidRPr="00EC5920">
        <w:rPr>
          <w:rFonts w:ascii="Arial" w:hAnsi="Arial" w:cs="Arial"/>
          <w:b/>
          <w:bCs/>
        </w:rPr>
        <w:t>Infestation</w:t>
      </w:r>
    </w:p>
    <w:p w14:paraId="3F4B20BF" w14:textId="77777777" w:rsidR="00C51DA1" w:rsidRPr="00EC5920" w:rsidRDefault="00C51DA1" w:rsidP="002E7D34">
      <w:pPr>
        <w:spacing w:before="120" w:after="120" w:line="240" w:lineRule="auto"/>
        <w:jc w:val="both"/>
        <w:rPr>
          <w:rFonts w:ascii="Arial" w:hAnsi="Arial" w:cs="Arial"/>
          <w:bCs/>
          <w:sz w:val="20"/>
          <w:szCs w:val="20"/>
        </w:rPr>
      </w:pPr>
      <w:r w:rsidRPr="00EC5920">
        <w:rPr>
          <w:rFonts w:ascii="Arial" w:hAnsi="Arial" w:cs="Arial"/>
          <w:bCs/>
          <w:sz w:val="20"/>
          <w:szCs w:val="20"/>
        </w:rPr>
        <w:t>Repeated-measures mixed-model ANOVA of per cent infestation data revealed significant effects of location (F</w:t>
      </w:r>
      <w:proofErr w:type="gramStart"/>
      <w:r w:rsidRPr="00EC5920">
        <w:rPr>
          <w:rFonts w:ascii="Cambria Math" w:hAnsi="Cambria Math" w:cs="Cambria Math"/>
          <w:bCs/>
          <w:sz w:val="20"/>
          <w:szCs w:val="20"/>
        </w:rPr>
        <w:t>₁</w:t>
      </w:r>
      <w:r w:rsidRPr="00EC5920">
        <w:rPr>
          <w:rFonts w:ascii="Arial" w:hAnsi="Arial" w:cs="Arial"/>
          <w:bCs/>
          <w:sz w:val="20"/>
          <w:szCs w:val="20"/>
        </w:rPr>
        <w:t>,</w:t>
      </w:r>
      <w:r w:rsidRPr="00EC5920">
        <w:rPr>
          <w:rFonts w:ascii="Cambria Math" w:hAnsi="Cambria Math" w:cs="Cambria Math"/>
          <w:bCs/>
          <w:sz w:val="20"/>
          <w:szCs w:val="20"/>
        </w:rPr>
        <w:t>₄</w:t>
      </w:r>
      <w:proofErr w:type="gramEnd"/>
      <w:r w:rsidRPr="00EC5920">
        <w:rPr>
          <w:rFonts w:ascii="Cambria Math" w:hAnsi="Cambria Math" w:cs="Cambria Math"/>
          <w:bCs/>
          <w:sz w:val="20"/>
          <w:szCs w:val="20"/>
        </w:rPr>
        <w:t>₈</w:t>
      </w:r>
      <w:r w:rsidRPr="00EC5920">
        <w:rPr>
          <w:rFonts w:ascii="Arial" w:hAnsi="Arial" w:cs="Arial"/>
          <w:bCs/>
          <w:sz w:val="20"/>
          <w:szCs w:val="20"/>
        </w:rPr>
        <w:t xml:space="preserve"> = 6.764, </w:t>
      </w:r>
      <w:r w:rsidRPr="00EC5920">
        <w:rPr>
          <w:rFonts w:ascii="Arial" w:hAnsi="Arial" w:cs="Arial"/>
          <w:bCs/>
          <w:i/>
          <w:iCs/>
          <w:sz w:val="20"/>
          <w:szCs w:val="20"/>
        </w:rPr>
        <w:t>P</w:t>
      </w:r>
      <w:r w:rsidRPr="00EC5920">
        <w:rPr>
          <w:rFonts w:ascii="Arial" w:hAnsi="Arial" w:cs="Arial"/>
          <w:bCs/>
          <w:sz w:val="20"/>
          <w:szCs w:val="20"/>
        </w:rPr>
        <w:t xml:space="preserve"> = 0.0123), treatment (F</w:t>
      </w:r>
      <w:proofErr w:type="gramStart"/>
      <w:r w:rsidRPr="00EC5920">
        <w:rPr>
          <w:rFonts w:ascii="Cambria Math" w:hAnsi="Cambria Math" w:cs="Cambria Math"/>
          <w:bCs/>
          <w:sz w:val="20"/>
          <w:szCs w:val="20"/>
        </w:rPr>
        <w:t>₅</w:t>
      </w:r>
      <w:r w:rsidRPr="00EC5920">
        <w:rPr>
          <w:rFonts w:ascii="Arial" w:hAnsi="Arial" w:cs="Arial"/>
          <w:bCs/>
          <w:sz w:val="20"/>
          <w:szCs w:val="20"/>
        </w:rPr>
        <w:t>,</w:t>
      </w:r>
      <w:r w:rsidRPr="00EC5920">
        <w:rPr>
          <w:rFonts w:ascii="Cambria Math" w:hAnsi="Cambria Math" w:cs="Cambria Math"/>
          <w:bCs/>
          <w:sz w:val="20"/>
          <w:szCs w:val="20"/>
        </w:rPr>
        <w:t>₄</w:t>
      </w:r>
      <w:proofErr w:type="gramEnd"/>
      <w:r w:rsidRPr="00EC5920">
        <w:rPr>
          <w:rFonts w:ascii="Cambria Math" w:hAnsi="Cambria Math" w:cs="Cambria Math"/>
          <w:bCs/>
          <w:sz w:val="20"/>
          <w:szCs w:val="20"/>
        </w:rPr>
        <w:t>₈</w:t>
      </w:r>
      <w:r w:rsidRPr="00EC5920">
        <w:rPr>
          <w:rFonts w:ascii="Arial" w:hAnsi="Arial" w:cs="Arial"/>
          <w:bCs/>
          <w:sz w:val="20"/>
          <w:szCs w:val="20"/>
        </w:rPr>
        <w:t xml:space="preserve"> = 158.936, </w:t>
      </w:r>
      <w:r w:rsidRPr="00EC5920">
        <w:rPr>
          <w:rFonts w:ascii="Arial" w:hAnsi="Arial" w:cs="Arial"/>
          <w:bCs/>
          <w:i/>
          <w:iCs/>
          <w:sz w:val="20"/>
          <w:szCs w:val="20"/>
        </w:rPr>
        <w:t>P</w:t>
      </w:r>
      <w:r w:rsidRPr="00EC5920">
        <w:rPr>
          <w:rFonts w:ascii="Arial" w:hAnsi="Arial" w:cs="Arial"/>
          <w:bCs/>
          <w:sz w:val="20"/>
          <w:szCs w:val="20"/>
        </w:rPr>
        <w:t xml:space="preserve"> &lt; 0.001) and observation period (F</w:t>
      </w:r>
      <w:proofErr w:type="gramStart"/>
      <w:r w:rsidRPr="00EC5920">
        <w:rPr>
          <w:rFonts w:ascii="Cambria Math" w:hAnsi="Cambria Math" w:cs="Cambria Math"/>
          <w:bCs/>
          <w:sz w:val="20"/>
          <w:szCs w:val="20"/>
        </w:rPr>
        <w:t>₅</w:t>
      </w:r>
      <w:r w:rsidRPr="00EC5920">
        <w:rPr>
          <w:rFonts w:ascii="Arial" w:hAnsi="Arial" w:cs="Arial"/>
          <w:bCs/>
          <w:sz w:val="20"/>
          <w:szCs w:val="20"/>
        </w:rPr>
        <w:t>,</w:t>
      </w:r>
      <w:r w:rsidRPr="00EC5920">
        <w:rPr>
          <w:rFonts w:ascii="Cambria Math" w:hAnsi="Cambria Math" w:cs="Cambria Math"/>
          <w:bCs/>
          <w:sz w:val="20"/>
          <w:szCs w:val="20"/>
        </w:rPr>
        <w:t>₂</w:t>
      </w:r>
      <w:proofErr w:type="gramEnd"/>
      <w:r w:rsidRPr="00EC5920">
        <w:rPr>
          <w:rFonts w:ascii="Cambria Math" w:hAnsi="Cambria Math" w:cs="Cambria Math"/>
          <w:bCs/>
          <w:sz w:val="20"/>
          <w:szCs w:val="20"/>
        </w:rPr>
        <w:t>₄₀</w:t>
      </w:r>
      <w:r w:rsidRPr="00EC5920">
        <w:rPr>
          <w:rFonts w:ascii="Arial" w:hAnsi="Arial" w:cs="Arial"/>
          <w:bCs/>
          <w:sz w:val="20"/>
          <w:szCs w:val="20"/>
        </w:rPr>
        <w:t xml:space="preserve"> = 18.125, </w:t>
      </w:r>
      <w:r w:rsidRPr="00EC5920">
        <w:rPr>
          <w:rFonts w:ascii="Arial" w:hAnsi="Arial" w:cs="Arial"/>
          <w:bCs/>
          <w:i/>
          <w:iCs/>
          <w:sz w:val="20"/>
          <w:szCs w:val="20"/>
        </w:rPr>
        <w:t>P</w:t>
      </w:r>
      <w:r w:rsidRPr="00EC5920">
        <w:rPr>
          <w:rFonts w:ascii="Arial" w:hAnsi="Arial" w:cs="Arial"/>
          <w:bCs/>
          <w:sz w:val="20"/>
          <w:szCs w:val="20"/>
        </w:rPr>
        <w:t xml:space="preserve"> &lt; 0.001), whereas the effect of spray was not significant (F</w:t>
      </w:r>
      <w:proofErr w:type="gramStart"/>
      <w:r w:rsidRPr="00EC5920">
        <w:rPr>
          <w:rFonts w:ascii="Cambria Math" w:hAnsi="Cambria Math" w:cs="Cambria Math"/>
          <w:bCs/>
          <w:sz w:val="20"/>
          <w:szCs w:val="20"/>
        </w:rPr>
        <w:t>₁</w:t>
      </w:r>
      <w:r w:rsidRPr="00EC5920">
        <w:rPr>
          <w:rFonts w:ascii="Arial" w:hAnsi="Arial" w:cs="Arial"/>
          <w:bCs/>
          <w:sz w:val="20"/>
          <w:szCs w:val="20"/>
        </w:rPr>
        <w:t>,</w:t>
      </w:r>
      <w:r w:rsidRPr="00EC5920">
        <w:rPr>
          <w:rFonts w:ascii="Cambria Math" w:hAnsi="Cambria Math" w:cs="Cambria Math"/>
          <w:bCs/>
          <w:sz w:val="20"/>
          <w:szCs w:val="20"/>
        </w:rPr>
        <w:t>₄</w:t>
      </w:r>
      <w:proofErr w:type="gramEnd"/>
      <w:r w:rsidRPr="00EC5920">
        <w:rPr>
          <w:rFonts w:ascii="Cambria Math" w:hAnsi="Cambria Math" w:cs="Cambria Math"/>
          <w:bCs/>
          <w:sz w:val="20"/>
          <w:szCs w:val="20"/>
        </w:rPr>
        <w:t>₈</w:t>
      </w:r>
      <w:r w:rsidRPr="00EC5920">
        <w:rPr>
          <w:rFonts w:ascii="Arial" w:hAnsi="Arial" w:cs="Arial"/>
          <w:bCs/>
          <w:sz w:val="20"/>
          <w:szCs w:val="20"/>
        </w:rPr>
        <w:t xml:space="preserve"> = 2.523, </w:t>
      </w:r>
      <w:r w:rsidRPr="00EC5920">
        <w:rPr>
          <w:rFonts w:ascii="Arial" w:hAnsi="Arial" w:cs="Arial"/>
          <w:bCs/>
          <w:i/>
          <w:iCs/>
          <w:sz w:val="20"/>
          <w:szCs w:val="20"/>
        </w:rPr>
        <w:t>P</w:t>
      </w:r>
      <w:r w:rsidRPr="00EC5920">
        <w:rPr>
          <w:rFonts w:ascii="Arial" w:hAnsi="Arial" w:cs="Arial"/>
          <w:bCs/>
          <w:sz w:val="20"/>
          <w:szCs w:val="20"/>
        </w:rPr>
        <w:t xml:space="preserve"> = 0.1188). Among the interaction effects, spray × treatment (F</w:t>
      </w:r>
      <w:proofErr w:type="gramStart"/>
      <w:r w:rsidRPr="00EC5920">
        <w:rPr>
          <w:rFonts w:ascii="Cambria Math" w:hAnsi="Cambria Math" w:cs="Cambria Math"/>
          <w:bCs/>
          <w:sz w:val="20"/>
          <w:szCs w:val="20"/>
        </w:rPr>
        <w:t>₅</w:t>
      </w:r>
      <w:r w:rsidRPr="00EC5920">
        <w:rPr>
          <w:rFonts w:ascii="Arial" w:hAnsi="Arial" w:cs="Arial"/>
          <w:bCs/>
          <w:sz w:val="20"/>
          <w:szCs w:val="20"/>
        </w:rPr>
        <w:t>,</w:t>
      </w:r>
      <w:r w:rsidRPr="00EC5920">
        <w:rPr>
          <w:rFonts w:ascii="Cambria Math" w:hAnsi="Cambria Math" w:cs="Cambria Math"/>
          <w:bCs/>
          <w:sz w:val="20"/>
          <w:szCs w:val="20"/>
        </w:rPr>
        <w:t>₄</w:t>
      </w:r>
      <w:proofErr w:type="gramEnd"/>
      <w:r w:rsidRPr="00EC5920">
        <w:rPr>
          <w:rFonts w:ascii="Cambria Math" w:hAnsi="Cambria Math" w:cs="Cambria Math"/>
          <w:bCs/>
          <w:sz w:val="20"/>
          <w:szCs w:val="20"/>
        </w:rPr>
        <w:t>₈</w:t>
      </w:r>
      <w:r w:rsidRPr="00EC5920">
        <w:rPr>
          <w:rFonts w:ascii="Arial" w:hAnsi="Arial" w:cs="Arial"/>
          <w:bCs/>
          <w:sz w:val="20"/>
          <w:szCs w:val="20"/>
        </w:rPr>
        <w:t xml:space="preserve"> = 44.829, </w:t>
      </w:r>
      <w:r w:rsidRPr="00EC5920">
        <w:rPr>
          <w:rFonts w:ascii="Arial" w:hAnsi="Arial" w:cs="Arial"/>
          <w:bCs/>
          <w:i/>
          <w:iCs/>
          <w:sz w:val="20"/>
          <w:szCs w:val="20"/>
        </w:rPr>
        <w:t>P</w:t>
      </w:r>
      <w:r w:rsidRPr="00EC5920">
        <w:rPr>
          <w:rFonts w:ascii="Arial" w:hAnsi="Arial" w:cs="Arial"/>
          <w:bCs/>
          <w:sz w:val="20"/>
          <w:szCs w:val="20"/>
        </w:rPr>
        <w:t xml:space="preserve"> &lt; 0.001), spray × period (F</w:t>
      </w:r>
      <w:proofErr w:type="gramStart"/>
      <w:r w:rsidRPr="00EC5920">
        <w:rPr>
          <w:rFonts w:ascii="Cambria Math" w:hAnsi="Cambria Math" w:cs="Cambria Math"/>
          <w:bCs/>
          <w:sz w:val="20"/>
          <w:szCs w:val="20"/>
        </w:rPr>
        <w:t>₅</w:t>
      </w:r>
      <w:r w:rsidRPr="00EC5920">
        <w:rPr>
          <w:rFonts w:ascii="Arial" w:hAnsi="Arial" w:cs="Arial"/>
          <w:bCs/>
          <w:sz w:val="20"/>
          <w:szCs w:val="20"/>
        </w:rPr>
        <w:t>,</w:t>
      </w:r>
      <w:r w:rsidRPr="00EC5920">
        <w:rPr>
          <w:rFonts w:ascii="Cambria Math" w:hAnsi="Cambria Math" w:cs="Cambria Math"/>
          <w:bCs/>
          <w:sz w:val="20"/>
          <w:szCs w:val="20"/>
        </w:rPr>
        <w:t>₂</w:t>
      </w:r>
      <w:proofErr w:type="gramEnd"/>
      <w:r w:rsidRPr="00EC5920">
        <w:rPr>
          <w:rFonts w:ascii="Cambria Math" w:hAnsi="Cambria Math" w:cs="Cambria Math"/>
          <w:bCs/>
          <w:sz w:val="20"/>
          <w:szCs w:val="20"/>
        </w:rPr>
        <w:t>₄₀</w:t>
      </w:r>
      <w:r w:rsidRPr="00EC5920">
        <w:rPr>
          <w:rFonts w:ascii="Arial" w:hAnsi="Arial" w:cs="Arial"/>
          <w:bCs/>
          <w:sz w:val="20"/>
          <w:szCs w:val="20"/>
        </w:rPr>
        <w:t xml:space="preserve"> = 4.877, </w:t>
      </w:r>
      <w:r w:rsidRPr="00EC5920">
        <w:rPr>
          <w:rFonts w:ascii="Arial" w:hAnsi="Arial" w:cs="Arial"/>
          <w:bCs/>
          <w:i/>
          <w:iCs/>
          <w:sz w:val="20"/>
          <w:szCs w:val="20"/>
        </w:rPr>
        <w:t>P</w:t>
      </w:r>
      <w:r w:rsidRPr="00EC5920">
        <w:rPr>
          <w:rFonts w:ascii="Arial" w:hAnsi="Arial" w:cs="Arial"/>
          <w:bCs/>
          <w:sz w:val="20"/>
          <w:szCs w:val="20"/>
        </w:rPr>
        <w:t xml:space="preserve"> = 0.0003) and treatment × period (F</w:t>
      </w:r>
      <w:r w:rsidRPr="00EC5920">
        <w:rPr>
          <w:rFonts w:ascii="Cambria Math" w:hAnsi="Cambria Math" w:cs="Cambria Math"/>
          <w:bCs/>
          <w:sz w:val="20"/>
          <w:szCs w:val="20"/>
        </w:rPr>
        <w:t>₂</w:t>
      </w:r>
      <w:proofErr w:type="gramStart"/>
      <w:r w:rsidRPr="00EC5920">
        <w:rPr>
          <w:rFonts w:ascii="Cambria Math" w:hAnsi="Cambria Math" w:cs="Cambria Math"/>
          <w:bCs/>
          <w:sz w:val="20"/>
          <w:szCs w:val="20"/>
        </w:rPr>
        <w:t>₅</w:t>
      </w:r>
      <w:r w:rsidRPr="00EC5920">
        <w:rPr>
          <w:rFonts w:ascii="Arial" w:hAnsi="Arial" w:cs="Arial"/>
          <w:bCs/>
          <w:sz w:val="20"/>
          <w:szCs w:val="20"/>
        </w:rPr>
        <w:t>,</w:t>
      </w:r>
      <w:r w:rsidRPr="00EC5920">
        <w:rPr>
          <w:rFonts w:ascii="Cambria Math" w:hAnsi="Cambria Math" w:cs="Cambria Math"/>
          <w:bCs/>
          <w:sz w:val="20"/>
          <w:szCs w:val="20"/>
        </w:rPr>
        <w:t>₂</w:t>
      </w:r>
      <w:proofErr w:type="gramEnd"/>
      <w:r w:rsidRPr="00EC5920">
        <w:rPr>
          <w:rFonts w:ascii="Cambria Math" w:hAnsi="Cambria Math" w:cs="Cambria Math"/>
          <w:bCs/>
          <w:sz w:val="20"/>
          <w:szCs w:val="20"/>
        </w:rPr>
        <w:t>₄₀</w:t>
      </w:r>
      <w:r w:rsidRPr="00EC5920">
        <w:rPr>
          <w:rFonts w:ascii="Arial" w:hAnsi="Arial" w:cs="Arial"/>
          <w:bCs/>
          <w:sz w:val="20"/>
          <w:szCs w:val="20"/>
        </w:rPr>
        <w:t xml:space="preserve"> = 5.044, </w:t>
      </w:r>
      <w:r w:rsidRPr="00EC5920">
        <w:rPr>
          <w:rFonts w:ascii="Arial" w:hAnsi="Arial" w:cs="Arial"/>
          <w:bCs/>
          <w:i/>
          <w:iCs/>
          <w:sz w:val="20"/>
          <w:szCs w:val="20"/>
        </w:rPr>
        <w:t>P</w:t>
      </w:r>
      <w:r w:rsidRPr="00EC5920">
        <w:rPr>
          <w:rFonts w:ascii="Arial" w:hAnsi="Arial" w:cs="Arial"/>
          <w:bCs/>
          <w:sz w:val="20"/>
          <w:szCs w:val="20"/>
        </w:rPr>
        <w:t xml:space="preserve"> &lt; 0.001) were significant. All remaining </w:t>
      </w:r>
      <w:r>
        <w:rPr>
          <w:rFonts w:ascii="Arial" w:hAnsi="Arial" w:cs="Arial"/>
          <w:bCs/>
          <w:sz w:val="20"/>
          <w:szCs w:val="20"/>
          <w:highlight w:val="yellow"/>
        </w:rPr>
        <w:t>two-, three- and four-way interactions</w:t>
      </w:r>
      <w:r>
        <w:rPr>
          <w:rFonts w:ascii="Arial" w:hAnsi="Arial" w:cs="Arial"/>
          <w:bCs/>
          <w:sz w:val="20"/>
          <w:szCs w:val="20"/>
        </w:rPr>
        <w:t xml:space="preserve"> involving location, spray, treatment and observation period were non-significant (Table 3). Since the location × treatment inter</w:t>
      </w:r>
      <w:r w:rsidR="00EE3C01" w:rsidRPr="00EC5920">
        <w:rPr>
          <w:rFonts w:ascii="Arial" w:hAnsi="Arial" w:cs="Arial"/>
          <w:bCs/>
          <w:sz w:val="20"/>
          <w:szCs w:val="20"/>
        </w:rPr>
        <w:t>action was non-significant (F</w:t>
      </w:r>
      <w:proofErr w:type="gramStart"/>
      <w:r w:rsidR="00EE3C01" w:rsidRPr="00EC5920">
        <w:rPr>
          <w:rFonts w:ascii="Cambria Math" w:hAnsi="Cambria Math" w:cs="Cambria Math"/>
          <w:bCs/>
          <w:sz w:val="20"/>
          <w:szCs w:val="20"/>
        </w:rPr>
        <w:t>₅</w:t>
      </w:r>
      <w:r w:rsidR="00EE3C01" w:rsidRPr="00EC5920">
        <w:rPr>
          <w:rFonts w:ascii="Arial" w:hAnsi="Arial" w:cs="Arial"/>
          <w:bCs/>
          <w:sz w:val="20"/>
          <w:szCs w:val="20"/>
        </w:rPr>
        <w:t>,</w:t>
      </w:r>
      <w:r w:rsidRPr="00EC5920">
        <w:rPr>
          <w:rFonts w:ascii="Cambria Math" w:hAnsi="Cambria Math" w:cs="Cambria Math"/>
          <w:bCs/>
          <w:sz w:val="20"/>
          <w:szCs w:val="20"/>
        </w:rPr>
        <w:t>₄</w:t>
      </w:r>
      <w:proofErr w:type="gramEnd"/>
      <w:r w:rsidRPr="00EC5920">
        <w:rPr>
          <w:rFonts w:ascii="Cambria Math" w:hAnsi="Cambria Math" w:cs="Cambria Math"/>
          <w:bCs/>
          <w:sz w:val="20"/>
          <w:szCs w:val="20"/>
        </w:rPr>
        <w:t>₈</w:t>
      </w:r>
      <w:r w:rsidRPr="00EC5920">
        <w:rPr>
          <w:rFonts w:ascii="Arial" w:hAnsi="Arial" w:cs="Arial"/>
          <w:bCs/>
          <w:sz w:val="20"/>
          <w:szCs w:val="20"/>
        </w:rPr>
        <w:t xml:space="preserve"> = 0.338, </w:t>
      </w:r>
      <w:r w:rsidRPr="00EC5920">
        <w:rPr>
          <w:rFonts w:ascii="Arial" w:hAnsi="Arial" w:cs="Arial"/>
          <w:bCs/>
          <w:i/>
          <w:iCs/>
          <w:sz w:val="20"/>
          <w:szCs w:val="20"/>
        </w:rPr>
        <w:t>P</w:t>
      </w:r>
      <w:r w:rsidRPr="00EC5920">
        <w:rPr>
          <w:rFonts w:ascii="Arial" w:hAnsi="Arial" w:cs="Arial"/>
          <w:bCs/>
          <w:sz w:val="20"/>
          <w:szCs w:val="20"/>
        </w:rPr>
        <w:t xml:space="preserve"> = 0.8876), treatment means were pooled across locations for comparison.</w:t>
      </w:r>
    </w:p>
    <w:p w14:paraId="40341C13" w14:textId="77777777" w:rsidR="00C6089A" w:rsidRPr="00EC5920" w:rsidRDefault="00C6089A" w:rsidP="002E7D34">
      <w:pPr>
        <w:spacing w:before="120" w:after="120" w:line="240" w:lineRule="auto"/>
        <w:jc w:val="both"/>
        <w:rPr>
          <w:rFonts w:ascii="Arial" w:hAnsi="Arial" w:cs="Arial"/>
          <w:bCs/>
          <w:sz w:val="20"/>
          <w:szCs w:val="20"/>
        </w:rPr>
      </w:pPr>
      <w:r w:rsidRPr="00EC5920">
        <w:rPr>
          <w:rFonts w:ascii="Arial" w:hAnsi="Arial" w:cs="Arial"/>
          <w:bCs/>
          <w:sz w:val="20"/>
          <w:szCs w:val="20"/>
        </w:rPr>
        <w:t xml:space="preserve">Pooled estimated marginal means differed significantly among treatments. </w:t>
      </w:r>
      <w:r w:rsidR="00907FF0" w:rsidRPr="00EC5920">
        <w:rPr>
          <w:rFonts w:ascii="Arial" w:hAnsi="Arial" w:cs="Arial"/>
          <w:bCs/>
          <w:sz w:val="20"/>
          <w:szCs w:val="20"/>
        </w:rPr>
        <w:t xml:space="preserve">The temporal pattern of per cent infestation across the six observation periods following the first and second sprays is presented in Figure 1. </w:t>
      </w:r>
      <w:r w:rsidRPr="00EC5920">
        <w:rPr>
          <w:rFonts w:ascii="Arial" w:hAnsi="Arial" w:cs="Arial"/>
          <w:bCs/>
          <w:sz w:val="20"/>
          <w:szCs w:val="20"/>
        </w:rPr>
        <w:t xml:space="preserve">The combination of </w:t>
      </w:r>
      <w:r w:rsidR="00CB1C1D" w:rsidRPr="00EC5920">
        <w:rPr>
          <w:rFonts w:ascii="Arial" w:hAnsi="Arial" w:cs="Arial"/>
          <w:bCs/>
          <w:sz w:val="20"/>
          <w:szCs w:val="20"/>
        </w:rPr>
        <w:t xml:space="preserve">novaluron </w:t>
      </w:r>
      <w:r w:rsidRPr="00EC5920">
        <w:rPr>
          <w:rFonts w:ascii="Arial" w:hAnsi="Arial" w:cs="Arial"/>
          <w:bCs/>
          <w:sz w:val="20"/>
          <w:szCs w:val="20"/>
        </w:rPr>
        <w:t xml:space="preserve">5.25 + </w:t>
      </w:r>
      <w:proofErr w:type="spellStart"/>
      <w:r w:rsidR="00CB1C1D" w:rsidRPr="00EC5920">
        <w:rPr>
          <w:rFonts w:ascii="Arial" w:hAnsi="Arial" w:cs="Arial"/>
          <w:bCs/>
          <w:sz w:val="20"/>
          <w:szCs w:val="20"/>
        </w:rPr>
        <w:t>emamectin</w:t>
      </w:r>
      <w:proofErr w:type="spellEnd"/>
      <w:r w:rsidR="00CB1C1D" w:rsidRPr="00EC5920">
        <w:rPr>
          <w:rFonts w:ascii="Arial" w:hAnsi="Arial" w:cs="Arial"/>
          <w:bCs/>
          <w:sz w:val="20"/>
          <w:szCs w:val="20"/>
        </w:rPr>
        <w:t xml:space="preserve"> </w:t>
      </w:r>
      <w:r w:rsidRPr="00EC5920">
        <w:rPr>
          <w:rFonts w:ascii="Arial" w:hAnsi="Arial" w:cs="Arial"/>
          <w:bCs/>
          <w:sz w:val="20"/>
          <w:szCs w:val="20"/>
        </w:rPr>
        <w:t xml:space="preserve">benzoate 0.9 SC + </w:t>
      </w:r>
      <w:r w:rsidRPr="00EC5920">
        <w:rPr>
          <w:rFonts w:ascii="Arial" w:hAnsi="Arial" w:cs="Arial"/>
          <w:bCs/>
          <w:i/>
          <w:iCs/>
          <w:sz w:val="20"/>
          <w:szCs w:val="20"/>
        </w:rPr>
        <w:t>M</w:t>
      </w:r>
      <w:r w:rsidR="00CB1C1D" w:rsidRPr="00EC5920">
        <w:rPr>
          <w:rFonts w:ascii="Arial" w:hAnsi="Arial" w:cs="Arial"/>
          <w:bCs/>
          <w:i/>
          <w:iCs/>
          <w:sz w:val="20"/>
          <w:szCs w:val="20"/>
        </w:rPr>
        <w:t>.</w:t>
      </w:r>
      <w:r w:rsidRPr="00EC5920">
        <w:rPr>
          <w:rFonts w:ascii="Arial" w:hAnsi="Arial" w:cs="Arial"/>
          <w:bCs/>
          <w:i/>
          <w:iCs/>
          <w:sz w:val="20"/>
          <w:szCs w:val="20"/>
        </w:rPr>
        <w:t xml:space="preserve"> anisopliae</w:t>
      </w:r>
      <w:r w:rsidRPr="00EC5920">
        <w:rPr>
          <w:rFonts w:ascii="Arial" w:hAnsi="Arial" w:cs="Arial"/>
          <w:bCs/>
          <w:sz w:val="20"/>
          <w:szCs w:val="20"/>
        </w:rPr>
        <w:t xml:space="preserve"> recorded the lowest per cent infestation (32.92 ± 0.95%), which was statistically comparable to </w:t>
      </w:r>
      <w:r w:rsidR="00CB1C1D" w:rsidRPr="00EC5920">
        <w:rPr>
          <w:rFonts w:ascii="Arial" w:hAnsi="Arial" w:cs="Arial"/>
          <w:bCs/>
          <w:sz w:val="20"/>
          <w:szCs w:val="20"/>
        </w:rPr>
        <w:t xml:space="preserve">novaluron </w:t>
      </w:r>
      <w:r w:rsidRPr="00EC5920">
        <w:rPr>
          <w:rFonts w:ascii="Arial" w:hAnsi="Arial" w:cs="Arial"/>
          <w:bCs/>
          <w:sz w:val="20"/>
          <w:szCs w:val="20"/>
        </w:rPr>
        <w:t xml:space="preserve">5.25 + </w:t>
      </w:r>
      <w:proofErr w:type="spellStart"/>
      <w:r w:rsidR="00CB1C1D" w:rsidRPr="00EC5920">
        <w:rPr>
          <w:rFonts w:ascii="Arial" w:hAnsi="Arial" w:cs="Arial"/>
          <w:bCs/>
          <w:sz w:val="20"/>
          <w:szCs w:val="20"/>
        </w:rPr>
        <w:t>emamectin</w:t>
      </w:r>
      <w:proofErr w:type="spellEnd"/>
      <w:r w:rsidR="00CB1C1D" w:rsidRPr="00EC5920">
        <w:rPr>
          <w:rFonts w:ascii="Arial" w:hAnsi="Arial" w:cs="Arial"/>
          <w:bCs/>
          <w:sz w:val="20"/>
          <w:szCs w:val="20"/>
        </w:rPr>
        <w:t xml:space="preserve"> </w:t>
      </w:r>
      <w:r w:rsidRPr="00EC5920">
        <w:rPr>
          <w:rFonts w:ascii="Arial" w:hAnsi="Arial" w:cs="Arial"/>
          <w:bCs/>
          <w:sz w:val="20"/>
          <w:szCs w:val="20"/>
        </w:rPr>
        <w:t xml:space="preserve">benzoate 0.9 SC applied alone (35.00 ± 0.95%). The combination of </w:t>
      </w:r>
      <w:r w:rsidR="00CB1C1D" w:rsidRPr="00EC5920">
        <w:rPr>
          <w:rFonts w:ascii="Arial" w:hAnsi="Arial" w:cs="Arial"/>
          <w:bCs/>
          <w:sz w:val="20"/>
          <w:szCs w:val="20"/>
        </w:rPr>
        <w:t xml:space="preserve">thiamethoxam </w:t>
      </w:r>
      <w:r w:rsidRPr="00EC5920">
        <w:rPr>
          <w:rFonts w:ascii="Arial" w:hAnsi="Arial" w:cs="Arial"/>
          <w:bCs/>
          <w:sz w:val="20"/>
          <w:szCs w:val="20"/>
        </w:rPr>
        <w:t xml:space="preserve">12.60 + </w:t>
      </w:r>
      <w:r w:rsidR="00CB1C1D" w:rsidRPr="00EC5920">
        <w:rPr>
          <w:rFonts w:ascii="Arial" w:hAnsi="Arial" w:cs="Arial"/>
          <w:bCs/>
          <w:sz w:val="20"/>
          <w:szCs w:val="20"/>
        </w:rPr>
        <w:t xml:space="preserve">lambda-cyhalothrin </w:t>
      </w:r>
      <w:r w:rsidRPr="00EC5920">
        <w:rPr>
          <w:rFonts w:ascii="Arial" w:hAnsi="Arial" w:cs="Arial"/>
          <w:bCs/>
          <w:sz w:val="20"/>
          <w:szCs w:val="20"/>
        </w:rPr>
        <w:t xml:space="preserve">9.50 SC + </w:t>
      </w:r>
      <w:r w:rsidRPr="00EC5920">
        <w:rPr>
          <w:rFonts w:ascii="Arial" w:hAnsi="Arial" w:cs="Arial"/>
          <w:bCs/>
          <w:i/>
          <w:iCs/>
          <w:sz w:val="20"/>
          <w:szCs w:val="20"/>
        </w:rPr>
        <w:t>M. anisopliae</w:t>
      </w:r>
      <w:r w:rsidRPr="00EC5920">
        <w:rPr>
          <w:rFonts w:ascii="Arial" w:hAnsi="Arial" w:cs="Arial"/>
          <w:bCs/>
          <w:sz w:val="20"/>
          <w:szCs w:val="20"/>
        </w:rPr>
        <w:t xml:space="preserve"> (41.81 ± 0.95%) and </w:t>
      </w:r>
      <w:r w:rsidR="00CB1C1D" w:rsidRPr="00EC5920">
        <w:rPr>
          <w:rFonts w:ascii="Arial" w:hAnsi="Arial" w:cs="Arial"/>
          <w:bCs/>
          <w:sz w:val="20"/>
          <w:szCs w:val="20"/>
        </w:rPr>
        <w:t xml:space="preserve">thiamethoxam </w:t>
      </w:r>
      <w:r w:rsidRPr="00EC5920">
        <w:rPr>
          <w:rFonts w:ascii="Arial" w:hAnsi="Arial" w:cs="Arial"/>
          <w:bCs/>
          <w:sz w:val="20"/>
          <w:szCs w:val="20"/>
        </w:rPr>
        <w:t xml:space="preserve">12.60 + </w:t>
      </w:r>
      <w:r w:rsidR="00CB1C1D" w:rsidRPr="00EC5920">
        <w:rPr>
          <w:rFonts w:ascii="Arial" w:hAnsi="Arial" w:cs="Arial"/>
          <w:bCs/>
          <w:sz w:val="20"/>
          <w:szCs w:val="20"/>
        </w:rPr>
        <w:t xml:space="preserve">lambda-cyhalothrin </w:t>
      </w:r>
      <w:r w:rsidRPr="00EC5920">
        <w:rPr>
          <w:rFonts w:ascii="Arial" w:hAnsi="Arial" w:cs="Arial"/>
          <w:bCs/>
          <w:sz w:val="20"/>
          <w:szCs w:val="20"/>
        </w:rPr>
        <w:t>9.50 SC applied alone (41.67 ± 0.95%) produced intermediate infestation levels and</w:t>
      </w:r>
      <w:r w:rsidR="00FF58C9" w:rsidRPr="00EC5920">
        <w:rPr>
          <w:rFonts w:ascii="Arial" w:hAnsi="Arial" w:cs="Arial"/>
          <w:bCs/>
          <w:sz w:val="20"/>
          <w:szCs w:val="20"/>
        </w:rPr>
        <w:t xml:space="preserve"> were not significantly </w:t>
      </w:r>
      <w:r>
        <w:rPr>
          <w:rFonts w:ascii="Arial" w:hAnsi="Arial" w:cs="Arial"/>
          <w:bCs/>
          <w:sz w:val="20"/>
          <w:szCs w:val="20"/>
          <w:highlight w:val="yellow"/>
        </w:rPr>
        <w:t>different from each other</w:t>
      </w:r>
      <w:r w:rsidRPr="00EC5920">
        <w:rPr>
          <w:rFonts w:ascii="Arial" w:hAnsi="Arial" w:cs="Arial"/>
          <w:bCs/>
          <w:sz w:val="20"/>
          <w:szCs w:val="20"/>
        </w:rPr>
        <w:t xml:space="preserve">. </w:t>
      </w:r>
      <w:r w:rsidRPr="00EC5920">
        <w:rPr>
          <w:rFonts w:ascii="Arial" w:hAnsi="Arial" w:cs="Arial"/>
          <w:bCs/>
          <w:i/>
          <w:iCs/>
          <w:sz w:val="20"/>
          <w:szCs w:val="20"/>
        </w:rPr>
        <w:t>M</w:t>
      </w:r>
      <w:r w:rsidR="00CB1C1D" w:rsidRPr="00EC5920">
        <w:rPr>
          <w:rFonts w:ascii="Arial" w:hAnsi="Arial" w:cs="Arial"/>
          <w:bCs/>
          <w:i/>
          <w:iCs/>
          <w:sz w:val="20"/>
          <w:szCs w:val="20"/>
        </w:rPr>
        <w:t>.</w:t>
      </w:r>
      <w:r w:rsidRPr="00EC5920">
        <w:rPr>
          <w:rFonts w:ascii="Arial" w:hAnsi="Arial" w:cs="Arial"/>
          <w:bCs/>
          <w:i/>
          <w:iCs/>
          <w:sz w:val="20"/>
          <w:szCs w:val="20"/>
        </w:rPr>
        <w:t xml:space="preserve"> anisopliae</w:t>
      </w:r>
      <w:r w:rsidRPr="00EC5920">
        <w:rPr>
          <w:rFonts w:ascii="Arial" w:hAnsi="Arial" w:cs="Arial"/>
          <w:bCs/>
          <w:sz w:val="20"/>
          <w:szCs w:val="20"/>
        </w:rPr>
        <w:t xml:space="preserve"> applied alone recorded 49.17 ± 0.95% infestation, whereas the untreated control (water spray) exhibited the highest infestation (65.83 ± 0.95%). Pairwise comparisons were significant for all treatment combinations except between </w:t>
      </w:r>
      <w:r w:rsidR="00CB1C1D" w:rsidRPr="00EC5920">
        <w:rPr>
          <w:rFonts w:ascii="Arial" w:hAnsi="Arial" w:cs="Arial"/>
          <w:bCs/>
          <w:sz w:val="20"/>
          <w:szCs w:val="20"/>
        </w:rPr>
        <w:t xml:space="preserve">novaluron </w:t>
      </w:r>
      <w:r w:rsidRPr="00EC5920">
        <w:rPr>
          <w:rFonts w:ascii="Arial" w:hAnsi="Arial" w:cs="Arial"/>
          <w:bCs/>
          <w:sz w:val="20"/>
          <w:szCs w:val="20"/>
        </w:rPr>
        <w:t xml:space="preserve">5.25 + </w:t>
      </w:r>
      <w:proofErr w:type="spellStart"/>
      <w:r w:rsidR="00CB1C1D" w:rsidRPr="00EC5920">
        <w:rPr>
          <w:rFonts w:ascii="Arial" w:hAnsi="Arial" w:cs="Arial"/>
          <w:bCs/>
          <w:sz w:val="20"/>
          <w:szCs w:val="20"/>
        </w:rPr>
        <w:t>emamectin</w:t>
      </w:r>
      <w:proofErr w:type="spellEnd"/>
      <w:r w:rsidR="00CB1C1D" w:rsidRPr="00EC5920">
        <w:rPr>
          <w:rFonts w:ascii="Arial" w:hAnsi="Arial" w:cs="Arial"/>
          <w:bCs/>
          <w:sz w:val="20"/>
          <w:szCs w:val="20"/>
        </w:rPr>
        <w:t xml:space="preserve"> </w:t>
      </w:r>
      <w:r w:rsidRPr="00EC5920">
        <w:rPr>
          <w:rFonts w:ascii="Arial" w:hAnsi="Arial" w:cs="Arial"/>
          <w:bCs/>
          <w:sz w:val="20"/>
          <w:szCs w:val="20"/>
        </w:rPr>
        <w:t xml:space="preserve">benzoate 0.9 SC with and without </w:t>
      </w:r>
      <w:r w:rsidRPr="00EC5920">
        <w:rPr>
          <w:rFonts w:ascii="Arial" w:hAnsi="Arial" w:cs="Arial"/>
          <w:bCs/>
          <w:i/>
          <w:iCs/>
          <w:sz w:val="20"/>
          <w:szCs w:val="20"/>
        </w:rPr>
        <w:t>M. anisopliae</w:t>
      </w:r>
      <w:r w:rsidRPr="00EC5920">
        <w:rPr>
          <w:rFonts w:ascii="Arial" w:hAnsi="Arial" w:cs="Arial"/>
          <w:bCs/>
          <w:sz w:val="20"/>
          <w:szCs w:val="20"/>
        </w:rPr>
        <w:t xml:space="preserve"> (</w:t>
      </w:r>
      <w:r w:rsidRPr="00EC5920">
        <w:rPr>
          <w:rFonts w:ascii="Arial" w:hAnsi="Arial" w:cs="Arial"/>
          <w:bCs/>
          <w:i/>
          <w:iCs/>
          <w:sz w:val="20"/>
          <w:szCs w:val="20"/>
        </w:rPr>
        <w:t>P</w:t>
      </w:r>
      <w:r w:rsidRPr="00EC5920">
        <w:rPr>
          <w:rFonts w:ascii="Arial" w:hAnsi="Arial" w:cs="Arial"/>
          <w:bCs/>
          <w:sz w:val="20"/>
          <w:szCs w:val="20"/>
        </w:rPr>
        <w:t xml:space="preserve"> = 0.632) and between </w:t>
      </w:r>
      <w:r w:rsidR="00CB1C1D" w:rsidRPr="00EC5920">
        <w:rPr>
          <w:rFonts w:ascii="Arial" w:hAnsi="Arial" w:cs="Arial"/>
          <w:bCs/>
          <w:sz w:val="20"/>
          <w:szCs w:val="20"/>
        </w:rPr>
        <w:t xml:space="preserve">thiamethoxam </w:t>
      </w:r>
      <w:r w:rsidRPr="00EC5920">
        <w:rPr>
          <w:rFonts w:ascii="Arial" w:hAnsi="Arial" w:cs="Arial"/>
          <w:bCs/>
          <w:sz w:val="20"/>
          <w:szCs w:val="20"/>
        </w:rPr>
        <w:t xml:space="preserve">12.60 + </w:t>
      </w:r>
      <w:r w:rsidR="00CB1C1D" w:rsidRPr="00EC5920">
        <w:rPr>
          <w:rFonts w:ascii="Arial" w:hAnsi="Arial" w:cs="Arial"/>
          <w:bCs/>
          <w:sz w:val="20"/>
          <w:szCs w:val="20"/>
        </w:rPr>
        <w:t xml:space="preserve">lambda-cyhalothrin </w:t>
      </w:r>
      <w:r w:rsidRPr="00EC5920">
        <w:rPr>
          <w:rFonts w:ascii="Arial" w:hAnsi="Arial" w:cs="Arial"/>
          <w:bCs/>
          <w:sz w:val="20"/>
          <w:szCs w:val="20"/>
        </w:rPr>
        <w:t xml:space="preserve">9.50 SC with and without </w:t>
      </w:r>
      <w:r w:rsidRPr="00EC5920">
        <w:rPr>
          <w:rFonts w:ascii="Arial" w:hAnsi="Arial" w:cs="Arial"/>
          <w:bCs/>
          <w:i/>
          <w:iCs/>
          <w:sz w:val="20"/>
          <w:szCs w:val="20"/>
        </w:rPr>
        <w:t>M. anisopliae</w:t>
      </w:r>
      <w:r w:rsidRPr="00EC5920">
        <w:rPr>
          <w:rFonts w:ascii="Arial" w:hAnsi="Arial" w:cs="Arial"/>
          <w:bCs/>
          <w:sz w:val="20"/>
          <w:szCs w:val="20"/>
        </w:rPr>
        <w:t xml:space="preserve"> (</w:t>
      </w:r>
      <w:r w:rsidRPr="00EC5920">
        <w:rPr>
          <w:rFonts w:ascii="Arial" w:hAnsi="Arial" w:cs="Arial"/>
          <w:bCs/>
          <w:i/>
          <w:iCs/>
          <w:sz w:val="20"/>
          <w:szCs w:val="20"/>
        </w:rPr>
        <w:t>P</w:t>
      </w:r>
      <w:r w:rsidRPr="00EC5920">
        <w:rPr>
          <w:rFonts w:ascii="Arial" w:hAnsi="Arial" w:cs="Arial"/>
          <w:bCs/>
          <w:sz w:val="20"/>
          <w:szCs w:val="20"/>
        </w:rPr>
        <w:t xml:space="preserve"> = 1.000).</w:t>
      </w:r>
    </w:p>
    <w:p w14:paraId="2A25D2D4" w14:textId="77777777" w:rsidR="00725CE0" w:rsidRPr="00EC5920" w:rsidRDefault="00573E7D" w:rsidP="00573E7D">
      <w:pPr>
        <w:pStyle w:val="NormalWeb"/>
        <w:rPr>
          <w:rFonts w:ascii="Arial" w:hAnsi="Arial" w:cs="Arial"/>
          <w:b/>
          <w:bCs/>
          <w:sz w:val="20"/>
          <w:szCs w:val="20"/>
        </w:rPr>
      </w:pPr>
      <w:r w:rsidRPr="00EC5920">
        <w:rPr>
          <w:rFonts w:ascii="Arial" w:hAnsi="Arial" w:cs="Arial"/>
          <w:noProof/>
          <w:lang w:val="en-US" w:eastAsia="en-US" w:bidi="ar-SA"/>
        </w:rPr>
        <w:drawing>
          <wp:inline distT="0" distB="0" distL="0" distR="0" wp14:anchorId="70778CE8" wp14:editId="339FF238">
            <wp:extent cx="5732145" cy="3126625"/>
            <wp:effectExtent l="0" t="0" r="1905" b="0"/>
            <wp:docPr id="3" name="Picture 3" descr="D:\PhD\Paper\UPJZ\Percent Infes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D\Paper\UPJZ\Percent Infestatio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2145" cy="3126625"/>
                    </a:xfrm>
                    <a:prstGeom prst="rect">
                      <a:avLst/>
                    </a:prstGeom>
                    <a:noFill/>
                    <a:ln>
                      <a:noFill/>
                    </a:ln>
                  </pic:spPr>
                </pic:pic>
              </a:graphicData>
            </a:graphic>
          </wp:inline>
        </w:drawing>
      </w:r>
      <w:r w:rsidR="00045F69" w:rsidRPr="00EC5920">
        <w:rPr>
          <w:rFonts w:ascii="Arial" w:hAnsi="Arial" w:cs="Arial"/>
          <w:b/>
          <w:bCs/>
          <w:sz w:val="20"/>
          <w:szCs w:val="20"/>
        </w:rPr>
        <w:t>Fig</w:t>
      </w:r>
      <w:r w:rsidR="00776042" w:rsidRPr="00EC5920">
        <w:rPr>
          <w:rFonts w:ascii="Arial" w:hAnsi="Arial" w:cs="Arial"/>
          <w:b/>
          <w:bCs/>
          <w:sz w:val="20"/>
          <w:szCs w:val="20"/>
        </w:rPr>
        <w:t>ure</w:t>
      </w:r>
      <w:r w:rsidR="00045F69" w:rsidRPr="00EC5920">
        <w:rPr>
          <w:rFonts w:ascii="Arial" w:hAnsi="Arial" w:cs="Arial"/>
          <w:b/>
          <w:bCs/>
          <w:sz w:val="20"/>
          <w:szCs w:val="20"/>
        </w:rPr>
        <w:t xml:space="preserve"> 1. </w:t>
      </w:r>
      <w:r w:rsidR="00725CE0" w:rsidRPr="00EC5920">
        <w:rPr>
          <w:rFonts w:ascii="Arial" w:hAnsi="Arial" w:cs="Arial"/>
          <w:b/>
          <w:bCs/>
          <w:sz w:val="20"/>
          <w:szCs w:val="20"/>
        </w:rPr>
        <w:t xml:space="preserve">Temporal variation in per cent infestation caused by </w:t>
      </w:r>
      <w:r w:rsidR="00725CE0" w:rsidRPr="00EC5920">
        <w:rPr>
          <w:rFonts w:ascii="Arial" w:hAnsi="Arial" w:cs="Arial"/>
          <w:b/>
          <w:bCs/>
          <w:i/>
          <w:iCs/>
          <w:sz w:val="20"/>
          <w:szCs w:val="20"/>
        </w:rPr>
        <w:t xml:space="preserve">S. </w:t>
      </w:r>
      <w:proofErr w:type="spellStart"/>
      <w:r w:rsidR="00725CE0" w:rsidRPr="00EC5920">
        <w:rPr>
          <w:rFonts w:ascii="Arial" w:hAnsi="Arial" w:cs="Arial"/>
          <w:b/>
          <w:bCs/>
          <w:i/>
          <w:iCs/>
          <w:sz w:val="20"/>
          <w:szCs w:val="20"/>
        </w:rPr>
        <w:t>frugiperda</w:t>
      </w:r>
      <w:proofErr w:type="spellEnd"/>
      <w:r w:rsidR="00725CE0" w:rsidRPr="00EC5920">
        <w:rPr>
          <w:rFonts w:ascii="Arial" w:hAnsi="Arial" w:cs="Arial"/>
          <w:b/>
          <w:bCs/>
          <w:sz w:val="20"/>
          <w:szCs w:val="20"/>
        </w:rPr>
        <w:t xml:space="preserve"> following the first and second sprays under different treatments</w:t>
      </w:r>
    </w:p>
    <w:p w14:paraId="0815E543" w14:textId="77777777" w:rsidR="00CF7457" w:rsidRPr="00EC5920" w:rsidRDefault="00CF7457" w:rsidP="002E7D34">
      <w:pPr>
        <w:spacing w:before="120" w:after="120" w:line="240" w:lineRule="auto"/>
        <w:ind w:left="720" w:hanging="720"/>
        <w:jc w:val="both"/>
        <w:rPr>
          <w:rFonts w:ascii="Arial" w:hAnsi="Arial" w:cs="Arial"/>
          <w:bCs/>
          <w:sz w:val="20"/>
          <w:szCs w:val="20"/>
        </w:rPr>
      </w:pPr>
      <w:r w:rsidRPr="00EC5920">
        <w:rPr>
          <w:rFonts w:ascii="Arial" w:hAnsi="Arial" w:cs="Arial"/>
          <w:b/>
          <w:bCs/>
          <w:sz w:val="20"/>
          <w:szCs w:val="20"/>
        </w:rPr>
        <w:t>Note:</w:t>
      </w:r>
      <w:r w:rsidRPr="00EC5920">
        <w:rPr>
          <w:rFonts w:ascii="Arial" w:hAnsi="Arial" w:cs="Arial"/>
          <w:bCs/>
          <w:sz w:val="20"/>
          <w:szCs w:val="20"/>
        </w:rPr>
        <w:t xml:space="preserve"> Values represent estimated marginal means </w:t>
      </w:r>
      <w:r w:rsidRPr="00EC5920">
        <w:rPr>
          <w:rFonts w:ascii="Arial" w:eastAsia="Times New Roman" w:hAnsi="Arial" w:cs="Arial"/>
          <w:bCs/>
          <w:sz w:val="20"/>
          <w:szCs w:val="20"/>
        </w:rPr>
        <w:t xml:space="preserve">(± SE) </w:t>
      </w:r>
      <w:r w:rsidRPr="00EC5920">
        <w:rPr>
          <w:rFonts w:ascii="Arial" w:hAnsi="Arial" w:cs="Arial"/>
          <w:bCs/>
          <w:sz w:val="20"/>
          <w:szCs w:val="20"/>
        </w:rPr>
        <w:t xml:space="preserve">pooled over locations and replications obtained from the repeated-measures mixed-effects model. Observations were recorded at 1, 3, 5, 7, 10 and 14 days after each spray. Treatments: T1 = novaluron + </w:t>
      </w:r>
      <w:proofErr w:type="spellStart"/>
      <w:r w:rsidRPr="00EC5920">
        <w:rPr>
          <w:rFonts w:ascii="Arial" w:hAnsi="Arial" w:cs="Arial"/>
          <w:bCs/>
          <w:sz w:val="20"/>
          <w:szCs w:val="20"/>
        </w:rPr>
        <w:t>emamectin</w:t>
      </w:r>
      <w:proofErr w:type="spellEnd"/>
      <w:r w:rsidRPr="00EC5920">
        <w:rPr>
          <w:rFonts w:ascii="Arial" w:hAnsi="Arial" w:cs="Arial"/>
          <w:bCs/>
          <w:sz w:val="20"/>
          <w:szCs w:val="20"/>
        </w:rPr>
        <w:t xml:space="preserve"> benzoate + </w:t>
      </w:r>
      <w:r w:rsidRPr="00EC5920">
        <w:rPr>
          <w:rFonts w:ascii="Arial" w:hAnsi="Arial" w:cs="Arial"/>
          <w:bCs/>
          <w:i/>
          <w:iCs/>
          <w:sz w:val="20"/>
          <w:szCs w:val="20"/>
        </w:rPr>
        <w:t>M. anisopliae</w:t>
      </w:r>
      <w:r w:rsidRPr="00EC5920">
        <w:rPr>
          <w:rFonts w:ascii="Arial" w:hAnsi="Arial" w:cs="Arial"/>
          <w:bCs/>
          <w:sz w:val="20"/>
          <w:szCs w:val="20"/>
        </w:rPr>
        <w:t xml:space="preserve">; T2 = thiamethoxam + lambda-cyhalothrin + </w:t>
      </w:r>
      <w:r w:rsidRPr="00EC5920">
        <w:rPr>
          <w:rFonts w:ascii="Arial" w:hAnsi="Arial" w:cs="Arial"/>
          <w:bCs/>
          <w:i/>
          <w:iCs/>
          <w:sz w:val="20"/>
          <w:szCs w:val="20"/>
        </w:rPr>
        <w:t>M. anisopliae</w:t>
      </w:r>
      <w:r w:rsidRPr="00EC5920">
        <w:rPr>
          <w:rFonts w:ascii="Arial" w:hAnsi="Arial" w:cs="Arial"/>
          <w:bCs/>
          <w:sz w:val="20"/>
          <w:szCs w:val="20"/>
        </w:rPr>
        <w:t xml:space="preserve">; T3 = novaluron + </w:t>
      </w:r>
      <w:proofErr w:type="spellStart"/>
      <w:r w:rsidRPr="00EC5920">
        <w:rPr>
          <w:rFonts w:ascii="Arial" w:hAnsi="Arial" w:cs="Arial"/>
          <w:bCs/>
          <w:sz w:val="20"/>
          <w:szCs w:val="20"/>
        </w:rPr>
        <w:t>emamectin</w:t>
      </w:r>
      <w:proofErr w:type="spellEnd"/>
      <w:r w:rsidRPr="00EC5920">
        <w:rPr>
          <w:rFonts w:ascii="Arial" w:hAnsi="Arial" w:cs="Arial"/>
          <w:bCs/>
          <w:sz w:val="20"/>
          <w:szCs w:val="20"/>
        </w:rPr>
        <w:t xml:space="preserve"> benzoate; T4 = thiamethoxam + lambda-cyhalothrin; T5 = </w:t>
      </w:r>
      <w:r w:rsidRPr="00EC5920">
        <w:rPr>
          <w:rFonts w:ascii="Arial" w:hAnsi="Arial" w:cs="Arial"/>
          <w:bCs/>
          <w:i/>
          <w:iCs/>
          <w:sz w:val="20"/>
          <w:szCs w:val="20"/>
        </w:rPr>
        <w:t>M. anisopliae</w:t>
      </w:r>
      <w:r w:rsidRPr="00EC5920">
        <w:rPr>
          <w:rFonts w:ascii="Arial" w:hAnsi="Arial" w:cs="Arial"/>
          <w:bCs/>
          <w:sz w:val="20"/>
          <w:szCs w:val="20"/>
        </w:rPr>
        <w:t>; T6 = untreated control.</w:t>
      </w:r>
    </w:p>
    <w:p w14:paraId="4B08F170" w14:textId="77777777" w:rsidR="00DB62B6" w:rsidRPr="00EC5920" w:rsidRDefault="00E45654" w:rsidP="002E7D34">
      <w:pPr>
        <w:spacing w:before="120" w:after="120" w:line="240" w:lineRule="auto"/>
        <w:jc w:val="both"/>
        <w:rPr>
          <w:rFonts w:ascii="Arial" w:hAnsi="Arial" w:cs="Arial"/>
          <w:bCs/>
          <w:sz w:val="20"/>
          <w:szCs w:val="20"/>
        </w:rPr>
      </w:pPr>
      <w:r w:rsidRPr="00EC5920">
        <w:rPr>
          <w:rFonts w:ascii="Arial" w:hAnsi="Arial" w:cs="Arial"/>
          <w:bCs/>
          <w:sz w:val="20"/>
          <w:szCs w:val="20"/>
        </w:rPr>
        <w:t xml:space="preserve">The observed trend </w:t>
      </w:r>
      <w:r>
        <w:rPr>
          <w:rFonts w:ascii="Arial" w:hAnsi="Arial" w:cs="Arial"/>
          <w:bCs/>
          <w:sz w:val="20"/>
          <w:szCs w:val="20"/>
          <w:highlight w:val="yellow"/>
        </w:rPr>
        <w:t>suggests that integrating</w:t>
      </w:r>
      <w:r w:rsidR="00DB62B6" w:rsidRPr="00EC5920">
        <w:rPr>
          <w:rFonts w:ascii="Arial" w:hAnsi="Arial" w:cs="Arial"/>
          <w:bCs/>
          <w:sz w:val="20"/>
          <w:szCs w:val="20"/>
        </w:rPr>
        <w:t xml:space="preserve"> </w:t>
      </w:r>
      <w:r w:rsidR="00DB62B6" w:rsidRPr="00EC5920">
        <w:rPr>
          <w:rFonts w:ascii="Arial" w:hAnsi="Arial" w:cs="Arial"/>
          <w:bCs/>
          <w:i/>
          <w:iCs/>
          <w:sz w:val="20"/>
          <w:szCs w:val="20"/>
        </w:rPr>
        <w:t>M. anisopliae</w:t>
      </w:r>
      <w:r w:rsidR="00DB62B6" w:rsidRPr="00EC5920">
        <w:rPr>
          <w:rFonts w:ascii="Arial" w:hAnsi="Arial" w:cs="Arial"/>
          <w:bCs/>
          <w:sz w:val="20"/>
          <w:szCs w:val="20"/>
        </w:rPr>
        <w:t xml:space="preserve"> with insecticides maintained or marginally improved field efficacy, while the fungal treatment alone was inadequate for achieving satisfactory suppression under natural infestation. The superiority of </w:t>
      </w:r>
      <w:proofErr w:type="spellStart"/>
      <w:r>
        <w:rPr>
          <w:rFonts w:ascii="Arial" w:hAnsi="Arial" w:cs="Arial"/>
          <w:bCs/>
          <w:sz w:val="20"/>
          <w:szCs w:val="20"/>
          <w:highlight w:val="yellow"/>
        </w:rPr>
        <w:t>emamectin</w:t>
      </w:r>
      <w:proofErr w:type="spellEnd"/>
      <w:r>
        <w:rPr>
          <w:rFonts w:ascii="Arial" w:hAnsi="Arial" w:cs="Arial"/>
          <w:bCs/>
          <w:sz w:val="20"/>
          <w:szCs w:val="20"/>
          <w:highlight w:val="yellow"/>
        </w:rPr>
        <w:t xml:space="preserve"> benzoate-based treatments</w:t>
      </w:r>
      <w:r>
        <w:rPr>
          <w:rFonts w:ascii="Arial" w:hAnsi="Arial" w:cs="Arial"/>
          <w:bCs/>
          <w:sz w:val="20"/>
          <w:szCs w:val="20"/>
        </w:rPr>
        <w:t xml:space="preserve"> observed in the present investigation corroborates earlier field studies reporting their consistent effectiveness against fall armyworm. Bharadwaj </w:t>
      </w:r>
      <w:r w:rsidR="00DB62B6" w:rsidRPr="00EC5920">
        <w:rPr>
          <w:rFonts w:ascii="Arial" w:hAnsi="Arial" w:cs="Arial"/>
          <w:bCs/>
          <w:i/>
          <w:iCs/>
          <w:sz w:val="20"/>
          <w:szCs w:val="20"/>
        </w:rPr>
        <w:t>et al</w:t>
      </w:r>
      <w:r w:rsidR="00DB62B6" w:rsidRPr="00EC5920">
        <w:rPr>
          <w:rFonts w:ascii="Arial" w:hAnsi="Arial" w:cs="Arial"/>
          <w:bCs/>
          <w:sz w:val="20"/>
          <w:szCs w:val="20"/>
        </w:rPr>
        <w:t xml:space="preserve">. (2020) and Poul </w:t>
      </w:r>
      <w:r w:rsidR="00DB62B6" w:rsidRPr="00EC5920">
        <w:rPr>
          <w:rFonts w:ascii="Arial" w:hAnsi="Arial" w:cs="Arial"/>
          <w:bCs/>
          <w:i/>
          <w:iCs/>
          <w:sz w:val="20"/>
          <w:szCs w:val="20"/>
        </w:rPr>
        <w:t>et al</w:t>
      </w:r>
      <w:r w:rsidR="00DB62B6" w:rsidRPr="00EC5920">
        <w:rPr>
          <w:rFonts w:ascii="Arial" w:hAnsi="Arial" w:cs="Arial"/>
          <w:bCs/>
          <w:sz w:val="20"/>
          <w:szCs w:val="20"/>
        </w:rPr>
        <w:t xml:space="preserve">. (2020) reported </w:t>
      </w:r>
      <w:r w:rsidR="00DB62B6" w:rsidRPr="00EC5920">
        <w:rPr>
          <w:rFonts w:ascii="Arial" w:hAnsi="Arial" w:cs="Arial"/>
          <w:bCs/>
          <w:sz w:val="20"/>
          <w:szCs w:val="20"/>
        </w:rPr>
        <w:lastRenderedPageBreak/>
        <w:t xml:space="preserve">significantly lower larval populations with </w:t>
      </w:r>
      <w:proofErr w:type="spellStart"/>
      <w:r w:rsidR="00DB62B6" w:rsidRPr="00EC5920">
        <w:rPr>
          <w:rFonts w:ascii="Arial" w:hAnsi="Arial" w:cs="Arial"/>
          <w:bCs/>
          <w:sz w:val="20"/>
          <w:szCs w:val="20"/>
        </w:rPr>
        <w:t>emamectin</w:t>
      </w:r>
      <w:proofErr w:type="spellEnd"/>
      <w:r w:rsidR="00DB62B6" w:rsidRPr="00EC5920">
        <w:rPr>
          <w:rFonts w:ascii="Arial" w:hAnsi="Arial" w:cs="Arial"/>
          <w:bCs/>
          <w:sz w:val="20"/>
          <w:szCs w:val="20"/>
        </w:rPr>
        <w:t xml:space="preserve"> benzoate than with thiamethoxam + lambda-cyhalothrin, indicating the higher efficacy of </w:t>
      </w:r>
      <w:proofErr w:type="spellStart"/>
      <w:r>
        <w:rPr>
          <w:rFonts w:ascii="Arial" w:hAnsi="Arial" w:cs="Arial"/>
          <w:bCs/>
          <w:sz w:val="20"/>
          <w:szCs w:val="20"/>
          <w:highlight w:val="yellow"/>
        </w:rPr>
        <w:t>emamectin</w:t>
      </w:r>
      <w:proofErr w:type="spellEnd"/>
      <w:r>
        <w:rPr>
          <w:rFonts w:ascii="Arial" w:hAnsi="Arial" w:cs="Arial"/>
          <w:bCs/>
          <w:sz w:val="20"/>
          <w:szCs w:val="20"/>
          <w:highlight w:val="yellow"/>
        </w:rPr>
        <w:t>-based insecticides</w:t>
      </w:r>
      <w:r>
        <w:rPr>
          <w:rFonts w:ascii="Arial" w:hAnsi="Arial" w:cs="Arial"/>
          <w:bCs/>
          <w:sz w:val="20"/>
          <w:szCs w:val="20"/>
        </w:rPr>
        <w:t xml:space="preserve"> in suppressing </w:t>
      </w:r>
      <w:r w:rsidR="00DB62B6" w:rsidRPr="00EC5920">
        <w:rPr>
          <w:rFonts w:ascii="Arial" w:hAnsi="Arial" w:cs="Arial"/>
          <w:bCs/>
          <w:i/>
          <w:iCs/>
          <w:sz w:val="20"/>
          <w:szCs w:val="20"/>
        </w:rPr>
        <w:t xml:space="preserve">S. </w:t>
      </w:r>
      <w:proofErr w:type="spellStart"/>
      <w:r w:rsidR="00DB62B6" w:rsidRPr="00EC5920">
        <w:rPr>
          <w:rFonts w:ascii="Arial" w:hAnsi="Arial" w:cs="Arial"/>
          <w:bCs/>
          <w:i/>
          <w:iCs/>
          <w:sz w:val="20"/>
          <w:szCs w:val="20"/>
        </w:rPr>
        <w:t>frugiperda</w:t>
      </w:r>
      <w:proofErr w:type="spellEnd"/>
      <w:r w:rsidR="00DB62B6" w:rsidRPr="00EC5920">
        <w:rPr>
          <w:rFonts w:ascii="Arial" w:hAnsi="Arial" w:cs="Arial"/>
          <w:bCs/>
          <w:sz w:val="20"/>
          <w:szCs w:val="20"/>
        </w:rPr>
        <w:t xml:space="preserve">. Likewise, </w:t>
      </w:r>
      <w:proofErr w:type="spellStart"/>
      <w:r w:rsidR="00DB62B6" w:rsidRPr="00EC5920">
        <w:rPr>
          <w:rFonts w:ascii="Arial" w:hAnsi="Arial" w:cs="Arial"/>
          <w:bCs/>
          <w:sz w:val="20"/>
          <w:szCs w:val="20"/>
        </w:rPr>
      </w:r>
      <w:r>
        <w:rPr>
          <w:rFonts w:ascii="Arial" w:hAnsi="Arial" w:cs="Arial"/>
          <w:bCs/>
          <w:sz w:val="20"/>
          <w:szCs w:val="20"/>
        </w:rPr>
        <w:t>Ahir</w:t>
      </w:r>
      <w:r>
        <w:rPr>
          <w:rFonts w:ascii="Arial" w:hAnsi="Arial" w:cs="Arial"/>
          <w:bCs/>
          <w:sz w:val="20"/>
          <w:szCs w:val="20"/>
          <w:i/>
          <w:iCs/>
        </w:rPr>
        <w:t xml:space="preserve"> et al.</w:t>
      </w:r>
      <w:r>
        <w:rPr>
          <w:rFonts w:ascii="Arial" w:hAnsi="Arial" w:cs="Arial"/>
          <w:bCs/>
          <w:sz w:val="20"/>
          <w:szCs w:val="20"/>
        </w:rPr>
        <w:t xml:space="preserve"> (2022) found emamectin benzoate to be among the most effective treatments, producing lower plant and leaf damage and higher yield than several biopesticide treatments, including </w:t>
      </w:r>
      <w:r>
        <w:rPr>
          <w:rFonts w:ascii="Arial" w:hAnsi="Arial" w:cs="Arial"/>
          <w:bCs/>
          <w:sz w:val="20"/>
          <w:szCs w:val="20"/>
          <w:i/>
          <w:iCs/>
        </w:rPr>
        <w:t>M. anisopliae</w:t>
      </w:r>
      <w:r>
        <w:rPr>
          <w:rFonts w:ascii="Arial" w:hAnsi="Arial" w:cs="Arial"/>
          <w:bCs/>
          <w:sz w:val="20"/>
          <w:szCs w:val="20"/>
        </w:rPr>
        <w:t>.</w:t>
      </w:r>
      <w:r>
        <w:rPr>
          <w:rFonts w:ascii="Arial" w:hAnsi="Arial" w:cs="Arial"/>
          <w:bCs/>
          <w:sz w:val="20"/>
          <w:szCs w:val="20"/>
        </w:rPr>
        <w:t xml:space="preserve"> The close agreement between these studies and the present findings suggests that </w:t>
      </w:r>
      <w:proofErr w:type="spellEnd"/>
      <w:proofErr w:type="spellStart"/>
      <w:proofErr w:type="spellEnd"/>
      <w:proofErr w:type="spellStart"/>
      <w:r w:rsidR="00DB62B6" w:rsidRPr="00EC5920">
        <w:rPr>
          <w:rFonts w:ascii="Arial" w:hAnsi="Arial" w:cs="Arial"/>
          <w:bCs/>
          <w:sz w:val="20"/>
          <w:szCs w:val="20"/>
        </w:rPr>
        <w:t>emamectin</w:t>
      </w:r>
      <w:proofErr w:type="spellEnd"/>
      <w:r w:rsidR="00DB62B6" w:rsidRPr="00EC5920">
        <w:rPr>
          <w:rFonts w:ascii="Arial" w:hAnsi="Arial" w:cs="Arial"/>
          <w:bCs/>
          <w:sz w:val="20"/>
          <w:szCs w:val="20"/>
        </w:rPr>
        <w:t xml:space="preserve"> benzoate continues to provide reliable field control of fall armyworm across different </w:t>
      </w:r>
      <w:proofErr w:type="spellStart"/>
      <w:r w:rsidR="00DB62B6" w:rsidRPr="00EC5920">
        <w:rPr>
          <w:rFonts w:ascii="Arial" w:hAnsi="Arial" w:cs="Arial"/>
          <w:bCs/>
          <w:sz w:val="20"/>
          <w:szCs w:val="20"/>
        </w:rPr>
        <w:t>agro</w:t>
      </w:r>
      <w:proofErr w:type="spellEnd"/>
      <w:r w:rsidR="00DB62B6" w:rsidRPr="00EC5920">
        <w:rPr>
          <w:rFonts w:ascii="Arial" w:hAnsi="Arial" w:cs="Arial"/>
          <w:bCs/>
          <w:sz w:val="20"/>
          <w:szCs w:val="20"/>
        </w:rPr>
        <w:t xml:space="preserve">-climatic conditions. </w:t>
      </w:r>
    </w:p>
    <w:p w14:paraId="31233513" w14:textId="77777777" w:rsidR="00DB62B6" w:rsidRPr="00EC5920" w:rsidRDefault="00DB62B6" w:rsidP="002E7D34">
      <w:pPr>
        <w:spacing w:before="120" w:after="120" w:line="240" w:lineRule="auto"/>
        <w:jc w:val="both"/>
        <w:rPr>
          <w:rFonts w:ascii="Arial" w:hAnsi="Arial" w:cs="Arial"/>
          <w:bCs/>
          <w:sz w:val="20"/>
          <w:szCs w:val="20"/>
        </w:rPr>
      </w:pPr>
      <w:r w:rsidRPr="00EC5920">
        <w:rPr>
          <w:rFonts w:ascii="Arial" w:hAnsi="Arial" w:cs="Arial"/>
          <w:bCs/>
          <w:sz w:val="20"/>
          <w:szCs w:val="20"/>
        </w:rPr>
        <w:t xml:space="preserve">An important outcome of the present investigation was that the addition of </w:t>
      </w:r>
      <w:r w:rsidRPr="00EC5920">
        <w:rPr>
          <w:rFonts w:ascii="Arial" w:hAnsi="Arial" w:cs="Arial"/>
          <w:bCs/>
          <w:i/>
          <w:iCs/>
          <w:sz w:val="20"/>
          <w:szCs w:val="20"/>
        </w:rPr>
        <w:t>M. anisopliae</w:t>
      </w:r>
      <w:r w:rsidRPr="00EC5920">
        <w:rPr>
          <w:rFonts w:ascii="Arial" w:hAnsi="Arial" w:cs="Arial"/>
          <w:bCs/>
          <w:sz w:val="20"/>
          <w:szCs w:val="20"/>
        </w:rPr>
        <w:t xml:space="preserve"> to insecticidal treatments did not reduce their effectiveness and consistently resulted in numerically lower infestation than the respective insecticides applied alone. Although the differences were not statistically significant, this trend indicates that the entomopathogenic fungus is compatible with these insecticides under field conditions. Similar observations were reported by Haritha </w:t>
      </w:r>
      <w:r w:rsidRPr="00EC5920">
        <w:rPr>
          <w:rFonts w:ascii="Arial" w:hAnsi="Arial" w:cs="Arial"/>
          <w:bCs/>
          <w:i/>
          <w:iCs/>
          <w:sz w:val="20"/>
          <w:szCs w:val="20"/>
        </w:rPr>
        <w:t>et al.</w:t>
      </w:r>
      <w:r w:rsidRPr="00EC5920">
        <w:rPr>
          <w:rFonts w:ascii="Arial" w:hAnsi="Arial" w:cs="Arial"/>
          <w:bCs/>
          <w:sz w:val="20"/>
          <w:szCs w:val="20"/>
        </w:rPr>
        <w:t xml:space="preserve"> (2023), who found greater population reduction with insecticide and </w:t>
      </w:r>
      <w:r w:rsidRPr="00EC5920">
        <w:rPr>
          <w:rFonts w:ascii="Arial" w:hAnsi="Arial" w:cs="Arial"/>
          <w:bCs/>
          <w:i/>
          <w:iCs/>
          <w:sz w:val="20"/>
          <w:szCs w:val="20"/>
        </w:rPr>
        <w:t>M. anisopliae</w:t>
      </w:r>
      <w:r w:rsidRPr="00EC5920">
        <w:rPr>
          <w:rFonts w:ascii="Arial" w:hAnsi="Arial" w:cs="Arial"/>
          <w:bCs/>
          <w:sz w:val="20"/>
          <w:szCs w:val="20"/>
        </w:rPr>
        <w:t xml:space="preserve"> combinations than with </w:t>
      </w:r>
      <w:r w:rsidRPr="00EC5920">
        <w:rPr>
          <w:rFonts w:ascii="Arial" w:hAnsi="Arial" w:cs="Arial"/>
          <w:bCs/>
          <w:i/>
          <w:iCs/>
          <w:sz w:val="20"/>
          <w:szCs w:val="20"/>
        </w:rPr>
        <w:t>M. anisopliae</w:t>
      </w:r>
      <w:r w:rsidRPr="00EC5920">
        <w:rPr>
          <w:rFonts w:ascii="Arial" w:hAnsi="Arial" w:cs="Arial"/>
          <w:bCs/>
          <w:sz w:val="20"/>
          <w:szCs w:val="20"/>
        </w:rPr>
        <w:t xml:space="preserve"> alone, demonstrating the value of integrating biological and chemical approaches for fall armyworm management. </w:t>
      </w:r>
    </w:p>
    <w:p w14:paraId="2EB7D625" w14:textId="77777777" w:rsidR="00783762" w:rsidRPr="00D42E6D" w:rsidRDefault="00783762" w:rsidP="002E7D34">
      <w:pPr>
        <w:spacing w:before="120" w:after="120" w:line="240" w:lineRule="auto"/>
        <w:jc w:val="both"/>
        <w:rPr>
          <w:rFonts w:ascii="Arial" w:hAnsi="Arial" w:cs="Arial"/>
          <w:bCs/>
          <w:sz w:val="20"/>
          <w:szCs w:val="20"/>
        </w:rPr>
      </w:pPr>
      <w:r w:rsidRPr="00D42E6D">
        <w:rPr>
          <w:rFonts w:ascii="Arial" w:hAnsi="Arial" w:cs="Arial"/>
          <w:bCs/>
          <w:sz w:val="20"/>
          <w:szCs w:val="20"/>
        </w:rPr>
        <w:t xml:space="preserve">Recent global evidence further supports the integration of biological control agents with complementary pest management strategies. </w:t>
      </w:r>
      <w:proofErr w:type="spellStart"/>
      <w:r w:rsidRPr="00D42E6D">
        <w:rPr>
          <w:rFonts w:ascii="Arial" w:hAnsi="Arial" w:cs="Arial"/>
          <w:bCs/>
          <w:sz w:val="20"/>
          <w:szCs w:val="20"/>
        </w:rPr>
        <w:t>Wyckhuys</w:t>
      </w:r>
      <w:proofErr w:type="spellEnd"/>
      <w:r w:rsidRPr="00D42E6D">
        <w:rPr>
          <w:rFonts w:ascii="Arial" w:hAnsi="Arial" w:cs="Arial"/>
          <w:bCs/>
          <w:sz w:val="20"/>
          <w:szCs w:val="20"/>
        </w:rPr>
        <w:t xml:space="preserve"> </w:t>
      </w:r>
      <w:r w:rsidRPr="00D42E6D">
        <w:rPr>
          <w:rFonts w:ascii="Arial" w:hAnsi="Arial" w:cs="Arial"/>
          <w:bCs/>
          <w:i/>
          <w:sz w:val="20"/>
          <w:szCs w:val="20"/>
        </w:rPr>
        <w:t>et al.</w:t>
      </w:r>
      <w:r w:rsidRPr="00D42E6D">
        <w:rPr>
          <w:rFonts w:ascii="Arial" w:hAnsi="Arial" w:cs="Arial"/>
          <w:bCs/>
          <w:sz w:val="20"/>
          <w:szCs w:val="20"/>
        </w:rPr>
        <w:t xml:space="preserve"> (2024) reported that although numerous parasitoids, predators and entomopathogens have been identified against </w:t>
      </w:r>
      <w:r w:rsidRPr="00D42E6D">
        <w:rPr>
          <w:rFonts w:ascii="Arial" w:hAnsi="Arial" w:cs="Arial"/>
          <w:bCs/>
          <w:i/>
          <w:iCs/>
          <w:sz w:val="20"/>
          <w:szCs w:val="20"/>
        </w:rPr>
        <w:t xml:space="preserve">S. </w:t>
      </w:r>
      <w:proofErr w:type="spellStart"/>
      <w:r w:rsidRPr="00D42E6D">
        <w:rPr>
          <w:rFonts w:ascii="Arial" w:hAnsi="Arial" w:cs="Arial"/>
          <w:bCs/>
          <w:i/>
          <w:iCs/>
          <w:sz w:val="20"/>
          <w:szCs w:val="20"/>
        </w:rPr>
        <w:t>frugiperda</w:t>
      </w:r>
      <w:proofErr w:type="spellEnd"/>
      <w:r w:rsidRPr="00D42E6D">
        <w:rPr>
          <w:rFonts w:ascii="Arial" w:hAnsi="Arial" w:cs="Arial"/>
          <w:bCs/>
          <w:sz w:val="20"/>
          <w:szCs w:val="20"/>
        </w:rPr>
        <w:t xml:space="preserve">, relatively few have been rigorously validated under field conditions. The authors </w:t>
      </w:r>
      <w:proofErr w:type="spellStart"/>
      <w:r>
        <w:rPr>
          <w:rFonts w:ascii="Arial" w:hAnsi="Arial" w:cs="Arial"/>
          <w:bCs/>
          <w:sz w:val="20"/>
          <w:szCs w:val="20"/>
          <w:highlight w:val="yellow"/>
        </w:rPr>
        <w:t>emphasised</w:t>
      </w:r>
      <w:proofErr w:type="spellEnd"/>
      <w:r>
        <w:rPr>
          <w:rFonts w:ascii="Arial" w:hAnsi="Arial" w:cs="Arial"/>
          <w:bCs/>
          <w:sz w:val="20"/>
          <w:szCs w:val="20"/>
        </w:rPr>
        <w:t xml:space="preserve"> the need for </w:t>
      </w:r>
      <w:proofErr w:type="spellStart"/>
      <w:r>
        <w:rPr>
          <w:rFonts w:ascii="Arial" w:hAnsi="Arial" w:cs="Arial"/>
          <w:bCs/>
          <w:sz w:val="20"/>
          <w:szCs w:val="20"/>
          <w:highlight w:val="yellow"/>
        </w:rPr>
        <w:t>standardised</w:t>
      </w:r>
      <w:proofErr w:type="spellEnd"/>
      <w:r>
        <w:rPr>
          <w:rFonts w:ascii="Arial" w:hAnsi="Arial" w:cs="Arial"/>
          <w:bCs/>
          <w:sz w:val="20"/>
          <w:szCs w:val="20"/>
        </w:rPr>
        <w:t xml:space="preserve"> field evaluations and stronger integration of biological control within IPM </w:t>
      </w:r>
      <w:proofErr w:type="spellStart"/>
      <w:r>
        <w:rPr>
          <w:rFonts w:ascii="Arial" w:hAnsi="Arial" w:cs="Arial"/>
          <w:bCs/>
          <w:sz w:val="20"/>
          <w:szCs w:val="20"/>
        </w:rPr>
        <w:t>programmes</w:t>
      </w:r>
      <w:proofErr w:type="spellEnd"/>
      <w:r>
        <w:rPr>
          <w:rFonts w:ascii="Arial" w:hAnsi="Arial" w:cs="Arial"/>
          <w:bCs/>
          <w:sz w:val="20"/>
          <w:szCs w:val="20"/>
        </w:rPr>
        <w:t xml:space="preserve">. The present findings are consistent with these recommendations by providing field-based evidence that integrating </w:t>
      </w:r>
      <w:r w:rsidRPr="00D42E6D">
        <w:rPr>
          <w:rFonts w:ascii="Arial" w:hAnsi="Arial" w:cs="Arial"/>
          <w:bCs/>
          <w:i/>
          <w:iCs/>
          <w:sz w:val="20"/>
          <w:szCs w:val="20"/>
        </w:rPr>
        <w:t>M. anisopliae</w:t>
      </w:r>
      <w:r w:rsidRPr="00D42E6D">
        <w:rPr>
          <w:rFonts w:ascii="Arial" w:hAnsi="Arial" w:cs="Arial"/>
          <w:bCs/>
          <w:sz w:val="20"/>
          <w:szCs w:val="20"/>
        </w:rPr>
        <w:t xml:space="preserve"> with selective insecticides can effectively suppress fall armyworm without compromising insecticidal performance, thereby supporting sustainable IPM strategies.</w:t>
      </w:r>
    </w:p>
    <w:p w14:paraId="5D9F24C7" w14:textId="77777777" w:rsidR="00DB62B6" w:rsidRPr="00EC5920" w:rsidRDefault="00DB62B6" w:rsidP="002E7D34">
      <w:pPr>
        <w:spacing w:before="120" w:after="120" w:line="240" w:lineRule="auto"/>
        <w:jc w:val="both"/>
        <w:rPr>
          <w:rFonts w:ascii="Arial" w:hAnsi="Arial" w:cs="Arial"/>
          <w:bCs/>
          <w:sz w:val="20"/>
          <w:szCs w:val="20"/>
        </w:rPr>
      </w:pPr>
      <w:r w:rsidRPr="00EC5920">
        <w:rPr>
          <w:rFonts w:ascii="Arial" w:hAnsi="Arial" w:cs="Arial"/>
          <w:bCs/>
          <w:sz w:val="20"/>
          <w:szCs w:val="20"/>
        </w:rPr>
        <w:t xml:space="preserve">The comparatively poor performance of </w:t>
      </w:r>
      <w:r w:rsidRPr="00EC5920">
        <w:rPr>
          <w:rFonts w:ascii="Arial" w:hAnsi="Arial" w:cs="Arial"/>
          <w:bCs/>
          <w:i/>
          <w:iCs/>
          <w:sz w:val="20"/>
          <w:szCs w:val="20"/>
        </w:rPr>
        <w:t>M. anisopliae</w:t>
      </w:r>
      <w:r w:rsidRPr="00EC5920">
        <w:rPr>
          <w:rFonts w:ascii="Arial" w:hAnsi="Arial" w:cs="Arial"/>
          <w:bCs/>
          <w:sz w:val="20"/>
          <w:szCs w:val="20"/>
        </w:rPr>
        <w:t xml:space="preserve"> applied alone in the present study is also consistent with previous reports. </w:t>
      </w:r>
      <w:proofErr w:type="spellStart"/>
      <w:r w:rsidRPr="00EC5920">
        <w:rPr>
          <w:rFonts w:ascii="Arial" w:hAnsi="Arial" w:cs="Arial"/>
          <w:bCs/>
          <w:sz w:val="20"/>
          <w:szCs w:val="20"/>
        </w:rPr>
      </w:r>
      <w:r>
        <w:rPr>
          <w:rFonts w:ascii="Arial" w:hAnsi="Arial" w:cs="Arial"/>
          <w:bCs/>
          <w:sz w:val="20"/>
          <w:szCs w:val="20"/>
        </w:rPr>
        <w:t>Ahir</w:t>
      </w:r>
      <w:r>
        <w:rPr>
          <w:rFonts w:ascii="Arial" w:hAnsi="Arial" w:cs="Arial"/>
          <w:bCs/>
          <w:sz w:val="20"/>
          <w:szCs w:val="20"/>
          <w:i/>
          <w:iCs/>
        </w:rPr>
        <w:t xml:space="preserve"> et al.</w:t>
      </w:r>
      <w:r>
        <w:rPr>
          <w:rFonts w:ascii="Arial" w:hAnsi="Arial" w:cs="Arial"/>
          <w:bCs/>
          <w:sz w:val="20"/>
          <w:szCs w:val="20"/>
        </w:rPr>
        <w:t xml:space="preserve"> (2022) reported lower efficacy of </w:t>
      </w:r>
      <w:r>
        <w:rPr>
          <w:rFonts w:ascii="Arial" w:hAnsi="Arial" w:cs="Arial"/>
          <w:bCs/>
          <w:sz w:val="20"/>
          <w:szCs w:val="20"/>
          <w:i/>
          <w:iCs/>
        </w:rPr>
        <w:t>M. anisopliae</w:t>
      </w:r>
      <w:r>
        <w:rPr>
          <w:rFonts w:ascii="Arial" w:hAnsi="Arial" w:cs="Arial"/>
          <w:bCs/>
          <w:sz w:val="20"/>
          <w:szCs w:val="20"/>
        </w:rPr>
        <w:t xml:space="preserve"> than emamectin benzoate in field trials</w:t>
      </w:r>
      <w:r>
        <w:rPr>
          <w:rFonts w:ascii="Arial" w:hAnsi="Arial" w:cs="Arial"/>
          <w:bCs/>
          <w:sz w:val="20"/>
          <w:szCs w:val="20"/>
        </w:rPr>
        <w:t xml:space="preserve">, while recent findings by Shahi </w:t>
      </w:r>
      <w:proofErr w:type="spellEnd"/>
      <w:r w:rsidRPr="00EC5920">
        <w:rPr>
          <w:rFonts w:ascii="Arial" w:hAnsi="Arial" w:cs="Arial"/>
          <w:bCs/>
          <w:i/>
          <w:iCs/>
          <w:sz w:val="20"/>
          <w:szCs w:val="20"/>
        </w:rPr>
        <w:t>et al.</w:t>
      </w:r>
      <w:r w:rsidRPr="00EC5920">
        <w:rPr>
          <w:rFonts w:ascii="Arial" w:hAnsi="Arial" w:cs="Arial"/>
          <w:bCs/>
          <w:sz w:val="20"/>
          <w:szCs w:val="20"/>
        </w:rPr>
        <w:t xml:space="preserve"> (2024) similarly showed that </w:t>
      </w:r>
      <w:r w:rsidRPr="00EC5920">
        <w:rPr>
          <w:rFonts w:ascii="Arial" w:hAnsi="Arial" w:cs="Arial"/>
          <w:bCs/>
          <w:i/>
          <w:iCs/>
          <w:sz w:val="20"/>
          <w:szCs w:val="20"/>
        </w:rPr>
        <w:t>M. anisopliae</w:t>
      </w:r>
      <w:r w:rsidRPr="00EC5920">
        <w:rPr>
          <w:rFonts w:ascii="Arial" w:hAnsi="Arial" w:cs="Arial"/>
          <w:bCs/>
          <w:sz w:val="20"/>
          <w:szCs w:val="20"/>
        </w:rPr>
        <w:t xml:space="preserve"> was less effective than chlorantraniliprole, </w:t>
      </w:r>
      <w:proofErr w:type="spellStart"/>
      <w:r w:rsidRPr="00EC5920">
        <w:rPr>
          <w:rFonts w:ascii="Arial" w:hAnsi="Arial" w:cs="Arial"/>
          <w:bCs/>
          <w:sz w:val="20"/>
          <w:szCs w:val="20"/>
        </w:rPr>
        <w:t>emamectin</w:t>
      </w:r>
      <w:proofErr w:type="spellEnd"/>
      <w:r w:rsidRPr="00EC5920">
        <w:rPr>
          <w:rFonts w:ascii="Arial" w:hAnsi="Arial" w:cs="Arial"/>
          <w:bCs/>
          <w:sz w:val="20"/>
          <w:szCs w:val="20"/>
        </w:rPr>
        <w:t xml:space="preserve"> benzoate and </w:t>
      </w:r>
      <w:proofErr w:type="spellStart"/>
      <w:r w:rsidRPr="00EC5920">
        <w:rPr>
          <w:rFonts w:ascii="Arial" w:hAnsi="Arial" w:cs="Arial"/>
          <w:bCs/>
          <w:sz w:val="20"/>
          <w:szCs w:val="20"/>
        </w:rPr>
        <w:t>flubendiamide</w:t>
      </w:r>
      <w:proofErr w:type="spellEnd"/>
      <w:r w:rsidRPr="00EC5920">
        <w:rPr>
          <w:rFonts w:ascii="Arial" w:hAnsi="Arial" w:cs="Arial"/>
          <w:bCs/>
          <w:sz w:val="20"/>
          <w:szCs w:val="20"/>
        </w:rPr>
        <w:t xml:space="preserve"> in suppressing fall armyworm under field conditions. Nevertheless, both studies demonstrated that fungal applications still reduced infestation compared with the untreated control, supporting their potential role as components of integrated pest management rather than as stand-alone interventions. </w:t>
      </w:r>
    </w:p>
    <w:p w14:paraId="3D52D03E" w14:textId="77777777" w:rsidR="00C6089A" w:rsidRPr="00EC5920" w:rsidRDefault="00C6089A" w:rsidP="002E7D34">
      <w:pPr>
        <w:spacing w:before="120" w:after="120" w:line="240" w:lineRule="auto"/>
        <w:jc w:val="both"/>
        <w:rPr>
          <w:rFonts w:ascii="Arial" w:hAnsi="Arial" w:cs="Arial"/>
          <w:b/>
          <w:bCs/>
        </w:rPr>
      </w:pPr>
      <w:r w:rsidRPr="00EC5920">
        <w:rPr>
          <w:rFonts w:ascii="Arial" w:hAnsi="Arial" w:cs="Arial"/>
          <w:b/>
          <w:bCs/>
        </w:rPr>
        <w:t xml:space="preserve">3.2 Effect of </w:t>
      </w:r>
      <w:r w:rsidR="00225ECB" w:rsidRPr="00EC5920">
        <w:rPr>
          <w:rFonts w:ascii="Arial" w:hAnsi="Arial" w:cs="Arial"/>
          <w:b/>
          <w:bCs/>
        </w:rPr>
        <w:t xml:space="preserve">Treatments </w:t>
      </w:r>
      <w:r w:rsidRPr="00EC5920">
        <w:rPr>
          <w:rFonts w:ascii="Arial" w:hAnsi="Arial" w:cs="Arial"/>
          <w:b/>
          <w:bCs/>
        </w:rPr>
        <w:t xml:space="preserve">on </w:t>
      </w:r>
      <w:r w:rsidR="00225ECB" w:rsidRPr="00EC5920">
        <w:rPr>
          <w:rFonts w:ascii="Arial" w:hAnsi="Arial" w:cs="Arial"/>
          <w:b/>
          <w:bCs/>
        </w:rPr>
        <w:t xml:space="preserve">Leaf Damage </w:t>
      </w:r>
      <w:r w:rsidR="00F73706" w:rsidRPr="00EC5920">
        <w:rPr>
          <w:rFonts w:ascii="Arial" w:hAnsi="Arial" w:cs="Arial"/>
          <w:b/>
          <w:bCs/>
        </w:rPr>
        <w:t>Score</w:t>
      </w:r>
    </w:p>
    <w:p w14:paraId="2D0BAE38" w14:textId="77777777" w:rsidR="009D2722" w:rsidRPr="00EC5920" w:rsidRDefault="009D2722" w:rsidP="002E7D34">
      <w:pPr>
        <w:spacing w:before="120" w:after="120" w:line="240" w:lineRule="auto"/>
        <w:jc w:val="both"/>
        <w:rPr>
          <w:rFonts w:ascii="Arial" w:hAnsi="Arial" w:cs="Arial"/>
          <w:bCs/>
          <w:sz w:val="20"/>
          <w:szCs w:val="20"/>
        </w:rPr>
      </w:pPr>
      <w:r w:rsidRPr="00EC5920">
        <w:rPr>
          <w:rFonts w:ascii="Arial" w:hAnsi="Arial" w:cs="Arial"/>
          <w:bCs/>
          <w:sz w:val="20"/>
          <w:szCs w:val="20"/>
        </w:rPr>
        <w:t xml:space="preserve">Repeated-measures mixed-model ANOVA of leaf damage </w:t>
      </w:r>
      <w:r w:rsidR="00F73706" w:rsidRPr="00EC5920">
        <w:rPr>
          <w:rFonts w:ascii="Arial" w:hAnsi="Arial" w:cs="Arial"/>
          <w:bCs/>
          <w:sz w:val="20"/>
          <w:szCs w:val="20"/>
        </w:rPr>
        <w:t xml:space="preserve">score </w:t>
      </w:r>
      <w:r w:rsidRPr="00EC5920">
        <w:rPr>
          <w:rFonts w:ascii="Arial" w:hAnsi="Arial" w:cs="Arial"/>
          <w:bCs/>
          <w:sz w:val="20"/>
          <w:szCs w:val="20"/>
        </w:rPr>
        <w:t>revealed significant effects of treatment (F</w:t>
      </w:r>
      <w:proofErr w:type="gramStart"/>
      <w:r w:rsidRPr="00EC5920">
        <w:rPr>
          <w:rFonts w:ascii="Cambria Math" w:hAnsi="Cambria Math" w:cs="Cambria Math"/>
          <w:bCs/>
          <w:sz w:val="20"/>
          <w:szCs w:val="20"/>
        </w:rPr>
        <w:t>₅</w:t>
      </w:r>
      <w:r w:rsidRPr="00EC5920">
        <w:rPr>
          <w:rFonts w:ascii="Arial" w:hAnsi="Arial" w:cs="Arial"/>
          <w:bCs/>
          <w:sz w:val="20"/>
          <w:szCs w:val="20"/>
        </w:rPr>
        <w:t>,</w:t>
      </w:r>
      <w:r w:rsidRPr="00EC5920">
        <w:rPr>
          <w:rFonts w:ascii="Cambria Math" w:hAnsi="Cambria Math" w:cs="Cambria Math"/>
          <w:bCs/>
          <w:sz w:val="20"/>
          <w:szCs w:val="20"/>
        </w:rPr>
        <w:t>₄</w:t>
      </w:r>
      <w:proofErr w:type="gramEnd"/>
      <w:r w:rsidRPr="00EC5920">
        <w:rPr>
          <w:rFonts w:ascii="Cambria Math" w:hAnsi="Cambria Math" w:cs="Cambria Math"/>
          <w:bCs/>
          <w:sz w:val="20"/>
          <w:szCs w:val="20"/>
        </w:rPr>
        <w:t>₈</w:t>
      </w:r>
      <w:r w:rsidRPr="00EC5920">
        <w:rPr>
          <w:rFonts w:ascii="Arial" w:hAnsi="Arial" w:cs="Arial"/>
          <w:bCs/>
          <w:sz w:val="20"/>
          <w:szCs w:val="20"/>
        </w:rPr>
        <w:t xml:space="preserve"> = 81.808, </w:t>
      </w:r>
      <w:r w:rsidRPr="00EC5920">
        <w:rPr>
          <w:rFonts w:ascii="Arial" w:hAnsi="Arial" w:cs="Arial"/>
          <w:bCs/>
          <w:i/>
          <w:iCs/>
          <w:sz w:val="20"/>
          <w:szCs w:val="20"/>
        </w:rPr>
        <w:t>P</w:t>
      </w:r>
      <w:r w:rsidRPr="00EC5920">
        <w:rPr>
          <w:rFonts w:ascii="Arial" w:hAnsi="Arial" w:cs="Arial"/>
          <w:bCs/>
          <w:sz w:val="20"/>
          <w:szCs w:val="20"/>
        </w:rPr>
        <w:t xml:space="preserve"> &lt; 0.001) and observation period (F</w:t>
      </w:r>
      <w:proofErr w:type="gramStart"/>
      <w:r w:rsidRPr="00EC5920">
        <w:rPr>
          <w:rFonts w:ascii="Cambria Math" w:hAnsi="Cambria Math" w:cs="Cambria Math"/>
          <w:bCs/>
          <w:sz w:val="20"/>
          <w:szCs w:val="20"/>
        </w:rPr>
        <w:t>₅</w:t>
      </w:r>
      <w:r w:rsidRPr="00EC5920">
        <w:rPr>
          <w:rFonts w:ascii="Arial" w:hAnsi="Arial" w:cs="Arial"/>
          <w:bCs/>
          <w:sz w:val="20"/>
          <w:szCs w:val="20"/>
        </w:rPr>
        <w:t>,</w:t>
      </w:r>
      <w:r w:rsidRPr="00EC5920">
        <w:rPr>
          <w:rFonts w:ascii="Cambria Math" w:hAnsi="Cambria Math" w:cs="Cambria Math"/>
          <w:bCs/>
          <w:sz w:val="20"/>
          <w:szCs w:val="20"/>
        </w:rPr>
        <w:t>₂</w:t>
      </w:r>
      <w:proofErr w:type="gramEnd"/>
      <w:r w:rsidRPr="00EC5920">
        <w:rPr>
          <w:rFonts w:ascii="Cambria Math" w:hAnsi="Cambria Math" w:cs="Cambria Math"/>
          <w:bCs/>
          <w:sz w:val="20"/>
          <w:szCs w:val="20"/>
        </w:rPr>
        <w:t>₄₀</w:t>
      </w:r>
      <w:r w:rsidRPr="00EC5920">
        <w:rPr>
          <w:rFonts w:ascii="Arial" w:hAnsi="Arial" w:cs="Arial"/>
          <w:bCs/>
          <w:sz w:val="20"/>
          <w:szCs w:val="20"/>
        </w:rPr>
        <w:t xml:space="preserve"> = 6.999, </w:t>
      </w:r>
      <w:r w:rsidRPr="00EC5920">
        <w:rPr>
          <w:rFonts w:ascii="Arial" w:hAnsi="Arial" w:cs="Arial"/>
          <w:bCs/>
          <w:i/>
          <w:iCs/>
          <w:sz w:val="20"/>
          <w:szCs w:val="20"/>
        </w:rPr>
        <w:t>P</w:t>
      </w:r>
      <w:r w:rsidRPr="00EC5920">
        <w:rPr>
          <w:rFonts w:ascii="Arial" w:hAnsi="Arial" w:cs="Arial"/>
          <w:bCs/>
          <w:sz w:val="20"/>
          <w:szCs w:val="20"/>
        </w:rPr>
        <w:t xml:space="preserve"> &lt; 0.001), whereas the effects of location (F</w:t>
      </w:r>
      <w:proofErr w:type="gramStart"/>
      <w:r w:rsidRPr="00EC5920">
        <w:rPr>
          <w:rFonts w:ascii="Cambria Math" w:hAnsi="Cambria Math" w:cs="Cambria Math"/>
          <w:bCs/>
          <w:sz w:val="20"/>
          <w:szCs w:val="20"/>
        </w:rPr>
        <w:t>₁</w:t>
      </w:r>
      <w:r w:rsidRPr="00EC5920">
        <w:rPr>
          <w:rFonts w:ascii="Arial" w:hAnsi="Arial" w:cs="Arial"/>
          <w:bCs/>
          <w:sz w:val="20"/>
          <w:szCs w:val="20"/>
        </w:rPr>
        <w:t>,</w:t>
      </w:r>
      <w:r w:rsidRPr="00EC5920">
        <w:rPr>
          <w:rFonts w:ascii="Cambria Math" w:hAnsi="Cambria Math" w:cs="Cambria Math"/>
          <w:bCs/>
          <w:sz w:val="20"/>
          <w:szCs w:val="20"/>
        </w:rPr>
        <w:t>₄</w:t>
      </w:r>
      <w:proofErr w:type="gramEnd"/>
      <w:r w:rsidRPr="00EC5920">
        <w:rPr>
          <w:rFonts w:ascii="Cambria Math" w:hAnsi="Cambria Math" w:cs="Cambria Math"/>
          <w:bCs/>
          <w:sz w:val="20"/>
          <w:szCs w:val="20"/>
        </w:rPr>
        <w:t>₈</w:t>
      </w:r>
      <w:r w:rsidRPr="00EC5920">
        <w:rPr>
          <w:rFonts w:ascii="Arial" w:hAnsi="Arial" w:cs="Arial"/>
          <w:bCs/>
          <w:sz w:val="20"/>
          <w:szCs w:val="20"/>
        </w:rPr>
        <w:t xml:space="preserve"> = 0.092, </w:t>
      </w:r>
      <w:r w:rsidRPr="00EC5920">
        <w:rPr>
          <w:rFonts w:ascii="Arial" w:hAnsi="Arial" w:cs="Arial"/>
          <w:bCs/>
          <w:i/>
          <w:iCs/>
          <w:sz w:val="20"/>
          <w:szCs w:val="20"/>
        </w:rPr>
        <w:t>P</w:t>
      </w:r>
      <w:r w:rsidRPr="00EC5920">
        <w:rPr>
          <w:rFonts w:ascii="Arial" w:hAnsi="Arial" w:cs="Arial"/>
          <w:bCs/>
          <w:sz w:val="20"/>
          <w:szCs w:val="20"/>
        </w:rPr>
        <w:t xml:space="preserve"> = 0.7629) and spray (F</w:t>
      </w:r>
      <w:proofErr w:type="gramStart"/>
      <w:r w:rsidRPr="00EC5920">
        <w:rPr>
          <w:rFonts w:ascii="Cambria Math" w:hAnsi="Cambria Math" w:cs="Cambria Math"/>
          <w:bCs/>
          <w:sz w:val="20"/>
          <w:szCs w:val="20"/>
        </w:rPr>
        <w:t>₁</w:t>
      </w:r>
      <w:r w:rsidRPr="00EC5920">
        <w:rPr>
          <w:rFonts w:ascii="Arial" w:hAnsi="Arial" w:cs="Arial"/>
          <w:bCs/>
          <w:sz w:val="20"/>
          <w:szCs w:val="20"/>
        </w:rPr>
        <w:t>,</w:t>
      </w:r>
      <w:r w:rsidRPr="00EC5920">
        <w:rPr>
          <w:rFonts w:ascii="Cambria Math" w:hAnsi="Cambria Math" w:cs="Cambria Math"/>
          <w:bCs/>
          <w:sz w:val="20"/>
          <w:szCs w:val="20"/>
        </w:rPr>
        <w:t>₄</w:t>
      </w:r>
      <w:proofErr w:type="gramEnd"/>
      <w:r w:rsidRPr="00EC5920">
        <w:rPr>
          <w:rFonts w:ascii="Cambria Math" w:hAnsi="Cambria Math" w:cs="Cambria Math"/>
          <w:bCs/>
          <w:sz w:val="20"/>
          <w:szCs w:val="20"/>
        </w:rPr>
        <w:t>₈</w:t>
      </w:r>
      <w:r w:rsidRPr="00EC5920">
        <w:rPr>
          <w:rFonts w:ascii="Arial" w:hAnsi="Arial" w:cs="Arial"/>
          <w:bCs/>
          <w:sz w:val="20"/>
          <w:szCs w:val="20"/>
        </w:rPr>
        <w:t xml:space="preserve"> = 0.985, </w:t>
      </w:r>
      <w:r w:rsidRPr="00EC5920">
        <w:rPr>
          <w:rFonts w:ascii="Arial" w:hAnsi="Arial" w:cs="Arial"/>
          <w:bCs/>
          <w:i/>
          <w:iCs/>
          <w:sz w:val="20"/>
          <w:szCs w:val="20"/>
        </w:rPr>
        <w:t>P</w:t>
      </w:r>
      <w:r w:rsidRPr="00EC5920">
        <w:rPr>
          <w:rFonts w:ascii="Arial" w:hAnsi="Arial" w:cs="Arial"/>
          <w:bCs/>
          <w:sz w:val="20"/>
          <w:szCs w:val="20"/>
        </w:rPr>
        <w:t xml:space="preserve"> = 0.3259) were not significant. Among the interaction effects, spray × treatment (F</w:t>
      </w:r>
      <w:proofErr w:type="gramStart"/>
      <w:r w:rsidRPr="00EC5920">
        <w:rPr>
          <w:rFonts w:ascii="Cambria Math" w:hAnsi="Cambria Math" w:cs="Cambria Math"/>
          <w:bCs/>
          <w:sz w:val="20"/>
          <w:szCs w:val="20"/>
        </w:rPr>
        <w:t>₅</w:t>
      </w:r>
      <w:r w:rsidRPr="00EC5920">
        <w:rPr>
          <w:rFonts w:ascii="Arial" w:hAnsi="Arial" w:cs="Arial"/>
          <w:bCs/>
          <w:sz w:val="20"/>
          <w:szCs w:val="20"/>
        </w:rPr>
        <w:t>,</w:t>
      </w:r>
      <w:r w:rsidRPr="00EC5920">
        <w:rPr>
          <w:rFonts w:ascii="Cambria Math" w:hAnsi="Cambria Math" w:cs="Cambria Math"/>
          <w:bCs/>
          <w:sz w:val="20"/>
          <w:szCs w:val="20"/>
        </w:rPr>
        <w:t>₄</w:t>
      </w:r>
      <w:proofErr w:type="gramEnd"/>
      <w:r w:rsidRPr="00EC5920">
        <w:rPr>
          <w:rFonts w:ascii="Cambria Math" w:hAnsi="Cambria Math" w:cs="Cambria Math"/>
          <w:bCs/>
          <w:sz w:val="20"/>
          <w:szCs w:val="20"/>
        </w:rPr>
        <w:t>₈</w:t>
      </w:r>
      <w:r w:rsidRPr="00EC5920">
        <w:rPr>
          <w:rFonts w:ascii="Arial" w:hAnsi="Arial" w:cs="Arial"/>
          <w:bCs/>
          <w:sz w:val="20"/>
          <w:szCs w:val="20"/>
        </w:rPr>
        <w:t xml:space="preserve"> = 20.429, </w:t>
      </w:r>
      <w:r w:rsidRPr="00EC5920">
        <w:rPr>
          <w:rFonts w:ascii="Arial" w:hAnsi="Arial" w:cs="Arial"/>
          <w:bCs/>
          <w:i/>
          <w:iCs/>
          <w:sz w:val="20"/>
          <w:szCs w:val="20"/>
        </w:rPr>
        <w:t>P</w:t>
      </w:r>
      <w:r w:rsidRPr="00EC5920">
        <w:rPr>
          <w:rFonts w:ascii="Arial" w:hAnsi="Arial" w:cs="Arial"/>
          <w:bCs/>
          <w:sz w:val="20"/>
          <w:szCs w:val="20"/>
        </w:rPr>
        <w:t xml:space="preserve"> &lt; 0.001) and treatment × period (F</w:t>
      </w:r>
      <w:r w:rsidRPr="00EC5920">
        <w:rPr>
          <w:rFonts w:ascii="Cambria Math" w:hAnsi="Cambria Math" w:cs="Cambria Math"/>
          <w:bCs/>
          <w:sz w:val="20"/>
          <w:szCs w:val="20"/>
        </w:rPr>
        <w:t>₂</w:t>
      </w:r>
      <w:proofErr w:type="gramStart"/>
      <w:r w:rsidRPr="00EC5920">
        <w:rPr>
          <w:rFonts w:ascii="Cambria Math" w:hAnsi="Cambria Math" w:cs="Cambria Math"/>
          <w:bCs/>
          <w:sz w:val="20"/>
          <w:szCs w:val="20"/>
        </w:rPr>
        <w:t>₅</w:t>
      </w:r>
      <w:r w:rsidRPr="00EC5920">
        <w:rPr>
          <w:rFonts w:ascii="Arial" w:hAnsi="Arial" w:cs="Arial"/>
          <w:bCs/>
          <w:sz w:val="20"/>
          <w:szCs w:val="20"/>
        </w:rPr>
        <w:t>,</w:t>
      </w:r>
      <w:r w:rsidRPr="00EC5920">
        <w:rPr>
          <w:rFonts w:ascii="Cambria Math" w:hAnsi="Cambria Math" w:cs="Cambria Math"/>
          <w:bCs/>
          <w:sz w:val="20"/>
          <w:szCs w:val="20"/>
        </w:rPr>
        <w:t>₂</w:t>
      </w:r>
      <w:proofErr w:type="gramEnd"/>
      <w:r w:rsidRPr="00EC5920">
        <w:rPr>
          <w:rFonts w:ascii="Cambria Math" w:hAnsi="Cambria Math" w:cs="Cambria Math"/>
          <w:bCs/>
          <w:sz w:val="20"/>
          <w:szCs w:val="20"/>
        </w:rPr>
        <w:t>₄₀</w:t>
      </w:r>
      <w:r w:rsidRPr="00EC5920">
        <w:rPr>
          <w:rFonts w:ascii="Arial" w:hAnsi="Arial" w:cs="Arial"/>
          <w:bCs/>
          <w:sz w:val="20"/>
          <w:szCs w:val="20"/>
        </w:rPr>
        <w:t xml:space="preserve"> = 5.071, </w:t>
      </w:r>
      <w:r w:rsidRPr="00EC5920">
        <w:rPr>
          <w:rFonts w:ascii="Arial" w:hAnsi="Arial" w:cs="Arial"/>
          <w:bCs/>
          <w:i/>
          <w:iCs/>
          <w:sz w:val="20"/>
          <w:szCs w:val="20"/>
        </w:rPr>
        <w:t>P</w:t>
      </w:r>
      <w:r w:rsidRPr="00EC5920">
        <w:rPr>
          <w:rFonts w:ascii="Arial" w:hAnsi="Arial" w:cs="Arial"/>
          <w:bCs/>
          <w:sz w:val="20"/>
          <w:szCs w:val="20"/>
        </w:rPr>
        <w:t xml:space="preserve"> &lt; 0.001) were significant, whereas spray × period (F</w:t>
      </w:r>
      <w:proofErr w:type="gramStart"/>
      <w:r w:rsidRPr="00EC5920">
        <w:rPr>
          <w:rFonts w:ascii="Cambria Math" w:hAnsi="Cambria Math" w:cs="Cambria Math"/>
          <w:bCs/>
          <w:sz w:val="20"/>
          <w:szCs w:val="20"/>
        </w:rPr>
        <w:t>₅</w:t>
      </w:r>
      <w:r w:rsidRPr="00EC5920">
        <w:rPr>
          <w:rFonts w:ascii="Arial" w:hAnsi="Arial" w:cs="Arial"/>
          <w:bCs/>
          <w:sz w:val="20"/>
          <w:szCs w:val="20"/>
        </w:rPr>
        <w:t>,</w:t>
      </w:r>
      <w:r w:rsidRPr="00EC5920">
        <w:rPr>
          <w:rFonts w:ascii="Cambria Math" w:hAnsi="Cambria Math" w:cs="Cambria Math"/>
          <w:bCs/>
          <w:sz w:val="20"/>
          <w:szCs w:val="20"/>
        </w:rPr>
        <w:t>₂</w:t>
      </w:r>
      <w:proofErr w:type="gramEnd"/>
      <w:r w:rsidRPr="00EC5920">
        <w:rPr>
          <w:rFonts w:ascii="Cambria Math" w:hAnsi="Cambria Math" w:cs="Cambria Math"/>
          <w:bCs/>
          <w:sz w:val="20"/>
          <w:szCs w:val="20"/>
        </w:rPr>
        <w:t>₄₀</w:t>
      </w:r>
      <w:r w:rsidRPr="00EC5920">
        <w:rPr>
          <w:rFonts w:ascii="Arial" w:hAnsi="Arial" w:cs="Arial"/>
          <w:bCs/>
          <w:sz w:val="20"/>
          <w:szCs w:val="20"/>
        </w:rPr>
        <w:t xml:space="preserve"> = 1.778, </w:t>
      </w:r>
      <w:r w:rsidRPr="00EC5920">
        <w:rPr>
          <w:rFonts w:ascii="Arial" w:hAnsi="Arial" w:cs="Arial"/>
          <w:bCs/>
          <w:i/>
          <w:iCs/>
          <w:sz w:val="20"/>
          <w:szCs w:val="20"/>
        </w:rPr>
        <w:t>P</w:t>
      </w:r>
      <w:r w:rsidRPr="00EC5920">
        <w:rPr>
          <w:rFonts w:ascii="Arial" w:hAnsi="Arial" w:cs="Arial"/>
          <w:bCs/>
          <w:sz w:val="20"/>
          <w:szCs w:val="20"/>
        </w:rPr>
        <w:t xml:space="preserve"> = 0.1180) and all remaining </w:t>
      </w:r>
      <w:r>
        <w:rPr>
          <w:rFonts w:ascii="Arial" w:hAnsi="Arial" w:cs="Arial"/>
          <w:bCs/>
          <w:sz w:val="20"/>
          <w:szCs w:val="20"/>
          <w:highlight w:val="yellow"/>
        </w:rPr>
        <w:t>two-, three- and four-way interactions</w:t>
      </w:r>
      <w:r>
        <w:rPr>
          <w:rFonts w:ascii="Arial" w:hAnsi="Arial" w:cs="Arial"/>
          <w:bCs/>
          <w:sz w:val="20"/>
          <w:szCs w:val="20"/>
        </w:rPr>
        <w:t xml:space="preserve"> involving location, spray, treatment and observation period were non-significant (Table 3). Since the location × treatment interaction was not significant (F</w:t>
      </w:r>
      <w:proofErr w:type="gramStart"/>
      <w:r w:rsidRPr="00EC5920">
        <w:rPr>
          <w:rFonts w:ascii="Cambria Math" w:hAnsi="Cambria Math" w:cs="Cambria Math"/>
          <w:bCs/>
          <w:sz w:val="20"/>
          <w:szCs w:val="20"/>
        </w:rPr>
        <w:t>₅</w:t>
      </w:r>
      <w:r w:rsidRPr="00EC5920">
        <w:rPr>
          <w:rFonts w:ascii="Arial" w:hAnsi="Arial" w:cs="Arial"/>
          <w:bCs/>
          <w:sz w:val="20"/>
          <w:szCs w:val="20"/>
        </w:rPr>
        <w:t>,</w:t>
      </w:r>
      <w:r w:rsidRPr="00EC5920">
        <w:rPr>
          <w:rFonts w:ascii="Cambria Math" w:hAnsi="Cambria Math" w:cs="Cambria Math"/>
          <w:bCs/>
          <w:sz w:val="20"/>
          <w:szCs w:val="20"/>
        </w:rPr>
        <w:t>₄</w:t>
      </w:r>
      <w:proofErr w:type="gramEnd"/>
      <w:r w:rsidRPr="00EC5920">
        <w:rPr>
          <w:rFonts w:ascii="Cambria Math" w:hAnsi="Cambria Math" w:cs="Cambria Math"/>
          <w:bCs/>
          <w:sz w:val="20"/>
          <w:szCs w:val="20"/>
        </w:rPr>
        <w:t>₈</w:t>
      </w:r>
      <w:r w:rsidRPr="00EC5920">
        <w:rPr>
          <w:rFonts w:ascii="Arial" w:hAnsi="Arial" w:cs="Arial"/>
          <w:bCs/>
          <w:sz w:val="20"/>
          <w:szCs w:val="20"/>
        </w:rPr>
        <w:t xml:space="preserve"> = 0.009, </w:t>
      </w:r>
      <w:r w:rsidRPr="00EC5920">
        <w:rPr>
          <w:rFonts w:ascii="Arial" w:hAnsi="Arial" w:cs="Arial"/>
          <w:bCs/>
          <w:i/>
          <w:iCs/>
          <w:sz w:val="20"/>
          <w:szCs w:val="20"/>
        </w:rPr>
        <w:t>P</w:t>
      </w:r>
      <w:r w:rsidRPr="00EC5920">
        <w:rPr>
          <w:rFonts w:ascii="Arial" w:hAnsi="Arial" w:cs="Arial"/>
          <w:bCs/>
          <w:sz w:val="20"/>
          <w:szCs w:val="20"/>
        </w:rPr>
        <w:t xml:space="preserve"> = 1.0000), treatment means were pooled across locations for comparison.</w:t>
      </w:r>
    </w:p>
    <w:p w14:paraId="34277010" w14:textId="77777777" w:rsidR="00C6089A" w:rsidRPr="00EC5920" w:rsidRDefault="00C6089A" w:rsidP="002E7D34">
      <w:pPr>
        <w:spacing w:before="120" w:after="120" w:line="240" w:lineRule="auto"/>
        <w:jc w:val="both"/>
        <w:rPr>
          <w:rFonts w:ascii="Arial" w:hAnsi="Arial" w:cs="Arial"/>
          <w:bCs/>
          <w:sz w:val="20"/>
          <w:szCs w:val="20"/>
        </w:rPr>
      </w:pPr>
      <w:r w:rsidRPr="00EC5920">
        <w:rPr>
          <w:rFonts w:ascii="Arial" w:hAnsi="Arial" w:cs="Arial"/>
          <w:bCs/>
          <w:sz w:val="20"/>
          <w:szCs w:val="20"/>
        </w:rPr>
        <w:t>Pooled estimated marginal means showed significant diffe</w:t>
      </w:r>
      <w:r w:rsidR="00DF543E" w:rsidRPr="00EC5920">
        <w:rPr>
          <w:rFonts w:ascii="Arial" w:hAnsi="Arial" w:cs="Arial"/>
          <w:bCs/>
          <w:sz w:val="20"/>
          <w:szCs w:val="20"/>
        </w:rPr>
        <w:t>rences among treatments</w:t>
      </w:r>
      <w:r w:rsidRPr="00EC5920">
        <w:rPr>
          <w:rFonts w:ascii="Arial" w:hAnsi="Arial" w:cs="Arial"/>
          <w:bCs/>
          <w:sz w:val="20"/>
          <w:szCs w:val="20"/>
        </w:rPr>
        <w:t xml:space="preserve">. </w:t>
      </w:r>
      <w:r w:rsidR="00F24E62" w:rsidRPr="00EC5920">
        <w:rPr>
          <w:rFonts w:ascii="Arial" w:hAnsi="Arial" w:cs="Arial"/>
          <w:bCs/>
          <w:sz w:val="20"/>
          <w:szCs w:val="20"/>
        </w:rPr>
        <w:t xml:space="preserve">The temporal pattern of leaf damage </w:t>
      </w:r>
      <w:r w:rsidR="00F73706" w:rsidRPr="00EC5920">
        <w:rPr>
          <w:rFonts w:ascii="Arial" w:hAnsi="Arial" w:cs="Arial"/>
          <w:bCs/>
          <w:sz w:val="20"/>
          <w:szCs w:val="20"/>
        </w:rPr>
        <w:t xml:space="preserve">score </w:t>
      </w:r>
      <w:r w:rsidR="00F24E62" w:rsidRPr="00EC5920">
        <w:rPr>
          <w:rFonts w:ascii="Arial" w:hAnsi="Arial" w:cs="Arial"/>
          <w:bCs/>
          <w:sz w:val="20"/>
          <w:szCs w:val="20"/>
        </w:rPr>
        <w:t xml:space="preserve">across the six observation periods following the first and second sprays is presented in Figure 2. </w:t>
      </w:r>
      <w:r w:rsidRPr="00EC5920">
        <w:rPr>
          <w:rFonts w:ascii="Arial" w:hAnsi="Arial" w:cs="Arial"/>
          <w:bCs/>
          <w:sz w:val="20"/>
          <w:szCs w:val="20"/>
        </w:rPr>
        <w:t xml:space="preserve">The combination of </w:t>
      </w:r>
      <w:r w:rsidR="00F60466" w:rsidRPr="00EC5920">
        <w:rPr>
          <w:rFonts w:ascii="Arial" w:hAnsi="Arial" w:cs="Arial"/>
          <w:bCs/>
          <w:sz w:val="20"/>
          <w:szCs w:val="20"/>
        </w:rPr>
        <w:t xml:space="preserve">novaluron </w:t>
      </w:r>
      <w:r w:rsidRPr="00EC5920">
        <w:rPr>
          <w:rFonts w:ascii="Arial" w:hAnsi="Arial" w:cs="Arial"/>
          <w:bCs/>
          <w:sz w:val="20"/>
          <w:szCs w:val="20"/>
        </w:rPr>
        <w:t xml:space="preserve">5.25 + </w:t>
      </w:r>
      <w:proofErr w:type="spellStart"/>
      <w:r w:rsidR="00F60466" w:rsidRPr="00EC5920">
        <w:rPr>
          <w:rFonts w:ascii="Arial" w:hAnsi="Arial" w:cs="Arial"/>
          <w:bCs/>
          <w:sz w:val="20"/>
          <w:szCs w:val="20"/>
        </w:rPr>
        <w:t>emamectin</w:t>
      </w:r>
      <w:proofErr w:type="spellEnd"/>
      <w:r w:rsidR="00F60466" w:rsidRPr="00EC5920">
        <w:rPr>
          <w:rFonts w:ascii="Arial" w:hAnsi="Arial" w:cs="Arial"/>
          <w:bCs/>
          <w:sz w:val="20"/>
          <w:szCs w:val="20"/>
        </w:rPr>
        <w:t xml:space="preserve"> </w:t>
      </w:r>
      <w:r w:rsidRPr="00EC5920">
        <w:rPr>
          <w:rFonts w:ascii="Arial" w:hAnsi="Arial" w:cs="Arial"/>
          <w:bCs/>
          <w:sz w:val="20"/>
          <w:szCs w:val="20"/>
        </w:rPr>
        <w:t xml:space="preserve">benzoate 0.9 SC + </w:t>
      </w:r>
      <w:r w:rsidRPr="00EC5920">
        <w:rPr>
          <w:rFonts w:ascii="Arial" w:hAnsi="Arial" w:cs="Arial"/>
          <w:bCs/>
          <w:i/>
          <w:iCs/>
          <w:sz w:val="20"/>
          <w:szCs w:val="20"/>
        </w:rPr>
        <w:t>M</w:t>
      </w:r>
      <w:r w:rsidR="00F60466" w:rsidRPr="00EC5920">
        <w:rPr>
          <w:rFonts w:ascii="Arial" w:hAnsi="Arial" w:cs="Arial"/>
          <w:bCs/>
          <w:i/>
          <w:iCs/>
          <w:sz w:val="20"/>
          <w:szCs w:val="20"/>
        </w:rPr>
        <w:t xml:space="preserve">. </w:t>
      </w:r>
      <w:r w:rsidRPr="00EC5920">
        <w:rPr>
          <w:rFonts w:ascii="Arial" w:hAnsi="Arial" w:cs="Arial"/>
          <w:bCs/>
          <w:i/>
          <w:iCs/>
          <w:sz w:val="20"/>
          <w:szCs w:val="20"/>
        </w:rPr>
        <w:t>anisopliae</w:t>
      </w:r>
      <w:r w:rsidRPr="00EC5920">
        <w:rPr>
          <w:rFonts w:ascii="Arial" w:hAnsi="Arial" w:cs="Arial"/>
          <w:bCs/>
          <w:sz w:val="20"/>
          <w:szCs w:val="20"/>
        </w:rPr>
        <w:t xml:space="preserve"> recorded the lowest leaf damage </w:t>
      </w:r>
      <w:r w:rsidR="00F73706" w:rsidRPr="00EC5920">
        <w:rPr>
          <w:rFonts w:ascii="Arial" w:hAnsi="Arial" w:cs="Arial"/>
          <w:bCs/>
          <w:sz w:val="20"/>
          <w:szCs w:val="20"/>
        </w:rPr>
        <w:t xml:space="preserve">score </w:t>
      </w:r>
      <w:r w:rsidRPr="00EC5920">
        <w:rPr>
          <w:rFonts w:ascii="Arial" w:hAnsi="Arial" w:cs="Arial"/>
          <w:bCs/>
          <w:sz w:val="20"/>
          <w:szCs w:val="20"/>
        </w:rPr>
        <w:t xml:space="preserve">(2.70 ± 0.15), which was statistically comparable to </w:t>
      </w:r>
      <w:r w:rsidR="00F60466" w:rsidRPr="00EC5920">
        <w:rPr>
          <w:rFonts w:ascii="Arial" w:hAnsi="Arial" w:cs="Arial"/>
          <w:bCs/>
          <w:sz w:val="20"/>
          <w:szCs w:val="20"/>
        </w:rPr>
        <w:t xml:space="preserve">novaluron </w:t>
      </w:r>
      <w:r w:rsidRPr="00EC5920">
        <w:rPr>
          <w:rFonts w:ascii="Arial" w:hAnsi="Arial" w:cs="Arial"/>
          <w:bCs/>
          <w:sz w:val="20"/>
          <w:szCs w:val="20"/>
        </w:rPr>
        <w:t xml:space="preserve">5.25 + </w:t>
      </w:r>
      <w:proofErr w:type="spellStart"/>
      <w:r w:rsidR="00F60466" w:rsidRPr="00EC5920">
        <w:rPr>
          <w:rFonts w:ascii="Arial" w:hAnsi="Arial" w:cs="Arial"/>
          <w:bCs/>
          <w:sz w:val="20"/>
          <w:szCs w:val="20"/>
        </w:rPr>
        <w:t>emamectin</w:t>
      </w:r>
      <w:proofErr w:type="spellEnd"/>
      <w:r w:rsidR="00F60466" w:rsidRPr="00EC5920">
        <w:rPr>
          <w:rFonts w:ascii="Arial" w:hAnsi="Arial" w:cs="Arial"/>
          <w:bCs/>
          <w:sz w:val="20"/>
          <w:szCs w:val="20"/>
        </w:rPr>
        <w:t xml:space="preserve"> </w:t>
      </w:r>
      <w:r w:rsidRPr="00EC5920">
        <w:rPr>
          <w:rFonts w:ascii="Arial" w:hAnsi="Arial" w:cs="Arial"/>
          <w:bCs/>
          <w:sz w:val="20"/>
          <w:szCs w:val="20"/>
        </w:rPr>
        <w:t xml:space="preserve">benzoate 0.9 SC applied alone (2.76 ± 0.15). Likewise, the combination of </w:t>
      </w:r>
      <w:r w:rsidR="00F60466" w:rsidRPr="00EC5920">
        <w:rPr>
          <w:rFonts w:ascii="Arial" w:hAnsi="Arial" w:cs="Arial"/>
          <w:bCs/>
          <w:sz w:val="20"/>
          <w:szCs w:val="20"/>
        </w:rPr>
        <w:t xml:space="preserve">thiamethoxam </w:t>
      </w:r>
      <w:r w:rsidRPr="00EC5920">
        <w:rPr>
          <w:rFonts w:ascii="Arial" w:hAnsi="Arial" w:cs="Arial"/>
          <w:bCs/>
          <w:sz w:val="20"/>
          <w:szCs w:val="20"/>
        </w:rPr>
        <w:t xml:space="preserve">12.60 + </w:t>
      </w:r>
      <w:r w:rsidR="00F60466" w:rsidRPr="00EC5920">
        <w:rPr>
          <w:rFonts w:ascii="Arial" w:hAnsi="Arial" w:cs="Arial"/>
          <w:bCs/>
          <w:sz w:val="20"/>
          <w:szCs w:val="20"/>
        </w:rPr>
        <w:t xml:space="preserve">lambda-cyhalothrin </w:t>
      </w:r>
      <w:r w:rsidRPr="00EC5920">
        <w:rPr>
          <w:rFonts w:ascii="Arial" w:hAnsi="Arial" w:cs="Arial"/>
          <w:bCs/>
          <w:sz w:val="20"/>
          <w:szCs w:val="20"/>
        </w:rPr>
        <w:t xml:space="preserve">9.50 SC + </w:t>
      </w:r>
      <w:r w:rsidRPr="00EC5920">
        <w:rPr>
          <w:rFonts w:ascii="Arial" w:hAnsi="Arial" w:cs="Arial"/>
          <w:bCs/>
          <w:i/>
          <w:iCs/>
          <w:sz w:val="20"/>
          <w:szCs w:val="20"/>
        </w:rPr>
        <w:t>M. anisopliae</w:t>
      </w:r>
      <w:r w:rsidRPr="00EC5920">
        <w:rPr>
          <w:rFonts w:ascii="Arial" w:hAnsi="Arial" w:cs="Arial"/>
          <w:bCs/>
          <w:sz w:val="20"/>
          <w:szCs w:val="20"/>
        </w:rPr>
        <w:t xml:space="preserve"> (3.45 ± 0.15) and </w:t>
      </w:r>
      <w:r w:rsidR="00F60466" w:rsidRPr="00EC5920">
        <w:rPr>
          <w:rFonts w:ascii="Arial" w:hAnsi="Arial" w:cs="Arial"/>
          <w:bCs/>
          <w:sz w:val="20"/>
          <w:szCs w:val="20"/>
        </w:rPr>
        <w:t xml:space="preserve">thiamethoxam </w:t>
      </w:r>
      <w:r w:rsidRPr="00EC5920">
        <w:rPr>
          <w:rFonts w:ascii="Arial" w:hAnsi="Arial" w:cs="Arial"/>
          <w:bCs/>
          <w:sz w:val="20"/>
          <w:szCs w:val="20"/>
        </w:rPr>
        <w:t xml:space="preserve">12.60 + </w:t>
      </w:r>
      <w:r w:rsidR="00F60466" w:rsidRPr="00EC5920">
        <w:rPr>
          <w:rFonts w:ascii="Arial" w:hAnsi="Arial" w:cs="Arial"/>
          <w:bCs/>
          <w:sz w:val="20"/>
          <w:szCs w:val="20"/>
        </w:rPr>
        <w:t xml:space="preserve">lambda-cyhalothrin </w:t>
      </w:r>
      <w:r w:rsidRPr="00EC5920">
        <w:rPr>
          <w:rFonts w:ascii="Arial" w:hAnsi="Arial" w:cs="Arial"/>
          <w:bCs/>
          <w:sz w:val="20"/>
          <w:szCs w:val="20"/>
        </w:rPr>
        <w:t xml:space="preserve">9.50 SC applied alone (3.50 ± 0.15) were statistically comparable and produced intermediate levels of leaf damage. </w:t>
      </w:r>
      <w:r w:rsidRPr="00EC5920">
        <w:rPr>
          <w:rFonts w:ascii="Arial" w:hAnsi="Arial" w:cs="Arial"/>
          <w:bCs/>
          <w:i/>
          <w:iCs/>
          <w:sz w:val="20"/>
          <w:szCs w:val="20"/>
        </w:rPr>
        <w:t>M</w:t>
      </w:r>
      <w:r w:rsidR="00F60466" w:rsidRPr="00EC5920">
        <w:rPr>
          <w:rFonts w:ascii="Arial" w:hAnsi="Arial" w:cs="Arial"/>
          <w:bCs/>
          <w:i/>
          <w:iCs/>
          <w:sz w:val="20"/>
          <w:szCs w:val="20"/>
        </w:rPr>
        <w:t xml:space="preserve">. </w:t>
      </w:r>
      <w:r w:rsidRPr="00EC5920">
        <w:rPr>
          <w:rFonts w:ascii="Arial" w:hAnsi="Arial" w:cs="Arial"/>
          <w:bCs/>
          <w:i/>
          <w:iCs/>
          <w:sz w:val="20"/>
          <w:szCs w:val="20"/>
        </w:rPr>
        <w:t>anisopliae</w:t>
      </w:r>
      <w:r w:rsidRPr="00EC5920">
        <w:rPr>
          <w:rFonts w:ascii="Arial" w:hAnsi="Arial" w:cs="Arial"/>
          <w:bCs/>
          <w:sz w:val="20"/>
          <w:szCs w:val="20"/>
        </w:rPr>
        <w:t xml:space="preserve"> alone resulted in a mean leaf damage </w:t>
      </w:r>
      <w:r w:rsidR="00F73706" w:rsidRPr="00EC5920">
        <w:rPr>
          <w:rFonts w:ascii="Arial" w:hAnsi="Arial" w:cs="Arial"/>
          <w:bCs/>
          <w:sz w:val="20"/>
          <w:szCs w:val="20"/>
        </w:rPr>
        <w:t xml:space="preserve">score </w:t>
      </w:r>
      <w:r w:rsidRPr="00EC5920">
        <w:rPr>
          <w:rFonts w:ascii="Arial" w:hAnsi="Arial" w:cs="Arial"/>
          <w:bCs/>
          <w:sz w:val="20"/>
          <w:szCs w:val="20"/>
        </w:rPr>
        <w:t xml:space="preserve">of 4.49 ± 0.15, whereas the untreated control (water spray) recorded the highest </w:t>
      </w:r>
      <w:r>
        <w:rPr>
          <w:rFonts w:ascii="Arial" w:hAnsi="Arial" w:cs="Arial"/>
          <w:bCs/>
          <w:sz w:val="20"/>
          <w:szCs w:val="20"/>
          <w:highlight w:val="yellow"/>
        </w:rPr>
        <w:t>damage score (6.24</w:t>
      </w:r>
      <w:r w:rsidRPr="00EC5920">
        <w:rPr>
          <w:rFonts w:ascii="Arial" w:hAnsi="Arial" w:cs="Arial"/>
          <w:bCs/>
          <w:sz w:val="20"/>
          <w:szCs w:val="20"/>
        </w:rPr>
        <w:t xml:space="preserve"> ± 0.15). Pairwise comparisons were significant for all treatment combinations except between </w:t>
      </w:r>
      <w:r w:rsidR="00F60466" w:rsidRPr="00EC5920">
        <w:rPr>
          <w:rFonts w:ascii="Arial" w:hAnsi="Arial" w:cs="Arial"/>
          <w:bCs/>
          <w:sz w:val="20"/>
          <w:szCs w:val="20"/>
        </w:rPr>
        <w:t xml:space="preserve">novaluron </w:t>
      </w:r>
      <w:r w:rsidRPr="00EC5920">
        <w:rPr>
          <w:rFonts w:ascii="Arial" w:hAnsi="Arial" w:cs="Arial"/>
          <w:bCs/>
          <w:sz w:val="20"/>
          <w:szCs w:val="20"/>
        </w:rPr>
        <w:t xml:space="preserve">5.25 + </w:t>
      </w:r>
      <w:proofErr w:type="spellStart"/>
      <w:r w:rsidR="00F60466" w:rsidRPr="00EC5920">
        <w:rPr>
          <w:rFonts w:ascii="Arial" w:hAnsi="Arial" w:cs="Arial"/>
          <w:bCs/>
          <w:sz w:val="20"/>
          <w:szCs w:val="20"/>
        </w:rPr>
        <w:t>emamectin</w:t>
      </w:r>
      <w:proofErr w:type="spellEnd"/>
      <w:r w:rsidR="00F60466" w:rsidRPr="00EC5920">
        <w:rPr>
          <w:rFonts w:ascii="Arial" w:hAnsi="Arial" w:cs="Arial"/>
          <w:bCs/>
          <w:sz w:val="20"/>
          <w:szCs w:val="20"/>
        </w:rPr>
        <w:t xml:space="preserve"> </w:t>
      </w:r>
      <w:r w:rsidRPr="00EC5920">
        <w:rPr>
          <w:rFonts w:ascii="Arial" w:hAnsi="Arial" w:cs="Arial"/>
          <w:bCs/>
          <w:sz w:val="20"/>
          <w:szCs w:val="20"/>
        </w:rPr>
        <w:t xml:space="preserve">benzoate 0.9 SC with and without </w:t>
      </w:r>
      <w:r w:rsidRPr="00EC5920">
        <w:rPr>
          <w:rFonts w:ascii="Arial" w:hAnsi="Arial" w:cs="Arial"/>
          <w:bCs/>
          <w:i/>
          <w:iCs/>
          <w:sz w:val="20"/>
          <w:szCs w:val="20"/>
        </w:rPr>
        <w:t>M. anisopliae</w:t>
      </w:r>
      <w:r w:rsidRPr="00EC5920">
        <w:rPr>
          <w:rFonts w:ascii="Arial" w:hAnsi="Arial" w:cs="Arial"/>
          <w:bCs/>
          <w:sz w:val="20"/>
          <w:szCs w:val="20"/>
        </w:rPr>
        <w:t xml:space="preserve"> (</w:t>
      </w:r>
      <w:r w:rsidRPr="00EC5920">
        <w:rPr>
          <w:rFonts w:ascii="Arial" w:hAnsi="Arial" w:cs="Arial"/>
          <w:bCs/>
          <w:i/>
          <w:iCs/>
          <w:sz w:val="20"/>
          <w:szCs w:val="20"/>
        </w:rPr>
        <w:t>P</w:t>
      </w:r>
      <w:r w:rsidRPr="00EC5920">
        <w:rPr>
          <w:rFonts w:ascii="Arial" w:hAnsi="Arial" w:cs="Arial"/>
          <w:bCs/>
          <w:sz w:val="20"/>
          <w:szCs w:val="20"/>
        </w:rPr>
        <w:t xml:space="preserve"> = 0.9997) and between </w:t>
      </w:r>
      <w:r w:rsidR="00F60466" w:rsidRPr="00EC5920">
        <w:rPr>
          <w:rFonts w:ascii="Arial" w:hAnsi="Arial" w:cs="Arial"/>
          <w:bCs/>
          <w:sz w:val="20"/>
          <w:szCs w:val="20"/>
        </w:rPr>
        <w:t xml:space="preserve">thiamethoxam </w:t>
      </w:r>
      <w:r w:rsidRPr="00EC5920">
        <w:rPr>
          <w:rFonts w:ascii="Arial" w:hAnsi="Arial" w:cs="Arial"/>
          <w:bCs/>
          <w:sz w:val="20"/>
          <w:szCs w:val="20"/>
        </w:rPr>
        <w:t xml:space="preserve">12.60 + </w:t>
      </w:r>
      <w:r w:rsidR="00F60466" w:rsidRPr="00EC5920">
        <w:rPr>
          <w:rFonts w:ascii="Arial" w:hAnsi="Arial" w:cs="Arial"/>
          <w:bCs/>
          <w:sz w:val="20"/>
          <w:szCs w:val="20"/>
        </w:rPr>
        <w:t xml:space="preserve">lambda-cyhalothrin </w:t>
      </w:r>
      <w:r w:rsidRPr="00EC5920">
        <w:rPr>
          <w:rFonts w:ascii="Arial" w:hAnsi="Arial" w:cs="Arial"/>
          <w:bCs/>
          <w:sz w:val="20"/>
          <w:szCs w:val="20"/>
        </w:rPr>
        <w:t xml:space="preserve">9.50 SC with and without </w:t>
      </w:r>
      <w:r w:rsidRPr="00EC5920">
        <w:rPr>
          <w:rFonts w:ascii="Arial" w:hAnsi="Arial" w:cs="Arial"/>
          <w:bCs/>
          <w:i/>
          <w:iCs/>
          <w:sz w:val="20"/>
          <w:szCs w:val="20"/>
        </w:rPr>
        <w:t>M. anisopliae</w:t>
      </w:r>
      <w:r w:rsidRPr="00EC5920">
        <w:rPr>
          <w:rFonts w:ascii="Arial" w:hAnsi="Arial" w:cs="Arial"/>
          <w:bCs/>
          <w:sz w:val="20"/>
          <w:szCs w:val="20"/>
        </w:rPr>
        <w:t xml:space="preserve"> (</w:t>
      </w:r>
      <w:r w:rsidRPr="00EC5920">
        <w:rPr>
          <w:rFonts w:ascii="Arial" w:hAnsi="Arial" w:cs="Arial"/>
          <w:bCs/>
          <w:i/>
          <w:iCs/>
          <w:sz w:val="20"/>
          <w:szCs w:val="20"/>
        </w:rPr>
        <w:t>P</w:t>
      </w:r>
      <w:r w:rsidRPr="00EC5920">
        <w:rPr>
          <w:rFonts w:ascii="Arial" w:hAnsi="Arial" w:cs="Arial"/>
          <w:bCs/>
          <w:sz w:val="20"/>
          <w:szCs w:val="20"/>
        </w:rPr>
        <w:t xml:space="preserve"> ≈ 1.000).</w:t>
      </w:r>
    </w:p>
    <w:p w14:paraId="6802E7DB" w14:textId="77777777" w:rsidR="005E2689" w:rsidRPr="00EC5920" w:rsidRDefault="00573E7D" w:rsidP="00573E7D">
      <w:pPr>
        <w:pStyle w:val="NormalWeb"/>
        <w:rPr>
          <w:rFonts w:ascii="Arial" w:hAnsi="Arial" w:cs="Arial"/>
          <w:b/>
          <w:bCs/>
          <w:sz w:val="20"/>
          <w:szCs w:val="20"/>
        </w:rPr>
      </w:pPr>
      <w:r w:rsidRPr="00EC5920">
        <w:rPr>
          <w:rFonts w:ascii="Arial" w:hAnsi="Arial" w:cs="Arial"/>
          <w:noProof/>
          <w:lang w:val="en-US" w:eastAsia="en-US" w:bidi="ar-SA"/>
        </w:rPr>
        <w:lastRenderedPageBreak/>
        <w:drawing>
          <wp:inline distT="0" distB="0" distL="0" distR="0" wp14:anchorId="75334CDD" wp14:editId="5D9FB446">
            <wp:extent cx="5732145" cy="3126625"/>
            <wp:effectExtent l="0" t="0" r="1905" b="0"/>
            <wp:docPr id="6" name="Picture 6" descr="D:\PhD\Paper\UPJZ\Leaf Damage Sco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hD\Paper\UPJZ\Leaf Damage Scor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145" cy="3126625"/>
                    </a:xfrm>
                    <a:prstGeom prst="rect">
                      <a:avLst/>
                    </a:prstGeom>
                    <a:noFill/>
                    <a:ln>
                      <a:noFill/>
                    </a:ln>
                  </pic:spPr>
                </pic:pic>
              </a:graphicData>
            </a:graphic>
          </wp:inline>
        </w:drawing>
      </w:r>
      <w:r w:rsidR="006560AF" w:rsidRPr="00EC5920">
        <w:rPr>
          <w:rFonts w:ascii="Arial" w:hAnsi="Arial" w:cs="Arial"/>
          <w:b/>
          <w:bCs/>
          <w:sz w:val="20"/>
          <w:szCs w:val="20"/>
        </w:rPr>
        <w:t>Fig</w:t>
      </w:r>
      <w:r w:rsidR="00776042" w:rsidRPr="00EC5920">
        <w:rPr>
          <w:rFonts w:ascii="Arial" w:hAnsi="Arial" w:cs="Arial"/>
          <w:b/>
          <w:bCs/>
          <w:sz w:val="20"/>
          <w:szCs w:val="20"/>
        </w:rPr>
        <w:t>ure</w:t>
      </w:r>
      <w:r w:rsidR="006560AF" w:rsidRPr="00EC5920">
        <w:rPr>
          <w:rFonts w:ascii="Arial" w:hAnsi="Arial" w:cs="Arial"/>
          <w:b/>
          <w:bCs/>
          <w:sz w:val="20"/>
          <w:szCs w:val="20"/>
        </w:rPr>
        <w:t xml:space="preserve"> 2. </w:t>
      </w:r>
      <w:r w:rsidR="005E2689" w:rsidRPr="00EC5920">
        <w:rPr>
          <w:rFonts w:ascii="Arial" w:hAnsi="Arial" w:cs="Arial"/>
          <w:b/>
          <w:bCs/>
          <w:sz w:val="20"/>
          <w:szCs w:val="20"/>
        </w:rPr>
        <w:t xml:space="preserve">Temporal variation in maize leaf damage score caused by </w:t>
      </w:r>
      <w:r w:rsidR="005E2689" w:rsidRPr="00EC5920">
        <w:rPr>
          <w:rFonts w:ascii="Arial" w:hAnsi="Arial" w:cs="Arial"/>
          <w:b/>
          <w:bCs/>
          <w:i/>
          <w:iCs/>
          <w:sz w:val="20"/>
          <w:szCs w:val="20"/>
        </w:rPr>
        <w:t xml:space="preserve">S. </w:t>
      </w:r>
      <w:proofErr w:type="spellStart"/>
      <w:r w:rsidR="005E2689" w:rsidRPr="00EC5920">
        <w:rPr>
          <w:rFonts w:ascii="Arial" w:hAnsi="Arial" w:cs="Arial"/>
          <w:b/>
          <w:bCs/>
          <w:i/>
          <w:iCs/>
          <w:sz w:val="20"/>
          <w:szCs w:val="20"/>
        </w:rPr>
        <w:t>frugiperda</w:t>
      </w:r>
      <w:proofErr w:type="spellEnd"/>
      <w:r w:rsidR="005E2689" w:rsidRPr="00EC5920">
        <w:rPr>
          <w:rFonts w:ascii="Arial" w:hAnsi="Arial" w:cs="Arial"/>
          <w:b/>
          <w:bCs/>
          <w:sz w:val="20"/>
          <w:szCs w:val="20"/>
        </w:rPr>
        <w:t xml:space="preserve"> under different treatments following the first and second sprays</w:t>
      </w:r>
    </w:p>
    <w:p w14:paraId="5285B8CA" w14:textId="77777777" w:rsidR="00431E69" w:rsidRPr="00EC5920" w:rsidRDefault="006560AF" w:rsidP="005E2689">
      <w:pPr>
        <w:spacing w:before="120" w:after="120" w:line="240" w:lineRule="auto"/>
        <w:ind w:left="603" w:hanging="603"/>
        <w:jc w:val="both"/>
        <w:rPr>
          <w:rFonts w:ascii="Arial" w:hAnsi="Arial" w:cs="Arial"/>
          <w:bCs/>
          <w:sz w:val="20"/>
          <w:szCs w:val="20"/>
        </w:rPr>
      </w:pPr>
      <w:r w:rsidRPr="00EC5920">
        <w:rPr>
          <w:rFonts w:ascii="Arial" w:eastAsia="Times New Roman" w:hAnsi="Arial" w:cs="Arial"/>
          <w:b/>
          <w:bCs/>
          <w:sz w:val="20"/>
          <w:szCs w:val="20"/>
        </w:rPr>
        <w:t xml:space="preserve">Note: </w:t>
      </w:r>
      <w:r w:rsidRPr="00EC5920">
        <w:rPr>
          <w:rFonts w:ascii="Arial" w:eastAsia="Times New Roman" w:hAnsi="Arial" w:cs="Arial"/>
          <w:bCs/>
          <w:sz w:val="20"/>
          <w:szCs w:val="20"/>
        </w:rPr>
        <w:t xml:space="preserve">Values represent estimated marginal means (± SE) pooled over locations and replications from the repeated-measures mixed-effects model. Observation periods correspond to 1, 3, 5, 7, 10 and 14 days after each spray. Treatments: T1 = Novaluron + </w:t>
      </w:r>
      <w:proofErr w:type="spellStart"/>
      <w:r w:rsidRPr="00EC5920">
        <w:rPr>
          <w:rFonts w:ascii="Arial" w:eastAsia="Times New Roman" w:hAnsi="Arial" w:cs="Arial"/>
          <w:bCs/>
          <w:sz w:val="20"/>
          <w:szCs w:val="20"/>
        </w:rPr>
        <w:t>emamectin</w:t>
      </w:r>
      <w:proofErr w:type="spellEnd"/>
      <w:r w:rsidRPr="00EC5920">
        <w:rPr>
          <w:rFonts w:ascii="Arial" w:eastAsia="Times New Roman" w:hAnsi="Arial" w:cs="Arial"/>
          <w:bCs/>
          <w:sz w:val="20"/>
          <w:szCs w:val="20"/>
        </w:rPr>
        <w:t xml:space="preserve"> benzoate + </w:t>
      </w:r>
      <w:r w:rsidRPr="00EC5920">
        <w:rPr>
          <w:rFonts w:ascii="Arial" w:eastAsia="Times New Roman" w:hAnsi="Arial" w:cs="Arial"/>
          <w:bCs/>
          <w:i/>
          <w:iCs/>
          <w:sz w:val="20"/>
          <w:szCs w:val="20"/>
        </w:rPr>
        <w:t>M. anisopliae</w:t>
      </w:r>
      <w:r w:rsidRPr="00EC5920">
        <w:rPr>
          <w:rFonts w:ascii="Arial" w:eastAsia="Times New Roman" w:hAnsi="Arial" w:cs="Arial"/>
          <w:bCs/>
          <w:sz w:val="20"/>
          <w:szCs w:val="20"/>
        </w:rPr>
        <w:t xml:space="preserve">; T2 = Thiamethoxam + lambda-cyhalothrin + </w:t>
      </w:r>
      <w:r w:rsidRPr="00EC5920">
        <w:rPr>
          <w:rFonts w:ascii="Arial" w:eastAsia="Times New Roman" w:hAnsi="Arial" w:cs="Arial"/>
          <w:bCs/>
          <w:i/>
          <w:iCs/>
          <w:sz w:val="20"/>
          <w:szCs w:val="20"/>
        </w:rPr>
        <w:t>M. anisopliae</w:t>
      </w:r>
      <w:r w:rsidRPr="00EC5920">
        <w:rPr>
          <w:rFonts w:ascii="Arial" w:eastAsia="Times New Roman" w:hAnsi="Arial" w:cs="Arial"/>
          <w:bCs/>
          <w:sz w:val="20"/>
          <w:szCs w:val="20"/>
        </w:rPr>
        <w:t xml:space="preserve">; T3 = Novaluron + </w:t>
      </w:r>
      <w:proofErr w:type="spellStart"/>
      <w:r w:rsidRPr="00EC5920">
        <w:rPr>
          <w:rFonts w:ascii="Arial" w:eastAsia="Times New Roman" w:hAnsi="Arial" w:cs="Arial"/>
          <w:bCs/>
          <w:sz w:val="20"/>
          <w:szCs w:val="20"/>
        </w:rPr>
        <w:t>emamectin</w:t>
      </w:r>
      <w:proofErr w:type="spellEnd"/>
      <w:r w:rsidRPr="00EC5920">
        <w:rPr>
          <w:rFonts w:ascii="Arial" w:eastAsia="Times New Roman" w:hAnsi="Arial" w:cs="Arial"/>
          <w:bCs/>
          <w:sz w:val="20"/>
          <w:szCs w:val="20"/>
        </w:rPr>
        <w:t xml:space="preserve"> benzoate; T4 = Thiamethoxam + lambda-cyhalothrin; T5 = </w:t>
      </w:r>
      <w:r w:rsidRPr="00EC5920">
        <w:rPr>
          <w:rFonts w:ascii="Arial" w:eastAsia="Times New Roman" w:hAnsi="Arial" w:cs="Arial"/>
          <w:bCs/>
          <w:i/>
          <w:iCs/>
          <w:sz w:val="20"/>
          <w:szCs w:val="20"/>
        </w:rPr>
        <w:t>M. anisopliae</w:t>
      </w:r>
      <w:r w:rsidRPr="00EC5920">
        <w:rPr>
          <w:rFonts w:ascii="Arial" w:eastAsia="Times New Roman" w:hAnsi="Arial" w:cs="Arial"/>
          <w:bCs/>
          <w:sz w:val="20"/>
          <w:szCs w:val="20"/>
        </w:rPr>
        <w:t>; T6 = Untreated control</w:t>
      </w:r>
    </w:p>
    <w:p w14:paraId="6F0EFD5D" w14:textId="77777777" w:rsidR="004460D4" w:rsidRPr="00EC5920" w:rsidRDefault="004460D4" w:rsidP="002E7D34">
      <w:pPr>
        <w:spacing w:before="120" w:after="120" w:line="240" w:lineRule="auto"/>
        <w:jc w:val="both"/>
        <w:rPr>
          <w:rFonts w:ascii="Arial" w:hAnsi="Arial" w:cs="Arial"/>
          <w:bCs/>
          <w:sz w:val="20"/>
          <w:szCs w:val="20"/>
        </w:rPr>
      </w:pPr>
      <w:r w:rsidRPr="00EC5920">
        <w:rPr>
          <w:rFonts w:ascii="Arial" w:hAnsi="Arial" w:cs="Arial"/>
          <w:bCs/>
          <w:sz w:val="20"/>
          <w:szCs w:val="20"/>
        </w:rPr>
        <w:t xml:space="preserve">The present investigation </w:t>
      </w:r>
      <w:r w:rsidR="006560AF" w:rsidRPr="00EC5920">
        <w:rPr>
          <w:rFonts w:ascii="Arial" w:hAnsi="Arial" w:cs="Arial"/>
          <w:bCs/>
          <w:sz w:val="20"/>
          <w:szCs w:val="20"/>
        </w:rPr>
        <w:t>indicates</w:t>
      </w:r>
      <w:r w:rsidRPr="00EC5920">
        <w:rPr>
          <w:rFonts w:ascii="Arial" w:hAnsi="Arial" w:cs="Arial"/>
          <w:bCs/>
          <w:sz w:val="20"/>
          <w:szCs w:val="20"/>
        </w:rPr>
        <w:t xml:space="preserve"> that the reduction in leaf injury closely reflected the observed reduction in plant infestation, </w:t>
      </w:r>
      <w:proofErr w:type="spellStart"/>
      <w:r>
        <w:rPr>
          <w:rFonts w:ascii="Arial" w:hAnsi="Arial" w:cs="Arial"/>
          <w:bCs/>
          <w:sz w:val="20"/>
          <w:szCs w:val="20"/>
          <w:highlight w:val="yellow"/>
        </w:rPr>
        <w:t>emphasising</w:t>
      </w:r>
      <w:proofErr w:type="spellEnd"/>
      <w:r>
        <w:rPr>
          <w:rFonts w:ascii="Arial" w:hAnsi="Arial" w:cs="Arial"/>
          <w:bCs/>
          <w:sz w:val="20"/>
          <w:szCs w:val="20"/>
        </w:rPr>
        <w:t xml:space="preserve"> that effective suppression of larval feeding directly translated into lower foliar damage.</w:t>
      </w:r>
    </w:p>
    <w:p w14:paraId="2D1ACCC7" w14:textId="77777777" w:rsidR="004460D4" w:rsidRPr="00EC5920" w:rsidRDefault="004460D4" w:rsidP="002E7D34">
      <w:pPr>
        <w:spacing w:before="120" w:after="120" w:line="240" w:lineRule="auto"/>
        <w:jc w:val="both"/>
        <w:rPr>
          <w:rFonts w:ascii="Arial" w:hAnsi="Arial" w:cs="Arial"/>
          <w:bCs/>
          <w:sz w:val="20"/>
          <w:szCs w:val="20"/>
        </w:rPr>
      </w:pPr>
      <w:r w:rsidRPr="00EC5920">
        <w:rPr>
          <w:rFonts w:ascii="Arial" w:hAnsi="Arial" w:cs="Arial"/>
          <w:bCs/>
          <w:sz w:val="20"/>
          <w:szCs w:val="20"/>
        </w:rPr>
        <w:t xml:space="preserve">The present findings are in close agreement with those of </w:t>
      </w:r>
      <w:r>
        <w:rPr>
          <w:rFonts w:ascii="Arial" w:hAnsi="Arial" w:cs="Arial"/>
          <w:bCs/>
          <w:sz w:val="20"/>
          <w:szCs w:val="20"/>
        </w:rPr>
        <w:t>Deshmukh</w:t>
      </w:r>
      <w:r>
        <w:rPr>
          <w:rFonts w:ascii="Arial" w:hAnsi="Arial" w:cs="Arial"/>
          <w:bCs/>
          <w:sz w:val="20"/>
          <w:szCs w:val="20"/>
          <w:i/>
          <w:iCs/>
        </w:rPr>
        <w:t xml:space="preserve"> et al.</w:t>
      </w:r>
      <w:r>
        <w:rPr>
          <w:rFonts w:ascii="Arial" w:hAnsi="Arial" w:cs="Arial"/>
          <w:bCs/>
          <w:sz w:val="20"/>
          <w:szCs w:val="20"/>
        </w:rPr>
        <w:t xml:space="preserve"> (2020), who identified emamectin benzoate among the most effective field treatments against fall armyworm, with lower crop damage and higher grain yield than the untreated control</w:t>
      </w:r>
      <w:r>
        <w:rPr>
          <w:rFonts w:ascii="Arial" w:hAnsi="Arial" w:cs="Arial"/>
          <w:bCs/>
          <w:sz w:val="20"/>
          <w:szCs w:val="20"/>
        </w:rPr>
        <w:t xml:space="preserve">, while </w:t>
      </w:r>
      <w:proofErr w:type="spellStart"/>
      <w:proofErr w:type="spellEnd"/>
      <w:proofErr w:type="spellStart"/>
      <w:r w:rsidRPr="00EC5920">
        <w:rPr>
          <w:rFonts w:ascii="Arial" w:hAnsi="Arial" w:cs="Arial"/>
          <w:bCs/>
          <w:sz w:val="20"/>
          <w:szCs w:val="20"/>
        </w:rPr>
        <w:t>Shivakumara</w:t>
      </w:r>
      <w:proofErr w:type="spellEnd"/>
      <w:r w:rsidRPr="00EC5920">
        <w:rPr>
          <w:rFonts w:ascii="Arial" w:hAnsi="Arial" w:cs="Arial"/>
          <w:bCs/>
          <w:sz w:val="20"/>
          <w:szCs w:val="20"/>
        </w:rPr>
        <w:t xml:space="preserve"> (2021) also identified </w:t>
      </w:r>
      <w:proofErr w:type="spellStart"/>
      <w:r w:rsidRPr="00EC5920">
        <w:rPr>
          <w:rFonts w:ascii="Arial" w:hAnsi="Arial" w:cs="Arial"/>
          <w:bCs/>
          <w:sz w:val="20"/>
          <w:szCs w:val="20"/>
        </w:rPr>
        <w:t>emamectin</w:t>
      </w:r>
      <w:proofErr w:type="spellEnd"/>
      <w:r w:rsidRPr="00EC5920">
        <w:rPr>
          <w:rFonts w:ascii="Arial" w:hAnsi="Arial" w:cs="Arial"/>
          <w:bCs/>
          <w:sz w:val="20"/>
          <w:szCs w:val="20"/>
        </w:rPr>
        <w:t xml:space="preserve"> benzoate as one of the most effective insecticides in </w:t>
      </w:r>
      <w:proofErr w:type="spellStart"/>
      <w:r>
        <w:rPr>
          <w:rFonts w:ascii="Arial" w:hAnsi="Arial" w:cs="Arial"/>
          <w:bCs/>
          <w:sz w:val="20"/>
          <w:szCs w:val="20"/>
          <w:highlight w:val="yellow"/>
        </w:rPr>
        <w:t>minimising</w:t>
      </w:r>
      <w:proofErr w:type="spellEnd"/>
      <w:r>
        <w:rPr>
          <w:rFonts w:ascii="Arial" w:hAnsi="Arial" w:cs="Arial"/>
          <w:bCs/>
          <w:sz w:val="20"/>
          <w:szCs w:val="20"/>
        </w:rPr>
        <w:t xml:space="preserve"> damage severity caused by </w:t>
      </w:r>
      <w:r w:rsidRPr="00EC5920">
        <w:rPr>
          <w:rFonts w:ascii="Arial" w:hAnsi="Arial" w:cs="Arial"/>
          <w:bCs/>
          <w:i/>
          <w:iCs/>
          <w:sz w:val="20"/>
          <w:szCs w:val="20"/>
        </w:rPr>
        <w:t xml:space="preserve">S. </w:t>
      </w:r>
      <w:proofErr w:type="spellStart"/>
      <w:r w:rsidRPr="00EC5920">
        <w:rPr>
          <w:rFonts w:ascii="Arial" w:hAnsi="Arial" w:cs="Arial"/>
          <w:bCs/>
          <w:i/>
          <w:iCs/>
          <w:sz w:val="20"/>
          <w:szCs w:val="20"/>
        </w:rPr>
        <w:t>frugiperda</w:t>
      </w:r>
      <w:proofErr w:type="spellEnd"/>
      <w:r w:rsidRPr="00EC5920">
        <w:rPr>
          <w:rFonts w:ascii="Arial" w:hAnsi="Arial" w:cs="Arial"/>
          <w:bCs/>
          <w:sz w:val="20"/>
          <w:szCs w:val="20"/>
        </w:rPr>
        <w:t xml:space="preserve">. Similarly, Sharma </w:t>
      </w:r>
      <w:r w:rsidRPr="00EC5920">
        <w:rPr>
          <w:rFonts w:ascii="Arial" w:hAnsi="Arial" w:cs="Arial"/>
          <w:bCs/>
          <w:i/>
          <w:iCs/>
          <w:sz w:val="20"/>
          <w:szCs w:val="20"/>
        </w:rPr>
        <w:t>et al</w:t>
      </w:r>
      <w:r w:rsidRPr="00EC5920">
        <w:rPr>
          <w:rFonts w:ascii="Arial" w:hAnsi="Arial" w:cs="Arial"/>
          <w:bCs/>
          <w:sz w:val="20"/>
          <w:szCs w:val="20"/>
        </w:rPr>
        <w:t xml:space="preserve">. (2023) observed significantly lower leaf damage in maize treated with </w:t>
      </w:r>
      <w:proofErr w:type="spellStart"/>
      <w:r w:rsidRPr="00EC5920">
        <w:rPr>
          <w:rFonts w:ascii="Arial" w:hAnsi="Arial" w:cs="Arial"/>
          <w:bCs/>
          <w:sz w:val="20"/>
          <w:szCs w:val="20"/>
        </w:rPr>
        <w:t>emamectin</w:t>
      </w:r>
      <w:proofErr w:type="spellEnd"/>
      <w:r w:rsidRPr="00EC5920">
        <w:rPr>
          <w:rFonts w:ascii="Arial" w:hAnsi="Arial" w:cs="Arial"/>
          <w:bCs/>
          <w:sz w:val="20"/>
          <w:szCs w:val="20"/>
        </w:rPr>
        <w:t xml:space="preserve"> benzoate than in untreated plots, confirming the ability of </w:t>
      </w:r>
      <w:proofErr w:type="spellStart"/>
      <w:r>
        <w:rPr>
          <w:rFonts w:ascii="Arial" w:hAnsi="Arial" w:cs="Arial"/>
          <w:bCs/>
          <w:sz w:val="20"/>
          <w:szCs w:val="20"/>
          <w:highlight w:val="yellow"/>
        </w:rPr>
        <w:t>emamectin</w:t>
      </w:r>
      <w:proofErr w:type="spellEnd"/>
      <w:r>
        <w:rPr>
          <w:rFonts w:ascii="Arial" w:hAnsi="Arial" w:cs="Arial"/>
          <w:bCs/>
          <w:sz w:val="20"/>
          <w:szCs w:val="20"/>
          <w:highlight w:val="yellow"/>
        </w:rPr>
        <w:t>-based insecticides</w:t>
      </w:r>
      <w:r>
        <w:rPr>
          <w:rFonts w:ascii="Arial" w:hAnsi="Arial" w:cs="Arial"/>
          <w:bCs/>
          <w:sz w:val="20"/>
          <w:szCs w:val="20"/>
        </w:rPr>
        <w:t xml:space="preserve"> to protect the crop from extensive foliar injury. These studies collectively support the present observation that treatments containing </w:t>
      </w:r>
      <w:proofErr w:type="spellStart"/>
      <w:r>
        <w:rPr>
          <w:rFonts w:ascii="Arial" w:hAnsi="Arial" w:cs="Arial"/>
          <w:bCs/>
          <w:sz w:val="20"/>
          <w:szCs w:val="20"/>
        </w:rPr>
        <w:t>emamectin</w:t>
      </w:r>
      <w:proofErr w:type="spellEnd"/>
      <w:r>
        <w:rPr>
          <w:rFonts w:ascii="Arial" w:hAnsi="Arial" w:cs="Arial"/>
          <w:bCs/>
          <w:sz w:val="20"/>
          <w:szCs w:val="20"/>
        </w:rPr>
        <w:t xml:space="preserve"> benzoate consistently produced lower damage scores than the remaining treatments. </w:t>
      </w:r>
    </w:p>
    <w:p w14:paraId="782EA8A9" w14:textId="77777777" w:rsidR="004460D4" w:rsidRPr="00EC5920" w:rsidRDefault="004460D4" w:rsidP="002E7D34">
      <w:pPr>
        <w:spacing w:before="120" w:after="120" w:line="240" w:lineRule="auto"/>
        <w:jc w:val="both"/>
        <w:rPr>
          <w:rFonts w:ascii="Arial" w:hAnsi="Arial" w:cs="Arial"/>
          <w:bCs/>
          <w:sz w:val="20"/>
          <w:szCs w:val="20"/>
        </w:rPr>
      </w:pPr>
      <w:r w:rsidRPr="00EC5920">
        <w:rPr>
          <w:rFonts w:ascii="Arial" w:hAnsi="Arial" w:cs="Arial"/>
          <w:bCs/>
          <w:sz w:val="20"/>
          <w:szCs w:val="20"/>
        </w:rPr>
        <w:t xml:space="preserve">The relatively higher damage </w:t>
      </w:r>
      <w:bookmarkStart w:id="0" w:name="_Hlk236233276"/>
      <w:r w:rsidRPr="00EC5920">
        <w:rPr>
          <w:rFonts w:ascii="Arial" w:hAnsi="Arial" w:cs="Arial"/>
          <w:bCs/>
          <w:sz w:val="20"/>
          <w:szCs w:val="20"/>
        </w:rPr>
        <w:t>score</w:t>
      </w:r>
      <w:bookmarkEnd w:id="0"/>
      <w:r w:rsidRPr="00EC5920">
        <w:rPr>
          <w:rFonts w:ascii="Arial" w:hAnsi="Arial" w:cs="Arial"/>
          <w:bCs/>
          <w:sz w:val="20"/>
          <w:szCs w:val="20"/>
        </w:rPr>
        <w:t xml:space="preserve">s recorded with thiamethoxam 12.60 + lambda-cyhalothrin 9.50 SC, despite being significantly lower than the untreated control, are consistent with earlier reports indicating that this combination provides satisfactory but comparatively </w:t>
      </w:r>
      <w:r w:rsidR="00982AA9" w:rsidRPr="00EC5920">
        <w:rPr>
          <w:rFonts w:ascii="Arial" w:hAnsi="Arial" w:cs="Arial"/>
          <w:bCs/>
          <w:sz w:val="20"/>
          <w:szCs w:val="20"/>
        </w:rPr>
        <w:t xml:space="preserve">lower protection than </w:t>
      </w:r>
      <w:proofErr w:type="spellStart"/>
      <w:r>
        <w:rPr>
          <w:rFonts w:ascii="Arial" w:hAnsi="Arial" w:cs="Arial"/>
          <w:bCs/>
          <w:sz w:val="20"/>
          <w:szCs w:val="20"/>
          <w:highlight w:val="yellow"/>
        </w:rPr>
        <w:t>emamectin</w:t>
      </w:r>
      <w:proofErr w:type="spellEnd"/>
      <w:r>
        <w:rPr>
          <w:rFonts w:ascii="Arial" w:hAnsi="Arial" w:cs="Arial"/>
          <w:bCs/>
          <w:sz w:val="20"/>
          <w:szCs w:val="20"/>
          <w:highlight w:val="yellow"/>
        </w:rPr>
        <w:t>-based treatments</w:t>
      </w:r>
      <w:r w:rsidRPr="00EC5920">
        <w:rPr>
          <w:rFonts w:ascii="Arial" w:hAnsi="Arial" w:cs="Arial"/>
          <w:bCs/>
          <w:sz w:val="20"/>
          <w:szCs w:val="20"/>
        </w:rPr>
        <w:t xml:space="preserve">. </w:t>
      </w:r>
      <w:proofErr w:type="spellStart"/>
      <w:r w:rsidRPr="00EC5920">
        <w:rPr>
          <w:rFonts w:ascii="Arial" w:hAnsi="Arial" w:cs="Arial"/>
          <w:bCs/>
          <w:sz w:val="20"/>
          <w:szCs w:val="20"/>
        </w:rPr>
      </w:r>
      <w:r>
        <w:rPr>
          <w:rFonts w:ascii="Arial" w:hAnsi="Arial" w:cs="Arial"/>
          <w:bCs/>
          <w:sz w:val="20"/>
          <w:szCs w:val="20"/>
        </w:rPr>
        <w:t>Ahir</w:t>
      </w:r>
      <w:r>
        <w:rPr>
          <w:rFonts w:ascii="Arial" w:hAnsi="Arial" w:cs="Arial"/>
          <w:bCs/>
          <w:sz w:val="20"/>
          <w:szCs w:val="20"/>
          <w:i/>
          <w:iCs/>
        </w:rPr>
        <w:t xml:space="preserve"> et al.</w:t>
      </w:r>
      <w:r>
        <w:rPr>
          <w:rFonts w:ascii="Arial" w:hAnsi="Arial" w:cs="Arial"/>
          <w:bCs/>
          <w:sz w:val="20"/>
          <w:szCs w:val="20"/>
        </w:rPr>
        <w:t xml:space="preserve"> (2022) similarly reported lower plant and leaf damage with emamectin benzoate than with </w:t>
      </w:r>
      <w:r>
        <w:rPr>
          <w:rFonts w:ascii="Arial" w:hAnsi="Arial" w:cs="Arial"/>
          <w:bCs/>
          <w:sz w:val="20"/>
          <w:szCs w:val="20"/>
          <w:i/>
          <w:iCs/>
        </w:rPr>
        <w:t>M. anisopliae</w:t>
      </w:r>
      <w:r>
        <w:rPr>
          <w:rFonts w:ascii="Arial" w:hAnsi="Arial" w:cs="Arial"/>
          <w:bCs/>
          <w:sz w:val="20"/>
          <w:szCs w:val="20"/>
        </w:rPr>
        <w:t>.</w:t>
      </w:r>
      <w:r>
        <w:rPr>
          <w:rFonts w:ascii="Arial" w:hAnsi="Arial" w:cs="Arial"/>
          <w:bCs/>
          <w:sz w:val="20"/>
          <w:szCs w:val="20"/>
        </w:rPr>
        <w:t xml:space="preserve"> Likewise, Zaman and Patel (2023) observed that biological treatments, including </w:t>
      </w:r>
      <w:proofErr w:type="spellEnd"/>
      <w:proofErr w:type="spellStart"/>
      <w:proofErr w:type="spellEnd"/>
      <w:r w:rsidRPr="00EC5920">
        <w:rPr>
          <w:rFonts w:ascii="Arial" w:hAnsi="Arial" w:cs="Arial"/>
          <w:bCs/>
          <w:i/>
          <w:iCs/>
          <w:sz w:val="20"/>
          <w:szCs w:val="20"/>
        </w:rPr>
        <w:t>M. anisopliae</w:t>
      </w:r>
      <w:r w:rsidRPr="00EC5920">
        <w:rPr>
          <w:rFonts w:ascii="Arial" w:hAnsi="Arial" w:cs="Arial"/>
          <w:bCs/>
          <w:sz w:val="20"/>
          <w:szCs w:val="20"/>
        </w:rPr>
        <w:t xml:space="preserve">, reduced leaf damage but were less effective than newer insecticides under field conditions. These findings reinforce the present results, where </w:t>
      </w:r>
      <w:r w:rsidRPr="00EC5920">
        <w:rPr>
          <w:rFonts w:ascii="Arial" w:hAnsi="Arial" w:cs="Arial"/>
          <w:bCs/>
          <w:i/>
          <w:iCs/>
          <w:sz w:val="20"/>
          <w:szCs w:val="20"/>
        </w:rPr>
        <w:t>M. anisopliae</w:t>
      </w:r>
      <w:r w:rsidRPr="00EC5920">
        <w:rPr>
          <w:rFonts w:ascii="Arial" w:hAnsi="Arial" w:cs="Arial"/>
          <w:bCs/>
          <w:sz w:val="20"/>
          <w:szCs w:val="20"/>
        </w:rPr>
        <w:t xml:space="preserve"> alone reduced leaf injury relative to the untreated control but failed to achieve the level of protection provided by insecticidal treatments. </w:t>
      </w:r>
    </w:p>
    <w:p w14:paraId="31094857" w14:textId="77777777" w:rsidR="004460D4" w:rsidRPr="00EC5920" w:rsidRDefault="004460D4" w:rsidP="002E7D34">
      <w:pPr>
        <w:spacing w:before="120" w:after="120" w:line="240" w:lineRule="auto"/>
        <w:jc w:val="both"/>
        <w:rPr>
          <w:rFonts w:ascii="Arial" w:hAnsi="Arial" w:cs="Arial"/>
          <w:bCs/>
          <w:sz w:val="20"/>
          <w:szCs w:val="20"/>
        </w:rPr>
      </w:pPr>
      <w:r w:rsidRPr="00EC5920">
        <w:rPr>
          <w:rFonts w:ascii="Arial" w:hAnsi="Arial" w:cs="Arial"/>
          <w:bCs/>
          <w:sz w:val="20"/>
          <w:szCs w:val="20"/>
        </w:rPr>
        <w:t xml:space="preserve">An important outcome of the present study was that integrating </w:t>
      </w:r>
      <w:r w:rsidRPr="00EC5920">
        <w:rPr>
          <w:rFonts w:ascii="Arial" w:hAnsi="Arial" w:cs="Arial"/>
          <w:bCs/>
          <w:i/>
          <w:iCs/>
          <w:sz w:val="20"/>
          <w:szCs w:val="20"/>
        </w:rPr>
        <w:t>M. anisopliae</w:t>
      </w:r>
      <w:r w:rsidRPr="00EC5920">
        <w:rPr>
          <w:rFonts w:ascii="Arial" w:hAnsi="Arial" w:cs="Arial"/>
          <w:bCs/>
          <w:sz w:val="20"/>
          <w:szCs w:val="20"/>
        </w:rPr>
        <w:t xml:space="preserve"> with insecticides consistently resulted in numerically lower leaf damage than the respective insecticides applied alone, although the differences were not statistically significant. This suggests that the fungal biocontrol agent is compatible with the tested insecticides and can be incorporated into integrated pest management </w:t>
      </w:r>
      <w:proofErr w:type="spellStart"/>
      <w:r w:rsidRPr="00EC5920">
        <w:rPr>
          <w:rFonts w:ascii="Arial" w:hAnsi="Arial" w:cs="Arial"/>
          <w:bCs/>
          <w:sz w:val="20"/>
          <w:szCs w:val="20"/>
        </w:rPr>
        <w:t>programmes</w:t>
      </w:r>
      <w:proofErr w:type="spellEnd"/>
      <w:r w:rsidRPr="00EC5920">
        <w:rPr>
          <w:rFonts w:ascii="Arial" w:hAnsi="Arial" w:cs="Arial"/>
          <w:bCs/>
          <w:sz w:val="20"/>
          <w:szCs w:val="20"/>
        </w:rPr>
        <w:t xml:space="preserve"> without compromising insecticidal efficacy. Haritha </w:t>
      </w:r>
      <w:r w:rsidRPr="00EC5920">
        <w:rPr>
          <w:rFonts w:ascii="Arial" w:hAnsi="Arial" w:cs="Arial"/>
          <w:bCs/>
          <w:i/>
          <w:iCs/>
          <w:sz w:val="20"/>
          <w:szCs w:val="20"/>
        </w:rPr>
        <w:t>et al.</w:t>
      </w:r>
      <w:r w:rsidRPr="00EC5920">
        <w:rPr>
          <w:rFonts w:ascii="Arial" w:hAnsi="Arial" w:cs="Arial"/>
          <w:bCs/>
          <w:sz w:val="20"/>
          <w:szCs w:val="20"/>
        </w:rPr>
        <w:t xml:space="preserve"> (2023) reported a s</w:t>
      </w:r>
      <w:r w:rsidR="00982AA9" w:rsidRPr="00EC5920">
        <w:rPr>
          <w:rFonts w:ascii="Arial" w:hAnsi="Arial" w:cs="Arial"/>
          <w:bCs/>
          <w:sz w:val="20"/>
          <w:szCs w:val="20"/>
        </w:rPr>
        <w:t xml:space="preserve">imilar trend, where insecticide and </w:t>
      </w:r>
      <w:r w:rsidRPr="00EC5920">
        <w:rPr>
          <w:rFonts w:ascii="Arial" w:hAnsi="Arial" w:cs="Arial"/>
          <w:bCs/>
          <w:i/>
          <w:iCs/>
          <w:sz w:val="20"/>
          <w:szCs w:val="20"/>
        </w:rPr>
        <w:t>M. anisopliae</w:t>
      </w:r>
      <w:r w:rsidRPr="00EC5920">
        <w:rPr>
          <w:rFonts w:ascii="Arial" w:hAnsi="Arial" w:cs="Arial"/>
          <w:bCs/>
          <w:sz w:val="20"/>
          <w:szCs w:val="20"/>
        </w:rPr>
        <w:t xml:space="preserve"> combinations produced greater suppression of fall </w:t>
      </w:r>
      <w:r w:rsidRPr="00EC5920">
        <w:rPr>
          <w:rFonts w:ascii="Arial" w:hAnsi="Arial" w:cs="Arial"/>
          <w:bCs/>
          <w:sz w:val="20"/>
          <w:szCs w:val="20"/>
        </w:rPr>
        <w:lastRenderedPageBreak/>
        <w:t xml:space="preserve">armyworm populations than </w:t>
      </w:r>
      <w:r w:rsidRPr="00EC5920">
        <w:rPr>
          <w:rFonts w:ascii="Arial" w:hAnsi="Arial" w:cs="Arial"/>
          <w:bCs/>
          <w:i/>
          <w:iCs/>
          <w:sz w:val="20"/>
          <w:szCs w:val="20"/>
        </w:rPr>
        <w:t>M. anisopliae</w:t>
      </w:r>
      <w:r w:rsidRPr="00EC5920">
        <w:rPr>
          <w:rFonts w:ascii="Arial" w:hAnsi="Arial" w:cs="Arial"/>
          <w:bCs/>
          <w:sz w:val="20"/>
          <w:szCs w:val="20"/>
        </w:rPr>
        <w:t xml:space="preserve"> alone, ultimately contributing to lower crop injury. Such integration may therefore enhance the sustainability of fall armyworm management by combining rapid chemical suppression with the biological activity of entomopathogenic fungi. </w:t>
      </w:r>
    </w:p>
    <w:p w14:paraId="4C290FA4" w14:textId="77777777" w:rsidR="00865C7E" w:rsidRPr="00EC5920" w:rsidRDefault="00A07B46" w:rsidP="00776042">
      <w:pPr>
        <w:spacing w:before="120" w:after="120" w:line="240" w:lineRule="auto"/>
        <w:ind w:left="990" w:hanging="990"/>
        <w:jc w:val="both"/>
        <w:rPr>
          <w:rFonts w:ascii="Arial" w:hAnsi="Arial" w:cs="Arial"/>
          <w:b/>
          <w:sz w:val="20"/>
          <w:szCs w:val="20"/>
        </w:rPr>
      </w:pPr>
      <w:r w:rsidRPr="00EC5920">
        <w:rPr>
          <w:rFonts w:ascii="Arial" w:eastAsia="Times New Roman" w:hAnsi="Arial" w:cs="Arial"/>
          <w:b/>
          <w:iCs/>
          <w:sz w:val="20"/>
          <w:szCs w:val="20"/>
        </w:rPr>
        <w:t>Table 3</w:t>
      </w:r>
      <w:r w:rsidR="00561C0E" w:rsidRPr="00EC5920">
        <w:rPr>
          <w:rFonts w:ascii="Arial" w:eastAsia="Times New Roman" w:hAnsi="Arial" w:cs="Arial"/>
          <w:b/>
          <w:iCs/>
          <w:sz w:val="20"/>
          <w:szCs w:val="20"/>
        </w:rPr>
        <w:t>.</w:t>
      </w:r>
      <w:r w:rsidRPr="00EC5920">
        <w:rPr>
          <w:rFonts w:ascii="Arial" w:eastAsia="Times New Roman" w:hAnsi="Arial" w:cs="Arial"/>
          <w:b/>
          <w:iCs/>
          <w:sz w:val="20"/>
          <w:szCs w:val="20"/>
        </w:rPr>
        <w:t xml:space="preserve"> </w:t>
      </w:r>
      <w:r w:rsidR="00865C7E" w:rsidRPr="00EC5920">
        <w:rPr>
          <w:rFonts w:ascii="Arial" w:hAnsi="Arial" w:cs="Arial"/>
          <w:b/>
          <w:sz w:val="20"/>
          <w:szCs w:val="20"/>
        </w:rPr>
        <w:t xml:space="preserve">Repeated-measures mixed-model ANOVA for per cent infestation and leaf damage </w:t>
      </w:r>
      <w:r w:rsidR="00F73706" w:rsidRPr="00EC5920">
        <w:rPr>
          <w:rFonts w:ascii="Arial" w:hAnsi="Arial" w:cs="Arial"/>
          <w:b/>
          <w:bCs/>
          <w:sz w:val="20"/>
          <w:szCs w:val="20"/>
        </w:rPr>
        <w:t xml:space="preserve">score </w:t>
      </w:r>
      <w:r w:rsidR="00865C7E" w:rsidRPr="00EC5920">
        <w:rPr>
          <w:rFonts w:ascii="Arial" w:hAnsi="Arial" w:cs="Arial"/>
          <w:b/>
          <w:sz w:val="20"/>
          <w:szCs w:val="20"/>
        </w:rPr>
        <w:t xml:space="preserve">of </w:t>
      </w:r>
      <w:r w:rsidR="00865C7E" w:rsidRPr="00EC5920">
        <w:rPr>
          <w:rFonts w:ascii="Arial" w:hAnsi="Arial" w:cs="Arial"/>
          <w:b/>
          <w:i/>
          <w:iCs/>
          <w:sz w:val="20"/>
          <w:szCs w:val="20"/>
        </w:rPr>
        <w:t xml:space="preserve">S. </w:t>
      </w:r>
      <w:proofErr w:type="spellStart"/>
      <w:r w:rsidR="00865C7E" w:rsidRPr="00EC5920">
        <w:rPr>
          <w:rFonts w:ascii="Arial" w:hAnsi="Arial" w:cs="Arial"/>
          <w:b/>
          <w:i/>
          <w:iCs/>
          <w:sz w:val="20"/>
          <w:szCs w:val="20"/>
        </w:rPr>
        <w:t>frugiperda</w:t>
      </w:r>
      <w:proofErr w:type="spellEnd"/>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8"/>
        <w:gridCol w:w="706"/>
        <w:gridCol w:w="710"/>
        <w:gridCol w:w="1078"/>
        <w:gridCol w:w="1080"/>
        <w:gridCol w:w="1080"/>
        <w:gridCol w:w="1081"/>
      </w:tblGrid>
      <w:tr w:rsidR="00076D94" w:rsidRPr="00EC5920" w14:paraId="2BE5CF08" w14:textId="77777777" w:rsidTr="003E0E8B">
        <w:trPr>
          <w:jc w:val="center"/>
        </w:trPr>
        <w:tc>
          <w:tcPr>
            <w:tcW w:w="1898" w:type="pct"/>
            <w:vMerge w:val="restart"/>
            <w:tcBorders>
              <w:top w:val="single" w:sz="4" w:space="0" w:color="auto"/>
              <w:bottom w:val="single" w:sz="4" w:space="0" w:color="auto"/>
            </w:tcBorders>
            <w:vAlign w:val="center"/>
          </w:tcPr>
          <w:p w14:paraId="5E49DED8" w14:textId="77777777" w:rsidR="00C66F3A" w:rsidRPr="00EC5920" w:rsidRDefault="00C66F3A" w:rsidP="00776042">
            <w:pPr>
              <w:jc w:val="center"/>
              <w:rPr>
                <w:rFonts w:ascii="Arial" w:eastAsia="Times New Roman" w:hAnsi="Arial" w:cs="Arial"/>
                <w:b/>
                <w:sz w:val="20"/>
                <w:szCs w:val="20"/>
              </w:rPr>
            </w:pPr>
            <w:r w:rsidRPr="00EC5920">
              <w:rPr>
                <w:rFonts w:ascii="Arial" w:eastAsia="Times New Roman" w:hAnsi="Arial" w:cs="Arial"/>
                <w:b/>
                <w:sz w:val="20"/>
                <w:szCs w:val="20"/>
              </w:rPr>
              <w:t>Source of variation</w:t>
            </w:r>
          </w:p>
        </w:tc>
        <w:tc>
          <w:tcPr>
            <w:tcW w:w="382" w:type="pct"/>
            <w:vMerge w:val="restart"/>
            <w:tcBorders>
              <w:top w:val="single" w:sz="4" w:space="0" w:color="auto"/>
              <w:bottom w:val="single" w:sz="4" w:space="0" w:color="auto"/>
            </w:tcBorders>
            <w:vAlign w:val="center"/>
          </w:tcPr>
          <w:p w14:paraId="52F6DD42" w14:textId="77777777" w:rsidR="00C66F3A" w:rsidRPr="00EC5920" w:rsidRDefault="00C66F3A" w:rsidP="00776042">
            <w:pPr>
              <w:jc w:val="center"/>
              <w:rPr>
                <w:rFonts w:ascii="Arial" w:eastAsia="Times New Roman" w:hAnsi="Arial" w:cs="Arial"/>
                <w:b/>
                <w:i/>
                <w:sz w:val="20"/>
                <w:szCs w:val="20"/>
              </w:rPr>
            </w:pPr>
            <w:r w:rsidRPr="00EC5920">
              <w:rPr>
                <w:rFonts w:ascii="Arial" w:eastAsia="Times New Roman" w:hAnsi="Arial" w:cs="Arial"/>
                <w:b/>
                <w:i/>
                <w:sz w:val="20"/>
                <w:szCs w:val="20"/>
              </w:rPr>
              <w:t xml:space="preserve">Num </w:t>
            </w:r>
            <w:proofErr w:type="spellStart"/>
            <w:r w:rsidRPr="00EC5920">
              <w:rPr>
                <w:rFonts w:ascii="Arial" w:eastAsia="Times New Roman" w:hAnsi="Arial" w:cs="Arial"/>
                <w:b/>
                <w:i/>
                <w:sz w:val="20"/>
                <w:szCs w:val="20"/>
              </w:rPr>
              <w:t>df</w:t>
            </w:r>
            <w:proofErr w:type="spellEnd"/>
          </w:p>
        </w:tc>
        <w:tc>
          <w:tcPr>
            <w:tcW w:w="384" w:type="pct"/>
            <w:vMerge w:val="restart"/>
            <w:tcBorders>
              <w:top w:val="single" w:sz="4" w:space="0" w:color="auto"/>
              <w:bottom w:val="single" w:sz="4" w:space="0" w:color="auto"/>
            </w:tcBorders>
            <w:vAlign w:val="center"/>
          </w:tcPr>
          <w:p w14:paraId="6393102E" w14:textId="77777777" w:rsidR="00C66F3A" w:rsidRPr="00EC5920" w:rsidRDefault="00C66F3A" w:rsidP="00776042">
            <w:pPr>
              <w:jc w:val="center"/>
              <w:rPr>
                <w:rFonts w:ascii="Arial" w:eastAsia="Times New Roman" w:hAnsi="Arial" w:cs="Arial"/>
                <w:b/>
                <w:i/>
                <w:sz w:val="20"/>
                <w:szCs w:val="20"/>
              </w:rPr>
            </w:pPr>
            <w:r w:rsidRPr="00EC5920">
              <w:rPr>
                <w:rFonts w:ascii="Arial" w:eastAsia="Times New Roman" w:hAnsi="Arial" w:cs="Arial"/>
                <w:b/>
                <w:i/>
                <w:sz w:val="20"/>
                <w:szCs w:val="20"/>
              </w:rPr>
              <w:t xml:space="preserve">Den </w:t>
            </w:r>
            <w:proofErr w:type="spellStart"/>
            <w:r w:rsidRPr="00EC5920">
              <w:rPr>
                <w:rFonts w:ascii="Arial" w:eastAsia="Times New Roman" w:hAnsi="Arial" w:cs="Arial"/>
                <w:b/>
                <w:i/>
                <w:sz w:val="20"/>
                <w:szCs w:val="20"/>
              </w:rPr>
              <w:t>df</w:t>
            </w:r>
            <w:proofErr w:type="spellEnd"/>
          </w:p>
        </w:tc>
        <w:tc>
          <w:tcPr>
            <w:tcW w:w="1167" w:type="pct"/>
            <w:gridSpan w:val="2"/>
            <w:tcBorders>
              <w:top w:val="single" w:sz="4" w:space="0" w:color="auto"/>
              <w:bottom w:val="single" w:sz="4" w:space="0" w:color="auto"/>
            </w:tcBorders>
            <w:vAlign w:val="center"/>
          </w:tcPr>
          <w:p w14:paraId="1BE0A16F" w14:textId="77777777" w:rsidR="00C66F3A" w:rsidRPr="00EC5920" w:rsidRDefault="00C66F3A" w:rsidP="00776042">
            <w:pPr>
              <w:jc w:val="center"/>
              <w:rPr>
                <w:rFonts w:ascii="Arial" w:eastAsia="Times New Roman" w:hAnsi="Arial" w:cs="Arial"/>
                <w:b/>
                <w:sz w:val="20"/>
                <w:szCs w:val="20"/>
              </w:rPr>
            </w:pPr>
            <w:r w:rsidRPr="00EC5920">
              <w:rPr>
                <w:rFonts w:ascii="Arial" w:eastAsia="Times New Roman" w:hAnsi="Arial" w:cs="Arial"/>
                <w:b/>
                <w:sz w:val="20"/>
                <w:szCs w:val="20"/>
              </w:rPr>
              <w:t>Per cent infestation</w:t>
            </w:r>
          </w:p>
        </w:tc>
        <w:tc>
          <w:tcPr>
            <w:tcW w:w="1169" w:type="pct"/>
            <w:gridSpan w:val="2"/>
            <w:tcBorders>
              <w:top w:val="single" w:sz="4" w:space="0" w:color="auto"/>
              <w:bottom w:val="single" w:sz="4" w:space="0" w:color="auto"/>
            </w:tcBorders>
            <w:vAlign w:val="center"/>
          </w:tcPr>
          <w:p w14:paraId="139DE84F" w14:textId="77777777" w:rsidR="00C66F3A" w:rsidRPr="00EC5920" w:rsidRDefault="00DB12E3" w:rsidP="00776042">
            <w:pPr>
              <w:jc w:val="center"/>
              <w:rPr>
                <w:rFonts w:ascii="Arial" w:eastAsia="Times New Roman" w:hAnsi="Arial" w:cs="Arial"/>
                <w:b/>
                <w:sz w:val="20"/>
                <w:szCs w:val="20"/>
              </w:rPr>
            </w:pPr>
            <w:r w:rsidRPr="00EC5920">
              <w:rPr>
                <w:rFonts w:ascii="Arial" w:hAnsi="Arial" w:cs="Arial"/>
                <w:b/>
                <w:bCs/>
                <w:sz w:val="20"/>
                <w:szCs w:val="20"/>
              </w:rPr>
              <w:t xml:space="preserve">Leaf </w:t>
            </w:r>
            <w:r w:rsidR="00C66F3A" w:rsidRPr="00EC5920">
              <w:rPr>
                <w:rFonts w:ascii="Arial" w:eastAsia="Times New Roman" w:hAnsi="Arial" w:cs="Arial"/>
                <w:b/>
                <w:sz w:val="20"/>
                <w:szCs w:val="20"/>
              </w:rPr>
              <w:t xml:space="preserve">Damage </w:t>
            </w:r>
            <w:r w:rsidR="00F73706" w:rsidRPr="00EC5920">
              <w:rPr>
                <w:rFonts w:ascii="Arial" w:eastAsia="Times New Roman" w:hAnsi="Arial" w:cs="Arial"/>
                <w:b/>
                <w:sz w:val="20"/>
                <w:szCs w:val="20"/>
              </w:rPr>
              <w:t>Score</w:t>
            </w:r>
          </w:p>
        </w:tc>
      </w:tr>
      <w:tr w:rsidR="00076D94" w:rsidRPr="00EC5920" w14:paraId="78513737" w14:textId="77777777" w:rsidTr="003E0E8B">
        <w:trPr>
          <w:jc w:val="center"/>
        </w:trPr>
        <w:tc>
          <w:tcPr>
            <w:tcW w:w="1898" w:type="pct"/>
            <w:vMerge/>
            <w:tcBorders>
              <w:top w:val="single" w:sz="4" w:space="0" w:color="auto"/>
              <w:bottom w:val="single" w:sz="4" w:space="0" w:color="auto"/>
            </w:tcBorders>
            <w:vAlign w:val="center"/>
          </w:tcPr>
          <w:p w14:paraId="2A441F74" w14:textId="77777777" w:rsidR="00C66F3A" w:rsidRPr="00EC5920" w:rsidRDefault="00C66F3A" w:rsidP="00776042">
            <w:pPr>
              <w:jc w:val="center"/>
              <w:rPr>
                <w:rFonts w:ascii="Arial" w:eastAsia="Times New Roman" w:hAnsi="Arial" w:cs="Arial"/>
                <w:b/>
                <w:sz w:val="20"/>
                <w:szCs w:val="20"/>
              </w:rPr>
            </w:pPr>
          </w:p>
        </w:tc>
        <w:tc>
          <w:tcPr>
            <w:tcW w:w="382" w:type="pct"/>
            <w:vMerge/>
            <w:tcBorders>
              <w:top w:val="single" w:sz="4" w:space="0" w:color="auto"/>
              <w:bottom w:val="single" w:sz="4" w:space="0" w:color="auto"/>
            </w:tcBorders>
            <w:vAlign w:val="center"/>
          </w:tcPr>
          <w:p w14:paraId="12776BCD" w14:textId="77777777" w:rsidR="00C66F3A" w:rsidRPr="00EC5920" w:rsidRDefault="00C66F3A" w:rsidP="00776042">
            <w:pPr>
              <w:jc w:val="center"/>
              <w:rPr>
                <w:rFonts w:ascii="Arial" w:eastAsia="Times New Roman" w:hAnsi="Arial" w:cs="Arial"/>
                <w:b/>
                <w:sz w:val="20"/>
                <w:szCs w:val="20"/>
              </w:rPr>
            </w:pPr>
          </w:p>
        </w:tc>
        <w:tc>
          <w:tcPr>
            <w:tcW w:w="384" w:type="pct"/>
            <w:vMerge/>
            <w:tcBorders>
              <w:top w:val="single" w:sz="4" w:space="0" w:color="auto"/>
              <w:bottom w:val="single" w:sz="4" w:space="0" w:color="auto"/>
            </w:tcBorders>
            <w:vAlign w:val="center"/>
          </w:tcPr>
          <w:p w14:paraId="0A6F55F7" w14:textId="77777777" w:rsidR="00C66F3A" w:rsidRPr="00EC5920" w:rsidRDefault="00C66F3A" w:rsidP="00776042">
            <w:pPr>
              <w:jc w:val="center"/>
              <w:rPr>
                <w:rFonts w:ascii="Arial" w:eastAsia="Times New Roman" w:hAnsi="Arial" w:cs="Arial"/>
                <w:b/>
                <w:sz w:val="20"/>
                <w:szCs w:val="20"/>
              </w:rPr>
            </w:pPr>
          </w:p>
        </w:tc>
        <w:tc>
          <w:tcPr>
            <w:tcW w:w="583" w:type="pct"/>
            <w:tcBorders>
              <w:top w:val="single" w:sz="4" w:space="0" w:color="auto"/>
              <w:bottom w:val="single" w:sz="4" w:space="0" w:color="auto"/>
            </w:tcBorders>
            <w:vAlign w:val="center"/>
          </w:tcPr>
          <w:p w14:paraId="6C41AAF0" w14:textId="77777777" w:rsidR="00C66F3A" w:rsidRPr="00EC5920" w:rsidRDefault="00C66F3A" w:rsidP="00776042">
            <w:pPr>
              <w:jc w:val="center"/>
              <w:rPr>
                <w:rFonts w:ascii="Arial" w:eastAsia="Times New Roman" w:hAnsi="Arial" w:cs="Arial"/>
                <w:b/>
                <w:sz w:val="20"/>
                <w:szCs w:val="20"/>
              </w:rPr>
            </w:pPr>
            <w:r w:rsidRPr="00EC5920">
              <w:rPr>
                <w:rFonts w:ascii="Arial" w:eastAsia="Times New Roman" w:hAnsi="Arial" w:cs="Arial"/>
                <w:b/>
                <w:sz w:val="20"/>
                <w:szCs w:val="20"/>
              </w:rPr>
              <w:t>F-value</w:t>
            </w:r>
          </w:p>
        </w:tc>
        <w:tc>
          <w:tcPr>
            <w:tcW w:w="584" w:type="pct"/>
            <w:tcBorders>
              <w:top w:val="single" w:sz="4" w:space="0" w:color="auto"/>
              <w:bottom w:val="single" w:sz="4" w:space="0" w:color="auto"/>
            </w:tcBorders>
            <w:vAlign w:val="center"/>
          </w:tcPr>
          <w:p w14:paraId="2E479A98" w14:textId="77777777" w:rsidR="00C66F3A" w:rsidRPr="00EC5920" w:rsidRDefault="00C66F3A" w:rsidP="00776042">
            <w:pPr>
              <w:jc w:val="center"/>
              <w:rPr>
                <w:rFonts w:ascii="Arial" w:eastAsia="Times New Roman" w:hAnsi="Arial" w:cs="Arial"/>
                <w:b/>
                <w:sz w:val="20"/>
                <w:szCs w:val="20"/>
              </w:rPr>
            </w:pPr>
            <w:r w:rsidRPr="00EC5920">
              <w:rPr>
                <w:rFonts w:ascii="Arial" w:eastAsia="Times New Roman" w:hAnsi="Arial" w:cs="Arial"/>
                <w:b/>
                <w:i/>
                <w:sz w:val="20"/>
                <w:szCs w:val="20"/>
              </w:rPr>
              <w:t>P</w:t>
            </w:r>
            <w:r w:rsidRPr="00EC5920">
              <w:rPr>
                <w:rFonts w:ascii="Arial" w:eastAsia="Times New Roman" w:hAnsi="Arial" w:cs="Arial"/>
                <w:b/>
                <w:sz w:val="20"/>
                <w:szCs w:val="20"/>
              </w:rPr>
              <w:t>-value</w:t>
            </w:r>
          </w:p>
        </w:tc>
        <w:tc>
          <w:tcPr>
            <w:tcW w:w="584" w:type="pct"/>
            <w:tcBorders>
              <w:top w:val="single" w:sz="4" w:space="0" w:color="auto"/>
              <w:bottom w:val="single" w:sz="4" w:space="0" w:color="auto"/>
            </w:tcBorders>
            <w:vAlign w:val="center"/>
          </w:tcPr>
          <w:p w14:paraId="0C029828" w14:textId="77777777" w:rsidR="00C66F3A" w:rsidRPr="00EC5920" w:rsidRDefault="00C66F3A" w:rsidP="00776042">
            <w:pPr>
              <w:jc w:val="center"/>
              <w:rPr>
                <w:rFonts w:ascii="Arial" w:eastAsia="Times New Roman" w:hAnsi="Arial" w:cs="Arial"/>
                <w:b/>
                <w:sz w:val="20"/>
                <w:szCs w:val="20"/>
              </w:rPr>
            </w:pPr>
            <w:r w:rsidRPr="00EC5920">
              <w:rPr>
                <w:rFonts w:ascii="Arial" w:eastAsia="Times New Roman" w:hAnsi="Arial" w:cs="Arial"/>
                <w:b/>
                <w:sz w:val="20"/>
                <w:szCs w:val="20"/>
              </w:rPr>
              <w:t>F-value</w:t>
            </w:r>
          </w:p>
        </w:tc>
        <w:tc>
          <w:tcPr>
            <w:tcW w:w="585" w:type="pct"/>
            <w:tcBorders>
              <w:top w:val="single" w:sz="4" w:space="0" w:color="auto"/>
              <w:bottom w:val="single" w:sz="4" w:space="0" w:color="auto"/>
            </w:tcBorders>
            <w:vAlign w:val="center"/>
          </w:tcPr>
          <w:p w14:paraId="5A93EF53" w14:textId="77777777" w:rsidR="00C66F3A" w:rsidRPr="00EC5920" w:rsidRDefault="00C66F3A" w:rsidP="00776042">
            <w:pPr>
              <w:jc w:val="center"/>
              <w:rPr>
                <w:rFonts w:ascii="Arial" w:eastAsia="Times New Roman" w:hAnsi="Arial" w:cs="Arial"/>
                <w:b/>
                <w:sz w:val="20"/>
                <w:szCs w:val="20"/>
              </w:rPr>
            </w:pPr>
            <w:r w:rsidRPr="00EC5920">
              <w:rPr>
                <w:rFonts w:ascii="Arial" w:eastAsia="Times New Roman" w:hAnsi="Arial" w:cs="Arial"/>
                <w:b/>
                <w:i/>
                <w:sz w:val="20"/>
                <w:szCs w:val="20"/>
              </w:rPr>
              <w:t>P</w:t>
            </w:r>
            <w:r w:rsidRPr="00EC5920">
              <w:rPr>
                <w:rFonts w:ascii="Arial" w:eastAsia="Times New Roman" w:hAnsi="Arial" w:cs="Arial"/>
                <w:b/>
                <w:sz w:val="20"/>
                <w:szCs w:val="20"/>
              </w:rPr>
              <w:t>-value</w:t>
            </w:r>
          </w:p>
        </w:tc>
      </w:tr>
      <w:tr w:rsidR="00076D94" w:rsidRPr="00EC5920" w14:paraId="2ED48BC6" w14:textId="77777777" w:rsidTr="003E0E8B">
        <w:trPr>
          <w:jc w:val="center"/>
        </w:trPr>
        <w:tc>
          <w:tcPr>
            <w:tcW w:w="1898" w:type="pct"/>
            <w:tcBorders>
              <w:top w:val="single" w:sz="4" w:space="0" w:color="auto"/>
            </w:tcBorders>
            <w:vAlign w:val="center"/>
          </w:tcPr>
          <w:p w14:paraId="5EC020AE" w14:textId="77777777" w:rsidR="00C66F3A" w:rsidRPr="00EC5920" w:rsidRDefault="00C66F3A" w:rsidP="004B3EC7">
            <w:pPr>
              <w:rPr>
                <w:rFonts w:ascii="Arial" w:eastAsia="Times New Roman" w:hAnsi="Arial" w:cs="Arial"/>
                <w:sz w:val="20"/>
                <w:szCs w:val="20"/>
              </w:rPr>
            </w:pPr>
            <w:r w:rsidRPr="00EC5920">
              <w:rPr>
                <w:rFonts w:ascii="Arial" w:eastAsia="Times New Roman" w:hAnsi="Arial" w:cs="Arial"/>
                <w:sz w:val="20"/>
                <w:szCs w:val="20"/>
              </w:rPr>
              <w:t>Location</w:t>
            </w:r>
          </w:p>
        </w:tc>
        <w:tc>
          <w:tcPr>
            <w:tcW w:w="382" w:type="pct"/>
            <w:tcBorders>
              <w:top w:val="single" w:sz="4" w:space="0" w:color="auto"/>
            </w:tcBorders>
            <w:vAlign w:val="center"/>
          </w:tcPr>
          <w:p w14:paraId="0BB29C0A"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1</w:t>
            </w:r>
          </w:p>
        </w:tc>
        <w:tc>
          <w:tcPr>
            <w:tcW w:w="384" w:type="pct"/>
            <w:tcBorders>
              <w:top w:val="single" w:sz="4" w:space="0" w:color="auto"/>
            </w:tcBorders>
            <w:vAlign w:val="center"/>
          </w:tcPr>
          <w:p w14:paraId="5E18E387"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48</w:t>
            </w:r>
          </w:p>
        </w:tc>
        <w:tc>
          <w:tcPr>
            <w:tcW w:w="583" w:type="pct"/>
            <w:tcBorders>
              <w:top w:val="single" w:sz="4" w:space="0" w:color="auto"/>
            </w:tcBorders>
            <w:vAlign w:val="center"/>
          </w:tcPr>
          <w:p w14:paraId="7BDD9F36"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6.764</w:t>
            </w:r>
          </w:p>
        </w:tc>
        <w:tc>
          <w:tcPr>
            <w:tcW w:w="584" w:type="pct"/>
            <w:tcBorders>
              <w:top w:val="single" w:sz="4" w:space="0" w:color="auto"/>
            </w:tcBorders>
            <w:vAlign w:val="center"/>
          </w:tcPr>
          <w:p w14:paraId="0031CD69"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0.0123</w:t>
            </w:r>
          </w:p>
        </w:tc>
        <w:tc>
          <w:tcPr>
            <w:tcW w:w="584" w:type="pct"/>
            <w:tcBorders>
              <w:top w:val="single" w:sz="4" w:space="0" w:color="auto"/>
            </w:tcBorders>
            <w:vAlign w:val="center"/>
          </w:tcPr>
          <w:p w14:paraId="11A1F31D"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0.092</w:t>
            </w:r>
          </w:p>
        </w:tc>
        <w:tc>
          <w:tcPr>
            <w:tcW w:w="585" w:type="pct"/>
            <w:tcBorders>
              <w:top w:val="single" w:sz="4" w:space="0" w:color="auto"/>
            </w:tcBorders>
            <w:vAlign w:val="center"/>
          </w:tcPr>
          <w:p w14:paraId="0CF85B55"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0.7629</w:t>
            </w:r>
          </w:p>
        </w:tc>
      </w:tr>
      <w:tr w:rsidR="00076D94" w:rsidRPr="00EC5920" w14:paraId="5C229A1E" w14:textId="77777777" w:rsidTr="003E0E8B">
        <w:trPr>
          <w:jc w:val="center"/>
        </w:trPr>
        <w:tc>
          <w:tcPr>
            <w:tcW w:w="1898" w:type="pct"/>
            <w:vAlign w:val="center"/>
          </w:tcPr>
          <w:p w14:paraId="2B030A4C" w14:textId="77777777" w:rsidR="00C66F3A" w:rsidRPr="00EC5920" w:rsidRDefault="00C66F3A" w:rsidP="004B3EC7">
            <w:pPr>
              <w:rPr>
                <w:rFonts w:ascii="Arial" w:eastAsia="Times New Roman" w:hAnsi="Arial" w:cs="Arial"/>
                <w:sz w:val="20"/>
                <w:szCs w:val="20"/>
              </w:rPr>
            </w:pPr>
            <w:r w:rsidRPr="00EC5920">
              <w:rPr>
                <w:rFonts w:ascii="Arial" w:eastAsia="Times New Roman" w:hAnsi="Arial" w:cs="Arial"/>
                <w:sz w:val="20"/>
                <w:szCs w:val="20"/>
              </w:rPr>
              <w:t>Spray</w:t>
            </w:r>
          </w:p>
        </w:tc>
        <w:tc>
          <w:tcPr>
            <w:tcW w:w="382" w:type="pct"/>
            <w:vAlign w:val="center"/>
          </w:tcPr>
          <w:p w14:paraId="2EAEC9B8"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1</w:t>
            </w:r>
          </w:p>
        </w:tc>
        <w:tc>
          <w:tcPr>
            <w:tcW w:w="384" w:type="pct"/>
            <w:vAlign w:val="center"/>
          </w:tcPr>
          <w:p w14:paraId="027D75F5"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48</w:t>
            </w:r>
          </w:p>
        </w:tc>
        <w:tc>
          <w:tcPr>
            <w:tcW w:w="583" w:type="pct"/>
            <w:vAlign w:val="center"/>
          </w:tcPr>
          <w:p w14:paraId="2222F0E0"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2.523</w:t>
            </w:r>
          </w:p>
        </w:tc>
        <w:tc>
          <w:tcPr>
            <w:tcW w:w="584" w:type="pct"/>
            <w:vAlign w:val="center"/>
          </w:tcPr>
          <w:p w14:paraId="317F960C"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0.1188</w:t>
            </w:r>
          </w:p>
        </w:tc>
        <w:tc>
          <w:tcPr>
            <w:tcW w:w="584" w:type="pct"/>
            <w:vAlign w:val="center"/>
          </w:tcPr>
          <w:p w14:paraId="06AC1E95"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0.985</w:t>
            </w:r>
          </w:p>
        </w:tc>
        <w:tc>
          <w:tcPr>
            <w:tcW w:w="585" w:type="pct"/>
            <w:vAlign w:val="center"/>
          </w:tcPr>
          <w:p w14:paraId="141DF3E7"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0.3259</w:t>
            </w:r>
          </w:p>
        </w:tc>
      </w:tr>
      <w:tr w:rsidR="00076D94" w:rsidRPr="00EC5920" w14:paraId="76D7795E" w14:textId="77777777" w:rsidTr="003E0E8B">
        <w:trPr>
          <w:jc w:val="center"/>
        </w:trPr>
        <w:tc>
          <w:tcPr>
            <w:tcW w:w="1898" w:type="pct"/>
            <w:vAlign w:val="center"/>
          </w:tcPr>
          <w:p w14:paraId="367F4964" w14:textId="77777777" w:rsidR="00C66F3A" w:rsidRPr="00EC5920" w:rsidRDefault="00C66F3A" w:rsidP="004B3EC7">
            <w:pPr>
              <w:rPr>
                <w:rFonts w:ascii="Arial" w:eastAsia="Times New Roman" w:hAnsi="Arial" w:cs="Arial"/>
                <w:sz w:val="20"/>
                <w:szCs w:val="20"/>
              </w:rPr>
            </w:pPr>
            <w:r w:rsidRPr="00EC5920">
              <w:rPr>
                <w:rFonts w:ascii="Arial" w:eastAsia="Times New Roman" w:hAnsi="Arial" w:cs="Arial"/>
                <w:sz w:val="20"/>
                <w:szCs w:val="20"/>
              </w:rPr>
              <w:t>Treatment</w:t>
            </w:r>
          </w:p>
        </w:tc>
        <w:tc>
          <w:tcPr>
            <w:tcW w:w="382" w:type="pct"/>
            <w:vAlign w:val="center"/>
          </w:tcPr>
          <w:p w14:paraId="4C2F48A9"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5</w:t>
            </w:r>
          </w:p>
        </w:tc>
        <w:tc>
          <w:tcPr>
            <w:tcW w:w="384" w:type="pct"/>
            <w:vAlign w:val="center"/>
          </w:tcPr>
          <w:p w14:paraId="4D03523C"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48</w:t>
            </w:r>
          </w:p>
        </w:tc>
        <w:tc>
          <w:tcPr>
            <w:tcW w:w="583" w:type="pct"/>
            <w:vAlign w:val="center"/>
          </w:tcPr>
          <w:p w14:paraId="1376B5A5"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158.936</w:t>
            </w:r>
          </w:p>
        </w:tc>
        <w:tc>
          <w:tcPr>
            <w:tcW w:w="584" w:type="pct"/>
            <w:vAlign w:val="center"/>
          </w:tcPr>
          <w:p w14:paraId="4C23395B"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&lt;0.001</w:t>
            </w:r>
          </w:p>
        </w:tc>
        <w:tc>
          <w:tcPr>
            <w:tcW w:w="584" w:type="pct"/>
            <w:vAlign w:val="center"/>
          </w:tcPr>
          <w:p w14:paraId="7E5C3DA8"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81.808</w:t>
            </w:r>
          </w:p>
        </w:tc>
        <w:tc>
          <w:tcPr>
            <w:tcW w:w="585" w:type="pct"/>
            <w:vAlign w:val="center"/>
          </w:tcPr>
          <w:p w14:paraId="33B661EC"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&lt;0.001</w:t>
            </w:r>
          </w:p>
        </w:tc>
      </w:tr>
      <w:tr w:rsidR="00076D94" w:rsidRPr="00EC5920" w14:paraId="5765103E" w14:textId="77777777" w:rsidTr="003E0E8B">
        <w:trPr>
          <w:jc w:val="center"/>
        </w:trPr>
        <w:tc>
          <w:tcPr>
            <w:tcW w:w="1898" w:type="pct"/>
            <w:vAlign w:val="center"/>
          </w:tcPr>
          <w:p w14:paraId="4357F4CC" w14:textId="77777777" w:rsidR="00C66F3A" w:rsidRPr="00EC5920" w:rsidRDefault="00C66F3A" w:rsidP="004B3EC7">
            <w:pPr>
              <w:rPr>
                <w:rFonts w:ascii="Arial" w:eastAsia="Times New Roman" w:hAnsi="Arial" w:cs="Arial"/>
                <w:sz w:val="20"/>
                <w:szCs w:val="20"/>
              </w:rPr>
            </w:pPr>
            <w:r w:rsidRPr="00EC5920">
              <w:rPr>
                <w:rFonts w:ascii="Arial" w:eastAsia="Times New Roman" w:hAnsi="Arial" w:cs="Arial"/>
                <w:sz w:val="20"/>
                <w:szCs w:val="20"/>
              </w:rPr>
              <w:t>Period</w:t>
            </w:r>
          </w:p>
        </w:tc>
        <w:tc>
          <w:tcPr>
            <w:tcW w:w="382" w:type="pct"/>
            <w:vAlign w:val="center"/>
          </w:tcPr>
          <w:p w14:paraId="20571472"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5</w:t>
            </w:r>
          </w:p>
        </w:tc>
        <w:tc>
          <w:tcPr>
            <w:tcW w:w="384" w:type="pct"/>
            <w:vAlign w:val="center"/>
          </w:tcPr>
          <w:p w14:paraId="47B82731"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240</w:t>
            </w:r>
          </w:p>
        </w:tc>
        <w:tc>
          <w:tcPr>
            <w:tcW w:w="583" w:type="pct"/>
            <w:vAlign w:val="center"/>
          </w:tcPr>
          <w:p w14:paraId="7EC44B1A"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18.125</w:t>
            </w:r>
          </w:p>
        </w:tc>
        <w:tc>
          <w:tcPr>
            <w:tcW w:w="584" w:type="pct"/>
            <w:vAlign w:val="center"/>
          </w:tcPr>
          <w:p w14:paraId="4B822F83"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&lt;0.001</w:t>
            </w:r>
          </w:p>
        </w:tc>
        <w:tc>
          <w:tcPr>
            <w:tcW w:w="584" w:type="pct"/>
            <w:vAlign w:val="center"/>
          </w:tcPr>
          <w:p w14:paraId="5C659339"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6.999</w:t>
            </w:r>
          </w:p>
        </w:tc>
        <w:tc>
          <w:tcPr>
            <w:tcW w:w="585" w:type="pct"/>
            <w:vAlign w:val="center"/>
          </w:tcPr>
          <w:p w14:paraId="3FCDDB5B"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&lt;0.001</w:t>
            </w:r>
          </w:p>
        </w:tc>
      </w:tr>
      <w:tr w:rsidR="00076D94" w:rsidRPr="00EC5920" w14:paraId="28A36059" w14:textId="77777777" w:rsidTr="003E0E8B">
        <w:trPr>
          <w:jc w:val="center"/>
        </w:trPr>
        <w:tc>
          <w:tcPr>
            <w:tcW w:w="1898" w:type="pct"/>
            <w:vAlign w:val="center"/>
          </w:tcPr>
          <w:p w14:paraId="5B2D00B9" w14:textId="77777777" w:rsidR="00C66F3A" w:rsidRPr="00EC5920" w:rsidRDefault="00C66F3A" w:rsidP="004B3EC7">
            <w:pPr>
              <w:rPr>
                <w:rFonts w:ascii="Arial" w:eastAsia="Times New Roman" w:hAnsi="Arial" w:cs="Arial"/>
                <w:sz w:val="20"/>
                <w:szCs w:val="20"/>
              </w:rPr>
            </w:pPr>
            <w:r w:rsidRPr="00EC5920">
              <w:rPr>
                <w:rFonts w:ascii="Arial" w:eastAsia="Times New Roman" w:hAnsi="Arial" w:cs="Arial"/>
                <w:sz w:val="20"/>
                <w:szCs w:val="20"/>
              </w:rPr>
              <w:t>Location × Spray</w:t>
            </w:r>
          </w:p>
        </w:tc>
        <w:tc>
          <w:tcPr>
            <w:tcW w:w="382" w:type="pct"/>
            <w:vAlign w:val="center"/>
          </w:tcPr>
          <w:p w14:paraId="6881B01E"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1</w:t>
            </w:r>
          </w:p>
        </w:tc>
        <w:tc>
          <w:tcPr>
            <w:tcW w:w="384" w:type="pct"/>
            <w:vAlign w:val="center"/>
          </w:tcPr>
          <w:p w14:paraId="524E52DA"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48</w:t>
            </w:r>
          </w:p>
        </w:tc>
        <w:tc>
          <w:tcPr>
            <w:tcW w:w="583" w:type="pct"/>
            <w:vAlign w:val="center"/>
          </w:tcPr>
          <w:p w14:paraId="21CD5AE0"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0.012</w:t>
            </w:r>
          </w:p>
        </w:tc>
        <w:tc>
          <w:tcPr>
            <w:tcW w:w="584" w:type="pct"/>
            <w:vAlign w:val="center"/>
          </w:tcPr>
          <w:p w14:paraId="5E240982"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0.9147</w:t>
            </w:r>
          </w:p>
        </w:tc>
        <w:tc>
          <w:tcPr>
            <w:tcW w:w="584" w:type="pct"/>
            <w:vAlign w:val="center"/>
          </w:tcPr>
          <w:p w14:paraId="278D9AAB"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0.000</w:t>
            </w:r>
          </w:p>
        </w:tc>
        <w:tc>
          <w:tcPr>
            <w:tcW w:w="585" w:type="pct"/>
            <w:vAlign w:val="center"/>
          </w:tcPr>
          <w:p w14:paraId="7E734ECF"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0.9953</w:t>
            </w:r>
          </w:p>
        </w:tc>
      </w:tr>
      <w:tr w:rsidR="00076D94" w:rsidRPr="00EC5920" w14:paraId="2B5BCB06" w14:textId="77777777" w:rsidTr="003E0E8B">
        <w:trPr>
          <w:jc w:val="center"/>
        </w:trPr>
        <w:tc>
          <w:tcPr>
            <w:tcW w:w="1898" w:type="pct"/>
            <w:vAlign w:val="center"/>
          </w:tcPr>
          <w:p w14:paraId="1EB407A2" w14:textId="77777777" w:rsidR="00C66F3A" w:rsidRPr="00EC5920" w:rsidRDefault="00C66F3A" w:rsidP="004B3EC7">
            <w:pPr>
              <w:rPr>
                <w:rFonts w:ascii="Arial" w:eastAsia="Times New Roman" w:hAnsi="Arial" w:cs="Arial"/>
                <w:sz w:val="20"/>
                <w:szCs w:val="20"/>
              </w:rPr>
            </w:pPr>
            <w:r w:rsidRPr="00EC5920">
              <w:rPr>
                <w:rFonts w:ascii="Arial" w:eastAsia="Times New Roman" w:hAnsi="Arial" w:cs="Arial"/>
                <w:sz w:val="20"/>
                <w:szCs w:val="20"/>
              </w:rPr>
              <w:t>Location × Treatment</w:t>
            </w:r>
          </w:p>
        </w:tc>
        <w:tc>
          <w:tcPr>
            <w:tcW w:w="382" w:type="pct"/>
            <w:vAlign w:val="center"/>
          </w:tcPr>
          <w:p w14:paraId="7B958865"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5</w:t>
            </w:r>
          </w:p>
        </w:tc>
        <w:tc>
          <w:tcPr>
            <w:tcW w:w="384" w:type="pct"/>
            <w:vAlign w:val="center"/>
          </w:tcPr>
          <w:p w14:paraId="329E93E3"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48</w:t>
            </w:r>
          </w:p>
        </w:tc>
        <w:tc>
          <w:tcPr>
            <w:tcW w:w="583" w:type="pct"/>
            <w:vAlign w:val="center"/>
          </w:tcPr>
          <w:p w14:paraId="089C356C"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0.338</w:t>
            </w:r>
          </w:p>
        </w:tc>
        <w:tc>
          <w:tcPr>
            <w:tcW w:w="584" w:type="pct"/>
            <w:vAlign w:val="center"/>
          </w:tcPr>
          <w:p w14:paraId="6BBA2E6C"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0.8876</w:t>
            </w:r>
          </w:p>
        </w:tc>
        <w:tc>
          <w:tcPr>
            <w:tcW w:w="584" w:type="pct"/>
            <w:vAlign w:val="center"/>
          </w:tcPr>
          <w:p w14:paraId="6093DC4B"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0.009</w:t>
            </w:r>
          </w:p>
        </w:tc>
        <w:tc>
          <w:tcPr>
            <w:tcW w:w="585" w:type="pct"/>
            <w:vAlign w:val="center"/>
          </w:tcPr>
          <w:p w14:paraId="23771B37"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1.0000</w:t>
            </w:r>
          </w:p>
        </w:tc>
      </w:tr>
      <w:tr w:rsidR="00076D94" w:rsidRPr="00EC5920" w14:paraId="2CC59D64" w14:textId="77777777" w:rsidTr="003E0E8B">
        <w:trPr>
          <w:jc w:val="center"/>
        </w:trPr>
        <w:tc>
          <w:tcPr>
            <w:tcW w:w="1898" w:type="pct"/>
            <w:vAlign w:val="center"/>
          </w:tcPr>
          <w:p w14:paraId="7B8867F0" w14:textId="77777777" w:rsidR="00C66F3A" w:rsidRPr="00EC5920" w:rsidRDefault="00C66F3A" w:rsidP="004B3EC7">
            <w:pPr>
              <w:rPr>
                <w:rFonts w:ascii="Arial" w:eastAsia="Times New Roman" w:hAnsi="Arial" w:cs="Arial"/>
                <w:sz w:val="20"/>
                <w:szCs w:val="20"/>
              </w:rPr>
            </w:pPr>
            <w:r w:rsidRPr="00EC5920">
              <w:rPr>
                <w:rFonts w:ascii="Arial" w:eastAsia="Times New Roman" w:hAnsi="Arial" w:cs="Arial"/>
                <w:sz w:val="20"/>
                <w:szCs w:val="20"/>
              </w:rPr>
              <w:t>Spray × Treatment</w:t>
            </w:r>
          </w:p>
        </w:tc>
        <w:tc>
          <w:tcPr>
            <w:tcW w:w="382" w:type="pct"/>
            <w:vAlign w:val="center"/>
          </w:tcPr>
          <w:p w14:paraId="3B085C52"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5</w:t>
            </w:r>
          </w:p>
        </w:tc>
        <w:tc>
          <w:tcPr>
            <w:tcW w:w="384" w:type="pct"/>
            <w:vAlign w:val="center"/>
          </w:tcPr>
          <w:p w14:paraId="4ACA92A0"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48</w:t>
            </w:r>
          </w:p>
        </w:tc>
        <w:tc>
          <w:tcPr>
            <w:tcW w:w="583" w:type="pct"/>
            <w:vAlign w:val="center"/>
          </w:tcPr>
          <w:p w14:paraId="5867DFFC"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44.829</w:t>
            </w:r>
          </w:p>
        </w:tc>
        <w:tc>
          <w:tcPr>
            <w:tcW w:w="584" w:type="pct"/>
            <w:vAlign w:val="center"/>
          </w:tcPr>
          <w:p w14:paraId="2408BAEA"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&lt;0.001</w:t>
            </w:r>
          </w:p>
        </w:tc>
        <w:tc>
          <w:tcPr>
            <w:tcW w:w="584" w:type="pct"/>
            <w:vAlign w:val="center"/>
          </w:tcPr>
          <w:p w14:paraId="7DF759DA"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20.429</w:t>
            </w:r>
          </w:p>
        </w:tc>
        <w:tc>
          <w:tcPr>
            <w:tcW w:w="585" w:type="pct"/>
            <w:vAlign w:val="center"/>
          </w:tcPr>
          <w:p w14:paraId="153EFEE7"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&lt;0.001</w:t>
            </w:r>
          </w:p>
        </w:tc>
      </w:tr>
      <w:tr w:rsidR="00076D94" w:rsidRPr="00EC5920" w14:paraId="483102C5" w14:textId="77777777" w:rsidTr="003E0E8B">
        <w:trPr>
          <w:jc w:val="center"/>
        </w:trPr>
        <w:tc>
          <w:tcPr>
            <w:tcW w:w="1898" w:type="pct"/>
            <w:vAlign w:val="center"/>
          </w:tcPr>
          <w:p w14:paraId="3433C505" w14:textId="77777777" w:rsidR="00C66F3A" w:rsidRPr="00EC5920" w:rsidRDefault="00C66F3A" w:rsidP="004B3EC7">
            <w:pPr>
              <w:rPr>
                <w:rFonts w:ascii="Arial" w:eastAsia="Times New Roman" w:hAnsi="Arial" w:cs="Arial"/>
                <w:sz w:val="20"/>
                <w:szCs w:val="20"/>
              </w:rPr>
            </w:pPr>
            <w:r w:rsidRPr="00EC5920">
              <w:rPr>
                <w:rFonts w:ascii="Arial" w:eastAsia="Times New Roman" w:hAnsi="Arial" w:cs="Arial"/>
                <w:sz w:val="20"/>
                <w:szCs w:val="20"/>
              </w:rPr>
              <w:t>Location × Period</w:t>
            </w:r>
          </w:p>
        </w:tc>
        <w:tc>
          <w:tcPr>
            <w:tcW w:w="382" w:type="pct"/>
            <w:vAlign w:val="center"/>
          </w:tcPr>
          <w:p w14:paraId="411A136E"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5</w:t>
            </w:r>
          </w:p>
        </w:tc>
        <w:tc>
          <w:tcPr>
            <w:tcW w:w="384" w:type="pct"/>
            <w:vAlign w:val="center"/>
          </w:tcPr>
          <w:p w14:paraId="206828CC"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240</w:t>
            </w:r>
          </w:p>
        </w:tc>
        <w:tc>
          <w:tcPr>
            <w:tcW w:w="583" w:type="pct"/>
            <w:vAlign w:val="center"/>
          </w:tcPr>
          <w:p w14:paraId="56F1D8AC"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0.372</w:t>
            </w:r>
          </w:p>
        </w:tc>
        <w:tc>
          <w:tcPr>
            <w:tcW w:w="584" w:type="pct"/>
            <w:vAlign w:val="center"/>
          </w:tcPr>
          <w:p w14:paraId="17123207"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0.8677</w:t>
            </w:r>
          </w:p>
        </w:tc>
        <w:tc>
          <w:tcPr>
            <w:tcW w:w="584" w:type="pct"/>
            <w:vAlign w:val="center"/>
          </w:tcPr>
          <w:p w14:paraId="3015ED77"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0.008</w:t>
            </w:r>
          </w:p>
        </w:tc>
        <w:tc>
          <w:tcPr>
            <w:tcW w:w="585" w:type="pct"/>
            <w:vAlign w:val="center"/>
          </w:tcPr>
          <w:p w14:paraId="5443CD8A"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1.0000</w:t>
            </w:r>
          </w:p>
        </w:tc>
      </w:tr>
      <w:tr w:rsidR="00076D94" w:rsidRPr="00EC5920" w14:paraId="73F5042B" w14:textId="77777777" w:rsidTr="003E0E8B">
        <w:trPr>
          <w:jc w:val="center"/>
        </w:trPr>
        <w:tc>
          <w:tcPr>
            <w:tcW w:w="1898" w:type="pct"/>
            <w:vAlign w:val="center"/>
          </w:tcPr>
          <w:p w14:paraId="1B441F07" w14:textId="77777777" w:rsidR="00C66F3A" w:rsidRPr="00EC5920" w:rsidRDefault="00C66F3A" w:rsidP="004B3EC7">
            <w:pPr>
              <w:rPr>
                <w:rFonts w:ascii="Arial" w:eastAsia="Times New Roman" w:hAnsi="Arial" w:cs="Arial"/>
                <w:sz w:val="20"/>
                <w:szCs w:val="20"/>
              </w:rPr>
            </w:pPr>
            <w:r w:rsidRPr="00EC5920">
              <w:rPr>
                <w:rFonts w:ascii="Arial" w:eastAsia="Times New Roman" w:hAnsi="Arial" w:cs="Arial"/>
                <w:sz w:val="20"/>
                <w:szCs w:val="20"/>
              </w:rPr>
              <w:t>Spray × Period</w:t>
            </w:r>
          </w:p>
        </w:tc>
        <w:tc>
          <w:tcPr>
            <w:tcW w:w="382" w:type="pct"/>
            <w:vAlign w:val="center"/>
          </w:tcPr>
          <w:p w14:paraId="1F6712C2"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5</w:t>
            </w:r>
          </w:p>
        </w:tc>
        <w:tc>
          <w:tcPr>
            <w:tcW w:w="384" w:type="pct"/>
            <w:vAlign w:val="center"/>
          </w:tcPr>
          <w:p w14:paraId="50474D54"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240</w:t>
            </w:r>
          </w:p>
        </w:tc>
        <w:tc>
          <w:tcPr>
            <w:tcW w:w="583" w:type="pct"/>
            <w:vAlign w:val="center"/>
          </w:tcPr>
          <w:p w14:paraId="5A6E79D6"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4.877</w:t>
            </w:r>
          </w:p>
        </w:tc>
        <w:tc>
          <w:tcPr>
            <w:tcW w:w="584" w:type="pct"/>
            <w:vAlign w:val="center"/>
          </w:tcPr>
          <w:p w14:paraId="5B44FD47"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0.0003</w:t>
            </w:r>
          </w:p>
        </w:tc>
        <w:tc>
          <w:tcPr>
            <w:tcW w:w="584" w:type="pct"/>
            <w:vAlign w:val="center"/>
          </w:tcPr>
          <w:p w14:paraId="00B57446"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1.778</w:t>
            </w:r>
          </w:p>
        </w:tc>
        <w:tc>
          <w:tcPr>
            <w:tcW w:w="585" w:type="pct"/>
            <w:vAlign w:val="center"/>
          </w:tcPr>
          <w:p w14:paraId="4C3A4EFC"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0.1180</w:t>
            </w:r>
          </w:p>
        </w:tc>
      </w:tr>
      <w:tr w:rsidR="00076D94" w:rsidRPr="00EC5920" w14:paraId="21F91CD3" w14:textId="77777777" w:rsidTr="003E0E8B">
        <w:trPr>
          <w:jc w:val="center"/>
        </w:trPr>
        <w:tc>
          <w:tcPr>
            <w:tcW w:w="1898" w:type="pct"/>
            <w:vAlign w:val="center"/>
          </w:tcPr>
          <w:p w14:paraId="19ADDD22" w14:textId="77777777" w:rsidR="00C66F3A" w:rsidRPr="00EC5920" w:rsidRDefault="00C66F3A" w:rsidP="004B3EC7">
            <w:pPr>
              <w:rPr>
                <w:rFonts w:ascii="Arial" w:eastAsia="Times New Roman" w:hAnsi="Arial" w:cs="Arial"/>
                <w:sz w:val="20"/>
                <w:szCs w:val="20"/>
              </w:rPr>
            </w:pPr>
            <w:r w:rsidRPr="00EC5920">
              <w:rPr>
                <w:rFonts w:ascii="Arial" w:eastAsia="Times New Roman" w:hAnsi="Arial" w:cs="Arial"/>
                <w:sz w:val="20"/>
                <w:szCs w:val="20"/>
              </w:rPr>
              <w:t>Treatment × Period</w:t>
            </w:r>
          </w:p>
        </w:tc>
        <w:tc>
          <w:tcPr>
            <w:tcW w:w="382" w:type="pct"/>
            <w:vAlign w:val="center"/>
          </w:tcPr>
          <w:p w14:paraId="3E093067"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25</w:t>
            </w:r>
          </w:p>
        </w:tc>
        <w:tc>
          <w:tcPr>
            <w:tcW w:w="384" w:type="pct"/>
            <w:vAlign w:val="center"/>
          </w:tcPr>
          <w:p w14:paraId="0192AB1A"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240</w:t>
            </w:r>
          </w:p>
        </w:tc>
        <w:tc>
          <w:tcPr>
            <w:tcW w:w="583" w:type="pct"/>
            <w:vAlign w:val="center"/>
          </w:tcPr>
          <w:p w14:paraId="72BAA317"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5.044</w:t>
            </w:r>
          </w:p>
        </w:tc>
        <w:tc>
          <w:tcPr>
            <w:tcW w:w="584" w:type="pct"/>
            <w:vAlign w:val="center"/>
          </w:tcPr>
          <w:p w14:paraId="7D0F8E5B"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&lt;0.001</w:t>
            </w:r>
          </w:p>
        </w:tc>
        <w:tc>
          <w:tcPr>
            <w:tcW w:w="584" w:type="pct"/>
            <w:vAlign w:val="center"/>
          </w:tcPr>
          <w:p w14:paraId="58D53F1B"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5.071</w:t>
            </w:r>
          </w:p>
        </w:tc>
        <w:tc>
          <w:tcPr>
            <w:tcW w:w="585" w:type="pct"/>
            <w:vAlign w:val="center"/>
          </w:tcPr>
          <w:p w14:paraId="07E2C701"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&lt;0.001</w:t>
            </w:r>
          </w:p>
        </w:tc>
      </w:tr>
      <w:tr w:rsidR="00076D94" w:rsidRPr="00EC5920" w14:paraId="3C87E816" w14:textId="77777777" w:rsidTr="003E0E8B">
        <w:trPr>
          <w:jc w:val="center"/>
        </w:trPr>
        <w:tc>
          <w:tcPr>
            <w:tcW w:w="1898" w:type="pct"/>
            <w:vAlign w:val="center"/>
          </w:tcPr>
          <w:p w14:paraId="6CD38B9D" w14:textId="77777777" w:rsidR="00C66F3A" w:rsidRPr="00EC5920" w:rsidRDefault="00C66F3A" w:rsidP="004B3EC7">
            <w:pPr>
              <w:rPr>
                <w:rFonts w:ascii="Arial" w:eastAsia="Times New Roman" w:hAnsi="Arial" w:cs="Arial"/>
                <w:sz w:val="20"/>
                <w:szCs w:val="20"/>
              </w:rPr>
            </w:pPr>
            <w:r w:rsidRPr="00EC5920">
              <w:rPr>
                <w:rFonts w:ascii="Arial" w:eastAsia="Times New Roman" w:hAnsi="Arial" w:cs="Arial"/>
                <w:sz w:val="20"/>
                <w:szCs w:val="20"/>
              </w:rPr>
              <w:t>Location × Spray × Treatment</w:t>
            </w:r>
          </w:p>
        </w:tc>
        <w:tc>
          <w:tcPr>
            <w:tcW w:w="382" w:type="pct"/>
            <w:vAlign w:val="center"/>
          </w:tcPr>
          <w:p w14:paraId="0A9FF263"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5</w:t>
            </w:r>
          </w:p>
        </w:tc>
        <w:tc>
          <w:tcPr>
            <w:tcW w:w="384" w:type="pct"/>
            <w:vAlign w:val="center"/>
          </w:tcPr>
          <w:p w14:paraId="35226641"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48</w:t>
            </w:r>
          </w:p>
        </w:tc>
        <w:tc>
          <w:tcPr>
            <w:tcW w:w="583" w:type="pct"/>
            <w:vAlign w:val="center"/>
          </w:tcPr>
          <w:p w14:paraId="03B99E7D"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0.099</w:t>
            </w:r>
          </w:p>
        </w:tc>
        <w:tc>
          <w:tcPr>
            <w:tcW w:w="584" w:type="pct"/>
            <w:vAlign w:val="center"/>
          </w:tcPr>
          <w:p w14:paraId="0301D0D8"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0.9919</w:t>
            </w:r>
          </w:p>
        </w:tc>
        <w:tc>
          <w:tcPr>
            <w:tcW w:w="584" w:type="pct"/>
            <w:vAlign w:val="center"/>
          </w:tcPr>
          <w:p w14:paraId="77B5A11E"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0.001</w:t>
            </w:r>
          </w:p>
        </w:tc>
        <w:tc>
          <w:tcPr>
            <w:tcW w:w="585" w:type="pct"/>
            <w:vAlign w:val="center"/>
          </w:tcPr>
          <w:p w14:paraId="0DF2F404"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1.0000</w:t>
            </w:r>
          </w:p>
        </w:tc>
      </w:tr>
      <w:tr w:rsidR="00076D94" w:rsidRPr="00EC5920" w14:paraId="100A7E2B" w14:textId="77777777" w:rsidTr="003E0E8B">
        <w:trPr>
          <w:jc w:val="center"/>
        </w:trPr>
        <w:tc>
          <w:tcPr>
            <w:tcW w:w="1898" w:type="pct"/>
            <w:vAlign w:val="center"/>
          </w:tcPr>
          <w:p w14:paraId="44DF7B65" w14:textId="77777777" w:rsidR="00C66F3A" w:rsidRPr="00EC5920" w:rsidRDefault="00C66F3A" w:rsidP="004B3EC7">
            <w:pPr>
              <w:rPr>
                <w:rFonts w:ascii="Arial" w:eastAsia="Times New Roman" w:hAnsi="Arial" w:cs="Arial"/>
                <w:sz w:val="20"/>
                <w:szCs w:val="20"/>
              </w:rPr>
            </w:pPr>
            <w:r w:rsidRPr="00EC5920">
              <w:rPr>
                <w:rFonts w:ascii="Arial" w:eastAsia="Times New Roman" w:hAnsi="Arial" w:cs="Arial"/>
                <w:sz w:val="20"/>
                <w:szCs w:val="20"/>
              </w:rPr>
              <w:t>Location × Spray × Period</w:t>
            </w:r>
          </w:p>
        </w:tc>
        <w:tc>
          <w:tcPr>
            <w:tcW w:w="382" w:type="pct"/>
            <w:vAlign w:val="center"/>
          </w:tcPr>
          <w:p w14:paraId="4C8D9EA4"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5</w:t>
            </w:r>
          </w:p>
        </w:tc>
        <w:tc>
          <w:tcPr>
            <w:tcW w:w="384" w:type="pct"/>
            <w:vAlign w:val="center"/>
          </w:tcPr>
          <w:p w14:paraId="700BE852"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240</w:t>
            </w:r>
          </w:p>
        </w:tc>
        <w:tc>
          <w:tcPr>
            <w:tcW w:w="583" w:type="pct"/>
            <w:vAlign w:val="center"/>
          </w:tcPr>
          <w:p w14:paraId="13DC7D77"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0.232</w:t>
            </w:r>
          </w:p>
        </w:tc>
        <w:tc>
          <w:tcPr>
            <w:tcW w:w="584" w:type="pct"/>
            <w:vAlign w:val="center"/>
          </w:tcPr>
          <w:p w14:paraId="0CC5F275"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0.9483</w:t>
            </w:r>
          </w:p>
        </w:tc>
        <w:tc>
          <w:tcPr>
            <w:tcW w:w="584" w:type="pct"/>
            <w:vAlign w:val="center"/>
          </w:tcPr>
          <w:p w14:paraId="20F33D22"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0.006</w:t>
            </w:r>
          </w:p>
        </w:tc>
        <w:tc>
          <w:tcPr>
            <w:tcW w:w="585" w:type="pct"/>
            <w:vAlign w:val="center"/>
          </w:tcPr>
          <w:p w14:paraId="2E7D17E5"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1.0000</w:t>
            </w:r>
          </w:p>
        </w:tc>
      </w:tr>
      <w:tr w:rsidR="00076D94" w:rsidRPr="00EC5920" w14:paraId="786D8EAE" w14:textId="77777777" w:rsidTr="003E0E8B">
        <w:trPr>
          <w:jc w:val="center"/>
        </w:trPr>
        <w:tc>
          <w:tcPr>
            <w:tcW w:w="1898" w:type="pct"/>
            <w:vAlign w:val="center"/>
          </w:tcPr>
          <w:p w14:paraId="7D96E027" w14:textId="77777777" w:rsidR="00C66F3A" w:rsidRPr="00EC5920" w:rsidRDefault="00C66F3A" w:rsidP="004B3EC7">
            <w:pPr>
              <w:rPr>
                <w:rFonts w:ascii="Arial" w:eastAsia="Times New Roman" w:hAnsi="Arial" w:cs="Arial"/>
                <w:sz w:val="20"/>
                <w:szCs w:val="20"/>
              </w:rPr>
            </w:pPr>
            <w:r w:rsidRPr="00EC5920">
              <w:rPr>
                <w:rFonts w:ascii="Arial" w:eastAsia="Times New Roman" w:hAnsi="Arial" w:cs="Arial"/>
                <w:sz w:val="20"/>
                <w:szCs w:val="20"/>
              </w:rPr>
              <w:t>Location × Treatment × Period</w:t>
            </w:r>
          </w:p>
        </w:tc>
        <w:tc>
          <w:tcPr>
            <w:tcW w:w="382" w:type="pct"/>
            <w:vAlign w:val="center"/>
          </w:tcPr>
          <w:p w14:paraId="202242A3"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25</w:t>
            </w:r>
          </w:p>
        </w:tc>
        <w:tc>
          <w:tcPr>
            <w:tcW w:w="384" w:type="pct"/>
            <w:vAlign w:val="center"/>
          </w:tcPr>
          <w:p w14:paraId="5D633477"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240</w:t>
            </w:r>
          </w:p>
        </w:tc>
        <w:tc>
          <w:tcPr>
            <w:tcW w:w="583" w:type="pct"/>
            <w:vAlign w:val="center"/>
          </w:tcPr>
          <w:p w14:paraId="41E09D7C"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0.126</w:t>
            </w:r>
          </w:p>
        </w:tc>
        <w:tc>
          <w:tcPr>
            <w:tcW w:w="584" w:type="pct"/>
            <w:vAlign w:val="center"/>
          </w:tcPr>
          <w:p w14:paraId="6106793C"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1.0000</w:t>
            </w:r>
          </w:p>
        </w:tc>
        <w:tc>
          <w:tcPr>
            <w:tcW w:w="584" w:type="pct"/>
            <w:vAlign w:val="center"/>
          </w:tcPr>
          <w:p w14:paraId="5065CECF"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0.006</w:t>
            </w:r>
          </w:p>
        </w:tc>
        <w:tc>
          <w:tcPr>
            <w:tcW w:w="585" w:type="pct"/>
            <w:vAlign w:val="center"/>
          </w:tcPr>
          <w:p w14:paraId="6CBBB722"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1.0000</w:t>
            </w:r>
          </w:p>
        </w:tc>
      </w:tr>
      <w:tr w:rsidR="00076D94" w:rsidRPr="00EC5920" w14:paraId="7F7021DE" w14:textId="77777777" w:rsidTr="003E0E8B">
        <w:trPr>
          <w:jc w:val="center"/>
        </w:trPr>
        <w:tc>
          <w:tcPr>
            <w:tcW w:w="1898" w:type="pct"/>
            <w:vAlign w:val="center"/>
          </w:tcPr>
          <w:p w14:paraId="1E07A8D1" w14:textId="77777777" w:rsidR="00C66F3A" w:rsidRPr="00EC5920" w:rsidRDefault="00C66F3A" w:rsidP="004B3EC7">
            <w:pPr>
              <w:rPr>
                <w:rFonts w:ascii="Arial" w:eastAsia="Times New Roman" w:hAnsi="Arial" w:cs="Arial"/>
                <w:sz w:val="20"/>
                <w:szCs w:val="20"/>
              </w:rPr>
            </w:pPr>
            <w:r w:rsidRPr="00EC5920">
              <w:rPr>
                <w:rFonts w:ascii="Arial" w:eastAsia="Times New Roman" w:hAnsi="Arial" w:cs="Arial"/>
                <w:sz w:val="20"/>
                <w:szCs w:val="20"/>
              </w:rPr>
              <w:t>Spray × Treatment × Period</w:t>
            </w:r>
          </w:p>
        </w:tc>
        <w:tc>
          <w:tcPr>
            <w:tcW w:w="382" w:type="pct"/>
            <w:vAlign w:val="center"/>
          </w:tcPr>
          <w:p w14:paraId="26E41A4B"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25</w:t>
            </w:r>
          </w:p>
        </w:tc>
        <w:tc>
          <w:tcPr>
            <w:tcW w:w="384" w:type="pct"/>
            <w:vAlign w:val="center"/>
          </w:tcPr>
          <w:p w14:paraId="17D163D9"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240</w:t>
            </w:r>
          </w:p>
        </w:tc>
        <w:tc>
          <w:tcPr>
            <w:tcW w:w="583" w:type="pct"/>
            <w:vAlign w:val="center"/>
          </w:tcPr>
          <w:p w14:paraId="56F042F0"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0.398</w:t>
            </w:r>
          </w:p>
        </w:tc>
        <w:tc>
          <w:tcPr>
            <w:tcW w:w="584" w:type="pct"/>
            <w:vAlign w:val="center"/>
          </w:tcPr>
          <w:p w14:paraId="5A44D97D"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0.9960</w:t>
            </w:r>
          </w:p>
        </w:tc>
        <w:tc>
          <w:tcPr>
            <w:tcW w:w="584" w:type="pct"/>
            <w:vAlign w:val="center"/>
          </w:tcPr>
          <w:p w14:paraId="1E586442"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0.187</w:t>
            </w:r>
          </w:p>
        </w:tc>
        <w:tc>
          <w:tcPr>
            <w:tcW w:w="585" w:type="pct"/>
            <w:vAlign w:val="center"/>
          </w:tcPr>
          <w:p w14:paraId="400AF545"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1.0000</w:t>
            </w:r>
          </w:p>
        </w:tc>
      </w:tr>
      <w:tr w:rsidR="00076D94" w:rsidRPr="00EC5920" w14:paraId="51B5CE98" w14:textId="77777777" w:rsidTr="003E0E8B">
        <w:trPr>
          <w:jc w:val="center"/>
        </w:trPr>
        <w:tc>
          <w:tcPr>
            <w:tcW w:w="1898" w:type="pct"/>
            <w:tcBorders>
              <w:bottom w:val="single" w:sz="4" w:space="0" w:color="auto"/>
            </w:tcBorders>
            <w:vAlign w:val="center"/>
          </w:tcPr>
          <w:p w14:paraId="0BD03EA2" w14:textId="77777777" w:rsidR="00C66F3A" w:rsidRPr="00EC5920" w:rsidRDefault="00C66F3A" w:rsidP="004B3EC7">
            <w:pPr>
              <w:rPr>
                <w:rFonts w:ascii="Arial" w:eastAsia="Times New Roman" w:hAnsi="Arial" w:cs="Arial"/>
                <w:sz w:val="20"/>
                <w:szCs w:val="20"/>
              </w:rPr>
            </w:pPr>
            <w:r w:rsidRPr="00EC5920">
              <w:rPr>
                <w:rFonts w:ascii="Arial" w:eastAsia="Times New Roman" w:hAnsi="Arial" w:cs="Arial"/>
                <w:sz w:val="20"/>
                <w:szCs w:val="20"/>
              </w:rPr>
              <w:t>Location × Spray × Treatment × Period</w:t>
            </w:r>
          </w:p>
        </w:tc>
        <w:tc>
          <w:tcPr>
            <w:tcW w:w="382" w:type="pct"/>
            <w:tcBorders>
              <w:bottom w:val="single" w:sz="4" w:space="0" w:color="auto"/>
            </w:tcBorders>
            <w:vAlign w:val="center"/>
          </w:tcPr>
          <w:p w14:paraId="4EFF7F6D"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25</w:t>
            </w:r>
          </w:p>
        </w:tc>
        <w:tc>
          <w:tcPr>
            <w:tcW w:w="384" w:type="pct"/>
            <w:tcBorders>
              <w:bottom w:val="single" w:sz="4" w:space="0" w:color="auto"/>
            </w:tcBorders>
            <w:vAlign w:val="center"/>
          </w:tcPr>
          <w:p w14:paraId="3AC869BD" w14:textId="77777777" w:rsidR="00C66F3A" w:rsidRPr="00EC5920" w:rsidRDefault="00C66F3A" w:rsidP="004B3EC7">
            <w:pPr>
              <w:jc w:val="center"/>
              <w:rPr>
                <w:rFonts w:ascii="Arial" w:eastAsia="Times New Roman" w:hAnsi="Arial" w:cs="Arial"/>
                <w:sz w:val="20"/>
                <w:szCs w:val="20"/>
              </w:rPr>
            </w:pPr>
            <w:r w:rsidRPr="00EC5920">
              <w:rPr>
                <w:rFonts w:ascii="Arial" w:eastAsia="Times New Roman" w:hAnsi="Arial" w:cs="Arial"/>
                <w:sz w:val="20"/>
                <w:szCs w:val="20"/>
              </w:rPr>
              <w:t>240</w:t>
            </w:r>
          </w:p>
        </w:tc>
        <w:tc>
          <w:tcPr>
            <w:tcW w:w="583" w:type="pct"/>
            <w:tcBorders>
              <w:bottom w:val="single" w:sz="4" w:space="0" w:color="auto"/>
            </w:tcBorders>
            <w:vAlign w:val="center"/>
          </w:tcPr>
          <w:p w14:paraId="358D5C24"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0.164</w:t>
            </w:r>
          </w:p>
        </w:tc>
        <w:tc>
          <w:tcPr>
            <w:tcW w:w="584" w:type="pct"/>
            <w:tcBorders>
              <w:bottom w:val="single" w:sz="4" w:space="0" w:color="auto"/>
            </w:tcBorders>
            <w:vAlign w:val="center"/>
          </w:tcPr>
          <w:p w14:paraId="0B149AD0"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1.0000</w:t>
            </w:r>
          </w:p>
        </w:tc>
        <w:tc>
          <w:tcPr>
            <w:tcW w:w="584" w:type="pct"/>
            <w:tcBorders>
              <w:bottom w:val="single" w:sz="4" w:space="0" w:color="auto"/>
            </w:tcBorders>
            <w:vAlign w:val="center"/>
          </w:tcPr>
          <w:p w14:paraId="3083C6D9"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0.004</w:t>
            </w:r>
          </w:p>
        </w:tc>
        <w:tc>
          <w:tcPr>
            <w:tcW w:w="585" w:type="pct"/>
            <w:tcBorders>
              <w:bottom w:val="single" w:sz="4" w:space="0" w:color="auto"/>
            </w:tcBorders>
            <w:vAlign w:val="center"/>
          </w:tcPr>
          <w:p w14:paraId="4A704FE5" w14:textId="77777777" w:rsidR="00C66F3A" w:rsidRPr="00EC5920" w:rsidRDefault="00C66F3A" w:rsidP="004B3EC7">
            <w:pPr>
              <w:jc w:val="center"/>
              <w:rPr>
                <w:rFonts w:ascii="Arial" w:hAnsi="Arial" w:cs="Arial"/>
                <w:sz w:val="20"/>
                <w:szCs w:val="20"/>
                <w:lang w:bidi="gu-IN"/>
              </w:rPr>
            </w:pPr>
            <w:r w:rsidRPr="00EC5920">
              <w:rPr>
                <w:rFonts w:ascii="Arial" w:hAnsi="Arial" w:cs="Arial"/>
                <w:sz w:val="20"/>
                <w:szCs w:val="20"/>
                <w:lang w:bidi="gu-IN"/>
              </w:rPr>
              <w:t>1.0000</w:t>
            </w:r>
          </w:p>
        </w:tc>
      </w:tr>
    </w:tbl>
    <w:p w14:paraId="46C38538" w14:textId="77777777" w:rsidR="00507FE6" w:rsidRPr="00EC5920" w:rsidRDefault="00225ECB" w:rsidP="002E7D34">
      <w:pPr>
        <w:spacing w:before="120" w:after="120" w:line="240" w:lineRule="auto"/>
        <w:jc w:val="both"/>
        <w:rPr>
          <w:rFonts w:ascii="Arial" w:hAnsi="Arial" w:cs="Arial"/>
          <w:b/>
          <w:bCs/>
        </w:rPr>
      </w:pPr>
      <w:r w:rsidRPr="00EC5920">
        <w:rPr>
          <w:rFonts w:ascii="Arial" w:hAnsi="Arial" w:cs="Arial"/>
          <w:b/>
          <w:bCs/>
        </w:rPr>
        <w:t>3.3 Effect of Treatments on Cob Yield and Per cent Cob Infestation</w:t>
      </w:r>
    </w:p>
    <w:p w14:paraId="55DA93AD" w14:textId="77777777" w:rsidR="00507FE6" w:rsidRPr="00EC5920" w:rsidRDefault="00507FE6" w:rsidP="002E7D34">
      <w:pPr>
        <w:spacing w:before="120" w:after="120" w:line="240" w:lineRule="auto"/>
        <w:jc w:val="both"/>
        <w:rPr>
          <w:rFonts w:ascii="Arial" w:hAnsi="Arial" w:cs="Arial"/>
          <w:sz w:val="20"/>
          <w:szCs w:val="20"/>
        </w:rPr>
      </w:pPr>
      <w:r w:rsidRPr="00EC5920">
        <w:rPr>
          <w:rFonts w:ascii="Arial" w:hAnsi="Arial" w:cs="Arial"/>
          <w:sz w:val="20"/>
          <w:szCs w:val="20"/>
        </w:rPr>
        <w:t xml:space="preserve">The analysis of variance revealed that </w:t>
      </w:r>
      <w:r w:rsidRPr="00EC5920">
        <w:rPr>
          <w:rFonts w:ascii="Arial" w:hAnsi="Arial" w:cs="Arial"/>
          <w:bCs/>
          <w:sz w:val="20"/>
          <w:szCs w:val="20"/>
        </w:rPr>
        <w:t>treatment had a significant effect on cob yield</w:t>
      </w:r>
      <w:r w:rsidRPr="00EC5920">
        <w:rPr>
          <w:rFonts w:ascii="Arial" w:hAnsi="Arial" w:cs="Arial"/>
          <w:sz w:val="20"/>
          <w:szCs w:val="20"/>
        </w:rPr>
        <w:t xml:space="preserve"> (</w:t>
      </w:r>
      <w:r w:rsidRPr="00EC5920">
        <w:rPr>
          <w:rFonts w:ascii="Arial" w:hAnsi="Arial" w:cs="Arial"/>
          <w:bCs/>
          <w:sz w:val="20"/>
          <w:szCs w:val="20"/>
        </w:rPr>
        <w:t>F</w:t>
      </w:r>
      <w:r w:rsidRPr="00EC5920">
        <w:rPr>
          <w:rFonts w:ascii="Arial" w:hAnsi="Arial" w:cs="Arial"/>
          <w:sz w:val="20"/>
          <w:szCs w:val="20"/>
        </w:rPr>
        <w:t xml:space="preserve"> = 8.798; </w:t>
      </w:r>
      <w:r w:rsidRPr="00EC5920">
        <w:rPr>
          <w:rFonts w:ascii="Arial" w:hAnsi="Arial" w:cs="Arial"/>
          <w:bCs/>
          <w:i/>
          <w:sz w:val="20"/>
          <w:szCs w:val="20"/>
        </w:rPr>
        <w:t>P</w:t>
      </w:r>
      <w:r w:rsidRPr="00EC5920">
        <w:rPr>
          <w:rFonts w:ascii="Arial" w:hAnsi="Arial" w:cs="Arial"/>
          <w:sz w:val="20"/>
          <w:szCs w:val="20"/>
        </w:rPr>
        <w:t xml:space="preserve"> &lt; 0.001), whereas the effects of location (</w:t>
      </w:r>
      <w:r w:rsidRPr="00EC5920">
        <w:rPr>
          <w:rFonts w:ascii="Arial" w:hAnsi="Arial" w:cs="Arial"/>
          <w:bCs/>
          <w:sz w:val="20"/>
          <w:szCs w:val="20"/>
        </w:rPr>
        <w:t>F</w:t>
      </w:r>
      <w:r w:rsidRPr="00EC5920">
        <w:rPr>
          <w:rFonts w:ascii="Arial" w:hAnsi="Arial" w:cs="Arial"/>
          <w:sz w:val="20"/>
          <w:szCs w:val="20"/>
        </w:rPr>
        <w:t xml:space="preserve"> = 0.902; </w:t>
      </w:r>
      <w:r w:rsidRPr="00EC5920">
        <w:rPr>
          <w:rFonts w:ascii="Arial" w:hAnsi="Arial" w:cs="Arial"/>
          <w:bCs/>
          <w:i/>
          <w:sz w:val="20"/>
          <w:szCs w:val="20"/>
        </w:rPr>
        <w:t>P</w:t>
      </w:r>
      <w:r w:rsidRPr="00EC5920">
        <w:rPr>
          <w:rFonts w:ascii="Arial" w:hAnsi="Arial" w:cs="Arial"/>
          <w:sz w:val="20"/>
          <w:szCs w:val="20"/>
        </w:rPr>
        <w:t xml:space="preserve"> = 0.3536), location × replication (</w:t>
      </w:r>
      <w:r w:rsidRPr="00EC5920">
        <w:rPr>
          <w:rFonts w:ascii="Arial" w:hAnsi="Arial" w:cs="Arial"/>
          <w:bCs/>
          <w:sz w:val="20"/>
          <w:szCs w:val="20"/>
        </w:rPr>
        <w:t>F</w:t>
      </w:r>
      <w:r w:rsidRPr="00EC5920">
        <w:rPr>
          <w:rFonts w:ascii="Arial" w:hAnsi="Arial" w:cs="Arial"/>
          <w:sz w:val="20"/>
          <w:szCs w:val="20"/>
        </w:rPr>
        <w:t xml:space="preserve"> = 0.577; </w:t>
      </w:r>
      <w:r w:rsidRPr="00EC5920">
        <w:rPr>
          <w:rFonts w:ascii="Arial" w:hAnsi="Arial" w:cs="Arial"/>
          <w:bCs/>
          <w:i/>
          <w:sz w:val="20"/>
          <w:szCs w:val="20"/>
        </w:rPr>
        <w:t>P</w:t>
      </w:r>
      <w:r w:rsidRPr="00EC5920">
        <w:rPr>
          <w:rFonts w:ascii="Arial" w:hAnsi="Arial" w:cs="Arial"/>
          <w:sz w:val="20"/>
          <w:szCs w:val="20"/>
        </w:rPr>
        <w:t xml:space="preserve"> = 0.6824), and location × treatment interaction (</w:t>
      </w:r>
      <w:r w:rsidRPr="00EC5920">
        <w:rPr>
          <w:rFonts w:ascii="Arial" w:hAnsi="Arial" w:cs="Arial"/>
          <w:bCs/>
          <w:sz w:val="20"/>
          <w:szCs w:val="20"/>
        </w:rPr>
        <w:t>F</w:t>
      </w:r>
      <w:r w:rsidRPr="00EC5920">
        <w:rPr>
          <w:rFonts w:ascii="Arial" w:hAnsi="Arial" w:cs="Arial"/>
          <w:sz w:val="20"/>
          <w:szCs w:val="20"/>
        </w:rPr>
        <w:t xml:space="preserve"> = 0.002; </w:t>
      </w:r>
      <w:r w:rsidRPr="00EC5920">
        <w:rPr>
          <w:rFonts w:ascii="Arial" w:hAnsi="Arial" w:cs="Arial"/>
          <w:bCs/>
          <w:i/>
          <w:sz w:val="20"/>
          <w:szCs w:val="20"/>
        </w:rPr>
        <w:t>P</w:t>
      </w:r>
      <w:r w:rsidRPr="00EC5920">
        <w:rPr>
          <w:rFonts w:ascii="Arial" w:hAnsi="Arial" w:cs="Arial"/>
          <w:sz w:val="20"/>
          <w:szCs w:val="20"/>
        </w:rPr>
        <w:t xml:space="preserve"> = 1.0000) were non-significant (Table 4). Similarly, </w:t>
      </w:r>
      <w:r w:rsidRPr="00EC5920">
        <w:rPr>
          <w:rFonts w:ascii="Arial" w:hAnsi="Arial" w:cs="Arial"/>
          <w:bCs/>
          <w:sz w:val="20"/>
          <w:szCs w:val="20"/>
        </w:rPr>
        <w:t>per cent cob infestation</w:t>
      </w:r>
      <w:r w:rsidRPr="00EC5920">
        <w:rPr>
          <w:rFonts w:ascii="Arial" w:hAnsi="Arial" w:cs="Arial"/>
          <w:sz w:val="20"/>
          <w:szCs w:val="20"/>
        </w:rPr>
        <w:t xml:space="preserve"> was significantly influenced by treatment (</w:t>
      </w:r>
      <w:r w:rsidRPr="00EC5920">
        <w:rPr>
          <w:rFonts w:ascii="Arial" w:hAnsi="Arial" w:cs="Arial"/>
          <w:bCs/>
          <w:sz w:val="20"/>
          <w:szCs w:val="20"/>
        </w:rPr>
        <w:t>F</w:t>
      </w:r>
      <w:r w:rsidRPr="00EC5920">
        <w:rPr>
          <w:rFonts w:ascii="Arial" w:hAnsi="Arial" w:cs="Arial"/>
          <w:sz w:val="20"/>
          <w:szCs w:val="20"/>
        </w:rPr>
        <w:t xml:space="preserve"> = 27.087; </w:t>
      </w:r>
      <w:r w:rsidRPr="00EC5920">
        <w:rPr>
          <w:rFonts w:ascii="Arial" w:hAnsi="Arial" w:cs="Arial"/>
          <w:bCs/>
          <w:i/>
          <w:sz w:val="20"/>
          <w:szCs w:val="20"/>
        </w:rPr>
        <w:t>P</w:t>
      </w:r>
      <w:r w:rsidRPr="00EC5920">
        <w:rPr>
          <w:rFonts w:ascii="Arial" w:hAnsi="Arial" w:cs="Arial"/>
          <w:sz w:val="20"/>
          <w:szCs w:val="20"/>
        </w:rPr>
        <w:t xml:space="preserve"> &lt; 0.001), while the effects of location (</w:t>
      </w:r>
      <w:r w:rsidRPr="00EC5920">
        <w:rPr>
          <w:rFonts w:ascii="Arial" w:hAnsi="Arial" w:cs="Arial"/>
          <w:bCs/>
          <w:sz w:val="20"/>
          <w:szCs w:val="20"/>
        </w:rPr>
        <w:t>F</w:t>
      </w:r>
      <w:r w:rsidRPr="00EC5920">
        <w:rPr>
          <w:rFonts w:ascii="Arial" w:hAnsi="Arial" w:cs="Arial"/>
          <w:sz w:val="20"/>
          <w:szCs w:val="20"/>
        </w:rPr>
        <w:t xml:space="preserve"> = 0.784; </w:t>
      </w:r>
      <w:r w:rsidRPr="00EC5920">
        <w:rPr>
          <w:rFonts w:ascii="Arial" w:hAnsi="Arial" w:cs="Arial"/>
          <w:bCs/>
          <w:i/>
          <w:sz w:val="20"/>
          <w:szCs w:val="20"/>
        </w:rPr>
        <w:t>P</w:t>
      </w:r>
      <w:r w:rsidRPr="00EC5920">
        <w:rPr>
          <w:rFonts w:ascii="Arial" w:hAnsi="Arial" w:cs="Arial"/>
          <w:sz w:val="20"/>
          <w:szCs w:val="20"/>
        </w:rPr>
        <w:t xml:space="preserve"> = 0.3863), location × replication (</w:t>
      </w:r>
      <w:r w:rsidRPr="00EC5920">
        <w:rPr>
          <w:rFonts w:ascii="Arial" w:hAnsi="Arial" w:cs="Arial"/>
          <w:bCs/>
          <w:sz w:val="20"/>
          <w:szCs w:val="20"/>
        </w:rPr>
        <w:t>F</w:t>
      </w:r>
      <w:r w:rsidRPr="00EC5920">
        <w:rPr>
          <w:rFonts w:ascii="Arial" w:hAnsi="Arial" w:cs="Arial"/>
          <w:sz w:val="20"/>
          <w:szCs w:val="20"/>
        </w:rPr>
        <w:t xml:space="preserve"> = 0.555; </w:t>
      </w:r>
      <w:r w:rsidRPr="00EC5920">
        <w:rPr>
          <w:rFonts w:ascii="Arial" w:hAnsi="Arial" w:cs="Arial"/>
          <w:bCs/>
          <w:i/>
          <w:sz w:val="20"/>
          <w:szCs w:val="20"/>
        </w:rPr>
        <w:t>P</w:t>
      </w:r>
      <w:r w:rsidRPr="00EC5920">
        <w:rPr>
          <w:rFonts w:ascii="Arial" w:hAnsi="Arial" w:cs="Arial"/>
          <w:sz w:val="20"/>
          <w:szCs w:val="20"/>
        </w:rPr>
        <w:t xml:space="preserve"> = 0.6980), and location × treatment interaction (</w:t>
      </w:r>
      <w:r w:rsidRPr="00EC5920">
        <w:rPr>
          <w:rFonts w:ascii="Arial" w:hAnsi="Arial" w:cs="Arial"/>
          <w:bCs/>
          <w:sz w:val="20"/>
          <w:szCs w:val="20"/>
        </w:rPr>
        <w:t>F</w:t>
      </w:r>
      <w:r w:rsidRPr="00EC5920">
        <w:rPr>
          <w:rFonts w:ascii="Arial" w:hAnsi="Arial" w:cs="Arial"/>
          <w:sz w:val="20"/>
          <w:szCs w:val="20"/>
        </w:rPr>
        <w:t xml:space="preserve"> = 0.013; </w:t>
      </w:r>
      <w:r w:rsidRPr="00EC5920">
        <w:rPr>
          <w:rFonts w:ascii="Arial" w:hAnsi="Arial" w:cs="Arial"/>
          <w:bCs/>
          <w:i/>
          <w:sz w:val="20"/>
          <w:szCs w:val="20"/>
        </w:rPr>
        <w:t>P</w:t>
      </w:r>
      <w:r w:rsidRPr="00EC5920">
        <w:rPr>
          <w:rFonts w:ascii="Arial" w:hAnsi="Arial" w:cs="Arial"/>
          <w:sz w:val="20"/>
          <w:szCs w:val="20"/>
        </w:rPr>
        <w:t xml:space="preserve"> = 0.9999) were non-significant, indicating consistent treatment performance across locations. </w:t>
      </w:r>
    </w:p>
    <w:p w14:paraId="3D6047FD" w14:textId="77777777" w:rsidR="004B3EC7" w:rsidRPr="00EC5920" w:rsidRDefault="00507FE6" w:rsidP="004B3EC7">
      <w:pPr>
        <w:spacing w:before="120" w:after="120" w:line="240" w:lineRule="auto"/>
        <w:jc w:val="both"/>
        <w:rPr>
          <w:rFonts w:ascii="Arial" w:hAnsi="Arial" w:cs="Arial"/>
          <w:b/>
          <w:bCs/>
          <w:sz w:val="20"/>
          <w:szCs w:val="20"/>
        </w:rPr>
      </w:pPr>
      <w:r w:rsidRPr="00EC5920">
        <w:rPr>
          <w:rFonts w:ascii="Arial" w:hAnsi="Arial" w:cs="Arial"/>
          <w:sz w:val="20"/>
          <w:szCs w:val="20"/>
        </w:rPr>
        <w:t xml:space="preserve">The highest cob yield was recorded in </w:t>
      </w:r>
      <w:r w:rsidRPr="00EC5920">
        <w:rPr>
          <w:rFonts w:ascii="Arial" w:hAnsi="Arial" w:cs="Arial"/>
          <w:bCs/>
          <w:sz w:val="20"/>
          <w:szCs w:val="20"/>
        </w:rPr>
        <w:t xml:space="preserve">novaluron 5.25 + </w:t>
      </w:r>
      <w:proofErr w:type="spellStart"/>
      <w:r w:rsidRPr="00EC5920">
        <w:rPr>
          <w:rFonts w:ascii="Arial" w:hAnsi="Arial" w:cs="Arial"/>
          <w:bCs/>
          <w:sz w:val="20"/>
          <w:szCs w:val="20"/>
        </w:rPr>
        <w:t>emamectin</w:t>
      </w:r>
      <w:proofErr w:type="spellEnd"/>
      <w:r w:rsidRPr="00EC5920">
        <w:rPr>
          <w:rFonts w:ascii="Arial" w:hAnsi="Arial" w:cs="Arial"/>
          <w:bCs/>
          <w:sz w:val="20"/>
          <w:szCs w:val="20"/>
        </w:rPr>
        <w:t xml:space="preserve"> benzoate 0.9 SC integrated with </w:t>
      </w:r>
      <w:r w:rsidRPr="00EC5920">
        <w:rPr>
          <w:rFonts w:ascii="Arial" w:hAnsi="Arial" w:cs="Arial"/>
          <w:bCs/>
          <w:i/>
          <w:iCs/>
          <w:sz w:val="20"/>
          <w:szCs w:val="20"/>
        </w:rPr>
        <w:t>M. anisopliae</w:t>
      </w:r>
      <w:r w:rsidRPr="00EC5920">
        <w:rPr>
          <w:rFonts w:ascii="Arial" w:hAnsi="Arial" w:cs="Arial"/>
          <w:sz w:val="20"/>
          <w:szCs w:val="20"/>
        </w:rPr>
        <w:t xml:space="preserve"> (</w:t>
      </w:r>
      <w:r w:rsidRPr="00EC5920">
        <w:rPr>
          <w:rFonts w:ascii="Arial" w:hAnsi="Arial" w:cs="Arial"/>
          <w:bCs/>
          <w:sz w:val="20"/>
          <w:szCs w:val="20"/>
        </w:rPr>
        <w:t>13.21 t ha</w:t>
      </w:r>
      <w:r w:rsidRPr="00EC5920">
        <w:rPr>
          <w:rFonts w:ascii="Cambria Math" w:hAnsi="Cambria Math" w:cs="Cambria Math"/>
          <w:bCs/>
          <w:sz w:val="20"/>
          <w:szCs w:val="20"/>
        </w:rPr>
        <w:t>⁻</w:t>
      </w:r>
      <w:r w:rsidRPr="00EC5920">
        <w:rPr>
          <w:rFonts w:ascii="Arial" w:hAnsi="Arial" w:cs="Arial"/>
          <w:bCs/>
          <w:sz w:val="20"/>
          <w:szCs w:val="20"/>
        </w:rPr>
        <w:t>¹</w:t>
      </w:r>
      <w:r w:rsidRPr="00EC5920">
        <w:rPr>
          <w:rFonts w:ascii="Arial" w:hAnsi="Arial" w:cs="Arial"/>
          <w:sz w:val="20"/>
          <w:szCs w:val="20"/>
        </w:rPr>
        <w:t xml:space="preserve">), representing a </w:t>
      </w:r>
      <w:r w:rsidRPr="00EC5920">
        <w:rPr>
          <w:rFonts w:ascii="Arial" w:hAnsi="Arial" w:cs="Arial"/>
          <w:bCs/>
          <w:sz w:val="20"/>
          <w:szCs w:val="20"/>
        </w:rPr>
        <w:t>40.53% increase in cob yield</w:t>
      </w:r>
      <w:r w:rsidRPr="00EC5920">
        <w:rPr>
          <w:rFonts w:ascii="Arial" w:hAnsi="Arial" w:cs="Arial"/>
          <w:sz w:val="20"/>
          <w:szCs w:val="20"/>
        </w:rPr>
        <w:t xml:space="preserve"> over the untreated control. This treatment also recorded the </w:t>
      </w:r>
      <w:r w:rsidRPr="00EC5920">
        <w:rPr>
          <w:rFonts w:ascii="Arial" w:hAnsi="Arial" w:cs="Arial"/>
          <w:bCs/>
          <w:sz w:val="20"/>
          <w:szCs w:val="20"/>
        </w:rPr>
        <w:t>lowest cob infestation (11.01%)</w:t>
      </w:r>
      <w:r w:rsidRPr="00EC5920">
        <w:rPr>
          <w:rFonts w:ascii="Arial" w:hAnsi="Arial" w:cs="Arial"/>
          <w:sz w:val="20"/>
          <w:szCs w:val="20"/>
        </w:rPr>
        <w:t xml:space="preserve">. </w:t>
      </w:r>
      <w:r w:rsidRPr="00EC5920">
        <w:rPr>
          <w:rFonts w:ascii="Arial" w:hAnsi="Arial" w:cs="Arial"/>
          <w:bCs/>
          <w:sz w:val="20"/>
          <w:szCs w:val="20"/>
        </w:rPr>
        <w:t xml:space="preserve">Novaluron 5.25 + </w:t>
      </w:r>
      <w:proofErr w:type="spellStart"/>
      <w:r w:rsidRPr="00EC5920">
        <w:rPr>
          <w:rFonts w:ascii="Arial" w:hAnsi="Arial" w:cs="Arial"/>
          <w:bCs/>
          <w:sz w:val="20"/>
          <w:szCs w:val="20"/>
        </w:rPr>
        <w:t>Emamectin</w:t>
      </w:r>
      <w:proofErr w:type="spellEnd"/>
      <w:r w:rsidRPr="00EC5920">
        <w:rPr>
          <w:rFonts w:ascii="Arial" w:hAnsi="Arial" w:cs="Arial"/>
          <w:bCs/>
          <w:sz w:val="20"/>
          <w:szCs w:val="20"/>
        </w:rPr>
        <w:t xml:space="preserve"> benzoate 0.9 SC applied alone</w:t>
      </w:r>
      <w:r w:rsidRPr="00EC5920">
        <w:rPr>
          <w:rFonts w:ascii="Arial" w:hAnsi="Arial" w:cs="Arial"/>
          <w:sz w:val="20"/>
          <w:szCs w:val="20"/>
        </w:rPr>
        <w:t xml:space="preserve"> produced a comparable cob yield (</w:t>
      </w:r>
      <w:r w:rsidRPr="00EC5920">
        <w:rPr>
          <w:rFonts w:ascii="Arial" w:hAnsi="Arial" w:cs="Arial"/>
          <w:bCs/>
          <w:sz w:val="20"/>
          <w:szCs w:val="20"/>
        </w:rPr>
        <w:t>13.08 t ha</w:t>
      </w:r>
      <w:r w:rsidRPr="00EC5920">
        <w:rPr>
          <w:rFonts w:ascii="Cambria Math" w:hAnsi="Cambria Math" w:cs="Cambria Math"/>
          <w:bCs/>
          <w:sz w:val="20"/>
          <w:szCs w:val="20"/>
        </w:rPr>
        <w:t>⁻</w:t>
      </w:r>
      <w:r w:rsidRPr="00EC5920">
        <w:rPr>
          <w:rFonts w:ascii="Arial" w:hAnsi="Arial" w:cs="Arial"/>
          <w:bCs/>
          <w:sz w:val="20"/>
          <w:szCs w:val="20"/>
        </w:rPr>
        <w:t>¹</w:t>
      </w:r>
      <w:r w:rsidRPr="00EC5920">
        <w:rPr>
          <w:rFonts w:ascii="Arial" w:hAnsi="Arial" w:cs="Arial"/>
          <w:sz w:val="20"/>
          <w:szCs w:val="20"/>
        </w:rPr>
        <w:t xml:space="preserve">) with a </w:t>
      </w:r>
      <w:r w:rsidRPr="00EC5920">
        <w:rPr>
          <w:rFonts w:ascii="Arial" w:hAnsi="Arial" w:cs="Arial"/>
          <w:bCs/>
          <w:sz w:val="20"/>
          <w:szCs w:val="20"/>
        </w:rPr>
        <w:t>39.96% increase over control</w:t>
      </w:r>
      <w:r w:rsidRPr="00EC5920">
        <w:rPr>
          <w:rFonts w:ascii="Arial" w:hAnsi="Arial" w:cs="Arial"/>
          <w:sz w:val="20"/>
          <w:szCs w:val="20"/>
        </w:rPr>
        <w:t xml:space="preserve"> and </w:t>
      </w:r>
      <w:r w:rsidRPr="00EC5920">
        <w:rPr>
          <w:rFonts w:ascii="Arial" w:hAnsi="Arial" w:cs="Arial"/>
          <w:bCs/>
          <w:sz w:val="20"/>
          <w:szCs w:val="20"/>
        </w:rPr>
        <w:t>11.82% cob infestation</w:t>
      </w:r>
      <w:r w:rsidRPr="00EC5920">
        <w:rPr>
          <w:rFonts w:ascii="Arial" w:hAnsi="Arial" w:cs="Arial"/>
          <w:sz w:val="20"/>
          <w:szCs w:val="20"/>
        </w:rPr>
        <w:t xml:space="preserve">, and was statistically at par with the integrated treatment. </w:t>
      </w:r>
      <w:r w:rsidRPr="00EC5920">
        <w:rPr>
          <w:rFonts w:ascii="Arial" w:hAnsi="Arial" w:cs="Arial"/>
          <w:bCs/>
          <w:sz w:val="20"/>
          <w:szCs w:val="20"/>
        </w:rPr>
        <w:t xml:space="preserve">Thiamethoxam 12.60 + Lambda-cyhalothrin 9.50 SC integrated with </w:t>
      </w:r>
      <w:r w:rsidRPr="00EC5920">
        <w:rPr>
          <w:rFonts w:ascii="Arial" w:hAnsi="Arial" w:cs="Arial"/>
          <w:bCs/>
          <w:i/>
          <w:iCs/>
          <w:sz w:val="20"/>
          <w:szCs w:val="20"/>
        </w:rPr>
        <w:t>M. anisopliae</w:t>
      </w:r>
      <w:r w:rsidRPr="00EC5920">
        <w:rPr>
          <w:rFonts w:ascii="Arial" w:hAnsi="Arial" w:cs="Arial"/>
          <w:sz w:val="20"/>
          <w:szCs w:val="20"/>
        </w:rPr>
        <w:t xml:space="preserve"> recorded a cob yield of </w:t>
      </w:r>
      <w:r w:rsidRPr="00EC5920">
        <w:rPr>
          <w:rFonts w:ascii="Arial" w:hAnsi="Arial" w:cs="Arial"/>
          <w:bCs/>
          <w:sz w:val="20"/>
          <w:szCs w:val="20"/>
        </w:rPr>
        <w:t>11.95 t ha</w:t>
      </w:r>
      <w:r w:rsidRPr="00EC5920">
        <w:rPr>
          <w:rFonts w:ascii="Cambria Math" w:hAnsi="Cambria Math" w:cs="Cambria Math"/>
          <w:bCs/>
          <w:sz w:val="20"/>
          <w:szCs w:val="20"/>
        </w:rPr>
        <w:t>⁻</w:t>
      </w:r>
      <w:r w:rsidRPr="00EC5920">
        <w:rPr>
          <w:rFonts w:ascii="Arial" w:hAnsi="Arial" w:cs="Arial"/>
          <w:bCs/>
          <w:sz w:val="20"/>
          <w:szCs w:val="20"/>
        </w:rPr>
        <w:t>¹</w:t>
      </w:r>
      <w:r w:rsidRPr="00EC5920">
        <w:rPr>
          <w:rFonts w:ascii="Arial" w:hAnsi="Arial" w:cs="Arial"/>
          <w:sz w:val="20"/>
          <w:szCs w:val="20"/>
        </w:rPr>
        <w:t xml:space="preserve">, corresponding to a </w:t>
      </w:r>
      <w:r w:rsidRPr="00EC5920">
        <w:rPr>
          <w:rFonts w:ascii="Arial" w:hAnsi="Arial" w:cs="Arial"/>
          <w:bCs/>
          <w:sz w:val="20"/>
          <w:szCs w:val="20"/>
        </w:rPr>
        <w:t>34.25% increase over control</w:t>
      </w:r>
      <w:r w:rsidRPr="00EC5920">
        <w:rPr>
          <w:rFonts w:ascii="Arial" w:hAnsi="Arial" w:cs="Arial"/>
          <w:sz w:val="20"/>
          <w:szCs w:val="20"/>
        </w:rPr>
        <w:t xml:space="preserve">, with </w:t>
      </w:r>
      <w:r w:rsidRPr="00EC5920">
        <w:rPr>
          <w:rFonts w:ascii="Arial" w:hAnsi="Arial" w:cs="Arial"/>
          <w:bCs/>
          <w:sz w:val="20"/>
          <w:szCs w:val="20"/>
        </w:rPr>
        <w:t>17.66% cob infestation</w:t>
      </w:r>
      <w:r w:rsidRPr="00EC5920">
        <w:rPr>
          <w:rFonts w:ascii="Arial" w:hAnsi="Arial" w:cs="Arial"/>
          <w:sz w:val="20"/>
          <w:szCs w:val="20"/>
        </w:rPr>
        <w:t xml:space="preserve">, while </w:t>
      </w:r>
      <w:r w:rsidRPr="00EC5920">
        <w:rPr>
          <w:rFonts w:ascii="Arial" w:hAnsi="Arial" w:cs="Arial"/>
          <w:bCs/>
          <w:sz w:val="20"/>
          <w:szCs w:val="20"/>
        </w:rPr>
        <w:t>Thiamethoxam 12.60 + Lambda-cyhalothrin 9.50 SC applied alone</w:t>
      </w:r>
      <w:r w:rsidRPr="00EC5920">
        <w:rPr>
          <w:rFonts w:ascii="Arial" w:hAnsi="Arial" w:cs="Arial"/>
          <w:sz w:val="20"/>
          <w:szCs w:val="20"/>
        </w:rPr>
        <w:t xml:space="preserve"> yielded </w:t>
      </w:r>
      <w:r w:rsidRPr="00EC5920">
        <w:rPr>
          <w:rFonts w:ascii="Arial" w:hAnsi="Arial" w:cs="Arial"/>
          <w:bCs/>
          <w:sz w:val="20"/>
          <w:szCs w:val="20"/>
        </w:rPr>
        <w:t>11.85 t ha</w:t>
      </w:r>
      <w:r w:rsidRPr="00EC5920">
        <w:rPr>
          <w:rFonts w:ascii="Cambria Math" w:hAnsi="Cambria Math" w:cs="Cambria Math"/>
          <w:bCs/>
          <w:sz w:val="20"/>
          <w:szCs w:val="20"/>
        </w:rPr>
        <w:t>⁻</w:t>
      </w:r>
      <w:r w:rsidRPr="00EC5920">
        <w:rPr>
          <w:rFonts w:ascii="Arial" w:hAnsi="Arial" w:cs="Arial"/>
          <w:bCs/>
          <w:sz w:val="20"/>
          <w:szCs w:val="20"/>
        </w:rPr>
        <w:t>¹</w:t>
      </w:r>
      <w:r w:rsidRPr="00EC5920">
        <w:rPr>
          <w:rFonts w:ascii="Arial" w:hAnsi="Arial" w:cs="Arial"/>
          <w:sz w:val="20"/>
          <w:szCs w:val="20"/>
        </w:rPr>
        <w:t xml:space="preserve"> (</w:t>
      </w:r>
      <w:r w:rsidRPr="00EC5920">
        <w:rPr>
          <w:rFonts w:ascii="Arial" w:hAnsi="Arial" w:cs="Arial"/>
          <w:bCs/>
          <w:sz w:val="20"/>
          <w:szCs w:val="20"/>
        </w:rPr>
        <w:t>33.72% increase</w:t>
      </w:r>
      <w:r w:rsidRPr="00EC5920">
        <w:rPr>
          <w:rFonts w:ascii="Arial" w:hAnsi="Arial" w:cs="Arial"/>
          <w:sz w:val="20"/>
          <w:szCs w:val="20"/>
        </w:rPr>
        <w:t xml:space="preserve">) with </w:t>
      </w:r>
      <w:r w:rsidRPr="00EC5920">
        <w:rPr>
          <w:rFonts w:ascii="Arial" w:hAnsi="Arial" w:cs="Arial"/>
          <w:bCs/>
          <w:sz w:val="20"/>
          <w:szCs w:val="20"/>
        </w:rPr>
        <w:t>19.04% cob infestation</w:t>
      </w:r>
      <w:r w:rsidRPr="00EC5920">
        <w:rPr>
          <w:rFonts w:ascii="Arial" w:hAnsi="Arial" w:cs="Arial"/>
          <w:sz w:val="20"/>
          <w:szCs w:val="20"/>
        </w:rPr>
        <w:t xml:space="preserve">. </w:t>
      </w:r>
      <w:r w:rsidRPr="00EC5920">
        <w:rPr>
          <w:rFonts w:ascii="Arial" w:hAnsi="Arial" w:cs="Arial"/>
          <w:bCs/>
          <w:i/>
          <w:iCs/>
          <w:sz w:val="20"/>
          <w:szCs w:val="20"/>
        </w:rPr>
        <w:t>M</w:t>
      </w:r>
      <w:r w:rsidR="00A67F25" w:rsidRPr="00EC5920">
        <w:rPr>
          <w:rFonts w:ascii="Arial" w:hAnsi="Arial" w:cs="Arial"/>
          <w:bCs/>
          <w:i/>
          <w:iCs/>
          <w:sz w:val="20"/>
          <w:szCs w:val="20"/>
        </w:rPr>
        <w:t>.</w:t>
      </w:r>
      <w:r w:rsidRPr="00EC5920">
        <w:rPr>
          <w:rFonts w:ascii="Arial" w:hAnsi="Arial" w:cs="Arial"/>
          <w:bCs/>
          <w:i/>
          <w:iCs/>
          <w:sz w:val="20"/>
          <w:szCs w:val="20"/>
        </w:rPr>
        <w:t xml:space="preserve"> anisopliae</w:t>
      </w:r>
      <w:r w:rsidRPr="00EC5920">
        <w:rPr>
          <w:rFonts w:ascii="Arial" w:hAnsi="Arial" w:cs="Arial"/>
          <w:bCs/>
          <w:sz w:val="20"/>
          <w:szCs w:val="20"/>
        </w:rPr>
        <w:t xml:space="preserve"> applied alone</w:t>
      </w:r>
      <w:r w:rsidRPr="00EC5920">
        <w:rPr>
          <w:rFonts w:ascii="Arial" w:hAnsi="Arial" w:cs="Arial"/>
          <w:sz w:val="20"/>
          <w:szCs w:val="20"/>
        </w:rPr>
        <w:t xml:space="preserve"> produced </w:t>
      </w:r>
      <w:r w:rsidRPr="00EC5920">
        <w:rPr>
          <w:rFonts w:ascii="Arial" w:hAnsi="Arial" w:cs="Arial"/>
          <w:bCs/>
          <w:sz w:val="20"/>
          <w:szCs w:val="20"/>
        </w:rPr>
        <w:t>10.42 t ha</w:t>
      </w:r>
      <w:r w:rsidRPr="00EC5920">
        <w:rPr>
          <w:rFonts w:ascii="Cambria Math" w:hAnsi="Cambria Math" w:cs="Cambria Math"/>
          <w:bCs/>
          <w:sz w:val="20"/>
          <w:szCs w:val="20"/>
        </w:rPr>
        <w:t>⁻</w:t>
      </w:r>
      <w:r w:rsidRPr="00EC5920">
        <w:rPr>
          <w:rFonts w:ascii="Arial" w:hAnsi="Arial" w:cs="Arial"/>
          <w:bCs/>
          <w:sz w:val="20"/>
          <w:szCs w:val="20"/>
        </w:rPr>
        <w:t>¹</w:t>
      </w:r>
      <w:r w:rsidRPr="00EC5920">
        <w:rPr>
          <w:rFonts w:ascii="Arial" w:hAnsi="Arial" w:cs="Arial"/>
          <w:sz w:val="20"/>
          <w:szCs w:val="20"/>
        </w:rPr>
        <w:t xml:space="preserve">, representing a </w:t>
      </w:r>
      <w:r w:rsidRPr="00EC5920">
        <w:rPr>
          <w:rFonts w:ascii="Arial" w:hAnsi="Arial" w:cs="Arial"/>
          <w:bCs/>
          <w:sz w:val="20"/>
          <w:szCs w:val="20"/>
        </w:rPr>
        <w:t>24.62% increase in cob yield</w:t>
      </w:r>
      <w:r w:rsidRPr="00EC5920">
        <w:rPr>
          <w:rFonts w:ascii="Arial" w:hAnsi="Arial" w:cs="Arial"/>
          <w:sz w:val="20"/>
          <w:szCs w:val="20"/>
        </w:rPr>
        <w:t xml:space="preserve">, but recorded </w:t>
      </w:r>
      <w:r w:rsidRPr="00EC5920">
        <w:rPr>
          <w:rFonts w:ascii="Arial" w:hAnsi="Arial" w:cs="Arial"/>
          <w:bCs/>
          <w:sz w:val="20"/>
          <w:szCs w:val="20"/>
        </w:rPr>
        <w:t>26.80% cob infestation</w:t>
      </w:r>
      <w:r w:rsidRPr="00EC5920">
        <w:rPr>
          <w:rFonts w:ascii="Arial" w:hAnsi="Arial" w:cs="Arial"/>
          <w:sz w:val="20"/>
          <w:szCs w:val="20"/>
        </w:rPr>
        <w:t xml:space="preserve">. The </w:t>
      </w:r>
      <w:r w:rsidRPr="00EC5920">
        <w:rPr>
          <w:rFonts w:ascii="Arial" w:hAnsi="Arial" w:cs="Arial"/>
          <w:bCs/>
          <w:sz w:val="20"/>
          <w:szCs w:val="20"/>
        </w:rPr>
        <w:t>untreated control (water spray)</w:t>
      </w:r>
      <w:r w:rsidRPr="00EC5920">
        <w:rPr>
          <w:rFonts w:ascii="Arial" w:hAnsi="Arial" w:cs="Arial"/>
          <w:sz w:val="20"/>
          <w:szCs w:val="20"/>
        </w:rPr>
        <w:t xml:space="preserve"> recorded the </w:t>
      </w:r>
      <w:r w:rsidRPr="00EC5920">
        <w:rPr>
          <w:rFonts w:ascii="Arial" w:hAnsi="Arial" w:cs="Arial"/>
          <w:bCs/>
          <w:sz w:val="20"/>
          <w:szCs w:val="20"/>
        </w:rPr>
        <w:t>lowest cob yield (7.86 t ha</w:t>
      </w:r>
      <w:r w:rsidRPr="00EC5920">
        <w:rPr>
          <w:rFonts w:ascii="Cambria Math" w:hAnsi="Cambria Math" w:cs="Cambria Math"/>
          <w:bCs/>
          <w:sz w:val="20"/>
          <w:szCs w:val="20"/>
        </w:rPr>
        <w:t>⁻</w:t>
      </w:r>
      <w:r w:rsidRPr="00EC5920">
        <w:rPr>
          <w:rFonts w:ascii="Arial" w:hAnsi="Arial" w:cs="Arial"/>
          <w:bCs/>
          <w:sz w:val="20"/>
          <w:szCs w:val="20"/>
        </w:rPr>
        <w:t>¹)</w:t>
      </w:r>
      <w:r w:rsidRPr="00EC5920">
        <w:rPr>
          <w:rFonts w:ascii="Arial" w:hAnsi="Arial" w:cs="Arial"/>
          <w:sz w:val="20"/>
          <w:szCs w:val="20"/>
        </w:rPr>
        <w:t xml:space="preserve"> and the </w:t>
      </w:r>
      <w:r w:rsidRPr="00EC5920">
        <w:rPr>
          <w:rFonts w:ascii="Arial" w:hAnsi="Arial" w:cs="Arial"/>
          <w:bCs/>
          <w:sz w:val="20"/>
          <w:szCs w:val="20"/>
        </w:rPr>
        <w:t>highest cob infestation (34.59%)</w:t>
      </w:r>
      <w:r w:rsidRPr="00EC5920">
        <w:rPr>
          <w:rFonts w:ascii="Arial" w:hAnsi="Arial" w:cs="Arial"/>
          <w:sz w:val="20"/>
          <w:szCs w:val="20"/>
        </w:rPr>
        <w:t xml:space="preserve">. Overall, treatments that resulted in lower cob infestation were associated with higher cob yields, with the integrated application of </w:t>
      </w:r>
      <w:r w:rsidR="00A67F25" w:rsidRPr="00EC5920">
        <w:rPr>
          <w:rFonts w:ascii="Arial" w:hAnsi="Arial" w:cs="Arial"/>
          <w:bCs/>
          <w:sz w:val="20"/>
          <w:szCs w:val="20"/>
        </w:rPr>
        <w:t xml:space="preserve">novaluron </w:t>
      </w:r>
      <w:r w:rsidRPr="00EC5920">
        <w:rPr>
          <w:rFonts w:ascii="Arial" w:hAnsi="Arial" w:cs="Arial"/>
          <w:bCs/>
          <w:sz w:val="20"/>
          <w:szCs w:val="20"/>
        </w:rPr>
        <w:t xml:space="preserve">5.25 + </w:t>
      </w:r>
      <w:proofErr w:type="spellStart"/>
      <w:r w:rsidR="00A67F25" w:rsidRPr="00EC5920">
        <w:rPr>
          <w:rFonts w:ascii="Arial" w:hAnsi="Arial" w:cs="Arial"/>
          <w:bCs/>
          <w:sz w:val="20"/>
          <w:szCs w:val="20"/>
        </w:rPr>
        <w:t>emamectin</w:t>
      </w:r>
      <w:proofErr w:type="spellEnd"/>
      <w:r w:rsidR="00A67F25" w:rsidRPr="00EC5920">
        <w:rPr>
          <w:rFonts w:ascii="Arial" w:hAnsi="Arial" w:cs="Arial"/>
          <w:bCs/>
          <w:sz w:val="20"/>
          <w:szCs w:val="20"/>
        </w:rPr>
        <w:t xml:space="preserve"> </w:t>
      </w:r>
      <w:r w:rsidRPr="00EC5920">
        <w:rPr>
          <w:rFonts w:ascii="Arial" w:hAnsi="Arial" w:cs="Arial"/>
          <w:bCs/>
          <w:sz w:val="20"/>
          <w:szCs w:val="20"/>
        </w:rPr>
        <w:t xml:space="preserve">benzoate 0.9 SC + </w:t>
      </w:r>
      <w:r w:rsidRPr="00EC5920">
        <w:rPr>
          <w:rFonts w:ascii="Arial" w:hAnsi="Arial" w:cs="Arial"/>
          <w:bCs/>
          <w:i/>
          <w:iCs/>
          <w:sz w:val="20"/>
          <w:szCs w:val="20"/>
        </w:rPr>
        <w:t>M. anisopliae</w:t>
      </w:r>
      <w:r w:rsidRPr="00EC5920">
        <w:rPr>
          <w:rFonts w:ascii="Arial" w:hAnsi="Arial" w:cs="Arial"/>
          <w:sz w:val="20"/>
          <w:szCs w:val="20"/>
        </w:rPr>
        <w:t xml:space="preserve"> providing the best overall performance.</w:t>
      </w:r>
    </w:p>
    <w:p w14:paraId="31B67D38" w14:textId="77777777" w:rsidR="00757CAD" w:rsidRPr="00EC5920" w:rsidRDefault="00757CAD" w:rsidP="001E19AC">
      <w:pPr>
        <w:spacing w:before="120" w:after="120" w:line="240" w:lineRule="auto"/>
        <w:ind w:left="990" w:hanging="990"/>
        <w:jc w:val="both"/>
        <w:rPr>
          <w:rFonts w:ascii="Arial" w:hAnsi="Arial" w:cs="Arial"/>
          <w:b/>
          <w:bCs/>
          <w:sz w:val="20"/>
          <w:szCs w:val="20"/>
        </w:rPr>
      </w:pPr>
      <w:r w:rsidRPr="00EC5920">
        <w:rPr>
          <w:rFonts w:ascii="Arial" w:hAnsi="Arial" w:cs="Arial"/>
          <w:b/>
          <w:bCs/>
          <w:sz w:val="20"/>
          <w:szCs w:val="20"/>
        </w:rPr>
        <w:t>Table 4</w:t>
      </w:r>
      <w:r w:rsidR="00561C0E" w:rsidRPr="00EC5920">
        <w:rPr>
          <w:rFonts w:ascii="Arial" w:hAnsi="Arial" w:cs="Arial"/>
          <w:b/>
          <w:bCs/>
          <w:sz w:val="20"/>
          <w:szCs w:val="20"/>
        </w:rPr>
        <w:t>.</w:t>
      </w:r>
      <w:r w:rsidRPr="00EC5920">
        <w:rPr>
          <w:rFonts w:ascii="Arial" w:hAnsi="Arial" w:cs="Arial"/>
          <w:b/>
          <w:bCs/>
          <w:sz w:val="20"/>
          <w:szCs w:val="20"/>
        </w:rPr>
        <w:t xml:space="preserve"> ANOVA for per cent cob infestation and cob yield of maize under different treatments and locations</w:t>
      </w:r>
    </w:p>
    <w:tbl>
      <w:tblPr>
        <w:tblStyle w:val="TableGrid"/>
        <w:tblW w:w="489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9"/>
        <w:gridCol w:w="993"/>
        <w:gridCol w:w="1132"/>
        <w:gridCol w:w="1255"/>
        <w:gridCol w:w="1257"/>
        <w:gridCol w:w="1255"/>
        <w:gridCol w:w="1254"/>
      </w:tblGrid>
      <w:tr w:rsidR="00076D94" w:rsidRPr="00EC5920" w14:paraId="036B54DB" w14:textId="77777777" w:rsidTr="003E0E8B">
        <w:trPr>
          <w:jc w:val="center"/>
        </w:trPr>
        <w:tc>
          <w:tcPr>
            <w:tcW w:w="1049" w:type="pct"/>
            <w:vMerge w:val="restart"/>
            <w:tcBorders>
              <w:top w:val="single" w:sz="4" w:space="0" w:color="auto"/>
              <w:bottom w:val="single" w:sz="4" w:space="0" w:color="auto"/>
            </w:tcBorders>
            <w:vAlign w:val="center"/>
          </w:tcPr>
          <w:p w14:paraId="40EE8BAF" w14:textId="77777777" w:rsidR="00B53277" w:rsidRPr="00EC5920" w:rsidRDefault="00B53277" w:rsidP="004B3EC7">
            <w:pPr>
              <w:jc w:val="center"/>
              <w:rPr>
                <w:rFonts w:ascii="Arial" w:hAnsi="Arial" w:cs="Arial"/>
                <w:b/>
                <w:bCs/>
                <w:sz w:val="20"/>
                <w:szCs w:val="20"/>
              </w:rPr>
            </w:pPr>
            <w:r w:rsidRPr="00EC5920">
              <w:rPr>
                <w:rFonts w:ascii="Arial" w:hAnsi="Arial" w:cs="Arial"/>
                <w:b/>
                <w:bCs/>
                <w:sz w:val="20"/>
                <w:szCs w:val="20"/>
              </w:rPr>
              <w:t>Source of variation</w:t>
            </w:r>
          </w:p>
        </w:tc>
        <w:tc>
          <w:tcPr>
            <w:tcW w:w="549" w:type="pct"/>
            <w:vMerge w:val="restart"/>
            <w:tcBorders>
              <w:top w:val="single" w:sz="4" w:space="0" w:color="auto"/>
              <w:bottom w:val="single" w:sz="4" w:space="0" w:color="auto"/>
            </w:tcBorders>
            <w:vAlign w:val="center"/>
          </w:tcPr>
          <w:p w14:paraId="1A719736" w14:textId="77777777" w:rsidR="00B53277" w:rsidRPr="00EC5920" w:rsidRDefault="00B53277" w:rsidP="004B3EC7">
            <w:pPr>
              <w:jc w:val="center"/>
              <w:rPr>
                <w:rFonts w:ascii="Arial" w:hAnsi="Arial" w:cs="Arial"/>
                <w:b/>
                <w:bCs/>
                <w:i/>
                <w:sz w:val="20"/>
                <w:szCs w:val="20"/>
              </w:rPr>
            </w:pPr>
            <w:r w:rsidRPr="00EC5920">
              <w:rPr>
                <w:rFonts w:ascii="Arial" w:hAnsi="Arial" w:cs="Arial"/>
                <w:b/>
                <w:bCs/>
                <w:i/>
                <w:sz w:val="20"/>
                <w:szCs w:val="20"/>
              </w:rPr>
              <w:t xml:space="preserve">Num </w:t>
            </w:r>
            <w:proofErr w:type="spellStart"/>
            <w:r w:rsidRPr="00EC5920">
              <w:rPr>
                <w:rFonts w:ascii="Arial" w:hAnsi="Arial" w:cs="Arial"/>
                <w:b/>
                <w:bCs/>
                <w:i/>
                <w:sz w:val="20"/>
                <w:szCs w:val="20"/>
              </w:rPr>
              <w:t>df</w:t>
            </w:r>
            <w:proofErr w:type="spellEnd"/>
          </w:p>
        </w:tc>
        <w:tc>
          <w:tcPr>
            <w:tcW w:w="626" w:type="pct"/>
            <w:vMerge w:val="restart"/>
            <w:tcBorders>
              <w:top w:val="single" w:sz="4" w:space="0" w:color="auto"/>
              <w:bottom w:val="single" w:sz="4" w:space="0" w:color="auto"/>
            </w:tcBorders>
            <w:vAlign w:val="center"/>
          </w:tcPr>
          <w:p w14:paraId="12C2B5E8" w14:textId="77777777" w:rsidR="00B53277" w:rsidRPr="00EC5920" w:rsidRDefault="00B53277" w:rsidP="004B3EC7">
            <w:pPr>
              <w:jc w:val="center"/>
              <w:rPr>
                <w:rFonts w:ascii="Arial" w:hAnsi="Arial" w:cs="Arial"/>
                <w:b/>
                <w:bCs/>
                <w:i/>
                <w:sz w:val="20"/>
                <w:szCs w:val="20"/>
              </w:rPr>
            </w:pPr>
            <w:r w:rsidRPr="00EC5920">
              <w:rPr>
                <w:rFonts w:ascii="Arial" w:hAnsi="Arial" w:cs="Arial"/>
                <w:b/>
                <w:bCs/>
                <w:i/>
                <w:sz w:val="20"/>
                <w:szCs w:val="20"/>
              </w:rPr>
              <w:t xml:space="preserve">Den </w:t>
            </w:r>
            <w:proofErr w:type="spellStart"/>
            <w:r w:rsidRPr="00EC5920">
              <w:rPr>
                <w:rFonts w:ascii="Arial" w:hAnsi="Arial" w:cs="Arial"/>
                <w:b/>
                <w:bCs/>
                <w:i/>
                <w:sz w:val="20"/>
                <w:szCs w:val="20"/>
              </w:rPr>
              <w:t>df</w:t>
            </w:r>
            <w:proofErr w:type="spellEnd"/>
          </w:p>
        </w:tc>
        <w:tc>
          <w:tcPr>
            <w:tcW w:w="1389" w:type="pct"/>
            <w:gridSpan w:val="2"/>
            <w:tcBorders>
              <w:top w:val="single" w:sz="4" w:space="0" w:color="auto"/>
              <w:bottom w:val="single" w:sz="4" w:space="0" w:color="auto"/>
            </w:tcBorders>
            <w:vAlign w:val="center"/>
          </w:tcPr>
          <w:p w14:paraId="52C93D1A" w14:textId="77777777" w:rsidR="00B53277" w:rsidRPr="00EC5920" w:rsidRDefault="00B53277" w:rsidP="004B3EC7">
            <w:pPr>
              <w:jc w:val="center"/>
              <w:rPr>
                <w:rFonts w:ascii="Arial" w:hAnsi="Arial" w:cs="Arial"/>
                <w:b/>
                <w:bCs/>
                <w:sz w:val="20"/>
                <w:szCs w:val="20"/>
              </w:rPr>
            </w:pPr>
            <w:r w:rsidRPr="00EC5920">
              <w:rPr>
                <w:rStyle w:val="Strong"/>
                <w:rFonts w:ascii="Arial" w:hAnsi="Arial" w:cs="Arial"/>
                <w:sz w:val="20"/>
                <w:szCs w:val="20"/>
              </w:rPr>
              <w:t>Per cent cob infestation</w:t>
            </w:r>
          </w:p>
        </w:tc>
        <w:tc>
          <w:tcPr>
            <w:tcW w:w="1388" w:type="pct"/>
            <w:gridSpan w:val="2"/>
            <w:tcBorders>
              <w:top w:val="single" w:sz="4" w:space="0" w:color="auto"/>
              <w:bottom w:val="single" w:sz="4" w:space="0" w:color="auto"/>
            </w:tcBorders>
            <w:vAlign w:val="center"/>
          </w:tcPr>
          <w:p w14:paraId="0D39F4A7" w14:textId="77777777" w:rsidR="00B53277" w:rsidRPr="00EC5920" w:rsidRDefault="00B53277" w:rsidP="004B3EC7">
            <w:pPr>
              <w:jc w:val="center"/>
              <w:rPr>
                <w:rFonts w:ascii="Arial" w:hAnsi="Arial" w:cs="Arial"/>
                <w:b/>
                <w:bCs/>
                <w:sz w:val="20"/>
                <w:szCs w:val="20"/>
              </w:rPr>
            </w:pPr>
            <w:r w:rsidRPr="00EC5920">
              <w:rPr>
                <w:rStyle w:val="Strong"/>
                <w:rFonts w:ascii="Arial" w:hAnsi="Arial" w:cs="Arial"/>
                <w:sz w:val="20"/>
                <w:szCs w:val="20"/>
              </w:rPr>
              <w:t>Cob yield</w:t>
            </w:r>
          </w:p>
        </w:tc>
      </w:tr>
      <w:tr w:rsidR="00076D94" w:rsidRPr="00EC5920" w14:paraId="14DDE2C4" w14:textId="77777777" w:rsidTr="003E0E8B">
        <w:trPr>
          <w:jc w:val="center"/>
        </w:trPr>
        <w:tc>
          <w:tcPr>
            <w:tcW w:w="1049" w:type="pct"/>
            <w:vMerge/>
            <w:tcBorders>
              <w:top w:val="single" w:sz="4" w:space="0" w:color="auto"/>
              <w:bottom w:val="single" w:sz="4" w:space="0" w:color="auto"/>
            </w:tcBorders>
            <w:vAlign w:val="center"/>
          </w:tcPr>
          <w:p w14:paraId="47A31326" w14:textId="77777777" w:rsidR="00B53277" w:rsidRPr="00EC5920" w:rsidRDefault="00B53277" w:rsidP="004B3EC7">
            <w:pPr>
              <w:jc w:val="center"/>
              <w:rPr>
                <w:rFonts w:ascii="Arial" w:hAnsi="Arial" w:cs="Arial"/>
                <w:b/>
                <w:sz w:val="20"/>
                <w:szCs w:val="20"/>
              </w:rPr>
            </w:pPr>
          </w:p>
        </w:tc>
        <w:tc>
          <w:tcPr>
            <w:tcW w:w="549" w:type="pct"/>
            <w:vMerge/>
            <w:tcBorders>
              <w:top w:val="single" w:sz="4" w:space="0" w:color="auto"/>
              <w:bottom w:val="single" w:sz="4" w:space="0" w:color="auto"/>
            </w:tcBorders>
            <w:vAlign w:val="center"/>
          </w:tcPr>
          <w:p w14:paraId="56227E7B" w14:textId="77777777" w:rsidR="00B53277" w:rsidRPr="00EC5920" w:rsidRDefault="00B53277" w:rsidP="004B3EC7">
            <w:pPr>
              <w:jc w:val="center"/>
              <w:rPr>
                <w:rFonts w:ascii="Arial" w:hAnsi="Arial" w:cs="Arial"/>
                <w:b/>
                <w:sz w:val="20"/>
                <w:szCs w:val="20"/>
              </w:rPr>
            </w:pPr>
          </w:p>
        </w:tc>
        <w:tc>
          <w:tcPr>
            <w:tcW w:w="626" w:type="pct"/>
            <w:vMerge/>
            <w:tcBorders>
              <w:top w:val="single" w:sz="4" w:space="0" w:color="auto"/>
              <w:bottom w:val="single" w:sz="4" w:space="0" w:color="auto"/>
            </w:tcBorders>
            <w:vAlign w:val="center"/>
          </w:tcPr>
          <w:p w14:paraId="045B212F" w14:textId="77777777" w:rsidR="00B53277" w:rsidRPr="00EC5920" w:rsidRDefault="00B53277" w:rsidP="004B3EC7">
            <w:pPr>
              <w:jc w:val="center"/>
              <w:rPr>
                <w:rFonts w:ascii="Arial" w:hAnsi="Arial" w:cs="Arial"/>
                <w:b/>
                <w:sz w:val="20"/>
                <w:szCs w:val="20"/>
              </w:rPr>
            </w:pPr>
          </w:p>
        </w:tc>
        <w:tc>
          <w:tcPr>
            <w:tcW w:w="694" w:type="pct"/>
            <w:tcBorders>
              <w:top w:val="single" w:sz="4" w:space="0" w:color="auto"/>
              <w:bottom w:val="single" w:sz="4" w:space="0" w:color="auto"/>
            </w:tcBorders>
            <w:vAlign w:val="center"/>
          </w:tcPr>
          <w:p w14:paraId="3714BC26" w14:textId="77777777" w:rsidR="00B53277" w:rsidRPr="00EC5920" w:rsidRDefault="00B53277" w:rsidP="004B3EC7">
            <w:pPr>
              <w:jc w:val="center"/>
              <w:rPr>
                <w:rFonts w:ascii="Arial" w:hAnsi="Arial" w:cs="Arial"/>
                <w:b/>
                <w:sz w:val="20"/>
                <w:szCs w:val="20"/>
              </w:rPr>
            </w:pPr>
            <w:r w:rsidRPr="00EC5920">
              <w:rPr>
                <w:rStyle w:val="Strong"/>
                <w:rFonts w:ascii="Arial" w:hAnsi="Arial" w:cs="Arial"/>
                <w:sz w:val="20"/>
                <w:szCs w:val="20"/>
              </w:rPr>
              <w:t>F-value</w:t>
            </w:r>
          </w:p>
        </w:tc>
        <w:tc>
          <w:tcPr>
            <w:tcW w:w="695" w:type="pct"/>
            <w:tcBorders>
              <w:top w:val="single" w:sz="4" w:space="0" w:color="auto"/>
              <w:bottom w:val="single" w:sz="4" w:space="0" w:color="auto"/>
            </w:tcBorders>
            <w:vAlign w:val="center"/>
          </w:tcPr>
          <w:p w14:paraId="3182E0DC" w14:textId="77777777" w:rsidR="00B53277" w:rsidRPr="00EC5920" w:rsidRDefault="00B53277" w:rsidP="004B3EC7">
            <w:pPr>
              <w:jc w:val="center"/>
              <w:rPr>
                <w:rFonts w:ascii="Arial" w:hAnsi="Arial" w:cs="Arial"/>
                <w:b/>
                <w:sz w:val="20"/>
                <w:szCs w:val="20"/>
              </w:rPr>
            </w:pPr>
            <w:r w:rsidRPr="00EC5920">
              <w:rPr>
                <w:rStyle w:val="Strong"/>
                <w:rFonts w:ascii="Arial" w:hAnsi="Arial" w:cs="Arial"/>
                <w:i/>
                <w:sz w:val="20"/>
                <w:szCs w:val="20"/>
              </w:rPr>
              <w:t>P</w:t>
            </w:r>
            <w:r w:rsidRPr="00EC5920">
              <w:rPr>
                <w:rStyle w:val="Strong"/>
                <w:rFonts w:ascii="Arial" w:hAnsi="Arial" w:cs="Arial"/>
                <w:sz w:val="20"/>
                <w:szCs w:val="20"/>
              </w:rPr>
              <w:t>-value</w:t>
            </w:r>
          </w:p>
        </w:tc>
        <w:tc>
          <w:tcPr>
            <w:tcW w:w="694" w:type="pct"/>
            <w:tcBorders>
              <w:top w:val="single" w:sz="4" w:space="0" w:color="auto"/>
              <w:bottom w:val="single" w:sz="4" w:space="0" w:color="auto"/>
            </w:tcBorders>
            <w:vAlign w:val="center"/>
          </w:tcPr>
          <w:p w14:paraId="04F936B6" w14:textId="77777777" w:rsidR="00B53277" w:rsidRPr="00EC5920" w:rsidRDefault="00B53277" w:rsidP="004B3EC7">
            <w:pPr>
              <w:jc w:val="center"/>
              <w:rPr>
                <w:rFonts w:ascii="Arial" w:hAnsi="Arial" w:cs="Arial"/>
                <w:b/>
                <w:sz w:val="20"/>
                <w:szCs w:val="20"/>
              </w:rPr>
            </w:pPr>
            <w:r w:rsidRPr="00EC5920">
              <w:rPr>
                <w:rStyle w:val="Strong"/>
                <w:rFonts w:ascii="Arial" w:hAnsi="Arial" w:cs="Arial"/>
                <w:sz w:val="20"/>
                <w:szCs w:val="20"/>
              </w:rPr>
              <w:t>F-value</w:t>
            </w:r>
          </w:p>
        </w:tc>
        <w:tc>
          <w:tcPr>
            <w:tcW w:w="694" w:type="pct"/>
            <w:tcBorders>
              <w:top w:val="single" w:sz="4" w:space="0" w:color="auto"/>
              <w:bottom w:val="single" w:sz="4" w:space="0" w:color="auto"/>
            </w:tcBorders>
            <w:vAlign w:val="center"/>
          </w:tcPr>
          <w:p w14:paraId="67B48EF9" w14:textId="77777777" w:rsidR="00B53277" w:rsidRPr="00EC5920" w:rsidRDefault="00B53277" w:rsidP="004B3EC7">
            <w:pPr>
              <w:jc w:val="center"/>
              <w:rPr>
                <w:rFonts w:ascii="Arial" w:hAnsi="Arial" w:cs="Arial"/>
                <w:b/>
                <w:sz w:val="20"/>
                <w:szCs w:val="20"/>
              </w:rPr>
            </w:pPr>
            <w:r w:rsidRPr="00EC5920">
              <w:rPr>
                <w:rStyle w:val="Strong"/>
                <w:rFonts w:ascii="Arial" w:hAnsi="Arial" w:cs="Arial"/>
                <w:i/>
                <w:sz w:val="20"/>
                <w:szCs w:val="20"/>
              </w:rPr>
              <w:t>P</w:t>
            </w:r>
            <w:r w:rsidRPr="00EC5920">
              <w:rPr>
                <w:rStyle w:val="Strong"/>
                <w:rFonts w:ascii="Arial" w:hAnsi="Arial" w:cs="Arial"/>
                <w:sz w:val="20"/>
                <w:szCs w:val="20"/>
              </w:rPr>
              <w:t>-value</w:t>
            </w:r>
          </w:p>
        </w:tc>
      </w:tr>
      <w:tr w:rsidR="00076D94" w:rsidRPr="00EC5920" w14:paraId="00660F6F" w14:textId="77777777" w:rsidTr="003E0E8B">
        <w:trPr>
          <w:jc w:val="center"/>
        </w:trPr>
        <w:tc>
          <w:tcPr>
            <w:tcW w:w="1049" w:type="pct"/>
            <w:tcBorders>
              <w:top w:val="single" w:sz="4" w:space="0" w:color="auto"/>
            </w:tcBorders>
            <w:vAlign w:val="center"/>
          </w:tcPr>
          <w:p w14:paraId="1F5139CB" w14:textId="77777777" w:rsidR="003117B9" w:rsidRPr="00EC5920" w:rsidRDefault="003117B9" w:rsidP="004B3EC7">
            <w:pPr>
              <w:rPr>
                <w:rFonts w:ascii="Arial" w:hAnsi="Arial" w:cs="Arial"/>
                <w:sz w:val="20"/>
                <w:szCs w:val="20"/>
              </w:rPr>
            </w:pPr>
            <w:r w:rsidRPr="00EC5920">
              <w:rPr>
                <w:rFonts w:ascii="Arial" w:hAnsi="Arial" w:cs="Arial"/>
                <w:sz w:val="20"/>
                <w:szCs w:val="20"/>
              </w:rPr>
              <w:t>Location</w:t>
            </w:r>
          </w:p>
        </w:tc>
        <w:tc>
          <w:tcPr>
            <w:tcW w:w="549" w:type="pct"/>
            <w:tcBorders>
              <w:top w:val="single" w:sz="4" w:space="0" w:color="auto"/>
            </w:tcBorders>
            <w:vAlign w:val="center"/>
          </w:tcPr>
          <w:p w14:paraId="0A22EA41"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1</w:t>
            </w:r>
          </w:p>
        </w:tc>
        <w:tc>
          <w:tcPr>
            <w:tcW w:w="626" w:type="pct"/>
            <w:tcBorders>
              <w:top w:val="single" w:sz="4" w:space="0" w:color="auto"/>
            </w:tcBorders>
            <w:vAlign w:val="center"/>
          </w:tcPr>
          <w:p w14:paraId="78817A5B"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20</w:t>
            </w:r>
          </w:p>
        </w:tc>
        <w:tc>
          <w:tcPr>
            <w:tcW w:w="694" w:type="pct"/>
            <w:tcBorders>
              <w:top w:val="single" w:sz="4" w:space="0" w:color="auto"/>
            </w:tcBorders>
            <w:vAlign w:val="center"/>
          </w:tcPr>
          <w:p w14:paraId="1A3FDE7C"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0.784</w:t>
            </w:r>
          </w:p>
        </w:tc>
        <w:tc>
          <w:tcPr>
            <w:tcW w:w="695" w:type="pct"/>
            <w:tcBorders>
              <w:top w:val="single" w:sz="4" w:space="0" w:color="auto"/>
            </w:tcBorders>
            <w:vAlign w:val="center"/>
          </w:tcPr>
          <w:p w14:paraId="1F470467"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0.3863</w:t>
            </w:r>
          </w:p>
        </w:tc>
        <w:tc>
          <w:tcPr>
            <w:tcW w:w="694" w:type="pct"/>
            <w:tcBorders>
              <w:top w:val="single" w:sz="4" w:space="0" w:color="auto"/>
            </w:tcBorders>
            <w:vAlign w:val="center"/>
          </w:tcPr>
          <w:p w14:paraId="0280B698"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0.902</w:t>
            </w:r>
          </w:p>
        </w:tc>
        <w:tc>
          <w:tcPr>
            <w:tcW w:w="694" w:type="pct"/>
            <w:tcBorders>
              <w:top w:val="single" w:sz="4" w:space="0" w:color="auto"/>
            </w:tcBorders>
            <w:vAlign w:val="center"/>
          </w:tcPr>
          <w:p w14:paraId="1EE98A29"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0.3536</w:t>
            </w:r>
          </w:p>
        </w:tc>
      </w:tr>
      <w:tr w:rsidR="00076D94" w:rsidRPr="00EC5920" w14:paraId="53EB2CCA" w14:textId="77777777" w:rsidTr="003E0E8B">
        <w:trPr>
          <w:jc w:val="center"/>
        </w:trPr>
        <w:tc>
          <w:tcPr>
            <w:tcW w:w="1049" w:type="pct"/>
            <w:vAlign w:val="center"/>
          </w:tcPr>
          <w:p w14:paraId="666AB2D8" w14:textId="77777777" w:rsidR="003117B9" w:rsidRPr="00EC5920" w:rsidRDefault="003117B9" w:rsidP="004B3EC7">
            <w:pPr>
              <w:rPr>
                <w:rFonts w:ascii="Arial" w:hAnsi="Arial" w:cs="Arial"/>
                <w:sz w:val="20"/>
                <w:szCs w:val="20"/>
              </w:rPr>
            </w:pPr>
            <w:r w:rsidRPr="00EC5920">
              <w:rPr>
                <w:rFonts w:ascii="Arial" w:hAnsi="Arial" w:cs="Arial"/>
                <w:sz w:val="20"/>
                <w:szCs w:val="20"/>
              </w:rPr>
              <w:t>Treatment</w:t>
            </w:r>
          </w:p>
        </w:tc>
        <w:tc>
          <w:tcPr>
            <w:tcW w:w="549" w:type="pct"/>
            <w:vAlign w:val="center"/>
          </w:tcPr>
          <w:p w14:paraId="265BF80A"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5</w:t>
            </w:r>
          </w:p>
        </w:tc>
        <w:tc>
          <w:tcPr>
            <w:tcW w:w="626" w:type="pct"/>
            <w:vAlign w:val="center"/>
          </w:tcPr>
          <w:p w14:paraId="31476B41"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20</w:t>
            </w:r>
          </w:p>
        </w:tc>
        <w:tc>
          <w:tcPr>
            <w:tcW w:w="694" w:type="pct"/>
            <w:vAlign w:val="center"/>
          </w:tcPr>
          <w:p w14:paraId="1BEA6B5E"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27.087</w:t>
            </w:r>
          </w:p>
        </w:tc>
        <w:tc>
          <w:tcPr>
            <w:tcW w:w="695" w:type="pct"/>
            <w:vAlign w:val="center"/>
          </w:tcPr>
          <w:p w14:paraId="0B25A4F5"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&lt;0.001</w:t>
            </w:r>
          </w:p>
        </w:tc>
        <w:tc>
          <w:tcPr>
            <w:tcW w:w="694" w:type="pct"/>
            <w:vAlign w:val="center"/>
          </w:tcPr>
          <w:p w14:paraId="3E35FA22"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8.798</w:t>
            </w:r>
          </w:p>
        </w:tc>
        <w:tc>
          <w:tcPr>
            <w:tcW w:w="694" w:type="pct"/>
            <w:vAlign w:val="center"/>
          </w:tcPr>
          <w:p w14:paraId="37C9CDDB"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&lt;0.001</w:t>
            </w:r>
          </w:p>
        </w:tc>
      </w:tr>
      <w:tr w:rsidR="00076D94" w:rsidRPr="00EC5920" w14:paraId="1AEB9C90" w14:textId="77777777" w:rsidTr="003E0E8B">
        <w:trPr>
          <w:jc w:val="center"/>
        </w:trPr>
        <w:tc>
          <w:tcPr>
            <w:tcW w:w="1049" w:type="pct"/>
            <w:vAlign w:val="center"/>
          </w:tcPr>
          <w:p w14:paraId="0022203F" w14:textId="77777777" w:rsidR="003117B9" w:rsidRPr="00EC5920" w:rsidRDefault="003117B9" w:rsidP="004B3EC7">
            <w:pPr>
              <w:rPr>
                <w:rFonts w:ascii="Arial" w:hAnsi="Arial" w:cs="Arial"/>
                <w:sz w:val="20"/>
                <w:szCs w:val="20"/>
              </w:rPr>
            </w:pPr>
            <w:r w:rsidRPr="00EC5920">
              <w:rPr>
                <w:rFonts w:ascii="Arial" w:hAnsi="Arial" w:cs="Arial"/>
                <w:sz w:val="20"/>
                <w:szCs w:val="20"/>
              </w:rPr>
              <w:t>Location ×</w:t>
            </w:r>
            <w:r w:rsidR="004B3EC7" w:rsidRPr="00EC5920">
              <w:rPr>
                <w:rFonts w:ascii="Arial" w:hAnsi="Arial" w:cs="Arial"/>
                <w:sz w:val="20"/>
                <w:szCs w:val="20"/>
              </w:rPr>
              <w:t xml:space="preserve"> </w:t>
            </w:r>
            <w:r w:rsidRPr="00EC5920">
              <w:rPr>
                <w:rFonts w:ascii="Arial" w:hAnsi="Arial" w:cs="Arial"/>
                <w:sz w:val="20"/>
                <w:szCs w:val="20"/>
              </w:rPr>
              <w:t>Replication</w:t>
            </w:r>
          </w:p>
        </w:tc>
        <w:tc>
          <w:tcPr>
            <w:tcW w:w="549" w:type="pct"/>
            <w:vAlign w:val="center"/>
          </w:tcPr>
          <w:p w14:paraId="383BC2B7"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4</w:t>
            </w:r>
          </w:p>
        </w:tc>
        <w:tc>
          <w:tcPr>
            <w:tcW w:w="626" w:type="pct"/>
            <w:vAlign w:val="center"/>
          </w:tcPr>
          <w:p w14:paraId="67A9B84D"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20</w:t>
            </w:r>
          </w:p>
        </w:tc>
        <w:tc>
          <w:tcPr>
            <w:tcW w:w="694" w:type="pct"/>
            <w:vAlign w:val="center"/>
          </w:tcPr>
          <w:p w14:paraId="751057AF"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0.555</w:t>
            </w:r>
          </w:p>
        </w:tc>
        <w:tc>
          <w:tcPr>
            <w:tcW w:w="695" w:type="pct"/>
            <w:vAlign w:val="center"/>
          </w:tcPr>
          <w:p w14:paraId="0F00BC21"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0.6980</w:t>
            </w:r>
          </w:p>
        </w:tc>
        <w:tc>
          <w:tcPr>
            <w:tcW w:w="694" w:type="pct"/>
            <w:vAlign w:val="center"/>
          </w:tcPr>
          <w:p w14:paraId="2A3DF2AA"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0.577</w:t>
            </w:r>
          </w:p>
        </w:tc>
        <w:tc>
          <w:tcPr>
            <w:tcW w:w="694" w:type="pct"/>
            <w:vAlign w:val="center"/>
          </w:tcPr>
          <w:p w14:paraId="259331D6"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0.6824</w:t>
            </w:r>
          </w:p>
        </w:tc>
      </w:tr>
      <w:tr w:rsidR="00076D94" w:rsidRPr="00EC5920" w14:paraId="5F1CD9BE" w14:textId="77777777" w:rsidTr="003E0E8B">
        <w:trPr>
          <w:jc w:val="center"/>
        </w:trPr>
        <w:tc>
          <w:tcPr>
            <w:tcW w:w="1049" w:type="pct"/>
            <w:tcBorders>
              <w:bottom w:val="single" w:sz="4" w:space="0" w:color="auto"/>
            </w:tcBorders>
            <w:vAlign w:val="center"/>
          </w:tcPr>
          <w:p w14:paraId="5BE1EE2B" w14:textId="77777777" w:rsidR="003117B9" w:rsidRPr="00EC5920" w:rsidRDefault="003117B9" w:rsidP="004B3EC7">
            <w:pPr>
              <w:rPr>
                <w:rFonts w:ascii="Arial" w:hAnsi="Arial" w:cs="Arial"/>
                <w:sz w:val="20"/>
                <w:szCs w:val="20"/>
              </w:rPr>
            </w:pPr>
            <w:r w:rsidRPr="00EC5920">
              <w:rPr>
                <w:rFonts w:ascii="Arial" w:hAnsi="Arial" w:cs="Arial"/>
                <w:sz w:val="20"/>
                <w:szCs w:val="20"/>
              </w:rPr>
              <w:t>Location × Treatment</w:t>
            </w:r>
          </w:p>
        </w:tc>
        <w:tc>
          <w:tcPr>
            <w:tcW w:w="549" w:type="pct"/>
            <w:tcBorders>
              <w:bottom w:val="single" w:sz="4" w:space="0" w:color="auto"/>
            </w:tcBorders>
            <w:vAlign w:val="center"/>
          </w:tcPr>
          <w:p w14:paraId="057AC7C2"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5</w:t>
            </w:r>
          </w:p>
        </w:tc>
        <w:tc>
          <w:tcPr>
            <w:tcW w:w="626" w:type="pct"/>
            <w:tcBorders>
              <w:bottom w:val="single" w:sz="4" w:space="0" w:color="auto"/>
            </w:tcBorders>
            <w:vAlign w:val="center"/>
          </w:tcPr>
          <w:p w14:paraId="524E12AD"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20</w:t>
            </w:r>
          </w:p>
        </w:tc>
        <w:tc>
          <w:tcPr>
            <w:tcW w:w="694" w:type="pct"/>
            <w:tcBorders>
              <w:bottom w:val="single" w:sz="4" w:space="0" w:color="auto"/>
            </w:tcBorders>
            <w:vAlign w:val="center"/>
          </w:tcPr>
          <w:p w14:paraId="182F4F57"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0.013</w:t>
            </w:r>
          </w:p>
        </w:tc>
        <w:tc>
          <w:tcPr>
            <w:tcW w:w="695" w:type="pct"/>
            <w:tcBorders>
              <w:bottom w:val="single" w:sz="4" w:space="0" w:color="auto"/>
            </w:tcBorders>
            <w:vAlign w:val="center"/>
          </w:tcPr>
          <w:p w14:paraId="6A0383EF"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0.9999</w:t>
            </w:r>
          </w:p>
        </w:tc>
        <w:tc>
          <w:tcPr>
            <w:tcW w:w="694" w:type="pct"/>
            <w:tcBorders>
              <w:bottom w:val="single" w:sz="4" w:space="0" w:color="auto"/>
            </w:tcBorders>
            <w:vAlign w:val="center"/>
          </w:tcPr>
          <w:p w14:paraId="23E96508"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0.002</w:t>
            </w:r>
          </w:p>
        </w:tc>
        <w:tc>
          <w:tcPr>
            <w:tcW w:w="694" w:type="pct"/>
            <w:tcBorders>
              <w:bottom w:val="single" w:sz="4" w:space="0" w:color="auto"/>
            </w:tcBorders>
            <w:vAlign w:val="center"/>
          </w:tcPr>
          <w:p w14:paraId="4BD5AB63" w14:textId="77777777" w:rsidR="003117B9" w:rsidRPr="00EC5920" w:rsidRDefault="003117B9" w:rsidP="004B3EC7">
            <w:pPr>
              <w:jc w:val="center"/>
              <w:rPr>
                <w:rFonts w:ascii="Arial" w:hAnsi="Arial" w:cs="Arial"/>
                <w:sz w:val="20"/>
                <w:szCs w:val="20"/>
              </w:rPr>
            </w:pPr>
            <w:r w:rsidRPr="00EC5920">
              <w:rPr>
                <w:rFonts w:ascii="Arial" w:hAnsi="Arial" w:cs="Arial"/>
                <w:sz w:val="20"/>
                <w:szCs w:val="20"/>
              </w:rPr>
              <w:t>1.0000</w:t>
            </w:r>
          </w:p>
        </w:tc>
      </w:tr>
    </w:tbl>
    <w:p w14:paraId="70DA33A0" w14:textId="77777777" w:rsidR="00197806" w:rsidRPr="00EC5920" w:rsidRDefault="00197806" w:rsidP="00197806">
      <w:pPr>
        <w:spacing w:before="120" w:after="120" w:line="240" w:lineRule="auto"/>
        <w:jc w:val="both"/>
        <w:rPr>
          <w:rFonts w:ascii="Arial" w:hAnsi="Arial" w:cs="Arial"/>
          <w:sz w:val="20"/>
          <w:szCs w:val="20"/>
          <w:lang w:val="en-IN"/>
        </w:rPr>
      </w:pPr>
      <w:r w:rsidRPr="00EC5920">
        <w:rPr>
          <w:rFonts w:ascii="Arial" w:hAnsi="Arial" w:cs="Arial"/>
          <w:sz w:val="20"/>
          <w:szCs w:val="20"/>
          <w:lang w:val="en-IN"/>
        </w:rPr>
        <w:lastRenderedPageBreak/>
        <w:t xml:space="preserve">The results demonstrated that effective suppression of </w:t>
      </w:r>
      <w:r w:rsidRPr="00EC5920">
        <w:rPr>
          <w:rFonts w:ascii="Arial" w:hAnsi="Arial" w:cs="Arial"/>
          <w:i/>
          <w:iCs/>
          <w:sz w:val="20"/>
          <w:szCs w:val="20"/>
          <w:lang w:val="en-IN"/>
        </w:rPr>
        <w:t xml:space="preserve">S. </w:t>
      </w:r>
      <w:proofErr w:type="spellStart"/>
      <w:r w:rsidRPr="00EC5920">
        <w:rPr>
          <w:rFonts w:ascii="Arial" w:hAnsi="Arial" w:cs="Arial"/>
          <w:i/>
          <w:iCs/>
          <w:sz w:val="20"/>
          <w:szCs w:val="20"/>
          <w:lang w:val="en-IN"/>
        </w:rPr>
        <w:t>frugiperda</w:t>
      </w:r>
      <w:proofErr w:type="spellEnd"/>
      <w:r w:rsidRPr="00EC5920">
        <w:rPr>
          <w:rFonts w:ascii="Arial" w:hAnsi="Arial" w:cs="Arial"/>
          <w:sz w:val="20"/>
          <w:szCs w:val="20"/>
          <w:lang w:val="en-IN"/>
        </w:rPr>
        <w:t xml:space="preserve"> translated into improved cob yield. Greater protection of maize from fall armyworm infestation and associated foliar injury was directly reflected in higher cob productivity.</w:t>
      </w:r>
    </w:p>
    <w:p w14:paraId="7DFB66A6" w14:textId="77777777" w:rsidR="00197806" w:rsidRPr="00EC5920" w:rsidRDefault="00197806" w:rsidP="00197806">
      <w:pPr>
        <w:spacing w:before="120" w:after="120" w:line="240" w:lineRule="auto"/>
        <w:jc w:val="both"/>
        <w:rPr>
          <w:rFonts w:ascii="Arial" w:hAnsi="Arial" w:cs="Arial"/>
          <w:sz w:val="20"/>
          <w:szCs w:val="20"/>
          <w:lang w:val="en-IN"/>
        </w:rPr>
      </w:pPr>
      <w:r w:rsidRPr="00EC5920">
        <w:rPr>
          <w:rFonts w:ascii="Arial" w:hAnsi="Arial" w:cs="Arial"/>
          <w:sz w:val="20"/>
          <w:szCs w:val="20"/>
          <w:lang w:val="en-IN"/>
        </w:rPr>
      </w:r>
      <w:r>
        <w:rPr>
          <w:rFonts w:ascii="Arial" w:hAnsi="Arial" w:cs="Arial"/>
          <w:sz w:val="20"/>
          <w:szCs w:val="20"/>
          <w:lang w:val="en-IN"/>
        </w:rPr>
        <w:t>The positive effect of effective fall armyworm management on cob yield observed in this study agrees with Ahir</w:t>
      </w:r>
      <w:r>
        <w:rPr>
          <w:rFonts w:ascii="Arial" w:hAnsi="Arial" w:cs="Arial"/>
          <w:sz w:val="20"/>
          <w:szCs w:val="20"/>
          <w:lang w:val="en-IN"/>
          <w:i/>
          <w:iCs/>
        </w:rPr>
        <w:t xml:space="preserve"> et al.</w:t>
      </w:r>
      <w:r>
        <w:rPr>
          <w:rFonts w:ascii="Arial" w:hAnsi="Arial" w:cs="Arial"/>
          <w:sz w:val="20"/>
          <w:szCs w:val="20"/>
          <w:lang w:val="en-IN"/>
        </w:rPr>
        <w:t xml:space="preserve"> (2022), who found that more effective insecticidal treatments, including emamectin benzoate, produced lower fall armyworm damage and higher maize yield than less effective biopesticide treatments. In their field trials, </w:t>
      </w:r>
      <w:r>
        <w:rPr>
          <w:rFonts w:ascii="Arial" w:hAnsi="Arial" w:cs="Arial"/>
          <w:sz w:val="20"/>
          <w:szCs w:val="20"/>
          <w:lang w:val="en-IN"/>
          <w:i/>
          <w:iCs/>
        </w:rPr>
        <w:t>M. anisopliae</w:t>
      </w:r>
      <w:r>
        <w:rPr>
          <w:rFonts w:ascii="Arial" w:hAnsi="Arial" w:cs="Arial"/>
          <w:sz w:val="20"/>
          <w:szCs w:val="20"/>
          <w:lang w:val="en-IN"/>
        </w:rPr>
        <w:t xml:space="preserve"> was less effective than emamectin benzoate, a trend consistent with the present findings, where the fungal treatment alone was less effective in protecting yield than insecticide-based treatments.</w:t>
      </w:r>
      <w:r>
        <w:rPr>
          <w:rFonts w:ascii="Arial" w:hAnsi="Arial" w:cs="Arial"/>
          <w:sz w:val="20"/>
          <w:szCs w:val="20"/>
          <w:lang w:val="en-IN"/>
        </w:rPr>
        <w:t xml:space="preserve"> Collectively, these findings indicate that effective suppression of fall armyworm during crop growth is essential for </w:t>
      </w:r>
      <w:proofErr w:type="spellStart"/>
      <w:proofErr w:type="spellEnd"/>
      <w:proofErr w:type="spellStart"/>
      <w:proofErr w:type="spellEnd"/>
      <w:r>
        <w:rPr>
          <w:rFonts w:ascii="Arial" w:hAnsi="Arial" w:cs="Arial"/>
          <w:sz w:val="20"/>
          <w:szCs w:val="20"/>
          <w:highlight w:val="yellow"/>
          <w:lang w:val="en-IN"/>
        </w:rPr>
        <w:t>maximising</w:t>
      </w:r>
      <w:r>
        <w:rPr>
          <w:rFonts w:ascii="Arial" w:hAnsi="Arial" w:cs="Arial"/>
          <w:sz w:val="20"/>
          <w:szCs w:val="20"/>
          <w:lang w:val="en-IN"/>
        </w:rPr>
        <w:t xml:space="preserve"> cob production.</w:t>
      </w:r>
    </w:p>
    <w:p w14:paraId="309DF34E" w14:textId="77777777" w:rsidR="00197806" w:rsidRPr="00EC5920" w:rsidRDefault="00197806" w:rsidP="00197806">
      <w:pPr>
        <w:spacing w:before="120" w:after="120" w:line="240" w:lineRule="auto"/>
        <w:jc w:val="both"/>
        <w:rPr>
          <w:rFonts w:ascii="Arial" w:hAnsi="Arial" w:cs="Arial"/>
          <w:sz w:val="20"/>
          <w:szCs w:val="20"/>
          <w:lang w:val="en-IN"/>
        </w:rPr>
      </w:pPr>
      <w:r w:rsidRPr="00EC5920">
        <w:rPr>
          <w:rFonts w:ascii="Arial" w:hAnsi="Arial" w:cs="Arial"/>
          <w:sz w:val="20"/>
          <w:szCs w:val="20"/>
          <w:lang w:val="en-IN"/>
        </w:rPr>
        <w:t xml:space="preserve">An important finding of this study was that integrating </w:t>
      </w:r>
      <w:r w:rsidRPr="00EC5920">
        <w:rPr>
          <w:rFonts w:ascii="Arial" w:hAnsi="Arial" w:cs="Arial"/>
          <w:i/>
          <w:iCs/>
          <w:sz w:val="20"/>
          <w:szCs w:val="20"/>
          <w:lang w:val="en-IN"/>
        </w:rPr>
        <w:t>M. anisopliae</w:t>
      </w:r>
      <w:r w:rsidRPr="00EC5920">
        <w:rPr>
          <w:rFonts w:ascii="Arial" w:hAnsi="Arial" w:cs="Arial"/>
          <w:sz w:val="20"/>
          <w:szCs w:val="20"/>
          <w:lang w:val="en-IN"/>
        </w:rPr>
        <w:t xml:space="preserve"> with insecticides consistently produced numerically higher cob yields than the corresponding insecticides applied alone, although the differences were not statistically significant. These findings indicate that </w:t>
      </w:r>
      <w:r w:rsidRPr="00EC5920">
        <w:rPr>
          <w:rFonts w:ascii="Arial" w:hAnsi="Arial" w:cs="Arial"/>
          <w:i/>
          <w:iCs/>
          <w:sz w:val="20"/>
          <w:szCs w:val="20"/>
          <w:lang w:val="en-IN"/>
        </w:rPr>
        <w:t>M. anisopliae</w:t>
      </w:r>
      <w:r w:rsidRPr="00EC5920">
        <w:rPr>
          <w:rFonts w:ascii="Arial" w:hAnsi="Arial" w:cs="Arial"/>
          <w:sz w:val="20"/>
          <w:szCs w:val="20"/>
          <w:lang w:val="en-IN"/>
        </w:rPr>
        <w:t xml:space="preserve"> is compatible with the tested insecticides and can be integrated into integrated pest management (IPM) programmes without compromising crop productivity. Similar observations were reported by Haritha </w:t>
      </w:r>
      <w:r w:rsidRPr="00EC5920">
        <w:rPr>
          <w:rFonts w:ascii="Arial" w:hAnsi="Arial" w:cs="Arial"/>
          <w:i/>
          <w:iCs/>
          <w:sz w:val="20"/>
          <w:szCs w:val="20"/>
          <w:lang w:val="en-IN"/>
        </w:rPr>
        <w:t>et al</w:t>
      </w:r>
      <w:r w:rsidRPr="00EC5920">
        <w:rPr>
          <w:rFonts w:ascii="Arial" w:hAnsi="Arial" w:cs="Arial"/>
          <w:sz w:val="20"/>
          <w:szCs w:val="20"/>
          <w:lang w:val="en-IN"/>
        </w:rPr>
        <w:t xml:space="preserve">. (2023), who demonstrated that combinations of </w:t>
      </w:r>
      <w:r w:rsidRPr="00EC5920">
        <w:rPr>
          <w:rFonts w:ascii="Arial" w:hAnsi="Arial" w:cs="Arial"/>
          <w:i/>
          <w:iCs/>
          <w:sz w:val="20"/>
          <w:szCs w:val="20"/>
          <w:lang w:val="en-IN"/>
        </w:rPr>
        <w:t>M. anisopliae</w:t>
      </w:r>
      <w:r w:rsidRPr="00EC5920">
        <w:rPr>
          <w:rFonts w:ascii="Arial" w:hAnsi="Arial" w:cs="Arial"/>
          <w:sz w:val="20"/>
          <w:szCs w:val="20"/>
          <w:lang w:val="en-IN"/>
        </w:rPr>
        <w:t xml:space="preserve"> with insecticides provided greater suppression of fall armyworm populations than the fungal treatment alone. The improved performance of the integrated treatments may be attributed to the rapid initial suppression of larval populations by insecticides, followed by the continued pathogenic activity of </w:t>
      </w:r>
      <w:r w:rsidRPr="00EC5920">
        <w:rPr>
          <w:rFonts w:ascii="Arial" w:hAnsi="Arial" w:cs="Arial"/>
          <w:i/>
          <w:iCs/>
          <w:sz w:val="20"/>
          <w:szCs w:val="20"/>
          <w:lang w:val="en-IN"/>
        </w:rPr>
        <w:t>M. anisopliae</w:t>
      </w:r>
      <w:r w:rsidRPr="00EC5920">
        <w:rPr>
          <w:rFonts w:ascii="Arial" w:hAnsi="Arial" w:cs="Arial"/>
          <w:sz w:val="20"/>
          <w:szCs w:val="20"/>
          <w:lang w:val="en-IN"/>
        </w:rPr>
        <w:t xml:space="preserve"> against surviving larvae, thereby extending pest suppression during crop growth. Enhanced pest suppression through such integration likely contributed to better preservation of photosynthetically active leaf area, resulting in improved assimilate production and subsequent grain filling.</w:t>
      </w:r>
    </w:p>
    <w:p w14:paraId="368BBAB3" w14:textId="77777777" w:rsidR="00197806" w:rsidRPr="00EC5920" w:rsidRDefault="00197806" w:rsidP="00197806">
      <w:pPr>
        <w:spacing w:before="120" w:after="120" w:line="240" w:lineRule="auto"/>
        <w:jc w:val="both"/>
        <w:rPr>
          <w:rFonts w:ascii="Arial" w:hAnsi="Arial" w:cs="Arial"/>
          <w:sz w:val="20"/>
          <w:szCs w:val="20"/>
          <w:lang w:val="en-IN"/>
        </w:rPr>
      </w:pPr>
      <w:r w:rsidRPr="00EC5920">
        <w:rPr>
          <w:rFonts w:ascii="Arial" w:hAnsi="Arial" w:cs="Arial"/>
          <w:sz w:val="20"/>
          <w:szCs w:val="20"/>
          <w:lang w:val="en-IN"/>
        </w:rPr>
        <w:t xml:space="preserve">The close relationship between pest suppression and yield improvement was further evident from the corresponding reduction in cob infestation. Treatments that effectively reduced plant infestation and leaf damage also recorded lower cob infestation and consequently produced higher cob yields. Conversely, the untreated control, which recorded the highest infestation throughout the cropping period, produced the lowest cob yield. Similar relationships between effective pest management, reduced crop damage, and enhanced yield have been reported by </w:t>
      </w:r>
      <w:proofErr w:type="spellStart"/>
      <w:r w:rsidRPr="00EC5920">
        <w:rPr>
          <w:rFonts w:ascii="Arial" w:hAnsi="Arial" w:cs="Arial"/>
          <w:sz w:val="20"/>
          <w:szCs w:val="20"/>
          <w:lang w:val="en-IN"/>
        </w:rPr>
      </w:r>
      <w:r>
        <w:rPr>
          <w:rFonts w:ascii="Arial" w:hAnsi="Arial" w:cs="Arial"/>
          <w:sz w:val="20"/>
          <w:szCs w:val="20"/>
          <w:lang w:val="en-IN"/>
        </w:rPr>
        <w:t>Ahir</w:t>
      </w:r>
      <w:r>
        <w:rPr>
          <w:rFonts w:ascii="Arial" w:hAnsi="Arial" w:cs="Arial"/>
          <w:sz w:val="20"/>
          <w:szCs w:val="20"/>
          <w:lang w:val="en-IN"/>
          <w:i/>
          <w:iCs/>
        </w:rPr>
        <w:t xml:space="preserve"> et al.</w:t>
      </w:r>
      <w:r>
        <w:rPr>
          <w:rFonts w:ascii="Arial" w:hAnsi="Arial" w:cs="Arial"/>
          <w:sz w:val="20"/>
          <w:szCs w:val="20"/>
          <w:lang w:val="en-IN"/>
        </w:rPr>
        <w:t xml:space="preserve"> (2022)</w:t>
      </w:r>
      <w:r>
        <w:rPr>
          <w:rFonts w:ascii="Arial" w:hAnsi="Arial" w:cs="Arial"/>
          <w:sz w:val="20"/>
          <w:szCs w:val="20"/>
          <w:lang w:val="en-IN"/>
        </w:rPr>
        <w:t xml:space="preserve"> and were also evident in the findings of Shahi </w:t>
      </w:r>
      <w:proofErr w:type="spellEnd"/>
      <w:r w:rsidRPr="00EC5920">
        <w:rPr>
          <w:rFonts w:ascii="Arial" w:hAnsi="Arial" w:cs="Arial"/>
          <w:i/>
          <w:iCs/>
          <w:sz w:val="20"/>
          <w:szCs w:val="20"/>
          <w:lang w:val="en-IN"/>
        </w:rPr>
        <w:t>et al.</w:t>
      </w:r>
      <w:r w:rsidRPr="00EC5920">
        <w:rPr>
          <w:rFonts w:ascii="Arial" w:hAnsi="Arial" w:cs="Arial"/>
          <w:sz w:val="20"/>
          <w:szCs w:val="20"/>
          <w:lang w:val="en-IN"/>
        </w:rPr>
        <w:t xml:space="preserve"> (2024), where superior suppression of fall armyworm by newer insecticides resulted in improved maize productivity compared with untreated plots. </w:t>
      </w:r>
      <w:r w:rsidRPr="00EC5920">
        <w:rPr>
          <w:rFonts w:ascii="Arial" w:hAnsi="Arial" w:cs="Arial"/>
          <w:sz w:val="20"/>
          <w:szCs w:val="20"/>
        </w:rPr>
        <w:t xml:space="preserve">The improved performance of the integrated treatments may be attributed to the rapid suppression of larval populations by insecticides, followed by continued pathogenic activity of </w:t>
      </w:r>
      <w:r w:rsidRPr="00EC5920">
        <w:rPr>
          <w:rFonts w:ascii="Arial" w:hAnsi="Arial" w:cs="Arial"/>
          <w:i/>
          <w:iCs/>
          <w:sz w:val="20"/>
          <w:szCs w:val="20"/>
        </w:rPr>
        <w:t>M. anisopliae</w:t>
      </w:r>
      <w:r w:rsidRPr="00EC5920">
        <w:rPr>
          <w:rFonts w:ascii="Arial" w:hAnsi="Arial" w:cs="Arial"/>
          <w:sz w:val="20"/>
          <w:szCs w:val="20"/>
        </w:rPr>
        <w:t xml:space="preserve"> against surviving individuals. </w:t>
      </w:r>
      <w:r w:rsidRPr="00EC5920">
        <w:rPr>
          <w:rFonts w:ascii="Arial" w:hAnsi="Arial" w:cs="Arial"/>
          <w:sz w:val="20"/>
          <w:szCs w:val="20"/>
          <w:lang w:val="en-IN"/>
        </w:rPr>
        <w:t>Overall, the agreement between the present findings and previous field studies indicates that integrating compatible entomopathogenic fungi with selective insecticides can contribute to sustainable fall armyworm management while maintaining higher maize productivity.</w:t>
      </w:r>
    </w:p>
    <w:p w14:paraId="298623D2" w14:textId="77777777" w:rsidR="00EB6B01" w:rsidRPr="00EC5920" w:rsidRDefault="00EB6B01" w:rsidP="00197806">
      <w:pPr>
        <w:spacing w:before="120" w:after="120" w:line="240" w:lineRule="auto"/>
        <w:jc w:val="both"/>
        <w:rPr>
          <w:rFonts w:ascii="Arial" w:hAnsi="Arial" w:cs="Arial"/>
          <w:sz w:val="20"/>
          <w:szCs w:val="20"/>
        </w:rPr>
      </w:pPr>
      <w:r w:rsidRPr="00EC5920">
        <w:rPr>
          <w:rFonts w:ascii="Arial" w:hAnsi="Arial" w:cs="Arial"/>
          <w:sz w:val="20"/>
          <w:szCs w:val="20"/>
        </w:rPr>
        <w:t xml:space="preserve">Although the integrated treatments were not statistically superior to the corresponding insecticides applied alone, the consistent numerical improvements observed across all measured parameters may still be of practical importance under field conditions. In crop protection studies, small but consistent improvements in pest suppression and yield can contribute to greater production stability, particularly under variable environmental conditions and fluctuating pest pressure. Therefore, the observed numerical advantage suggests that integrating </w:t>
      </w:r>
      <w:r w:rsidRPr="00EC5920">
        <w:rPr>
          <w:rFonts w:ascii="Arial" w:hAnsi="Arial" w:cs="Arial"/>
          <w:i/>
          <w:iCs/>
          <w:sz w:val="20"/>
          <w:szCs w:val="20"/>
        </w:rPr>
        <w:t>M. anisopliae</w:t>
      </w:r>
      <w:r w:rsidRPr="00EC5920">
        <w:rPr>
          <w:rFonts w:ascii="Arial" w:hAnsi="Arial" w:cs="Arial"/>
          <w:sz w:val="20"/>
          <w:szCs w:val="20"/>
        </w:rPr>
        <w:t xml:space="preserve"> with selective insecticides may provide additional biological benefits without compromising insecticidal efficacy </w:t>
      </w:r>
      <w:r>
        <w:rPr>
          <w:rFonts w:ascii="Arial" w:hAnsi="Arial" w:cs="Arial"/>
          <w:sz w:val="20"/>
          <w:szCs w:val="20"/>
          <w:highlight w:val="yellow"/>
        </w:rPr>
        <w:t>and may warrant further validation</w:t>
      </w:r>
      <w:r>
        <w:rPr>
          <w:rFonts w:ascii="Arial" w:hAnsi="Arial" w:cs="Arial"/>
          <w:sz w:val="20"/>
          <w:szCs w:val="20"/>
        </w:rPr>
        <w:t xml:space="preserve"> under diverse production environments.</w:t>
      </w:r>
    </w:p>
    <w:p w14:paraId="1A18EB02" w14:textId="77777777" w:rsidR="00943BE9" w:rsidRPr="00EC5920" w:rsidRDefault="00943BE9" w:rsidP="00197806">
      <w:pPr>
        <w:spacing w:before="120" w:after="120" w:line="240" w:lineRule="auto"/>
        <w:jc w:val="both"/>
        <w:rPr>
          <w:rFonts w:ascii="Arial" w:hAnsi="Arial" w:cs="Arial"/>
          <w:sz w:val="20"/>
          <w:szCs w:val="20"/>
        </w:rPr>
      </w:pPr>
      <w:r w:rsidRPr="00D42E6D">
        <w:rPr>
          <w:rFonts w:ascii="Arial" w:hAnsi="Arial" w:cs="Arial"/>
          <w:sz w:val="20"/>
          <w:szCs w:val="20"/>
        </w:rPr>
        <w:t xml:space="preserve">The present investigation was conducted during a single </w:t>
      </w:r>
      <w:r w:rsidRPr="00D42E6D">
        <w:rPr>
          <w:rFonts w:ascii="Arial" w:hAnsi="Arial" w:cs="Arial"/>
          <w:i/>
          <w:iCs/>
          <w:sz w:val="20"/>
          <w:szCs w:val="20"/>
        </w:rPr>
        <w:t>Rabi</w:t>
      </w:r>
      <w:r w:rsidRPr="00D42E6D">
        <w:rPr>
          <w:rFonts w:ascii="Arial" w:hAnsi="Arial" w:cs="Arial"/>
          <w:sz w:val="20"/>
          <w:szCs w:val="20"/>
        </w:rPr>
        <w:t xml:space="preserve"> season at two locations in South Gujarat under natural fall armyworm infestation. Although treatment responses were generally consistent across the two locations, seasonal variation, environmental conditions, and regional differences in pest pressure may influence treatment performance. Therefore, further multi-season and multi-location studies, together with economic analyses and assessments of long-term impacts on beneficial organisms, are required to validate the broader applicability of the integrated management strategy under diverse </w:t>
      </w:r>
      <w:proofErr w:type="spellStart"/>
      <w:r w:rsidRPr="00D42E6D">
        <w:rPr>
          <w:rFonts w:ascii="Arial" w:hAnsi="Arial" w:cs="Arial"/>
          <w:sz w:val="20"/>
          <w:szCs w:val="20"/>
        </w:rPr>
        <w:t>agro</w:t>
      </w:r>
      <w:proofErr w:type="spellEnd"/>
      <w:r w:rsidRPr="00D42E6D">
        <w:rPr>
          <w:rFonts w:ascii="Arial" w:hAnsi="Arial" w:cs="Arial"/>
          <w:sz w:val="20"/>
          <w:szCs w:val="20"/>
        </w:rPr>
        <w:t>-climatic conditions.</w:t>
      </w:r>
    </w:p>
    <w:p w14:paraId="48FC7CA6" w14:textId="77777777" w:rsidR="0051410E" w:rsidRPr="00EC5920" w:rsidRDefault="006032E6" w:rsidP="002E7D34">
      <w:pPr>
        <w:spacing w:before="120" w:after="120" w:line="240" w:lineRule="auto"/>
        <w:jc w:val="both"/>
        <w:rPr>
          <w:rFonts w:ascii="Arial" w:hAnsi="Arial" w:cs="Arial"/>
          <w:b/>
        </w:rPr>
      </w:pPr>
      <w:r w:rsidRPr="00EC5920">
        <w:rPr>
          <w:rFonts w:ascii="Arial" w:hAnsi="Arial" w:cs="Arial"/>
          <w:b/>
        </w:rPr>
        <w:t>4. CONCLUSION</w:t>
      </w:r>
    </w:p>
    <w:p w14:paraId="1946CCBD" w14:textId="77777777" w:rsidR="00354066" w:rsidRPr="00EC5920" w:rsidRDefault="00354066" w:rsidP="00354066">
      <w:pPr>
        <w:spacing w:after="0" w:line="240" w:lineRule="auto"/>
        <w:jc w:val="both"/>
        <w:rPr>
          <w:rFonts w:ascii="Arial" w:hAnsi="Arial" w:cs="Arial"/>
          <w:sz w:val="20"/>
          <w:szCs w:val="20"/>
        </w:rPr>
      </w:pPr>
      <w:r w:rsidRPr="00EC5920">
        <w:rPr>
          <w:rFonts w:ascii="Arial" w:hAnsi="Arial" w:cs="Arial"/>
          <w:sz w:val="20"/>
          <w:szCs w:val="20"/>
        </w:rPr>
        <w:t xml:space="preserve">The present investigation demonstrated that integrating selective insecticides with </w:t>
      </w:r>
      <w:r w:rsidRPr="00EC5920">
        <w:rPr>
          <w:rFonts w:ascii="Arial" w:hAnsi="Arial" w:cs="Arial"/>
          <w:i/>
          <w:iCs/>
          <w:sz w:val="20"/>
          <w:szCs w:val="20"/>
        </w:rPr>
        <w:t>M. anisopliae</w:t>
      </w:r>
      <w:r w:rsidRPr="00EC5920">
        <w:rPr>
          <w:rFonts w:ascii="Arial" w:hAnsi="Arial" w:cs="Arial"/>
          <w:sz w:val="20"/>
          <w:szCs w:val="20"/>
        </w:rPr>
        <w:t xml:space="preserve"> is an effective strategy for the management of fall armyworm, </w:t>
      </w:r>
      <w:r w:rsidRPr="00EC5920">
        <w:rPr>
          <w:rFonts w:ascii="Arial" w:hAnsi="Arial" w:cs="Arial"/>
          <w:i/>
          <w:iCs/>
          <w:sz w:val="20"/>
          <w:szCs w:val="20"/>
        </w:rPr>
        <w:t xml:space="preserve">S. </w:t>
      </w:r>
      <w:proofErr w:type="spellStart"/>
      <w:r w:rsidRPr="00EC5920">
        <w:rPr>
          <w:rFonts w:ascii="Arial" w:hAnsi="Arial" w:cs="Arial"/>
          <w:i/>
          <w:iCs/>
          <w:sz w:val="20"/>
          <w:szCs w:val="20"/>
        </w:rPr>
        <w:t>frugiperda</w:t>
      </w:r>
      <w:proofErr w:type="spellEnd"/>
      <w:r w:rsidRPr="00EC5920">
        <w:rPr>
          <w:rFonts w:ascii="Arial" w:hAnsi="Arial" w:cs="Arial"/>
          <w:sz w:val="20"/>
          <w:szCs w:val="20"/>
        </w:rPr>
        <w:t xml:space="preserve">, in maize. Among the evaluated </w:t>
      </w:r>
      <w:r w:rsidRPr="00EC5920">
        <w:rPr>
          <w:rFonts w:ascii="Arial" w:hAnsi="Arial" w:cs="Arial"/>
          <w:sz w:val="20"/>
          <w:szCs w:val="20"/>
        </w:rPr>
        <w:lastRenderedPageBreak/>
        <w:t xml:space="preserve">treatments, the combination of novaluron 5.25 + </w:t>
      </w:r>
      <w:proofErr w:type="spellStart"/>
      <w:r w:rsidRPr="00EC5920">
        <w:rPr>
          <w:rFonts w:ascii="Arial" w:hAnsi="Arial" w:cs="Arial"/>
          <w:sz w:val="20"/>
          <w:szCs w:val="20"/>
        </w:rPr>
        <w:t>emamectin</w:t>
      </w:r>
      <w:proofErr w:type="spellEnd"/>
      <w:r w:rsidRPr="00EC5920">
        <w:rPr>
          <w:rFonts w:ascii="Arial" w:hAnsi="Arial" w:cs="Arial"/>
          <w:sz w:val="20"/>
          <w:szCs w:val="20"/>
        </w:rPr>
        <w:t xml:space="preserve"> benzoate 0.9 SC and </w:t>
      </w:r>
      <w:r w:rsidRPr="00EC5920">
        <w:rPr>
          <w:rFonts w:ascii="Arial" w:hAnsi="Arial" w:cs="Arial"/>
          <w:i/>
          <w:iCs/>
          <w:sz w:val="20"/>
          <w:szCs w:val="20"/>
        </w:rPr>
        <w:t>M. anisopliae</w:t>
      </w:r>
      <w:r w:rsidRPr="00EC5920">
        <w:rPr>
          <w:rFonts w:ascii="Arial" w:hAnsi="Arial" w:cs="Arial"/>
          <w:sz w:val="20"/>
          <w:szCs w:val="20"/>
        </w:rPr>
        <w:t xml:space="preserve"> consistently provided the best overall performance by reducing plant infestation, leaf damage, and cob infestation while producing the highest cob yield. Although its performance was statistically comparable with novaluron 5.25 + </w:t>
      </w:r>
      <w:proofErr w:type="spellStart"/>
      <w:r w:rsidRPr="00EC5920">
        <w:rPr>
          <w:rFonts w:ascii="Arial" w:hAnsi="Arial" w:cs="Arial"/>
          <w:sz w:val="20"/>
          <w:szCs w:val="20"/>
        </w:rPr>
        <w:t>emamectin</w:t>
      </w:r>
      <w:proofErr w:type="spellEnd"/>
      <w:r w:rsidRPr="00EC5920">
        <w:rPr>
          <w:rFonts w:ascii="Arial" w:hAnsi="Arial" w:cs="Arial"/>
          <w:sz w:val="20"/>
          <w:szCs w:val="20"/>
        </w:rPr>
        <w:t xml:space="preserve"> benzoate 0.9 SC applied alone for most parameters, the integrated treatment consistently showed numerically superior performance, </w:t>
      </w:r>
      <w:r w:rsidRPr="00EC5920">
        <w:rPr>
          <w:rFonts w:ascii="Arial" w:hAnsi="Arial" w:cs="Arial"/>
          <w:bCs/>
          <w:sz w:val="20"/>
          <w:szCs w:val="20"/>
        </w:rPr>
        <w:t xml:space="preserve">suggesting that </w:t>
      </w:r>
      <w:r w:rsidRPr="00EC5920">
        <w:rPr>
          <w:rFonts w:ascii="Arial" w:hAnsi="Arial" w:cs="Arial"/>
          <w:bCs/>
          <w:i/>
          <w:iCs/>
          <w:sz w:val="20"/>
          <w:szCs w:val="20"/>
        </w:rPr>
        <w:t>M. anisopliae</w:t>
      </w:r>
      <w:r w:rsidRPr="00EC5920">
        <w:rPr>
          <w:rFonts w:ascii="Arial" w:hAnsi="Arial" w:cs="Arial"/>
          <w:bCs/>
          <w:sz w:val="20"/>
          <w:szCs w:val="20"/>
        </w:rPr>
        <w:t xml:space="preserve"> can be successfully integrated with the insecticide under field conditions.</w:t>
      </w:r>
      <w:r w:rsidRPr="00EC5920">
        <w:rPr>
          <w:rFonts w:ascii="Arial" w:hAnsi="Arial" w:cs="Arial"/>
          <w:sz w:val="20"/>
          <w:szCs w:val="20"/>
        </w:rPr>
        <w:t xml:space="preserve"> The combination of thiamethoxam 12.60 + lambda-cyhalothrin 9.50 SC and </w:t>
      </w:r>
      <w:r w:rsidRPr="00EC5920">
        <w:rPr>
          <w:rFonts w:ascii="Arial" w:hAnsi="Arial" w:cs="Arial"/>
          <w:i/>
          <w:iCs/>
          <w:sz w:val="20"/>
          <w:szCs w:val="20"/>
        </w:rPr>
        <w:t>M. anisopliae</w:t>
      </w:r>
      <w:r w:rsidRPr="00EC5920">
        <w:rPr>
          <w:rFonts w:ascii="Arial" w:hAnsi="Arial" w:cs="Arial"/>
          <w:sz w:val="20"/>
          <w:szCs w:val="20"/>
        </w:rPr>
        <w:t xml:space="preserve"> also effectively suppressed fall armyworm and improved cob yield over the untreated control, whereas </w:t>
      </w:r>
      <w:r w:rsidRPr="00EC5920">
        <w:rPr>
          <w:rFonts w:ascii="Arial" w:hAnsi="Arial" w:cs="Arial"/>
          <w:i/>
          <w:iCs/>
          <w:sz w:val="20"/>
          <w:szCs w:val="20"/>
        </w:rPr>
        <w:t>M. anisopliae</w:t>
      </w:r>
      <w:r w:rsidRPr="00EC5920">
        <w:rPr>
          <w:rFonts w:ascii="Arial" w:hAnsi="Arial" w:cs="Arial"/>
          <w:sz w:val="20"/>
          <w:szCs w:val="20"/>
        </w:rPr>
        <w:t xml:space="preserve"> applied alone provided only moderate protection.</w:t>
      </w:r>
    </w:p>
    <w:p w14:paraId="4C293FBB" w14:textId="77777777" w:rsidR="00354066" w:rsidRDefault="00354066" w:rsidP="00354066">
      <w:pPr>
        <w:spacing w:after="0" w:line="240" w:lineRule="auto"/>
        <w:jc w:val="both"/>
        <w:rPr>
          <w:rFonts w:ascii="Arial" w:hAnsi="Arial" w:cs="Arial"/>
          <w:bCs/>
          <w:sz w:val="20"/>
          <w:szCs w:val="20"/>
        </w:rPr>
      </w:pPr>
      <w:r w:rsidRPr="00EC5920">
        <w:rPr>
          <w:rFonts w:ascii="Arial" w:hAnsi="Arial" w:cs="Arial"/>
          <w:sz w:val="20"/>
          <w:szCs w:val="20"/>
        </w:rPr>
        <w:t xml:space="preserve">The study further established a clear relationship between effective suppression of fall armyworm infestation, reduced foliar and cob damage, and improved maize productivity, </w:t>
      </w:r>
      <w:proofErr w:type="spellStart"/>
      <w:r>
        <w:rPr>
          <w:rFonts w:ascii="Arial" w:hAnsi="Arial" w:cs="Arial"/>
          <w:sz w:val="20"/>
          <w:szCs w:val="20"/>
          <w:highlight w:val="yellow"/>
        </w:rPr>
        <w:t>emphasising</w:t>
      </w:r>
      <w:proofErr w:type="spellEnd"/>
      <w:r>
        <w:rPr>
          <w:rFonts w:ascii="Arial" w:hAnsi="Arial" w:cs="Arial"/>
          <w:sz w:val="20"/>
          <w:szCs w:val="20"/>
        </w:rPr>
        <w:t xml:space="preserve"> the importance of timely pest management during crop growth. Integrating entomopathogenic fungi with selective insecticides offers a promising approach for reducing crop losses while strengthening integrated pest management (IPM) </w:t>
      </w:r>
      <w:proofErr w:type="spellStart"/>
      <w:r>
        <w:rPr>
          <w:rFonts w:ascii="Arial" w:hAnsi="Arial" w:cs="Arial"/>
          <w:sz w:val="20"/>
          <w:szCs w:val="20"/>
        </w:rPr>
        <w:t>programmes</w:t>
      </w:r>
      <w:proofErr w:type="spellEnd"/>
      <w:r>
        <w:rPr>
          <w:rFonts w:ascii="Arial" w:hAnsi="Arial" w:cs="Arial"/>
          <w:sz w:val="20"/>
          <w:szCs w:val="20"/>
        </w:rPr>
        <w:t xml:space="preserve">. Under the conditions of the present study, the integration of novaluron 5.25 + </w:t>
      </w:r>
      <w:proofErr w:type="spellStart"/>
      <w:r>
        <w:rPr>
          <w:rFonts w:ascii="Arial" w:hAnsi="Arial" w:cs="Arial"/>
          <w:sz w:val="20"/>
          <w:szCs w:val="20"/>
        </w:rPr>
        <w:t>emamectin</w:t>
      </w:r>
      <w:proofErr w:type="spellEnd"/>
      <w:r>
        <w:rPr>
          <w:rFonts w:ascii="Arial" w:hAnsi="Arial" w:cs="Arial"/>
          <w:sz w:val="20"/>
          <w:szCs w:val="20"/>
        </w:rPr>
        <w:t xml:space="preserve"> benzoate 0.9 SC with </w:t>
      </w:r>
      <w:r w:rsidRPr="00EC5920">
        <w:rPr>
          <w:rFonts w:ascii="Arial" w:hAnsi="Arial" w:cs="Arial"/>
          <w:i/>
          <w:iCs/>
          <w:sz w:val="20"/>
          <w:szCs w:val="20"/>
        </w:rPr>
        <w:t>M. anisopliae</w:t>
      </w:r>
      <w:r w:rsidRPr="00EC5920">
        <w:rPr>
          <w:rFonts w:ascii="Arial" w:hAnsi="Arial" w:cs="Arial"/>
          <w:sz w:val="20"/>
          <w:szCs w:val="20"/>
        </w:rPr>
        <w:t xml:space="preserve"> appears to be a </w:t>
      </w:r>
      <w:r w:rsidRPr="00D42E6D">
        <w:rPr>
          <w:rFonts w:ascii="Arial" w:hAnsi="Arial" w:cs="Arial"/>
          <w:sz w:val="20"/>
          <w:szCs w:val="20"/>
        </w:rPr>
        <w:t xml:space="preserve">promising option for inclusion in IPM </w:t>
      </w:r>
      <w:proofErr w:type="spellStart"/>
      <w:r w:rsidRPr="00D42E6D">
        <w:rPr>
          <w:rFonts w:ascii="Arial" w:hAnsi="Arial" w:cs="Arial"/>
          <w:sz w:val="20"/>
          <w:szCs w:val="20"/>
        </w:rPr>
        <w:t>programmes</w:t>
      </w:r>
      <w:proofErr w:type="spellEnd"/>
      <w:r w:rsidRPr="00D42E6D">
        <w:rPr>
          <w:rFonts w:ascii="Arial" w:hAnsi="Arial" w:cs="Arial"/>
          <w:sz w:val="20"/>
          <w:szCs w:val="20"/>
        </w:rPr>
        <w:t xml:space="preserve"> for fall armyworm management in maize. Adoption of such integrated strategies may help reduce reliance on repeated applications of synthetic insecticides, thereby lowering environmental contamination, </w:t>
      </w:r>
      <w:proofErr w:type="spellStart"/>
      <w:r>
        <w:rPr>
          <w:rFonts w:ascii="Arial" w:hAnsi="Arial" w:cs="Arial"/>
          <w:sz w:val="20"/>
          <w:szCs w:val="20"/>
          <w:highlight w:val="yellow"/>
        </w:rPr>
        <w:t>minimising</w:t>
      </w:r>
      <w:proofErr w:type="spellEnd"/>
      <w:r>
        <w:rPr>
          <w:rFonts w:ascii="Arial" w:hAnsi="Arial" w:cs="Arial"/>
          <w:sz w:val="20"/>
          <w:szCs w:val="20"/>
        </w:rPr>
        <w:t xml:space="preserve"> adverse effects on beneficial organisms, and supporting more sustainable maize production. </w:t>
      </w:r>
      <w:r w:rsidRPr="00D42E6D">
        <w:rPr>
          <w:rFonts w:ascii="Arial" w:hAnsi="Arial" w:cs="Arial"/>
          <w:bCs/>
          <w:sz w:val="20"/>
          <w:szCs w:val="20"/>
        </w:rPr>
        <w:t xml:space="preserve">Further multi-season and multi-location validation will help confirm the broader applicability of this integrated strategy under diverse </w:t>
      </w:r>
      <w:proofErr w:type="spellStart"/>
      <w:r w:rsidRPr="00D42E6D">
        <w:rPr>
          <w:rFonts w:ascii="Arial" w:hAnsi="Arial" w:cs="Arial"/>
          <w:bCs/>
          <w:sz w:val="20"/>
          <w:szCs w:val="20"/>
        </w:rPr>
        <w:t>agro</w:t>
      </w:r>
      <w:proofErr w:type="spellEnd"/>
      <w:r w:rsidRPr="00D42E6D">
        <w:rPr>
          <w:rFonts w:ascii="Arial" w:hAnsi="Arial" w:cs="Arial"/>
          <w:bCs/>
          <w:sz w:val="20"/>
          <w:szCs w:val="20"/>
        </w:rPr>
        <w:t>-climatic conditions.</w:t>
      </w:r>
    </w:p>
    <w:p w14:paraId="043D8D3C" w14:textId="77777777" w:rsidR="00BB035D" w:rsidRDefault="00BB035D" w:rsidP="00354066">
      <w:pPr>
        <w:spacing w:after="0" w:line="240" w:lineRule="auto"/>
        <w:jc w:val="both"/>
        <w:rPr>
          <w:rFonts w:ascii="Arial" w:hAnsi="Arial" w:cs="Arial"/>
          <w:bCs/>
          <w:sz w:val="20"/>
          <w:szCs w:val="20"/>
        </w:rPr>
      </w:pPr>
    </w:p>
    <w:p w14:paraId="212D0DCD" w14:textId="77777777" w:rsidR="00BB035D" w:rsidRDefault="00BB035D" w:rsidP="00354066">
      <w:pPr>
        <w:spacing w:after="0" w:line="240" w:lineRule="auto"/>
        <w:jc w:val="both"/>
        <w:rPr>
          <w:rFonts w:ascii="Arial" w:hAnsi="Arial" w:cs="Arial"/>
          <w:bCs/>
          <w:sz w:val="20"/>
          <w:szCs w:val="20"/>
        </w:rPr>
      </w:pPr>
    </w:p>
    <w:p w14:paraId="1AD8B419" w14:textId="77777777" w:rsidR="00BB035D" w:rsidRPr="00BB035D" w:rsidRDefault="00BB035D" w:rsidP="00BB035D">
      <w:pPr>
        <w:spacing w:after="0" w:line="240" w:lineRule="auto"/>
        <w:jc w:val="both"/>
        <w:rPr>
          <w:rFonts w:ascii="Arial" w:hAnsi="Arial" w:cs="Arial"/>
          <w:sz w:val="20"/>
          <w:szCs w:val="20"/>
        </w:rPr>
      </w:pPr>
    </w:p>
    <w:p w14:paraId="1551594A" w14:textId="77777777" w:rsidR="00373ECD" w:rsidRPr="00373ECD" w:rsidRDefault="00373ECD" w:rsidP="00373ECD">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373ECD">
        <w:rPr>
          <w:rFonts w:ascii="Times New Roman" w:eastAsia="Times New Roman" w:hAnsi="Times New Roman" w:cs="Times New Roman"/>
          <w:b/>
          <w:bCs/>
          <w:sz w:val="27"/>
          <w:szCs w:val="27"/>
          <w:lang w:bidi="ar-SA"/>
        </w:rPr>
        <w:t>Limitations</w:t>
      </w:r>
    </w:p>
    <w:p w14:paraId="6CDB262D" w14:textId="77777777" w:rsidR="00373ECD" w:rsidRPr="00373ECD" w:rsidRDefault="00373ECD" w:rsidP="00373ECD">
      <w:pPr>
        <w:spacing w:before="100" w:beforeAutospacing="1" w:after="100" w:afterAutospacing="1" w:line="240" w:lineRule="auto"/>
        <w:rPr>
          <w:rFonts w:ascii="Times New Roman" w:eastAsia="Times New Roman" w:hAnsi="Times New Roman" w:cs="Times New Roman"/>
          <w:sz w:val="24"/>
          <w:szCs w:val="24"/>
          <w:lang w:bidi="ar-SA"/>
        </w:rPr>
      </w:pPr>
      <w:r w:rsidRPr="00373ECD">
        <w:rPr>
          <w:rFonts w:ascii="Times New Roman" w:eastAsia="Times New Roman" w:hAnsi="Times New Roman" w:cs="Times New Roman"/>
          <w:sz w:val="24"/>
          <w:szCs w:val="24"/>
          <w:lang w:bidi="ar-SA"/>
        </w:rPr>
        <w:t xml:space="preserve">The study was conducted during a single </w:t>
      </w:r>
      <w:r w:rsidRPr="00373ECD">
        <w:rPr>
          <w:rFonts w:ascii="Times New Roman" w:eastAsia="Times New Roman" w:hAnsi="Times New Roman" w:cs="Times New Roman"/>
          <w:i/>
          <w:iCs/>
          <w:sz w:val="24"/>
          <w:szCs w:val="24"/>
          <w:lang w:bidi="ar-SA"/>
        </w:rPr>
        <w:t>Rabi</w:t>
      </w:r>
      <w:r w:rsidRPr="00373ECD">
        <w:rPr>
          <w:rFonts w:ascii="Times New Roman" w:eastAsia="Times New Roman" w:hAnsi="Times New Roman" w:cs="Times New Roman"/>
          <w:sz w:val="24"/>
          <w:szCs w:val="24"/>
          <w:lang w:bidi="ar-SA"/>
        </w:rPr>
        <w:t xml:space="preserve"> season at only two locations in South Gujarat, with three replications per treatment, which may limit the </w:t>
      </w:r>
      <w:proofErr w:type="spellStart"/>
      <w:r w:rsidRPr="00373ECD">
        <w:rPr>
          <w:rFonts w:ascii="Times New Roman" w:eastAsia="Times New Roman" w:hAnsi="Times New Roman" w:cs="Times New Roman"/>
          <w:sz w:val="24"/>
          <w:szCs w:val="24"/>
          <w:lang w:bidi="ar-SA"/>
        </w:rPr>
        <w:t>generalisability</w:t>
      </w:r>
      <w:proofErr w:type="spellEnd"/>
      <w:r w:rsidRPr="00373ECD">
        <w:rPr>
          <w:rFonts w:ascii="Times New Roman" w:eastAsia="Times New Roman" w:hAnsi="Times New Roman" w:cs="Times New Roman"/>
          <w:sz w:val="24"/>
          <w:szCs w:val="24"/>
          <w:lang w:bidi="ar-SA"/>
        </w:rPr>
        <w:t xml:space="preserve"> of the findings across seasons and </w:t>
      </w:r>
      <w:proofErr w:type="spellStart"/>
      <w:r w:rsidRPr="00373ECD">
        <w:rPr>
          <w:rFonts w:ascii="Times New Roman" w:eastAsia="Times New Roman" w:hAnsi="Times New Roman" w:cs="Times New Roman"/>
          <w:sz w:val="24"/>
          <w:szCs w:val="24"/>
          <w:lang w:bidi="ar-SA"/>
        </w:rPr>
        <w:t>agro</w:t>
      </w:r>
      <w:proofErr w:type="spellEnd"/>
      <w:r w:rsidRPr="00373ECD">
        <w:rPr>
          <w:rFonts w:ascii="Times New Roman" w:eastAsia="Times New Roman" w:hAnsi="Times New Roman" w:cs="Times New Roman"/>
          <w:sz w:val="24"/>
          <w:szCs w:val="24"/>
          <w:lang w:bidi="ar-SA"/>
        </w:rPr>
        <w:t>-climatic regions. Treatment performance was evaluated under natural fall armyworm infestation, where pest pressure and environmental conditions may vary. The study did not include economic analysis or long-term assessment of effects on beneficial organisms. Future studies should include multi-season, multi-location trials with broader environmental conditions, together with economic evaluation and assessment of non-target effects.</w:t>
      </w:r>
    </w:p>
    <w:p w14:paraId="657ED74D" w14:textId="77777777" w:rsidR="00354066" w:rsidRPr="00EC5920" w:rsidRDefault="00354066" w:rsidP="00C86E90">
      <w:pPr>
        <w:spacing w:after="0" w:line="240" w:lineRule="auto"/>
        <w:rPr>
          <w:rFonts w:ascii="Arial" w:eastAsia="Calibri" w:hAnsi="Arial" w:cs="Arial"/>
          <w:b/>
          <w:lang w:bidi="ar-SA"/>
        </w:rPr>
      </w:pPr>
    </w:p>
    <w:p w14:paraId="4E16942A" w14:textId="77777777" w:rsidR="00C86E90" w:rsidRPr="00EC5920" w:rsidRDefault="00C86E90" w:rsidP="00C86E90">
      <w:pPr>
        <w:spacing w:after="0" w:line="240" w:lineRule="auto"/>
        <w:rPr>
          <w:rFonts w:ascii="Arial" w:eastAsia="Calibri" w:hAnsi="Arial" w:cs="Arial"/>
          <w:b/>
          <w:lang w:bidi="ar-SA"/>
        </w:rPr>
      </w:pPr>
      <w:r w:rsidRPr="00EC5920">
        <w:rPr>
          <w:rFonts w:ascii="Arial" w:eastAsia="Calibri" w:hAnsi="Arial" w:cs="Arial"/>
          <w:b/>
          <w:lang w:bidi="ar-SA"/>
        </w:rPr>
        <w:t>Declaration of AI Use</w:t>
      </w:r>
    </w:p>
    <w:p w14:paraId="533EFE60" w14:textId="77777777" w:rsidR="00C86E90" w:rsidRPr="00EC5920" w:rsidRDefault="00C86E90" w:rsidP="00C86E90">
      <w:pPr>
        <w:spacing w:after="0" w:line="240" w:lineRule="auto"/>
        <w:rPr>
          <w:rFonts w:ascii="Arial" w:eastAsia="Calibri" w:hAnsi="Arial" w:cs="Arial"/>
          <w:lang w:bidi="ar-SA"/>
        </w:rPr>
      </w:pPr>
    </w:p>
    <w:p w14:paraId="32B19107" w14:textId="77777777" w:rsidR="00C86E90" w:rsidRPr="00EC5920" w:rsidRDefault="00C86E90" w:rsidP="00C86E90">
      <w:pPr>
        <w:spacing w:after="0" w:line="240" w:lineRule="auto"/>
        <w:jc w:val="both"/>
        <w:rPr>
          <w:rFonts w:ascii="Arial" w:eastAsia="Calibri" w:hAnsi="Arial" w:cs="Arial"/>
          <w:lang w:bidi="ar-SA"/>
        </w:rPr>
      </w:pPr>
      <w:r w:rsidRPr="00EC5920">
        <w:rPr>
          <w:rFonts w:ascii="Arial" w:eastAsia="Calibri" w:hAnsi="Arial" w:cs="Arial"/>
          <w:lang w:bidi="ar-SA"/>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w:t>
      </w:r>
      <w:r>
        <w:rPr>
          <w:rFonts w:ascii="Arial" w:eastAsia="Calibri" w:hAnsi="Arial" w:cs="Arial"/>
          <w:highlight w:val="yellow"/>
          <w:lang w:bidi="ar-SA"/>
        </w:rPr>
        <w:t>language refinement and reference formatting</w:t>
      </w:r>
      <w:r>
        <w:rPr>
          <w:rFonts w:ascii="Arial" w:eastAsia="Calibri" w:hAnsi="Arial" w:cs="Arial"/>
          <w:lang w:bidi="ar-SA"/>
        </w:rPr>
        <w:t>.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1157F73" w14:textId="77777777" w:rsidR="00C86E90" w:rsidRPr="00EC5920" w:rsidRDefault="00C86E90" w:rsidP="00C86E90">
      <w:pPr>
        <w:spacing w:after="0" w:line="240" w:lineRule="auto"/>
        <w:jc w:val="both"/>
        <w:rPr>
          <w:rFonts w:ascii="Arial" w:eastAsia="Calibri" w:hAnsi="Arial" w:cs="Arial"/>
          <w:lang w:bidi="ar-SA"/>
        </w:rPr>
      </w:pPr>
    </w:p>
    <w:p w14:paraId="10C74AAD" w14:textId="77777777" w:rsidR="00C86E90" w:rsidRPr="00EC5920" w:rsidRDefault="00C86E90" w:rsidP="00C86E90">
      <w:pPr>
        <w:spacing w:after="0" w:line="240" w:lineRule="auto"/>
        <w:jc w:val="both"/>
        <w:rPr>
          <w:rFonts w:ascii="Arial" w:eastAsia="Calibri" w:hAnsi="Arial" w:cs="Arial"/>
          <w:lang w:bidi="ar-SA"/>
        </w:rPr>
      </w:pPr>
    </w:p>
    <w:p w14:paraId="488897E7" w14:textId="77777777" w:rsidR="00C86E90" w:rsidRPr="00EC5920" w:rsidRDefault="00C86E90" w:rsidP="00C86E90">
      <w:pPr>
        <w:rPr>
          <w:rFonts w:ascii="Arial" w:eastAsia="Times New Roman" w:hAnsi="Arial" w:cs="Arial"/>
          <w:b/>
          <w:bCs/>
          <w:lang w:val="en-GB" w:eastAsia="en-GB" w:bidi="ar-SA"/>
        </w:rPr>
      </w:pPr>
      <w:r w:rsidRPr="00EC5920">
        <w:rPr>
          <w:rFonts w:ascii="Arial" w:eastAsia="Times New Roman" w:hAnsi="Arial" w:cs="Arial"/>
          <w:b/>
          <w:bCs/>
          <w:lang w:val="en-GB" w:eastAsia="en-GB" w:bidi="ar-SA"/>
        </w:rPr>
        <w:t>COMPETING INTERESTS:</w:t>
      </w:r>
    </w:p>
    <w:p w14:paraId="3B385694" w14:textId="77777777" w:rsidR="00C86E90" w:rsidRPr="00EC5920" w:rsidRDefault="00C86E90" w:rsidP="00D42E6D">
      <w:pPr>
        <w:jc w:val="both"/>
        <w:rPr>
          <w:rFonts w:ascii="Arial" w:eastAsia="Times New Roman" w:hAnsi="Arial" w:cs="Arial"/>
          <w:lang w:val="en-GB" w:eastAsia="en-GB" w:bidi="ar-SA"/>
        </w:rPr>
      </w:pPr>
      <w:r w:rsidRPr="00EC5920">
        <w:rPr>
          <w:rFonts w:ascii="Arial" w:eastAsia="Times New Roman" w:hAnsi="Arial" w:cs="Arial"/>
          <w:lang w:val="en-GB" w:eastAsia="en-GB" w:bidi="ar-SA"/>
        </w:rPr>
        <w:t>Authors have declared that they have no known competing financial interests OR non-financial interests OR personal relationships that could have appeared to influence the work reported in this paper.</w:t>
      </w:r>
    </w:p>
    <w:p w14:paraId="7B5E478D" w14:textId="77777777" w:rsidR="00C86E90" w:rsidRPr="00EC5920" w:rsidRDefault="00C86E90" w:rsidP="002E7D34">
      <w:pPr>
        <w:spacing w:before="120" w:after="120" w:line="240" w:lineRule="auto"/>
        <w:jc w:val="both"/>
        <w:rPr>
          <w:rFonts w:ascii="Arial" w:hAnsi="Arial" w:cs="Arial"/>
          <w:sz w:val="20"/>
          <w:szCs w:val="20"/>
        </w:rPr>
      </w:pPr>
    </w:p>
    <w:p w14:paraId="6AEBD99E" w14:textId="77777777" w:rsidR="00B52975" w:rsidRDefault="006032E6" w:rsidP="002E7D34">
      <w:pPr>
        <w:keepNext/>
        <w:spacing w:before="120" w:after="120" w:line="240" w:lineRule="auto"/>
        <w:jc w:val="both"/>
        <w:rPr>
          <w:rFonts w:ascii="Arial" w:hAnsi="Arial" w:cs="Arial"/>
          <w:b/>
        </w:rPr>
      </w:pPr>
      <w:r w:rsidRPr="00EC5920">
        <w:rPr>
          <w:rFonts w:ascii="Arial" w:hAnsi="Arial" w:cs="Arial"/>
          <w:b/>
        </w:rPr>
        <w:t>REFERENCES</w:t>
      </w:r>
    </w:p>
    <w:p w14:paraId="667B6654"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Pr>
          <w:rFonts w:ascii="Times New Roman" w:eastAsia="Times New Roman" w:hAnsi="Times New Roman" w:cs="Times New Roman"/>
          <w:sz w:val="20"/>
          <w:szCs w:val="24"/>
          <w:lang w:bidi="ar-SA"/>
        </w:rPr>
        <w:t xml:space="preserve">Ahir, K. C., Mahla, M. K., Sharma, K., Babu, S. R., &amp; Kumar, A. (2022). Bio-efficacy of insecticides against fall armyworm. </w:t>
      </w:r>
      <w:r>
        <w:rPr>
          <w:rFonts w:ascii="Times New Roman" w:eastAsia="Times New Roman" w:hAnsi="Times New Roman" w:cs="Times New Roman"/>
          <w:sz w:val="20"/>
          <w:szCs w:val="24"/>
          <w:lang w:bidi="ar-SA"/>
          <w:i/>
          <w:iCs/>
        </w:rPr>
        <w:t>The Indian Journal of Agricultural Sciences, 91</w:t>
      </w:r>
      <w:r>
        <w:rPr>
          <w:rFonts w:ascii="Times New Roman" w:eastAsia="Times New Roman" w:hAnsi="Times New Roman" w:cs="Times New Roman"/>
          <w:sz w:val="20"/>
          <w:szCs w:val="24"/>
          <w:lang w:bidi="ar-SA"/>
        </w:rPr>
        <w:t xml:space="preserve">(12), 1796–1800. </w:t>
      </w:r>
      <w:hyperlink r:id="rId48">
        <w:r>
          <w:rPr>
            <w:rFonts w:ascii="Times New Roman" w:eastAsia="Times New Roman" w:hAnsi="Times New Roman" w:cs="Times New Roman"/>
            <w:color w:val="000000"/>
            <w:sz w:val="20"/>
            <w:szCs w:val="20"/>
            <w:u w:val="none"/>
            <w:lang w:bidi="ar-SA"/>
          </w:rPr>
          <w:t>https://doi.org/10.56093/ijas.v91i12.120810</w:t>
        </w:r>
      </w:hyperlink>
    </w:p>
    <w:p w14:paraId="69F4A382"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Bharadwaj, G. S., </w:t>
      </w:r>
      <w:proofErr w:type="spellStart"/>
      <w:r w:rsidRPr="000F48ED">
        <w:rPr>
          <w:rFonts w:ascii="Times New Roman" w:eastAsia="Times New Roman" w:hAnsi="Times New Roman" w:cs="Times New Roman"/>
          <w:sz w:val="20"/>
          <w:szCs w:val="24"/>
          <w:lang w:bidi="ar-SA"/>
        </w:rPr>
        <w:t>Mutkule</w:t>
      </w:r>
      <w:proofErr w:type="spellEnd"/>
      <w:r w:rsidRPr="000F48ED">
        <w:rPr>
          <w:rFonts w:ascii="Times New Roman" w:eastAsia="Times New Roman" w:hAnsi="Times New Roman" w:cs="Times New Roman"/>
          <w:sz w:val="20"/>
          <w:szCs w:val="24"/>
          <w:lang w:bidi="ar-SA"/>
        </w:rPr>
        <w:t xml:space="preserve">, D. S., Thakre, B. A., &amp; Jadhav, A. S. (2020). Bio-efficacy of different insecticides against fall armyworm, </w:t>
      </w:r>
      <w:r w:rsidRPr="000F48ED">
        <w:rPr>
          <w:rFonts w:ascii="Times New Roman" w:eastAsia="Times New Roman" w:hAnsi="Times New Roman" w:cs="Times New Roman"/>
          <w:i/>
          <w:iCs/>
          <w:sz w:val="20"/>
          <w:szCs w:val="24"/>
          <w:lang w:bidi="ar-SA"/>
        </w:rPr>
        <w:t xml:space="preserve">Spodoptera </w:t>
      </w:r>
      <w:proofErr w:type="spellStart"/>
      <w:r w:rsidRPr="000F48ED">
        <w:rPr>
          <w:rFonts w:ascii="Times New Roman" w:eastAsia="Times New Roman" w:hAnsi="Times New Roman" w:cs="Times New Roman"/>
          <w:i/>
          <w:iCs/>
          <w:sz w:val="20"/>
          <w:szCs w:val="24"/>
          <w:lang w:bidi="ar-SA"/>
        </w:rPr>
        <w:t>frugiperda</w:t>
      </w:r>
      <w:proofErr w:type="spellEnd"/>
      <w:r w:rsidRPr="000F48ED">
        <w:rPr>
          <w:rFonts w:ascii="Times New Roman" w:eastAsia="Times New Roman" w:hAnsi="Times New Roman" w:cs="Times New Roman"/>
          <w:sz w:val="20"/>
          <w:szCs w:val="24"/>
          <w:lang w:bidi="ar-SA"/>
        </w:rPr>
        <w:t xml:space="preserve"> (J. E. Smith), on maize. </w:t>
      </w:r>
      <w:r w:rsidRPr="000F48ED">
        <w:rPr>
          <w:rFonts w:ascii="Times New Roman" w:eastAsia="Times New Roman" w:hAnsi="Times New Roman" w:cs="Times New Roman"/>
          <w:i/>
          <w:iCs/>
          <w:sz w:val="20"/>
          <w:szCs w:val="24"/>
          <w:lang w:bidi="ar-SA"/>
        </w:rPr>
        <w:t>Journal of Pharmacognosy and Phytochemistry, 9</w:t>
      </w:r>
      <w:r w:rsidRPr="000F48ED">
        <w:rPr>
          <w:rFonts w:ascii="Times New Roman" w:eastAsia="Times New Roman" w:hAnsi="Times New Roman" w:cs="Times New Roman"/>
          <w:sz w:val="20"/>
          <w:szCs w:val="24"/>
          <w:lang w:bidi="ar-SA"/>
        </w:rPr>
        <w:t xml:space="preserve">(Special Issue 5), 603–607. </w:t>
      </w:r>
      <w:hyperlink r:id="rId11" w:history="1">
        <w:r w:rsidRPr="000F48ED">
          <w:rPr>
            <w:rFonts w:ascii="Times New Roman" w:eastAsia="Times New Roman" w:hAnsi="Times New Roman" w:cs="Times New Roman"/>
            <w:color w:val="000000"/>
            <w:sz w:val="20"/>
            <w:szCs w:val="20"/>
            <w:u w:val="none"/>
            <w:lang w:bidi="ar-SA"/>
          </w:rPr>
          <w:t>https://www.phytojournal.com/archives/2020.v9.i5S.13009/bio-efficacy-of-different-insecticides-against-fall-armyworm-spodoptera-frugiperda-je-smith-on-maize</w:t>
        </w:r>
      </w:hyperlink>
    </w:p>
    <w:p w14:paraId="693190A2"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Cao, T., Qiu, R., Chen, J., Kuang, M., Wu, K., Xia, Y., &amp; Peng, G. (2025). Synergistic enhancement of </w:t>
      </w:r>
      <w:proofErr w:type="spellStart"/>
      <w:r w:rsidRPr="000F48ED">
        <w:rPr>
          <w:rFonts w:ascii="Times New Roman" w:eastAsia="Times New Roman" w:hAnsi="Times New Roman" w:cs="Times New Roman"/>
          <w:sz w:val="20"/>
          <w:szCs w:val="24"/>
          <w:lang w:bidi="ar-SA"/>
        </w:rPr>
        <w:t>emamectin</w:t>
      </w:r>
      <w:proofErr w:type="spellEnd"/>
      <w:r w:rsidRPr="000F48ED">
        <w:rPr>
          <w:rFonts w:ascii="Times New Roman" w:eastAsia="Times New Roman" w:hAnsi="Times New Roman" w:cs="Times New Roman"/>
          <w:sz w:val="20"/>
          <w:szCs w:val="24"/>
          <w:lang w:bidi="ar-SA"/>
        </w:rPr>
        <w:t xml:space="preserve"> benzoate and </w:t>
      </w:r>
      <w:r w:rsidRPr="000F48ED">
        <w:rPr>
          <w:rFonts w:ascii="Times New Roman" w:eastAsia="Times New Roman" w:hAnsi="Times New Roman" w:cs="Times New Roman"/>
          <w:i/>
          <w:iCs/>
          <w:sz w:val="20"/>
          <w:szCs w:val="24"/>
          <w:lang w:bidi="ar-SA"/>
        </w:rPr>
        <w:t>Metarhizium anisopliae</w:t>
      </w:r>
      <w:r w:rsidRPr="000F48ED">
        <w:rPr>
          <w:rFonts w:ascii="Times New Roman" w:eastAsia="Times New Roman" w:hAnsi="Times New Roman" w:cs="Times New Roman"/>
          <w:sz w:val="20"/>
          <w:szCs w:val="24"/>
          <w:lang w:bidi="ar-SA"/>
        </w:rPr>
        <w:t xml:space="preserve"> against late-instar </w:t>
      </w:r>
      <w:r w:rsidRPr="000F48ED">
        <w:rPr>
          <w:rFonts w:ascii="Times New Roman" w:eastAsia="Times New Roman" w:hAnsi="Times New Roman" w:cs="Times New Roman"/>
          <w:i/>
          <w:iCs/>
          <w:sz w:val="20"/>
          <w:szCs w:val="24"/>
          <w:lang w:bidi="ar-SA"/>
        </w:rPr>
        <w:t xml:space="preserve">Spodoptera </w:t>
      </w:r>
      <w:proofErr w:type="spellStart"/>
      <w:r w:rsidRPr="000F48ED">
        <w:rPr>
          <w:rFonts w:ascii="Times New Roman" w:eastAsia="Times New Roman" w:hAnsi="Times New Roman" w:cs="Times New Roman"/>
          <w:i/>
          <w:iCs/>
          <w:sz w:val="20"/>
          <w:szCs w:val="24"/>
          <w:lang w:bidi="ar-SA"/>
        </w:rPr>
        <w:t>frugiperda</w:t>
      </w:r>
      <w:proofErr w:type="spellEnd"/>
      <w:r w:rsidRPr="000F48ED">
        <w:rPr>
          <w:rFonts w:ascii="Times New Roman" w:eastAsia="Times New Roman" w:hAnsi="Times New Roman" w:cs="Times New Roman"/>
          <w:sz w:val="20"/>
          <w:szCs w:val="24"/>
          <w:lang w:bidi="ar-SA"/>
        </w:rPr>
        <w:t xml:space="preserve"> by promoting fungal pathogenicity. </w:t>
      </w:r>
      <w:r w:rsidRPr="000F48ED">
        <w:rPr>
          <w:rFonts w:ascii="Times New Roman" w:eastAsia="Times New Roman" w:hAnsi="Times New Roman" w:cs="Times New Roman"/>
          <w:i/>
          <w:iCs/>
          <w:sz w:val="20"/>
          <w:szCs w:val="24"/>
          <w:lang w:bidi="ar-SA"/>
        </w:rPr>
        <w:t>Pesticide Biochemistry and Physiology, 215</w:t>
      </w:r>
      <w:r w:rsidRPr="000F48ED">
        <w:rPr>
          <w:rFonts w:ascii="Times New Roman" w:eastAsia="Times New Roman" w:hAnsi="Times New Roman" w:cs="Times New Roman"/>
          <w:sz w:val="20"/>
          <w:szCs w:val="24"/>
          <w:lang w:bidi="ar-SA"/>
        </w:rPr>
        <w:t xml:space="preserve">, 106642. </w:t>
      </w:r>
      <w:hyperlink r:id="rId12" w:history="1">
        <w:r w:rsidRPr="000F48ED">
          <w:rPr>
            <w:rFonts w:ascii="Times New Roman" w:eastAsia="Times New Roman" w:hAnsi="Times New Roman" w:cs="Times New Roman"/>
            <w:color w:val="000000"/>
            <w:sz w:val="20"/>
            <w:szCs w:val="20"/>
            <w:u w:val="none"/>
            <w:lang w:bidi="ar-SA"/>
          </w:rPr>
          <w:t>https://doi.org/10.1016/j.pestbp.2025.106642</w:t>
        </w:r>
      </w:hyperlink>
    </w:p>
    <w:p w14:paraId="2D8691F6"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Carneiro, A. A., Gomes, E. A., Guimarães, C. T., Fernandes, F. T., Carneiro, N. P., &amp; Cruz, I. (2008). Molecular characterization and pathogenicity of isolates of </w:t>
      </w:r>
      <w:r w:rsidRPr="000F48ED">
        <w:rPr>
          <w:rFonts w:ascii="Times New Roman" w:eastAsia="Times New Roman" w:hAnsi="Times New Roman" w:cs="Times New Roman"/>
          <w:i/>
          <w:iCs/>
          <w:sz w:val="20"/>
          <w:szCs w:val="24"/>
          <w:lang w:bidi="ar-SA"/>
        </w:rPr>
        <w:t>Beauveria</w:t>
      </w:r>
      <w:r w:rsidRPr="000F48ED">
        <w:rPr>
          <w:rFonts w:ascii="Times New Roman" w:eastAsia="Times New Roman" w:hAnsi="Times New Roman" w:cs="Times New Roman"/>
          <w:sz w:val="20"/>
          <w:szCs w:val="24"/>
          <w:lang w:bidi="ar-SA"/>
        </w:rPr>
        <w:t xml:space="preserve"> spp. to fall armyworm. </w:t>
      </w:r>
      <w:r w:rsidRPr="000F48ED">
        <w:rPr>
          <w:rFonts w:ascii="Times New Roman" w:eastAsia="Times New Roman" w:hAnsi="Times New Roman" w:cs="Times New Roman"/>
          <w:i/>
          <w:iCs/>
          <w:sz w:val="20"/>
          <w:szCs w:val="24"/>
          <w:lang w:bidi="ar-SA"/>
        </w:rPr>
        <w:t xml:space="preserve">Pesquisa </w:t>
      </w:r>
      <w:proofErr w:type="spellStart"/>
      <w:r w:rsidRPr="000F48ED">
        <w:rPr>
          <w:rFonts w:ascii="Times New Roman" w:eastAsia="Times New Roman" w:hAnsi="Times New Roman" w:cs="Times New Roman"/>
          <w:i/>
          <w:iCs/>
          <w:sz w:val="20"/>
          <w:szCs w:val="24"/>
          <w:lang w:bidi="ar-SA"/>
        </w:rPr>
        <w:t>Agropecuária</w:t>
      </w:r>
      <w:proofErr w:type="spellEnd"/>
      <w:r w:rsidRPr="000F48ED">
        <w:rPr>
          <w:rFonts w:ascii="Times New Roman" w:eastAsia="Times New Roman" w:hAnsi="Times New Roman" w:cs="Times New Roman"/>
          <w:i/>
          <w:iCs/>
          <w:sz w:val="20"/>
          <w:szCs w:val="24"/>
          <w:lang w:bidi="ar-SA"/>
        </w:rPr>
        <w:t xml:space="preserve"> Brasileira, 43</w:t>
      </w:r>
      <w:r w:rsidRPr="000F48ED">
        <w:rPr>
          <w:rFonts w:ascii="Times New Roman" w:eastAsia="Times New Roman" w:hAnsi="Times New Roman" w:cs="Times New Roman"/>
          <w:sz w:val="20"/>
          <w:szCs w:val="24"/>
          <w:lang w:bidi="ar-SA"/>
        </w:rPr>
        <w:t xml:space="preserve">(4), 513–520. </w:t>
      </w:r>
      <w:hyperlink r:id="rId13" w:history="1">
        <w:r w:rsidRPr="000F48ED">
          <w:rPr>
            <w:rFonts w:ascii="Times New Roman" w:eastAsia="Times New Roman" w:hAnsi="Times New Roman" w:cs="Times New Roman"/>
            <w:color w:val="000000"/>
            <w:sz w:val="20"/>
            <w:szCs w:val="20"/>
            <w:u w:val="none"/>
            <w:lang w:bidi="ar-SA"/>
          </w:rPr>
          <w:t>https://doi.org/10.1590/S1678-3921.pab2008.v43.81</w:t>
        </w:r>
      </w:hyperlink>
    </w:p>
    <w:p w14:paraId="20C45C4E"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Davis, F. M., Ng, S. S., &amp; Williams, W. P. (1992). </w:t>
      </w:r>
      <w:r w:rsidRPr="000F48ED">
        <w:rPr>
          <w:rFonts w:ascii="Times New Roman" w:eastAsia="Times New Roman" w:hAnsi="Times New Roman" w:cs="Times New Roman"/>
          <w:i/>
          <w:iCs/>
          <w:sz w:val="20"/>
          <w:szCs w:val="24"/>
          <w:lang w:bidi="ar-SA"/>
        </w:rPr>
        <w:t>Visual rating scales for screening whorl-stage corn for resistance to fall armyworm</w:t>
      </w:r>
      <w:r w:rsidRPr="000F48ED">
        <w:rPr>
          <w:rFonts w:ascii="Times New Roman" w:eastAsia="Times New Roman" w:hAnsi="Times New Roman" w:cs="Times New Roman"/>
          <w:sz w:val="20"/>
          <w:szCs w:val="24"/>
          <w:lang w:bidi="ar-SA"/>
        </w:rPr>
        <w:t xml:space="preserve"> (Technical Bulletin No. 186). Mississippi Agricultural and Forestry Experiment Station, Mississippi State University. </w:t>
      </w:r>
      <w:hyperlink r:id="rId14" w:history="1">
        <w:r w:rsidRPr="000F48ED">
          <w:rPr>
            <w:rFonts w:ascii="Times New Roman" w:eastAsia="Times New Roman" w:hAnsi="Times New Roman" w:cs="Times New Roman"/>
            <w:color w:val="000000"/>
            <w:sz w:val="20"/>
            <w:szCs w:val="20"/>
            <w:u w:val="none"/>
            <w:lang w:bidi="ar-SA"/>
          </w:rPr>
          <w:t>https://knowledgecenter.cimmyt.org/bib/59620</w:t>
        </w:r>
      </w:hyperlink>
    </w:p>
    <w:p w14:paraId="2815D116"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Day, R., Abrahams, P., Bateman, M., Beale, T., Clottey, V., Cock, M., Colmenarez, Y., </w:t>
      </w:r>
      <w:proofErr w:type="spellStart"/>
      <w:r w:rsidRPr="000F48ED">
        <w:rPr>
          <w:rFonts w:ascii="Times New Roman" w:eastAsia="Times New Roman" w:hAnsi="Times New Roman" w:cs="Times New Roman"/>
          <w:sz w:val="20"/>
          <w:szCs w:val="24"/>
          <w:lang w:bidi="ar-SA"/>
        </w:rPr>
        <w:t>Corniani</w:t>
      </w:r>
      <w:proofErr w:type="spellEnd"/>
      <w:r w:rsidRPr="000F48ED">
        <w:rPr>
          <w:rFonts w:ascii="Times New Roman" w:eastAsia="Times New Roman" w:hAnsi="Times New Roman" w:cs="Times New Roman"/>
          <w:sz w:val="20"/>
          <w:szCs w:val="24"/>
          <w:lang w:bidi="ar-SA"/>
        </w:rPr>
        <w:t xml:space="preserve">, N., Early, R., Godwin, J., Gómez, J., Gonzalez-Moreno, P., Murphy, S. T., Oppong-Mensah, B., Phiri, N., Pratt, C., Silvestri, S., &amp; Witt, A. (2017). Fall armyworm: Impacts and implications for Africa. </w:t>
      </w:r>
      <w:r w:rsidRPr="000F48ED">
        <w:rPr>
          <w:rFonts w:ascii="Times New Roman" w:eastAsia="Times New Roman" w:hAnsi="Times New Roman" w:cs="Times New Roman"/>
          <w:i/>
          <w:iCs/>
          <w:sz w:val="20"/>
          <w:szCs w:val="24"/>
          <w:lang w:bidi="ar-SA"/>
        </w:rPr>
        <w:t>Outlooks on Pest Management, 28</w:t>
      </w:r>
      <w:r w:rsidRPr="000F48ED">
        <w:rPr>
          <w:rFonts w:ascii="Times New Roman" w:eastAsia="Times New Roman" w:hAnsi="Times New Roman" w:cs="Times New Roman"/>
          <w:sz w:val="20"/>
          <w:szCs w:val="24"/>
          <w:lang w:bidi="ar-SA"/>
        </w:rPr>
        <w:t xml:space="preserve">(5), 196–201. </w:t>
      </w:r>
      <w:hyperlink r:id="rId15" w:history="1">
        <w:r w:rsidRPr="000F48ED">
          <w:rPr>
            <w:rFonts w:ascii="Times New Roman" w:eastAsia="Times New Roman" w:hAnsi="Times New Roman" w:cs="Times New Roman"/>
            <w:color w:val="000000"/>
            <w:sz w:val="20"/>
            <w:szCs w:val="20"/>
            <w:u w:val="none"/>
            <w:lang w:bidi="ar-SA"/>
          </w:rPr>
          <w:t>https://doi.org/10.1564/v28_oct_02</w:t>
        </w:r>
      </w:hyperlink>
    </w:p>
    <w:p w14:paraId="323E1643"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Pr>
          <w:rFonts w:ascii="Times New Roman" w:eastAsia="Times New Roman" w:hAnsi="Times New Roman" w:cs="Times New Roman"/>
          <w:sz w:val="20"/>
          <w:szCs w:val="24"/>
          <w:lang w:bidi="ar-SA"/>
        </w:rPr>
        <w:t xml:space="preserve">Deshmukh, S., Pavithra, H. B., Kalleshwaraswamy, C. M., Shivanna, B. K., Maruthi, M. S., &amp; Mota-Sanchez, D. (2020). Field efficacy of insecticides for management of invasive fall armyworm, </w:t>
      </w:r>
      <w:r>
        <w:rPr>
          <w:rFonts w:ascii="Times New Roman" w:eastAsia="Times New Roman" w:hAnsi="Times New Roman" w:cs="Times New Roman"/>
          <w:sz w:val="20"/>
          <w:szCs w:val="24"/>
          <w:lang w:bidi="ar-SA"/>
          <w:i/>
          <w:iCs/>
        </w:rPr>
        <w:t>Spodoptera frugiperda</w:t>
      </w:r>
      <w:r>
        <w:rPr>
          <w:rFonts w:ascii="Times New Roman" w:eastAsia="Times New Roman" w:hAnsi="Times New Roman" w:cs="Times New Roman"/>
          <w:sz w:val="20"/>
          <w:szCs w:val="24"/>
          <w:lang w:bidi="ar-SA"/>
        </w:rPr>
        <w:t xml:space="preserve"> (J. E. Smith) (Lepidoptera: Noctuidae) on maize in India. </w:t>
      </w:r>
      <w:r>
        <w:rPr>
          <w:rFonts w:ascii="Times New Roman" w:eastAsia="Times New Roman" w:hAnsi="Times New Roman" w:cs="Times New Roman"/>
          <w:sz w:val="20"/>
          <w:szCs w:val="24"/>
          <w:lang w:bidi="ar-SA"/>
          <w:i/>
          <w:iCs/>
        </w:rPr>
        <w:t>Florida Entomologist, 103</w:t>
      </w:r>
      <w:r>
        <w:rPr>
          <w:rFonts w:ascii="Times New Roman" w:eastAsia="Times New Roman" w:hAnsi="Times New Roman" w:cs="Times New Roman"/>
          <w:sz w:val="20"/>
          <w:szCs w:val="24"/>
          <w:lang w:bidi="ar-SA"/>
        </w:rPr>
        <w:t xml:space="preserve">(2), 221–227. </w:t>
      </w:r>
      <w:hyperlink r:id="rId49">
        <w:r>
          <w:rPr>
            <w:rFonts w:ascii="Times New Roman" w:eastAsia="Times New Roman" w:hAnsi="Times New Roman" w:cs="Times New Roman"/>
            <w:color w:val="000000"/>
            <w:sz w:val="20"/>
            <w:szCs w:val="20"/>
            <w:u w:val="none"/>
            <w:lang w:bidi="ar-SA"/>
          </w:rPr>
          <w:t>https://doi.org/10.1653/024.103.0211</w:t>
        </w:r>
      </w:hyperlink>
    </w:p>
    <w:p w14:paraId="68030E09"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Food and Agriculture Organization of the United Nations. (2019). </w:t>
      </w:r>
      <w:r w:rsidRPr="000F48ED">
        <w:rPr>
          <w:rFonts w:ascii="Times New Roman" w:eastAsia="Times New Roman" w:hAnsi="Times New Roman" w:cs="Times New Roman"/>
          <w:i/>
          <w:iCs/>
          <w:sz w:val="20"/>
          <w:szCs w:val="24"/>
          <w:lang w:bidi="ar-SA"/>
        </w:rPr>
        <w:t>Briefing note on FAO actions on fall armyworm (FAW).</w:t>
      </w:r>
      <w:r w:rsidRPr="000F48ED">
        <w:rPr>
          <w:rFonts w:ascii="Times New Roman" w:eastAsia="Times New Roman" w:hAnsi="Times New Roman" w:cs="Times New Roman"/>
          <w:sz w:val="20"/>
          <w:szCs w:val="24"/>
          <w:lang w:bidi="ar-SA"/>
        </w:rPr>
        <w:t xml:space="preserve"> </w:t>
      </w:r>
      <w:hyperlink r:id="rId16" w:history="1">
        <w:r w:rsidRPr="000F48ED">
          <w:rPr>
            <w:rFonts w:ascii="Times New Roman" w:eastAsia="Times New Roman" w:hAnsi="Times New Roman" w:cs="Times New Roman"/>
            <w:color w:val="000000"/>
            <w:sz w:val="20"/>
            <w:szCs w:val="20"/>
            <w:u w:val="none"/>
            <w:lang w:bidi="ar-SA"/>
          </w:rPr>
          <w:t>https://openknowledge.fao.org/handle/20.500.14283/bs183e</w:t>
        </w:r>
      </w:hyperlink>
    </w:p>
    <w:p w14:paraId="583E4F54"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García-G., C., González-M., M. B., &amp; Bautista-M., N. (2011). Pathogenicity of isolates of entomopathogenic fungi against </w:t>
      </w:r>
      <w:r w:rsidRPr="000F48ED">
        <w:rPr>
          <w:rFonts w:ascii="Times New Roman" w:eastAsia="Times New Roman" w:hAnsi="Times New Roman" w:cs="Times New Roman"/>
          <w:i/>
          <w:iCs/>
          <w:sz w:val="20"/>
          <w:szCs w:val="24"/>
          <w:lang w:bidi="ar-SA"/>
        </w:rPr>
        <w:t xml:space="preserve">Spodoptera </w:t>
      </w:r>
      <w:proofErr w:type="spellStart"/>
      <w:r w:rsidRPr="000F48ED">
        <w:rPr>
          <w:rFonts w:ascii="Times New Roman" w:eastAsia="Times New Roman" w:hAnsi="Times New Roman" w:cs="Times New Roman"/>
          <w:i/>
          <w:iCs/>
          <w:sz w:val="20"/>
          <w:szCs w:val="24"/>
          <w:lang w:bidi="ar-SA"/>
        </w:rPr>
        <w:t>frugiperda</w:t>
      </w:r>
      <w:proofErr w:type="spellEnd"/>
      <w:r w:rsidRPr="000F48ED">
        <w:rPr>
          <w:rFonts w:ascii="Times New Roman" w:eastAsia="Times New Roman" w:hAnsi="Times New Roman" w:cs="Times New Roman"/>
          <w:sz w:val="20"/>
          <w:szCs w:val="24"/>
          <w:lang w:bidi="ar-SA"/>
        </w:rPr>
        <w:t xml:space="preserve"> (Lepidoptera: </w:t>
      </w:r>
      <w:proofErr w:type="spellStart"/>
      <w:r w:rsidRPr="000F48ED">
        <w:rPr>
          <w:rFonts w:ascii="Times New Roman" w:eastAsia="Times New Roman" w:hAnsi="Times New Roman" w:cs="Times New Roman"/>
          <w:sz w:val="20"/>
          <w:szCs w:val="24"/>
          <w:lang w:bidi="ar-SA"/>
        </w:rPr>
        <w:t>Noctuidae</w:t>
      </w:r>
      <w:proofErr w:type="spellEnd"/>
      <w:r w:rsidRPr="000F48ED">
        <w:rPr>
          <w:rFonts w:ascii="Times New Roman" w:eastAsia="Times New Roman" w:hAnsi="Times New Roman" w:cs="Times New Roman"/>
          <w:sz w:val="20"/>
          <w:szCs w:val="24"/>
          <w:lang w:bidi="ar-SA"/>
        </w:rPr>
        <w:t xml:space="preserve">) and </w:t>
      </w:r>
      <w:proofErr w:type="spellStart"/>
      <w:r w:rsidRPr="000F48ED">
        <w:rPr>
          <w:rFonts w:ascii="Times New Roman" w:eastAsia="Times New Roman" w:hAnsi="Times New Roman" w:cs="Times New Roman"/>
          <w:i/>
          <w:iCs/>
          <w:sz w:val="20"/>
          <w:szCs w:val="24"/>
          <w:lang w:bidi="ar-SA"/>
        </w:rPr>
        <w:lastRenderedPageBreak/>
        <w:t>Epilachna</w:t>
      </w:r>
      <w:proofErr w:type="spellEnd"/>
      <w:r w:rsidRPr="000F48ED">
        <w:rPr>
          <w:rFonts w:ascii="Times New Roman" w:eastAsia="Times New Roman" w:hAnsi="Times New Roman" w:cs="Times New Roman"/>
          <w:i/>
          <w:iCs/>
          <w:sz w:val="20"/>
          <w:szCs w:val="24"/>
          <w:lang w:bidi="ar-SA"/>
        </w:rPr>
        <w:t xml:space="preserve"> </w:t>
      </w:r>
      <w:proofErr w:type="spellStart"/>
      <w:r w:rsidRPr="000F48ED">
        <w:rPr>
          <w:rFonts w:ascii="Times New Roman" w:eastAsia="Times New Roman" w:hAnsi="Times New Roman" w:cs="Times New Roman"/>
          <w:i/>
          <w:iCs/>
          <w:sz w:val="20"/>
          <w:szCs w:val="24"/>
          <w:lang w:bidi="ar-SA"/>
        </w:rPr>
        <w:t>varivestis</w:t>
      </w:r>
      <w:proofErr w:type="spellEnd"/>
      <w:r w:rsidRPr="000F48ED">
        <w:rPr>
          <w:rFonts w:ascii="Times New Roman" w:eastAsia="Times New Roman" w:hAnsi="Times New Roman" w:cs="Times New Roman"/>
          <w:sz w:val="20"/>
          <w:szCs w:val="24"/>
          <w:lang w:bidi="ar-SA"/>
        </w:rPr>
        <w:t xml:space="preserve"> (Coleoptera: Coccinellidae). </w:t>
      </w:r>
      <w:r w:rsidRPr="000F48ED">
        <w:rPr>
          <w:rFonts w:ascii="Times New Roman" w:eastAsia="Times New Roman" w:hAnsi="Times New Roman" w:cs="Times New Roman"/>
          <w:i/>
          <w:iCs/>
          <w:sz w:val="20"/>
          <w:szCs w:val="24"/>
          <w:lang w:bidi="ar-SA"/>
        </w:rPr>
        <w:t xml:space="preserve">Revista Colombiana de </w:t>
      </w:r>
      <w:proofErr w:type="spellStart"/>
      <w:r w:rsidRPr="000F48ED">
        <w:rPr>
          <w:rFonts w:ascii="Times New Roman" w:eastAsia="Times New Roman" w:hAnsi="Times New Roman" w:cs="Times New Roman"/>
          <w:i/>
          <w:iCs/>
          <w:sz w:val="20"/>
          <w:szCs w:val="24"/>
          <w:lang w:bidi="ar-SA"/>
        </w:rPr>
        <w:t>Entomología</w:t>
      </w:r>
      <w:proofErr w:type="spellEnd"/>
      <w:r w:rsidRPr="000F48ED">
        <w:rPr>
          <w:rFonts w:ascii="Times New Roman" w:eastAsia="Times New Roman" w:hAnsi="Times New Roman" w:cs="Times New Roman"/>
          <w:i/>
          <w:iCs/>
          <w:sz w:val="20"/>
          <w:szCs w:val="24"/>
          <w:lang w:bidi="ar-SA"/>
        </w:rPr>
        <w:t>, 37</w:t>
      </w:r>
      <w:r w:rsidRPr="000F48ED">
        <w:rPr>
          <w:rFonts w:ascii="Times New Roman" w:eastAsia="Times New Roman" w:hAnsi="Times New Roman" w:cs="Times New Roman"/>
          <w:sz w:val="20"/>
          <w:szCs w:val="24"/>
          <w:lang w:bidi="ar-SA"/>
        </w:rPr>
        <w:t xml:space="preserve">(2), 217–222. </w:t>
      </w:r>
      <w:hyperlink r:id="rId17" w:history="1">
        <w:r w:rsidRPr="000F48ED">
          <w:rPr>
            <w:rFonts w:ascii="Times New Roman" w:eastAsia="Times New Roman" w:hAnsi="Times New Roman" w:cs="Times New Roman"/>
            <w:color w:val="000000"/>
            <w:sz w:val="20"/>
            <w:szCs w:val="20"/>
            <w:u w:val="none"/>
            <w:lang w:bidi="ar-SA"/>
          </w:rPr>
          <w:t>https://doi.org/10.25100/socolen.v37i2.9077</w:t>
        </w:r>
      </w:hyperlink>
    </w:p>
    <w:p w14:paraId="736DF4C8"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Goergen, G., Kumar, P. L., </w:t>
      </w:r>
      <w:proofErr w:type="spellStart"/>
      <w:r w:rsidRPr="000F48ED">
        <w:rPr>
          <w:rFonts w:ascii="Times New Roman" w:eastAsia="Times New Roman" w:hAnsi="Times New Roman" w:cs="Times New Roman"/>
          <w:sz w:val="20"/>
          <w:szCs w:val="24"/>
          <w:lang w:bidi="ar-SA"/>
        </w:rPr>
        <w:t>Sankung</w:t>
      </w:r>
      <w:proofErr w:type="spellEnd"/>
      <w:r w:rsidRPr="000F48ED">
        <w:rPr>
          <w:rFonts w:ascii="Times New Roman" w:eastAsia="Times New Roman" w:hAnsi="Times New Roman" w:cs="Times New Roman"/>
          <w:sz w:val="20"/>
          <w:szCs w:val="24"/>
          <w:lang w:bidi="ar-SA"/>
        </w:rPr>
        <w:t xml:space="preserve">, S. B., Togola, A., &amp; </w:t>
      </w:r>
      <w:proofErr w:type="spellStart"/>
      <w:r w:rsidRPr="000F48ED">
        <w:rPr>
          <w:rFonts w:ascii="Times New Roman" w:eastAsia="Times New Roman" w:hAnsi="Times New Roman" w:cs="Times New Roman"/>
          <w:sz w:val="20"/>
          <w:szCs w:val="24"/>
          <w:lang w:bidi="ar-SA"/>
        </w:rPr>
        <w:t>Tamò</w:t>
      </w:r>
      <w:proofErr w:type="spellEnd"/>
      <w:r w:rsidRPr="000F48ED">
        <w:rPr>
          <w:rFonts w:ascii="Times New Roman" w:eastAsia="Times New Roman" w:hAnsi="Times New Roman" w:cs="Times New Roman"/>
          <w:sz w:val="20"/>
          <w:szCs w:val="24"/>
          <w:lang w:bidi="ar-SA"/>
        </w:rPr>
        <w:t xml:space="preserve">, M. (2016). First report of outbreaks of the fall armyworm </w:t>
      </w:r>
      <w:r w:rsidRPr="000F48ED">
        <w:rPr>
          <w:rFonts w:ascii="Times New Roman" w:eastAsia="Times New Roman" w:hAnsi="Times New Roman" w:cs="Times New Roman"/>
          <w:i/>
          <w:iCs/>
          <w:sz w:val="20"/>
          <w:szCs w:val="24"/>
          <w:lang w:bidi="ar-SA"/>
        </w:rPr>
        <w:t xml:space="preserve">Spodoptera </w:t>
      </w:r>
      <w:proofErr w:type="spellStart"/>
      <w:r w:rsidRPr="000F48ED">
        <w:rPr>
          <w:rFonts w:ascii="Times New Roman" w:eastAsia="Times New Roman" w:hAnsi="Times New Roman" w:cs="Times New Roman"/>
          <w:i/>
          <w:iCs/>
          <w:sz w:val="20"/>
          <w:szCs w:val="24"/>
          <w:lang w:bidi="ar-SA"/>
        </w:rPr>
        <w:t>frugiperda</w:t>
      </w:r>
      <w:proofErr w:type="spellEnd"/>
      <w:r w:rsidRPr="000F48ED">
        <w:rPr>
          <w:rFonts w:ascii="Times New Roman" w:eastAsia="Times New Roman" w:hAnsi="Times New Roman" w:cs="Times New Roman"/>
          <w:sz w:val="20"/>
          <w:szCs w:val="24"/>
          <w:lang w:bidi="ar-SA"/>
        </w:rPr>
        <w:t xml:space="preserve"> (J. E. Smith) (Lepidoptera: </w:t>
      </w:r>
      <w:proofErr w:type="spellStart"/>
      <w:r w:rsidRPr="000F48ED">
        <w:rPr>
          <w:rFonts w:ascii="Times New Roman" w:eastAsia="Times New Roman" w:hAnsi="Times New Roman" w:cs="Times New Roman"/>
          <w:sz w:val="20"/>
          <w:szCs w:val="24"/>
          <w:lang w:bidi="ar-SA"/>
        </w:rPr>
        <w:t>Noctuidae</w:t>
      </w:r>
      <w:proofErr w:type="spellEnd"/>
      <w:r w:rsidRPr="000F48ED">
        <w:rPr>
          <w:rFonts w:ascii="Times New Roman" w:eastAsia="Times New Roman" w:hAnsi="Times New Roman" w:cs="Times New Roman"/>
          <w:sz w:val="20"/>
          <w:szCs w:val="24"/>
          <w:lang w:bidi="ar-SA"/>
        </w:rPr>
        <w:t xml:space="preserve">), a new alien invasive pest in West and Central Africa. </w:t>
      </w:r>
      <w:r w:rsidRPr="000F48ED">
        <w:rPr>
          <w:rFonts w:ascii="Times New Roman" w:eastAsia="Times New Roman" w:hAnsi="Times New Roman" w:cs="Times New Roman"/>
          <w:i/>
          <w:iCs/>
          <w:sz w:val="20"/>
          <w:szCs w:val="24"/>
          <w:lang w:bidi="ar-SA"/>
        </w:rPr>
        <w:t>PLOS ONE, 11</w:t>
      </w:r>
      <w:r w:rsidRPr="000F48ED">
        <w:rPr>
          <w:rFonts w:ascii="Times New Roman" w:eastAsia="Times New Roman" w:hAnsi="Times New Roman" w:cs="Times New Roman"/>
          <w:sz w:val="20"/>
          <w:szCs w:val="24"/>
          <w:lang w:bidi="ar-SA"/>
        </w:rPr>
        <w:t xml:space="preserve">(10), e0165632. </w:t>
      </w:r>
      <w:hyperlink r:id="rId18" w:history="1">
        <w:r w:rsidRPr="000F48ED">
          <w:rPr>
            <w:rFonts w:ascii="Times New Roman" w:eastAsia="Times New Roman" w:hAnsi="Times New Roman" w:cs="Times New Roman"/>
            <w:color w:val="000000"/>
            <w:sz w:val="20"/>
            <w:szCs w:val="20"/>
            <w:u w:val="none"/>
            <w:lang w:bidi="ar-SA"/>
          </w:rPr>
          <w:t>https://doi.org/10.1371/journal.pone.0165632</w:t>
        </w:r>
      </w:hyperlink>
    </w:p>
    <w:p w14:paraId="5C5489FA"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Pr>
          <w:rFonts w:ascii="Times New Roman" w:eastAsia="Times New Roman" w:hAnsi="Times New Roman" w:cs="Times New Roman"/>
          <w:sz w:val="20"/>
          <w:szCs w:val="24"/>
          <w:lang w:bidi="ar-SA"/>
        </w:rPr>
        <w:t xml:space="preserve">Haritha, S., Pathak, M., Sahoo, B. K., Kalita, H., Dutta, P., Ningthoujam, K., Kadam, V., &amp; Thakur, N. S. A. (2023). Pest complex and in vivo evaluation of the synergistic effect of compatible insecticides and </w:t>
      </w:r>
      <w:r>
        <w:rPr>
          <w:rFonts w:ascii="Times New Roman" w:eastAsia="Times New Roman" w:hAnsi="Times New Roman" w:cs="Times New Roman"/>
          <w:sz w:val="20"/>
          <w:szCs w:val="24"/>
          <w:lang w:bidi="ar-SA"/>
          <w:i/>
          <w:iCs/>
        </w:rPr>
        <w:t>Metarhizium anisopliae</w:t>
      </w:r>
      <w:r>
        <w:rPr>
          <w:rFonts w:ascii="Times New Roman" w:eastAsia="Times New Roman" w:hAnsi="Times New Roman" w:cs="Times New Roman"/>
          <w:sz w:val="20"/>
          <w:szCs w:val="24"/>
          <w:lang w:bidi="ar-SA"/>
        </w:rPr>
        <w:t xml:space="preserve"> for managing fall armyworm in maize. </w:t>
      </w:r>
      <w:r>
        <w:rPr>
          <w:rFonts w:ascii="Times New Roman" w:eastAsia="Times New Roman" w:hAnsi="Times New Roman" w:cs="Times New Roman"/>
          <w:sz w:val="20"/>
          <w:szCs w:val="24"/>
          <w:lang w:bidi="ar-SA"/>
          <w:i/>
          <w:iCs/>
        </w:rPr>
        <w:t>Indian Journal of Hill Farming, 36</w:t>
      </w:r>
      <w:r>
        <w:rPr>
          <w:rFonts w:ascii="Times New Roman" w:eastAsia="Times New Roman" w:hAnsi="Times New Roman" w:cs="Times New Roman"/>
          <w:sz w:val="20"/>
          <w:szCs w:val="24"/>
          <w:lang w:bidi="ar-SA"/>
        </w:rPr>
        <w:t xml:space="preserve">(Special Issue), 37–46. </w:t>
      </w:r>
      <w:hyperlink r:id="rId50">
        <w:r>
          <w:rPr>
            <w:rFonts w:ascii="Times New Roman" w:eastAsia="Times New Roman" w:hAnsi="Times New Roman" w:cs="Times New Roman"/>
            <w:color w:val="000000"/>
            <w:sz w:val="20"/>
            <w:szCs w:val="20"/>
            <w:u w:val="none"/>
            <w:lang w:bidi="ar-SA"/>
          </w:rPr>
          <w:t>https://doi.org/10.56678/iahf-spl36.2023.6</w:t>
        </w:r>
      </w:hyperlink>
    </w:p>
    <w:p w14:paraId="06DBA2B2"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Martin, P. B., Wiseman, B. R., &amp; Lynch, R. E. (1980). Action thresholds for fall armyworm on grain sorghum and coastal bermudagrass. </w:t>
      </w:r>
      <w:r w:rsidRPr="000F48ED">
        <w:rPr>
          <w:rFonts w:ascii="Times New Roman" w:eastAsia="Times New Roman" w:hAnsi="Times New Roman" w:cs="Times New Roman"/>
          <w:i/>
          <w:iCs/>
          <w:sz w:val="20"/>
          <w:szCs w:val="24"/>
          <w:lang w:bidi="ar-SA"/>
        </w:rPr>
        <w:t>The Florida Entomologist, 63</w:t>
      </w:r>
      <w:r w:rsidRPr="000F48ED">
        <w:rPr>
          <w:rFonts w:ascii="Times New Roman" w:eastAsia="Times New Roman" w:hAnsi="Times New Roman" w:cs="Times New Roman"/>
          <w:sz w:val="20"/>
          <w:szCs w:val="24"/>
          <w:lang w:bidi="ar-SA"/>
        </w:rPr>
        <w:t xml:space="preserve">(4), 375–405. </w:t>
      </w:r>
      <w:hyperlink r:id="rId21" w:history="1">
        <w:r w:rsidRPr="000F48ED">
          <w:rPr>
            <w:rFonts w:ascii="Times New Roman" w:eastAsia="Times New Roman" w:hAnsi="Times New Roman" w:cs="Times New Roman"/>
            <w:color w:val="000000"/>
            <w:sz w:val="20"/>
            <w:szCs w:val="20"/>
            <w:u w:val="none"/>
            <w:lang w:bidi="ar-SA"/>
          </w:rPr>
          <w:t>https://doi.org/10.2307/3494521</w:t>
        </w:r>
      </w:hyperlink>
    </w:p>
    <w:p w14:paraId="32FD3186"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Morrill, W. L., &amp; Greene, G. L. (1973). Distribution of fall armyworm larvae. II. Influence of biology and behavior of larvae on selection of feeding sites. </w:t>
      </w:r>
      <w:r w:rsidRPr="000F48ED">
        <w:rPr>
          <w:rFonts w:ascii="Times New Roman" w:eastAsia="Times New Roman" w:hAnsi="Times New Roman" w:cs="Times New Roman"/>
          <w:i/>
          <w:iCs/>
          <w:sz w:val="20"/>
          <w:szCs w:val="24"/>
          <w:lang w:bidi="ar-SA"/>
        </w:rPr>
        <w:t>Environmental Entomology, 2</w:t>
      </w:r>
      <w:r w:rsidRPr="000F48ED">
        <w:rPr>
          <w:rFonts w:ascii="Times New Roman" w:eastAsia="Times New Roman" w:hAnsi="Times New Roman" w:cs="Times New Roman"/>
          <w:sz w:val="20"/>
          <w:szCs w:val="24"/>
          <w:lang w:bidi="ar-SA"/>
        </w:rPr>
        <w:t xml:space="preserve">(3), 415–418. </w:t>
      </w:r>
      <w:hyperlink r:id="rId22" w:history="1">
        <w:r w:rsidRPr="000F48ED">
          <w:rPr>
            <w:rFonts w:ascii="Times New Roman" w:eastAsia="Times New Roman" w:hAnsi="Times New Roman" w:cs="Times New Roman"/>
            <w:color w:val="000000"/>
            <w:sz w:val="20"/>
            <w:szCs w:val="20"/>
            <w:u w:val="none"/>
            <w:lang w:bidi="ar-SA"/>
          </w:rPr>
          <w:t>https://doi.org/10.1093/ee/2.3.415</w:t>
        </w:r>
      </w:hyperlink>
    </w:p>
    <w:p w14:paraId="3661B7A0"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Murugan, N., Vairam, N., Bhavana, P., Santhoshraj, N., &amp; </w:t>
      </w:r>
      <w:proofErr w:type="spellStart"/>
      <w:r w:rsidRPr="000F48ED">
        <w:rPr>
          <w:rFonts w:ascii="Times New Roman" w:eastAsia="Times New Roman" w:hAnsi="Times New Roman" w:cs="Times New Roman"/>
          <w:sz w:val="20"/>
          <w:szCs w:val="24"/>
          <w:lang w:bidi="ar-SA"/>
        </w:rPr>
        <w:t>Bhuvaneshwaran</w:t>
      </w:r>
      <w:proofErr w:type="spellEnd"/>
      <w:r w:rsidRPr="000F48ED">
        <w:rPr>
          <w:rFonts w:ascii="Times New Roman" w:eastAsia="Times New Roman" w:hAnsi="Times New Roman" w:cs="Times New Roman"/>
          <w:sz w:val="20"/>
          <w:szCs w:val="24"/>
          <w:lang w:bidi="ar-SA"/>
        </w:rPr>
        <w:t>, S. (2026). Sustainable management of fall armyworm (</w:t>
      </w:r>
      <w:r w:rsidRPr="000F48ED">
        <w:rPr>
          <w:rFonts w:ascii="Times New Roman" w:eastAsia="Times New Roman" w:hAnsi="Times New Roman" w:cs="Times New Roman"/>
          <w:i/>
          <w:iCs/>
          <w:sz w:val="20"/>
          <w:szCs w:val="24"/>
          <w:lang w:bidi="ar-SA"/>
        </w:rPr>
        <w:t xml:space="preserve">Spodoptera </w:t>
      </w:r>
      <w:proofErr w:type="spellStart"/>
      <w:r w:rsidRPr="000F48ED">
        <w:rPr>
          <w:rFonts w:ascii="Times New Roman" w:eastAsia="Times New Roman" w:hAnsi="Times New Roman" w:cs="Times New Roman"/>
          <w:i/>
          <w:iCs/>
          <w:sz w:val="20"/>
          <w:szCs w:val="24"/>
          <w:lang w:bidi="ar-SA"/>
        </w:rPr>
        <w:t>frugiperda</w:t>
      </w:r>
      <w:proofErr w:type="spellEnd"/>
      <w:r w:rsidRPr="000F48ED">
        <w:rPr>
          <w:rFonts w:ascii="Times New Roman" w:eastAsia="Times New Roman" w:hAnsi="Times New Roman" w:cs="Times New Roman"/>
          <w:sz w:val="20"/>
          <w:szCs w:val="24"/>
          <w:lang w:bidi="ar-SA"/>
        </w:rPr>
        <w:t xml:space="preserve">) in maize crop: Integrating the ecological environment, biocontrol agents and modern technologies present in the environment. </w:t>
      </w:r>
      <w:r w:rsidRPr="000F48ED">
        <w:rPr>
          <w:rFonts w:ascii="Times New Roman" w:eastAsia="Times New Roman" w:hAnsi="Times New Roman" w:cs="Times New Roman"/>
          <w:i/>
          <w:iCs/>
          <w:sz w:val="20"/>
          <w:szCs w:val="24"/>
          <w:lang w:bidi="ar-SA"/>
        </w:rPr>
        <w:t>BIONATURE, 46</w:t>
      </w:r>
      <w:r w:rsidRPr="000F48ED">
        <w:rPr>
          <w:rFonts w:ascii="Times New Roman" w:eastAsia="Times New Roman" w:hAnsi="Times New Roman" w:cs="Times New Roman"/>
          <w:sz w:val="20"/>
          <w:szCs w:val="24"/>
          <w:lang w:bidi="ar-SA"/>
        </w:rPr>
        <w:t xml:space="preserve">(2), 17–26. </w:t>
      </w:r>
      <w:hyperlink r:id="rId23" w:history="1">
        <w:r w:rsidRPr="000F48ED">
          <w:rPr>
            <w:rFonts w:ascii="Times New Roman" w:eastAsia="Times New Roman" w:hAnsi="Times New Roman" w:cs="Times New Roman"/>
            <w:color w:val="000000"/>
            <w:sz w:val="20"/>
            <w:szCs w:val="20"/>
            <w:u w:val="none"/>
            <w:lang w:bidi="ar-SA"/>
          </w:rPr>
          <w:t>https://doi.org/10.56557/bn/2026/v46i22122</w:t>
        </w:r>
      </w:hyperlink>
    </w:p>
    <w:p w14:paraId="5DCE35B6"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Nascimento, A. R. B. do, Rodrigues, J. G., Kanno, R. H., Amaral, F. S. A. e, Malaquias, J. B., Silva-Brandão, K. L., </w:t>
      </w:r>
      <w:proofErr w:type="spellStart"/>
      <w:r w:rsidRPr="000F48ED">
        <w:rPr>
          <w:rFonts w:ascii="Times New Roman" w:eastAsia="Times New Roman" w:hAnsi="Times New Roman" w:cs="Times New Roman"/>
          <w:sz w:val="20"/>
          <w:szCs w:val="24"/>
          <w:lang w:bidi="ar-SA"/>
        </w:rPr>
        <w:t>Cônsoli</w:t>
      </w:r>
      <w:proofErr w:type="spellEnd"/>
      <w:r w:rsidRPr="000F48ED">
        <w:rPr>
          <w:rFonts w:ascii="Times New Roman" w:eastAsia="Times New Roman" w:hAnsi="Times New Roman" w:cs="Times New Roman"/>
          <w:sz w:val="20"/>
          <w:szCs w:val="24"/>
          <w:lang w:bidi="ar-SA"/>
        </w:rPr>
        <w:t xml:space="preserve">, F. L., &amp; Omoto, C. (2023). Susceptibility monitoring and comparative gene expression of susceptible and resistant strains of </w:t>
      </w:r>
      <w:r w:rsidRPr="000F48ED">
        <w:rPr>
          <w:rFonts w:ascii="Times New Roman" w:eastAsia="Times New Roman" w:hAnsi="Times New Roman" w:cs="Times New Roman"/>
          <w:i/>
          <w:iCs/>
          <w:sz w:val="20"/>
          <w:szCs w:val="24"/>
          <w:lang w:bidi="ar-SA"/>
        </w:rPr>
        <w:t xml:space="preserve">Spodoptera </w:t>
      </w:r>
      <w:proofErr w:type="spellStart"/>
      <w:r w:rsidRPr="000F48ED">
        <w:rPr>
          <w:rFonts w:ascii="Times New Roman" w:eastAsia="Times New Roman" w:hAnsi="Times New Roman" w:cs="Times New Roman"/>
          <w:i/>
          <w:iCs/>
          <w:sz w:val="20"/>
          <w:szCs w:val="24"/>
          <w:lang w:bidi="ar-SA"/>
        </w:rPr>
        <w:t>frugiperda</w:t>
      </w:r>
      <w:proofErr w:type="spellEnd"/>
      <w:r w:rsidRPr="000F48ED">
        <w:rPr>
          <w:rFonts w:ascii="Times New Roman" w:eastAsia="Times New Roman" w:hAnsi="Times New Roman" w:cs="Times New Roman"/>
          <w:sz w:val="20"/>
          <w:szCs w:val="24"/>
          <w:lang w:bidi="ar-SA"/>
        </w:rPr>
        <w:t xml:space="preserve"> to lambda-cyhalothrin and chlorpyrifos. </w:t>
      </w:r>
      <w:r w:rsidRPr="000F48ED">
        <w:rPr>
          <w:rFonts w:ascii="Times New Roman" w:eastAsia="Times New Roman" w:hAnsi="Times New Roman" w:cs="Times New Roman"/>
          <w:i/>
          <w:iCs/>
          <w:sz w:val="20"/>
          <w:szCs w:val="24"/>
          <w:lang w:bidi="ar-SA"/>
        </w:rPr>
        <w:t>Pest Management Science, 79</w:t>
      </w:r>
      <w:r w:rsidRPr="000F48ED">
        <w:rPr>
          <w:rFonts w:ascii="Times New Roman" w:eastAsia="Times New Roman" w:hAnsi="Times New Roman" w:cs="Times New Roman"/>
          <w:sz w:val="20"/>
          <w:szCs w:val="24"/>
          <w:lang w:bidi="ar-SA"/>
        </w:rPr>
        <w:t xml:space="preserve">(6), 2206–2219. </w:t>
      </w:r>
      <w:hyperlink r:id="rId24" w:history="1">
        <w:r w:rsidRPr="000F48ED">
          <w:rPr>
            <w:rFonts w:ascii="Times New Roman" w:eastAsia="Times New Roman" w:hAnsi="Times New Roman" w:cs="Times New Roman"/>
            <w:color w:val="000000"/>
            <w:sz w:val="20"/>
            <w:szCs w:val="20"/>
            <w:u w:val="none"/>
            <w:lang w:bidi="ar-SA"/>
          </w:rPr>
          <w:t>https://doi.org/10.1002/ps.7399</w:t>
        </w:r>
      </w:hyperlink>
    </w:p>
    <w:p w14:paraId="4AEF76FC"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Poul, R. M., Jayewar, N. E., &amp; </w:t>
      </w:r>
      <w:proofErr w:type="spellStart"/>
      <w:r w:rsidRPr="000F48ED">
        <w:rPr>
          <w:rFonts w:ascii="Times New Roman" w:eastAsia="Times New Roman" w:hAnsi="Times New Roman" w:cs="Times New Roman"/>
          <w:sz w:val="20"/>
          <w:szCs w:val="24"/>
          <w:lang w:bidi="ar-SA"/>
        </w:rPr>
        <w:t>Bhede</w:t>
      </w:r>
      <w:proofErr w:type="spellEnd"/>
      <w:r w:rsidRPr="000F48ED">
        <w:rPr>
          <w:rFonts w:ascii="Times New Roman" w:eastAsia="Times New Roman" w:hAnsi="Times New Roman" w:cs="Times New Roman"/>
          <w:sz w:val="20"/>
          <w:szCs w:val="24"/>
          <w:lang w:bidi="ar-SA"/>
        </w:rPr>
        <w:t xml:space="preserve">, B. V. (2020). Evaluation of novel insecticides against lepidopteran insect pests of sorghum, fall armyworm, </w:t>
      </w:r>
      <w:r w:rsidRPr="000F48ED">
        <w:rPr>
          <w:rFonts w:ascii="Times New Roman" w:eastAsia="Times New Roman" w:hAnsi="Times New Roman" w:cs="Times New Roman"/>
          <w:i/>
          <w:iCs/>
          <w:sz w:val="20"/>
          <w:szCs w:val="24"/>
          <w:lang w:bidi="ar-SA"/>
        </w:rPr>
        <w:t xml:space="preserve">Spodoptera </w:t>
      </w:r>
      <w:proofErr w:type="spellStart"/>
      <w:r w:rsidRPr="000F48ED">
        <w:rPr>
          <w:rFonts w:ascii="Times New Roman" w:eastAsia="Times New Roman" w:hAnsi="Times New Roman" w:cs="Times New Roman"/>
          <w:i/>
          <w:iCs/>
          <w:sz w:val="20"/>
          <w:szCs w:val="24"/>
          <w:lang w:bidi="ar-SA"/>
        </w:rPr>
        <w:t>frugiperda</w:t>
      </w:r>
      <w:proofErr w:type="spellEnd"/>
      <w:r w:rsidRPr="000F48ED">
        <w:rPr>
          <w:rFonts w:ascii="Times New Roman" w:eastAsia="Times New Roman" w:hAnsi="Times New Roman" w:cs="Times New Roman"/>
          <w:sz w:val="20"/>
          <w:szCs w:val="24"/>
          <w:lang w:bidi="ar-SA"/>
        </w:rPr>
        <w:t xml:space="preserve">, and </w:t>
      </w:r>
      <w:proofErr w:type="spellStart"/>
      <w:r w:rsidRPr="000F48ED">
        <w:rPr>
          <w:rFonts w:ascii="Times New Roman" w:eastAsia="Times New Roman" w:hAnsi="Times New Roman" w:cs="Times New Roman"/>
          <w:sz w:val="20"/>
          <w:szCs w:val="24"/>
          <w:lang w:bidi="ar-SA"/>
        </w:rPr>
        <w:t>earhead</w:t>
      </w:r>
      <w:proofErr w:type="spellEnd"/>
      <w:r w:rsidRPr="000F48ED">
        <w:rPr>
          <w:rFonts w:ascii="Times New Roman" w:eastAsia="Times New Roman" w:hAnsi="Times New Roman" w:cs="Times New Roman"/>
          <w:sz w:val="20"/>
          <w:szCs w:val="24"/>
          <w:lang w:bidi="ar-SA"/>
        </w:rPr>
        <w:t xml:space="preserve"> </w:t>
      </w:r>
      <w:r w:rsidRPr="000F48ED">
        <w:rPr>
          <w:rFonts w:ascii="Times New Roman" w:eastAsia="Times New Roman" w:hAnsi="Times New Roman" w:cs="Times New Roman"/>
          <w:sz w:val="20"/>
          <w:szCs w:val="24"/>
          <w:lang w:bidi="ar-SA"/>
        </w:rPr>
        <w:lastRenderedPageBreak/>
        <w:t xml:space="preserve">worm, </w:t>
      </w:r>
      <w:r w:rsidRPr="000F48ED">
        <w:rPr>
          <w:rFonts w:ascii="Times New Roman" w:eastAsia="Times New Roman" w:hAnsi="Times New Roman" w:cs="Times New Roman"/>
          <w:i/>
          <w:iCs/>
          <w:sz w:val="20"/>
          <w:szCs w:val="24"/>
          <w:lang w:bidi="ar-SA"/>
        </w:rPr>
        <w:t>Helicoverpa armigera</w:t>
      </w:r>
      <w:r w:rsidRPr="000F48ED">
        <w:rPr>
          <w:rFonts w:ascii="Times New Roman" w:eastAsia="Times New Roman" w:hAnsi="Times New Roman" w:cs="Times New Roman"/>
          <w:sz w:val="20"/>
          <w:szCs w:val="24"/>
          <w:lang w:bidi="ar-SA"/>
        </w:rPr>
        <w:t xml:space="preserve">. </w:t>
      </w:r>
      <w:r w:rsidRPr="000F48ED">
        <w:rPr>
          <w:rFonts w:ascii="Times New Roman" w:eastAsia="Times New Roman" w:hAnsi="Times New Roman" w:cs="Times New Roman"/>
          <w:i/>
          <w:iCs/>
          <w:sz w:val="20"/>
          <w:szCs w:val="24"/>
          <w:lang w:bidi="ar-SA"/>
        </w:rPr>
        <w:t>Journal of Entomology and Zoology Studies, 8</w:t>
      </w:r>
      <w:r w:rsidRPr="000F48ED">
        <w:rPr>
          <w:rFonts w:ascii="Times New Roman" w:eastAsia="Times New Roman" w:hAnsi="Times New Roman" w:cs="Times New Roman"/>
          <w:sz w:val="20"/>
          <w:szCs w:val="24"/>
          <w:lang w:bidi="ar-SA"/>
        </w:rPr>
        <w:t xml:space="preserve">(6), 1826–1830. </w:t>
      </w:r>
      <w:hyperlink r:id="rId25" w:history="1">
        <w:r w:rsidRPr="000F48ED">
          <w:rPr>
            <w:rFonts w:ascii="Times New Roman" w:eastAsia="Times New Roman" w:hAnsi="Times New Roman" w:cs="Times New Roman"/>
            <w:color w:val="000000"/>
            <w:sz w:val="20"/>
            <w:szCs w:val="20"/>
            <w:u w:val="none"/>
            <w:lang w:bidi="ar-SA"/>
          </w:rPr>
          <w:t>https://www.entomoljournal.com/archives/?ArticleId=8090&amp;issue=6&amp;vol=8&amp;year=2020</w:t>
        </w:r>
      </w:hyperlink>
    </w:p>
    <w:p w14:paraId="5FB482A7"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Prasanna, B. M., Huesing, J. E., Eddy, R., &amp; Peschke, V. M. (Eds.). (2018). </w:t>
      </w:r>
      <w:r w:rsidRPr="000F48ED">
        <w:rPr>
          <w:rFonts w:ascii="Times New Roman" w:eastAsia="Times New Roman" w:hAnsi="Times New Roman" w:cs="Times New Roman"/>
          <w:i/>
          <w:iCs/>
          <w:sz w:val="20"/>
          <w:szCs w:val="24"/>
          <w:lang w:bidi="ar-SA"/>
        </w:rPr>
        <w:t>Fall armyworm in Africa: A guide for integrated pest management</w:t>
      </w:r>
      <w:r w:rsidRPr="000F48ED">
        <w:rPr>
          <w:rFonts w:ascii="Times New Roman" w:eastAsia="Times New Roman" w:hAnsi="Times New Roman" w:cs="Times New Roman"/>
          <w:sz w:val="20"/>
          <w:szCs w:val="24"/>
          <w:lang w:bidi="ar-SA"/>
        </w:rPr>
        <w:t xml:space="preserve">. CIMMYT. </w:t>
      </w:r>
      <w:hyperlink r:id="rId26" w:history="1">
        <w:r w:rsidRPr="000F48ED">
          <w:rPr>
            <w:rFonts w:ascii="Times New Roman" w:eastAsia="Times New Roman" w:hAnsi="Times New Roman" w:cs="Times New Roman"/>
            <w:color w:val="000000"/>
            <w:sz w:val="20"/>
            <w:szCs w:val="20"/>
            <w:u w:val="none"/>
            <w:lang w:bidi="ar-SA"/>
          </w:rPr>
          <w:t>https://hdl.handle.net/10883/19204</w:t>
        </w:r>
      </w:hyperlink>
    </w:p>
    <w:p w14:paraId="2B052A18"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Roberts, D. W., &amp; St. Leger, R. J. (2004). </w:t>
      </w:r>
      <w:r w:rsidRPr="000F48ED">
        <w:rPr>
          <w:rFonts w:ascii="Times New Roman" w:eastAsia="Times New Roman" w:hAnsi="Times New Roman" w:cs="Times New Roman"/>
          <w:i/>
          <w:iCs/>
          <w:sz w:val="20"/>
          <w:szCs w:val="24"/>
          <w:lang w:bidi="ar-SA"/>
        </w:rPr>
        <w:t>Metarhizium</w:t>
      </w:r>
      <w:r w:rsidRPr="000F48ED">
        <w:rPr>
          <w:rFonts w:ascii="Times New Roman" w:eastAsia="Times New Roman" w:hAnsi="Times New Roman" w:cs="Times New Roman"/>
          <w:sz w:val="20"/>
          <w:szCs w:val="24"/>
          <w:lang w:bidi="ar-SA"/>
        </w:rPr>
        <w:t xml:space="preserve"> spp., cosmopolitan insect-pathogenic fungi: Mycological aspects. </w:t>
      </w:r>
      <w:r w:rsidRPr="000F48ED">
        <w:rPr>
          <w:rFonts w:ascii="Times New Roman" w:eastAsia="Times New Roman" w:hAnsi="Times New Roman" w:cs="Times New Roman"/>
          <w:i/>
          <w:iCs/>
          <w:sz w:val="20"/>
          <w:szCs w:val="24"/>
          <w:lang w:bidi="ar-SA"/>
        </w:rPr>
        <w:t>Advances in Applied Microbiology, 54</w:t>
      </w:r>
      <w:r w:rsidRPr="000F48ED">
        <w:rPr>
          <w:rFonts w:ascii="Times New Roman" w:eastAsia="Times New Roman" w:hAnsi="Times New Roman" w:cs="Times New Roman"/>
          <w:sz w:val="20"/>
          <w:szCs w:val="24"/>
          <w:lang w:bidi="ar-SA"/>
        </w:rPr>
        <w:t xml:space="preserve">, 1–70. </w:t>
      </w:r>
      <w:hyperlink r:id="rId27" w:history="1">
        <w:r w:rsidRPr="000F48ED">
          <w:rPr>
            <w:rFonts w:ascii="Times New Roman" w:eastAsia="Times New Roman" w:hAnsi="Times New Roman" w:cs="Times New Roman"/>
            <w:color w:val="000000"/>
            <w:sz w:val="20"/>
            <w:szCs w:val="20"/>
            <w:u w:val="none"/>
            <w:lang w:bidi="ar-SA"/>
          </w:rPr>
          <w:t>https://doi.org/10.1016/S0065-2164(04)54001-7</w:t>
        </w:r>
      </w:hyperlink>
    </w:p>
    <w:p w14:paraId="002CA401"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Shahi, S., Chauhan, S., Kumar, R., &amp; Singh, J. K. (2024). Efficacy of newer insecticides against fall armyworm, </w:t>
      </w:r>
      <w:r w:rsidRPr="000F48ED">
        <w:rPr>
          <w:rFonts w:ascii="Times New Roman" w:eastAsia="Times New Roman" w:hAnsi="Times New Roman" w:cs="Times New Roman"/>
          <w:i/>
          <w:iCs/>
          <w:sz w:val="20"/>
          <w:szCs w:val="24"/>
          <w:lang w:bidi="ar-SA"/>
        </w:rPr>
        <w:t xml:space="preserve">Spodoptera </w:t>
      </w:r>
      <w:proofErr w:type="spellStart"/>
      <w:r w:rsidRPr="000F48ED">
        <w:rPr>
          <w:rFonts w:ascii="Times New Roman" w:eastAsia="Times New Roman" w:hAnsi="Times New Roman" w:cs="Times New Roman"/>
          <w:i/>
          <w:iCs/>
          <w:sz w:val="20"/>
          <w:szCs w:val="24"/>
          <w:lang w:bidi="ar-SA"/>
        </w:rPr>
        <w:t>frugiperda</w:t>
      </w:r>
      <w:proofErr w:type="spellEnd"/>
      <w:r w:rsidRPr="000F48ED">
        <w:rPr>
          <w:rFonts w:ascii="Times New Roman" w:eastAsia="Times New Roman" w:hAnsi="Times New Roman" w:cs="Times New Roman"/>
          <w:sz w:val="20"/>
          <w:szCs w:val="24"/>
          <w:lang w:bidi="ar-SA"/>
        </w:rPr>
        <w:t xml:space="preserve">, on maize. </w:t>
      </w:r>
      <w:r w:rsidRPr="000F48ED">
        <w:rPr>
          <w:rFonts w:ascii="Times New Roman" w:eastAsia="Times New Roman" w:hAnsi="Times New Roman" w:cs="Times New Roman"/>
          <w:i/>
          <w:iCs/>
          <w:sz w:val="20"/>
          <w:szCs w:val="24"/>
          <w:lang w:bidi="ar-SA"/>
        </w:rPr>
        <w:t>Uttar Pradesh Journal of Zoology, 45</w:t>
      </w:r>
      <w:r w:rsidRPr="000F48ED">
        <w:rPr>
          <w:rFonts w:ascii="Times New Roman" w:eastAsia="Times New Roman" w:hAnsi="Times New Roman" w:cs="Times New Roman"/>
          <w:sz w:val="20"/>
          <w:szCs w:val="24"/>
          <w:lang w:bidi="ar-SA"/>
        </w:rPr>
        <w:t xml:space="preserve">(18), 514–524. </w:t>
      </w:r>
      <w:hyperlink r:id="rId28" w:history="1">
        <w:r w:rsidRPr="000F48ED">
          <w:rPr>
            <w:rFonts w:ascii="Times New Roman" w:eastAsia="Times New Roman" w:hAnsi="Times New Roman" w:cs="Times New Roman"/>
            <w:color w:val="000000"/>
            <w:sz w:val="20"/>
            <w:szCs w:val="20"/>
            <w:u w:val="none"/>
            <w:lang w:bidi="ar-SA"/>
          </w:rPr>
          <w:t>https://doi.org/10.56557/UPJOZ/2024/v45i184468</w:t>
        </w:r>
      </w:hyperlink>
    </w:p>
    <w:p w14:paraId="4B9C6034"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proofErr w:type="spellStart"/>
      <w:r w:rsidRPr="000F48ED">
        <w:rPr>
          <w:rFonts w:ascii="Times New Roman" w:eastAsia="Times New Roman" w:hAnsi="Times New Roman" w:cs="Times New Roman"/>
          <w:sz w:val="20"/>
          <w:szCs w:val="24"/>
          <w:lang w:bidi="ar-SA"/>
        </w:rPr>
        <w:t>Sharanabasappa</w:t>
      </w:r>
      <w:proofErr w:type="spellEnd"/>
      <w:r w:rsidRPr="000F48ED">
        <w:rPr>
          <w:rFonts w:ascii="Times New Roman" w:eastAsia="Times New Roman" w:hAnsi="Times New Roman" w:cs="Times New Roman"/>
          <w:sz w:val="20"/>
          <w:szCs w:val="24"/>
          <w:lang w:bidi="ar-SA"/>
        </w:rPr>
        <w:t xml:space="preserve">, </w:t>
      </w:r>
      <w:proofErr w:type="spellStart"/>
      <w:r w:rsidRPr="000F48ED">
        <w:rPr>
          <w:rFonts w:ascii="Times New Roman" w:eastAsia="Times New Roman" w:hAnsi="Times New Roman" w:cs="Times New Roman"/>
          <w:sz w:val="20"/>
          <w:szCs w:val="24"/>
          <w:lang w:bidi="ar-SA"/>
        </w:rPr>
        <w:t>Kalleshwaraswamy</w:t>
      </w:r>
      <w:proofErr w:type="spellEnd"/>
      <w:r w:rsidRPr="000F48ED">
        <w:rPr>
          <w:rFonts w:ascii="Times New Roman" w:eastAsia="Times New Roman" w:hAnsi="Times New Roman" w:cs="Times New Roman"/>
          <w:sz w:val="20"/>
          <w:szCs w:val="24"/>
          <w:lang w:bidi="ar-SA"/>
        </w:rPr>
        <w:t xml:space="preserve">, C. M., Asokan, R., Mahadeva Swamy, H. M., Maruthi, M. S., Pavithra, H. B., Hegde, K., Nave, S., Prabhu, S. T., &amp; Goergen, G. (2018). First report of the fall armyworm, </w:t>
      </w:r>
      <w:r w:rsidRPr="000F48ED">
        <w:rPr>
          <w:rFonts w:ascii="Times New Roman" w:eastAsia="Times New Roman" w:hAnsi="Times New Roman" w:cs="Times New Roman"/>
          <w:i/>
          <w:iCs/>
          <w:sz w:val="20"/>
          <w:szCs w:val="24"/>
          <w:lang w:bidi="ar-SA"/>
        </w:rPr>
        <w:t xml:space="preserve">Spodoptera </w:t>
      </w:r>
      <w:proofErr w:type="spellStart"/>
      <w:r w:rsidRPr="000F48ED">
        <w:rPr>
          <w:rFonts w:ascii="Times New Roman" w:eastAsia="Times New Roman" w:hAnsi="Times New Roman" w:cs="Times New Roman"/>
          <w:i/>
          <w:iCs/>
          <w:sz w:val="20"/>
          <w:szCs w:val="24"/>
          <w:lang w:bidi="ar-SA"/>
        </w:rPr>
        <w:t>frugiperda</w:t>
      </w:r>
      <w:proofErr w:type="spellEnd"/>
      <w:r w:rsidRPr="000F48ED">
        <w:rPr>
          <w:rFonts w:ascii="Times New Roman" w:eastAsia="Times New Roman" w:hAnsi="Times New Roman" w:cs="Times New Roman"/>
          <w:sz w:val="20"/>
          <w:szCs w:val="24"/>
          <w:lang w:bidi="ar-SA"/>
        </w:rPr>
        <w:t xml:space="preserve"> (J. E. Smith) (Lepidoptera: </w:t>
      </w:r>
      <w:proofErr w:type="spellStart"/>
      <w:r w:rsidRPr="000F48ED">
        <w:rPr>
          <w:rFonts w:ascii="Times New Roman" w:eastAsia="Times New Roman" w:hAnsi="Times New Roman" w:cs="Times New Roman"/>
          <w:sz w:val="20"/>
          <w:szCs w:val="24"/>
          <w:lang w:bidi="ar-SA"/>
        </w:rPr>
        <w:t>Noctuidae</w:t>
      </w:r>
      <w:proofErr w:type="spellEnd"/>
      <w:r w:rsidRPr="000F48ED">
        <w:rPr>
          <w:rFonts w:ascii="Times New Roman" w:eastAsia="Times New Roman" w:hAnsi="Times New Roman" w:cs="Times New Roman"/>
          <w:sz w:val="20"/>
          <w:szCs w:val="24"/>
          <w:lang w:bidi="ar-SA"/>
        </w:rPr>
        <w:t xml:space="preserve">), an alien invasive pest on maize in India. </w:t>
      </w:r>
      <w:r w:rsidRPr="000F48ED">
        <w:rPr>
          <w:rFonts w:ascii="Times New Roman" w:eastAsia="Times New Roman" w:hAnsi="Times New Roman" w:cs="Times New Roman"/>
          <w:i/>
          <w:iCs/>
          <w:sz w:val="20"/>
          <w:szCs w:val="24"/>
          <w:lang w:bidi="ar-SA"/>
        </w:rPr>
        <w:t>Pest Management in Horticultural Ecosystems, 24</w:t>
      </w:r>
      <w:r w:rsidRPr="000F48ED">
        <w:rPr>
          <w:rFonts w:ascii="Times New Roman" w:eastAsia="Times New Roman" w:hAnsi="Times New Roman" w:cs="Times New Roman"/>
          <w:sz w:val="20"/>
          <w:szCs w:val="24"/>
          <w:lang w:bidi="ar-SA"/>
        </w:rPr>
        <w:t xml:space="preserve">(1), 23–29. </w:t>
      </w:r>
      <w:hyperlink r:id="rId29" w:history="1">
        <w:r w:rsidRPr="000F48ED">
          <w:rPr>
            <w:rFonts w:ascii="Times New Roman" w:eastAsia="Times New Roman" w:hAnsi="Times New Roman" w:cs="Times New Roman"/>
            <w:color w:val="000000"/>
            <w:sz w:val="20"/>
            <w:szCs w:val="20"/>
            <w:u w:val="none"/>
            <w:lang w:bidi="ar-SA"/>
          </w:rPr>
          <w:t>https://pmhe.in/index.php/pmhe/article/view/427</w:t>
        </w:r>
      </w:hyperlink>
    </w:p>
    <w:p w14:paraId="49237A51"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Sharma, S., Thapa, R. B., Pokhrel, S., Neupane, S., Tiwari, S., &amp; Adhikari, C. (2023). Evaluation on the efficacy of synthetic insecticides for the management of fall armyworm, </w:t>
      </w:r>
      <w:r w:rsidRPr="000F48ED">
        <w:rPr>
          <w:rFonts w:ascii="Times New Roman" w:eastAsia="Times New Roman" w:hAnsi="Times New Roman" w:cs="Times New Roman"/>
          <w:i/>
          <w:iCs/>
          <w:sz w:val="20"/>
          <w:szCs w:val="24"/>
          <w:lang w:bidi="ar-SA"/>
        </w:rPr>
        <w:t xml:space="preserve">Spodoptera </w:t>
      </w:r>
      <w:proofErr w:type="spellStart"/>
      <w:r w:rsidRPr="000F48ED">
        <w:rPr>
          <w:rFonts w:ascii="Times New Roman" w:eastAsia="Times New Roman" w:hAnsi="Times New Roman" w:cs="Times New Roman"/>
          <w:i/>
          <w:iCs/>
          <w:sz w:val="20"/>
          <w:szCs w:val="24"/>
          <w:lang w:bidi="ar-SA"/>
        </w:rPr>
        <w:t>frugiperda</w:t>
      </w:r>
      <w:proofErr w:type="spellEnd"/>
      <w:r w:rsidRPr="000F48ED">
        <w:rPr>
          <w:rFonts w:ascii="Times New Roman" w:eastAsia="Times New Roman" w:hAnsi="Times New Roman" w:cs="Times New Roman"/>
          <w:sz w:val="20"/>
          <w:szCs w:val="24"/>
          <w:lang w:bidi="ar-SA"/>
        </w:rPr>
        <w:t xml:space="preserve"> (J. E. Smith) (Lepidoptera: </w:t>
      </w:r>
      <w:proofErr w:type="spellStart"/>
      <w:r w:rsidRPr="000F48ED">
        <w:rPr>
          <w:rFonts w:ascii="Times New Roman" w:eastAsia="Times New Roman" w:hAnsi="Times New Roman" w:cs="Times New Roman"/>
          <w:sz w:val="20"/>
          <w:szCs w:val="24"/>
          <w:lang w:bidi="ar-SA"/>
        </w:rPr>
        <w:t>Noctuidae</w:t>
      </w:r>
      <w:proofErr w:type="spellEnd"/>
      <w:r w:rsidRPr="000F48ED">
        <w:rPr>
          <w:rFonts w:ascii="Times New Roman" w:eastAsia="Times New Roman" w:hAnsi="Times New Roman" w:cs="Times New Roman"/>
          <w:sz w:val="20"/>
          <w:szCs w:val="24"/>
          <w:lang w:bidi="ar-SA"/>
        </w:rPr>
        <w:t xml:space="preserve">), in maize. </w:t>
      </w:r>
      <w:r w:rsidRPr="000F48ED">
        <w:rPr>
          <w:rFonts w:ascii="Times New Roman" w:eastAsia="Times New Roman" w:hAnsi="Times New Roman" w:cs="Times New Roman"/>
          <w:i/>
          <w:iCs/>
          <w:sz w:val="20"/>
          <w:szCs w:val="24"/>
          <w:lang w:bidi="ar-SA"/>
        </w:rPr>
        <w:t>Journal of the Plant Protection Society, 8</w:t>
      </w:r>
      <w:r w:rsidRPr="000F48ED">
        <w:rPr>
          <w:rFonts w:ascii="Times New Roman" w:eastAsia="Times New Roman" w:hAnsi="Times New Roman" w:cs="Times New Roman"/>
          <w:sz w:val="20"/>
          <w:szCs w:val="24"/>
          <w:lang w:bidi="ar-SA"/>
        </w:rPr>
        <w:t xml:space="preserve">(1), 14–21. </w:t>
      </w:r>
      <w:hyperlink r:id="rId30" w:history="1">
        <w:r w:rsidRPr="000F48ED">
          <w:rPr>
            <w:rFonts w:ascii="Times New Roman" w:eastAsia="Times New Roman" w:hAnsi="Times New Roman" w:cs="Times New Roman"/>
            <w:color w:val="000000"/>
            <w:sz w:val="20"/>
            <w:szCs w:val="20"/>
            <w:u w:val="none"/>
            <w:lang w:bidi="ar-SA"/>
          </w:rPr>
          <w:t>https://doi.org/10.3126/jpps.v8i1.56444</w:t>
        </w:r>
      </w:hyperlink>
    </w:p>
    <w:p w14:paraId="71184BF7"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proofErr w:type="spellStart"/>
      <w:r w:rsidRPr="000F48ED">
        <w:rPr>
          <w:rFonts w:ascii="Times New Roman" w:eastAsia="Times New Roman" w:hAnsi="Times New Roman" w:cs="Times New Roman"/>
          <w:sz w:val="20"/>
          <w:szCs w:val="24"/>
          <w:lang w:bidi="ar-SA"/>
        </w:rPr>
        <w:t>Shivakumara</w:t>
      </w:r>
      <w:proofErr w:type="spellEnd"/>
      <w:r w:rsidRPr="000F48ED">
        <w:rPr>
          <w:rFonts w:ascii="Times New Roman" w:eastAsia="Times New Roman" w:hAnsi="Times New Roman" w:cs="Times New Roman"/>
          <w:sz w:val="20"/>
          <w:szCs w:val="24"/>
          <w:lang w:bidi="ar-SA"/>
        </w:rPr>
        <w:t xml:space="preserve">, M. N. (2021). </w:t>
      </w:r>
      <w:r w:rsidRPr="000F48ED">
        <w:rPr>
          <w:rFonts w:ascii="Times New Roman" w:eastAsia="Times New Roman" w:hAnsi="Times New Roman" w:cs="Times New Roman"/>
          <w:i/>
          <w:iCs/>
          <w:sz w:val="20"/>
          <w:szCs w:val="24"/>
          <w:lang w:bidi="ar-SA"/>
        </w:rPr>
        <w:t xml:space="preserve">Population dynamics and management of fall armyworm, Spodoptera </w:t>
      </w:r>
      <w:proofErr w:type="spellStart"/>
      <w:r w:rsidRPr="000F48ED">
        <w:rPr>
          <w:rFonts w:ascii="Times New Roman" w:eastAsia="Times New Roman" w:hAnsi="Times New Roman" w:cs="Times New Roman"/>
          <w:i/>
          <w:iCs/>
          <w:sz w:val="20"/>
          <w:szCs w:val="24"/>
          <w:lang w:bidi="ar-SA"/>
        </w:rPr>
        <w:t>frugiperda</w:t>
      </w:r>
      <w:proofErr w:type="spellEnd"/>
      <w:r w:rsidRPr="000F48ED">
        <w:rPr>
          <w:rFonts w:ascii="Times New Roman" w:eastAsia="Times New Roman" w:hAnsi="Times New Roman" w:cs="Times New Roman"/>
          <w:i/>
          <w:iCs/>
          <w:sz w:val="20"/>
          <w:szCs w:val="24"/>
          <w:lang w:bidi="ar-SA"/>
        </w:rPr>
        <w:t xml:space="preserve"> (J. E. Smith), on rabi maize</w:t>
      </w:r>
      <w:r w:rsidRPr="000F48ED">
        <w:rPr>
          <w:rFonts w:ascii="Times New Roman" w:eastAsia="Times New Roman" w:hAnsi="Times New Roman" w:cs="Times New Roman"/>
          <w:sz w:val="20"/>
          <w:szCs w:val="24"/>
          <w:lang w:bidi="ar-SA"/>
        </w:rPr>
        <w:t xml:space="preserve"> [Master’s thesis, Dr. Rajendra Prasad Central Agricultural University]. </w:t>
      </w:r>
      <w:hyperlink r:id="rId31" w:history="1">
        <w:r w:rsidRPr="000F48ED">
          <w:rPr>
            <w:rFonts w:ascii="Times New Roman" w:eastAsia="Times New Roman" w:hAnsi="Times New Roman" w:cs="Times New Roman"/>
            <w:color w:val="000000"/>
            <w:sz w:val="20"/>
            <w:szCs w:val="20"/>
            <w:u w:val="none"/>
            <w:lang w:bidi="ar-SA"/>
          </w:rPr>
          <w:t>https://rpcau.ac.in/</w:t>
        </w:r>
      </w:hyperlink>
    </w:p>
    <w:p w14:paraId="4C273B11"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proofErr w:type="spellStart"/>
      <w:r w:rsidRPr="000F48ED">
        <w:rPr>
          <w:rFonts w:ascii="Times New Roman" w:eastAsia="Times New Roman" w:hAnsi="Times New Roman" w:cs="Times New Roman"/>
          <w:sz w:val="20"/>
          <w:szCs w:val="24"/>
          <w:lang w:bidi="ar-SA"/>
        </w:rPr>
        <w:t>Sisodiya</w:t>
      </w:r>
      <w:proofErr w:type="spellEnd"/>
      <w:r w:rsidRPr="000F48ED">
        <w:rPr>
          <w:rFonts w:ascii="Times New Roman" w:eastAsia="Times New Roman" w:hAnsi="Times New Roman" w:cs="Times New Roman"/>
          <w:sz w:val="20"/>
          <w:szCs w:val="24"/>
          <w:lang w:bidi="ar-SA"/>
        </w:rPr>
        <w:t xml:space="preserve">, D. B., Raghunandan, B. L., Bhatt, N. A., Verma, H. S., </w:t>
      </w:r>
      <w:proofErr w:type="spellStart"/>
      <w:r w:rsidRPr="000F48ED">
        <w:rPr>
          <w:rFonts w:ascii="Times New Roman" w:eastAsia="Times New Roman" w:hAnsi="Times New Roman" w:cs="Times New Roman"/>
          <w:sz w:val="20"/>
          <w:szCs w:val="24"/>
          <w:lang w:bidi="ar-SA"/>
        </w:rPr>
        <w:t>Shewale</w:t>
      </w:r>
      <w:proofErr w:type="spellEnd"/>
      <w:r w:rsidRPr="000F48ED">
        <w:rPr>
          <w:rFonts w:ascii="Times New Roman" w:eastAsia="Times New Roman" w:hAnsi="Times New Roman" w:cs="Times New Roman"/>
          <w:sz w:val="20"/>
          <w:szCs w:val="24"/>
          <w:lang w:bidi="ar-SA"/>
        </w:rPr>
        <w:t xml:space="preserve">, C. P., </w:t>
      </w:r>
      <w:proofErr w:type="spellStart"/>
      <w:r w:rsidRPr="000F48ED">
        <w:rPr>
          <w:rFonts w:ascii="Times New Roman" w:eastAsia="Times New Roman" w:hAnsi="Times New Roman" w:cs="Times New Roman"/>
          <w:sz w:val="20"/>
          <w:szCs w:val="24"/>
          <w:lang w:bidi="ar-SA"/>
        </w:rPr>
        <w:t>Timbadiya</w:t>
      </w:r>
      <w:proofErr w:type="spellEnd"/>
      <w:r w:rsidRPr="000F48ED">
        <w:rPr>
          <w:rFonts w:ascii="Times New Roman" w:eastAsia="Times New Roman" w:hAnsi="Times New Roman" w:cs="Times New Roman"/>
          <w:sz w:val="20"/>
          <w:szCs w:val="24"/>
          <w:lang w:bidi="ar-SA"/>
        </w:rPr>
        <w:t xml:space="preserve">, B. G., &amp; Borad, P. K. (2018). The fall armyworm, </w:t>
      </w:r>
      <w:r w:rsidRPr="000F48ED">
        <w:rPr>
          <w:rFonts w:ascii="Times New Roman" w:eastAsia="Times New Roman" w:hAnsi="Times New Roman" w:cs="Times New Roman"/>
          <w:i/>
          <w:iCs/>
          <w:sz w:val="20"/>
          <w:szCs w:val="24"/>
          <w:lang w:bidi="ar-SA"/>
        </w:rPr>
        <w:t xml:space="preserve">Spodoptera </w:t>
      </w:r>
      <w:proofErr w:type="spellStart"/>
      <w:r w:rsidRPr="000F48ED">
        <w:rPr>
          <w:rFonts w:ascii="Times New Roman" w:eastAsia="Times New Roman" w:hAnsi="Times New Roman" w:cs="Times New Roman"/>
          <w:i/>
          <w:iCs/>
          <w:sz w:val="20"/>
          <w:szCs w:val="24"/>
          <w:lang w:bidi="ar-SA"/>
        </w:rPr>
        <w:t>frugiperda</w:t>
      </w:r>
      <w:proofErr w:type="spellEnd"/>
      <w:r w:rsidRPr="000F48ED">
        <w:rPr>
          <w:rFonts w:ascii="Times New Roman" w:eastAsia="Times New Roman" w:hAnsi="Times New Roman" w:cs="Times New Roman"/>
          <w:sz w:val="20"/>
          <w:szCs w:val="24"/>
          <w:lang w:bidi="ar-SA"/>
        </w:rPr>
        <w:t xml:space="preserve"> (J. E. Smith) (Lepidoptera: </w:t>
      </w:r>
      <w:proofErr w:type="spellStart"/>
      <w:r w:rsidRPr="000F48ED">
        <w:rPr>
          <w:rFonts w:ascii="Times New Roman" w:eastAsia="Times New Roman" w:hAnsi="Times New Roman" w:cs="Times New Roman"/>
          <w:sz w:val="20"/>
          <w:szCs w:val="24"/>
          <w:lang w:bidi="ar-SA"/>
        </w:rPr>
        <w:t>Noctuidae</w:t>
      </w:r>
      <w:proofErr w:type="spellEnd"/>
      <w:r w:rsidRPr="000F48ED">
        <w:rPr>
          <w:rFonts w:ascii="Times New Roman" w:eastAsia="Times New Roman" w:hAnsi="Times New Roman" w:cs="Times New Roman"/>
          <w:sz w:val="20"/>
          <w:szCs w:val="24"/>
          <w:lang w:bidi="ar-SA"/>
        </w:rPr>
        <w:t xml:space="preserve">): First report of a new invasive pest in maize fields of Gujarat, India. </w:t>
      </w:r>
      <w:r w:rsidRPr="000F48ED">
        <w:rPr>
          <w:rFonts w:ascii="Times New Roman" w:eastAsia="Times New Roman" w:hAnsi="Times New Roman" w:cs="Times New Roman"/>
          <w:i/>
          <w:iCs/>
          <w:sz w:val="20"/>
          <w:szCs w:val="24"/>
          <w:lang w:bidi="ar-SA"/>
        </w:rPr>
        <w:t>Journal of Entomology and Zoology Studies, 6</w:t>
      </w:r>
      <w:r w:rsidRPr="000F48ED">
        <w:rPr>
          <w:rFonts w:ascii="Times New Roman" w:eastAsia="Times New Roman" w:hAnsi="Times New Roman" w:cs="Times New Roman"/>
          <w:sz w:val="20"/>
          <w:szCs w:val="24"/>
          <w:lang w:bidi="ar-SA"/>
        </w:rPr>
        <w:t xml:space="preserve">(5), 2089–2091. </w:t>
      </w:r>
      <w:hyperlink r:id="rId32" w:history="1">
        <w:r w:rsidRPr="000F48ED">
          <w:rPr>
            <w:rFonts w:ascii="Times New Roman" w:eastAsia="Times New Roman" w:hAnsi="Times New Roman" w:cs="Times New Roman"/>
            <w:color w:val="000000"/>
            <w:sz w:val="20"/>
            <w:szCs w:val="20"/>
            <w:u w:val="none"/>
            <w:lang w:bidi="ar-SA"/>
          </w:rPr>
          <w:t>https://www.entomoljournal.com/archives/?ArticleId=4340&amp;issue=5&amp;vol=6&amp;year=2018</w:t>
        </w:r>
      </w:hyperlink>
    </w:p>
    <w:p w14:paraId="1811CA3A"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Srinivasan, T., Shanmugam, P. S., Baskaran, V., Kavitha, Z., Yasodha, P., Ravi, M., Sathiah, N., Rabindra, R. J., Krishnamoorthy, S. V., Muthukrishnan, N., Vinothkumar, B., Suganthy, A., Balakrishnan, N., </w:t>
      </w:r>
      <w:proofErr w:type="spellStart"/>
      <w:r w:rsidRPr="000F48ED">
        <w:rPr>
          <w:rFonts w:ascii="Times New Roman" w:eastAsia="Times New Roman" w:hAnsi="Times New Roman" w:cs="Times New Roman"/>
          <w:sz w:val="20"/>
          <w:szCs w:val="24"/>
          <w:lang w:bidi="ar-SA"/>
        </w:rPr>
        <w:t>Backiyaraj</w:t>
      </w:r>
      <w:proofErr w:type="spellEnd"/>
      <w:r w:rsidRPr="000F48ED">
        <w:rPr>
          <w:rFonts w:ascii="Times New Roman" w:eastAsia="Times New Roman" w:hAnsi="Times New Roman" w:cs="Times New Roman"/>
          <w:sz w:val="20"/>
          <w:szCs w:val="24"/>
          <w:lang w:bidi="ar-SA"/>
        </w:rPr>
        <w:t>, S., Arulkumar, G., Jeyarani, S., Shanthi, M., Srinivasan, M. R., Justin, G. L., &amp; Prabakar, K. (2022). Estimation of avoidable yield loss in maize (</w:t>
      </w:r>
      <w:r w:rsidRPr="000F48ED">
        <w:rPr>
          <w:rFonts w:ascii="Times New Roman" w:eastAsia="Times New Roman" w:hAnsi="Times New Roman" w:cs="Times New Roman"/>
          <w:i/>
          <w:iCs/>
          <w:sz w:val="20"/>
          <w:szCs w:val="24"/>
          <w:lang w:bidi="ar-SA"/>
        </w:rPr>
        <w:t>Zea mays</w:t>
      </w:r>
      <w:r w:rsidRPr="000F48ED">
        <w:rPr>
          <w:rFonts w:ascii="Times New Roman" w:eastAsia="Times New Roman" w:hAnsi="Times New Roman" w:cs="Times New Roman"/>
          <w:sz w:val="20"/>
          <w:szCs w:val="24"/>
          <w:lang w:bidi="ar-SA"/>
        </w:rPr>
        <w:t xml:space="preserve"> L.) caused by the fall armyworm </w:t>
      </w:r>
      <w:r w:rsidRPr="000F48ED">
        <w:rPr>
          <w:rFonts w:ascii="Times New Roman" w:eastAsia="Times New Roman" w:hAnsi="Times New Roman" w:cs="Times New Roman"/>
          <w:i/>
          <w:iCs/>
          <w:sz w:val="20"/>
          <w:szCs w:val="24"/>
          <w:lang w:bidi="ar-SA"/>
        </w:rPr>
        <w:t xml:space="preserve">Spodoptera </w:t>
      </w:r>
      <w:proofErr w:type="spellStart"/>
      <w:r w:rsidRPr="000F48ED">
        <w:rPr>
          <w:rFonts w:ascii="Times New Roman" w:eastAsia="Times New Roman" w:hAnsi="Times New Roman" w:cs="Times New Roman"/>
          <w:i/>
          <w:iCs/>
          <w:sz w:val="20"/>
          <w:szCs w:val="24"/>
          <w:lang w:bidi="ar-SA"/>
        </w:rPr>
        <w:t>frugiperda</w:t>
      </w:r>
      <w:proofErr w:type="spellEnd"/>
      <w:r w:rsidRPr="000F48ED">
        <w:rPr>
          <w:rFonts w:ascii="Times New Roman" w:eastAsia="Times New Roman" w:hAnsi="Times New Roman" w:cs="Times New Roman"/>
          <w:sz w:val="20"/>
          <w:szCs w:val="24"/>
          <w:lang w:bidi="ar-SA"/>
        </w:rPr>
        <w:t xml:space="preserve"> (J. E. Smith) (</w:t>
      </w:r>
      <w:proofErr w:type="spellStart"/>
      <w:r w:rsidRPr="000F48ED">
        <w:rPr>
          <w:rFonts w:ascii="Times New Roman" w:eastAsia="Times New Roman" w:hAnsi="Times New Roman" w:cs="Times New Roman"/>
          <w:sz w:val="20"/>
          <w:szCs w:val="24"/>
          <w:lang w:bidi="ar-SA"/>
        </w:rPr>
        <w:t>Noctuidae</w:t>
      </w:r>
      <w:proofErr w:type="spellEnd"/>
      <w:r w:rsidRPr="000F48ED">
        <w:rPr>
          <w:rFonts w:ascii="Times New Roman" w:eastAsia="Times New Roman" w:hAnsi="Times New Roman" w:cs="Times New Roman"/>
          <w:sz w:val="20"/>
          <w:szCs w:val="24"/>
          <w:lang w:bidi="ar-SA"/>
        </w:rPr>
        <w:t xml:space="preserve">: Lepidoptera). </w:t>
      </w:r>
      <w:r w:rsidRPr="000F48ED">
        <w:rPr>
          <w:rFonts w:ascii="Times New Roman" w:eastAsia="Times New Roman" w:hAnsi="Times New Roman" w:cs="Times New Roman"/>
          <w:i/>
          <w:iCs/>
          <w:sz w:val="20"/>
          <w:szCs w:val="24"/>
          <w:lang w:bidi="ar-SA"/>
        </w:rPr>
        <w:t>Ecology, Environment and Conservation, 28</w:t>
      </w:r>
      <w:r w:rsidRPr="000F48ED">
        <w:rPr>
          <w:rFonts w:ascii="Times New Roman" w:eastAsia="Times New Roman" w:hAnsi="Times New Roman" w:cs="Times New Roman"/>
          <w:sz w:val="20"/>
          <w:szCs w:val="24"/>
          <w:lang w:bidi="ar-SA"/>
        </w:rPr>
        <w:t xml:space="preserve">(4), 1946–1957. </w:t>
      </w:r>
      <w:hyperlink r:id="rId33" w:history="1">
        <w:r w:rsidRPr="000F48ED">
          <w:rPr>
            <w:rFonts w:ascii="Times New Roman" w:eastAsia="Times New Roman" w:hAnsi="Times New Roman" w:cs="Times New Roman"/>
            <w:color w:val="000000"/>
            <w:sz w:val="20"/>
            <w:szCs w:val="20"/>
            <w:u w:val="none"/>
            <w:lang w:bidi="ar-SA"/>
          </w:rPr>
          <w:t>https://doi.org/10.53550/EEC.2022.v28i04.044</w:t>
        </w:r>
      </w:hyperlink>
    </w:p>
    <w:p w14:paraId="7D87DEBF"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Sugeetha, G., Adwaitha, M. V., Nikhil Reddy, K. S., </w:t>
      </w:r>
      <w:proofErr w:type="spellStart"/>
      <w:r w:rsidRPr="000F48ED">
        <w:rPr>
          <w:rFonts w:ascii="Times New Roman" w:eastAsia="Times New Roman" w:hAnsi="Times New Roman" w:cs="Times New Roman"/>
          <w:sz w:val="20"/>
          <w:szCs w:val="24"/>
          <w:lang w:bidi="ar-SA"/>
        </w:rPr>
        <w:t>Mahadevu</w:t>
      </w:r>
      <w:proofErr w:type="spellEnd"/>
      <w:r w:rsidRPr="000F48ED">
        <w:rPr>
          <w:rFonts w:ascii="Times New Roman" w:eastAsia="Times New Roman" w:hAnsi="Times New Roman" w:cs="Times New Roman"/>
          <w:sz w:val="20"/>
          <w:szCs w:val="24"/>
          <w:lang w:bidi="ar-SA"/>
        </w:rPr>
        <w:t xml:space="preserve">, P., &amp; Mahadeva, J. (2024). Assessment of insecticide compatibility with </w:t>
      </w:r>
      <w:r w:rsidRPr="000F48ED">
        <w:rPr>
          <w:rFonts w:ascii="Times New Roman" w:eastAsia="Times New Roman" w:hAnsi="Times New Roman" w:cs="Times New Roman"/>
          <w:i/>
          <w:iCs/>
          <w:sz w:val="20"/>
          <w:szCs w:val="24"/>
          <w:lang w:bidi="ar-SA"/>
        </w:rPr>
        <w:t>Metarhizium anisopliae</w:t>
      </w:r>
      <w:r w:rsidRPr="000F48ED">
        <w:rPr>
          <w:rFonts w:ascii="Times New Roman" w:eastAsia="Times New Roman" w:hAnsi="Times New Roman" w:cs="Times New Roman"/>
          <w:sz w:val="20"/>
          <w:szCs w:val="24"/>
          <w:lang w:bidi="ar-SA"/>
        </w:rPr>
        <w:t xml:space="preserve"> for fall armyworm (</w:t>
      </w:r>
      <w:r w:rsidRPr="000F48ED">
        <w:rPr>
          <w:rFonts w:ascii="Times New Roman" w:eastAsia="Times New Roman" w:hAnsi="Times New Roman" w:cs="Times New Roman"/>
          <w:i/>
          <w:iCs/>
          <w:sz w:val="20"/>
          <w:szCs w:val="24"/>
          <w:lang w:bidi="ar-SA"/>
        </w:rPr>
        <w:t xml:space="preserve">Spodoptera </w:t>
      </w:r>
      <w:proofErr w:type="spellStart"/>
      <w:r w:rsidRPr="000F48ED">
        <w:rPr>
          <w:rFonts w:ascii="Times New Roman" w:eastAsia="Times New Roman" w:hAnsi="Times New Roman" w:cs="Times New Roman"/>
          <w:i/>
          <w:iCs/>
          <w:sz w:val="20"/>
          <w:szCs w:val="24"/>
          <w:lang w:bidi="ar-SA"/>
        </w:rPr>
        <w:t>frugiperda</w:t>
      </w:r>
      <w:proofErr w:type="spellEnd"/>
      <w:r w:rsidRPr="000F48ED">
        <w:rPr>
          <w:rFonts w:ascii="Times New Roman" w:eastAsia="Times New Roman" w:hAnsi="Times New Roman" w:cs="Times New Roman"/>
          <w:sz w:val="20"/>
          <w:szCs w:val="24"/>
          <w:lang w:bidi="ar-SA"/>
        </w:rPr>
        <w:t xml:space="preserve"> J. E. Smith) management in maize. </w:t>
      </w:r>
      <w:r w:rsidRPr="000F48ED">
        <w:rPr>
          <w:rFonts w:ascii="Times New Roman" w:eastAsia="Times New Roman" w:hAnsi="Times New Roman" w:cs="Times New Roman"/>
          <w:i/>
          <w:iCs/>
          <w:sz w:val="20"/>
          <w:szCs w:val="24"/>
          <w:lang w:bidi="ar-SA"/>
        </w:rPr>
        <w:t>Journal of Advances in Microbiology, 24</w:t>
      </w:r>
      <w:r w:rsidRPr="000F48ED">
        <w:rPr>
          <w:rFonts w:ascii="Times New Roman" w:eastAsia="Times New Roman" w:hAnsi="Times New Roman" w:cs="Times New Roman"/>
          <w:sz w:val="20"/>
          <w:szCs w:val="24"/>
          <w:lang w:bidi="ar-SA"/>
        </w:rPr>
        <w:t xml:space="preserve">(12), 163–171. </w:t>
      </w:r>
      <w:hyperlink r:id="rId34" w:history="1">
        <w:r w:rsidRPr="000F48ED">
          <w:rPr>
            <w:rFonts w:ascii="Times New Roman" w:eastAsia="Times New Roman" w:hAnsi="Times New Roman" w:cs="Times New Roman"/>
            <w:color w:val="000000"/>
            <w:sz w:val="20"/>
            <w:szCs w:val="20"/>
            <w:u w:val="none"/>
            <w:lang w:bidi="ar-SA"/>
          </w:rPr>
          <w:t>https://doi.org/10.9734/jamb/2024/v24i12880</w:t>
        </w:r>
      </w:hyperlink>
    </w:p>
    <w:p w14:paraId="607930C2"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proofErr w:type="spellStart"/>
      <w:r w:rsidRPr="000F48ED">
        <w:rPr>
          <w:rFonts w:ascii="Times New Roman" w:eastAsia="Times New Roman" w:hAnsi="Times New Roman" w:cs="Times New Roman"/>
          <w:sz w:val="20"/>
          <w:szCs w:val="24"/>
          <w:lang w:bidi="ar-SA"/>
        </w:rPr>
        <w:lastRenderedPageBreak/>
        <w:t>Thomazoni</w:t>
      </w:r>
      <w:proofErr w:type="spellEnd"/>
      <w:r w:rsidRPr="000F48ED">
        <w:rPr>
          <w:rFonts w:ascii="Times New Roman" w:eastAsia="Times New Roman" w:hAnsi="Times New Roman" w:cs="Times New Roman"/>
          <w:sz w:val="20"/>
          <w:szCs w:val="24"/>
          <w:lang w:bidi="ar-SA"/>
        </w:rPr>
        <w:t xml:space="preserve">, D., </w:t>
      </w:r>
      <w:proofErr w:type="spellStart"/>
      <w:r w:rsidRPr="000F48ED">
        <w:rPr>
          <w:rFonts w:ascii="Times New Roman" w:eastAsia="Times New Roman" w:hAnsi="Times New Roman" w:cs="Times New Roman"/>
          <w:sz w:val="20"/>
          <w:szCs w:val="24"/>
          <w:lang w:bidi="ar-SA"/>
        </w:rPr>
        <w:t>Formentini</w:t>
      </w:r>
      <w:proofErr w:type="spellEnd"/>
      <w:r w:rsidRPr="000F48ED">
        <w:rPr>
          <w:rFonts w:ascii="Times New Roman" w:eastAsia="Times New Roman" w:hAnsi="Times New Roman" w:cs="Times New Roman"/>
          <w:sz w:val="20"/>
          <w:szCs w:val="24"/>
          <w:lang w:bidi="ar-SA"/>
        </w:rPr>
        <w:t xml:space="preserve">, M. A., &amp; Alves, L. F. A. (2014). </w:t>
      </w:r>
      <w:proofErr w:type="spellStart"/>
      <w:r w:rsidRPr="000F48ED">
        <w:rPr>
          <w:rFonts w:ascii="Times New Roman" w:eastAsia="Times New Roman" w:hAnsi="Times New Roman" w:cs="Times New Roman"/>
          <w:sz w:val="20"/>
          <w:szCs w:val="24"/>
          <w:lang w:bidi="ar-SA"/>
        </w:rPr>
        <w:t>Patogenicity</w:t>
      </w:r>
      <w:proofErr w:type="spellEnd"/>
      <w:r w:rsidRPr="000F48ED">
        <w:rPr>
          <w:rFonts w:ascii="Times New Roman" w:eastAsia="Times New Roman" w:hAnsi="Times New Roman" w:cs="Times New Roman"/>
          <w:sz w:val="20"/>
          <w:szCs w:val="24"/>
          <w:lang w:bidi="ar-SA"/>
        </w:rPr>
        <w:t xml:space="preserve"> of entomopathogenic fungi to </w:t>
      </w:r>
      <w:r w:rsidRPr="000F48ED">
        <w:rPr>
          <w:rFonts w:ascii="Times New Roman" w:eastAsia="Times New Roman" w:hAnsi="Times New Roman" w:cs="Times New Roman"/>
          <w:i/>
          <w:iCs/>
          <w:sz w:val="20"/>
          <w:szCs w:val="24"/>
          <w:lang w:bidi="ar-SA"/>
        </w:rPr>
        <w:t xml:space="preserve">Spodoptera </w:t>
      </w:r>
      <w:proofErr w:type="spellStart"/>
      <w:r w:rsidRPr="000F48ED">
        <w:rPr>
          <w:rFonts w:ascii="Times New Roman" w:eastAsia="Times New Roman" w:hAnsi="Times New Roman" w:cs="Times New Roman"/>
          <w:i/>
          <w:iCs/>
          <w:sz w:val="20"/>
          <w:szCs w:val="24"/>
          <w:lang w:bidi="ar-SA"/>
        </w:rPr>
        <w:t>frugiperda</w:t>
      </w:r>
      <w:proofErr w:type="spellEnd"/>
      <w:r w:rsidRPr="000F48ED">
        <w:rPr>
          <w:rFonts w:ascii="Times New Roman" w:eastAsia="Times New Roman" w:hAnsi="Times New Roman" w:cs="Times New Roman"/>
          <w:sz w:val="20"/>
          <w:szCs w:val="24"/>
          <w:lang w:bidi="ar-SA"/>
        </w:rPr>
        <w:t xml:space="preserve"> (Smith) (Lepidoptera: </w:t>
      </w:r>
      <w:proofErr w:type="spellStart"/>
      <w:r w:rsidRPr="000F48ED">
        <w:rPr>
          <w:rFonts w:ascii="Times New Roman" w:eastAsia="Times New Roman" w:hAnsi="Times New Roman" w:cs="Times New Roman"/>
          <w:sz w:val="20"/>
          <w:szCs w:val="24"/>
          <w:lang w:bidi="ar-SA"/>
        </w:rPr>
        <w:t>Noctuidae</w:t>
      </w:r>
      <w:proofErr w:type="spellEnd"/>
      <w:r w:rsidRPr="000F48ED">
        <w:rPr>
          <w:rFonts w:ascii="Times New Roman" w:eastAsia="Times New Roman" w:hAnsi="Times New Roman" w:cs="Times New Roman"/>
          <w:sz w:val="20"/>
          <w:szCs w:val="24"/>
          <w:lang w:bidi="ar-SA"/>
        </w:rPr>
        <w:t xml:space="preserve">). </w:t>
      </w:r>
      <w:proofErr w:type="spellStart"/>
      <w:r w:rsidRPr="000F48ED">
        <w:rPr>
          <w:rFonts w:ascii="Times New Roman" w:eastAsia="Times New Roman" w:hAnsi="Times New Roman" w:cs="Times New Roman"/>
          <w:i/>
          <w:iCs/>
          <w:sz w:val="20"/>
          <w:szCs w:val="24"/>
          <w:lang w:bidi="ar-SA"/>
        </w:rPr>
        <w:t>Arquivos</w:t>
      </w:r>
      <w:proofErr w:type="spellEnd"/>
      <w:r w:rsidRPr="000F48ED">
        <w:rPr>
          <w:rFonts w:ascii="Times New Roman" w:eastAsia="Times New Roman" w:hAnsi="Times New Roman" w:cs="Times New Roman"/>
          <w:i/>
          <w:iCs/>
          <w:sz w:val="20"/>
          <w:szCs w:val="24"/>
          <w:lang w:bidi="ar-SA"/>
        </w:rPr>
        <w:t xml:space="preserve"> do Instituto </w:t>
      </w:r>
      <w:proofErr w:type="spellStart"/>
      <w:r w:rsidRPr="000F48ED">
        <w:rPr>
          <w:rFonts w:ascii="Times New Roman" w:eastAsia="Times New Roman" w:hAnsi="Times New Roman" w:cs="Times New Roman"/>
          <w:i/>
          <w:iCs/>
          <w:sz w:val="20"/>
          <w:szCs w:val="24"/>
          <w:lang w:bidi="ar-SA"/>
        </w:rPr>
        <w:t>Biológico</w:t>
      </w:r>
      <w:proofErr w:type="spellEnd"/>
      <w:r w:rsidRPr="000F48ED">
        <w:rPr>
          <w:rFonts w:ascii="Times New Roman" w:eastAsia="Times New Roman" w:hAnsi="Times New Roman" w:cs="Times New Roman"/>
          <w:i/>
          <w:iCs/>
          <w:sz w:val="20"/>
          <w:szCs w:val="24"/>
          <w:lang w:bidi="ar-SA"/>
        </w:rPr>
        <w:t>, 81</w:t>
      </w:r>
      <w:r w:rsidRPr="000F48ED">
        <w:rPr>
          <w:rFonts w:ascii="Times New Roman" w:eastAsia="Times New Roman" w:hAnsi="Times New Roman" w:cs="Times New Roman"/>
          <w:sz w:val="20"/>
          <w:szCs w:val="24"/>
          <w:lang w:bidi="ar-SA"/>
        </w:rPr>
        <w:t xml:space="preserve">(2), 126–133. </w:t>
      </w:r>
      <w:hyperlink r:id="rId35" w:history="1">
        <w:r w:rsidRPr="000F48ED">
          <w:rPr>
            <w:rFonts w:ascii="Times New Roman" w:eastAsia="Times New Roman" w:hAnsi="Times New Roman" w:cs="Times New Roman"/>
            <w:color w:val="000000"/>
            <w:sz w:val="20"/>
            <w:szCs w:val="20"/>
            <w:u w:val="none"/>
            <w:lang w:bidi="ar-SA"/>
          </w:rPr>
          <w:t>https://doi.org/10.1590/1808-1657001162012</w:t>
        </w:r>
      </w:hyperlink>
    </w:p>
    <w:p w14:paraId="2450678F"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proofErr w:type="spellStart"/>
      <w:r w:rsidRPr="000F48ED">
        <w:rPr>
          <w:rFonts w:ascii="Times New Roman" w:eastAsia="Times New Roman" w:hAnsi="Times New Roman" w:cs="Times New Roman"/>
          <w:sz w:val="20"/>
          <w:szCs w:val="24"/>
          <w:lang w:bidi="ar-SA"/>
        </w:rPr>
        <w:t>Wyckhuys</w:t>
      </w:r>
      <w:proofErr w:type="spellEnd"/>
      <w:r w:rsidRPr="000F48ED">
        <w:rPr>
          <w:rFonts w:ascii="Times New Roman" w:eastAsia="Times New Roman" w:hAnsi="Times New Roman" w:cs="Times New Roman"/>
          <w:sz w:val="20"/>
          <w:szCs w:val="24"/>
          <w:lang w:bidi="ar-SA"/>
        </w:rPr>
        <w:t xml:space="preserve">, K. A. G., </w:t>
      </w:r>
      <w:proofErr w:type="spellStart"/>
      <w:r w:rsidRPr="000F48ED">
        <w:rPr>
          <w:rFonts w:ascii="Times New Roman" w:eastAsia="Times New Roman" w:hAnsi="Times New Roman" w:cs="Times New Roman"/>
          <w:sz w:val="20"/>
          <w:szCs w:val="24"/>
          <w:lang w:bidi="ar-SA"/>
        </w:rPr>
        <w:t>Akutse</w:t>
      </w:r>
      <w:proofErr w:type="spellEnd"/>
      <w:r w:rsidRPr="000F48ED">
        <w:rPr>
          <w:rFonts w:ascii="Times New Roman" w:eastAsia="Times New Roman" w:hAnsi="Times New Roman" w:cs="Times New Roman"/>
          <w:sz w:val="20"/>
          <w:szCs w:val="24"/>
          <w:lang w:bidi="ar-SA"/>
        </w:rPr>
        <w:t xml:space="preserve">, K. S., Amalin, D. M., Araj, S. E., Barrera, G., Beltran, M. J. B., Ben Fekih, I., Calatayud, P. A., Cicero, L., </w:t>
      </w:r>
      <w:proofErr w:type="spellStart"/>
      <w:r w:rsidRPr="000F48ED">
        <w:rPr>
          <w:rFonts w:ascii="Times New Roman" w:eastAsia="Times New Roman" w:hAnsi="Times New Roman" w:cs="Times New Roman"/>
          <w:sz w:val="20"/>
          <w:szCs w:val="24"/>
          <w:lang w:bidi="ar-SA"/>
        </w:rPr>
        <w:t>Cokola</w:t>
      </w:r>
      <w:proofErr w:type="spellEnd"/>
      <w:r w:rsidRPr="000F48ED">
        <w:rPr>
          <w:rFonts w:ascii="Times New Roman" w:eastAsia="Times New Roman" w:hAnsi="Times New Roman" w:cs="Times New Roman"/>
          <w:sz w:val="20"/>
          <w:szCs w:val="24"/>
          <w:lang w:bidi="ar-SA"/>
        </w:rPr>
        <w:t xml:space="preserve">, M. C., Colmenarez, Y. C., </w:t>
      </w:r>
      <w:proofErr w:type="spellStart"/>
      <w:r w:rsidRPr="000F48ED">
        <w:rPr>
          <w:rFonts w:ascii="Times New Roman" w:eastAsia="Times New Roman" w:hAnsi="Times New Roman" w:cs="Times New Roman"/>
          <w:sz w:val="20"/>
          <w:szCs w:val="24"/>
          <w:lang w:bidi="ar-SA"/>
        </w:rPr>
        <w:t>Dessauvages</w:t>
      </w:r>
      <w:proofErr w:type="spellEnd"/>
      <w:r w:rsidRPr="000F48ED">
        <w:rPr>
          <w:rFonts w:ascii="Times New Roman" w:eastAsia="Times New Roman" w:hAnsi="Times New Roman" w:cs="Times New Roman"/>
          <w:sz w:val="20"/>
          <w:szCs w:val="24"/>
          <w:lang w:bidi="ar-SA"/>
        </w:rPr>
        <w:t xml:space="preserve">, K., Dubois, T., Durocher-Granger, L., Espinel, C., Fallet, P., Fernández-Triana, J. L., Francis, F., Gómez, J., . . . Hadi, B. A. R. (2024). Global scientific progress and shortfalls in biological control of the fall armyworm </w:t>
      </w:r>
      <w:r w:rsidRPr="000F48ED">
        <w:rPr>
          <w:rFonts w:ascii="Times New Roman" w:eastAsia="Times New Roman" w:hAnsi="Times New Roman" w:cs="Times New Roman"/>
          <w:i/>
          <w:iCs/>
          <w:sz w:val="20"/>
          <w:szCs w:val="24"/>
          <w:lang w:bidi="ar-SA"/>
        </w:rPr>
        <w:t xml:space="preserve">Spodoptera </w:t>
      </w:r>
      <w:proofErr w:type="spellStart"/>
      <w:r w:rsidRPr="000F48ED">
        <w:rPr>
          <w:rFonts w:ascii="Times New Roman" w:eastAsia="Times New Roman" w:hAnsi="Times New Roman" w:cs="Times New Roman"/>
          <w:i/>
          <w:iCs/>
          <w:sz w:val="20"/>
          <w:szCs w:val="24"/>
          <w:lang w:bidi="ar-SA"/>
        </w:rPr>
        <w:t>frugiperda</w:t>
      </w:r>
      <w:proofErr w:type="spellEnd"/>
      <w:r w:rsidRPr="000F48ED">
        <w:rPr>
          <w:rFonts w:ascii="Times New Roman" w:eastAsia="Times New Roman" w:hAnsi="Times New Roman" w:cs="Times New Roman"/>
          <w:sz w:val="20"/>
          <w:szCs w:val="24"/>
          <w:lang w:bidi="ar-SA"/>
        </w:rPr>
        <w:t xml:space="preserve">. </w:t>
      </w:r>
      <w:r w:rsidRPr="000F48ED">
        <w:rPr>
          <w:rFonts w:ascii="Times New Roman" w:eastAsia="Times New Roman" w:hAnsi="Times New Roman" w:cs="Times New Roman"/>
          <w:i/>
          <w:iCs/>
          <w:sz w:val="20"/>
          <w:szCs w:val="24"/>
          <w:lang w:bidi="ar-SA"/>
        </w:rPr>
        <w:t>Biological Control, 191</w:t>
      </w:r>
      <w:r w:rsidRPr="000F48ED">
        <w:rPr>
          <w:rFonts w:ascii="Times New Roman" w:eastAsia="Times New Roman" w:hAnsi="Times New Roman" w:cs="Times New Roman"/>
          <w:sz w:val="20"/>
          <w:szCs w:val="24"/>
          <w:lang w:bidi="ar-SA"/>
        </w:rPr>
        <w:t xml:space="preserve">, 105460. </w:t>
      </w:r>
      <w:hyperlink r:id="rId36" w:history="1">
        <w:r w:rsidRPr="000F48ED">
          <w:rPr>
            <w:rFonts w:ascii="Times New Roman" w:eastAsia="Times New Roman" w:hAnsi="Times New Roman" w:cs="Times New Roman"/>
            <w:color w:val="000000"/>
            <w:sz w:val="20"/>
            <w:szCs w:val="20"/>
            <w:u w:val="none"/>
            <w:lang w:bidi="ar-SA"/>
          </w:rPr>
          <w:t>https://doi.org/10.1016/j.biocontrol.2024.105460</w:t>
        </w:r>
      </w:hyperlink>
    </w:p>
    <w:p w14:paraId="3BA18DB3"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Young, J. R. (1979). Fall armyworm: Control with insecticides. </w:t>
      </w:r>
      <w:r w:rsidRPr="000F48ED">
        <w:rPr>
          <w:rFonts w:ascii="Times New Roman" w:eastAsia="Times New Roman" w:hAnsi="Times New Roman" w:cs="Times New Roman"/>
          <w:i/>
          <w:iCs/>
          <w:sz w:val="20"/>
          <w:szCs w:val="24"/>
          <w:lang w:bidi="ar-SA"/>
        </w:rPr>
        <w:t>The Florida Entomologist, 62</w:t>
      </w:r>
      <w:r w:rsidRPr="000F48ED">
        <w:rPr>
          <w:rFonts w:ascii="Times New Roman" w:eastAsia="Times New Roman" w:hAnsi="Times New Roman" w:cs="Times New Roman"/>
          <w:sz w:val="20"/>
          <w:szCs w:val="24"/>
          <w:lang w:bidi="ar-SA"/>
        </w:rPr>
        <w:t xml:space="preserve">(2), 130–133. </w:t>
      </w:r>
      <w:hyperlink r:id="rId37" w:history="1">
        <w:r w:rsidRPr="000F48ED">
          <w:rPr>
            <w:rFonts w:ascii="Times New Roman" w:eastAsia="Times New Roman" w:hAnsi="Times New Roman" w:cs="Times New Roman"/>
            <w:color w:val="000000"/>
            <w:sz w:val="20"/>
            <w:szCs w:val="20"/>
            <w:u w:val="none"/>
            <w:lang w:bidi="ar-SA"/>
          </w:rPr>
          <w:t>https://doi.org/10.2307/3494089</w:t>
        </w:r>
      </w:hyperlink>
    </w:p>
    <w:p w14:paraId="3FC5E112"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Yu, S. J. (1991). Insecticide resistance in the fall armyworm, </w:t>
      </w:r>
      <w:r w:rsidRPr="000F48ED">
        <w:rPr>
          <w:rFonts w:ascii="Times New Roman" w:eastAsia="Times New Roman" w:hAnsi="Times New Roman" w:cs="Times New Roman"/>
          <w:i/>
          <w:iCs/>
          <w:sz w:val="20"/>
          <w:szCs w:val="24"/>
          <w:lang w:bidi="ar-SA"/>
        </w:rPr>
        <w:t xml:space="preserve">Spodoptera </w:t>
      </w:r>
      <w:proofErr w:type="spellStart"/>
      <w:r w:rsidRPr="000F48ED">
        <w:rPr>
          <w:rFonts w:ascii="Times New Roman" w:eastAsia="Times New Roman" w:hAnsi="Times New Roman" w:cs="Times New Roman"/>
          <w:i/>
          <w:iCs/>
          <w:sz w:val="20"/>
          <w:szCs w:val="24"/>
          <w:lang w:bidi="ar-SA"/>
        </w:rPr>
        <w:t>frugiperda</w:t>
      </w:r>
      <w:proofErr w:type="spellEnd"/>
      <w:r w:rsidRPr="000F48ED">
        <w:rPr>
          <w:rFonts w:ascii="Times New Roman" w:eastAsia="Times New Roman" w:hAnsi="Times New Roman" w:cs="Times New Roman"/>
          <w:sz w:val="20"/>
          <w:szCs w:val="24"/>
          <w:lang w:bidi="ar-SA"/>
        </w:rPr>
        <w:t xml:space="preserve"> (J. E. Smith). </w:t>
      </w:r>
      <w:r w:rsidRPr="000F48ED">
        <w:rPr>
          <w:rFonts w:ascii="Times New Roman" w:eastAsia="Times New Roman" w:hAnsi="Times New Roman" w:cs="Times New Roman"/>
          <w:i/>
          <w:iCs/>
          <w:sz w:val="20"/>
          <w:szCs w:val="24"/>
          <w:lang w:bidi="ar-SA"/>
        </w:rPr>
        <w:t>Pesticide Biochemistry and Physiology, 39</w:t>
      </w:r>
      <w:r w:rsidRPr="000F48ED">
        <w:rPr>
          <w:rFonts w:ascii="Times New Roman" w:eastAsia="Times New Roman" w:hAnsi="Times New Roman" w:cs="Times New Roman"/>
          <w:sz w:val="20"/>
          <w:szCs w:val="24"/>
          <w:lang w:bidi="ar-SA"/>
        </w:rPr>
        <w:t xml:space="preserve">(1), 84–91. </w:t>
      </w:r>
      <w:hyperlink r:id="rId38" w:history="1">
        <w:r w:rsidRPr="000F48ED">
          <w:rPr>
            <w:rFonts w:ascii="Times New Roman" w:eastAsia="Times New Roman" w:hAnsi="Times New Roman" w:cs="Times New Roman"/>
            <w:color w:val="000000"/>
            <w:sz w:val="20"/>
            <w:szCs w:val="20"/>
            <w:u w:val="none"/>
            <w:lang w:bidi="ar-SA"/>
          </w:rPr>
          <w:t>https://doi.org/10.1016/0048-3575(91)90216-9</w:t>
        </w:r>
      </w:hyperlink>
    </w:p>
    <w:p w14:paraId="25584F99" w14:textId="77777777" w:rsidR="000F48ED" w:rsidRPr="000F48ED" w:rsidRDefault="000F48ED" w:rsidP="000F48ED">
      <w:pPr>
        <w:keepLines/>
        <w:spacing w:before="0" w:beforeAutospacing="1" w:after="0" w:afterAutospacing="1" w:line="240" w:lineRule="auto"/>
        <w:jc w:val="both"/>
        <w:rPr>
          <w:rFonts w:ascii="Times New Roman" w:eastAsia="Times New Roman" w:hAnsi="Times New Roman" w:cs="Times New Roman"/>
          <w:sz w:val="24"/>
          <w:szCs w:val="24"/>
          <w:lang w:bidi="ar-SA"/>
        </w:rPr>
        <w:ind w:left="0" w:right="0" w:hanging="360" w:hangingChars="270"/>
      </w:pPr>
      <w:r w:rsidRPr="000F48ED">
        <w:rPr>
          <w:rFonts w:ascii="Times New Roman" w:eastAsia="Times New Roman" w:hAnsi="Times New Roman" w:cs="Times New Roman"/>
          <w:sz w:val="20"/>
          <w:szCs w:val="24"/>
          <w:lang w:bidi="ar-SA"/>
        </w:rPr>
        <w:t xml:space="preserve">Zaman, M. I., &amp; Patel, L. C. (2023). Comparative efficiency of some novel insecticides against fall armyworm, </w:t>
      </w:r>
      <w:r w:rsidRPr="000F48ED">
        <w:rPr>
          <w:rFonts w:ascii="Times New Roman" w:eastAsia="Times New Roman" w:hAnsi="Times New Roman" w:cs="Times New Roman"/>
          <w:i/>
          <w:iCs/>
          <w:sz w:val="20"/>
          <w:szCs w:val="24"/>
          <w:lang w:bidi="ar-SA"/>
        </w:rPr>
        <w:t xml:space="preserve">Spodoptera </w:t>
      </w:r>
      <w:proofErr w:type="spellStart"/>
      <w:r w:rsidRPr="000F48ED">
        <w:rPr>
          <w:rFonts w:ascii="Times New Roman" w:eastAsia="Times New Roman" w:hAnsi="Times New Roman" w:cs="Times New Roman"/>
          <w:i/>
          <w:iCs/>
          <w:sz w:val="20"/>
          <w:szCs w:val="24"/>
          <w:lang w:bidi="ar-SA"/>
        </w:rPr>
        <w:t>frugiperda</w:t>
      </w:r>
      <w:proofErr w:type="spellEnd"/>
      <w:r w:rsidRPr="000F48ED">
        <w:rPr>
          <w:rFonts w:ascii="Times New Roman" w:eastAsia="Times New Roman" w:hAnsi="Times New Roman" w:cs="Times New Roman"/>
          <w:sz w:val="20"/>
          <w:szCs w:val="24"/>
          <w:lang w:bidi="ar-SA"/>
        </w:rPr>
        <w:t xml:space="preserve">, in maize. </w:t>
      </w:r>
      <w:r w:rsidRPr="000F48ED">
        <w:rPr>
          <w:rFonts w:ascii="Times New Roman" w:eastAsia="Times New Roman" w:hAnsi="Times New Roman" w:cs="Times New Roman"/>
          <w:i/>
          <w:iCs/>
          <w:sz w:val="20"/>
          <w:szCs w:val="24"/>
          <w:lang w:bidi="ar-SA"/>
        </w:rPr>
        <w:t>International Journal of Bio-resource and Stress Management, 14</w:t>
      </w:r>
      <w:r w:rsidRPr="000F48ED">
        <w:rPr>
          <w:rFonts w:ascii="Times New Roman" w:eastAsia="Times New Roman" w:hAnsi="Times New Roman" w:cs="Times New Roman"/>
          <w:sz w:val="20"/>
          <w:szCs w:val="24"/>
          <w:lang w:bidi="ar-SA"/>
        </w:rPr>
        <w:t xml:space="preserve">(10), 1350–1359. </w:t>
      </w:r>
      <w:hyperlink r:id="rId39" w:history="1">
        <w:r w:rsidRPr="000F48ED">
          <w:rPr>
            <w:rFonts w:ascii="Times New Roman" w:eastAsia="Times New Roman" w:hAnsi="Times New Roman" w:cs="Times New Roman"/>
            <w:color w:val="000000"/>
            <w:sz w:val="20"/>
            <w:szCs w:val="20"/>
            <w:u w:val="none"/>
            <w:lang w:bidi="ar-SA"/>
          </w:rPr>
          <w:t>https://doi.org/10.23910/1.2023.4491a</w:t>
        </w:r>
      </w:hyperlink>
    </w:p>
    <w:sectPr w:rsidR="000F48ED" w:rsidRPr="00EC5920" w:rsidSect="00D63925">
      <w:headerReference w:type="even" r:id="rId40"/>
      <w:headerReference w:type="default" r:id="rId41"/>
      <w:footerReference w:type="even" r:id="rId42"/>
      <w:footerReference w:type="default" r:id="rId43"/>
      <w:headerReference w:type="first" r:id="rId44"/>
      <w:footerReference w:type="first" r:id="rId4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10019" w14:textId="77777777" w:rsidR="00DD0619" w:rsidRDefault="00DD0619" w:rsidP="00D369FA">
      <w:pPr>
        <w:spacing w:after="0" w:line="240" w:lineRule="auto"/>
      </w:pPr>
      <w:r>
        <w:separator/>
      </w:r>
    </w:p>
  </w:endnote>
  <w:endnote w:type="continuationSeparator" w:id="0">
    <w:p w14:paraId="52CACEEC" w14:textId="77777777" w:rsidR="00DD0619" w:rsidRDefault="00DD0619" w:rsidP="00D36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8193B" w14:textId="77777777" w:rsidR="00074514" w:rsidRDefault="000745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8395112"/>
      <w:docPartObj>
        <w:docPartGallery w:val="Page Numbers (Bottom of Page)"/>
        <w:docPartUnique/>
      </w:docPartObj>
    </w:sdtPr>
    <w:sdtEndPr>
      <w:rPr>
        <w:rFonts w:ascii="Arial" w:hAnsi="Arial" w:cs="Arial"/>
        <w:b/>
        <w:bCs/>
        <w:noProof/>
        <w:sz w:val="20"/>
        <w:szCs w:val="20"/>
      </w:rPr>
    </w:sdtEndPr>
    <w:sdtContent>
      <w:p w14:paraId="58B8CB11" w14:textId="77777777" w:rsidR="00D369FA" w:rsidRPr="00345557" w:rsidRDefault="00D369FA">
        <w:pPr>
          <w:pStyle w:val="Footer"/>
          <w:jc w:val="center"/>
          <w:rPr>
            <w:rFonts w:ascii="Arial" w:hAnsi="Arial" w:cs="Arial"/>
            <w:b/>
            <w:bCs/>
            <w:sz w:val="20"/>
            <w:szCs w:val="20"/>
          </w:rPr>
        </w:pPr>
        <w:r w:rsidRPr="00345557">
          <w:rPr>
            <w:rFonts w:ascii="Arial" w:hAnsi="Arial" w:cs="Arial"/>
            <w:b/>
            <w:bCs/>
            <w:sz w:val="20"/>
            <w:szCs w:val="20"/>
          </w:rPr>
          <w:fldChar w:fldCharType="begin"/>
        </w:r>
        <w:r w:rsidRPr="00345557">
          <w:rPr>
            <w:rFonts w:ascii="Arial" w:hAnsi="Arial" w:cs="Arial"/>
            <w:b/>
            <w:bCs/>
            <w:sz w:val="20"/>
            <w:szCs w:val="20"/>
          </w:rPr>
          <w:instrText xml:space="preserve"> PAGE   \* MERGEFORMAT </w:instrText>
        </w:r>
        <w:r w:rsidRPr="00345557">
          <w:rPr>
            <w:rFonts w:ascii="Arial" w:hAnsi="Arial" w:cs="Arial"/>
            <w:b/>
            <w:bCs/>
            <w:sz w:val="20"/>
            <w:szCs w:val="20"/>
          </w:rPr>
          <w:fldChar w:fldCharType="separate"/>
        </w:r>
        <w:r w:rsidR="003D704F">
          <w:rPr>
            <w:rFonts w:ascii="Arial" w:hAnsi="Arial" w:cs="Arial"/>
            <w:b/>
            <w:bCs/>
            <w:noProof/>
            <w:sz w:val="20"/>
            <w:szCs w:val="20"/>
          </w:rPr>
          <w:t>1</w:t>
        </w:r>
        <w:r w:rsidRPr="00345557">
          <w:rPr>
            <w:rFonts w:ascii="Arial" w:hAnsi="Arial" w:cs="Arial"/>
            <w:b/>
            <w:bCs/>
            <w:noProof/>
            <w:sz w:val="20"/>
            <w:szCs w:val="20"/>
          </w:rPr>
          <w:fldChar w:fldCharType="end"/>
        </w:r>
      </w:p>
    </w:sdtContent>
  </w:sdt>
  <w:p w14:paraId="44533BA5" w14:textId="77777777" w:rsidR="00D369FA" w:rsidRDefault="00D369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3467" w14:textId="77777777" w:rsidR="00074514" w:rsidRDefault="000745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6D82B" w14:textId="77777777" w:rsidR="00DD0619" w:rsidRDefault="00DD0619" w:rsidP="00D369FA">
      <w:pPr>
        <w:spacing w:after="0" w:line="240" w:lineRule="auto"/>
      </w:pPr>
      <w:r>
        <w:separator/>
      </w:r>
    </w:p>
  </w:footnote>
  <w:footnote w:type="continuationSeparator" w:id="0">
    <w:p w14:paraId="7AAF141E" w14:textId="77777777" w:rsidR="00DD0619" w:rsidRDefault="00DD0619" w:rsidP="00D36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35925" w14:textId="77777777" w:rsidR="00074514" w:rsidRDefault="00000000">
    <w:pPr>
      <w:pStyle w:val="Header"/>
    </w:pPr>
    <w:r>
      <w:rPr>
        <w:noProof/>
      </w:rPr>
      <w:pict w14:anchorId="0DA924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358737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A642" w14:textId="77777777" w:rsidR="00074514" w:rsidRDefault="00000000">
    <w:pPr>
      <w:pStyle w:val="Header"/>
    </w:pPr>
    <w:r>
      <w:rPr>
        <w:noProof/>
      </w:rPr>
      <w:pict w14:anchorId="42A573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358737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D7BFF" w14:textId="77777777" w:rsidR="00074514" w:rsidRDefault="00000000">
    <w:pPr>
      <w:pStyle w:val="Header"/>
    </w:pPr>
    <w:r>
      <w:rPr>
        <w:noProof/>
      </w:rPr>
      <w:pict w14:anchorId="64A3A2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358737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5982"/>
    <w:multiLevelType w:val="hybridMultilevel"/>
    <w:tmpl w:val="212A9B02"/>
    <w:lvl w:ilvl="0" w:tplc="303022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8940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S3NDE1MbYwNbc0MDNW0lEKTi0uzszPAykwrgUAtPx53ywAAAA="/>
  </w:docVars>
  <w:rsids>
    <w:rsidRoot w:val="00847336"/>
    <w:rsid w:val="00032037"/>
    <w:rsid w:val="0003438B"/>
    <w:rsid w:val="0004459C"/>
    <w:rsid w:val="00045F69"/>
    <w:rsid w:val="00051E7E"/>
    <w:rsid w:val="00074514"/>
    <w:rsid w:val="00076D94"/>
    <w:rsid w:val="000A7B5A"/>
    <w:rsid w:val="000C1CE4"/>
    <w:rsid w:val="000C6146"/>
    <w:rsid w:val="000D7B56"/>
    <w:rsid w:val="000F26E7"/>
    <w:rsid w:val="000F48ED"/>
    <w:rsid w:val="00120172"/>
    <w:rsid w:val="0013478E"/>
    <w:rsid w:val="001608DB"/>
    <w:rsid w:val="00161DA5"/>
    <w:rsid w:val="00197806"/>
    <w:rsid w:val="001A40E2"/>
    <w:rsid w:val="001B3007"/>
    <w:rsid w:val="001E19AC"/>
    <w:rsid w:val="00204BE3"/>
    <w:rsid w:val="00214DA1"/>
    <w:rsid w:val="00225ECB"/>
    <w:rsid w:val="002315C7"/>
    <w:rsid w:val="00251BC6"/>
    <w:rsid w:val="00252581"/>
    <w:rsid w:val="00271D83"/>
    <w:rsid w:val="00282AD9"/>
    <w:rsid w:val="002932D9"/>
    <w:rsid w:val="002C2163"/>
    <w:rsid w:val="002E7D34"/>
    <w:rsid w:val="003117B9"/>
    <w:rsid w:val="00322EB0"/>
    <w:rsid w:val="00324EF2"/>
    <w:rsid w:val="00345557"/>
    <w:rsid w:val="00354066"/>
    <w:rsid w:val="00373ECD"/>
    <w:rsid w:val="0038461E"/>
    <w:rsid w:val="003B5735"/>
    <w:rsid w:val="003D704F"/>
    <w:rsid w:val="003E0E8B"/>
    <w:rsid w:val="0040055B"/>
    <w:rsid w:val="00400C20"/>
    <w:rsid w:val="00404AC3"/>
    <w:rsid w:val="004157EE"/>
    <w:rsid w:val="00416485"/>
    <w:rsid w:val="00426E69"/>
    <w:rsid w:val="00431E69"/>
    <w:rsid w:val="00437649"/>
    <w:rsid w:val="004460D4"/>
    <w:rsid w:val="004818B7"/>
    <w:rsid w:val="004A7BAC"/>
    <w:rsid w:val="004B3EC7"/>
    <w:rsid w:val="004D3988"/>
    <w:rsid w:val="004D74CA"/>
    <w:rsid w:val="004E40AE"/>
    <w:rsid w:val="005016A8"/>
    <w:rsid w:val="00507FE6"/>
    <w:rsid w:val="0051410E"/>
    <w:rsid w:val="00550433"/>
    <w:rsid w:val="00561C0E"/>
    <w:rsid w:val="00573E7D"/>
    <w:rsid w:val="00584181"/>
    <w:rsid w:val="00594A7B"/>
    <w:rsid w:val="005A05F7"/>
    <w:rsid w:val="005A6C26"/>
    <w:rsid w:val="005D5697"/>
    <w:rsid w:val="005E17FD"/>
    <w:rsid w:val="005E2689"/>
    <w:rsid w:val="006032E6"/>
    <w:rsid w:val="00617D8D"/>
    <w:rsid w:val="00627732"/>
    <w:rsid w:val="006467C5"/>
    <w:rsid w:val="006560AF"/>
    <w:rsid w:val="006721A3"/>
    <w:rsid w:val="006A1503"/>
    <w:rsid w:val="006A71BC"/>
    <w:rsid w:val="006B060F"/>
    <w:rsid w:val="006B47A9"/>
    <w:rsid w:val="007036CE"/>
    <w:rsid w:val="00712057"/>
    <w:rsid w:val="0072590F"/>
    <w:rsid w:val="00725CE0"/>
    <w:rsid w:val="007278C4"/>
    <w:rsid w:val="00732E1C"/>
    <w:rsid w:val="007426BF"/>
    <w:rsid w:val="00753AA5"/>
    <w:rsid w:val="00757CAD"/>
    <w:rsid w:val="00770684"/>
    <w:rsid w:val="00772955"/>
    <w:rsid w:val="00775FF9"/>
    <w:rsid w:val="00776042"/>
    <w:rsid w:val="00783762"/>
    <w:rsid w:val="007C2C2E"/>
    <w:rsid w:val="007C66BA"/>
    <w:rsid w:val="007D400E"/>
    <w:rsid w:val="007E26F9"/>
    <w:rsid w:val="00843E6D"/>
    <w:rsid w:val="0084573A"/>
    <w:rsid w:val="00847336"/>
    <w:rsid w:val="00865C7E"/>
    <w:rsid w:val="008A2187"/>
    <w:rsid w:val="008B0255"/>
    <w:rsid w:val="008D32B8"/>
    <w:rsid w:val="008E4D7D"/>
    <w:rsid w:val="00907FF0"/>
    <w:rsid w:val="00943BE9"/>
    <w:rsid w:val="00943F80"/>
    <w:rsid w:val="009633AF"/>
    <w:rsid w:val="00973A54"/>
    <w:rsid w:val="0097666A"/>
    <w:rsid w:val="00982AA9"/>
    <w:rsid w:val="009840AF"/>
    <w:rsid w:val="009A5C89"/>
    <w:rsid w:val="009B22C8"/>
    <w:rsid w:val="009B2670"/>
    <w:rsid w:val="009D2722"/>
    <w:rsid w:val="009D4BCC"/>
    <w:rsid w:val="009E0723"/>
    <w:rsid w:val="00A07B46"/>
    <w:rsid w:val="00A2326E"/>
    <w:rsid w:val="00A26168"/>
    <w:rsid w:val="00A36960"/>
    <w:rsid w:val="00A41330"/>
    <w:rsid w:val="00A45D6A"/>
    <w:rsid w:val="00A50F18"/>
    <w:rsid w:val="00A67ABB"/>
    <w:rsid w:val="00A67F25"/>
    <w:rsid w:val="00A8034A"/>
    <w:rsid w:val="00A95BDC"/>
    <w:rsid w:val="00AA5728"/>
    <w:rsid w:val="00AB6CB3"/>
    <w:rsid w:val="00AD27C6"/>
    <w:rsid w:val="00AE39C6"/>
    <w:rsid w:val="00AE72AB"/>
    <w:rsid w:val="00AE7EF2"/>
    <w:rsid w:val="00B03B74"/>
    <w:rsid w:val="00B06113"/>
    <w:rsid w:val="00B313B3"/>
    <w:rsid w:val="00B52975"/>
    <w:rsid w:val="00B53277"/>
    <w:rsid w:val="00B8412F"/>
    <w:rsid w:val="00B87201"/>
    <w:rsid w:val="00BA2F16"/>
    <w:rsid w:val="00BB035D"/>
    <w:rsid w:val="00BE284C"/>
    <w:rsid w:val="00BE7767"/>
    <w:rsid w:val="00BF259E"/>
    <w:rsid w:val="00C07834"/>
    <w:rsid w:val="00C1154C"/>
    <w:rsid w:val="00C156B7"/>
    <w:rsid w:val="00C440B7"/>
    <w:rsid w:val="00C51DA1"/>
    <w:rsid w:val="00C6089A"/>
    <w:rsid w:val="00C66F3A"/>
    <w:rsid w:val="00C86E90"/>
    <w:rsid w:val="00CB1C1D"/>
    <w:rsid w:val="00CC1C63"/>
    <w:rsid w:val="00CC560C"/>
    <w:rsid w:val="00CC78B0"/>
    <w:rsid w:val="00CD38AF"/>
    <w:rsid w:val="00CD6D72"/>
    <w:rsid w:val="00CF47DF"/>
    <w:rsid w:val="00CF7457"/>
    <w:rsid w:val="00D17F7E"/>
    <w:rsid w:val="00D369FA"/>
    <w:rsid w:val="00D42E6D"/>
    <w:rsid w:val="00D63925"/>
    <w:rsid w:val="00D83AED"/>
    <w:rsid w:val="00DA22AC"/>
    <w:rsid w:val="00DA5D1F"/>
    <w:rsid w:val="00DA6733"/>
    <w:rsid w:val="00DA7E80"/>
    <w:rsid w:val="00DA7F8A"/>
    <w:rsid w:val="00DB12E3"/>
    <w:rsid w:val="00DB1DC5"/>
    <w:rsid w:val="00DB62B6"/>
    <w:rsid w:val="00DD0619"/>
    <w:rsid w:val="00DF543E"/>
    <w:rsid w:val="00E45654"/>
    <w:rsid w:val="00E74E21"/>
    <w:rsid w:val="00E81A28"/>
    <w:rsid w:val="00EB6B01"/>
    <w:rsid w:val="00EC5920"/>
    <w:rsid w:val="00ED2B19"/>
    <w:rsid w:val="00ED572C"/>
    <w:rsid w:val="00ED6391"/>
    <w:rsid w:val="00EE00CE"/>
    <w:rsid w:val="00EE0726"/>
    <w:rsid w:val="00EE3C01"/>
    <w:rsid w:val="00F24E62"/>
    <w:rsid w:val="00F60466"/>
    <w:rsid w:val="00F61765"/>
    <w:rsid w:val="00F73706"/>
    <w:rsid w:val="00F7460B"/>
    <w:rsid w:val="00FD282B"/>
    <w:rsid w:val="00FD7201"/>
    <w:rsid w:val="00FE2A8D"/>
    <w:rsid w:val="00FF29C2"/>
    <w:rsid w:val="00FF58C9"/>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B82E3"/>
  <w15:docId w15:val="{8878AC51-FFA7-4A77-BAB6-24B84B51E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gu-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7B9"/>
    <w:rPr>
      <w:rFonts w:cs="Shruti"/>
    </w:rPr>
  </w:style>
  <w:style w:type="paragraph" w:styleId="Heading3">
    <w:name w:val="heading 3"/>
    <w:basedOn w:val="Normal"/>
    <w:next w:val="Normal"/>
    <w:link w:val="Heading3Char"/>
    <w:uiPriority w:val="9"/>
    <w:semiHidden/>
    <w:unhideWhenUsed/>
    <w:qFormat/>
    <w:rsid w:val="00BB035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D17F7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6F3A"/>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D17F7E"/>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051E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E7E"/>
    <w:rPr>
      <w:rFonts w:ascii="Tahoma" w:hAnsi="Tahoma" w:cs="Tahoma"/>
      <w:sz w:val="16"/>
      <w:szCs w:val="16"/>
    </w:rPr>
  </w:style>
  <w:style w:type="character" w:styleId="Strong">
    <w:name w:val="Strong"/>
    <w:basedOn w:val="DefaultParagraphFont"/>
    <w:uiPriority w:val="22"/>
    <w:qFormat/>
    <w:rsid w:val="003117B9"/>
    <w:rPr>
      <w:b/>
      <w:bCs/>
    </w:rPr>
  </w:style>
  <w:style w:type="character" w:styleId="Hyperlink">
    <w:name w:val="Hyperlink"/>
    <w:basedOn w:val="DefaultParagraphFont"/>
    <w:uiPriority w:val="99"/>
    <w:unhideWhenUsed/>
    <w:rsid w:val="00FE2A8D"/>
    <w:rPr>
      <w:color w:val="0000FF" w:themeColor="hyperlink"/>
      <w:u w:val="single"/>
    </w:rPr>
  </w:style>
  <w:style w:type="character" w:customStyle="1" w:styleId="UnresolvedMention1">
    <w:name w:val="Unresolved Mention1"/>
    <w:basedOn w:val="DefaultParagraphFont"/>
    <w:uiPriority w:val="99"/>
    <w:semiHidden/>
    <w:unhideWhenUsed/>
    <w:rsid w:val="00BE284C"/>
    <w:rPr>
      <w:color w:val="605E5C"/>
      <w:shd w:val="clear" w:color="auto" w:fill="E1DFDD"/>
    </w:rPr>
  </w:style>
  <w:style w:type="paragraph" w:styleId="Header">
    <w:name w:val="header"/>
    <w:basedOn w:val="Normal"/>
    <w:link w:val="HeaderChar"/>
    <w:uiPriority w:val="99"/>
    <w:unhideWhenUsed/>
    <w:rsid w:val="00D369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69FA"/>
    <w:rPr>
      <w:rFonts w:cs="Shruti"/>
    </w:rPr>
  </w:style>
  <w:style w:type="paragraph" w:styleId="Footer">
    <w:name w:val="footer"/>
    <w:basedOn w:val="Normal"/>
    <w:link w:val="FooterChar"/>
    <w:uiPriority w:val="99"/>
    <w:unhideWhenUsed/>
    <w:rsid w:val="00D369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69FA"/>
    <w:rPr>
      <w:rFonts w:cs="Shruti"/>
    </w:rPr>
  </w:style>
  <w:style w:type="paragraph" w:styleId="NormalWeb">
    <w:name w:val="Normal (Web)"/>
    <w:basedOn w:val="Normal"/>
    <w:uiPriority w:val="99"/>
    <w:unhideWhenUsed/>
    <w:rsid w:val="00F7370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UnresolvedMention">
    <w:name w:val="Unresolved Mention"/>
    <w:basedOn w:val="DefaultParagraphFont"/>
    <w:uiPriority w:val="99"/>
    <w:semiHidden/>
    <w:unhideWhenUsed/>
    <w:rsid w:val="00EC5920"/>
    <w:rPr>
      <w:color w:val="605E5C"/>
      <w:shd w:val="clear" w:color="auto" w:fill="E1DFDD"/>
    </w:rPr>
  </w:style>
  <w:style w:type="paragraph" w:customStyle="1" w:styleId="pdq2pgselectionanchorcontainer">
    <w:name w:val="pdq2pg_selectionanchorcontainer"/>
    <w:basedOn w:val="Normal"/>
    <w:rsid w:val="00A45D6A"/>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A45D6A"/>
    <w:rPr>
      <w:i/>
      <w:iCs/>
    </w:rPr>
  </w:style>
  <w:style w:type="character" w:customStyle="1" w:styleId="Heading3Char">
    <w:name w:val="Heading 3 Char"/>
    <w:basedOn w:val="DefaultParagraphFont"/>
    <w:link w:val="Heading3"/>
    <w:uiPriority w:val="9"/>
    <w:semiHidden/>
    <w:rsid w:val="00BB035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9766">
      <w:bodyDiv w:val="1"/>
      <w:marLeft w:val="0"/>
      <w:marRight w:val="0"/>
      <w:marTop w:val="0"/>
      <w:marBottom w:val="0"/>
      <w:divBdr>
        <w:top w:val="none" w:sz="0" w:space="0" w:color="auto"/>
        <w:left w:val="none" w:sz="0" w:space="0" w:color="auto"/>
        <w:bottom w:val="none" w:sz="0" w:space="0" w:color="auto"/>
        <w:right w:val="none" w:sz="0" w:space="0" w:color="auto"/>
      </w:divBdr>
    </w:div>
    <w:div w:id="39941852">
      <w:bodyDiv w:val="1"/>
      <w:marLeft w:val="0"/>
      <w:marRight w:val="0"/>
      <w:marTop w:val="0"/>
      <w:marBottom w:val="0"/>
      <w:divBdr>
        <w:top w:val="none" w:sz="0" w:space="0" w:color="auto"/>
        <w:left w:val="none" w:sz="0" w:space="0" w:color="auto"/>
        <w:bottom w:val="none" w:sz="0" w:space="0" w:color="auto"/>
        <w:right w:val="none" w:sz="0" w:space="0" w:color="auto"/>
      </w:divBdr>
    </w:div>
    <w:div w:id="174661287">
      <w:bodyDiv w:val="1"/>
      <w:marLeft w:val="0"/>
      <w:marRight w:val="0"/>
      <w:marTop w:val="0"/>
      <w:marBottom w:val="0"/>
      <w:divBdr>
        <w:top w:val="none" w:sz="0" w:space="0" w:color="auto"/>
        <w:left w:val="none" w:sz="0" w:space="0" w:color="auto"/>
        <w:bottom w:val="none" w:sz="0" w:space="0" w:color="auto"/>
        <w:right w:val="none" w:sz="0" w:space="0" w:color="auto"/>
      </w:divBdr>
    </w:div>
    <w:div w:id="187567438">
      <w:bodyDiv w:val="1"/>
      <w:marLeft w:val="0"/>
      <w:marRight w:val="0"/>
      <w:marTop w:val="0"/>
      <w:marBottom w:val="0"/>
      <w:divBdr>
        <w:top w:val="none" w:sz="0" w:space="0" w:color="auto"/>
        <w:left w:val="none" w:sz="0" w:space="0" w:color="auto"/>
        <w:bottom w:val="none" w:sz="0" w:space="0" w:color="auto"/>
        <w:right w:val="none" w:sz="0" w:space="0" w:color="auto"/>
      </w:divBdr>
    </w:div>
    <w:div w:id="277838305">
      <w:bodyDiv w:val="1"/>
      <w:marLeft w:val="0"/>
      <w:marRight w:val="0"/>
      <w:marTop w:val="0"/>
      <w:marBottom w:val="0"/>
      <w:divBdr>
        <w:top w:val="none" w:sz="0" w:space="0" w:color="auto"/>
        <w:left w:val="none" w:sz="0" w:space="0" w:color="auto"/>
        <w:bottom w:val="none" w:sz="0" w:space="0" w:color="auto"/>
        <w:right w:val="none" w:sz="0" w:space="0" w:color="auto"/>
      </w:divBdr>
    </w:div>
    <w:div w:id="456292258">
      <w:bodyDiv w:val="1"/>
      <w:marLeft w:val="0"/>
      <w:marRight w:val="0"/>
      <w:marTop w:val="0"/>
      <w:marBottom w:val="0"/>
      <w:divBdr>
        <w:top w:val="none" w:sz="0" w:space="0" w:color="auto"/>
        <w:left w:val="none" w:sz="0" w:space="0" w:color="auto"/>
        <w:bottom w:val="none" w:sz="0" w:space="0" w:color="auto"/>
        <w:right w:val="none" w:sz="0" w:space="0" w:color="auto"/>
      </w:divBdr>
    </w:div>
    <w:div w:id="545608684">
      <w:bodyDiv w:val="1"/>
      <w:marLeft w:val="0"/>
      <w:marRight w:val="0"/>
      <w:marTop w:val="0"/>
      <w:marBottom w:val="0"/>
      <w:divBdr>
        <w:top w:val="none" w:sz="0" w:space="0" w:color="auto"/>
        <w:left w:val="none" w:sz="0" w:space="0" w:color="auto"/>
        <w:bottom w:val="none" w:sz="0" w:space="0" w:color="auto"/>
        <w:right w:val="none" w:sz="0" w:space="0" w:color="auto"/>
      </w:divBdr>
    </w:div>
    <w:div w:id="549538740">
      <w:bodyDiv w:val="1"/>
      <w:marLeft w:val="0"/>
      <w:marRight w:val="0"/>
      <w:marTop w:val="0"/>
      <w:marBottom w:val="0"/>
      <w:divBdr>
        <w:top w:val="none" w:sz="0" w:space="0" w:color="auto"/>
        <w:left w:val="none" w:sz="0" w:space="0" w:color="auto"/>
        <w:bottom w:val="none" w:sz="0" w:space="0" w:color="auto"/>
        <w:right w:val="none" w:sz="0" w:space="0" w:color="auto"/>
      </w:divBdr>
    </w:div>
    <w:div w:id="564028326">
      <w:bodyDiv w:val="1"/>
      <w:marLeft w:val="0"/>
      <w:marRight w:val="0"/>
      <w:marTop w:val="0"/>
      <w:marBottom w:val="0"/>
      <w:divBdr>
        <w:top w:val="none" w:sz="0" w:space="0" w:color="auto"/>
        <w:left w:val="none" w:sz="0" w:space="0" w:color="auto"/>
        <w:bottom w:val="none" w:sz="0" w:space="0" w:color="auto"/>
        <w:right w:val="none" w:sz="0" w:space="0" w:color="auto"/>
      </w:divBdr>
    </w:div>
    <w:div w:id="566108356">
      <w:bodyDiv w:val="1"/>
      <w:marLeft w:val="0"/>
      <w:marRight w:val="0"/>
      <w:marTop w:val="0"/>
      <w:marBottom w:val="0"/>
      <w:divBdr>
        <w:top w:val="none" w:sz="0" w:space="0" w:color="auto"/>
        <w:left w:val="none" w:sz="0" w:space="0" w:color="auto"/>
        <w:bottom w:val="none" w:sz="0" w:space="0" w:color="auto"/>
        <w:right w:val="none" w:sz="0" w:space="0" w:color="auto"/>
      </w:divBdr>
    </w:div>
    <w:div w:id="641810310">
      <w:bodyDiv w:val="1"/>
      <w:marLeft w:val="0"/>
      <w:marRight w:val="0"/>
      <w:marTop w:val="0"/>
      <w:marBottom w:val="0"/>
      <w:divBdr>
        <w:top w:val="none" w:sz="0" w:space="0" w:color="auto"/>
        <w:left w:val="none" w:sz="0" w:space="0" w:color="auto"/>
        <w:bottom w:val="none" w:sz="0" w:space="0" w:color="auto"/>
        <w:right w:val="none" w:sz="0" w:space="0" w:color="auto"/>
      </w:divBdr>
    </w:div>
    <w:div w:id="668680271">
      <w:bodyDiv w:val="1"/>
      <w:marLeft w:val="0"/>
      <w:marRight w:val="0"/>
      <w:marTop w:val="0"/>
      <w:marBottom w:val="0"/>
      <w:divBdr>
        <w:top w:val="none" w:sz="0" w:space="0" w:color="auto"/>
        <w:left w:val="none" w:sz="0" w:space="0" w:color="auto"/>
        <w:bottom w:val="none" w:sz="0" w:space="0" w:color="auto"/>
        <w:right w:val="none" w:sz="0" w:space="0" w:color="auto"/>
      </w:divBdr>
    </w:div>
    <w:div w:id="715160397">
      <w:bodyDiv w:val="1"/>
      <w:marLeft w:val="0"/>
      <w:marRight w:val="0"/>
      <w:marTop w:val="0"/>
      <w:marBottom w:val="0"/>
      <w:divBdr>
        <w:top w:val="none" w:sz="0" w:space="0" w:color="auto"/>
        <w:left w:val="none" w:sz="0" w:space="0" w:color="auto"/>
        <w:bottom w:val="none" w:sz="0" w:space="0" w:color="auto"/>
        <w:right w:val="none" w:sz="0" w:space="0" w:color="auto"/>
      </w:divBdr>
    </w:div>
    <w:div w:id="753552332">
      <w:bodyDiv w:val="1"/>
      <w:marLeft w:val="0"/>
      <w:marRight w:val="0"/>
      <w:marTop w:val="0"/>
      <w:marBottom w:val="0"/>
      <w:divBdr>
        <w:top w:val="none" w:sz="0" w:space="0" w:color="auto"/>
        <w:left w:val="none" w:sz="0" w:space="0" w:color="auto"/>
        <w:bottom w:val="none" w:sz="0" w:space="0" w:color="auto"/>
        <w:right w:val="none" w:sz="0" w:space="0" w:color="auto"/>
      </w:divBdr>
    </w:div>
    <w:div w:id="784235897">
      <w:bodyDiv w:val="1"/>
      <w:marLeft w:val="0"/>
      <w:marRight w:val="0"/>
      <w:marTop w:val="0"/>
      <w:marBottom w:val="0"/>
      <w:divBdr>
        <w:top w:val="none" w:sz="0" w:space="0" w:color="auto"/>
        <w:left w:val="none" w:sz="0" w:space="0" w:color="auto"/>
        <w:bottom w:val="none" w:sz="0" w:space="0" w:color="auto"/>
        <w:right w:val="none" w:sz="0" w:space="0" w:color="auto"/>
      </w:divBdr>
    </w:div>
    <w:div w:id="868490518">
      <w:bodyDiv w:val="1"/>
      <w:marLeft w:val="0"/>
      <w:marRight w:val="0"/>
      <w:marTop w:val="0"/>
      <w:marBottom w:val="0"/>
      <w:divBdr>
        <w:top w:val="none" w:sz="0" w:space="0" w:color="auto"/>
        <w:left w:val="none" w:sz="0" w:space="0" w:color="auto"/>
        <w:bottom w:val="none" w:sz="0" w:space="0" w:color="auto"/>
        <w:right w:val="none" w:sz="0" w:space="0" w:color="auto"/>
      </w:divBdr>
    </w:div>
    <w:div w:id="897743863">
      <w:bodyDiv w:val="1"/>
      <w:marLeft w:val="0"/>
      <w:marRight w:val="0"/>
      <w:marTop w:val="0"/>
      <w:marBottom w:val="0"/>
      <w:divBdr>
        <w:top w:val="none" w:sz="0" w:space="0" w:color="auto"/>
        <w:left w:val="none" w:sz="0" w:space="0" w:color="auto"/>
        <w:bottom w:val="none" w:sz="0" w:space="0" w:color="auto"/>
        <w:right w:val="none" w:sz="0" w:space="0" w:color="auto"/>
      </w:divBdr>
    </w:div>
    <w:div w:id="899288785">
      <w:bodyDiv w:val="1"/>
      <w:marLeft w:val="0"/>
      <w:marRight w:val="0"/>
      <w:marTop w:val="0"/>
      <w:marBottom w:val="0"/>
      <w:divBdr>
        <w:top w:val="none" w:sz="0" w:space="0" w:color="auto"/>
        <w:left w:val="none" w:sz="0" w:space="0" w:color="auto"/>
        <w:bottom w:val="none" w:sz="0" w:space="0" w:color="auto"/>
        <w:right w:val="none" w:sz="0" w:space="0" w:color="auto"/>
      </w:divBdr>
    </w:div>
    <w:div w:id="927662831">
      <w:bodyDiv w:val="1"/>
      <w:marLeft w:val="0"/>
      <w:marRight w:val="0"/>
      <w:marTop w:val="0"/>
      <w:marBottom w:val="0"/>
      <w:divBdr>
        <w:top w:val="none" w:sz="0" w:space="0" w:color="auto"/>
        <w:left w:val="none" w:sz="0" w:space="0" w:color="auto"/>
        <w:bottom w:val="none" w:sz="0" w:space="0" w:color="auto"/>
        <w:right w:val="none" w:sz="0" w:space="0" w:color="auto"/>
      </w:divBdr>
    </w:div>
    <w:div w:id="955058996">
      <w:bodyDiv w:val="1"/>
      <w:marLeft w:val="0"/>
      <w:marRight w:val="0"/>
      <w:marTop w:val="0"/>
      <w:marBottom w:val="0"/>
      <w:divBdr>
        <w:top w:val="none" w:sz="0" w:space="0" w:color="auto"/>
        <w:left w:val="none" w:sz="0" w:space="0" w:color="auto"/>
        <w:bottom w:val="none" w:sz="0" w:space="0" w:color="auto"/>
        <w:right w:val="none" w:sz="0" w:space="0" w:color="auto"/>
      </w:divBdr>
    </w:div>
    <w:div w:id="1078360841">
      <w:bodyDiv w:val="1"/>
      <w:marLeft w:val="0"/>
      <w:marRight w:val="0"/>
      <w:marTop w:val="0"/>
      <w:marBottom w:val="0"/>
      <w:divBdr>
        <w:top w:val="none" w:sz="0" w:space="0" w:color="auto"/>
        <w:left w:val="none" w:sz="0" w:space="0" w:color="auto"/>
        <w:bottom w:val="none" w:sz="0" w:space="0" w:color="auto"/>
        <w:right w:val="none" w:sz="0" w:space="0" w:color="auto"/>
      </w:divBdr>
    </w:div>
    <w:div w:id="1160275196">
      <w:bodyDiv w:val="1"/>
      <w:marLeft w:val="0"/>
      <w:marRight w:val="0"/>
      <w:marTop w:val="0"/>
      <w:marBottom w:val="0"/>
      <w:divBdr>
        <w:top w:val="none" w:sz="0" w:space="0" w:color="auto"/>
        <w:left w:val="none" w:sz="0" w:space="0" w:color="auto"/>
        <w:bottom w:val="none" w:sz="0" w:space="0" w:color="auto"/>
        <w:right w:val="none" w:sz="0" w:space="0" w:color="auto"/>
      </w:divBdr>
    </w:div>
    <w:div w:id="1206452775">
      <w:bodyDiv w:val="1"/>
      <w:marLeft w:val="0"/>
      <w:marRight w:val="0"/>
      <w:marTop w:val="0"/>
      <w:marBottom w:val="0"/>
      <w:divBdr>
        <w:top w:val="none" w:sz="0" w:space="0" w:color="auto"/>
        <w:left w:val="none" w:sz="0" w:space="0" w:color="auto"/>
        <w:bottom w:val="none" w:sz="0" w:space="0" w:color="auto"/>
        <w:right w:val="none" w:sz="0" w:space="0" w:color="auto"/>
      </w:divBdr>
    </w:div>
    <w:div w:id="1335299022">
      <w:bodyDiv w:val="1"/>
      <w:marLeft w:val="0"/>
      <w:marRight w:val="0"/>
      <w:marTop w:val="0"/>
      <w:marBottom w:val="0"/>
      <w:divBdr>
        <w:top w:val="none" w:sz="0" w:space="0" w:color="auto"/>
        <w:left w:val="none" w:sz="0" w:space="0" w:color="auto"/>
        <w:bottom w:val="none" w:sz="0" w:space="0" w:color="auto"/>
        <w:right w:val="none" w:sz="0" w:space="0" w:color="auto"/>
      </w:divBdr>
    </w:div>
    <w:div w:id="1420440254">
      <w:bodyDiv w:val="1"/>
      <w:marLeft w:val="0"/>
      <w:marRight w:val="0"/>
      <w:marTop w:val="0"/>
      <w:marBottom w:val="0"/>
      <w:divBdr>
        <w:top w:val="none" w:sz="0" w:space="0" w:color="auto"/>
        <w:left w:val="none" w:sz="0" w:space="0" w:color="auto"/>
        <w:bottom w:val="none" w:sz="0" w:space="0" w:color="auto"/>
        <w:right w:val="none" w:sz="0" w:space="0" w:color="auto"/>
      </w:divBdr>
    </w:div>
    <w:div w:id="1592274908">
      <w:bodyDiv w:val="1"/>
      <w:marLeft w:val="0"/>
      <w:marRight w:val="0"/>
      <w:marTop w:val="0"/>
      <w:marBottom w:val="0"/>
      <w:divBdr>
        <w:top w:val="none" w:sz="0" w:space="0" w:color="auto"/>
        <w:left w:val="none" w:sz="0" w:space="0" w:color="auto"/>
        <w:bottom w:val="none" w:sz="0" w:space="0" w:color="auto"/>
        <w:right w:val="none" w:sz="0" w:space="0" w:color="auto"/>
      </w:divBdr>
    </w:div>
    <w:div w:id="1611475771">
      <w:bodyDiv w:val="1"/>
      <w:marLeft w:val="0"/>
      <w:marRight w:val="0"/>
      <w:marTop w:val="0"/>
      <w:marBottom w:val="0"/>
      <w:divBdr>
        <w:top w:val="none" w:sz="0" w:space="0" w:color="auto"/>
        <w:left w:val="none" w:sz="0" w:space="0" w:color="auto"/>
        <w:bottom w:val="none" w:sz="0" w:space="0" w:color="auto"/>
        <w:right w:val="none" w:sz="0" w:space="0" w:color="auto"/>
      </w:divBdr>
    </w:div>
    <w:div w:id="1646738820">
      <w:bodyDiv w:val="1"/>
      <w:marLeft w:val="0"/>
      <w:marRight w:val="0"/>
      <w:marTop w:val="0"/>
      <w:marBottom w:val="0"/>
      <w:divBdr>
        <w:top w:val="none" w:sz="0" w:space="0" w:color="auto"/>
        <w:left w:val="none" w:sz="0" w:space="0" w:color="auto"/>
        <w:bottom w:val="none" w:sz="0" w:space="0" w:color="auto"/>
        <w:right w:val="none" w:sz="0" w:space="0" w:color="auto"/>
      </w:divBdr>
    </w:div>
    <w:div w:id="1689719551">
      <w:bodyDiv w:val="1"/>
      <w:marLeft w:val="0"/>
      <w:marRight w:val="0"/>
      <w:marTop w:val="0"/>
      <w:marBottom w:val="0"/>
      <w:divBdr>
        <w:top w:val="none" w:sz="0" w:space="0" w:color="auto"/>
        <w:left w:val="none" w:sz="0" w:space="0" w:color="auto"/>
        <w:bottom w:val="none" w:sz="0" w:space="0" w:color="auto"/>
        <w:right w:val="none" w:sz="0" w:space="0" w:color="auto"/>
      </w:divBdr>
    </w:div>
    <w:div w:id="1718165085">
      <w:bodyDiv w:val="1"/>
      <w:marLeft w:val="0"/>
      <w:marRight w:val="0"/>
      <w:marTop w:val="0"/>
      <w:marBottom w:val="0"/>
      <w:divBdr>
        <w:top w:val="none" w:sz="0" w:space="0" w:color="auto"/>
        <w:left w:val="none" w:sz="0" w:space="0" w:color="auto"/>
        <w:bottom w:val="none" w:sz="0" w:space="0" w:color="auto"/>
        <w:right w:val="none" w:sz="0" w:space="0" w:color="auto"/>
      </w:divBdr>
    </w:div>
    <w:div w:id="1732726729">
      <w:bodyDiv w:val="1"/>
      <w:marLeft w:val="0"/>
      <w:marRight w:val="0"/>
      <w:marTop w:val="0"/>
      <w:marBottom w:val="0"/>
      <w:divBdr>
        <w:top w:val="none" w:sz="0" w:space="0" w:color="auto"/>
        <w:left w:val="none" w:sz="0" w:space="0" w:color="auto"/>
        <w:bottom w:val="none" w:sz="0" w:space="0" w:color="auto"/>
        <w:right w:val="none" w:sz="0" w:space="0" w:color="auto"/>
      </w:divBdr>
    </w:div>
    <w:div w:id="1735272579">
      <w:bodyDiv w:val="1"/>
      <w:marLeft w:val="0"/>
      <w:marRight w:val="0"/>
      <w:marTop w:val="0"/>
      <w:marBottom w:val="0"/>
      <w:divBdr>
        <w:top w:val="none" w:sz="0" w:space="0" w:color="auto"/>
        <w:left w:val="none" w:sz="0" w:space="0" w:color="auto"/>
        <w:bottom w:val="none" w:sz="0" w:space="0" w:color="auto"/>
        <w:right w:val="none" w:sz="0" w:space="0" w:color="auto"/>
      </w:divBdr>
    </w:div>
    <w:div w:id="1740976685">
      <w:bodyDiv w:val="1"/>
      <w:marLeft w:val="0"/>
      <w:marRight w:val="0"/>
      <w:marTop w:val="0"/>
      <w:marBottom w:val="0"/>
      <w:divBdr>
        <w:top w:val="none" w:sz="0" w:space="0" w:color="auto"/>
        <w:left w:val="none" w:sz="0" w:space="0" w:color="auto"/>
        <w:bottom w:val="none" w:sz="0" w:space="0" w:color="auto"/>
        <w:right w:val="none" w:sz="0" w:space="0" w:color="auto"/>
      </w:divBdr>
      <w:divsChild>
        <w:div w:id="2099521938">
          <w:marLeft w:val="0"/>
          <w:marRight w:val="0"/>
          <w:marTop w:val="0"/>
          <w:marBottom w:val="0"/>
          <w:divBdr>
            <w:top w:val="none" w:sz="0" w:space="0" w:color="auto"/>
            <w:left w:val="none" w:sz="0" w:space="0" w:color="auto"/>
            <w:bottom w:val="none" w:sz="0" w:space="0" w:color="auto"/>
            <w:right w:val="none" w:sz="0" w:space="0" w:color="auto"/>
          </w:divBdr>
          <w:divsChild>
            <w:div w:id="498078965">
              <w:marLeft w:val="0"/>
              <w:marRight w:val="0"/>
              <w:marTop w:val="0"/>
              <w:marBottom w:val="0"/>
              <w:divBdr>
                <w:top w:val="none" w:sz="0" w:space="0" w:color="auto"/>
                <w:left w:val="none" w:sz="0" w:space="0" w:color="auto"/>
                <w:bottom w:val="none" w:sz="0" w:space="0" w:color="auto"/>
                <w:right w:val="none" w:sz="0" w:space="0" w:color="auto"/>
              </w:divBdr>
              <w:divsChild>
                <w:div w:id="511377742">
                  <w:marLeft w:val="0"/>
                  <w:marRight w:val="0"/>
                  <w:marTop w:val="0"/>
                  <w:marBottom w:val="0"/>
                  <w:divBdr>
                    <w:top w:val="none" w:sz="0" w:space="0" w:color="auto"/>
                    <w:left w:val="none" w:sz="0" w:space="0" w:color="auto"/>
                    <w:bottom w:val="none" w:sz="0" w:space="0" w:color="auto"/>
                    <w:right w:val="none" w:sz="0" w:space="0" w:color="auto"/>
                  </w:divBdr>
                  <w:divsChild>
                    <w:div w:id="2108884353">
                      <w:marLeft w:val="0"/>
                      <w:marRight w:val="0"/>
                      <w:marTop w:val="0"/>
                      <w:marBottom w:val="0"/>
                      <w:divBdr>
                        <w:top w:val="none" w:sz="0" w:space="0" w:color="auto"/>
                        <w:left w:val="none" w:sz="0" w:space="0" w:color="auto"/>
                        <w:bottom w:val="none" w:sz="0" w:space="0" w:color="auto"/>
                        <w:right w:val="none" w:sz="0" w:space="0" w:color="auto"/>
                      </w:divBdr>
                      <w:divsChild>
                        <w:div w:id="1598172149">
                          <w:marLeft w:val="0"/>
                          <w:marRight w:val="0"/>
                          <w:marTop w:val="0"/>
                          <w:marBottom w:val="0"/>
                          <w:divBdr>
                            <w:top w:val="none" w:sz="0" w:space="0" w:color="auto"/>
                            <w:left w:val="none" w:sz="0" w:space="0" w:color="auto"/>
                            <w:bottom w:val="none" w:sz="0" w:space="0" w:color="auto"/>
                            <w:right w:val="none" w:sz="0" w:space="0" w:color="auto"/>
                          </w:divBdr>
                          <w:divsChild>
                            <w:div w:id="264457447">
                              <w:marLeft w:val="0"/>
                              <w:marRight w:val="0"/>
                              <w:marTop w:val="0"/>
                              <w:marBottom w:val="0"/>
                              <w:divBdr>
                                <w:top w:val="none" w:sz="0" w:space="0" w:color="auto"/>
                                <w:left w:val="none" w:sz="0" w:space="0" w:color="auto"/>
                                <w:bottom w:val="none" w:sz="0" w:space="0" w:color="auto"/>
                                <w:right w:val="none" w:sz="0" w:space="0" w:color="auto"/>
                              </w:divBdr>
                              <w:divsChild>
                                <w:div w:id="708451037">
                                  <w:marLeft w:val="0"/>
                                  <w:marRight w:val="0"/>
                                  <w:marTop w:val="0"/>
                                  <w:marBottom w:val="0"/>
                                  <w:divBdr>
                                    <w:top w:val="none" w:sz="0" w:space="0" w:color="auto"/>
                                    <w:left w:val="none" w:sz="0" w:space="0" w:color="auto"/>
                                    <w:bottom w:val="none" w:sz="0" w:space="0" w:color="auto"/>
                                    <w:right w:val="none" w:sz="0" w:space="0" w:color="auto"/>
                                  </w:divBdr>
                                  <w:divsChild>
                                    <w:div w:id="18993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760945">
      <w:bodyDiv w:val="1"/>
      <w:marLeft w:val="0"/>
      <w:marRight w:val="0"/>
      <w:marTop w:val="0"/>
      <w:marBottom w:val="0"/>
      <w:divBdr>
        <w:top w:val="none" w:sz="0" w:space="0" w:color="auto"/>
        <w:left w:val="none" w:sz="0" w:space="0" w:color="auto"/>
        <w:bottom w:val="none" w:sz="0" w:space="0" w:color="auto"/>
        <w:right w:val="none" w:sz="0" w:space="0" w:color="auto"/>
      </w:divBdr>
    </w:div>
    <w:div w:id="1804690592">
      <w:bodyDiv w:val="1"/>
      <w:marLeft w:val="0"/>
      <w:marRight w:val="0"/>
      <w:marTop w:val="0"/>
      <w:marBottom w:val="0"/>
      <w:divBdr>
        <w:top w:val="none" w:sz="0" w:space="0" w:color="auto"/>
        <w:left w:val="none" w:sz="0" w:space="0" w:color="auto"/>
        <w:bottom w:val="none" w:sz="0" w:space="0" w:color="auto"/>
        <w:right w:val="none" w:sz="0" w:space="0" w:color="auto"/>
      </w:divBdr>
    </w:div>
    <w:div w:id="1917933187">
      <w:bodyDiv w:val="1"/>
      <w:marLeft w:val="0"/>
      <w:marRight w:val="0"/>
      <w:marTop w:val="0"/>
      <w:marBottom w:val="0"/>
      <w:divBdr>
        <w:top w:val="none" w:sz="0" w:space="0" w:color="auto"/>
        <w:left w:val="none" w:sz="0" w:space="0" w:color="auto"/>
        <w:bottom w:val="none" w:sz="0" w:space="0" w:color="auto"/>
        <w:right w:val="none" w:sz="0" w:space="0" w:color="auto"/>
      </w:divBdr>
    </w:div>
    <w:div w:id="1970477001">
      <w:bodyDiv w:val="1"/>
      <w:marLeft w:val="0"/>
      <w:marRight w:val="0"/>
      <w:marTop w:val="0"/>
      <w:marBottom w:val="0"/>
      <w:divBdr>
        <w:top w:val="none" w:sz="0" w:space="0" w:color="auto"/>
        <w:left w:val="none" w:sz="0" w:space="0" w:color="auto"/>
        <w:bottom w:val="none" w:sz="0" w:space="0" w:color="auto"/>
        <w:right w:val="none" w:sz="0" w:space="0" w:color="auto"/>
      </w:divBdr>
    </w:div>
    <w:div w:id="2027638483">
      <w:bodyDiv w:val="1"/>
      <w:marLeft w:val="0"/>
      <w:marRight w:val="0"/>
      <w:marTop w:val="0"/>
      <w:marBottom w:val="0"/>
      <w:divBdr>
        <w:top w:val="none" w:sz="0" w:space="0" w:color="auto"/>
        <w:left w:val="none" w:sz="0" w:space="0" w:color="auto"/>
        <w:bottom w:val="none" w:sz="0" w:space="0" w:color="auto"/>
        <w:right w:val="none" w:sz="0" w:space="0" w:color="auto"/>
      </w:divBdr>
    </w:div>
    <w:div w:id="2043705188">
      <w:bodyDiv w:val="1"/>
      <w:marLeft w:val="0"/>
      <w:marRight w:val="0"/>
      <w:marTop w:val="0"/>
      <w:marBottom w:val="0"/>
      <w:divBdr>
        <w:top w:val="none" w:sz="0" w:space="0" w:color="auto"/>
        <w:left w:val="none" w:sz="0" w:space="0" w:color="auto"/>
        <w:bottom w:val="none" w:sz="0" w:space="0" w:color="auto"/>
        <w:right w:val="none" w:sz="0" w:space="0" w:color="auto"/>
      </w:divBdr>
    </w:div>
    <w:div w:id="2098817915">
      <w:bodyDiv w:val="1"/>
      <w:marLeft w:val="0"/>
      <w:marRight w:val="0"/>
      <w:marTop w:val="0"/>
      <w:marBottom w:val="0"/>
      <w:divBdr>
        <w:top w:val="none" w:sz="0" w:space="0" w:color="auto"/>
        <w:left w:val="none" w:sz="0" w:space="0" w:color="auto"/>
        <w:bottom w:val="none" w:sz="0" w:space="0" w:color="auto"/>
        <w:right w:val="none" w:sz="0" w:space="0" w:color="auto"/>
      </w:divBdr>
      <w:divsChild>
        <w:div w:id="1898275800">
          <w:marLeft w:val="0"/>
          <w:marRight w:val="0"/>
          <w:marTop w:val="0"/>
          <w:marBottom w:val="0"/>
          <w:divBdr>
            <w:top w:val="none" w:sz="0" w:space="0" w:color="auto"/>
            <w:left w:val="none" w:sz="0" w:space="0" w:color="auto"/>
            <w:bottom w:val="none" w:sz="0" w:space="0" w:color="auto"/>
            <w:right w:val="none" w:sz="0" w:space="0" w:color="auto"/>
          </w:divBdr>
          <w:divsChild>
            <w:div w:id="386729484">
              <w:marLeft w:val="0"/>
              <w:marRight w:val="0"/>
              <w:marTop w:val="0"/>
              <w:marBottom w:val="0"/>
              <w:divBdr>
                <w:top w:val="none" w:sz="0" w:space="0" w:color="auto"/>
                <w:left w:val="none" w:sz="0" w:space="0" w:color="auto"/>
                <w:bottom w:val="none" w:sz="0" w:space="0" w:color="auto"/>
                <w:right w:val="none" w:sz="0" w:space="0" w:color="auto"/>
              </w:divBdr>
              <w:divsChild>
                <w:div w:id="684595412">
                  <w:marLeft w:val="0"/>
                  <w:marRight w:val="0"/>
                  <w:marTop w:val="0"/>
                  <w:marBottom w:val="0"/>
                  <w:divBdr>
                    <w:top w:val="none" w:sz="0" w:space="0" w:color="auto"/>
                    <w:left w:val="none" w:sz="0" w:space="0" w:color="auto"/>
                    <w:bottom w:val="none" w:sz="0" w:space="0" w:color="auto"/>
                    <w:right w:val="none" w:sz="0" w:space="0" w:color="auto"/>
                  </w:divBdr>
                  <w:divsChild>
                    <w:div w:id="1742099513">
                      <w:marLeft w:val="0"/>
                      <w:marRight w:val="0"/>
                      <w:marTop w:val="0"/>
                      <w:marBottom w:val="0"/>
                      <w:divBdr>
                        <w:top w:val="none" w:sz="0" w:space="0" w:color="auto"/>
                        <w:left w:val="none" w:sz="0" w:space="0" w:color="auto"/>
                        <w:bottom w:val="none" w:sz="0" w:space="0" w:color="auto"/>
                        <w:right w:val="none" w:sz="0" w:space="0" w:color="auto"/>
                      </w:divBdr>
                      <w:divsChild>
                        <w:div w:id="93061790">
                          <w:marLeft w:val="0"/>
                          <w:marRight w:val="0"/>
                          <w:marTop w:val="0"/>
                          <w:marBottom w:val="0"/>
                          <w:divBdr>
                            <w:top w:val="none" w:sz="0" w:space="0" w:color="auto"/>
                            <w:left w:val="none" w:sz="0" w:space="0" w:color="auto"/>
                            <w:bottom w:val="none" w:sz="0" w:space="0" w:color="auto"/>
                            <w:right w:val="none" w:sz="0" w:space="0" w:color="auto"/>
                          </w:divBdr>
                          <w:divsChild>
                            <w:div w:id="1563907395">
                              <w:marLeft w:val="0"/>
                              <w:marRight w:val="0"/>
                              <w:marTop w:val="0"/>
                              <w:marBottom w:val="0"/>
                              <w:divBdr>
                                <w:top w:val="none" w:sz="0" w:space="0" w:color="auto"/>
                                <w:left w:val="none" w:sz="0" w:space="0" w:color="auto"/>
                                <w:bottom w:val="none" w:sz="0" w:space="0" w:color="auto"/>
                                <w:right w:val="none" w:sz="0" w:space="0" w:color="auto"/>
                              </w:divBdr>
                              <w:divsChild>
                                <w:div w:id="554976910">
                                  <w:marLeft w:val="0"/>
                                  <w:marRight w:val="0"/>
                                  <w:marTop w:val="0"/>
                                  <w:marBottom w:val="0"/>
                                  <w:divBdr>
                                    <w:top w:val="none" w:sz="0" w:space="0" w:color="auto"/>
                                    <w:left w:val="none" w:sz="0" w:space="0" w:color="auto"/>
                                    <w:bottom w:val="none" w:sz="0" w:space="0" w:color="auto"/>
                                    <w:right w:val="none" w:sz="0" w:space="0" w:color="auto"/>
                                  </w:divBdr>
                                  <w:divsChild>
                                    <w:div w:id="62319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590/S1678-3921.pab2008.v43.81" TargetMode="External"/><Relationship Id="rId18" Type="http://schemas.openxmlformats.org/officeDocument/2006/relationships/hyperlink" Target="https://doi.org/10.1371/journal.pone.0165632" TargetMode="External"/><Relationship Id="rId26" Type="http://schemas.openxmlformats.org/officeDocument/2006/relationships/hyperlink" Target="https://hdl.handle.net/10883/19204" TargetMode="External"/><Relationship Id="rId39" Type="http://schemas.openxmlformats.org/officeDocument/2006/relationships/hyperlink" Target="https://doi.org/10.23910/1.2023.4491a" TargetMode="External"/><Relationship Id="rId21" Type="http://schemas.openxmlformats.org/officeDocument/2006/relationships/hyperlink" Target="https://doi.org/10.2307/3494521" TargetMode="External"/><Relationship Id="rId34" Type="http://schemas.openxmlformats.org/officeDocument/2006/relationships/hyperlink" Target="https://doi.org/10.9734/jamb/2024/v24i12880"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openknowledge.fao.org/handle/20.500.14283/bs183e" TargetMode="External"/><Relationship Id="rId29" Type="http://schemas.openxmlformats.org/officeDocument/2006/relationships/hyperlink" Target="https://pmhe.in/index.php/pmhe/article/view/42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hytojournal.com/archives/2020.v9.i5S.13009/bio-efficacy-of-different-insecticides-against-fall-armyworm-spodoptera-frugiperda-je-smith-on-maize" TargetMode="External"/><Relationship Id="rId24" Type="http://schemas.openxmlformats.org/officeDocument/2006/relationships/hyperlink" Target="https://doi.org/10.1002/ps.7399" TargetMode="External"/><Relationship Id="rId32" Type="http://schemas.openxmlformats.org/officeDocument/2006/relationships/hyperlink" Target="https://www.entomoljournal.com/archives/?ArticleId=4340&amp;issue=5&amp;vol=6&amp;year=2018" TargetMode="External"/><Relationship Id="rId37" Type="http://schemas.openxmlformats.org/officeDocument/2006/relationships/hyperlink" Target="https://doi.org/10.2307/3494089"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1564/v28_oct_02" TargetMode="External"/><Relationship Id="rId23" Type="http://schemas.openxmlformats.org/officeDocument/2006/relationships/hyperlink" Target="https://doi.org/10.56557/bn/2026/v46i22122" TargetMode="External"/><Relationship Id="rId28" Type="http://schemas.openxmlformats.org/officeDocument/2006/relationships/hyperlink" Target="https://doi.org/10.56557/UPJOZ/2024/v45i184468" TargetMode="External"/><Relationship Id="rId36" Type="http://schemas.openxmlformats.org/officeDocument/2006/relationships/hyperlink" Target="https://doi.org/10.1016/j.biocontrol.2024.105460" TargetMode="External"/><Relationship Id="rId10" Type="http://schemas.openxmlformats.org/officeDocument/2006/relationships/hyperlink" Target="https://doi.org/10.3390/agronomy12092150" TargetMode="External"/><Relationship Id="rId19" Type="http://schemas.openxmlformats.org/officeDocument/2006/relationships/hyperlink" Target="https://www.researchgate.net/publication/375866666_Pest_Complex_and_In_Vivo_Evaluation_of_the_Synergistic_Effect_of_Compatible_Insecticides_and_Metarhizium_anisopliae_for_Managing_Fall_Armyworm_in_Maize" TargetMode="External"/><Relationship Id="rId31" Type="http://schemas.openxmlformats.org/officeDocument/2006/relationships/hyperlink" Target="https://rpcau.ac.in/" TargetMode="External"/><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krishikosh.egranth.ac.in/" TargetMode="External"/><Relationship Id="rId14" Type="http://schemas.openxmlformats.org/officeDocument/2006/relationships/hyperlink" Target="https://knowledgecenter.cimmyt.org/bib/59620" TargetMode="External"/><Relationship Id="rId22" Type="http://schemas.openxmlformats.org/officeDocument/2006/relationships/hyperlink" Target="https://doi.org/10.1093/ee/2.3.415" TargetMode="External"/><Relationship Id="rId27" Type="http://schemas.openxmlformats.org/officeDocument/2006/relationships/hyperlink" Target="https://doi.org/10.1016/S0065-2164(04)54001-7" TargetMode="External"/><Relationship Id="rId30" Type="http://schemas.openxmlformats.org/officeDocument/2006/relationships/hyperlink" Target="https://doi.org/10.3126/jpps.v8i1.56444" TargetMode="External"/><Relationship Id="rId35" Type="http://schemas.openxmlformats.org/officeDocument/2006/relationships/hyperlink" Target="https://doi.org/10.1590/1808-1657001162012" TargetMode="External"/><Relationship Id="rId43" Type="http://schemas.openxmlformats.org/officeDocument/2006/relationships/footer" Target="footer2.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doi.org/10.1016/j.pestbp.2025.106642" TargetMode="External"/><Relationship Id="rId17" Type="http://schemas.openxmlformats.org/officeDocument/2006/relationships/hyperlink" Target="https://doi.org/10.25100/socolen.v37i2.9077" TargetMode="External"/><Relationship Id="rId25" Type="http://schemas.openxmlformats.org/officeDocument/2006/relationships/hyperlink" Target="https://www.entomoljournal.com/archives/?ArticleId=8090&amp;issue=6&amp;vol=8&amp;year=2020" TargetMode="External"/><Relationship Id="rId33" Type="http://schemas.openxmlformats.org/officeDocument/2006/relationships/hyperlink" Target="https://doi.org/10.53550/EEC.2022.v28i04.044" TargetMode="External"/><Relationship Id="rId38" Type="http://schemas.openxmlformats.org/officeDocument/2006/relationships/hyperlink" Target="https://doi.org/10.1016/0048-3575%2891%2990216-9" TargetMode="External"/><Relationship Id="rId46" Type="http://schemas.openxmlformats.org/officeDocument/2006/relationships/fontTable" Target="fontTable.xml"/><Relationship Id="rId20" Type="http://schemas.openxmlformats.org/officeDocument/2006/relationships/hyperlink" Target="https://krishikosh.egranth.ac.in/" TargetMode="External"/><Relationship Id="rId41" Type="http://schemas.openxmlformats.org/officeDocument/2006/relationships/header" Target="header2.xml"/><Relationship Id="rId48" Type="http://schemas.openxmlformats.org/officeDocument/2006/relationships/hyperlink" Target="https://doi.org/10.56093/ijas.v91i12.120810" TargetMode="External"/><Relationship Id="rId49" Type="http://schemas.openxmlformats.org/officeDocument/2006/relationships/hyperlink" Target="https://doi.org/10.1653/024.103.0211" TargetMode="External"/><Relationship Id="rId50" Type="http://schemas.openxmlformats.org/officeDocument/2006/relationships/hyperlink" Target="https://doi.org/10.56678/iahf-spl36.202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13</Pages>
  <Words>7134</Words>
  <Characters>40667</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SDI 1087</cp:lastModifiedBy>
  <cp:revision>173</cp:revision>
  <dcterms:created xsi:type="dcterms:W3CDTF">2026-07-27T05:08:00Z</dcterms:created>
  <dcterms:modified xsi:type="dcterms:W3CDTF">2026-08-07T13:35:00Z</dcterms:modified>
</cp:coreProperties>
</file>