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1622F" w14:textId="77777777" w:rsidR="00B815FB" w:rsidRDefault="00B815FB">
      <w:pPr>
        <w:pStyle w:val="Heading2"/>
        <w:rPr>
          <w:rFonts w:ascii="Times New Roman" w:eastAsia="Times New Roman" w:hAnsi="Times New Roman"/>
          <w:bCs w:val="0"/>
          <w:color w:val="17365D" w:themeColor="text2" w:themeShade="BF"/>
          <w:spacing w:val="5"/>
          <w:kern w:val="28"/>
          <w:sz w:val="32"/>
          <w:szCs w:val="52"/>
        </w:rPr>
      </w:pPr>
      <w:r w:rsidRPr="00B815FB">
        <w:rPr>
          <w:rFonts w:ascii="Times New Roman" w:eastAsia="Times New Roman" w:hAnsi="Times New Roman"/>
          <w:bCs w:val="0"/>
          <w:color w:val="17365D" w:themeColor="text2" w:themeShade="BF"/>
          <w:spacing w:val="5"/>
          <w:kern w:val="28"/>
          <w:sz w:val="32"/>
          <w:szCs w:val="52"/>
        </w:rPr>
        <w:t>Human-Wildlife Conflict and Crop Depredation by Nilgai in India: A Critical Narrative Review of Ecological Drivers, Rural Costs and Management</w:t>
      </w:r>
    </w:p>
    <w:p w14:paraId="5370B795" w14:textId="6BBC5763" w:rsidR="006A3F38" w:rsidRDefault="00000000">
      <w:pPr>
        <w:pStyle w:val="Heading2"/>
      </w:pPr>
      <w:r>
        <w:rPr>
          <w:rFonts w:ascii="Times New Roman" w:eastAsia="Times New Roman" w:hAnsi="Times New Roman"/>
        </w:rPr>
        <w:t>Abstract</w:t>
      </w:r>
    </w:p>
    <w:p w14:paraId="263FB063" w14:textId="77777777" w:rsidR="006A3F38" w:rsidRDefault="00000000">
      <w:pPr>
        <w:spacing w:after="140" w:line="264" w:lineRule="auto"/>
        <w:jc w:val="both"/>
      </w:pPr>
      <w:r>
        <w:t>Human-wildlife conflict involving crop-foraging herbivores is a persistent challenge in agrarian landscapes, but the evidentiary basis for managing nilgai (</w:t>
      </w:r>
      <w:proofErr w:type="spellStart"/>
      <w:r>
        <w:rPr>
          <w:i/>
        </w:rPr>
        <w:t>Boselaphus</w:t>
      </w:r>
      <w:proofErr w:type="spellEnd"/>
      <w:r>
        <w:rPr>
          <w:i/>
        </w:rPr>
        <w:t xml:space="preserve"> </w:t>
      </w:r>
      <w:proofErr w:type="spellStart"/>
      <w:r>
        <w:rPr>
          <w:i/>
        </w:rPr>
        <w:t>tragocamelus</w:t>
      </w:r>
      <w:proofErr w:type="spellEnd"/>
      <w:r>
        <w:t xml:space="preserve">) in India remains uneven. This critical narrative review evaluates research on nilgai crop depredation through an integrated ecological, agricultural and human-dimensions lens. Literature published from 1989 to 9 June 2026 was identified through live searches of accessible scholarly indexes, repositories and authoritative institutional sources, supplemented by citation searching and DOI-level bibliographic verification. Evidence was appraised according to study design, measurement validity, spatial and temporal coverage, species attribution, treatment of confounding and relevance to management. Field studies consistently show that nilgai exploit agricultural mosaics and can impose substantial losses at particular sites, yet national-scale estimates of damage are not defensible from current evidence. The strongest causal evidence comes from protected-versus-unprotected plot comparisons and repeated field measurements; perception surveys, compensation records and media reports are useful for understanding social salience and geographic signals but cannot substitute for direct loss estimation. Crop vulnerability varies with phenology, proximity to refuges, landscape structure and local species assemblages, while nocturnal crop use and </w:t>
      </w:r>
      <w:proofErr w:type="spellStart"/>
      <w:r>
        <w:t>behavioural</w:t>
      </w:r>
      <w:proofErr w:type="spellEnd"/>
      <w:r>
        <w:t xml:space="preserve"> plasticity complicate deterrence. The social burden extends beyond harvested yield to night guarding, safety risk, time loss, transaction costs and unequal exposure among households. Existing mitigation is dominated by guarding, barriers and reactive population-control proposals, but robust nilgai-specific effectiveness trials are scarce. Evidence from broader crop-raiding research indicates that interventions are context-dependent and require maintenance, collective action and explicit evaluation against controls. A shift from episodic removal towards adaptive landscape management is therefore warranted, combining </w:t>
      </w:r>
      <w:proofErr w:type="spellStart"/>
      <w:r>
        <w:t>standardised</w:t>
      </w:r>
      <w:proofErr w:type="spellEnd"/>
      <w:r>
        <w:t xml:space="preserve"> damage monitoring, targeted barriers, habitat and crop-risk planning, transparent compensation, and experimentally evaluated fertility or population-management options where justified. The principal research priority is a coordinated, multi-state evidence system that links nilgai abundance and movement to measured crop loss, household costs and intervention outcomes.</w:t>
      </w:r>
    </w:p>
    <w:p w14:paraId="745E96F6" w14:textId="77777777" w:rsidR="006A3F38" w:rsidRDefault="00000000">
      <w:pPr>
        <w:spacing w:line="252" w:lineRule="auto"/>
      </w:pPr>
      <w:r>
        <w:rPr>
          <w:b/>
          <w:sz w:val="21"/>
        </w:rPr>
        <w:t>Keywords:</w:t>
      </w:r>
      <w:r>
        <w:rPr>
          <w:sz w:val="21"/>
        </w:rPr>
        <w:t xml:space="preserve"> blue bull; crop raiding; agricultural landscapes; wildlife damage; coexistence; ungulate management; rural livelihoods; India</w:t>
      </w:r>
    </w:p>
    <w:p w14:paraId="6BD242C4" w14:textId="77777777" w:rsidR="006A3F38" w:rsidRDefault="00000000">
      <w:pPr>
        <w:pStyle w:val="Heading1"/>
      </w:pPr>
      <w:r>
        <w:rPr>
          <w:rFonts w:ascii="Times New Roman" w:eastAsia="Times New Roman" w:hAnsi="Times New Roman"/>
        </w:rPr>
        <w:t>1. Introduction</w:t>
      </w:r>
    </w:p>
    <w:p w14:paraId="7C584C84" w14:textId="77777777" w:rsidR="006A3F38" w:rsidRDefault="00000000">
      <w:pPr>
        <w:spacing w:after="120"/>
        <w:jc w:val="both"/>
      </w:pPr>
      <w:r>
        <w:t xml:space="preserve">The nilgai, or blue bull, </w:t>
      </w:r>
      <w:proofErr w:type="spellStart"/>
      <w:r>
        <w:rPr>
          <w:i/>
        </w:rPr>
        <w:t>Boselaphus</w:t>
      </w:r>
      <w:proofErr w:type="spellEnd"/>
      <w:r>
        <w:rPr>
          <w:i/>
        </w:rPr>
        <w:t xml:space="preserve"> </w:t>
      </w:r>
      <w:proofErr w:type="spellStart"/>
      <w:r>
        <w:rPr>
          <w:i/>
        </w:rPr>
        <w:t>tragocamelus</w:t>
      </w:r>
      <w:proofErr w:type="spellEnd"/>
      <w:r>
        <w:t xml:space="preserve"> (Pallas, 1766), is the largest Asian antelope and one of the most conspicuous wild herbivores occupying human-modified landscapes in northern, western and central India. Unlike many large mammals whose persistence is increasingly concentrated within protected areas, nilgai routinely use mosaics of scrub, rangeland, woodland and cultivation. This ecological flexibility has conservation value, but it also places the species in direct competition with farmers where standing crops become accessible, nutritionally profitable forage. In such settings, crop consumption is only one component of damage: movement through fields, trampling, bedding and repeated entry can reduce harvestable yield even when the quantity directly eaten is difficult to observe. Early work in Haryana already </w:t>
      </w:r>
      <w:proofErr w:type="spellStart"/>
      <w:r>
        <w:t>characterised</w:t>
      </w:r>
      <w:proofErr w:type="spellEnd"/>
      <w:r>
        <w:t xml:space="preserve"> locally abundant nilgai as a management problem in agricultural landscapes, and subsequent studies have confirmed that the underlying issue is not a single episodic conflict but a recurrent interface between wildlife habitat, agricultural production and governance (Chauhan &amp; Sawarkar, 1989; Chopra &amp; Rai, 2009).</w:t>
      </w:r>
    </w:p>
    <w:p w14:paraId="627C52C5" w14:textId="77777777" w:rsidR="006A3F38" w:rsidRPr="00A33FF5" w:rsidRDefault="00000000">
      <w:pPr>
        <w:spacing w:after="120"/>
        <w:jc w:val="both"/>
      </w:pPr>
      <w:r>
        <w:t xml:space="preserve">The term human-wildlife conflict is often used as shorthand for harmful interactions between people and wildlife, but it can obscure the fact that material damage and social conflict are not identical. Conflict may involve disagreements among farmers, conservation authorities and other institutions over who should bear the costs of </w:t>
      </w:r>
      <w:r>
        <w:lastRenderedPageBreak/>
        <w:t xml:space="preserve">wildlife, which interventions are legitimate and whose evidence counts in decision-making. Contemporary conflict scholarship therefore distinguishes the measurable impacts of wildlife from the social processes that transform those impacts into political or ethical disputes (Dickman, 2010; Nyhus, 2016; Redpath et al., 2013). This distinction is especially important for nilgai in India, where legal protection, cultural attitudes, agricultural dependence and demands for crop </w:t>
      </w:r>
      <w:r w:rsidRPr="00A33FF5">
        <w:t>protection intersect. A technically effective barrier may reduce incursions yet fail to resolve dissatisfaction if farmers perceive compensation as inaccessible, management as unresponsive or the distribution of conservation costs as unfair.</w:t>
      </w:r>
      <w:r w:rsidRPr="00A33FF5">
        <w:rPr>
          <w:highlight w:val="yellow"/>
        </w:rPr>
        <w:t xml:space="preserve"> Recent evidence likewise indicates that the spatial patterning of human-wildlife conflict can reflect interacting landscape and socioeconomic conditions, supporting analyses that consider ecological exposure and social context together rather than in isolation (Liu et al., 2024).</w:t>
      </w:r>
    </w:p>
    <w:p w14:paraId="56804248" w14:textId="77777777" w:rsidR="006A3F38" w:rsidRPr="00A33FF5" w:rsidRDefault="00000000">
      <w:pPr>
        <w:spacing w:after="120"/>
        <w:jc w:val="both"/>
      </w:pPr>
      <w:r w:rsidRPr="00A33FF5">
        <w:t xml:space="preserve">Nilgai are </w:t>
      </w:r>
      <w:proofErr w:type="spellStart"/>
      <w:r w:rsidRPr="00A33FF5">
        <w:t>behaviourally</w:t>
      </w:r>
      <w:proofErr w:type="spellEnd"/>
      <w:r w:rsidRPr="00A33FF5">
        <w:t xml:space="preserve"> capable of exploiting this interface. At </w:t>
      </w:r>
      <w:proofErr w:type="spellStart"/>
      <w:r w:rsidRPr="00A33FF5">
        <w:t>Tadoba-Andhari</w:t>
      </w:r>
      <w:proofErr w:type="spellEnd"/>
      <w:r w:rsidRPr="00A33FF5">
        <w:t xml:space="preserve"> Tiger Reserve, Bayani and Watve (2016) documented marked differences between forest and agricultural foraging, including nocturnal use of farms and changes in grouping and vigilance. Such </w:t>
      </w:r>
      <w:proofErr w:type="spellStart"/>
      <w:r w:rsidRPr="00A33FF5">
        <w:t>behavioural</w:t>
      </w:r>
      <w:proofErr w:type="spellEnd"/>
      <w:r w:rsidRPr="00A33FF5">
        <w:t xml:space="preserve"> plasticity means that the same individual or herd can use relatively secure natural cover by day and high-value crops when risk is lower, reducing the effectiveness of deterrents that operate only intermittently. Recent population work in Punjab reinforces the need to understand local demography rather than assume that crop depredation necessarily reflects uniform population growth. Rani et al. (2025) recorded substantial variation in density and encounter rates among clusters, a strongly female-skewed adult sex ratio, a long breeding period and differences in sightings associated with food and shelter. These findings support the biological plausibility of local population pressure, but they do not establish that abundance alone determines crop loss.</w:t>
      </w:r>
    </w:p>
    <w:p w14:paraId="117BA185" w14:textId="77777777" w:rsidR="006A3F38" w:rsidRPr="00A33FF5" w:rsidRDefault="00000000">
      <w:pPr>
        <w:spacing w:after="120"/>
        <w:jc w:val="both"/>
      </w:pPr>
      <w:r w:rsidRPr="00A33FF5">
        <w:t xml:space="preserve">The spatial scale of the issue has also become clearer. A recent national habitat-suitability analysis integrated camera-trap, citizen-science and conflict occurrence data and estimated that more than 83% of suitable nilgai habitat in the </w:t>
      </w:r>
      <w:proofErr w:type="spellStart"/>
      <w:r w:rsidRPr="00A33FF5">
        <w:t>analysed</w:t>
      </w:r>
      <w:proofErr w:type="spellEnd"/>
      <w:r w:rsidRPr="00A33FF5">
        <w:t xml:space="preserve"> landscape lay outside protected areas. Rangeland showed the highest relative suitability, followed by woodland and cropland, and Madhya Pradesh contained the largest share of suitable habitat and a large cropland overlap (Chandel et al., 2025). This work shifts attention from protected-area boundaries towards the wider production landscape. It also weakens a simple assumption that translocation is a durable solution: if attractive habitat and forage remain, removing animals may create temporary vacancies rather than eliminate the ecological conditions that generate repeated crop use.</w:t>
      </w:r>
      <w:r w:rsidRPr="00A33FF5">
        <w:rPr>
          <w:highlight w:val="yellow"/>
        </w:rPr>
        <w:t xml:space="preserve"> Comparable recent work on a crop-raiding wild ungulate outside India further supports treating agricultural conflict as a landscape-scale process in which habitat configuration and cultivated land jointly structure the spatial distribution of risk (Costa et al., 2026).</w:t>
      </w:r>
    </w:p>
    <w:p w14:paraId="4EF02B3B" w14:textId="77777777" w:rsidR="006A3F38" w:rsidRPr="00A33FF5" w:rsidRDefault="00000000">
      <w:pPr>
        <w:spacing w:after="120"/>
        <w:jc w:val="both"/>
      </w:pPr>
      <w:r w:rsidRPr="00A33FF5">
        <w:t xml:space="preserve">At the same time, the magnitude of crop depredation remains difficult to </w:t>
      </w:r>
      <w:proofErr w:type="spellStart"/>
      <w:r w:rsidRPr="00A33FF5">
        <w:t>generalise</w:t>
      </w:r>
      <w:proofErr w:type="spellEnd"/>
      <w:r w:rsidRPr="00A33FF5">
        <w:t xml:space="preserve">. </w:t>
      </w:r>
      <w:proofErr w:type="spellStart"/>
      <w:r w:rsidRPr="00A33FF5">
        <w:t>Abohar</w:t>
      </w:r>
      <w:proofErr w:type="spellEnd"/>
      <w:r w:rsidRPr="00A33FF5">
        <w:t xml:space="preserve"> Wildlife Sanctuary offers unusually strong field evidence because Bajwa and Chauhan (2019) compared protected and unprotected plots. In that intensively cultivated sanctuary landscape, they recorded mean yield reductions of approximately 40% in mustard, 27% in cotton and 21% in wheat, while interviews identified nilgai as the crop-depredating species of greatest concern. Along the western boundary of </w:t>
      </w:r>
      <w:proofErr w:type="spellStart"/>
      <w:r w:rsidRPr="00A33FF5">
        <w:t>Tadoba-Andhari</w:t>
      </w:r>
      <w:proofErr w:type="spellEnd"/>
      <w:r w:rsidRPr="00A33FF5">
        <w:t xml:space="preserve"> Tiger Reserve, a multi-method study of protected mammalian herbivores found damage exceeding 50% in fields nearest the forest and declining with distance; the visual assessment method then used for compensation was poorly aligned with</w:t>
      </w:r>
      <w:r>
        <w:t xml:space="preserve"> measured damage (Bayani et al., 2016). These studies demonstrate that severe losses are possible, but they also illustrate why extrapolation is hazardous: both were </w:t>
      </w:r>
      <w:r w:rsidRPr="00A33FF5">
        <w:t>conducted in particular landscapes with distinct crop assemblages, wildlife communities, land-use histories and protection regimes.</w:t>
      </w:r>
      <w:r w:rsidRPr="00A33FF5">
        <w:rPr>
          <w:highlight w:val="yellow"/>
        </w:rPr>
        <w:t xml:space="preserve"> Recent rural human-wildlife research also reinforces that crop-raiding impacts can extend beyond directly measured agricultural loss, making it important to distinguish field-level damage from the wider livelihood and wellbeing burdens experienced by affected households (Galley &amp; Anthony, 2024).</w:t>
      </w:r>
    </w:p>
    <w:p w14:paraId="6EB74DF3" w14:textId="77777777" w:rsidR="006A3F38" w:rsidRPr="00A33FF5" w:rsidRDefault="00000000">
      <w:pPr>
        <w:spacing w:after="120"/>
        <w:jc w:val="both"/>
      </w:pPr>
      <w:r w:rsidRPr="00A33FF5">
        <w:t>Other evidence is less direct but socially informative. In Beer-</w:t>
      </w:r>
      <w:proofErr w:type="spellStart"/>
      <w:r w:rsidRPr="00A33FF5">
        <w:t>Sonty</w:t>
      </w:r>
      <w:proofErr w:type="spellEnd"/>
      <w:r w:rsidRPr="00A33FF5">
        <w:t xml:space="preserve"> Reserve Forest, Haryana, 74.52% of interviewed respondents reported significant nilgai damage, and farmers described fencing, illumination, noise-making and other deterrents (Chopra &amp; Rai, 2009). Print-media analysis for 2018–2022 found crop raiding in 98% </w:t>
      </w:r>
      <w:r w:rsidRPr="00A33FF5">
        <w:lastRenderedPageBreak/>
        <w:t>of reported human-nilgai negative-interaction records and identified wide geographic reporting, especially in Bihar, Madhya Pradesh and Uttar Pradesh (Chandel et al., 2024). Yet media frequency is not a population-based incidence estimate. Newspaper selection, dramatic framing, uneven reporting infrastructure and local political attention can strongly influence what becomes visible, as shown more generally for human-wildlife conflict in Indian media (Barua, 2010). Treating media counts, claims data or farmer recall as if they were interchangeable with measured yield loss risks producing false precision.</w:t>
      </w:r>
    </w:p>
    <w:p w14:paraId="0936431D" w14:textId="77777777" w:rsidR="006A3F38" w:rsidRPr="00A33FF5" w:rsidRDefault="00000000">
      <w:pPr>
        <w:spacing w:after="120"/>
        <w:jc w:val="both"/>
      </w:pPr>
      <w:r w:rsidRPr="00A33FF5">
        <w:t xml:space="preserve">The management literature likewise contains a tension between urgency and evidence quality. Farmers cannot wait for perfect ecological studies when crops are being lost, so guarding, temporary barriers, scare devices and improvised fencing are widely used. At broader scales, authorities may consider compensation, translocation, lethal control or reproductive control. The Wildlife Institute of India has specifically examined population-management approaches for conflict-associated species including nilgai and has developed work on immunocontraception and other mitigation options (Qureshi et al., 2023). India's Wild Life (Protection) Act also contains legal mechanisms relevant to exceptional management, including Section 62 on declaration of certain wild animals as vermin for specified circumstances (Government of India, 1972). The existence of a legal mechanism, however, does not itself establish biological necessity, welfare acceptability, economic efficiency or long-term effectiveness. Those questions require evidence about population dynamics, spatial </w:t>
      </w:r>
      <w:proofErr w:type="spellStart"/>
      <w:r w:rsidRPr="00A33FF5">
        <w:t>recolonisation</w:t>
      </w:r>
      <w:proofErr w:type="spellEnd"/>
      <w:r w:rsidRPr="00A33FF5">
        <w:t>, crop response and social legitimacy.</w:t>
      </w:r>
      <w:r w:rsidRPr="00A33FF5">
        <w:rPr>
          <w:highlight w:val="yellow"/>
        </w:rPr>
        <w:t xml:space="preserve"> Consistent with this need, recent coexistence-oriented frameworks </w:t>
      </w:r>
      <w:proofErr w:type="spellStart"/>
      <w:r w:rsidRPr="00A33FF5">
        <w:rPr>
          <w:highlight w:val="yellow"/>
        </w:rPr>
        <w:t>emphasise</w:t>
      </w:r>
      <w:proofErr w:type="spellEnd"/>
      <w:r w:rsidRPr="00A33FF5">
        <w:rPr>
          <w:highlight w:val="yellow"/>
        </w:rPr>
        <w:t xml:space="preserve"> integrated and context-sensitive management that links understanding of interactions with prevention, response, mitigation, governance and monitoring rather than relying on a single intervention (Gross et al., 2025).</w:t>
      </w:r>
    </w:p>
    <w:p w14:paraId="01B96F4E" w14:textId="77777777" w:rsidR="006A3F38" w:rsidRDefault="00000000">
      <w:pPr>
        <w:spacing w:after="120"/>
        <w:jc w:val="both"/>
      </w:pPr>
      <w:r w:rsidRPr="00A33FF5">
        <w:t xml:space="preserve">Existing reviews have advanced understanding but leave a clear synthesis gap. Babbar et al. (2024) collated nilgai bio-ecology, </w:t>
      </w:r>
      <w:proofErr w:type="spellStart"/>
      <w:r w:rsidRPr="00A33FF5">
        <w:t>behaviour</w:t>
      </w:r>
      <w:proofErr w:type="spellEnd"/>
      <w:r w:rsidRPr="00A33FF5">
        <w:t xml:space="preserve"> and management, while Chandel et al. (2024) mapped</w:t>
      </w:r>
      <w:r>
        <w:t xml:space="preserve"> negative interactions through print-media reports. The former provides broad species-focused coverage and the latter highlights geographic salience, yet neither resolves the methodological problem of comparing objective crop-loss measurements, farmer perceptions, occurrence models, administrative data and intervention claims. Broader Indian human-wildlife studies provide valuable evidence on compensation, hidden costs, household vulnerability and mitigation, but nilgai are often grouped with other herbivores or treated as one among many species (Barua et al., 2013; Karanth &amp; </w:t>
      </w:r>
      <w:proofErr w:type="spellStart"/>
      <w:r>
        <w:t>Kudalkar</w:t>
      </w:r>
      <w:proofErr w:type="spellEnd"/>
      <w:r>
        <w:t>, 2017; Karanth et al., 2018). A management-oriented synthesis therefore needs to ask not simply whether nilgai damage crops, but which conclusions are supported strongly, where uncertainty arises, how measurement choices shape apparent severity, and which interventions are plausible versus demonstrably effective.</w:t>
      </w:r>
    </w:p>
    <w:p w14:paraId="41EFA68D" w14:textId="77777777" w:rsidR="006A3F38" w:rsidRDefault="00000000">
      <w:pPr>
        <w:pStyle w:val="Heading2"/>
      </w:pPr>
      <w:r>
        <w:rPr>
          <w:rFonts w:ascii="Times New Roman" w:eastAsia="Times New Roman" w:hAnsi="Times New Roman"/>
        </w:rPr>
        <w:t>1.1 Scope, Research Gap and Objectives</w:t>
      </w:r>
    </w:p>
    <w:p w14:paraId="21D5574D" w14:textId="77777777" w:rsidR="006A3F38" w:rsidRDefault="00000000">
      <w:pPr>
        <w:spacing w:after="120"/>
        <w:jc w:val="both"/>
      </w:pPr>
      <w:r>
        <w:t xml:space="preserve">This review focuses on free-ranging nilgai and crop depredation in India, with emphasis on ecological drivers, field-measured agricultural loss, farmer experience, governance and mitigation. Evidence from other conflict-prone herbivores and from </w:t>
      </w:r>
      <w:proofErr w:type="spellStart"/>
      <w:r>
        <w:t>neighbouring</w:t>
      </w:r>
      <w:proofErr w:type="spellEnd"/>
      <w:r>
        <w:t xml:space="preserve"> South Asian or comparable agricultural systems is included only when it clarifies a mechanism, measurement problem or management principle that has not been tested adequately for nilgai. The review does not attempt a national damage total, a formal meta-analysis or a statutory interpretation of state-specific notifications. Its central research gap is the absence of an integrated appraisal connecting nilgai ecology and spatial use with the quality of crop-loss evidence, the distribution of rural costs and the effectiveness of competing management approaches. The objectives are to distinguish robust findings from perception-driven or geographically limited claims; explain ecological and methodological reasons for variation among studies; evaluate the evidence for current mitigation and population-management options; and define research priorities capable of supporting adaptive, socially legitimate management across Indian agricultural landscapes.</w:t>
      </w:r>
    </w:p>
    <w:p w14:paraId="1082FAEB" w14:textId="77777777" w:rsidR="006A3F38" w:rsidRDefault="00000000">
      <w:pPr>
        <w:pStyle w:val="Heading1"/>
      </w:pPr>
      <w:r>
        <w:rPr>
          <w:rFonts w:ascii="Times New Roman" w:eastAsia="Times New Roman" w:hAnsi="Times New Roman"/>
        </w:rPr>
        <w:lastRenderedPageBreak/>
        <w:t>2. Methods for Literature Selection</w:t>
      </w:r>
    </w:p>
    <w:p w14:paraId="0BE0C9F6" w14:textId="77777777" w:rsidR="006A3F38" w:rsidRDefault="00000000">
      <w:pPr>
        <w:pStyle w:val="Heading2"/>
      </w:pPr>
      <w:r>
        <w:rPr>
          <w:rFonts w:ascii="Times New Roman" w:eastAsia="Times New Roman" w:hAnsi="Times New Roman"/>
        </w:rPr>
        <w:t>2.1 Review Design and Rationale</w:t>
      </w:r>
    </w:p>
    <w:p w14:paraId="49B0ABDF" w14:textId="77777777" w:rsidR="006A3F38" w:rsidRDefault="00000000">
      <w:pPr>
        <w:spacing w:after="120"/>
        <w:jc w:val="both"/>
      </w:pPr>
      <w:r>
        <w:t xml:space="preserve">A critical narrative review design was selected because the evidence is heterogeneous in purpose, scale and method. Relevant publications include </w:t>
      </w:r>
      <w:proofErr w:type="spellStart"/>
      <w:r>
        <w:t>behavioural</w:t>
      </w:r>
      <w:proofErr w:type="spellEnd"/>
      <w:r>
        <w:t xml:space="preserve"> observations, protected-versus-unprotected crop plots, transect-based damage measurement, household surveys, media analyses, habitat-suitability models, policy studies and broad reviews. These designs do not estimate a common effect under sufficiently comparable conditions for a defensible meta-analysis, and the principal objective is interpretive integration rather than exhaustive mapping of every record. The review nevertheless adopted explicit search, eligibility, appraisal and citation-verification procedures. Narrative synthesis was guided by the principles of relevance, transparency, reasoning and appropriate referencing </w:t>
      </w:r>
      <w:proofErr w:type="spellStart"/>
      <w:r>
        <w:t>emphasised</w:t>
      </w:r>
      <w:proofErr w:type="spellEnd"/>
      <w:r>
        <w:t xml:space="preserve"> in the Scale for the Assessment of Narrative Review Articles (SANRA), while </w:t>
      </w:r>
      <w:proofErr w:type="spellStart"/>
      <w:r>
        <w:t>recognising</w:t>
      </w:r>
      <w:proofErr w:type="spellEnd"/>
      <w:r>
        <w:t xml:space="preserve"> that SANRA is an appraisal framework rather than a substitute for topic-specific methodological judgement (</w:t>
      </w:r>
      <w:proofErr w:type="spellStart"/>
      <w:r>
        <w:t>Baethge</w:t>
      </w:r>
      <w:proofErr w:type="spellEnd"/>
      <w:r>
        <w:t xml:space="preserve"> et al., 2019).</w:t>
      </w:r>
    </w:p>
    <w:p w14:paraId="19BE6B1F" w14:textId="77777777" w:rsidR="006A3F38" w:rsidRDefault="00000000">
      <w:pPr>
        <w:pStyle w:val="Heading2"/>
      </w:pPr>
      <w:r>
        <w:rPr>
          <w:rFonts w:ascii="Times New Roman" w:eastAsia="Times New Roman" w:hAnsi="Times New Roman"/>
        </w:rPr>
        <w:t>2.2 Information Sources</w:t>
      </w:r>
    </w:p>
    <w:p w14:paraId="39204753" w14:textId="77777777" w:rsidR="006A3F38" w:rsidRDefault="00000000">
      <w:pPr>
        <w:spacing w:after="120"/>
        <w:jc w:val="both"/>
      </w:pPr>
      <w:r>
        <w:t xml:space="preserve">Live searching used PubMed and PubMed Central for indexed life-science and cross-disciplinary records; the Directory of Open Access Journals (DOAJ); AGRIS for agriculture and wildlife records; </w:t>
      </w:r>
      <w:proofErr w:type="spellStart"/>
      <w:r>
        <w:t>OpenAIRE</w:t>
      </w:r>
      <w:proofErr w:type="spellEnd"/>
      <w:r>
        <w:t xml:space="preserve"> Explore and </w:t>
      </w:r>
      <w:proofErr w:type="spellStart"/>
      <w:r>
        <w:t>ScienceOpen</w:t>
      </w:r>
      <w:proofErr w:type="spellEnd"/>
      <w:r>
        <w:t xml:space="preserve"> for scholarly metadata and accessible records; the U.S. Geological Survey Publications Warehouse for relevant biodiversity research; and targeted scholarly web searches that located authoritative bibliographic records and article landing pages. Institutional material was searched through the Wildlife Institute of India digital repository and official website, while current central statutory text was checked through India Code. Backward citation searching from nilgai-focused and human-wildlife-conflict papers, forward/related-record searching, and DOI landing-page verification were used to identify and confirm additional sources. Commercial publisher names were not treated as literature databases.</w:t>
      </w:r>
    </w:p>
    <w:p w14:paraId="265D046F" w14:textId="77777777" w:rsidR="006A3F38" w:rsidRDefault="00000000">
      <w:pPr>
        <w:pStyle w:val="Heading2"/>
      </w:pPr>
      <w:r>
        <w:rPr>
          <w:rFonts w:ascii="Times New Roman" w:eastAsia="Times New Roman" w:hAnsi="Times New Roman"/>
        </w:rPr>
        <w:t>2.3 Search Strategy and Search Period</w:t>
      </w:r>
    </w:p>
    <w:p w14:paraId="597FE286" w14:textId="77777777" w:rsidR="006A3F38" w:rsidRDefault="00000000">
      <w:pPr>
        <w:spacing w:after="120"/>
        <w:jc w:val="both"/>
      </w:pPr>
      <w:r>
        <w:t xml:space="preserve">The principal search period was 1989 to 9 June 2026. The starting year corresponds to the earliest readily verifiable peer-reviewed Indian paper located in the present search that explicitly </w:t>
      </w:r>
      <w:proofErr w:type="spellStart"/>
      <w:r>
        <w:t>analysed</w:t>
      </w:r>
      <w:proofErr w:type="spellEnd"/>
      <w:r>
        <w:t xml:space="preserve"> locally over-abundant nilgai and crop-raiding management; older foundational ecological work remained eligible when necessary for interpretation. Search concepts combined taxon terms with agricultural impact, </w:t>
      </w:r>
      <w:proofErr w:type="spellStart"/>
      <w:r>
        <w:t>behaviour</w:t>
      </w:r>
      <w:proofErr w:type="spellEnd"/>
      <w:r>
        <w:t>, landscape and management terms. Representative strings included ("nilgai" OR "blue bull" OR "</w:t>
      </w:r>
      <w:proofErr w:type="spellStart"/>
      <w:r>
        <w:t>Boselaphus</w:t>
      </w:r>
      <w:proofErr w:type="spellEnd"/>
      <w:r>
        <w:t xml:space="preserve"> </w:t>
      </w:r>
      <w:proofErr w:type="spellStart"/>
      <w:r>
        <w:t>tragocamelus</w:t>
      </w:r>
      <w:proofErr w:type="spellEnd"/>
      <w:r>
        <w:t>") AND ("crop damage" OR "crop depredation" OR "crop raiding" OR "human-wildlife conflict") AND India; ("</w:t>
      </w:r>
      <w:proofErr w:type="spellStart"/>
      <w:r>
        <w:t>Boselaphus</w:t>
      </w:r>
      <w:proofErr w:type="spellEnd"/>
      <w:r>
        <w:t xml:space="preserve"> </w:t>
      </w:r>
      <w:proofErr w:type="spellStart"/>
      <w:r>
        <w:t>tragocamelus</w:t>
      </w:r>
      <w:proofErr w:type="spellEnd"/>
      <w:r>
        <w:t>" AND (foraging OR vigilance OR population OR habitat OR movement)); and (nilgai AND (fence OR guarding OR deterrent OR compensation OR translocation OR fertility OR immunocontraception OR population management)). Broader searches combined India with crop-raiding, protected areas, compensation, hidden costs, risk, coexistence and intervention effectiveness. The exact final search date was 9 June 2026.</w:t>
      </w:r>
    </w:p>
    <w:p w14:paraId="1A222478" w14:textId="77777777" w:rsidR="006A3F38" w:rsidRDefault="00000000">
      <w:pPr>
        <w:pStyle w:val="Heading2"/>
      </w:pPr>
      <w:r>
        <w:rPr>
          <w:rFonts w:ascii="Times New Roman" w:eastAsia="Times New Roman" w:hAnsi="Times New Roman"/>
        </w:rPr>
        <w:t>2.4 Eligibility Criteria</w:t>
      </w:r>
    </w:p>
    <w:p w14:paraId="2ADDD7C0" w14:textId="77777777" w:rsidR="006A3F38" w:rsidRDefault="00000000">
      <w:pPr>
        <w:spacing w:after="120"/>
        <w:jc w:val="both"/>
      </w:pPr>
      <w:r>
        <w:t xml:space="preserve">Eligible evidence comprised peer-reviewed original research and reviews directly concerning nilgai ecology, crop depredation or management; Indian studies of multi-species crop damage in which nilgai were explicitly identified; and high-quality human-wildlife-conflict research that addressed measurement, household costs, compensation, deterrence or governance relevant to interpreting nilgai conflict. Authoritative institutional reports and statutory sources were eligible for management and legal context. Studies outside India were included selectively when they tested intervention performance or crop-raiding mechanisms that remain poorly studied for nilgai. English-language publications were used because accessible verification and claim-level assessment in other languages could not be completed consistently. Newspaper reports, blogs, promotional sources and unverified secondary </w:t>
      </w:r>
      <w:r>
        <w:lastRenderedPageBreak/>
        <w:t>citations were excluded as evidence of biological effects, although a peer-reviewed analysis of print media was retained as evidence about reported conflict patterns.</w:t>
      </w:r>
    </w:p>
    <w:p w14:paraId="1BAAB785" w14:textId="77777777" w:rsidR="006A3F38" w:rsidRDefault="00000000">
      <w:pPr>
        <w:pStyle w:val="Heading2"/>
      </w:pPr>
      <w:r>
        <w:rPr>
          <w:rFonts w:ascii="Times New Roman" w:eastAsia="Times New Roman" w:hAnsi="Times New Roman"/>
        </w:rPr>
        <w:t>2.5 Screening, Duplicate Handling and Study Selection</w:t>
      </w:r>
    </w:p>
    <w:p w14:paraId="7F4F29D3" w14:textId="77777777" w:rsidR="006A3F38" w:rsidRDefault="00000000">
      <w:pPr>
        <w:spacing w:after="120"/>
        <w:jc w:val="both"/>
      </w:pPr>
      <w:r>
        <w:t>Titles and abstracts were screened for direct relevance to nilgai, crop damage, agricultural interfaces, human costs or management. Full HTML text, repository text or detailed abstracts were examined when accessible. Duplicate records were identified manually through DOI, title, authorship and publication metadata; multiple web records of the same article were treated as one source. Sources with incomplete or conflicting bibliographic identities were not retained until metadata could be reconciled. Inaccessible articles were used only when sufficient verified metadata and an authoritative abstract established the claim being cited. No numerical screening flow is reported because the search was iterative and narrative rather than a pre-registered systematic review, and records were encountered through overlapping web indexes and citation chains that did not provide a reproducible deduplicated count.</w:t>
      </w:r>
    </w:p>
    <w:p w14:paraId="1B0492EB" w14:textId="77777777" w:rsidR="006A3F38" w:rsidRDefault="00000000">
      <w:pPr>
        <w:pStyle w:val="Heading2"/>
      </w:pPr>
      <w:r>
        <w:rPr>
          <w:rFonts w:ascii="Times New Roman" w:eastAsia="Times New Roman" w:hAnsi="Times New Roman"/>
        </w:rPr>
        <w:t>2.6 Critical Appraisal and Evidence Synthesis</w:t>
      </w:r>
    </w:p>
    <w:p w14:paraId="1985003D" w14:textId="77777777" w:rsidR="006A3F38" w:rsidRDefault="00000000">
      <w:pPr>
        <w:spacing w:after="120"/>
        <w:jc w:val="both"/>
      </w:pPr>
      <w:r>
        <w:t xml:space="preserve">Evidence was appraised according to whether damage was directly measured or self-reported, whether species attribution was independently supported, the presence of controls or comparison plots, sample size and spatial coverage, repeated versus one-off observation, treatment of crop stage and distance effects, transparency of analytical methods, and the match between the study scale and the inference made. Perception surveys were treated as valid evidence of experience, attitudes and management burden but not as direct substitutes for yield measurement. Compensation and media data were interpreted as institutionally filtered records subject to reporting and selection processes. Habitat models were assessed as spatial-risk evidence rather than proof of </w:t>
      </w:r>
      <w:proofErr w:type="spellStart"/>
      <w:r>
        <w:t>realised</w:t>
      </w:r>
      <w:proofErr w:type="spellEnd"/>
      <w:r>
        <w:t xml:space="preserve"> crop loss. Mitigation claims received greater weight when interventions were compared against controls, before-after conditions or </w:t>
      </w:r>
      <w:proofErr w:type="spellStart"/>
      <w:r>
        <w:t>standardised</w:t>
      </w:r>
      <w:proofErr w:type="spellEnd"/>
      <w:r>
        <w:t xml:space="preserve"> multi-site monitoring. Themes were developed around ecological opportunity, damage magnitude, social burden, governance, intervention effectiveness and methodological uncertainty, with contradictory findings retained rather than averaged away.</w:t>
      </w:r>
    </w:p>
    <w:p w14:paraId="1E66E6D9" w14:textId="77777777" w:rsidR="006A3F38" w:rsidRDefault="00000000">
      <w:pPr>
        <w:pStyle w:val="Heading1"/>
      </w:pPr>
      <w:r>
        <w:rPr>
          <w:rFonts w:ascii="Times New Roman" w:eastAsia="Times New Roman" w:hAnsi="Times New Roman"/>
        </w:rPr>
        <w:t>3. Nilgai Ecology at the Agricultural Interface</w:t>
      </w:r>
    </w:p>
    <w:p w14:paraId="6CB2DFA2" w14:textId="77777777" w:rsidR="006A3F38" w:rsidRDefault="00000000">
      <w:pPr>
        <w:pStyle w:val="Heading2"/>
      </w:pPr>
      <w:r>
        <w:rPr>
          <w:rFonts w:ascii="Times New Roman" w:eastAsia="Times New Roman" w:hAnsi="Times New Roman"/>
        </w:rPr>
        <w:t>3.1 Habitat flexibility and the production-landscape problem</w:t>
      </w:r>
    </w:p>
    <w:p w14:paraId="253A2AA9" w14:textId="77777777" w:rsidR="006A3F38" w:rsidRDefault="00000000">
      <w:pPr>
        <w:spacing w:after="120"/>
        <w:jc w:val="both"/>
      </w:pPr>
      <w:r>
        <w:t xml:space="preserve">The most consequential ecological fact for understanding nilgai crop depredation is that agricultural land is not merely a hostile matrix separating preferred habitat patches. At least in parts of its range, cropland itself forms a usable component of the species' landscape. National-scale suitability modelling indicates that rangeland and woodland remain especially important, but cropland contributes substantially to predicted suitable habitat and the overwhelming majority of suitable area occurs outside protected areas (Chandel et al., 2025). This pattern is consistent with broader Indian evidence that large mammals can persist outside formal reserves when ecological conditions and social tolerance permit them, although occurrence varies among species and landscapes (Karanth et al., 2009, 2010). For nilgai, the implication is that conflict cannot be </w:t>
      </w:r>
      <w:proofErr w:type="spellStart"/>
      <w:r>
        <w:t>conceptualised</w:t>
      </w:r>
      <w:proofErr w:type="spellEnd"/>
      <w:r>
        <w:t xml:space="preserve"> solely as animals leaving a protected area and entering an alien agricultural zone. In many districts, the relevant system is a shared, heterogeneous landscape in which natural cover, fallows, rangelands, irrigation networks and crops jointly structure movement and forage.</w:t>
      </w:r>
    </w:p>
    <w:p w14:paraId="438362F2" w14:textId="77777777" w:rsidR="006A3F38" w:rsidRDefault="00000000">
      <w:pPr>
        <w:spacing w:after="120"/>
        <w:jc w:val="both"/>
      </w:pPr>
      <w:r>
        <w:t xml:space="preserve">This distinction changes management logic. If crop raiding were driven almost entirely by leakage from dense populations inside protected areas, perimeter fencing or removal at the boundary might be sufficient. When populations are embedded in agricultural mosaics, interventions that protect one field can displace pressure to </w:t>
      </w:r>
      <w:proofErr w:type="spellStart"/>
      <w:r>
        <w:t>neighbouring</w:t>
      </w:r>
      <w:proofErr w:type="spellEnd"/>
      <w:r>
        <w:t xml:space="preserve"> fields, and removing animals from one locality may not alter the attractors that produced use of the site. Chandel et al. (2025) therefore caution against assuming translocation will resolve the underlying spatial </w:t>
      </w:r>
      <w:r>
        <w:lastRenderedPageBreak/>
        <w:t xml:space="preserve">process. The study's national extent is a strength, but habitat suitability should not be equated with </w:t>
      </w:r>
      <w:proofErr w:type="spellStart"/>
      <w:r>
        <w:t>realised</w:t>
      </w:r>
      <w:proofErr w:type="spellEnd"/>
      <w:r>
        <w:t xml:space="preserve"> abundance or damage. Occurrence data from camera traps, citizen science and conflict records each have different detection and reporting biases; modelled suitability identifies where nilgai can plausibly occur, not how much crop they consume. Local monitoring remains necessary before population-control targets are set.</w:t>
      </w:r>
    </w:p>
    <w:p w14:paraId="2277B7AE" w14:textId="77777777" w:rsidR="006A3F38" w:rsidRDefault="00000000">
      <w:pPr>
        <w:spacing w:after="120"/>
        <w:jc w:val="both"/>
      </w:pPr>
      <w:r>
        <w:t>Population ecology further complicates simple abundance narratives. In Ludhiana district, Rani et al. (2025) recorded cluster-specific density estimates ranging from 0.318 to 5.79 individuals per km² during 24 fortnightly visits across 30 clusters. Adult groups were strongly female-biased in the observed sample, and sightings were related to the local availability of food and shelter. Such heterogeneity suggests that management units should be smaller than states and probably smaller than districts where habitat and cropping patterns vary sharply. The finding also illustrates a general problem in conflict discourse: statements that nilgai are "overabundant" can be locally accurate yet scientifically incomplete unless abundance is estimated relative to a defined area, time period, ecological carrying capacity and socially accepted level of damage.</w:t>
      </w:r>
    </w:p>
    <w:p w14:paraId="65CE58EA" w14:textId="77777777" w:rsidR="006A3F38" w:rsidRDefault="00000000">
      <w:pPr>
        <w:pStyle w:val="Heading2"/>
      </w:pPr>
      <w:r>
        <w:rPr>
          <w:rFonts w:ascii="Times New Roman" w:eastAsia="Times New Roman" w:hAnsi="Times New Roman"/>
        </w:rPr>
        <w:t xml:space="preserve">3.2 Foraging </w:t>
      </w:r>
      <w:proofErr w:type="spellStart"/>
      <w:r>
        <w:rPr>
          <w:rFonts w:ascii="Times New Roman" w:eastAsia="Times New Roman" w:hAnsi="Times New Roman"/>
        </w:rPr>
        <w:t>behaviour</w:t>
      </w:r>
      <w:proofErr w:type="spellEnd"/>
      <w:r>
        <w:rPr>
          <w:rFonts w:ascii="Times New Roman" w:eastAsia="Times New Roman" w:hAnsi="Times New Roman"/>
        </w:rPr>
        <w:t>, risk and nocturnal crop use</w:t>
      </w:r>
    </w:p>
    <w:p w14:paraId="3835E685" w14:textId="77777777" w:rsidR="006A3F38" w:rsidRDefault="00000000">
      <w:pPr>
        <w:spacing w:after="120"/>
        <w:jc w:val="both"/>
      </w:pPr>
      <w:r>
        <w:t xml:space="preserve">Crop depredation reflects a </w:t>
      </w:r>
      <w:proofErr w:type="spellStart"/>
      <w:r>
        <w:t>behavioural</w:t>
      </w:r>
      <w:proofErr w:type="spellEnd"/>
      <w:r>
        <w:t xml:space="preserve"> trade-off between nutritional gain and perceived risk. Bayani and Watve (2016) provide the clearest nilgai-specific evidence. In the </w:t>
      </w:r>
      <w:proofErr w:type="spellStart"/>
      <w:r>
        <w:t>Tadoba-Andhari</w:t>
      </w:r>
      <w:proofErr w:type="spellEnd"/>
      <w:r>
        <w:t xml:space="preserve"> landscape, nilgai generally used agricultural lands at night while forest use predominated during the day, and herd structure and vigilance differed between the two environments. Agricultural foraging therefore represented a distinct </w:t>
      </w:r>
      <w:proofErr w:type="spellStart"/>
      <w:r>
        <w:t>behavioural</w:t>
      </w:r>
      <w:proofErr w:type="spellEnd"/>
      <w:r>
        <w:t xml:space="preserve"> context rather than simply an extension of daytime feeding. Nocturnality can reduce exposure to people while allowing access to concentrated forage, but it shifts deterrence costs onto farmers, who may need to patrol fields at hours associated with fatigue, lost sleep and personal risk.</w:t>
      </w:r>
    </w:p>
    <w:p w14:paraId="06D94A2C" w14:textId="77777777" w:rsidR="006A3F38" w:rsidRDefault="00000000">
      <w:pPr>
        <w:spacing w:after="120"/>
        <w:jc w:val="both"/>
      </w:pPr>
      <w:proofErr w:type="spellStart"/>
      <w:r>
        <w:t>Behavioural</w:t>
      </w:r>
      <w:proofErr w:type="spellEnd"/>
      <w:r>
        <w:t xml:space="preserve"> plasticity also helps explain why apparently sensible deterrents often yield inconsistent results. A device that initially signals human presence may lose effectiveness through habituation if it is predictable and non-threatening. A guard may deter a herd from one entry point but not another, especially in large or fragmented holdings. Herding can alter detection and vigilance, while crop height and field configuration change visibility. Evidence from broader multi-site research shows that crop type, phenological stage and seasonal availability influence damage by large herbivores, and that protection performance can depend more on how measures are </w:t>
      </w:r>
      <w:proofErr w:type="spellStart"/>
      <w:r>
        <w:t>organised</w:t>
      </w:r>
      <w:proofErr w:type="spellEnd"/>
      <w:r>
        <w:t xml:space="preserve"> than on the nominal technology used (Gross et al., 2018, 2019). These general findings are highly plausible for nilgai but require direct testing because species differ in body size, social </w:t>
      </w:r>
      <w:proofErr w:type="spellStart"/>
      <w:r>
        <w:t>organisation</w:t>
      </w:r>
      <w:proofErr w:type="spellEnd"/>
      <w:r>
        <w:t>, risk tolerance and ability to breach barriers.</w:t>
      </w:r>
    </w:p>
    <w:p w14:paraId="58FF22E5" w14:textId="77777777" w:rsidR="006A3F38" w:rsidRDefault="00000000">
      <w:pPr>
        <w:pStyle w:val="Heading2"/>
      </w:pPr>
      <w:r>
        <w:rPr>
          <w:rFonts w:ascii="Times New Roman" w:eastAsia="Times New Roman" w:hAnsi="Times New Roman"/>
        </w:rPr>
        <w:t>3.3 Crop phenology, distance and refuge structure</w:t>
      </w:r>
    </w:p>
    <w:p w14:paraId="4EEA8BC6" w14:textId="77777777" w:rsidR="006A3F38" w:rsidRDefault="00000000">
      <w:pPr>
        <w:spacing w:after="120"/>
        <w:jc w:val="both"/>
      </w:pPr>
      <w:r>
        <w:t xml:space="preserve">The agricultural landscape is temporally dynamic. Sowing, seedling emergence, vegetative growth, flowering and maturation change both the nutritional value and physical accessibility of crops. In </w:t>
      </w:r>
      <w:proofErr w:type="spellStart"/>
      <w:r>
        <w:t>Ramnagar</w:t>
      </w:r>
      <w:proofErr w:type="spellEnd"/>
      <w:r>
        <w:t xml:space="preserve"> Forest Division, where nilgai were among the principal crop raiders, Kumar et al. (2017) recorded the greatest mean raided area at the seedling stage and found nilgai and wild pig particularly important farther from the forest edge. This challenges a purely boundary-</w:t>
      </w:r>
      <w:proofErr w:type="spellStart"/>
      <w:r>
        <w:t>centred</w:t>
      </w:r>
      <w:proofErr w:type="spellEnd"/>
      <w:r>
        <w:t xml:space="preserve"> model: distance from forest may predict damage for some species and crop stages, yet adaptable raiders can remain important deeper within cultivation. In </w:t>
      </w:r>
      <w:proofErr w:type="spellStart"/>
      <w:r>
        <w:t>Abohar</w:t>
      </w:r>
      <w:proofErr w:type="spellEnd"/>
      <w:r>
        <w:t>, protected-versus-unprotected plot comparisons showed major yield reductions in mustard, cotton and wheat, but the relative magnitude differed substantially among crops (Bajwa &amp; Chauhan, 2019). Crop identity is therefore not a trivial covariate; it modifies both attractiveness and the economic consequence of a raid.</w:t>
      </w:r>
    </w:p>
    <w:p w14:paraId="170109F1" w14:textId="77777777" w:rsidR="006A3F38" w:rsidRDefault="00000000">
      <w:pPr>
        <w:spacing w:after="120"/>
        <w:jc w:val="both"/>
      </w:pPr>
      <w:r>
        <w:t xml:space="preserve">Forest-edge effects are nevertheless recurrent. Bayani et al. (2016) found very high damage close to </w:t>
      </w:r>
      <w:proofErr w:type="spellStart"/>
      <w:r>
        <w:t>Tadoba-Andhari</w:t>
      </w:r>
      <w:proofErr w:type="spellEnd"/>
      <w:r>
        <w:t xml:space="preserve"> and a decline with increasing distance, while Sekhar (1998) reported variation with distance from </w:t>
      </w:r>
      <w:proofErr w:type="spellStart"/>
      <w:r>
        <w:t>Sariska</w:t>
      </w:r>
      <w:proofErr w:type="spellEnd"/>
      <w:r>
        <w:t xml:space="preserve"> Tiger Reserve and identified nilgai and wild boar as responsible for at least half of major-crop damage attributed to wild animals. The apparent discrepancy between edge-dominated damage and persistent nilgai impacts farther into farmland likely reflects differences in landscape permeability and refuge distribution. A field five </w:t>
      </w:r>
      <w:proofErr w:type="spellStart"/>
      <w:r>
        <w:t>kilometres</w:t>
      </w:r>
      <w:proofErr w:type="spellEnd"/>
      <w:r>
        <w:t xml:space="preserve"> from </w:t>
      </w:r>
      <w:r>
        <w:lastRenderedPageBreak/>
        <w:t>a protected-area boundary may still be close to scrub, ravines, canals, plantations or small forest patches that provide cover. Future models should therefore replace simple straight-line distance to a reserve with functional distance to refuge, water, movement corridors and alternative forage.</w:t>
      </w:r>
    </w:p>
    <w:p w14:paraId="1DE72251" w14:textId="77777777" w:rsidR="006A3F38" w:rsidRDefault="00000000">
      <w:pPr>
        <w:spacing w:after="120"/>
        <w:jc w:val="both"/>
      </w:pPr>
      <w:r>
        <w:t xml:space="preserve">The synthesis in Table 1 separates ecological mechanisms that are well supported from those that remain plausible but insufficiently quantified. The main management implication is that crop depredation should be treated as a spatially and temporally structured foraging process. Abundance matters, but the probability and severity of damage emerge from the interaction of population size with refuge configuration, crop phenology, human activity and the </w:t>
      </w:r>
      <w:proofErr w:type="spellStart"/>
      <w:r>
        <w:t>behavioural</w:t>
      </w:r>
      <w:proofErr w:type="spellEnd"/>
      <w:r>
        <w:t xml:space="preserve"> response of nilgai to risk.</w:t>
      </w:r>
    </w:p>
    <w:p w14:paraId="471C4701" w14:textId="77777777" w:rsidR="006A3F38" w:rsidRDefault="00000000">
      <w:pPr>
        <w:pStyle w:val="TableCaption"/>
      </w:pPr>
      <w:r>
        <w:rPr>
          <w:rFonts w:eastAsia="Times New Roman"/>
        </w:rPr>
        <w:t>Table 1. Ecological mechanisms linking nilgai landscape use to crop depredation</w:t>
      </w:r>
    </w:p>
    <w:tbl>
      <w:tblPr>
        <w:tblW w:w="5000" w:type="pct"/>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1545"/>
        <w:gridCol w:w="2280"/>
        <w:gridCol w:w="2280"/>
        <w:gridCol w:w="2133"/>
        <w:gridCol w:w="2088"/>
      </w:tblGrid>
      <w:tr w:rsidR="006A3F38" w14:paraId="563BEC5E" w14:textId="77777777" w:rsidTr="0077180A">
        <w:trPr>
          <w:cantSplit/>
          <w:tblHeader/>
          <w:jc w:val="center"/>
        </w:trPr>
        <w:tc>
          <w:tcPr>
            <w:tcW w:w="748" w:type="pct"/>
            <w:shd w:val="clear" w:color="auto" w:fill="D9E2F3"/>
            <w:tcMar>
              <w:top w:w="70" w:type="dxa"/>
              <w:left w:w="80" w:type="dxa"/>
              <w:bottom w:w="70" w:type="dxa"/>
              <w:right w:w="80" w:type="dxa"/>
            </w:tcMar>
            <w:vAlign w:val="center"/>
          </w:tcPr>
          <w:p w14:paraId="22DCD971" w14:textId="77777777" w:rsidR="006A3F38" w:rsidRDefault="00000000">
            <w:pPr>
              <w:spacing w:after="0" w:line="240" w:lineRule="auto"/>
            </w:pPr>
            <w:r>
              <w:rPr>
                <w:b/>
                <w:sz w:val="16"/>
              </w:rPr>
              <w:t>Mechanism</w:t>
            </w:r>
          </w:p>
        </w:tc>
        <w:tc>
          <w:tcPr>
            <w:tcW w:w="1104" w:type="pct"/>
            <w:shd w:val="clear" w:color="auto" w:fill="D9E2F3"/>
            <w:tcMar>
              <w:top w:w="70" w:type="dxa"/>
              <w:left w:w="80" w:type="dxa"/>
              <w:bottom w:w="70" w:type="dxa"/>
              <w:right w:w="80" w:type="dxa"/>
            </w:tcMar>
            <w:vAlign w:val="center"/>
          </w:tcPr>
          <w:p w14:paraId="0D8E82FE" w14:textId="77777777" w:rsidR="006A3F38" w:rsidRDefault="00000000">
            <w:pPr>
              <w:spacing w:after="0" w:line="240" w:lineRule="auto"/>
            </w:pPr>
            <w:r>
              <w:rPr>
                <w:b/>
                <w:sz w:val="16"/>
              </w:rPr>
              <w:t>Evidence from nilgai/Indian studies</w:t>
            </w:r>
          </w:p>
        </w:tc>
        <w:tc>
          <w:tcPr>
            <w:tcW w:w="1104" w:type="pct"/>
            <w:shd w:val="clear" w:color="auto" w:fill="D9E2F3"/>
            <w:tcMar>
              <w:top w:w="70" w:type="dxa"/>
              <w:left w:w="80" w:type="dxa"/>
              <w:bottom w:w="70" w:type="dxa"/>
              <w:right w:w="80" w:type="dxa"/>
            </w:tcMar>
            <w:vAlign w:val="center"/>
          </w:tcPr>
          <w:p w14:paraId="2F4413EE" w14:textId="77777777" w:rsidR="006A3F38" w:rsidRDefault="00000000">
            <w:pPr>
              <w:spacing w:after="0" w:line="240" w:lineRule="auto"/>
            </w:pPr>
            <w:r>
              <w:rPr>
                <w:b/>
                <w:sz w:val="16"/>
              </w:rPr>
              <w:t>Management interpretation</w:t>
            </w:r>
          </w:p>
        </w:tc>
        <w:tc>
          <w:tcPr>
            <w:tcW w:w="1033" w:type="pct"/>
            <w:shd w:val="clear" w:color="auto" w:fill="D9E2F3"/>
            <w:tcMar>
              <w:top w:w="70" w:type="dxa"/>
              <w:left w:w="80" w:type="dxa"/>
              <w:bottom w:w="70" w:type="dxa"/>
              <w:right w:w="80" w:type="dxa"/>
            </w:tcMar>
            <w:vAlign w:val="center"/>
          </w:tcPr>
          <w:p w14:paraId="61BD5A24" w14:textId="77777777" w:rsidR="006A3F38" w:rsidRDefault="00000000">
            <w:pPr>
              <w:spacing w:after="0" w:line="240" w:lineRule="auto"/>
            </w:pPr>
            <w:r>
              <w:rPr>
                <w:b/>
                <w:sz w:val="16"/>
              </w:rPr>
              <w:t>Principal limitation</w:t>
            </w:r>
          </w:p>
        </w:tc>
        <w:tc>
          <w:tcPr>
            <w:tcW w:w="1011" w:type="pct"/>
            <w:shd w:val="clear" w:color="auto" w:fill="D9E2F3"/>
            <w:tcMar>
              <w:top w:w="70" w:type="dxa"/>
              <w:left w:w="80" w:type="dxa"/>
              <w:bottom w:w="70" w:type="dxa"/>
              <w:right w:w="80" w:type="dxa"/>
            </w:tcMar>
            <w:vAlign w:val="center"/>
          </w:tcPr>
          <w:p w14:paraId="3837F843" w14:textId="77777777" w:rsidR="006A3F38" w:rsidRDefault="00000000">
            <w:pPr>
              <w:spacing w:after="0" w:line="240" w:lineRule="auto"/>
            </w:pPr>
            <w:r>
              <w:rPr>
                <w:b/>
                <w:sz w:val="16"/>
              </w:rPr>
              <w:t>Supporting references</w:t>
            </w:r>
          </w:p>
        </w:tc>
      </w:tr>
      <w:tr w:rsidR="006A3F38" w14:paraId="7CA61209" w14:textId="77777777" w:rsidTr="0077180A">
        <w:trPr>
          <w:cantSplit/>
          <w:jc w:val="center"/>
        </w:trPr>
        <w:tc>
          <w:tcPr>
            <w:tcW w:w="748" w:type="pct"/>
            <w:tcMar>
              <w:top w:w="70" w:type="dxa"/>
              <w:left w:w="80" w:type="dxa"/>
              <w:bottom w:w="70" w:type="dxa"/>
              <w:right w:w="80" w:type="dxa"/>
            </w:tcMar>
            <w:vAlign w:val="center"/>
          </w:tcPr>
          <w:p w14:paraId="53E7BDAB" w14:textId="77777777" w:rsidR="006A3F38" w:rsidRDefault="00000000">
            <w:pPr>
              <w:spacing w:after="0" w:line="240" w:lineRule="auto"/>
            </w:pPr>
            <w:r>
              <w:rPr>
                <w:sz w:val="16"/>
              </w:rPr>
              <w:t>Agricultural habitat use</w:t>
            </w:r>
          </w:p>
        </w:tc>
        <w:tc>
          <w:tcPr>
            <w:tcW w:w="1104" w:type="pct"/>
            <w:tcMar>
              <w:top w:w="70" w:type="dxa"/>
              <w:left w:w="80" w:type="dxa"/>
              <w:bottom w:w="70" w:type="dxa"/>
              <w:right w:w="80" w:type="dxa"/>
            </w:tcMar>
            <w:vAlign w:val="center"/>
          </w:tcPr>
          <w:p w14:paraId="7C643C0F" w14:textId="77777777" w:rsidR="006A3F38" w:rsidRDefault="00000000">
            <w:pPr>
              <w:spacing w:after="0" w:line="240" w:lineRule="auto"/>
            </w:pPr>
            <w:r>
              <w:rPr>
                <w:sz w:val="16"/>
              </w:rPr>
              <w:t xml:space="preserve">Cropland contributes to modelled habitat suitability; most suitable habitat in the </w:t>
            </w:r>
            <w:proofErr w:type="spellStart"/>
            <w:r>
              <w:rPr>
                <w:sz w:val="16"/>
              </w:rPr>
              <w:t>analysed</w:t>
            </w:r>
            <w:proofErr w:type="spellEnd"/>
            <w:r>
              <w:rPr>
                <w:sz w:val="16"/>
              </w:rPr>
              <w:t xml:space="preserve"> national landscape lies outside protected areas</w:t>
            </w:r>
          </w:p>
        </w:tc>
        <w:tc>
          <w:tcPr>
            <w:tcW w:w="1104" w:type="pct"/>
            <w:tcMar>
              <w:top w:w="70" w:type="dxa"/>
              <w:left w:w="80" w:type="dxa"/>
              <w:bottom w:w="70" w:type="dxa"/>
              <w:right w:w="80" w:type="dxa"/>
            </w:tcMar>
            <w:vAlign w:val="center"/>
          </w:tcPr>
          <w:p w14:paraId="2C60FDB7" w14:textId="77777777" w:rsidR="006A3F38" w:rsidRDefault="00000000">
            <w:pPr>
              <w:spacing w:after="0" w:line="240" w:lineRule="auto"/>
            </w:pPr>
            <w:r>
              <w:rPr>
                <w:sz w:val="16"/>
              </w:rPr>
              <w:t>Management must address production landscapes, not only reserve boundaries</w:t>
            </w:r>
          </w:p>
        </w:tc>
        <w:tc>
          <w:tcPr>
            <w:tcW w:w="1033" w:type="pct"/>
            <w:tcMar>
              <w:top w:w="70" w:type="dxa"/>
              <w:left w:w="80" w:type="dxa"/>
              <w:bottom w:w="70" w:type="dxa"/>
              <w:right w:w="80" w:type="dxa"/>
            </w:tcMar>
            <w:vAlign w:val="center"/>
          </w:tcPr>
          <w:p w14:paraId="1FF22F79" w14:textId="77777777" w:rsidR="006A3F38" w:rsidRDefault="00000000">
            <w:pPr>
              <w:spacing w:after="0" w:line="240" w:lineRule="auto"/>
            </w:pPr>
            <w:r>
              <w:rPr>
                <w:sz w:val="16"/>
              </w:rPr>
              <w:t xml:space="preserve">Suitability and occurrence do not quantify </w:t>
            </w:r>
            <w:proofErr w:type="spellStart"/>
            <w:r>
              <w:rPr>
                <w:sz w:val="16"/>
              </w:rPr>
              <w:t>realised</w:t>
            </w:r>
            <w:proofErr w:type="spellEnd"/>
            <w:r>
              <w:rPr>
                <w:sz w:val="16"/>
              </w:rPr>
              <w:t xml:space="preserve"> crop loss</w:t>
            </w:r>
          </w:p>
        </w:tc>
        <w:tc>
          <w:tcPr>
            <w:tcW w:w="1011" w:type="pct"/>
            <w:tcMar>
              <w:top w:w="70" w:type="dxa"/>
              <w:left w:w="80" w:type="dxa"/>
              <w:bottom w:w="70" w:type="dxa"/>
              <w:right w:w="80" w:type="dxa"/>
            </w:tcMar>
            <w:vAlign w:val="center"/>
          </w:tcPr>
          <w:p w14:paraId="2913EE34" w14:textId="77777777" w:rsidR="006A3F38" w:rsidRDefault="00000000">
            <w:pPr>
              <w:spacing w:after="0" w:line="240" w:lineRule="auto"/>
            </w:pPr>
            <w:r>
              <w:rPr>
                <w:sz w:val="16"/>
              </w:rPr>
              <w:t>Chandel et al. (2025); Karanth et al. (2009)</w:t>
            </w:r>
          </w:p>
        </w:tc>
      </w:tr>
      <w:tr w:rsidR="006A3F38" w14:paraId="5952051C" w14:textId="77777777" w:rsidTr="0077180A">
        <w:trPr>
          <w:cantSplit/>
          <w:jc w:val="center"/>
        </w:trPr>
        <w:tc>
          <w:tcPr>
            <w:tcW w:w="748" w:type="pct"/>
            <w:tcMar>
              <w:top w:w="70" w:type="dxa"/>
              <w:left w:w="80" w:type="dxa"/>
              <w:bottom w:w="70" w:type="dxa"/>
              <w:right w:w="80" w:type="dxa"/>
            </w:tcMar>
            <w:vAlign w:val="center"/>
          </w:tcPr>
          <w:p w14:paraId="0A0ED89C" w14:textId="77777777" w:rsidR="006A3F38" w:rsidRDefault="00000000">
            <w:pPr>
              <w:spacing w:after="0" w:line="240" w:lineRule="auto"/>
            </w:pPr>
            <w:r>
              <w:rPr>
                <w:sz w:val="16"/>
              </w:rPr>
              <w:t>Nocturnal risk avoidance</w:t>
            </w:r>
          </w:p>
        </w:tc>
        <w:tc>
          <w:tcPr>
            <w:tcW w:w="1104" w:type="pct"/>
            <w:tcMar>
              <w:top w:w="70" w:type="dxa"/>
              <w:left w:w="80" w:type="dxa"/>
              <w:bottom w:w="70" w:type="dxa"/>
              <w:right w:w="80" w:type="dxa"/>
            </w:tcMar>
            <w:vAlign w:val="center"/>
          </w:tcPr>
          <w:p w14:paraId="76989D87" w14:textId="77777777" w:rsidR="006A3F38" w:rsidRDefault="00000000">
            <w:pPr>
              <w:spacing w:after="0" w:line="240" w:lineRule="auto"/>
            </w:pPr>
            <w:r>
              <w:rPr>
                <w:sz w:val="16"/>
              </w:rPr>
              <w:t xml:space="preserve">Nilgai use farms primarily at night in the </w:t>
            </w:r>
            <w:proofErr w:type="spellStart"/>
            <w:r>
              <w:rPr>
                <w:sz w:val="16"/>
              </w:rPr>
              <w:t>Tadoba-Andhari</w:t>
            </w:r>
            <w:proofErr w:type="spellEnd"/>
            <w:r>
              <w:rPr>
                <w:sz w:val="16"/>
              </w:rPr>
              <w:t xml:space="preserve"> study and alter vigilance/grouping relative to forest foraging</w:t>
            </w:r>
          </w:p>
        </w:tc>
        <w:tc>
          <w:tcPr>
            <w:tcW w:w="1104" w:type="pct"/>
            <w:tcMar>
              <w:top w:w="70" w:type="dxa"/>
              <w:left w:w="80" w:type="dxa"/>
              <w:bottom w:w="70" w:type="dxa"/>
              <w:right w:w="80" w:type="dxa"/>
            </w:tcMar>
            <w:vAlign w:val="center"/>
          </w:tcPr>
          <w:p w14:paraId="57E04179" w14:textId="77777777" w:rsidR="006A3F38" w:rsidRDefault="00000000">
            <w:pPr>
              <w:spacing w:after="0" w:line="240" w:lineRule="auto"/>
            </w:pPr>
            <w:r>
              <w:rPr>
                <w:sz w:val="16"/>
              </w:rPr>
              <w:t xml:space="preserve">Deterrence must function during high-risk nocturnal periods without imposing unsafe </w:t>
            </w:r>
            <w:proofErr w:type="spellStart"/>
            <w:r>
              <w:rPr>
                <w:sz w:val="16"/>
              </w:rPr>
              <w:t>labour</w:t>
            </w:r>
            <w:proofErr w:type="spellEnd"/>
            <w:r>
              <w:rPr>
                <w:sz w:val="16"/>
              </w:rPr>
              <w:t xml:space="preserve"> burdens</w:t>
            </w:r>
          </w:p>
        </w:tc>
        <w:tc>
          <w:tcPr>
            <w:tcW w:w="1033" w:type="pct"/>
            <w:tcMar>
              <w:top w:w="70" w:type="dxa"/>
              <w:left w:w="80" w:type="dxa"/>
              <w:bottom w:w="70" w:type="dxa"/>
              <w:right w:w="80" w:type="dxa"/>
            </w:tcMar>
            <w:vAlign w:val="center"/>
          </w:tcPr>
          <w:p w14:paraId="513C9B7E" w14:textId="77777777" w:rsidR="006A3F38" w:rsidRDefault="00000000">
            <w:pPr>
              <w:spacing w:after="0" w:line="240" w:lineRule="auto"/>
            </w:pPr>
            <w:proofErr w:type="spellStart"/>
            <w:r>
              <w:rPr>
                <w:sz w:val="16"/>
              </w:rPr>
              <w:t>Behaviour</w:t>
            </w:r>
            <w:proofErr w:type="spellEnd"/>
            <w:r>
              <w:rPr>
                <w:sz w:val="16"/>
              </w:rPr>
              <w:t xml:space="preserve"> documented intensively in one landscape</w:t>
            </w:r>
          </w:p>
        </w:tc>
        <w:tc>
          <w:tcPr>
            <w:tcW w:w="1011" w:type="pct"/>
            <w:tcMar>
              <w:top w:w="70" w:type="dxa"/>
              <w:left w:w="80" w:type="dxa"/>
              <w:bottom w:w="70" w:type="dxa"/>
              <w:right w:w="80" w:type="dxa"/>
            </w:tcMar>
            <w:vAlign w:val="center"/>
          </w:tcPr>
          <w:p w14:paraId="1D261721" w14:textId="77777777" w:rsidR="006A3F38" w:rsidRDefault="00000000">
            <w:pPr>
              <w:spacing w:after="0" w:line="240" w:lineRule="auto"/>
            </w:pPr>
            <w:r>
              <w:rPr>
                <w:sz w:val="16"/>
              </w:rPr>
              <w:t>Bayani &amp; Watve (2016)</w:t>
            </w:r>
          </w:p>
        </w:tc>
      </w:tr>
      <w:tr w:rsidR="006A3F38" w14:paraId="660F4D71" w14:textId="77777777" w:rsidTr="0077180A">
        <w:trPr>
          <w:cantSplit/>
          <w:jc w:val="center"/>
        </w:trPr>
        <w:tc>
          <w:tcPr>
            <w:tcW w:w="748" w:type="pct"/>
            <w:tcMar>
              <w:top w:w="70" w:type="dxa"/>
              <w:left w:w="80" w:type="dxa"/>
              <w:bottom w:w="70" w:type="dxa"/>
              <w:right w:w="80" w:type="dxa"/>
            </w:tcMar>
            <w:vAlign w:val="center"/>
          </w:tcPr>
          <w:p w14:paraId="3A9ADEE2" w14:textId="77777777" w:rsidR="006A3F38" w:rsidRDefault="00000000">
            <w:pPr>
              <w:spacing w:after="0" w:line="240" w:lineRule="auto"/>
            </w:pPr>
            <w:r>
              <w:rPr>
                <w:sz w:val="16"/>
              </w:rPr>
              <w:t>Local demographic concentration</w:t>
            </w:r>
          </w:p>
        </w:tc>
        <w:tc>
          <w:tcPr>
            <w:tcW w:w="1104" w:type="pct"/>
            <w:tcMar>
              <w:top w:w="70" w:type="dxa"/>
              <w:left w:w="80" w:type="dxa"/>
              <w:bottom w:w="70" w:type="dxa"/>
              <w:right w:w="80" w:type="dxa"/>
            </w:tcMar>
            <w:vAlign w:val="center"/>
          </w:tcPr>
          <w:p w14:paraId="62656A87" w14:textId="77777777" w:rsidR="006A3F38" w:rsidRDefault="00000000">
            <w:pPr>
              <w:spacing w:after="0" w:line="240" w:lineRule="auto"/>
            </w:pPr>
            <w:r>
              <w:rPr>
                <w:sz w:val="16"/>
              </w:rPr>
              <w:t>Population density and encounter rates vary strongly among clusters in Punjab; food and shelter affect sightings</w:t>
            </w:r>
          </w:p>
        </w:tc>
        <w:tc>
          <w:tcPr>
            <w:tcW w:w="1104" w:type="pct"/>
            <w:tcMar>
              <w:top w:w="70" w:type="dxa"/>
              <w:left w:w="80" w:type="dxa"/>
              <w:bottom w:w="70" w:type="dxa"/>
              <w:right w:w="80" w:type="dxa"/>
            </w:tcMar>
            <w:vAlign w:val="center"/>
          </w:tcPr>
          <w:p w14:paraId="67B4A27E" w14:textId="77777777" w:rsidR="006A3F38" w:rsidRDefault="00000000">
            <w:pPr>
              <w:spacing w:after="0" w:line="240" w:lineRule="auto"/>
            </w:pPr>
            <w:r>
              <w:rPr>
                <w:sz w:val="16"/>
              </w:rPr>
              <w:t>Intervention intensity should be based on local population evidence</w:t>
            </w:r>
          </w:p>
        </w:tc>
        <w:tc>
          <w:tcPr>
            <w:tcW w:w="1033" w:type="pct"/>
            <w:tcMar>
              <w:top w:w="70" w:type="dxa"/>
              <w:left w:w="80" w:type="dxa"/>
              <w:bottom w:w="70" w:type="dxa"/>
              <w:right w:w="80" w:type="dxa"/>
            </w:tcMar>
            <w:vAlign w:val="center"/>
          </w:tcPr>
          <w:p w14:paraId="17CAB9BB" w14:textId="77777777" w:rsidR="006A3F38" w:rsidRDefault="00000000">
            <w:pPr>
              <w:spacing w:after="0" w:line="240" w:lineRule="auto"/>
            </w:pPr>
            <w:r>
              <w:rPr>
                <w:sz w:val="16"/>
              </w:rPr>
              <w:t xml:space="preserve">Short temporal window and limited geographic </w:t>
            </w:r>
            <w:proofErr w:type="spellStart"/>
            <w:r>
              <w:rPr>
                <w:sz w:val="16"/>
              </w:rPr>
              <w:t>generalisability</w:t>
            </w:r>
            <w:proofErr w:type="spellEnd"/>
          </w:p>
        </w:tc>
        <w:tc>
          <w:tcPr>
            <w:tcW w:w="1011" w:type="pct"/>
            <w:tcMar>
              <w:top w:w="70" w:type="dxa"/>
              <w:left w:w="80" w:type="dxa"/>
              <w:bottom w:w="70" w:type="dxa"/>
              <w:right w:w="80" w:type="dxa"/>
            </w:tcMar>
            <w:vAlign w:val="center"/>
          </w:tcPr>
          <w:p w14:paraId="5743FB5F" w14:textId="77777777" w:rsidR="006A3F38" w:rsidRDefault="00000000">
            <w:pPr>
              <w:spacing w:after="0" w:line="240" w:lineRule="auto"/>
            </w:pPr>
            <w:r>
              <w:rPr>
                <w:sz w:val="16"/>
              </w:rPr>
              <w:t>Rani et al. (2025)</w:t>
            </w:r>
          </w:p>
        </w:tc>
      </w:tr>
      <w:tr w:rsidR="006A3F38" w14:paraId="3B794EEB" w14:textId="77777777" w:rsidTr="0077180A">
        <w:trPr>
          <w:cantSplit/>
          <w:jc w:val="center"/>
        </w:trPr>
        <w:tc>
          <w:tcPr>
            <w:tcW w:w="748" w:type="pct"/>
            <w:tcMar>
              <w:top w:w="70" w:type="dxa"/>
              <w:left w:w="80" w:type="dxa"/>
              <w:bottom w:w="70" w:type="dxa"/>
              <w:right w:w="80" w:type="dxa"/>
            </w:tcMar>
            <w:vAlign w:val="center"/>
          </w:tcPr>
          <w:p w14:paraId="741AD166" w14:textId="77777777" w:rsidR="006A3F38" w:rsidRDefault="00000000">
            <w:pPr>
              <w:spacing w:after="0" w:line="240" w:lineRule="auto"/>
            </w:pPr>
            <w:r>
              <w:rPr>
                <w:sz w:val="16"/>
              </w:rPr>
              <w:t>Crop-specific attractiveness and loss</w:t>
            </w:r>
          </w:p>
        </w:tc>
        <w:tc>
          <w:tcPr>
            <w:tcW w:w="1104" w:type="pct"/>
            <w:tcMar>
              <w:top w:w="70" w:type="dxa"/>
              <w:left w:w="80" w:type="dxa"/>
              <w:bottom w:w="70" w:type="dxa"/>
              <w:right w:w="80" w:type="dxa"/>
            </w:tcMar>
            <w:vAlign w:val="center"/>
          </w:tcPr>
          <w:p w14:paraId="43E01EBB" w14:textId="77777777" w:rsidR="006A3F38" w:rsidRDefault="00000000">
            <w:pPr>
              <w:spacing w:after="0" w:line="240" w:lineRule="auto"/>
            </w:pPr>
            <w:r>
              <w:rPr>
                <w:sz w:val="16"/>
              </w:rPr>
              <w:t>Protected/unprotected plots show different yield reductions among mustard, cotton and wheat</w:t>
            </w:r>
          </w:p>
        </w:tc>
        <w:tc>
          <w:tcPr>
            <w:tcW w:w="1104" w:type="pct"/>
            <w:tcMar>
              <w:top w:w="70" w:type="dxa"/>
              <w:left w:w="80" w:type="dxa"/>
              <w:bottom w:w="70" w:type="dxa"/>
              <w:right w:w="80" w:type="dxa"/>
            </w:tcMar>
            <w:vAlign w:val="center"/>
          </w:tcPr>
          <w:p w14:paraId="0807BC56" w14:textId="77777777" w:rsidR="006A3F38" w:rsidRDefault="00000000">
            <w:pPr>
              <w:spacing w:after="0" w:line="240" w:lineRule="auto"/>
            </w:pPr>
            <w:r>
              <w:rPr>
                <w:sz w:val="16"/>
              </w:rPr>
              <w:t>Crop calendars and crop identity should guide seasonal targeting</w:t>
            </w:r>
          </w:p>
        </w:tc>
        <w:tc>
          <w:tcPr>
            <w:tcW w:w="1033" w:type="pct"/>
            <w:tcMar>
              <w:top w:w="70" w:type="dxa"/>
              <w:left w:w="80" w:type="dxa"/>
              <w:bottom w:w="70" w:type="dxa"/>
              <w:right w:w="80" w:type="dxa"/>
            </w:tcMar>
            <w:vAlign w:val="center"/>
          </w:tcPr>
          <w:p w14:paraId="2BD0DEE6" w14:textId="77777777" w:rsidR="006A3F38" w:rsidRDefault="00000000">
            <w:pPr>
              <w:spacing w:after="0" w:line="240" w:lineRule="auto"/>
            </w:pPr>
            <w:r>
              <w:rPr>
                <w:sz w:val="16"/>
              </w:rPr>
              <w:t>Results reflect a distinctive sanctuary-agriculture system</w:t>
            </w:r>
          </w:p>
        </w:tc>
        <w:tc>
          <w:tcPr>
            <w:tcW w:w="1011" w:type="pct"/>
            <w:tcMar>
              <w:top w:w="70" w:type="dxa"/>
              <w:left w:w="80" w:type="dxa"/>
              <w:bottom w:w="70" w:type="dxa"/>
              <w:right w:w="80" w:type="dxa"/>
            </w:tcMar>
            <w:vAlign w:val="center"/>
          </w:tcPr>
          <w:p w14:paraId="0703E51D" w14:textId="77777777" w:rsidR="006A3F38" w:rsidRDefault="00000000">
            <w:pPr>
              <w:spacing w:after="0" w:line="240" w:lineRule="auto"/>
            </w:pPr>
            <w:r>
              <w:rPr>
                <w:sz w:val="16"/>
              </w:rPr>
              <w:t>Bajwa &amp; Chauhan (2019)</w:t>
            </w:r>
          </w:p>
        </w:tc>
      </w:tr>
      <w:tr w:rsidR="006A3F38" w14:paraId="7B2AD273" w14:textId="77777777" w:rsidTr="0077180A">
        <w:trPr>
          <w:cantSplit/>
          <w:jc w:val="center"/>
        </w:trPr>
        <w:tc>
          <w:tcPr>
            <w:tcW w:w="748" w:type="pct"/>
            <w:tcMar>
              <w:top w:w="70" w:type="dxa"/>
              <w:left w:w="80" w:type="dxa"/>
              <w:bottom w:w="70" w:type="dxa"/>
              <w:right w:w="80" w:type="dxa"/>
            </w:tcMar>
            <w:vAlign w:val="center"/>
          </w:tcPr>
          <w:p w14:paraId="37D56EDB" w14:textId="77777777" w:rsidR="006A3F38" w:rsidRDefault="00000000">
            <w:pPr>
              <w:spacing w:after="0" w:line="240" w:lineRule="auto"/>
            </w:pPr>
            <w:r>
              <w:rPr>
                <w:sz w:val="16"/>
              </w:rPr>
              <w:t>Edge/refuge gradients</w:t>
            </w:r>
          </w:p>
        </w:tc>
        <w:tc>
          <w:tcPr>
            <w:tcW w:w="1104" w:type="pct"/>
            <w:tcMar>
              <w:top w:w="70" w:type="dxa"/>
              <w:left w:w="80" w:type="dxa"/>
              <w:bottom w:w="70" w:type="dxa"/>
              <w:right w:w="80" w:type="dxa"/>
            </w:tcMar>
            <w:vAlign w:val="center"/>
          </w:tcPr>
          <w:p w14:paraId="120A871A" w14:textId="77777777" w:rsidR="006A3F38" w:rsidRDefault="00000000">
            <w:pPr>
              <w:spacing w:after="0" w:line="240" w:lineRule="auto"/>
            </w:pPr>
            <w:r>
              <w:rPr>
                <w:sz w:val="16"/>
              </w:rPr>
              <w:t>Damage can be highest close to forest, but nilgai remain important farther into cultivation in some landscapes</w:t>
            </w:r>
          </w:p>
        </w:tc>
        <w:tc>
          <w:tcPr>
            <w:tcW w:w="1104" w:type="pct"/>
            <w:tcMar>
              <w:top w:w="70" w:type="dxa"/>
              <w:left w:w="80" w:type="dxa"/>
              <w:bottom w:w="70" w:type="dxa"/>
              <w:right w:w="80" w:type="dxa"/>
            </w:tcMar>
            <w:vAlign w:val="center"/>
          </w:tcPr>
          <w:p w14:paraId="38EDA51F" w14:textId="77777777" w:rsidR="006A3F38" w:rsidRDefault="00000000">
            <w:pPr>
              <w:spacing w:after="0" w:line="240" w:lineRule="auto"/>
            </w:pPr>
            <w:r>
              <w:rPr>
                <w:sz w:val="16"/>
              </w:rPr>
              <w:t>Functional distance to refuge may be more informative than reserve boundary alone</w:t>
            </w:r>
          </w:p>
        </w:tc>
        <w:tc>
          <w:tcPr>
            <w:tcW w:w="1033" w:type="pct"/>
            <w:tcMar>
              <w:top w:w="70" w:type="dxa"/>
              <w:left w:w="80" w:type="dxa"/>
              <w:bottom w:w="70" w:type="dxa"/>
              <w:right w:w="80" w:type="dxa"/>
            </w:tcMar>
            <w:vAlign w:val="center"/>
          </w:tcPr>
          <w:p w14:paraId="0FE46457" w14:textId="77777777" w:rsidR="006A3F38" w:rsidRDefault="00000000">
            <w:pPr>
              <w:spacing w:after="0" w:line="240" w:lineRule="auto"/>
            </w:pPr>
            <w:r>
              <w:rPr>
                <w:sz w:val="16"/>
              </w:rPr>
              <w:t>Species attribution and landscape metrics vary among studies</w:t>
            </w:r>
          </w:p>
        </w:tc>
        <w:tc>
          <w:tcPr>
            <w:tcW w:w="1011" w:type="pct"/>
            <w:tcMar>
              <w:top w:w="70" w:type="dxa"/>
              <w:left w:w="80" w:type="dxa"/>
              <w:bottom w:w="70" w:type="dxa"/>
              <w:right w:w="80" w:type="dxa"/>
            </w:tcMar>
            <w:vAlign w:val="center"/>
          </w:tcPr>
          <w:p w14:paraId="47EA1B6C" w14:textId="77777777" w:rsidR="006A3F38" w:rsidRDefault="00000000">
            <w:pPr>
              <w:spacing w:after="0" w:line="240" w:lineRule="auto"/>
            </w:pPr>
            <w:r>
              <w:rPr>
                <w:sz w:val="16"/>
              </w:rPr>
              <w:t>Bayani et al. (2016); Kumar et al. (2017); Sekhar (1998)</w:t>
            </w:r>
          </w:p>
        </w:tc>
      </w:tr>
      <w:tr w:rsidR="006A3F38" w14:paraId="3C89F1AB" w14:textId="77777777" w:rsidTr="0077180A">
        <w:trPr>
          <w:cantSplit/>
          <w:jc w:val="center"/>
        </w:trPr>
        <w:tc>
          <w:tcPr>
            <w:tcW w:w="748" w:type="pct"/>
            <w:tcMar>
              <w:top w:w="70" w:type="dxa"/>
              <w:left w:w="80" w:type="dxa"/>
              <w:bottom w:w="70" w:type="dxa"/>
              <w:right w:w="80" w:type="dxa"/>
            </w:tcMar>
            <w:vAlign w:val="center"/>
          </w:tcPr>
          <w:p w14:paraId="34D88C46" w14:textId="77777777" w:rsidR="006A3F38" w:rsidRDefault="00000000">
            <w:pPr>
              <w:spacing w:after="0" w:line="240" w:lineRule="auto"/>
            </w:pPr>
            <w:r>
              <w:rPr>
                <w:sz w:val="16"/>
              </w:rPr>
              <w:t>Phenological vulnerability</w:t>
            </w:r>
          </w:p>
        </w:tc>
        <w:tc>
          <w:tcPr>
            <w:tcW w:w="1104" w:type="pct"/>
            <w:tcMar>
              <w:top w:w="70" w:type="dxa"/>
              <w:left w:w="80" w:type="dxa"/>
              <w:bottom w:w="70" w:type="dxa"/>
              <w:right w:w="80" w:type="dxa"/>
            </w:tcMar>
            <w:vAlign w:val="center"/>
          </w:tcPr>
          <w:p w14:paraId="728A3510" w14:textId="77777777" w:rsidR="006A3F38" w:rsidRDefault="00000000">
            <w:pPr>
              <w:spacing w:after="0" w:line="240" w:lineRule="auto"/>
            </w:pPr>
            <w:r>
              <w:rPr>
                <w:sz w:val="16"/>
              </w:rPr>
              <w:t>Seedling-stage damage can be especially high in multi-species systems; broader herbivore evidence confirms phenology effects</w:t>
            </w:r>
          </w:p>
        </w:tc>
        <w:tc>
          <w:tcPr>
            <w:tcW w:w="1104" w:type="pct"/>
            <w:tcMar>
              <w:top w:w="70" w:type="dxa"/>
              <w:left w:w="80" w:type="dxa"/>
              <w:bottom w:w="70" w:type="dxa"/>
              <w:right w:w="80" w:type="dxa"/>
            </w:tcMar>
            <w:vAlign w:val="center"/>
          </w:tcPr>
          <w:p w14:paraId="3B22ACA3" w14:textId="77777777" w:rsidR="006A3F38" w:rsidRDefault="00000000">
            <w:pPr>
              <w:spacing w:after="0" w:line="240" w:lineRule="auto"/>
            </w:pPr>
            <w:r>
              <w:rPr>
                <w:sz w:val="16"/>
              </w:rPr>
              <w:t>Protection should be intensified at vulnerable growth stages</w:t>
            </w:r>
          </w:p>
        </w:tc>
        <w:tc>
          <w:tcPr>
            <w:tcW w:w="1033" w:type="pct"/>
            <w:tcMar>
              <w:top w:w="70" w:type="dxa"/>
              <w:left w:w="80" w:type="dxa"/>
              <w:bottom w:w="70" w:type="dxa"/>
              <w:right w:w="80" w:type="dxa"/>
            </w:tcMar>
            <w:vAlign w:val="center"/>
          </w:tcPr>
          <w:p w14:paraId="3C45AC93" w14:textId="77777777" w:rsidR="006A3F38" w:rsidRDefault="00000000">
            <w:pPr>
              <w:spacing w:after="0" w:line="240" w:lineRule="auto"/>
            </w:pPr>
            <w:r>
              <w:rPr>
                <w:sz w:val="16"/>
              </w:rPr>
              <w:t>Nilgai-specific stage-by-stage causal evidence is limited</w:t>
            </w:r>
          </w:p>
        </w:tc>
        <w:tc>
          <w:tcPr>
            <w:tcW w:w="1011" w:type="pct"/>
            <w:tcMar>
              <w:top w:w="70" w:type="dxa"/>
              <w:left w:w="80" w:type="dxa"/>
              <w:bottom w:w="70" w:type="dxa"/>
              <w:right w:w="80" w:type="dxa"/>
            </w:tcMar>
            <w:vAlign w:val="center"/>
          </w:tcPr>
          <w:p w14:paraId="57FA688E" w14:textId="77777777" w:rsidR="006A3F38" w:rsidRDefault="00000000">
            <w:pPr>
              <w:spacing w:after="0" w:line="240" w:lineRule="auto"/>
            </w:pPr>
            <w:r>
              <w:rPr>
                <w:sz w:val="16"/>
              </w:rPr>
              <w:t>Gross et al. (2018); Kumar et al. (2017)</w:t>
            </w:r>
          </w:p>
        </w:tc>
      </w:tr>
    </w:tbl>
    <w:p w14:paraId="1308FE0C" w14:textId="77777777" w:rsidR="006A3F38" w:rsidRDefault="00000000">
      <w:pPr>
        <w:spacing w:before="40" w:after="160" w:line="240" w:lineRule="auto"/>
      </w:pPr>
      <w:r>
        <w:rPr>
          <w:i/>
          <w:sz w:val="18"/>
        </w:rPr>
        <w:t>Note. Evidence strength differs among rows; mechanisms supported by multi-species studies are presented as transferable hypotheses requiring nilgai-specific validation.</w:t>
      </w:r>
    </w:p>
    <w:p w14:paraId="5B06CC6D" w14:textId="77777777" w:rsidR="006A3F38" w:rsidRDefault="00000000">
      <w:pPr>
        <w:pStyle w:val="Heading1"/>
      </w:pPr>
      <w:r>
        <w:rPr>
          <w:rFonts w:ascii="Times New Roman" w:eastAsia="Times New Roman" w:hAnsi="Times New Roman"/>
        </w:rPr>
        <w:t>4. Magnitude and Pattern of Crop Depredation</w:t>
      </w:r>
    </w:p>
    <w:p w14:paraId="2EDD6909" w14:textId="77777777" w:rsidR="006A3F38" w:rsidRDefault="00000000">
      <w:pPr>
        <w:pStyle w:val="Heading2"/>
      </w:pPr>
      <w:r>
        <w:rPr>
          <w:rFonts w:ascii="Times New Roman" w:eastAsia="Times New Roman" w:hAnsi="Times New Roman"/>
        </w:rPr>
        <w:t>4.1 Why estimates differ</w:t>
      </w:r>
    </w:p>
    <w:p w14:paraId="7F134646" w14:textId="77777777" w:rsidR="006A3F38" w:rsidRDefault="00000000">
      <w:pPr>
        <w:spacing w:after="120"/>
        <w:jc w:val="both"/>
      </w:pPr>
      <w:r>
        <w:t>The most important methodological distinction in the nilgai literature is between measured loss and reported loss. Farmers possess detailed experiential knowledge about recurrent raids, crop preference and local problem areas, but survey estimates of percentage damage can be shaped by recall, the salience of recent events, expected compensation, emotional burden and differences in what respondents count as "damage". Direct field methods have their own limitations: they may sample too few fields, miss nocturnal events, conflate multiple herbivore species or measure visible plant injury without translating it into harvested yield. The best available studies triangulate methods or use explicit controls.</w:t>
      </w:r>
    </w:p>
    <w:p w14:paraId="217BDAA0" w14:textId="77777777" w:rsidR="006A3F38" w:rsidRDefault="00000000">
      <w:pPr>
        <w:spacing w:after="120"/>
        <w:jc w:val="both"/>
      </w:pPr>
      <w:r>
        <w:t xml:space="preserve">Bajwa and Chauhan (2019) are particularly informative because protected and unprotected plots permit a counterfactual interpretation: the difference in yield provides a defensible estimate of herbivore-associated loss </w:t>
      </w:r>
      <w:r>
        <w:lastRenderedPageBreak/>
        <w:t>under the conditions studied. The observed reductions, around 40% for mustard, 27% for cotton and 21% for wheat, demonstrate that crop loss can be agronomically substantial. Yet the study involved both blackbuck (</w:t>
      </w:r>
      <w:r>
        <w:rPr>
          <w:i/>
        </w:rPr>
        <w:t>Antilope cervicapra</w:t>
      </w:r>
      <w:r>
        <w:t>) and nilgai, so the plot-level yield difference cannot be assigned wholly to nilgai even though interviewees identified nilgai as the principal perceived depredator. This is a good example of why species attribution and damage quantification must be kept analytically separate.</w:t>
      </w:r>
    </w:p>
    <w:p w14:paraId="277EF4E2" w14:textId="77777777" w:rsidR="006A3F38" w:rsidRDefault="00000000">
      <w:pPr>
        <w:spacing w:after="120"/>
        <w:jc w:val="both"/>
      </w:pPr>
      <w:r>
        <w:t xml:space="preserve">Bayani et al. (2016) similarly strengthened inference through multiple methods, including transects, harvest information and experimental approaches. Their convergence on very high damage close to the </w:t>
      </w:r>
      <w:proofErr w:type="spellStart"/>
      <w:r>
        <w:t>Tadoba-Andhari</w:t>
      </w:r>
      <w:proofErr w:type="spellEnd"/>
      <w:r>
        <w:t xml:space="preserve"> boundary gives confidence that the problem was not an artefact of a single measurement technique. The study also found that official visual damage assessment was poorly correlated with actual loss, showing that administrative procedures can create a second layer of conflict when payment rules do not track field reality. Nevertheless, </w:t>
      </w:r>
      <w:proofErr w:type="spellStart"/>
      <w:r>
        <w:t>Tadoba-Andhari</w:t>
      </w:r>
      <w:proofErr w:type="spellEnd"/>
      <w:r>
        <w:t xml:space="preserve"> supports a diverse herbivore community; the paper concerns protected mammalian herbivores collectively rather than estimating a nilgai-only damage function.</w:t>
      </w:r>
    </w:p>
    <w:p w14:paraId="4C8543E3" w14:textId="77777777" w:rsidR="006A3F38" w:rsidRDefault="00000000">
      <w:pPr>
        <w:spacing w:after="120"/>
        <w:jc w:val="both"/>
      </w:pPr>
      <w:r>
        <w:t>By contrast, perception studies answer different questions. Chopra and Rai (2009) found that almost three quarters of respondents around Beer-</w:t>
      </w:r>
      <w:proofErr w:type="spellStart"/>
      <w:r>
        <w:t>Sonty</w:t>
      </w:r>
      <w:proofErr w:type="spellEnd"/>
      <w:r>
        <w:t xml:space="preserve"> reported significant nilgai damage. Kumar et al. (2022) documented farmer perspectives in the </w:t>
      </w:r>
      <w:proofErr w:type="spellStart"/>
      <w:r>
        <w:t>Shiwalik</w:t>
      </w:r>
      <w:proofErr w:type="spellEnd"/>
      <w:r>
        <w:t xml:space="preserve"> foothills and identified nilgai and wild boar as dominant problem species adjoining forests. Such work reveals where people experience conflict, which species they blame, and which local explanations or deterrents shape </w:t>
      </w:r>
      <w:proofErr w:type="spellStart"/>
      <w:r>
        <w:t>behaviour</w:t>
      </w:r>
      <w:proofErr w:type="spellEnd"/>
      <w:r>
        <w:t>. It should not be dismissed as "subjective" in a pejorative sense; perception is itself a driver of tolerance and management demand. The error arises only when perception percentages are presented as if they were measured yield loss.</w:t>
      </w:r>
    </w:p>
    <w:p w14:paraId="2F8A47BD" w14:textId="77777777" w:rsidR="006A3F38" w:rsidRDefault="00000000">
      <w:pPr>
        <w:pStyle w:val="Heading2"/>
      </w:pPr>
      <w:r>
        <w:rPr>
          <w:rFonts w:ascii="Times New Roman" w:eastAsia="Times New Roman" w:hAnsi="Times New Roman"/>
        </w:rPr>
        <w:t>4.2 Geographic heterogeneity and the limits of national extrapolation</w:t>
      </w:r>
    </w:p>
    <w:p w14:paraId="66EEE331" w14:textId="77777777" w:rsidR="006A3F38" w:rsidRDefault="00000000">
      <w:pPr>
        <w:spacing w:after="120"/>
        <w:jc w:val="both"/>
      </w:pPr>
      <w:r>
        <w:t xml:space="preserve">Nilgai crop conflict is reported across a broad swathe of India, but evidence density is strongly uneven. Peer-reviewed field studies are concentrated in Haryana, Punjab, Rajasthan, Uttarakhand and selected central Indian landscapes. Chandel et al. (2024) expanded geographic visibility by </w:t>
      </w:r>
      <w:proofErr w:type="spellStart"/>
      <w:r>
        <w:t>analysing</w:t>
      </w:r>
      <w:proofErr w:type="spellEnd"/>
      <w:r>
        <w:t xml:space="preserve"> print reports from 2018 to 2022 and found reports from many states, with Bihar showing the largest number of affected tehsils and districts in their media-derived dataset, followed by Madhya Pradesh and Uttar Pradesh. They also reported 45 crop types and a predominance of vegetables, pulses and cereals among reported raids. These results identify locations for research and policy attention, but they cannot establish that Bihar has the highest biological incidence or per-hectare loss nationally. Media systems differ in publication density, language, rural coverage and interest in wildlife stories.</w:t>
      </w:r>
    </w:p>
    <w:p w14:paraId="758EBE37" w14:textId="77777777" w:rsidR="006A3F38" w:rsidRDefault="00000000">
      <w:pPr>
        <w:spacing w:after="120"/>
        <w:jc w:val="both"/>
      </w:pPr>
      <w:r>
        <w:t xml:space="preserve">The divergence between media salience and ecological suitability is instructive. Chandel et al. (2025) identified Madhya Pradesh as containing the largest share of modelled suitable habitat and extensive overlap between suitable nilgai habitat and cropland. The media analysis, by contrast, placed Bihar highest in reported administrative spread. These are not contradictory findings because the denominators differ. Habitat models estimate environmental suitability and occurrence potential, whereas print reports reflect </w:t>
      </w:r>
      <w:proofErr w:type="spellStart"/>
      <w:r>
        <w:t>realised</w:t>
      </w:r>
      <w:proofErr w:type="spellEnd"/>
      <w:r>
        <w:t xml:space="preserve"> incidents that become news. A state can have extensive suitable habitat but relatively low reporting, or concentrated conflict in densely farmed districts that generates many stories despite a smaller total area of habitat. Treating either dataset as a national ranking of damage would exceed its design.</w:t>
      </w:r>
    </w:p>
    <w:p w14:paraId="00244802" w14:textId="77777777" w:rsidR="006A3F38" w:rsidRDefault="00000000">
      <w:pPr>
        <w:spacing w:after="120"/>
        <w:jc w:val="both"/>
      </w:pPr>
      <w:r>
        <w:t xml:space="preserve">Historical evidence reinforces this spatial variability. Chauhan and Sawarkar (1989) described over-abundant nilgai in Haryana as a crop-raiding management problem, while Sekhar (1998) identified nilgai and wild boar as major crop depredators around </w:t>
      </w:r>
      <w:proofErr w:type="spellStart"/>
      <w:r>
        <w:t>Sariska</w:t>
      </w:r>
      <w:proofErr w:type="spellEnd"/>
      <w:r>
        <w:t xml:space="preserve"> in Rajasthan. Later work in </w:t>
      </w:r>
      <w:proofErr w:type="spellStart"/>
      <w:r>
        <w:t>Abohar</w:t>
      </w:r>
      <w:proofErr w:type="spellEnd"/>
      <w:r>
        <w:t xml:space="preserve"> showed substantial ungulate-associated yield effects in a sanctuary dominated by agriculture (Bajwa &amp; Chauhan, 2019). In Uttarakhand, nilgai appear in multi-species studies but share the damage burden with wild pig and, in some areas, elephants (Kumar et al., 2017; Rathi et al., 2020). In </w:t>
      </w:r>
      <w:proofErr w:type="spellStart"/>
      <w:r>
        <w:t>Najibabad</w:t>
      </w:r>
      <w:proofErr w:type="spellEnd"/>
      <w:r>
        <w:t xml:space="preserve"> Forest Division, elephant was reported as the most problematic crop raider, followed by nilgai (Rathi et al., 2025). Management categories such as "nilgai conflict district" therefore conceal important variation in the composition of the raiding guild.</w:t>
      </w:r>
    </w:p>
    <w:p w14:paraId="0AEB2A4E" w14:textId="77777777" w:rsidR="006A3F38" w:rsidRDefault="00000000">
      <w:pPr>
        <w:pStyle w:val="Heading2"/>
      </w:pPr>
      <w:r>
        <w:rPr>
          <w:rFonts w:ascii="Times New Roman" w:eastAsia="Times New Roman" w:hAnsi="Times New Roman"/>
        </w:rPr>
        <w:lastRenderedPageBreak/>
        <w:t>4.3 Damage pathways and temporal concentration</w:t>
      </w:r>
    </w:p>
    <w:p w14:paraId="7AC2A0F1" w14:textId="77777777" w:rsidR="006A3F38" w:rsidRDefault="00000000">
      <w:pPr>
        <w:spacing w:after="120"/>
        <w:jc w:val="both"/>
      </w:pPr>
      <w:r>
        <w:t xml:space="preserve">Damage is often </w:t>
      </w:r>
      <w:proofErr w:type="spellStart"/>
      <w:r>
        <w:t>conceptualised</w:t>
      </w:r>
      <w:proofErr w:type="spellEnd"/>
      <w:r>
        <w:t xml:space="preserve"> as herbivory, but nilgai can reduce crop value through trampling and movement as well as consumption (Babbar et al., 2024). Separating these pathways matters because deterrence and compensation may respond differently. A herd crossing a mature field can cause spatially dispersed physical injury even if feeding time is brief; a smaller group repeatedly browsing seedlings may remove fewer kilograms of biomass but reduce plant establishment disproportionately. Crop stage thus influences both biological damage and farmers' perception of risk.</w:t>
      </w:r>
    </w:p>
    <w:p w14:paraId="17A52505" w14:textId="77777777" w:rsidR="006A3F38" w:rsidRDefault="00000000">
      <w:pPr>
        <w:spacing w:after="120"/>
        <w:jc w:val="both"/>
      </w:pPr>
      <w:r>
        <w:t xml:space="preserve">Temporal concentration also determines household burden. Nocturnal raiding shifts prevention into the night, and repeated guarding can impose opportunity and health costs that are invisible in yield statistics. Broader human-wildlife research has shown that hidden impacts include lost time, transaction costs and psychosocial stress, while gendered divisions of agricultural and domestic </w:t>
      </w:r>
      <w:proofErr w:type="spellStart"/>
      <w:r>
        <w:t>labour</w:t>
      </w:r>
      <w:proofErr w:type="spellEnd"/>
      <w:r>
        <w:t xml:space="preserve"> can alter who bears those costs (Barua et al., 2013; Ogra, 2008). For nilgai, direct measurement of such non-yield costs remains scarce, yet the </w:t>
      </w:r>
      <w:proofErr w:type="spellStart"/>
      <w:r>
        <w:t>behavioural</w:t>
      </w:r>
      <w:proofErr w:type="spellEnd"/>
      <w:r>
        <w:t xml:space="preserve"> evidence for nocturnal farm use and the widespread reliance on guarding make them highly plausible. The correct response is not to assign a speculative monetary value but to measure them explicitly in future studies.</w:t>
      </w:r>
    </w:p>
    <w:p w14:paraId="3589F587" w14:textId="77777777" w:rsidR="006A3F38" w:rsidRDefault="00000000">
      <w:pPr>
        <w:spacing w:after="120"/>
        <w:jc w:val="both"/>
      </w:pPr>
      <w:r>
        <w:t xml:space="preserve">Table 2 </w:t>
      </w:r>
      <w:proofErr w:type="spellStart"/>
      <w:r>
        <w:t>summarises</w:t>
      </w:r>
      <w:proofErr w:type="spellEnd"/>
      <w:r>
        <w:t xml:space="preserve"> representative empirical evidence and, crucially, the inference that each design can support. The table shows why a single national percentage for "nilgai crop loss" would be scientifically misleading. The literature demonstrates severe local effects and widespread concern, but comparison is constrained by species mixtures, crop differences, sampling frames and measurement methods.</w:t>
      </w:r>
    </w:p>
    <w:p w14:paraId="089D052D" w14:textId="77777777" w:rsidR="006A3F38" w:rsidRDefault="00000000">
      <w:pPr>
        <w:pStyle w:val="TableCaption"/>
      </w:pPr>
      <w:r>
        <w:rPr>
          <w:rFonts w:eastAsia="Times New Roman"/>
        </w:rPr>
        <w:t>Table 2. Representative empirical evidence on nilgai-associated crop depredation in India</w:t>
      </w:r>
    </w:p>
    <w:tbl>
      <w:tblPr>
        <w:tblW w:w="5000" w:type="pct"/>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1305"/>
        <w:gridCol w:w="1578"/>
        <w:gridCol w:w="1991"/>
        <w:gridCol w:w="1786"/>
        <w:gridCol w:w="1950"/>
        <w:gridCol w:w="1716"/>
      </w:tblGrid>
      <w:tr w:rsidR="006A3F38" w14:paraId="48EEF4F7" w14:textId="77777777" w:rsidTr="0077180A">
        <w:trPr>
          <w:cantSplit/>
          <w:tblHeader/>
          <w:jc w:val="center"/>
        </w:trPr>
        <w:tc>
          <w:tcPr>
            <w:tcW w:w="632" w:type="pct"/>
            <w:shd w:val="clear" w:color="auto" w:fill="D9E2F3"/>
            <w:tcMar>
              <w:top w:w="70" w:type="dxa"/>
              <w:left w:w="80" w:type="dxa"/>
              <w:bottom w:w="70" w:type="dxa"/>
              <w:right w:w="80" w:type="dxa"/>
            </w:tcMar>
            <w:vAlign w:val="center"/>
          </w:tcPr>
          <w:p w14:paraId="0ADC4D9E" w14:textId="77777777" w:rsidR="006A3F38" w:rsidRDefault="00000000">
            <w:pPr>
              <w:spacing w:after="0" w:line="240" w:lineRule="auto"/>
            </w:pPr>
            <w:r>
              <w:rPr>
                <w:b/>
                <w:sz w:val="15"/>
              </w:rPr>
              <w:t>Study setting</w:t>
            </w:r>
          </w:p>
        </w:tc>
        <w:tc>
          <w:tcPr>
            <w:tcW w:w="764" w:type="pct"/>
            <w:shd w:val="clear" w:color="auto" w:fill="D9E2F3"/>
            <w:tcMar>
              <w:top w:w="70" w:type="dxa"/>
              <w:left w:w="80" w:type="dxa"/>
              <w:bottom w:w="70" w:type="dxa"/>
              <w:right w:w="80" w:type="dxa"/>
            </w:tcMar>
            <w:vAlign w:val="center"/>
          </w:tcPr>
          <w:p w14:paraId="409A57B4" w14:textId="77777777" w:rsidR="006A3F38" w:rsidRDefault="00000000">
            <w:pPr>
              <w:spacing w:after="0" w:line="240" w:lineRule="auto"/>
            </w:pPr>
            <w:r>
              <w:rPr>
                <w:b/>
                <w:sz w:val="15"/>
              </w:rPr>
              <w:t>Design and scale</w:t>
            </w:r>
          </w:p>
        </w:tc>
        <w:tc>
          <w:tcPr>
            <w:tcW w:w="964" w:type="pct"/>
            <w:shd w:val="clear" w:color="auto" w:fill="D9E2F3"/>
            <w:tcMar>
              <w:top w:w="70" w:type="dxa"/>
              <w:left w:w="80" w:type="dxa"/>
              <w:bottom w:w="70" w:type="dxa"/>
              <w:right w:w="80" w:type="dxa"/>
            </w:tcMar>
            <w:vAlign w:val="center"/>
          </w:tcPr>
          <w:p w14:paraId="7C235BCB" w14:textId="77777777" w:rsidR="006A3F38" w:rsidRDefault="00000000">
            <w:pPr>
              <w:spacing w:after="0" w:line="240" w:lineRule="auto"/>
            </w:pPr>
            <w:r>
              <w:rPr>
                <w:b/>
                <w:sz w:val="15"/>
              </w:rPr>
              <w:t>Main nilgai-relevant finding</w:t>
            </w:r>
          </w:p>
        </w:tc>
        <w:tc>
          <w:tcPr>
            <w:tcW w:w="865" w:type="pct"/>
            <w:shd w:val="clear" w:color="auto" w:fill="D9E2F3"/>
            <w:tcMar>
              <w:top w:w="70" w:type="dxa"/>
              <w:left w:w="80" w:type="dxa"/>
              <w:bottom w:w="70" w:type="dxa"/>
              <w:right w:w="80" w:type="dxa"/>
            </w:tcMar>
            <w:vAlign w:val="center"/>
          </w:tcPr>
          <w:p w14:paraId="73857EEB" w14:textId="77777777" w:rsidR="006A3F38" w:rsidRDefault="00000000">
            <w:pPr>
              <w:spacing w:after="0" w:line="240" w:lineRule="auto"/>
            </w:pPr>
            <w:r>
              <w:rPr>
                <w:b/>
                <w:sz w:val="15"/>
              </w:rPr>
              <w:t>What can be inferred</w:t>
            </w:r>
          </w:p>
        </w:tc>
        <w:tc>
          <w:tcPr>
            <w:tcW w:w="944" w:type="pct"/>
            <w:shd w:val="clear" w:color="auto" w:fill="D9E2F3"/>
            <w:tcMar>
              <w:top w:w="70" w:type="dxa"/>
              <w:left w:w="80" w:type="dxa"/>
              <w:bottom w:w="70" w:type="dxa"/>
              <w:right w:w="80" w:type="dxa"/>
            </w:tcMar>
            <w:vAlign w:val="center"/>
          </w:tcPr>
          <w:p w14:paraId="6362E718" w14:textId="77777777" w:rsidR="006A3F38" w:rsidRDefault="00000000">
            <w:pPr>
              <w:spacing w:after="0" w:line="240" w:lineRule="auto"/>
            </w:pPr>
            <w:r>
              <w:rPr>
                <w:b/>
                <w:sz w:val="15"/>
              </w:rPr>
              <w:t>Key caution</w:t>
            </w:r>
          </w:p>
        </w:tc>
        <w:tc>
          <w:tcPr>
            <w:tcW w:w="831" w:type="pct"/>
            <w:shd w:val="clear" w:color="auto" w:fill="D9E2F3"/>
            <w:tcMar>
              <w:top w:w="70" w:type="dxa"/>
              <w:left w:w="80" w:type="dxa"/>
              <w:bottom w:w="70" w:type="dxa"/>
              <w:right w:w="80" w:type="dxa"/>
            </w:tcMar>
            <w:vAlign w:val="center"/>
          </w:tcPr>
          <w:p w14:paraId="644868F2" w14:textId="77777777" w:rsidR="006A3F38" w:rsidRDefault="00000000">
            <w:pPr>
              <w:spacing w:after="0" w:line="240" w:lineRule="auto"/>
            </w:pPr>
            <w:r>
              <w:rPr>
                <w:b/>
                <w:sz w:val="15"/>
              </w:rPr>
              <w:t>Supporting references</w:t>
            </w:r>
          </w:p>
        </w:tc>
      </w:tr>
      <w:tr w:rsidR="006A3F38" w14:paraId="39EA8869" w14:textId="77777777" w:rsidTr="0077180A">
        <w:trPr>
          <w:cantSplit/>
          <w:jc w:val="center"/>
        </w:trPr>
        <w:tc>
          <w:tcPr>
            <w:tcW w:w="632" w:type="pct"/>
            <w:tcMar>
              <w:top w:w="70" w:type="dxa"/>
              <w:left w:w="80" w:type="dxa"/>
              <w:bottom w:w="70" w:type="dxa"/>
              <w:right w:w="80" w:type="dxa"/>
            </w:tcMar>
            <w:vAlign w:val="center"/>
          </w:tcPr>
          <w:p w14:paraId="12387489" w14:textId="77777777" w:rsidR="006A3F38" w:rsidRDefault="00000000">
            <w:pPr>
              <w:spacing w:after="0" w:line="240" w:lineRule="auto"/>
            </w:pPr>
            <w:proofErr w:type="spellStart"/>
            <w:r>
              <w:rPr>
                <w:sz w:val="15"/>
              </w:rPr>
              <w:t>Abohar</w:t>
            </w:r>
            <w:proofErr w:type="spellEnd"/>
            <w:r>
              <w:rPr>
                <w:sz w:val="15"/>
              </w:rPr>
              <w:t xml:space="preserve"> Wildlife Sanctuary, Punjab</w:t>
            </w:r>
          </w:p>
        </w:tc>
        <w:tc>
          <w:tcPr>
            <w:tcW w:w="764" w:type="pct"/>
            <w:tcMar>
              <w:top w:w="70" w:type="dxa"/>
              <w:left w:w="80" w:type="dxa"/>
              <w:bottom w:w="70" w:type="dxa"/>
              <w:right w:w="80" w:type="dxa"/>
            </w:tcMar>
            <w:vAlign w:val="center"/>
          </w:tcPr>
          <w:p w14:paraId="1ADB6637" w14:textId="77777777" w:rsidR="006A3F38" w:rsidRDefault="00000000">
            <w:pPr>
              <w:spacing w:after="0" w:line="240" w:lineRule="auto"/>
            </w:pPr>
            <w:r>
              <w:rPr>
                <w:sz w:val="15"/>
              </w:rPr>
              <w:t>Protected vs unprotected plots; interviews; 2016–2018</w:t>
            </w:r>
          </w:p>
        </w:tc>
        <w:tc>
          <w:tcPr>
            <w:tcW w:w="964" w:type="pct"/>
            <w:tcMar>
              <w:top w:w="70" w:type="dxa"/>
              <w:left w:w="80" w:type="dxa"/>
              <w:bottom w:w="70" w:type="dxa"/>
              <w:right w:w="80" w:type="dxa"/>
            </w:tcMar>
            <w:vAlign w:val="center"/>
          </w:tcPr>
          <w:p w14:paraId="6DED1987" w14:textId="77777777" w:rsidR="006A3F38" w:rsidRDefault="00000000">
            <w:pPr>
              <w:spacing w:after="0" w:line="240" w:lineRule="auto"/>
            </w:pPr>
            <w:r>
              <w:rPr>
                <w:sz w:val="15"/>
              </w:rPr>
              <w:t>Mean yield reductions in unprotected plots: mustard 40.12%, cotton 26.50%, wheat 20.61%; nilgai perceived as leading depredator</w:t>
            </w:r>
          </w:p>
        </w:tc>
        <w:tc>
          <w:tcPr>
            <w:tcW w:w="865" w:type="pct"/>
            <w:tcMar>
              <w:top w:w="70" w:type="dxa"/>
              <w:left w:w="80" w:type="dxa"/>
              <w:bottom w:w="70" w:type="dxa"/>
              <w:right w:w="80" w:type="dxa"/>
            </w:tcMar>
            <w:vAlign w:val="center"/>
          </w:tcPr>
          <w:p w14:paraId="3BF9502C" w14:textId="77777777" w:rsidR="006A3F38" w:rsidRDefault="00000000">
            <w:pPr>
              <w:spacing w:after="0" w:line="240" w:lineRule="auto"/>
            </w:pPr>
            <w:r>
              <w:rPr>
                <w:sz w:val="15"/>
              </w:rPr>
              <w:t>Large ungulate damage can materially reduce yield in this agricultural sanctuary</w:t>
            </w:r>
          </w:p>
        </w:tc>
        <w:tc>
          <w:tcPr>
            <w:tcW w:w="944" w:type="pct"/>
            <w:tcMar>
              <w:top w:w="70" w:type="dxa"/>
              <w:left w:w="80" w:type="dxa"/>
              <w:bottom w:w="70" w:type="dxa"/>
              <w:right w:w="80" w:type="dxa"/>
            </w:tcMar>
            <w:vAlign w:val="center"/>
          </w:tcPr>
          <w:p w14:paraId="668572D6" w14:textId="77777777" w:rsidR="006A3F38" w:rsidRDefault="00000000">
            <w:pPr>
              <w:spacing w:after="0" w:line="240" w:lineRule="auto"/>
            </w:pPr>
            <w:r>
              <w:rPr>
                <w:sz w:val="15"/>
              </w:rPr>
              <w:t>Plot loss reflects blackbuck and nilgai jointly, not nilgai alone</w:t>
            </w:r>
          </w:p>
        </w:tc>
        <w:tc>
          <w:tcPr>
            <w:tcW w:w="831" w:type="pct"/>
            <w:tcMar>
              <w:top w:w="70" w:type="dxa"/>
              <w:left w:w="80" w:type="dxa"/>
              <w:bottom w:w="70" w:type="dxa"/>
              <w:right w:w="80" w:type="dxa"/>
            </w:tcMar>
            <w:vAlign w:val="center"/>
          </w:tcPr>
          <w:p w14:paraId="28936731" w14:textId="77777777" w:rsidR="006A3F38" w:rsidRDefault="00000000">
            <w:pPr>
              <w:spacing w:after="0" w:line="240" w:lineRule="auto"/>
            </w:pPr>
            <w:r>
              <w:rPr>
                <w:sz w:val="15"/>
              </w:rPr>
              <w:t>Bajwa &amp; Chauhan (2019)</w:t>
            </w:r>
          </w:p>
        </w:tc>
      </w:tr>
      <w:tr w:rsidR="006A3F38" w14:paraId="729E18FD" w14:textId="77777777" w:rsidTr="0077180A">
        <w:trPr>
          <w:cantSplit/>
          <w:jc w:val="center"/>
        </w:trPr>
        <w:tc>
          <w:tcPr>
            <w:tcW w:w="632" w:type="pct"/>
            <w:tcMar>
              <w:top w:w="70" w:type="dxa"/>
              <w:left w:w="80" w:type="dxa"/>
              <w:bottom w:w="70" w:type="dxa"/>
              <w:right w:w="80" w:type="dxa"/>
            </w:tcMar>
            <w:vAlign w:val="center"/>
          </w:tcPr>
          <w:p w14:paraId="757FF42A" w14:textId="77777777" w:rsidR="006A3F38" w:rsidRDefault="00000000">
            <w:pPr>
              <w:spacing w:after="0" w:line="240" w:lineRule="auto"/>
            </w:pPr>
            <w:proofErr w:type="spellStart"/>
            <w:r>
              <w:rPr>
                <w:sz w:val="15"/>
              </w:rPr>
              <w:t>Tadoba-Andhari</w:t>
            </w:r>
            <w:proofErr w:type="spellEnd"/>
            <w:r>
              <w:rPr>
                <w:sz w:val="15"/>
              </w:rPr>
              <w:t xml:space="preserve"> boundary, Maharashtra</w:t>
            </w:r>
          </w:p>
        </w:tc>
        <w:tc>
          <w:tcPr>
            <w:tcW w:w="764" w:type="pct"/>
            <w:tcMar>
              <w:top w:w="70" w:type="dxa"/>
              <w:left w:w="80" w:type="dxa"/>
              <w:bottom w:w="70" w:type="dxa"/>
              <w:right w:w="80" w:type="dxa"/>
            </w:tcMar>
            <w:vAlign w:val="center"/>
          </w:tcPr>
          <w:p w14:paraId="48C6EF29" w14:textId="77777777" w:rsidR="006A3F38" w:rsidRDefault="00000000">
            <w:pPr>
              <w:spacing w:after="0" w:line="240" w:lineRule="auto"/>
            </w:pPr>
            <w:r>
              <w:rPr>
                <w:sz w:val="15"/>
              </w:rPr>
              <w:t>Multiple field-estimation methods over several years</w:t>
            </w:r>
          </w:p>
        </w:tc>
        <w:tc>
          <w:tcPr>
            <w:tcW w:w="964" w:type="pct"/>
            <w:tcMar>
              <w:top w:w="70" w:type="dxa"/>
              <w:left w:w="80" w:type="dxa"/>
              <w:bottom w:w="70" w:type="dxa"/>
              <w:right w:w="80" w:type="dxa"/>
            </w:tcMar>
            <w:vAlign w:val="center"/>
          </w:tcPr>
          <w:p w14:paraId="12D1D422" w14:textId="77777777" w:rsidR="006A3F38" w:rsidRDefault="00000000">
            <w:pPr>
              <w:spacing w:after="0" w:line="240" w:lineRule="auto"/>
            </w:pPr>
            <w:r>
              <w:rPr>
                <w:sz w:val="15"/>
              </w:rPr>
              <w:t>Damage exceeded 50% near forest and declined with distance; official visual assessment underestimated loss</w:t>
            </w:r>
          </w:p>
        </w:tc>
        <w:tc>
          <w:tcPr>
            <w:tcW w:w="865" w:type="pct"/>
            <w:tcMar>
              <w:top w:w="70" w:type="dxa"/>
              <w:left w:w="80" w:type="dxa"/>
              <w:bottom w:w="70" w:type="dxa"/>
              <w:right w:w="80" w:type="dxa"/>
            </w:tcMar>
            <w:vAlign w:val="center"/>
          </w:tcPr>
          <w:p w14:paraId="16C3E6D5" w14:textId="77777777" w:rsidR="006A3F38" w:rsidRDefault="00000000">
            <w:pPr>
              <w:spacing w:after="0" w:line="240" w:lineRule="auto"/>
            </w:pPr>
            <w:r>
              <w:rPr>
                <w:sz w:val="15"/>
              </w:rPr>
              <w:t>Strong evidence for severe, spatially structured herbivore damage and measurement bias</w:t>
            </w:r>
          </w:p>
        </w:tc>
        <w:tc>
          <w:tcPr>
            <w:tcW w:w="944" w:type="pct"/>
            <w:tcMar>
              <w:top w:w="70" w:type="dxa"/>
              <w:left w:w="80" w:type="dxa"/>
              <w:bottom w:w="70" w:type="dxa"/>
              <w:right w:w="80" w:type="dxa"/>
            </w:tcMar>
            <w:vAlign w:val="center"/>
          </w:tcPr>
          <w:p w14:paraId="747B41FB" w14:textId="77777777" w:rsidR="006A3F38" w:rsidRDefault="00000000">
            <w:pPr>
              <w:spacing w:after="0" w:line="240" w:lineRule="auto"/>
            </w:pPr>
            <w:r>
              <w:rPr>
                <w:sz w:val="15"/>
              </w:rPr>
              <w:t>Multi-herbivore system prevents simple nilgai-only attribution</w:t>
            </w:r>
          </w:p>
        </w:tc>
        <w:tc>
          <w:tcPr>
            <w:tcW w:w="831" w:type="pct"/>
            <w:tcMar>
              <w:top w:w="70" w:type="dxa"/>
              <w:left w:w="80" w:type="dxa"/>
              <w:bottom w:w="70" w:type="dxa"/>
              <w:right w:w="80" w:type="dxa"/>
            </w:tcMar>
            <w:vAlign w:val="center"/>
          </w:tcPr>
          <w:p w14:paraId="379F3AC3" w14:textId="77777777" w:rsidR="006A3F38" w:rsidRDefault="00000000">
            <w:pPr>
              <w:spacing w:after="0" w:line="240" w:lineRule="auto"/>
            </w:pPr>
            <w:r>
              <w:rPr>
                <w:sz w:val="15"/>
              </w:rPr>
              <w:t>Bayani et al. (2016)</w:t>
            </w:r>
          </w:p>
        </w:tc>
      </w:tr>
      <w:tr w:rsidR="006A3F38" w14:paraId="1831D3B4" w14:textId="77777777" w:rsidTr="0077180A">
        <w:trPr>
          <w:cantSplit/>
          <w:jc w:val="center"/>
        </w:trPr>
        <w:tc>
          <w:tcPr>
            <w:tcW w:w="632" w:type="pct"/>
            <w:tcMar>
              <w:top w:w="70" w:type="dxa"/>
              <w:left w:w="80" w:type="dxa"/>
              <w:bottom w:w="70" w:type="dxa"/>
              <w:right w:w="80" w:type="dxa"/>
            </w:tcMar>
            <w:vAlign w:val="center"/>
          </w:tcPr>
          <w:p w14:paraId="36318D0F" w14:textId="77777777" w:rsidR="006A3F38" w:rsidRDefault="00000000">
            <w:pPr>
              <w:spacing w:after="0" w:line="240" w:lineRule="auto"/>
            </w:pPr>
            <w:r>
              <w:rPr>
                <w:sz w:val="15"/>
              </w:rPr>
              <w:t>Beer-</w:t>
            </w:r>
            <w:proofErr w:type="spellStart"/>
            <w:r>
              <w:rPr>
                <w:sz w:val="15"/>
              </w:rPr>
              <w:t>Sonty</w:t>
            </w:r>
            <w:proofErr w:type="spellEnd"/>
            <w:r>
              <w:rPr>
                <w:sz w:val="15"/>
              </w:rPr>
              <w:t>, Haryana</w:t>
            </w:r>
          </w:p>
        </w:tc>
        <w:tc>
          <w:tcPr>
            <w:tcW w:w="764" w:type="pct"/>
            <w:tcMar>
              <w:top w:w="70" w:type="dxa"/>
              <w:left w:w="80" w:type="dxa"/>
              <w:bottom w:w="70" w:type="dxa"/>
              <w:right w:w="80" w:type="dxa"/>
            </w:tcMar>
            <w:vAlign w:val="center"/>
          </w:tcPr>
          <w:p w14:paraId="25FD48B3" w14:textId="77777777" w:rsidR="006A3F38" w:rsidRDefault="00000000">
            <w:pPr>
              <w:spacing w:after="0" w:line="240" w:lineRule="auto"/>
            </w:pPr>
            <w:r>
              <w:rPr>
                <w:sz w:val="15"/>
              </w:rPr>
              <w:t>Fortnightly visits plus 208-person opinion survey</w:t>
            </w:r>
          </w:p>
        </w:tc>
        <w:tc>
          <w:tcPr>
            <w:tcW w:w="964" w:type="pct"/>
            <w:tcMar>
              <w:top w:w="70" w:type="dxa"/>
              <w:left w:w="80" w:type="dxa"/>
              <w:bottom w:w="70" w:type="dxa"/>
              <w:right w:w="80" w:type="dxa"/>
            </w:tcMar>
            <w:vAlign w:val="center"/>
          </w:tcPr>
          <w:p w14:paraId="00DAC31D" w14:textId="77777777" w:rsidR="006A3F38" w:rsidRDefault="00000000">
            <w:pPr>
              <w:spacing w:after="0" w:line="240" w:lineRule="auto"/>
            </w:pPr>
            <w:r>
              <w:rPr>
                <w:sz w:val="15"/>
              </w:rPr>
              <w:t>74.52% of respondents reported significant nilgai damage</w:t>
            </w:r>
          </w:p>
        </w:tc>
        <w:tc>
          <w:tcPr>
            <w:tcW w:w="865" w:type="pct"/>
            <w:tcMar>
              <w:top w:w="70" w:type="dxa"/>
              <w:left w:w="80" w:type="dxa"/>
              <w:bottom w:w="70" w:type="dxa"/>
              <w:right w:w="80" w:type="dxa"/>
            </w:tcMar>
            <w:vAlign w:val="center"/>
          </w:tcPr>
          <w:p w14:paraId="637BD8F8" w14:textId="77777777" w:rsidR="006A3F38" w:rsidRDefault="00000000">
            <w:pPr>
              <w:spacing w:after="0" w:line="240" w:lineRule="auto"/>
            </w:pPr>
            <w:r>
              <w:rPr>
                <w:sz w:val="15"/>
              </w:rPr>
              <w:t>High local social salience and repeated experience of nilgai damage</w:t>
            </w:r>
          </w:p>
        </w:tc>
        <w:tc>
          <w:tcPr>
            <w:tcW w:w="944" w:type="pct"/>
            <w:tcMar>
              <w:top w:w="70" w:type="dxa"/>
              <w:left w:w="80" w:type="dxa"/>
              <w:bottom w:w="70" w:type="dxa"/>
              <w:right w:w="80" w:type="dxa"/>
            </w:tcMar>
            <w:vAlign w:val="center"/>
          </w:tcPr>
          <w:p w14:paraId="213F8D18" w14:textId="77777777" w:rsidR="006A3F38" w:rsidRDefault="00000000">
            <w:pPr>
              <w:spacing w:after="0" w:line="240" w:lineRule="auto"/>
            </w:pPr>
            <w:r>
              <w:rPr>
                <w:sz w:val="15"/>
              </w:rPr>
              <w:t>Perception percentage is not a measured yield-loss percentage</w:t>
            </w:r>
          </w:p>
        </w:tc>
        <w:tc>
          <w:tcPr>
            <w:tcW w:w="831" w:type="pct"/>
            <w:tcMar>
              <w:top w:w="70" w:type="dxa"/>
              <w:left w:w="80" w:type="dxa"/>
              <w:bottom w:w="70" w:type="dxa"/>
              <w:right w:w="80" w:type="dxa"/>
            </w:tcMar>
            <w:vAlign w:val="center"/>
          </w:tcPr>
          <w:p w14:paraId="1E149F59" w14:textId="77777777" w:rsidR="006A3F38" w:rsidRDefault="00000000">
            <w:pPr>
              <w:spacing w:after="0" w:line="240" w:lineRule="auto"/>
            </w:pPr>
            <w:r>
              <w:rPr>
                <w:sz w:val="15"/>
              </w:rPr>
              <w:t>Chopra &amp; Rai (2009)</w:t>
            </w:r>
          </w:p>
        </w:tc>
      </w:tr>
      <w:tr w:rsidR="006A3F38" w14:paraId="3C5C0050" w14:textId="77777777" w:rsidTr="0077180A">
        <w:trPr>
          <w:cantSplit/>
          <w:jc w:val="center"/>
        </w:trPr>
        <w:tc>
          <w:tcPr>
            <w:tcW w:w="632" w:type="pct"/>
            <w:tcMar>
              <w:top w:w="70" w:type="dxa"/>
              <w:left w:w="80" w:type="dxa"/>
              <w:bottom w:w="70" w:type="dxa"/>
              <w:right w:w="80" w:type="dxa"/>
            </w:tcMar>
            <w:vAlign w:val="center"/>
          </w:tcPr>
          <w:p w14:paraId="4A9366F9" w14:textId="77777777" w:rsidR="006A3F38" w:rsidRDefault="00000000">
            <w:pPr>
              <w:spacing w:after="0" w:line="240" w:lineRule="auto"/>
            </w:pPr>
            <w:proofErr w:type="spellStart"/>
            <w:r>
              <w:rPr>
                <w:sz w:val="15"/>
              </w:rPr>
              <w:t>Ramnagar</w:t>
            </w:r>
            <w:proofErr w:type="spellEnd"/>
            <w:r>
              <w:rPr>
                <w:sz w:val="15"/>
              </w:rPr>
              <w:t xml:space="preserve"> Forest Division, Uttarakhand</w:t>
            </w:r>
          </w:p>
        </w:tc>
        <w:tc>
          <w:tcPr>
            <w:tcW w:w="764" w:type="pct"/>
            <w:tcMar>
              <w:top w:w="70" w:type="dxa"/>
              <w:left w:w="80" w:type="dxa"/>
              <w:bottom w:w="70" w:type="dxa"/>
              <w:right w:w="80" w:type="dxa"/>
            </w:tcMar>
            <w:vAlign w:val="center"/>
          </w:tcPr>
          <w:p w14:paraId="13E23C58" w14:textId="77777777" w:rsidR="006A3F38" w:rsidRDefault="00000000">
            <w:pPr>
              <w:spacing w:after="0" w:line="240" w:lineRule="auto"/>
            </w:pPr>
            <w:r>
              <w:rPr>
                <w:sz w:val="15"/>
              </w:rPr>
              <w:t>Repeated inspections of 95 fields in 16 villages</w:t>
            </w:r>
          </w:p>
        </w:tc>
        <w:tc>
          <w:tcPr>
            <w:tcW w:w="964" w:type="pct"/>
            <w:tcMar>
              <w:top w:w="70" w:type="dxa"/>
              <w:left w:w="80" w:type="dxa"/>
              <w:bottom w:w="70" w:type="dxa"/>
              <w:right w:w="80" w:type="dxa"/>
            </w:tcMar>
            <w:vAlign w:val="center"/>
          </w:tcPr>
          <w:p w14:paraId="6931C64C" w14:textId="77777777" w:rsidR="006A3F38" w:rsidRDefault="00000000">
            <w:pPr>
              <w:spacing w:after="0" w:line="240" w:lineRule="auto"/>
            </w:pPr>
            <w:r>
              <w:rPr>
                <w:sz w:val="15"/>
              </w:rPr>
              <w:t>Seedling-stage raiding highest; nilgai and wild pig important farther from forest</w:t>
            </w:r>
          </w:p>
        </w:tc>
        <w:tc>
          <w:tcPr>
            <w:tcW w:w="865" w:type="pct"/>
            <w:tcMar>
              <w:top w:w="70" w:type="dxa"/>
              <w:left w:w="80" w:type="dxa"/>
              <w:bottom w:w="70" w:type="dxa"/>
              <w:right w:w="80" w:type="dxa"/>
            </w:tcMar>
            <w:vAlign w:val="center"/>
          </w:tcPr>
          <w:p w14:paraId="359132A4" w14:textId="77777777" w:rsidR="006A3F38" w:rsidRDefault="00000000">
            <w:pPr>
              <w:spacing w:after="0" w:line="240" w:lineRule="auto"/>
            </w:pPr>
            <w:r>
              <w:rPr>
                <w:sz w:val="15"/>
              </w:rPr>
              <w:t>Crop stage and species assemblage influence spatial risk</w:t>
            </w:r>
          </w:p>
        </w:tc>
        <w:tc>
          <w:tcPr>
            <w:tcW w:w="944" w:type="pct"/>
            <w:tcMar>
              <w:top w:w="70" w:type="dxa"/>
              <w:left w:w="80" w:type="dxa"/>
              <w:bottom w:w="70" w:type="dxa"/>
              <w:right w:w="80" w:type="dxa"/>
            </w:tcMar>
            <w:vAlign w:val="center"/>
          </w:tcPr>
          <w:p w14:paraId="1E50A009" w14:textId="77777777" w:rsidR="006A3F38" w:rsidRDefault="00000000">
            <w:pPr>
              <w:spacing w:after="0" w:line="240" w:lineRule="auto"/>
            </w:pPr>
            <w:r>
              <w:rPr>
                <w:sz w:val="15"/>
              </w:rPr>
              <w:t>Sample limited to one season and multi-species attribution</w:t>
            </w:r>
          </w:p>
        </w:tc>
        <w:tc>
          <w:tcPr>
            <w:tcW w:w="831" w:type="pct"/>
            <w:tcMar>
              <w:top w:w="70" w:type="dxa"/>
              <w:left w:w="80" w:type="dxa"/>
              <w:bottom w:w="70" w:type="dxa"/>
              <w:right w:w="80" w:type="dxa"/>
            </w:tcMar>
            <w:vAlign w:val="center"/>
          </w:tcPr>
          <w:p w14:paraId="161846AC" w14:textId="77777777" w:rsidR="006A3F38" w:rsidRDefault="00000000">
            <w:pPr>
              <w:spacing w:after="0" w:line="240" w:lineRule="auto"/>
            </w:pPr>
            <w:r>
              <w:rPr>
                <w:sz w:val="15"/>
              </w:rPr>
              <w:t>Kumar et al. (2017)</w:t>
            </w:r>
          </w:p>
        </w:tc>
      </w:tr>
      <w:tr w:rsidR="006A3F38" w14:paraId="5941F6CC" w14:textId="77777777" w:rsidTr="0077180A">
        <w:trPr>
          <w:cantSplit/>
          <w:jc w:val="center"/>
        </w:trPr>
        <w:tc>
          <w:tcPr>
            <w:tcW w:w="632" w:type="pct"/>
            <w:tcMar>
              <w:top w:w="70" w:type="dxa"/>
              <w:left w:w="80" w:type="dxa"/>
              <w:bottom w:w="70" w:type="dxa"/>
              <w:right w:w="80" w:type="dxa"/>
            </w:tcMar>
            <w:vAlign w:val="center"/>
          </w:tcPr>
          <w:p w14:paraId="3084D002" w14:textId="77777777" w:rsidR="006A3F38" w:rsidRDefault="00000000">
            <w:pPr>
              <w:spacing w:after="0" w:line="240" w:lineRule="auto"/>
            </w:pPr>
            <w:proofErr w:type="spellStart"/>
            <w:r>
              <w:rPr>
                <w:sz w:val="15"/>
              </w:rPr>
              <w:t>Sariska</w:t>
            </w:r>
            <w:proofErr w:type="spellEnd"/>
            <w:r>
              <w:rPr>
                <w:sz w:val="15"/>
              </w:rPr>
              <w:t>, Rajasthan</w:t>
            </w:r>
          </w:p>
        </w:tc>
        <w:tc>
          <w:tcPr>
            <w:tcW w:w="764" w:type="pct"/>
            <w:tcMar>
              <w:top w:w="70" w:type="dxa"/>
              <w:left w:w="80" w:type="dxa"/>
              <w:bottom w:w="70" w:type="dxa"/>
              <w:right w:w="80" w:type="dxa"/>
            </w:tcMar>
            <w:vAlign w:val="center"/>
          </w:tcPr>
          <w:p w14:paraId="722CB97C" w14:textId="77777777" w:rsidR="006A3F38" w:rsidRDefault="00000000">
            <w:pPr>
              <w:spacing w:after="0" w:line="240" w:lineRule="auto"/>
            </w:pPr>
            <w:r>
              <w:rPr>
                <w:sz w:val="15"/>
              </w:rPr>
              <w:t>37 villages; 180 households; quadrats and focus groups</w:t>
            </w:r>
          </w:p>
        </w:tc>
        <w:tc>
          <w:tcPr>
            <w:tcW w:w="964" w:type="pct"/>
            <w:tcMar>
              <w:top w:w="70" w:type="dxa"/>
              <w:left w:w="80" w:type="dxa"/>
              <w:bottom w:w="70" w:type="dxa"/>
              <w:right w:w="80" w:type="dxa"/>
            </w:tcMar>
            <w:vAlign w:val="center"/>
          </w:tcPr>
          <w:p w14:paraId="38D4C54E" w14:textId="77777777" w:rsidR="006A3F38" w:rsidRDefault="00000000">
            <w:pPr>
              <w:spacing w:after="0" w:line="240" w:lineRule="auto"/>
            </w:pPr>
            <w:r>
              <w:rPr>
                <w:sz w:val="15"/>
              </w:rPr>
              <w:t>Nilgai and wild boar responsible for at least half of reported major-crop wildlife damage</w:t>
            </w:r>
          </w:p>
        </w:tc>
        <w:tc>
          <w:tcPr>
            <w:tcW w:w="865" w:type="pct"/>
            <w:tcMar>
              <w:top w:w="70" w:type="dxa"/>
              <w:left w:w="80" w:type="dxa"/>
              <w:bottom w:w="70" w:type="dxa"/>
              <w:right w:w="80" w:type="dxa"/>
            </w:tcMar>
            <w:vAlign w:val="center"/>
          </w:tcPr>
          <w:p w14:paraId="55A21388" w14:textId="77777777" w:rsidR="006A3F38" w:rsidRDefault="00000000">
            <w:pPr>
              <w:spacing w:after="0" w:line="240" w:lineRule="auto"/>
            </w:pPr>
            <w:r>
              <w:rPr>
                <w:sz w:val="15"/>
              </w:rPr>
              <w:t>Strong multi-method evidence that nilgai are major depredators in some reserve-edge systems</w:t>
            </w:r>
          </w:p>
        </w:tc>
        <w:tc>
          <w:tcPr>
            <w:tcW w:w="944" w:type="pct"/>
            <w:tcMar>
              <w:top w:w="70" w:type="dxa"/>
              <w:left w:w="80" w:type="dxa"/>
              <w:bottom w:w="70" w:type="dxa"/>
              <w:right w:w="80" w:type="dxa"/>
            </w:tcMar>
            <w:vAlign w:val="center"/>
          </w:tcPr>
          <w:p w14:paraId="45D42C36" w14:textId="77777777" w:rsidR="006A3F38" w:rsidRDefault="00000000">
            <w:pPr>
              <w:spacing w:after="0" w:line="240" w:lineRule="auto"/>
            </w:pPr>
            <w:r>
              <w:rPr>
                <w:sz w:val="15"/>
              </w:rPr>
              <w:t>Historical study; crop and land-use conditions may have changed</w:t>
            </w:r>
          </w:p>
        </w:tc>
        <w:tc>
          <w:tcPr>
            <w:tcW w:w="831" w:type="pct"/>
            <w:tcMar>
              <w:top w:w="70" w:type="dxa"/>
              <w:left w:w="80" w:type="dxa"/>
              <w:bottom w:w="70" w:type="dxa"/>
              <w:right w:w="80" w:type="dxa"/>
            </w:tcMar>
            <w:vAlign w:val="center"/>
          </w:tcPr>
          <w:p w14:paraId="77B0EB5B" w14:textId="77777777" w:rsidR="006A3F38" w:rsidRDefault="00000000">
            <w:pPr>
              <w:spacing w:after="0" w:line="240" w:lineRule="auto"/>
            </w:pPr>
            <w:r>
              <w:rPr>
                <w:sz w:val="15"/>
              </w:rPr>
              <w:t>Sekhar (1998)</w:t>
            </w:r>
          </w:p>
        </w:tc>
      </w:tr>
      <w:tr w:rsidR="006A3F38" w14:paraId="015830FB" w14:textId="77777777" w:rsidTr="0077180A">
        <w:trPr>
          <w:cantSplit/>
          <w:jc w:val="center"/>
        </w:trPr>
        <w:tc>
          <w:tcPr>
            <w:tcW w:w="632" w:type="pct"/>
            <w:tcMar>
              <w:top w:w="70" w:type="dxa"/>
              <w:left w:w="80" w:type="dxa"/>
              <w:bottom w:w="70" w:type="dxa"/>
              <w:right w:w="80" w:type="dxa"/>
            </w:tcMar>
            <w:vAlign w:val="center"/>
          </w:tcPr>
          <w:p w14:paraId="52A5C9F3" w14:textId="77777777" w:rsidR="006A3F38" w:rsidRDefault="00000000">
            <w:pPr>
              <w:spacing w:after="0" w:line="240" w:lineRule="auto"/>
            </w:pPr>
            <w:r>
              <w:rPr>
                <w:sz w:val="15"/>
              </w:rPr>
              <w:t>India-wide media dataset</w:t>
            </w:r>
          </w:p>
        </w:tc>
        <w:tc>
          <w:tcPr>
            <w:tcW w:w="764" w:type="pct"/>
            <w:tcMar>
              <w:top w:w="70" w:type="dxa"/>
              <w:left w:w="80" w:type="dxa"/>
              <w:bottom w:w="70" w:type="dxa"/>
              <w:right w:w="80" w:type="dxa"/>
            </w:tcMar>
            <w:vAlign w:val="center"/>
          </w:tcPr>
          <w:p w14:paraId="3D4140F3" w14:textId="77777777" w:rsidR="006A3F38" w:rsidRDefault="00000000">
            <w:pPr>
              <w:spacing w:after="0" w:line="240" w:lineRule="auto"/>
            </w:pPr>
            <w:r>
              <w:rPr>
                <w:sz w:val="15"/>
              </w:rPr>
              <w:t>Peer-reviewed analysis of print reports, 2018–2022</w:t>
            </w:r>
          </w:p>
        </w:tc>
        <w:tc>
          <w:tcPr>
            <w:tcW w:w="964" w:type="pct"/>
            <w:tcMar>
              <w:top w:w="70" w:type="dxa"/>
              <w:left w:w="80" w:type="dxa"/>
              <w:bottom w:w="70" w:type="dxa"/>
              <w:right w:w="80" w:type="dxa"/>
            </w:tcMar>
            <w:vAlign w:val="center"/>
          </w:tcPr>
          <w:p w14:paraId="0B6583AC" w14:textId="77777777" w:rsidR="006A3F38" w:rsidRDefault="00000000">
            <w:pPr>
              <w:spacing w:after="0" w:line="240" w:lineRule="auto"/>
            </w:pPr>
            <w:r>
              <w:rPr>
                <w:sz w:val="15"/>
              </w:rPr>
              <w:t>Crop raiding represented 98% of reported nilgai negative interactions; 45 crop types appeared</w:t>
            </w:r>
          </w:p>
        </w:tc>
        <w:tc>
          <w:tcPr>
            <w:tcW w:w="865" w:type="pct"/>
            <w:tcMar>
              <w:top w:w="70" w:type="dxa"/>
              <w:left w:w="80" w:type="dxa"/>
              <w:bottom w:w="70" w:type="dxa"/>
              <w:right w:w="80" w:type="dxa"/>
            </w:tcMar>
            <w:vAlign w:val="center"/>
          </w:tcPr>
          <w:p w14:paraId="50790558" w14:textId="77777777" w:rsidR="006A3F38" w:rsidRDefault="00000000">
            <w:pPr>
              <w:spacing w:after="0" w:line="240" w:lineRule="auto"/>
            </w:pPr>
            <w:r>
              <w:rPr>
                <w:sz w:val="15"/>
              </w:rPr>
              <w:t>Identifies reported conflict geography and issue salience</w:t>
            </w:r>
          </w:p>
        </w:tc>
        <w:tc>
          <w:tcPr>
            <w:tcW w:w="944" w:type="pct"/>
            <w:tcMar>
              <w:top w:w="70" w:type="dxa"/>
              <w:left w:w="80" w:type="dxa"/>
              <w:bottom w:w="70" w:type="dxa"/>
              <w:right w:w="80" w:type="dxa"/>
            </w:tcMar>
            <w:vAlign w:val="center"/>
          </w:tcPr>
          <w:p w14:paraId="4DCEF316" w14:textId="77777777" w:rsidR="006A3F38" w:rsidRDefault="00000000">
            <w:pPr>
              <w:spacing w:after="0" w:line="240" w:lineRule="auto"/>
            </w:pPr>
            <w:r>
              <w:rPr>
                <w:sz w:val="15"/>
              </w:rPr>
              <w:t>Media frequency is not incidence, abundance or yield loss</w:t>
            </w:r>
          </w:p>
        </w:tc>
        <w:tc>
          <w:tcPr>
            <w:tcW w:w="831" w:type="pct"/>
            <w:tcMar>
              <w:top w:w="70" w:type="dxa"/>
              <w:left w:w="80" w:type="dxa"/>
              <w:bottom w:w="70" w:type="dxa"/>
              <w:right w:w="80" w:type="dxa"/>
            </w:tcMar>
            <w:vAlign w:val="center"/>
          </w:tcPr>
          <w:p w14:paraId="17505EF9" w14:textId="77777777" w:rsidR="006A3F38" w:rsidRDefault="00000000">
            <w:pPr>
              <w:spacing w:after="0" w:line="240" w:lineRule="auto"/>
            </w:pPr>
            <w:r>
              <w:rPr>
                <w:sz w:val="15"/>
              </w:rPr>
              <w:t>Chandel et al. (2024)</w:t>
            </w:r>
          </w:p>
        </w:tc>
      </w:tr>
    </w:tbl>
    <w:p w14:paraId="2F5BBB57" w14:textId="77777777" w:rsidR="006A3F38" w:rsidRDefault="00000000">
      <w:pPr>
        <w:spacing w:before="40" w:after="160" w:line="240" w:lineRule="auto"/>
      </w:pPr>
      <w:r>
        <w:rPr>
          <w:i/>
          <w:sz w:val="18"/>
        </w:rPr>
        <w:t>Note. Percentages are reproduced only where the original study design supports them. They should not be aggregated across rows because denominators and methods differ.</w:t>
      </w:r>
    </w:p>
    <w:p w14:paraId="6D2ECE3F" w14:textId="77777777" w:rsidR="006A3F38" w:rsidRDefault="00000000">
      <w:pPr>
        <w:pStyle w:val="Heading1"/>
      </w:pPr>
      <w:r>
        <w:rPr>
          <w:rFonts w:ascii="Times New Roman" w:eastAsia="Times New Roman" w:hAnsi="Times New Roman"/>
        </w:rPr>
        <w:lastRenderedPageBreak/>
        <w:t>5. Human Dimensions, Rural Costs and Social Tolerance</w:t>
      </w:r>
    </w:p>
    <w:p w14:paraId="37AB43D5" w14:textId="77777777" w:rsidR="006A3F38" w:rsidRDefault="00000000">
      <w:pPr>
        <w:pStyle w:val="Heading2"/>
      </w:pPr>
      <w:r>
        <w:rPr>
          <w:rFonts w:ascii="Times New Roman" w:eastAsia="Times New Roman" w:hAnsi="Times New Roman"/>
        </w:rPr>
        <w:t>5.1 Direct losses are only the visible component</w:t>
      </w:r>
    </w:p>
    <w:p w14:paraId="405604B1" w14:textId="77777777" w:rsidR="006A3F38" w:rsidRDefault="00000000">
      <w:pPr>
        <w:spacing w:after="120"/>
        <w:jc w:val="both"/>
      </w:pPr>
      <w:r>
        <w:t xml:space="preserve">Crop yield provides an intuitive metric, but a farmer's welfare loss can be much larger or smaller than the market value of damaged plants. A household may invest nights of guarding to prevent most measurable loss; a low final damage percentage could therefore coexist with a high </w:t>
      </w:r>
      <w:proofErr w:type="spellStart"/>
      <w:r>
        <w:t>labour</w:t>
      </w:r>
      <w:proofErr w:type="spellEnd"/>
      <w:r>
        <w:t xml:space="preserve"> burden. Conversely, a single raid late in the season can destroy a high-value crop with little preceding guarding effort. Barua et al. (2013) </w:t>
      </w:r>
      <w:proofErr w:type="spellStart"/>
      <w:r>
        <w:t>formalised</w:t>
      </w:r>
      <w:proofErr w:type="spellEnd"/>
      <w:r>
        <w:t xml:space="preserve"> this distinction by separating visible losses from opportunity, transaction, health and psychosocial costs. The framework is directly relevant to nilgai because nocturnal agricultural use makes avoidance </w:t>
      </w:r>
      <w:proofErr w:type="spellStart"/>
      <w:r>
        <w:t>labour</w:t>
      </w:r>
      <w:proofErr w:type="spellEnd"/>
      <w:r>
        <w:t xml:space="preserve"> central to the interaction.</w:t>
      </w:r>
    </w:p>
    <w:p w14:paraId="3EFECAA0" w14:textId="77777777" w:rsidR="006A3F38" w:rsidRDefault="00000000">
      <w:pPr>
        <w:spacing w:after="120"/>
        <w:jc w:val="both"/>
      </w:pPr>
      <w:r>
        <w:t xml:space="preserve">Evidence from India shows that these costs are distributed unequally. Ogra (2008), studying protected-area borderlands in Uttarakhand, demonstrated that gender shapes both visible and hidden costs of wildlife conflict. Although her case was not nilgai-specific, the analytical lesson is important: household-level reporting can conceal who loses sleep, alters travel, guards fields or assumes additional domestic </w:t>
      </w:r>
      <w:proofErr w:type="spellStart"/>
      <w:r>
        <w:t>labour</w:t>
      </w:r>
      <w:proofErr w:type="spellEnd"/>
      <w:r>
        <w:t xml:space="preserve"> when another member guards. </w:t>
      </w:r>
      <w:proofErr w:type="spellStart"/>
      <w:r>
        <w:t>Chhangani</w:t>
      </w:r>
      <w:proofErr w:type="spellEnd"/>
      <w:r>
        <w:t xml:space="preserve"> et al. (2008) likewise showed at Kumbhalgarh Wildlife Sanctuary that vulnerability to crop raiding and livestock predation varied with household characteristics and the ecology of the species involved. The relevant unit of analysis is therefore not only hectares damaged but the household's capacity to absorb, prevent and recover from losses.</w:t>
      </w:r>
    </w:p>
    <w:p w14:paraId="4FB02B2C" w14:textId="77777777" w:rsidR="006A3F38" w:rsidRDefault="00000000">
      <w:pPr>
        <w:spacing w:after="120"/>
        <w:jc w:val="both"/>
      </w:pPr>
      <w:r>
        <w:t>The economic literature also cautions against interpreting compensation paid as damage incurred. Madhusudan (2003) found substantial gaps between losses and compensation in Bhadra, and Karanth et al. (2018) documented major state-level variation in Indian compensation policies, eligibility, procedures and payments. Johnson et al. (2018) argued that around four Rajasthan protected areas, compensation policy could overlook livelihood costs imposed by non-priority herbivores such as antelope. For nilgai, low claim counts may reflect ineligibility, high transaction costs, low expected payment or lack of awareness rather than low damage. Administrative data are consequently a measure of claims processed through a policy filter, not a census of crop depredation.</w:t>
      </w:r>
    </w:p>
    <w:p w14:paraId="34752907" w14:textId="77777777" w:rsidR="006A3F38" w:rsidRDefault="00000000">
      <w:pPr>
        <w:pStyle w:val="Heading2"/>
      </w:pPr>
      <w:r>
        <w:rPr>
          <w:rFonts w:ascii="Times New Roman" w:eastAsia="Times New Roman" w:hAnsi="Times New Roman"/>
        </w:rPr>
        <w:t>5.2 Perception, tolerance and cultural complexity</w:t>
      </w:r>
    </w:p>
    <w:p w14:paraId="0DB3B68E" w14:textId="77777777" w:rsidR="006A3F38" w:rsidRDefault="00000000">
      <w:pPr>
        <w:spacing w:after="120"/>
        <w:jc w:val="both"/>
      </w:pPr>
      <w:r>
        <w:t>Nilgai occupy a distinctive cultural position in parts of India because the common name links the animal symbolically with cattle. It is tempting to infer a simple causal chain from religious reverence to universal tolerance, but the evidence supports a more conditional interpretation. Indian large-mammal studies show that cultural tolerance can contribute to species persistence even in human-dominated landscapes (Karanth et al., 2009), while households may maintain positive attitudes towards protected areas despite suffering material loss when they also perceive benefits or accept broader conservation values (Karanth &amp; Nepal, 2012). Tolerance is therefore not the absence of cost; it is a social judgement shaped by values, institutions, history and alternatives.</w:t>
      </w:r>
    </w:p>
    <w:p w14:paraId="426F243A" w14:textId="77777777" w:rsidR="006A3F38" w:rsidRDefault="00000000">
      <w:pPr>
        <w:spacing w:after="120"/>
        <w:jc w:val="both"/>
      </w:pPr>
      <w:r>
        <w:t xml:space="preserve">This distinction matters because resentment can coexist with reluctance to kill animals. Chopra and Rai (2009) documented strong perceptions of nilgai crop damage alongside reliance on non-lethal deterrents. In </w:t>
      </w:r>
      <w:proofErr w:type="spellStart"/>
      <w:r>
        <w:t>Abohar</w:t>
      </w:r>
      <w:proofErr w:type="spellEnd"/>
      <w:r>
        <w:t>, farmers expressed concern about the lack of crop-damage compensation while objective field data confirmed substantial ungulate-associated yield reduction (Bajwa &amp; Chauhan, 2019). Such cases indicate that calls for stronger control are not necessarily evidence of anti-conservation attitudes; they may reflect a demand for fairer distribution of costs. Dickman (2010) similarly argues that social factors and relationships among human actors can become as important as the material wildlife damage itself.</w:t>
      </w:r>
    </w:p>
    <w:p w14:paraId="3CCD9937" w14:textId="77777777" w:rsidR="006A3F38" w:rsidRDefault="00000000">
      <w:pPr>
        <w:spacing w:after="120"/>
        <w:jc w:val="both"/>
      </w:pPr>
      <w:r>
        <w:t xml:space="preserve">Media and political framing can intensify this process. Chandel et al. (2024) show that print media provide useful spatial signals of human-nilgai negative interactions, but Barua (2010) demonstrates more generally that conflict reporting can be </w:t>
      </w:r>
      <w:proofErr w:type="spellStart"/>
      <w:r>
        <w:t>polarised</w:t>
      </w:r>
      <w:proofErr w:type="spellEnd"/>
      <w:r>
        <w:t xml:space="preserve"> and selective. A dramatic photograph of a damaged field or culling dispute may receive attention that routine, successfully mitigated coexistence does not. Management decisions based heavily on media volume therefore risk responding to visibility rather than verified risk. The appropriate use of media analysis is to </w:t>
      </w:r>
      <w:r>
        <w:lastRenderedPageBreak/>
        <w:t>identify candidate hotspots, crops and narratives for field investigation, not to substitute for ecological or economic measurement.</w:t>
      </w:r>
    </w:p>
    <w:p w14:paraId="367BAC25" w14:textId="77777777" w:rsidR="006A3F38" w:rsidRDefault="00000000">
      <w:pPr>
        <w:pStyle w:val="Heading2"/>
      </w:pPr>
      <w:r>
        <w:rPr>
          <w:rFonts w:ascii="Times New Roman" w:eastAsia="Times New Roman" w:hAnsi="Times New Roman"/>
        </w:rPr>
        <w:t xml:space="preserve">5.3 Risk, </w:t>
      </w:r>
      <w:proofErr w:type="spellStart"/>
      <w:r>
        <w:rPr>
          <w:rFonts w:ascii="Times New Roman" w:eastAsia="Times New Roman" w:hAnsi="Times New Roman"/>
        </w:rPr>
        <w:t>labour</w:t>
      </w:r>
      <w:proofErr w:type="spellEnd"/>
      <w:r>
        <w:rPr>
          <w:rFonts w:ascii="Times New Roman" w:eastAsia="Times New Roman" w:hAnsi="Times New Roman"/>
        </w:rPr>
        <w:t xml:space="preserve"> and coexistence</w:t>
      </w:r>
    </w:p>
    <w:p w14:paraId="4187E720" w14:textId="77777777" w:rsidR="006A3F38" w:rsidRDefault="00000000">
      <w:pPr>
        <w:spacing w:after="120"/>
        <w:jc w:val="both"/>
      </w:pPr>
      <w:r>
        <w:t xml:space="preserve">Night guarding illustrates the difference between damage reduction and conflict reduction. A guarded field may experience less damage, but the intervention transfers conservation costs into </w:t>
      </w:r>
      <w:proofErr w:type="spellStart"/>
      <w:r>
        <w:t>labour</w:t>
      </w:r>
      <w:proofErr w:type="spellEnd"/>
      <w:r>
        <w:t>, sleep loss and exposure to accidental injury. Human movement research in central India shows that perceived wildlife risk can influence how people move through landscapes, including movement speed and directedness (Read et al., 2021). Nilgai are less dangerous than large carnivores or elephants in most encounters, yet field guarding occurs in darkness, often in multi-species landscapes where wild pig, elephant or other animals may also be present. The safety outcome is therefore determined by the entire wildlife assemblage, not only the target crop raider.</w:t>
      </w:r>
    </w:p>
    <w:p w14:paraId="15BA8EBE" w14:textId="77777777" w:rsidR="006A3F38" w:rsidRDefault="00000000">
      <w:pPr>
        <w:spacing w:after="120"/>
        <w:jc w:val="both"/>
      </w:pPr>
      <w:r>
        <w:t xml:space="preserve">Broader Indian surveys reveal both the scale and heterogeneity of mitigation effort. Karanth and </w:t>
      </w:r>
      <w:proofErr w:type="spellStart"/>
      <w:r>
        <w:t>Kudalkar</w:t>
      </w:r>
      <w:proofErr w:type="spellEnd"/>
      <w:r>
        <w:t xml:space="preserve"> (2017), drawing on more than 5,000 households around 11 reserves, found that crop loss was widely reported and that nighttime watching, scare devices and fencing were among the most common responses. The probability of mitigation varied with conflict history, location, crops and other household factors. In Western Ghats protected-area landscapes, Karanth et al. (2013) found that commonly reported mitigation measures were not associated with lower losses in their cross-sectional analysis. This does not prove the measures were ineffective—farmers at highest risk may be most likely to adopt them—but it demonstrates the confounding problem that afflicts observational evaluation. High damage among fence users may indicate fence failure, or simply that fences were installed where damage would otherwise have been even worse.</w:t>
      </w:r>
    </w:p>
    <w:p w14:paraId="3102D9E1" w14:textId="77777777" w:rsidR="006A3F38" w:rsidRDefault="00000000">
      <w:pPr>
        <w:spacing w:after="120"/>
        <w:jc w:val="both"/>
      </w:pPr>
      <w:r>
        <w:t xml:space="preserve">Table 3 distinguishes cost domains and appropriate measurement methods. This framing is essential for policy because a scheme that compensates only harvest loss may leave the largest chronic burdens unaddressed, while an intervention that reduces raids but demands unsustainable household </w:t>
      </w:r>
      <w:proofErr w:type="spellStart"/>
      <w:r>
        <w:t>labour</w:t>
      </w:r>
      <w:proofErr w:type="spellEnd"/>
      <w:r>
        <w:t xml:space="preserve"> may not represent genuine coexistence.</w:t>
      </w:r>
    </w:p>
    <w:p w14:paraId="556D51D2" w14:textId="77777777" w:rsidR="006A3F38" w:rsidRDefault="00000000">
      <w:pPr>
        <w:pStyle w:val="TableCaption"/>
      </w:pPr>
      <w:r>
        <w:rPr>
          <w:rFonts w:eastAsia="Times New Roman"/>
        </w:rPr>
        <w:t>Table 3. Cost domains in nilgai crop conflict and implications for measurement</w:t>
      </w:r>
    </w:p>
    <w:tbl>
      <w:tblPr>
        <w:tblW w:w="5000" w:type="pct"/>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1545"/>
        <w:gridCol w:w="2280"/>
        <w:gridCol w:w="2280"/>
        <w:gridCol w:w="2133"/>
        <w:gridCol w:w="2088"/>
      </w:tblGrid>
      <w:tr w:rsidR="006A3F38" w14:paraId="744A61E9" w14:textId="77777777" w:rsidTr="0077180A">
        <w:trPr>
          <w:cantSplit/>
          <w:tblHeader/>
          <w:jc w:val="center"/>
        </w:trPr>
        <w:tc>
          <w:tcPr>
            <w:tcW w:w="748" w:type="pct"/>
            <w:shd w:val="clear" w:color="auto" w:fill="D9E2F3"/>
            <w:tcMar>
              <w:top w:w="70" w:type="dxa"/>
              <w:left w:w="80" w:type="dxa"/>
              <w:bottom w:w="70" w:type="dxa"/>
              <w:right w:w="80" w:type="dxa"/>
            </w:tcMar>
            <w:vAlign w:val="center"/>
          </w:tcPr>
          <w:p w14:paraId="5DE8D142" w14:textId="77777777" w:rsidR="006A3F38" w:rsidRDefault="00000000">
            <w:pPr>
              <w:spacing w:after="0" w:line="240" w:lineRule="auto"/>
            </w:pPr>
            <w:r>
              <w:rPr>
                <w:b/>
                <w:sz w:val="16"/>
              </w:rPr>
              <w:t>Cost domain</w:t>
            </w:r>
          </w:p>
        </w:tc>
        <w:tc>
          <w:tcPr>
            <w:tcW w:w="1104" w:type="pct"/>
            <w:shd w:val="clear" w:color="auto" w:fill="D9E2F3"/>
            <w:tcMar>
              <w:top w:w="70" w:type="dxa"/>
              <w:left w:w="80" w:type="dxa"/>
              <w:bottom w:w="70" w:type="dxa"/>
              <w:right w:w="80" w:type="dxa"/>
            </w:tcMar>
            <w:vAlign w:val="center"/>
          </w:tcPr>
          <w:p w14:paraId="47B0C75D" w14:textId="77777777" w:rsidR="006A3F38" w:rsidRDefault="00000000">
            <w:pPr>
              <w:spacing w:after="0" w:line="240" w:lineRule="auto"/>
            </w:pPr>
            <w:r>
              <w:rPr>
                <w:b/>
                <w:sz w:val="16"/>
              </w:rPr>
              <w:t>Examples at the crop-wildlife interface</w:t>
            </w:r>
          </w:p>
        </w:tc>
        <w:tc>
          <w:tcPr>
            <w:tcW w:w="1104" w:type="pct"/>
            <w:shd w:val="clear" w:color="auto" w:fill="D9E2F3"/>
            <w:tcMar>
              <w:top w:w="70" w:type="dxa"/>
              <w:left w:w="80" w:type="dxa"/>
              <w:bottom w:w="70" w:type="dxa"/>
              <w:right w:w="80" w:type="dxa"/>
            </w:tcMar>
            <w:vAlign w:val="center"/>
          </w:tcPr>
          <w:p w14:paraId="63DD1453" w14:textId="77777777" w:rsidR="006A3F38" w:rsidRDefault="00000000">
            <w:pPr>
              <w:spacing w:after="0" w:line="240" w:lineRule="auto"/>
            </w:pPr>
            <w:r>
              <w:rPr>
                <w:b/>
                <w:sz w:val="16"/>
              </w:rPr>
              <w:t>Appropriate evidence</w:t>
            </w:r>
          </w:p>
        </w:tc>
        <w:tc>
          <w:tcPr>
            <w:tcW w:w="1033" w:type="pct"/>
            <w:shd w:val="clear" w:color="auto" w:fill="D9E2F3"/>
            <w:tcMar>
              <w:top w:w="70" w:type="dxa"/>
              <w:left w:w="80" w:type="dxa"/>
              <w:bottom w:w="70" w:type="dxa"/>
              <w:right w:w="80" w:type="dxa"/>
            </w:tcMar>
            <w:vAlign w:val="center"/>
          </w:tcPr>
          <w:p w14:paraId="33619051" w14:textId="77777777" w:rsidR="006A3F38" w:rsidRDefault="00000000">
            <w:pPr>
              <w:spacing w:after="0" w:line="240" w:lineRule="auto"/>
            </w:pPr>
            <w:r>
              <w:rPr>
                <w:b/>
                <w:sz w:val="16"/>
              </w:rPr>
              <w:t>Common bias if omitted or mismeasured</w:t>
            </w:r>
          </w:p>
        </w:tc>
        <w:tc>
          <w:tcPr>
            <w:tcW w:w="1011" w:type="pct"/>
            <w:shd w:val="clear" w:color="auto" w:fill="D9E2F3"/>
            <w:tcMar>
              <w:top w:w="70" w:type="dxa"/>
              <w:left w:w="80" w:type="dxa"/>
              <w:bottom w:w="70" w:type="dxa"/>
              <w:right w:w="80" w:type="dxa"/>
            </w:tcMar>
            <w:vAlign w:val="center"/>
          </w:tcPr>
          <w:p w14:paraId="40EA36F0" w14:textId="77777777" w:rsidR="006A3F38" w:rsidRDefault="00000000">
            <w:pPr>
              <w:spacing w:after="0" w:line="240" w:lineRule="auto"/>
            </w:pPr>
            <w:r>
              <w:rPr>
                <w:b/>
                <w:sz w:val="16"/>
              </w:rPr>
              <w:t>Supporting references</w:t>
            </w:r>
          </w:p>
        </w:tc>
      </w:tr>
      <w:tr w:rsidR="006A3F38" w14:paraId="27620C45" w14:textId="77777777" w:rsidTr="0077180A">
        <w:trPr>
          <w:cantSplit/>
          <w:jc w:val="center"/>
        </w:trPr>
        <w:tc>
          <w:tcPr>
            <w:tcW w:w="748" w:type="pct"/>
            <w:tcMar>
              <w:top w:w="70" w:type="dxa"/>
              <w:left w:w="80" w:type="dxa"/>
              <w:bottom w:w="70" w:type="dxa"/>
              <w:right w:w="80" w:type="dxa"/>
            </w:tcMar>
            <w:vAlign w:val="center"/>
          </w:tcPr>
          <w:p w14:paraId="649B27D8" w14:textId="77777777" w:rsidR="006A3F38" w:rsidRDefault="00000000">
            <w:pPr>
              <w:spacing w:after="0" w:line="240" w:lineRule="auto"/>
            </w:pPr>
            <w:r>
              <w:rPr>
                <w:sz w:val="16"/>
              </w:rPr>
              <w:t>Direct production loss</w:t>
            </w:r>
          </w:p>
        </w:tc>
        <w:tc>
          <w:tcPr>
            <w:tcW w:w="1104" w:type="pct"/>
            <w:tcMar>
              <w:top w:w="70" w:type="dxa"/>
              <w:left w:w="80" w:type="dxa"/>
              <w:bottom w:w="70" w:type="dxa"/>
              <w:right w:w="80" w:type="dxa"/>
            </w:tcMar>
            <w:vAlign w:val="center"/>
          </w:tcPr>
          <w:p w14:paraId="2F548195" w14:textId="77777777" w:rsidR="006A3F38" w:rsidRDefault="00000000">
            <w:pPr>
              <w:spacing w:after="0" w:line="240" w:lineRule="auto"/>
            </w:pPr>
            <w:r>
              <w:rPr>
                <w:sz w:val="16"/>
              </w:rPr>
              <w:t>Plants consumed, trampled or uprooted; reduced harvest</w:t>
            </w:r>
          </w:p>
        </w:tc>
        <w:tc>
          <w:tcPr>
            <w:tcW w:w="1104" w:type="pct"/>
            <w:tcMar>
              <w:top w:w="70" w:type="dxa"/>
              <w:left w:w="80" w:type="dxa"/>
              <w:bottom w:w="70" w:type="dxa"/>
              <w:right w:w="80" w:type="dxa"/>
            </w:tcMar>
            <w:vAlign w:val="center"/>
          </w:tcPr>
          <w:p w14:paraId="57FBEB1F" w14:textId="77777777" w:rsidR="006A3F38" w:rsidRDefault="00000000">
            <w:pPr>
              <w:spacing w:after="0" w:line="240" w:lineRule="auto"/>
            </w:pPr>
            <w:r>
              <w:rPr>
                <w:sz w:val="16"/>
              </w:rPr>
              <w:t>Protected/control plots, harvest measurements, repeated field assessment</w:t>
            </w:r>
          </w:p>
        </w:tc>
        <w:tc>
          <w:tcPr>
            <w:tcW w:w="1033" w:type="pct"/>
            <w:tcMar>
              <w:top w:w="70" w:type="dxa"/>
              <w:left w:w="80" w:type="dxa"/>
              <w:bottom w:w="70" w:type="dxa"/>
              <w:right w:w="80" w:type="dxa"/>
            </w:tcMar>
            <w:vAlign w:val="center"/>
          </w:tcPr>
          <w:p w14:paraId="7677F4BA" w14:textId="77777777" w:rsidR="006A3F38" w:rsidRDefault="00000000">
            <w:pPr>
              <w:spacing w:after="0" w:line="240" w:lineRule="auto"/>
            </w:pPr>
            <w:r>
              <w:rPr>
                <w:sz w:val="16"/>
              </w:rPr>
              <w:t>Visual damage may not correspond to yield loss</w:t>
            </w:r>
          </w:p>
        </w:tc>
        <w:tc>
          <w:tcPr>
            <w:tcW w:w="1011" w:type="pct"/>
            <w:tcMar>
              <w:top w:w="70" w:type="dxa"/>
              <w:left w:w="80" w:type="dxa"/>
              <w:bottom w:w="70" w:type="dxa"/>
              <w:right w:w="80" w:type="dxa"/>
            </w:tcMar>
            <w:vAlign w:val="center"/>
          </w:tcPr>
          <w:p w14:paraId="72F4760F" w14:textId="77777777" w:rsidR="006A3F38" w:rsidRDefault="00000000">
            <w:pPr>
              <w:spacing w:after="0" w:line="240" w:lineRule="auto"/>
            </w:pPr>
            <w:r>
              <w:rPr>
                <w:sz w:val="16"/>
              </w:rPr>
              <w:t>Bajwa &amp; Chauhan (2019); Bayani et al. (2016)</w:t>
            </w:r>
          </w:p>
        </w:tc>
      </w:tr>
      <w:tr w:rsidR="006A3F38" w14:paraId="7C791CD8" w14:textId="77777777" w:rsidTr="0077180A">
        <w:trPr>
          <w:cantSplit/>
          <w:jc w:val="center"/>
        </w:trPr>
        <w:tc>
          <w:tcPr>
            <w:tcW w:w="748" w:type="pct"/>
            <w:tcMar>
              <w:top w:w="70" w:type="dxa"/>
              <w:left w:w="80" w:type="dxa"/>
              <w:bottom w:w="70" w:type="dxa"/>
              <w:right w:w="80" w:type="dxa"/>
            </w:tcMar>
            <w:vAlign w:val="center"/>
          </w:tcPr>
          <w:p w14:paraId="777D7F6A" w14:textId="77777777" w:rsidR="006A3F38" w:rsidRDefault="00000000">
            <w:pPr>
              <w:spacing w:after="0" w:line="240" w:lineRule="auto"/>
            </w:pPr>
            <w:r>
              <w:rPr>
                <w:sz w:val="16"/>
              </w:rPr>
              <w:t xml:space="preserve">Prevention </w:t>
            </w:r>
            <w:proofErr w:type="spellStart"/>
            <w:r>
              <w:rPr>
                <w:sz w:val="16"/>
              </w:rPr>
              <w:t>labour</w:t>
            </w:r>
            <w:proofErr w:type="spellEnd"/>
          </w:p>
        </w:tc>
        <w:tc>
          <w:tcPr>
            <w:tcW w:w="1104" w:type="pct"/>
            <w:tcMar>
              <w:top w:w="70" w:type="dxa"/>
              <w:left w:w="80" w:type="dxa"/>
              <w:bottom w:w="70" w:type="dxa"/>
              <w:right w:w="80" w:type="dxa"/>
            </w:tcMar>
            <w:vAlign w:val="center"/>
          </w:tcPr>
          <w:p w14:paraId="248E093C" w14:textId="77777777" w:rsidR="006A3F38" w:rsidRDefault="00000000">
            <w:pPr>
              <w:spacing w:after="0" w:line="240" w:lineRule="auto"/>
            </w:pPr>
            <w:r>
              <w:rPr>
                <w:sz w:val="16"/>
              </w:rPr>
              <w:t>Night guarding, patrolling, fence repair, scare-device operation</w:t>
            </w:r>
          </w:p>
        </w:tc>
        <w:tc>
          <w:tcPr>
            <w:tcW w:w="1104" w:type="pct"/>
            <w:tcMar>
              <w:top w:w="70" w:type="dxa"/>
              <w:left w:w="80" w:type="dxa"/>
              <w:bottom w:w="70" w:type="dxa"/>
              <w:right w:w="80" w:type="dxa"/>
            </w:tcMar>
            <w:vAlign w:val="center"/>
          </w:tcPr>
          <w:p w14:paraId="780502DC" w14:textId="77777777" w:rsidR="006A3F38" w:rsidRDefault="00000000">
            <w:pPr>
              <w:spacing w:after="0" w:line="240" w:lineRule="auto"/>
            </w:pPr>
            <w:r>
              <w:rPr>
                <w:sz w:val="16"/>
              </w:rPr>
              <w:t xml:space="preserve">Time-use diaries, GPS/attendance records, household </w:t>
            </w:r>
            <w:proofErr w:type="spellStart"/>
            <w:r>
              <w:rPr>
                <w:sz w:val="16"/>
              </w:rPr>
              <w:t>labour</w:t>
            </w:r>
            <w:proofErr w:type="spellEnd"/>
            <w:r>
              <w:rPr>
                <w:sz w:val="16"/>
              </w:rPr>
              <w:t xml:space="preserve"> valuation</w:t>
            </w:r>
          </w:p>
        </w:tc>
        <w:tc>
          <w:tcPr>
            <w:tcW w:w="1033" w:type="pct"/>
            <w:tcMar>
              <w:top w:w="70" w:type="dxa"/>
              <w:left w:w="80" w:type="dxa"/>
              <w:bottom w:w="70" w:type="dxa"/>
              <w:right w:w="80" w:type="dxa"/>
            </w:tcMar>
            <w:vAlign w:val="center"/>
          </w:tcPr>
          <w:p w14:paraId="734B975F" w14:textId="77777777" w:rsidR="006A3F38" w:rsidRDefault="00000000">
            <w:pPr>
              <w:spacing w:after="0" w:line="240" w:lineRule="auto"/>
            </w:pPr>
            <w:r>
              <w:rPr>
                <w:sz w:val="16"/>
              </w:rPr>
              <w:t>Low observed crop loss may hide high avoidance effort</w:t>
            </w:r>
          </w:p>
        </w:tc>
        <w:tc>
          <w:tcPr>
            <w:tcW w:w="1011" w:type="pct"/>
            <w:tcMar>
              <w:top w:w="70" w:type="dxa"/>
              <w:left w:w="80" w:type="dxa"/>
              <w:bottom w:w="70" w:type="dxa"/>
              <w:right w:w="80" w:type="dxa"/>
            </w:tcMar>
            <w:vAlign w:val="center"/>
          </w:tcPr>
          <w:p w14:paraId="35FB159E" w14:textId="77777777" w:rsidR="006A3F38" w:rsidRDefault="00000000">
            <w:pPr>
              <w:spacing w:after="0" w:line="240" w:lineRule="auto"/>
            </w:pPr>
            <w:r>
              <w:rPr>
                <w:sz w:val="16"/>
              </w:rPr>
              <w:t xml:space="preserve">Karanth &amp; </w:t>
            </w:r>
            <w:proofErr w:type="spellStart"/>
            <w:r>
              <w:rPr>
                <w:sz w:val="16"/>
              </w:rPr>
              <w:t>Kudalkar</w:t>
            </w:r>
            <w:proofErr w:type="spellEnd"/>
            <w:r>
              <w:rPr>
                <w:sz w:val="16"/>
              </w:rPr>
              <w:t xml:space="preserve"> (2017); Barua et al. (2013)</w:t>
            </w:r>
          </w:p>
        </w:tc>
      </w:tr>
      <w:tr w:rsidR="006A3F38" w14:paraId="40FCFD56" w14:textId="77777777" w:rsidTr="0077180A">
        <w:trPr>
          <w:cantSplit/>
          <w:jc w:val="center"/>
        </w:trPr>
        <w:tc>
          <w:tcPr>
            <w:tcW w:w="748" w:type="pct"/>
            <w:tcMar>
              <w:top w:w="70" w:type="dxa"/>
              <w:left w:w="80" w:type="dxa"/>
              <w:bottom w:w="70" w:type="dxa"/>
              <w:right w:w="80" w:type="dxa"/>
            </w:tcMar>
            <w:vAlign w:val="center"/>
          </w:tcPr>
          <w:p w14:paraId="4D54917D" w14:textId="77777777" w:rsidR="006A3F38" w:rsidRDefault="00000000">
            <w:pPr>
              <w:spacing w:after="0" w:line="240" w:lineRule="auto"/>
            </w:pPr>
            <w:r>
              <w:rPr>
                <w:sz w:val="16"/>
              </w:rPr>
              <w:t>Opportunity cost</w:t>
            </w:r>
          </w:p>
        </w:tc>
        <w:tc>
          <w:tcPr>
            <w:tcW w:w="1104" w:type="pct"/>
            <w:tcMar>
              <w:top w:w="70" w:type="dxa"/>
              <w:left w:w="80" w:type="dxa"/>
              <w:bottom w:w="70" w:type="dxa"/>
              <w:right w:w="80" w:type="dxa"/>
            </w:tcMar>
            <w:vAlign w:val="center"/>
          </w:tcPr>
          <w:p w14:paraId="405E4E8A" w14:textId="77777777" w:rsidR="006A3F38" w:rsidRDefault="00000000">
            <w:pPr>
              <w:spacing w:after="0" w:line="240" w:lineRule="auto"/>
            </w:pPr>
            <w:r>
              <w:rPr>
                <w:sz w:val="16"/>
              </w:rPr>
              <w:t>Lost wage work, delayed farm tasks, reduced schooling or rest</w:t>
            </w:r>
          </w:p>
        </w:tc>
        <w:tc>
          <w:tcPr>
            <w:tcW w:w="1104" w:type="pct"/>
            <w:tcMar>
              <w:top w:w="70" w:type="dxa"/>
              <w:left w:w="80" w:type="dxa"/>
              <w:bottom w:w="70" w:type="dxa"/>
              <w:right w:w="80" w:type="dxa"/>
            </w:tcMar>
            <w:vAlign w:val="center"/>
          </w:tcPr>
          <w:p w14:paraId="7CF7CDB6" w14:textId="77777777" w:rsidR="006A3F38" w:rsidRDefault="00000000">
            <w:pPr>
              <w:spacing w:after="0" w:line="240" w:lineRule="auto"/>
            </w:pPr>
            <w:r>
              <w:rPr>
                <w:sz w:val="16"/>
              </w:rPr>
              <w:t>Longitudinal household surveys and time budgets</w:t>
            </w:r>
          </w:p>
        </w:tc>
        <w:tc>
          <w:tcPr>
            <w:tcW w:w="1033" w:type="pct"/>
            <w:tcMar>
              <w:top w:w="70" w:type="dxa"/>
              <w:left w:w="80" w:type="dxa"/>
              <w:bottom w:w="70" w:type="dxa"/>
              <w:right w:w="80" w:type="dxa"/>
            </w:tcMar>
            <w:vAlign w:val="center"/>
          </w:tcPr>
          <w:p w14:paraId="499BA731" w14:textId="77777777" w:rsidR="006A3F38" w:rsidRDefault="00000000">
            <w:pPr>
              <w:spacing w:after="0" w:line="240" w:lineRule="auto"/>
            </w:pPr>
            <w:r>
              <w:rPr>
                <w:sz w:val="16"/>
              </w:rPr>
              <w:t>Excluded from crop-value compensation</w:t>
            </w:r>
          </w:p>
        </w:tc>
        <w:tc>
          <w:tcPr>
            <w:tcW w:w="1011" w:type="pct"/>
            <w:tcMar>
              <w:top w:w="70" w:type="dxa"/>
              <w:left w:w="80" w:type="dxa"/>
              <w:bottom w:w="70" w:type="dxa"/>
              <w:right w:w="80" w:type="dxa"/>
            </w:tcMar>
            <w:vAlign w:val="center"/>
          </w:tcPr>
          <w:p w14:paraId="7369E82D" w14:textId="77777777" w:rsidR="006A3F38" w:rsidRDefault="00000000">
            <w:pPr>
              <w:spacing w:after="0" w:line="240" w:lineRule="auto"/>
            </w:pPr>
            <w:r>
              <w:rPr>
                <w:sz w:val="16"/>
              </w:rPr>
              <w:t>Barua et al. (2013); Ogra (2008)</w:t>
            </w:r>
          </w:p>
        </w:tc>
      </w:tr>
      <w:tr w:rsidR="006A3F38" w14:paraId="3A23E904" w14:textId="77777777" w:rsidTr="0077180A">
        <w:trPr>
          <w:cantSplit/>
          <w:jc w:val="center"/>
        </w:trPr>
        <w:tc>
          <w:tcPr>
            <w:tcW w:w="748" w:type="pct"/>
            <w:tcMar>
              <w:top w:w="70" w:type="dxa"/>
              <w:left w:w="80" w:type="dxa"/>
              <w:bottom w:w="70" w:type="dxa"/>
              <w:right w:w="80" w:type="dxa"/>
            </w:tcMar>
            <w:vAlign w:val="center"/>
          </w:tcPr>
          <w:p w14:paraId="448F90CD" w14:textId="77777777" w:rsidR="006A3F38" w:rsidRDefault="00000000">
            <w:pPr>
              <w:spacing w:after="0" w:line="240" w:lineRule="auto"/>
            </w:pPr>
            <w:r>
              <w:rPr>
                <w:sz w:val="16"/>
              </w:rPr>
              <w:t>Transaction cost</w:t>
            </w:r>
          </w:p>
        </w:tc>
        <w:tc>
          <w:tcPr>
            <w:tcW w:w="1104" w:type="pct"/>
            <w:tcMar>
              <w:top w:w="70" w:type="dxa"/>
              <w:left w:w="80" w:type="dxa"/>
              <w:bottom w:w="70" w:type="dxa"/>
              <w:right w:w="80" w:type="dxa"/>
            </w:tcMar>
            <w:vAlign w:val="center"/>
          </w:tcPr>
          <w:p w14:paraId="52B2EA07" w14:textId="77777777" w:rsidR="006A3F38" w:rsidRDefault="00000000">
            <w:pPr>
              <w:spacing w:after="0" w:line="240" w:lineRule="auto"/>
            </w:pPr>
            <w:r>
              <w:rPr>
                <w:sz w:val="16"/>
              </w:rPr>
              <w:t>Reporting, travel, documentation, inspections and delay in claims</w:t>
            </w:r>
          </w:p>
        </w:tc>
        <w:tc>
          <w:tcPr>
            <w:tcW w:w="1104" w:type="pct"/>
            <w:tcMar>
              <w:top w:w="70" w:type="dxa"/>
              <w:left w:w="80" w:type="dxa"/>
              <w:bottom w:w="70" w:type="dxa"/>
              <w:right w:w="80" w:type="dxa"/>
            </w:tcMar>
            <w:vAlign w:val="center"/>
          </w:tcPr>
          <w:p w14:paraId="34C8FB6A" w14:textId="77777777" w:rsidR="006A3F38" w:rsidRDefault="00000000">
            <w:pPr>
              <w:spacing w:after="0" w:line="240" w:lineRule="auto"/>
            </w:pPr>
            <w:r>
              <w:rPr>
                <w:sz w:val="16"/>
              </w:rPr>
              <w:t>Claim-process tracking linked to household surveys</w:t>
            </w:r>
          </w:p>
        </w:tc>
        <w:tc>
          <w:tcPr>
            <w:tcW w:w="1033" w:type="pct"/>
            <w:tcMar>
              <w:top w:w="70" w:type="dxa"/>
              <w:left w:w="80" w:type="dxa"/>
              <w:bottom w:w="70" w:type="dxa"/>
              <w:right w:w="80" w:type="dxa"/>
            </w:tcMar>
            <w:vAlign w:val="center"/>
          </w:tcPr>
          <w:p w14:paraId="1D61E86D" w14:textId="77777777" w:rsidR="006A3F38" w:rsidRDefault="00000000">
            <w:pPr>
              <w:spacing w:after="0" w:line="240" w:lineRule="auto"/>
            </w:pPr>
            <w:r>
              <w:rPr>
                <w:sz w:val="16"/>
              </w:rPr>
              <w:t>Compensation expenditure can overstate accessibility</w:t>
            </w:r>
          </w:p>
        </w:tc>
        <w:tc>
          <w:tcPr>
            <w:tcW w:w="1011" w:type="pct"/>
            <w:tcMar>
              <w:top w:w="70" w:type="dxa"/>
              <w:left w:w="80" w:type="dxa"/>
              <w:bottom w:w="70" w:type="dxa"/>
              <w:right w:w="80" w:type="dxa"/>
            </w:tcMar>
            <w:vAlign w:val="center"/>
          </w:tcPr>
          <w:p w14:paraId="501E6C0C" w14:textId="77777777" w:rsidR="006A3F38" w:rsidRDefault="00000000">
            <w:pPr>
              <w:spacing w:after="0" w:line="240" w:lineRule="auto"/>
            </w:pPr>
            <w:r>
              <w:rPr>
                <w:sz w:val="16"/>
              </w:rPr>
              <w:t>Karanth et al. (2018); Johnson et al. (2018)</w:t>
            </w:r>
          </w:p>
        </w:tc>
      </w:tr>
      <w:tr w:rsidR="006A3F38" w14:paraId="58435E2A" w14:textId="77777777" w:rsidTr="0077180A">
        <w:trPr>
          <w:cantSplit/>
          <w:jc w:val="center"/>
        </w:trPr>
        <w:tc>
          <w:tcPr>
            <w:tcW w:w="748" w:type="pct"/>
            <w:tcMar>
              <w:top w:w="70" w:type="dxa"/>
              <w:left w:w="80" w:type="dxa"/>
              <w:bottom w:w="70" w:type="dxa"/>
              <w:right w:w="80" w:type="dxa"/>
            </w:tcMar>
            <w:vAlign w:val="center"/>
          </w:tcPr>
          <w:p w14:paraId="0EAF246F" w14:textId="77777777" w:rsidR="006A3F38" w:rsidRDefault="00000000">
            <w:pPr>
              <w:spacing w:after="0" w:line="240" w:lineRule="auto"/>
            </w:pPr>
            <w:r>
              <w:rPr>
                <w:sz w:val="16"/>
              </w:rPr>
              <w:t>Safety and wellbeing</w:t>
            </w:r>
          </w:p>
        </w:tc>
        <w:tc>
          <w:tcPr>
            <w:tcW w:w="1104" w:type="pct"/>
            <w:tcMar>
              <w:top w:w="70" w:type="dxa"/>
              <w:left w:w="80" w:type="dxa"/>
              <w:bottom w:w="70" w:type="dxa"/>
              <w:right w:w="80" w:type="dxa"/>
            </w:tcMar>
            <w:vAlign w:val="center"/>
          </w:tcPr>
          <w:p w14:paraId="701571F7" w14:textId="77777777" w:rsidR="006A3F38" w:rsidRDefault="00000000">
            <w:pPr>
              <w:spacing w:after="0" w:line="240" w:lineRule="auto"/>
            </w:pPr>
            <w:r>
              <w:rPr>
                <w:sz w:val="16"/>
              </w:rPr>
              <w:t>Fatigue, fear and exposure during guarding or wildlife encounters</w:t>
            </w:r>
          </w:p>
        </w:tc>
        <w:tc>
          <w:tcPr>
            <w:tcW w:w="1104" w:type="pct"/>
            <w:tcMar>
              <w:top w:w="70" w:type="dxa"/>
              <w:left w:w="80" w:type="dxa"/>
              <w:bottom w:w="70" w:type="dxa"/>
              <w:right w:w="80" w:type="dxa"/>
            </w:tcMar>
            <w:vAlign w:val="center"/>
          </w:tcPr>
          <w:p w14:paraId="01C2010D" w14:textId="77777777" w:rsidR="006A3F38" w:rsidRDefault="00000000">
            <w:pPr>
              <w:spacing w:after="0" w:line="240" w:lineRule="auto"/>
            </w:pPr>
            <w:r>
              <w:rPr>
                <w:sz w:val="16"/>
              </w:rPr>
              <w:t>Structured wellbeing and safety measures; incident records</w:t>
            </w:r>
          </w:p>
        </w:tc>
        <w:tc>
          <w:tcPr>
            <w:tcW w:w="1033" w:type="pct"/>
            <w:tcMar>
              <w:top w:w="70" w:type="dxa"/>
              <w:left w:w="80" w:type="dxa"/>
              <w:bottom w:w="70" w:type="dxa"/>
              <w:right w:w="80" w:type="dxa"/>
            </w:tcMar>
            <w:vAlign w:val="center"/>
          </w:tcPr>
          <w:p w14:paraId="0AAF0DFE" w14:textId="77777777" w:rsidR="006A3F38" w:rsidRDefault="00000000">
            <w:pPr>
              <w:spacing w:after="0" w:line="240" w:lineRule="auto"/>
            </w:pPr>
            <w:r>
              <w:rPr>
                <w:sz w:val="16"/>
              </w:rPr>
              <w:t>Rare severe events can dominate attitudes despite low frequency</w:t>
            </w:r>
          </w:p>
        </w:tc>
        <w:tc>
          <w:tcPr>
            <w:tcW w:w="1011" w:type="pct"/>
            <w:tcMar>
              <w:top w:w="70" w:type="dxa"/>
              <w:left w:w="80" w:type="dxa"/>
              <w:bottom w:w="70" w:type="dxa"/>
              <w:right w:w="80" w:type="dxa"/>
            </w:tcMar>
            <w:vAlign w:val="center"/>
          </w:tcPr>
          <w:p w14:paraId="78B87A93" w14:textId="77777777" w:rsidR="006A3F38" w:rsidRDefault="00000000">
            <w:pPr>
              <w:spacing w:after="0" w:line="240" w:lineRule="auto"/>
            </w:pPr>
            <w:r>
              <w:rPr>
                <w:sz w:val="16"/>
              </w:rPr>
              <w:t>Read et al. (2021); Gulati et al. (2021)</w:t>
            </w:r>
          </w:p>
        </w:tc>
      </w:tr>
      <w:tr w:rsidR="006A3F38" w14:paraId="1D3A6046" w14:textId="77777777" w:rsidTr="0077180A">
        <w:trPr>
          <w:cantSplit/>
          <w:jc w:val="center"/>
        </w:trPr>
        <w:tc>
          <w:tcPr>
            <w:tcW w:w="748" w:type="pct"/>
            <w:tcMar>
              <w:top w:w="70" w:type="dxa"/>
              <w:left w:w="80" w:type="dxa"/>
              <w:bottom w:w="70" w:type="dxa"/>
              <w:right w:w="80" w:type="dxa"/>
            </w:tcMar>
            <w:vAlign w:val="center"/>
          </w:tcPr>
          <w:p w14:paraId="2B805D3B" w14:textId="77777777" w:rsidR="006A3F38" w:rsidRDefault="00000000">
            <w:pPr>
              <w:spacing w:after="0" w:line="240" w:lineRule="auto"/>
            </w:pPr>
            <w:r>
              <w:rPr>
                <w:sz w:val="16"/>
              </w:rPr>
              <w:t>Social and institutional cost</w:t>
            </w:r>
          </w:p>
        </w:tc>
        <w:tc>
          <w:tcPr>
            <w:tcW w:w="1104" w:type="pct"/>
            <w:tcMar>
              <w:top w:w="70" w:type="dxa"/>
              <w:left w:w="80" w:type="dxa"/>
              <w:bottom w:w="70" w:type="dxa"/>
              <w:right w:w="80" w:type="dxa"/>
            </w:tcMar>
            <w:vAlign w:val="center"/>
          </w:tcPr>
          <w:p w14:paraId="76857074" w14:textId="77777777" w:rsidR="006A3F38" w:rsidRDefault="00000000">
            <w:pPr>
              <w:spacing w:after="0" w:line="240" w:lineRule="auto"/>
            </w:pPr>
            <w:r>
              <w:rPr>
                <w:sz w:val="16"/>
              </w:rPr>
              <w:t>Perceived unfairness, distrust, conflict over control measures</w:t>
            </w:r>
          </w:p>
        </w:tc>
        <w:tc>
          <w:tcPr>
            <w:tcW w:w="1104" w:type="pct"/>
            <w:tcMar>
              <w:top w:w="70" w:type="dxa"/>
              <w:left w:w="80" w:type="dxa"/>
              <w:bottom w:w="70" w:type="dxa"/>
              <w:right w:w="80" w:type="dxa"/>
            </w:tcMar>
            <w:vAlign w:val="center"/>
          </w:tcPr>
          <w:p w14:paraId="7838120A" w14:textId="77777777" w:rsidR="006A3F38" w:rsidRDefault="00000000">
            <w:pPr>
              <w:spacing w:after="0" w:line="240" w:lineRule="auto"/>
            </w:pPr>
            <w:r>
              <w:rPr>
                <w:sz w:val="16"/>
              </w:rPr>
              <w:t>Mixed-method interviews and governance analysis</w:t>
            </w:r>
          </w:p>
        </w:tc>
        <w:tc>
          <w:tcPr>
            <w:tcW w:w="1033" w:type="pct"/>
            <w:tcMar>
              <w:top w:w="70" w:type="dxa"/>
              <w:left w:w="80" w:type="dxa"/>
              <w:bottom w:w="70" w:type="dxa"/>
              <w:right w:w="80" w:type="dxa"/>
            </w:tcMar>
            <w:vAlign w:val="center"/>
          </w:tcPr>
          <w:p w14:paraId="1A190C3C" w14:textId="77777777" w:rsidR="006A3F38" w:rsidRDefault="00000000">
            <w:pPr>
              <w:spacing w:after="0" w:line="240" w:lineRule="auto"/>
            </w:pPr>
            <w:r>
              <w:rPr>
                <w:sz w:val="16"/>
              </w:rPr>
              <w:t>Technical mitigation may fail if legitimacy is low</w:t>
            </w:r>
          </w:p>
        </w:tc>
        <w:tc>
          <w:tcPr>
            <w:tcW w:w="1011" w:type="pct"/>
            <w:tcMar>
              <w:top w:w="70" w:type="dxa"/>
              <w:left w:w="80" w:type="dxa"/>
              <w:bottom w:w="70" w:type="dxa"/>
              <w:right w:w="80" w:type="dxa"/>
            </w:tcMar>
            <w:vAlign w:val="center"/>
          </w:tcPr>
          <w:p w14:paraId="4DF7245A" w14:textId="77777777" w:rsidR="006A3F38" w:rsidRDefault="00000000">
            <w:pPr>
              <w:spacing w:after="0" w:line="240" w:lineRule="auto"/>
            </w:pPr>
            <w:r>
              <w:rPr>
                <w:sz w:val="16"/>
              </w:rPr>
              <w:t>Dickman (2010); Redpath et al. (2013)</w:t>
            </w:r>
          </w:p>
        </w:tc>
      </w:tr>
    </w:tbl>
    <w:p w14:paraId="638C0D28" w14:textId="77777777" w:rsidR="006A3F38" w:rsidRDefault="00000000">
      <w:pPr>
        <w:spacing w:before="40" w:after="160" w:line="240" w:lineRule="auto"/>
      </w:pPr>
      <w:r>
        <w:rPr>
          <w:i/>
          <w:sz w:val="18"/>
        </w:rPr>
        <w:t>Note. The table identifies measurement domains rather than assigning monetary values where nilgai-specific valuation evidence is not available.</w:t>
      </w:r>
    </w:p>
    <w:p w14:paraId="0EE1AC6C" w14:textId="77777777" w:rsidR="006A3F38" w:rsidRDefault="00000000">
      <w:pPr>
        <w:pStyle w:val="Heading1"/>
      </w:pPr>
      <w:r>
        <w:rPr>
          <w:rFonts w:ascii="Times New Roman" w:eastAsia="Times New Roman" w:hAnsi="Times New Roman"/>
        </w:rPr>
        <w:lastRenderedPageBreak/>
        <w:t>6. Mitigation and Population Management: Evidence, Trade-offs and Governance</w:t>
      </w:r>
    </w:p>
    <w:p w14:paraId="02A06C80" w14:textId="77777777" w:rsidR="006A3F38" w:rsidRDefault="00000000">
      <w:pPr>
        <w:pStyle w:val="Heading2"/>
      </w:pPr>
      <w:r>
        <w:rPr>
          <w:rFonts w:ascii="Times New Roman" w:eastAsia="Times New Roman" w:hAnsi="Times New Roman"/>
        </w:rPr>
        <w:t>6.1 Guarding, scare devices and repellents</w:t>
      </w:r>
    </w:p>
    <w:p w14:paraId="5F6F25FE" w14:textId="77777777" w:rsidR="006A3F38" w:rsidRDefault="00000000">
      <w:pPr>
        <w:spacing w:after="120"/>
        <w:jc w:val="both"/>
      </w:pPr>
      <w:r>
        <w:t xml:space="preserve">The dominant on-farm response to nilgai is still deterrence rather than population reduction. This is understandable because farmers need an intervention that protects the next crop, not only a long-term change in abundance. The weakness is that much of the evidence for commonly used deterrents is observational, short-term or based on farmer testimony. Night guarding, noise, lights, reflective materials and improvised scare devices are inexpensive to start, but their effectiveness depends on continuous human effort and on whether </w:t>
      </w:r>
      <w:proofErr w:type="gramStart"/>
      <w:r>
        <w:t>animals</w:t>
      </w:r>
      <w:proofErr w:type="gramEnd"/>
      <w:r>
        <w:t xml:space="preserve"> habituate. In multi-species landscapes, the same measure may deter one species while leaving another unaffected.</w:t>
      </w:r>
    </w:p>
    <w:p w14:paraId="461163A8" w14:textId="77777777" w:rsidR="006A3F38" w:rsidRDefault="00000000">
      <w:pPr>
        <w:spacing w:after="120"/>
        <w:jc w:val="both"/>
      </w:pPr>
      <w:r>
        <w:t xml:space="preserve">The nilgai-specific experimental evidence is stronger than it was a decade ago. Rani and Babbar (2024) compared physical barriers, sensory deterrents and repellents in Punjab. Their trials suggest that mechanical and visual deterrents can reduce entry or damage under some conditions, but the most durable protection was associated with substantial physical barriers rather than stand-alone sensory cues. The study is valuable because it tests actual interventions rather than only documenting farmer practice. Its </w:t>
      </w:r>
      <w:proofErr w:type="spellStart"/>
      <w:r>
        <w:t>generalisability</w:t>
      </w:r>
      <w:proofErr w:type="spellEnd"/>
      <w:r>
        <w:t xml:space="preserve"> is nevertheless constrained by the local cropping system, field configuration and implementation conditions. A device that performs well in a supervised trial may fail when batteries, lights, ropes or sound units are not maintained, or when </w:t>
      </w:r>
      <w:proofErr w:type="spellStart"/>
      <w:r>
        <w:t>neighbouring</w:t>
      </w:r>
      <w:proofErr w:type="spellEnd"/>
      <w:r>
        <w:t xml:space="preserve"> unfenced fields redirect rather than reduce animal pressure.</w:t>
      </w:r>
    </w:p>
    <w:p w14:paraId="24290178" w14:textId="77777777" w:rsidR="006A3F38" w:rsidRDefault="00000000">
      <w:pPr>
        <w:spacing w:after="120"/>
        <w:jc w:val="both"/>
      </w:pPr>
      <w:r>
        <w:t>Broader comparative evidence supports this caution. Gross et al. (2019) found that crop-guarding outcomes across African and Asian sites were strongly context dependent and that combinations of measures were generally more informative than simple labels such as “traditional” or “advanced”. Karanth et al. (2013) similarly showed that household use of mitigation around Western Ghats protected areas was confounded by risk: households with severe losses were often the ones most likely to invest in deterrence. Consequently, cross-sectional comparisons can make an intervention look ineffective because adoption follows damage rather than precedes it. Nilgai management requires prospective evaluation in which comparable fields are observed before and after intervention, ideally with untreated controls or phased implementation.</w:t>
      </w:r>
    </w:p>
    <w:p w14:paraId="542A1F7A" w14:textId="77777777" w:rsidR="006A3F38" w:rsidRDefault="00000000">
      <w:pPr>
        <w:spacing w:after="120"/>
        <w:jc w:val="both"/>
      </w:pPr>
      <w:r>
        <w:t xml:space="preserve">Chemical and </w:t>
      </w:r>
      <w:proofErr w:type="spellStart"/>
      <w:r>
        <w:t>odour</w:t>
      </w:r>
      <w:proofErr w:type="spellEnd"/>
      <w:r>
        <w:t xml:space="preserve"> repellents face an additional ecological problem. Their value depends on persistence under rain, irrigation and high temperature and on whether a highly motivated herbivore learns that the cue is not associated with danger. Rani and Babbar (2024) provide useful field evidence on repellent formulations, but the literature does not yet justify treating repellents as reliable stand-alone protection for high-value crops throughout a season. Their most defensible role is as one component of an adaptive package, with efficacy measured against crop stage, nilgai visitation and cost rather than judged from short demonstrations.</w:t>
      </w:r>
    </w:p>
    <w:p w14:paraId="6F065EB7" w14:textId="77777777" w:rsidR="006A3F38" w:rsidRDefault="00000000">
      <w:pPr>
        <w:pStyle w:val="Heading2"/>
      </w:pPr>
      <w:r>
        <w:rPr>
          <w:rFonts w:ascii="Times New Roman" w:eastAsia="Times New Roman" w:hAnsi="Times New Roman"/>
        </w:rPr>
        <w:t>6.2 Physical barriers and exclusion</w:t>
      </w:r>
    </w:p>
    <w:p w14:paraId="626C72B0" w14:textId="77777777" w:rsidR="006A3F38" w:rsidRDefault="00000000">
      <w:pPr>
        <w:spacing w:after="120"/>
        <w:jc w:val="both"/>
      </w:pPr>
      <w:r>
        <w:t xml:space="preserve">Exclusion has the clearest causal logic: if nilgai cannot enter a field, direct crop depredation should fall. Rani and Babbar (2024) reported promising performance for chain-link, electric and nylon barriers of sufficient height, including sustained protection in their Punjab trials. This finding is consistent with the broader crop-protection literature, in which well-designed physical or electrified barriers often outperform </w:t>
      </w:r>
      <w:proofErr w:type="spellStart"/>
      <w:r>
        <w:t>labour-intensive</w:t>
      </w:r>
      <w:proofErr w:type="spellEnd"/>
      <w:r>
        <w:t xml:space="preserve"> guarding when maintenance is reliable (Gross et al., 2019; </w:t>
      </w:r>
      <w:proofErr w:type="spellStart"/>
      <w:r>
        <w:t>Wszelaki</w:t>
      </w:r>
      <w:proofErr w:type="spellEnd"/>
      <w:r>
        <w:t xml:space="preserve">, 2025). Yet the relevant policy question is not simply whether a fence works at the plot boundary. It is whether the fence remains functional, affordable and safe across fragmented holdings and whether it transfers wildlife pressure to </w:t>
      </w:r>
      <w:proofErr w:type="spellStart"/>
      <w:r>
        <w:t>neighbours</w:t>
      </w:r>
      <w:proofErr w:type="spellEnd"/>
      <w:r>
        <w:t>.</w:t>
      </w:r>
    </w:p>
    <w:p w14:paraId="7578AC77" w14:textId="77777777" w:rsidR="006A3F38" w:rsidRDefault="00000000">
      <w:pPr>
        <w:spacing w:after="120"/>
        <w:jc w:val="both"/>
      </w:pPr>
      <w:r>
        <w:t xml:space="preserve">Cost distribution is therefore central. A durable barrier can be rational for orchards, vegetable fields or other high-value crops but prohibitive for smallholders cultivating multiple dispersed plots. Where individual fencing causes displacement of raids, village-scale or cluster-scale protection may be more efficient, although it requires collective agreement about access points, maintenance, livestock movement and responsibility for failure. Public subsidies can change adoption, but subsidy without maintenance planning can create stranded infrastructure. Evaluations </w:t>
      </w:r>
      <w:r>
        <w:lastRenderedPageBreak/>
        <w:t xml:space="preserve">should report capital cost, expected lifetime, annual maintenance, </w:t>
      </w:r>
      <w:proofErr w:type="spellStart"/>
      <w:r>
        <w:t>labour</w:t>
      </w:r>
      <w:proofErr w:type="spellEnd"/>
      <w:r>
        <w:t xml:space="preserve"> inputs and failure modes alongside percentage damage reduction.</w:t>
      </w:r>
    </w:p>
    <w:p w14:paraId="317D4BF7" w14:textId="77777777" w:rsidR="006A3F38" w:rsidRDefault="00000000">
      <w:pPr>
        <w:spacing w:after="120"/>
        <w:jc w:val="both"/>
      </w:pPr>
      <w:r>
        <w:t>Barrier design also interacts with landscape permeability. Nilgai occupy mosaics containing rangeland, woodland and cropland, and most modelled suitable habitat occurs outside formal protected areas (Chandel et al., 2025). A landscape saturated with impermeable fencing could fragment movement, create collision hazards or concentrate animals along roads and canals. The management objective should therefore be selective exclusion from vulnerable crops rather than indiscriminate sealing of the agricultural matrix. Field protection needs to be coordinated with safe movement space, habitat patches and local land-use planning.</w:t>
      </w:r>
    </w:p>
    <w:p w14:paraId="2ED80A97" w14:textId="77777777" w:rsidR="006A3F38" w:rsidRDefault="00000000">
      <w:pPr>
        <w:pStyle w:val="Heading2"/>
      </w:pPr>
      <w:r>
        <w:rPr>
          <w:rFonts w:ascii="Times New Roman" w:eastAsia="Times New Roman" w:hAnsi="Times New Roman"/>
        </w:rPr>
        <w:t>6.3 Crop planning, landscape management and collective action</w:t>
      </w:r>
    </w:p>
    <w:p w14:paraId="311AFDC0" w14:textId="77777777" w:rsidR="006A3F38" w:rsidRDefault="00000000">
      <w:pPr>
        <w:spacing w:after="120"/>
        <w:jc w:val="both"/>
      </w:pPr>
      <w:r>
        <w:t xml:space="preserve">The distance and phenology results reviewed earlier imply that risk is partly predictable. Fields adjoining refuge vegetation or forest edges, and crops at particularly vulnerable growth stages, may warrant stronger temporary protection than lower-risk sites. Gross et al. (2018) showed across Asian and African herbivore systems that crop type, phenology and season can structure damage. Kumar et al. (2017) similarly observed stage-specific patterns in Uttarakhand, while Bayani et al. (2016) found strong distance-related damage near the </w:t>
      </w:r>
      <w:proofErr w:type="spellStart"/>
      <w:r>
        <w:t>Tadoba-Andhari</w:t>
      </w:r>
      <w:proofErr w:type="spellEnd"/>
      <w:r>
        <w:t xml:space="preserve"> boundary. These patterns support risk-stratified management, but they do not justify universal prescriptions for “unpalatable” crops. Crop substitution can lower wildlife attractiveness while simultaneously reducing farm income, dietary value or market flexibility.</w:t>
      </w:r>
    </w:p>
    <w:p w14:paraId="73857FBF" w14:textId="77777777" w:rsidR="006A3F38" w:rsidRDefault="00000000">
      <w:pPr>
        <w:spacing w:after="120"/>
        <w:jc w:val="both"/>
      </w:pPr>
      <w:r>
        <w:t xml:space="preserve">The more promising principle is to align protection intensity with expected marginal loss. High-risk edge fields can receive stronger barriers or coordinated watch, while village-level planning can reduce duplicated guarding effort. Shared reporting systems can identify recurrent entry routes and dates, allowing temporary deterrence to be concentrated when crops are most vulnerable. Such collective action also improves experimental evaluation because </w:t>
      </w:r>
      <w:proofErr w:type="spellStart"/>
      <w:r>
        <w:t>neighbouring</w:t>
      </w:r>
      <w:proofErr w:type="spellEnd"/>
      <w:r>
        <w:t xml:space="preserve"> farmers can implement interventions in blocks rather than creating a patchwork of treated and untreated fields that confounds animal movement.</w:t>
      </w:r>
    </w:p>
    <w:p w14:paraId="6382A9C9" w14:textId="77777777" w:rsidR="006A3F38" w:rsidRDefault="00000000">
      <w:pPr>
        <w:spacing w:after="120"/>
        <w:jc w:val="both"/>
      </w:pPr>
      <w:r>
        <w:t>Landscape interventions should also avoid assuming that increasing “natural habitat” automatically removes crop use. Chandel et al. (2025) show that nilgai suitability is distributed across rangeland, woodland and cropland, indicating that the species can exploit mixed human-dominated landscapes. Habitat restoration may be desirable for biodiversity for other reasons, but its effect on crop depredation will depend on forage quality, cover, water, connectivity and the relative profitability of crops. The appropriate hypothesis is not that habitat restoration necessarily draws nilgai away from farms, but that specific spatial configurations may alter the balance between refuge and agricultural forage. This requires testing rather than assertion.</w:t>
      </w:r>
    </w:p>
    <w:p w14:paraId="26B87756" w14:textId="77777777" w:rsidR="006A3F38" w:rsidRDefault="00000000">
      <w:pPr>
        <w:pStyle w:val="Heading2"/>
      </w:pPr>
      <w:r>
        <w:rPr>
          <w:rFonts w:ascii="Times New Roman" w:eastAsia="Times New Roman" w:hAnsi="Times New Roman"/>
        </w:rPr>
        <w:t>6.4 Translocation, lethal control and fertility control</w:t>
      </w:r>
    </w:p>
    <w:p w14:paraId="0DC6E6A0" w14:textId="77777777" w:rsidR="006A3F38" w:rsidRDefault="00000000">
      <w:pPr>
        <w:spacing w:after="120"/>
        <w:jc w:val="both"/>
      </w:pPr>
      <w:r>
        <w:t>Population-level interventions are frequently proposed when farmers judge deterrence inadequate. Three conceptually distinct approaches are translocation, lethal removal and fertility control. They should not be treated as interchangeable because their time horizons, welfare risks, legal requirements and ecological consequences differ.</w:t>
      </w:r>
    </w:p>
    <w:p w14:paraId="228A4D70" w14:textId="77777777" w:rsidR="006A3F38" w:rsidRDefault="00000000">
      <w:pPr>
        <w:spacing w:after="120"/>
        <w:jc w:val="both"/>
      </w:pPr>
      <w:r>
        <w:t xml:space="preserve">Translocation may appear attractive because it removes animals without deliberate killing, but there is little verified evidence that it provides durable conflict reduction for nilgai at landscape scale. The national habitat analysis by Chandel et al. (2025) explicitly </w:t>
      </w:r>
      <w:proofErr w:type="spellStart"/>
      <w:r>
        <w:t>favours</w:t>
      </w:r>
      <w:proofErr w:type="spellEnd"/>
      <w:r>
        <w:t xml:space="preserve"> integrated approaches over reliance on translocation, partly because extensive suitable habitat and cropland overlap mean that moving animals does not change the underlying attractivity of agricultural landscapes. Translocation also raises practical questions about capture stress, destination carrying capacity, disease screening, post-release survival and whether vacant areas are </w:t>
      </w:r>
      <w:proofErr w:type="spellStart"/>
      <w:r>
        <w:t>recolonised</w:t>
      </w:r>
      <w:proofErr w:type="spellEnd"/>
      <w:r>
        <w:t>. These questions are standard in wildlife translocation biology, but nilgai-specific outcome studies remain notably scarce.</w:t>
      </w:r>
    </w:p>
    <w:p w14:paraId="2EC975D7" w14:textId="77777777" w:rsidR="006A3F38" w:rsidRDefault="00000000">
      <w:pPr>
        <w:spacing w:after="120"/>
        <w:jc w:val="both"/>
      </w:pPr>
      <w:r>
        <w:lastRenderedPageBreak/>
        <w:t xml:space="preserve">Lethal control can produce immediate numerical reduction when legally </w:t>
      </w:r>
      <w:proofErr w:type="spellStart"/>
      <w:r>
        <w:t>authorised</w:t>
      </w:r>
      <w:proofErr w:type="spellEnd"/>
      <w:r>
        <w:t xml:space="preserve"> and effectively implemented, but its scientific evaluation requires more than counting animals removed. Crop damage will decline only if removal is large enough and sustained enough to change the density or </w:t>
      </w:r>
      <w:proofErr w:type="spellStart"/>
      <w:r>
        <w:t>behaviour</w:t>
      </w:r>
      <w:proofErr w:type="spellEnd"/>
      <w:r>
        <w:t xml:space="preserve"> of animals using the affected fields, and if immigration does not replace removed individuals. Social acceptability is especially salient for nilgai because cultural values associated with the animal vary among communities. Under the Wild Life (Protection) Act, 1972, wildlife control operates through statutory procedures rather than private designation of an animal as a pest; Section 62 provides for Central Government notification declaring specified wild animals as vermin for a defined area and period (Government of India, 1972). The existence of a legal route does not itself establish ecological effectiveness, welfare acceptability or social legitimacy.</w:t>
      </w:r>
    </w:p>
    <w:p w14:paraId="01BA7CC5" w14:textId="77777777" w:rsidR="006A3F38" w:rsidRDefault="00000000">
      <w:pPr>
        <w:spacing w:after="120"/>
        <w:jc w:val="both"/>
      </w:pPr>
      <w:r>
        <w:t xml:space="preserve">Fertility control seeks to reduce recruitment rather than cause an immediate fall in the number of crop-raiding animals. The Wildlife Institute of India has investigated reproductive control within a national </w:t>
      </w:r>
      <w:proofErr w:type="spellStart"/>
      <w:r>
        <w:t>programme</w:t>
      </w:r>
      <w:proofErr w:type="spellEnd"/>
      <w:r>
        <w:t xml:space="preserve"> covering nilgai, wild pig, rhesus macaque and elephant, including population-demographic information, reproductive monitoring and implementation safeguards (Qureshi et al., 2023). </w:t>
      </w:r>
      <w:proofErr w:type="spellStart"/>
      <w:r>
        <w:t>Immunocontraceptive</w:t>
      </w:r>
      <w:proofErr w:type="spellEnd"/>
      <w:r>
        <w:t xml:space="preserve"> approaches have a substantial scientific history in other wildlife species, but delivery, duration, reversibility, </w:t>
      </w:r>
      <w:proofErr w:type="spellStart"/>
      <w:r>
        <w:t>behavioural</w:t>
      </w:r>
      <w:proofErr w:type="spellEnd"/>
      <w:r>
        <w:t xml:space="preserve"> effects and the proportion of animals that must be treated are species- and context-specific (Gupta &amp; Minhas, 2017; Kirkpatrick et al., 2011). Among the literature verified for this review, there is not yet peer-reviewed field evidence demonstrating that fertility control has reduced nilgai crop depredation at population scale. It should therefore be regarded as a research and management option requiring controlled field evaluation, not an established solution.</w:t>
      </w:r>
    </w:p>
    <w:p w14:paraId="6A5145DD" w14:textId="77777777" w:rsidR="006A3F38" w:rsidRDefault="00000000">
      <w:pPr>
        <w:spacing w:after="120"/>
        <w:jc w:val="both"/>
      </w:pPr>
      <w:r>
        <w:t xml:space="preserve">The time-lag problem is fundamental. Even a highly effective contraceptive leaves treated adults alive and able to raid crops, so farmers may see little near-term benefit. This creates a potential mismatch between demographic success and social acceptance. A scientifically sound fertility-control </w:t>
      </w:r>
      <w:proofErr w:type="spellStart"/>
      <w:r>
        <w:t>programme</w:t>
      </w:r>
      <w:proofErr w:type="spellEnd"/>
      <w:r>
        <w:t xml:space="preserve"> would need explicit population targets, estimates of treatment coverage, repeated demographic monitoring, welfare surveillance and parallel short-term crop protection. Its success criterion should include both population trajectory and measured damage, rather than contraceptive response alone.</w:t>
      </w:r>
    </w:p>
    <w:p w14:paraId="4AF2273F" w14:textId="77777777" w:rsidR="006A3F38" w:rsidRDefault="00000000">
      <w:pPr>
        <w:pStyle w:val="Heading2"/>
      </w:pPr>
      <w:r>
        <w:rPr>
          <w:rFonts w:ascii="Times New Roman" w:eastAsia="Times New Roman" w:hAnsi="Times New Roman"/>
        </w:rPr>
        <w:t>6.5 Compensation and institutional response</w:t>
      </w:r>
    </w:p>
    <w:p w14:paraId="46D88550" w14:textId="77777777" w:rsidR="006A3F38" w:rsidRDefault="00000000">
      <w:pPr>
        <w:spacing w:after="120"/>
        <w:jc w:val="both"/>
      </w:pPr>
      <w:r>
        <w:t>Compensation does not prevent crop depredation, but it can redistribute unavoidable conservation costs and influence tolerance. Indian evidence shows that compensation systems differ greatly among states in eligibility, procedures and payment rules (Karanth et al., 2018). Around protected areas in Rajasthan, Johnson et al. (2018) found that compensation policies and procedures shaped whether households could recover losses, while wider research documents transaction costs, delays and incomplete coverage. These governance features are directly relevant to nilgai because crop damage often occurs outside protected areas and can be recurrent rather than catastrophic.</w:t>
      </w:r>
    </w:p>
    <w:p w14:paraId="7B7F1757" w14:textId="77777777" w:rsidR="006A3F38" w:rsidRDefault="00000000">
      <w:pPr>
        <w:spacing w:after="120"/>
        <w:jc w:val="both"/>
      </w:pPr>
      <w:r>
        <w:t>The first institutional requirement is credible damage measurement. Bayani et al. (2016) found that official visual assessment could underestimate measured crop loss. If compensation is based on rapid visual inspection, farmers can experience the process as arbitrary even where a scheme formally exists. Digital reporting, georeferenced photographs and rapid field verification can improve traceability, but technology cannot solve unclear eligibility or unrealistic valuation. Compensation formulas also need to distinguish between plant injury and harvested yield loss, and should be sensitive to crop value and stage without creating incentives to exaggerate damage.</w:t>
      </w:r>
    </w:p>
    <w:p w14:paraId="55AF572B" w14:textId="77777777" w:rsidR="006A3F38" w:rsidRDefault="00000000">
      <w:pPr>
        <w:spacing w:after="120"/>
        <w:jc w:val="both"/>
      </w:pPr>
      <w:r>
        <w:t xml:space="preserve">The second requirement is integration. Compensation, fencing, local population monitoring and response authority are often administered through separate </w:t>
      </w:r>
      <w:proofErr w:type="spellStart"/>
      <w:r>
        <w:t>programmes</w:t>
      </w:r>
      <w:proofErr w:type="spellEnd"/>
      <w:r>
        <w:t xml:space="preserve">. A farmer may therefore face a fragmented system: agriculture departments understand crop economics, forest departments hold wildlife authority, local government manages infrastructure, and research institutions evaluate interventions. Conflict reduction requires those functions to share a common spatial evidence base. District-level maps of verified raids, nilgai abundance or occupancy, </w:t>
      </w:r>
      <w:r>
        <w:lastRenderedPageBreak/>
        <w:t>crop stage, prevention expenditure and claims would allow management to shift from episodic response to risk-based allocation.</w:t>
      </w:r>
    </w:p>
    <w:p w14:paraId="42B0027C" w14:textId="77777777" w:rsidR="006A3F38" w:rsidRDefault="00000000">
      <w:pPr>
        <w:spacing w:after="120"/>
        <w:jc w:val="both"/>
      </w:pPr>
      <w:r>
        <w:t>Table 4 compares the main management families. The strongest conclusion is that no single intervention simultaneously offers immediate protection, low cost, durable population effect and universal social acceptability. A layered strategy is more defensible: rapid plot protection where damage is acute, collective and landscape measures where risk is spatially concentrated, compensation for residual loss, and population control only where demographic evidence shows that local abundance is a major driver and legal and social conditions permit.</w:t>
      </w:r>
    </w:p>
    <w:p w14:paraId="755C1E2B" w14:textId="77777777" w:rsidR="006A3F38" w:rsidRDefault="00000000">
      <w:pPr>
        <w:pStyle w:val="TableCaption"/>
      </w:pPr>
      <w:r>
        <w:rPr>
          <w:rFonts w:eastAsia="Times New Roman"/>
        </w:rPr>
        <w:t>Table 4. Management options for nilgai crop depredation: evidence, limitations and appropriate use</w:t>
      </w:r>
    </w:p>
    <w:tbl>
      <w:tblPr>
        <w:tblW w:w="5000" w:type="pct"/>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1305"/>
        <w:gridCol w:w="1578"/>
        <w:gridCol w:w="1991"/>
        <w:gridCol w:w="1786"/>
        <w:gridCol w:w="1950"/>
        <w:gridCol w:w="1716"/>
      </w:tblGrid>
      <w:tr w:rsidR="006A3F38" w14:paraId="12423FEF" w14:textId="77777777" w:rsidTr="0077180A">
        <w:trPr>
          <w:cantSplit/>
          <w:tblHeader/>
          <w:jc w:val="center"/>
        </w:trPr>
        <w:tc>
          <w:tcPr>
            <w:tcW w:w="632" w:type="pct"/>
            <w:shd w:val="clear" w:color="auto" w:fill="D9E2F3"/>
            <w:tcMar>
              <w:top w:w="70" w:type="dxa"/>
              <w:left w:w="80" w:type="dxa"/>
              <w:bottom w:w="70" w:type="dxa"/>
              <w:right w:w="80" w:type="dxa"/>
            </w:tcMar>
            <w:vAlign w:val="center"/>
          </w:tcPr>
          <w:p w14:paraId="69FE50A1" w14:textId="77777777" w:rsidR="006A3F38" w:rsidRDefault="00000000">
            <w:pPr>
              <w:spacing w:after="0" w:line="240" w:lineRule="auto"/>
            </w:pPr>
            <w:r>
              <w:rPr>
                <w:b/>
                <w:sz w:val="15"/>
              </w:rPr>
              <w:t>Management option</w:t>
            </w:r>
          </w:p>
        </w:tc>
        <w:tc>
          <w:tcPr>
            <w:tcW w:w="764" w:type="pct"/>
            <w:shd w:val="clear" w:color="auto" w:fill="D9E2F3"/>
            <w:tcMar>
              <w:top w:w="70" w:type="dxa"/>
              <w:left w:w="80" w:type="dxa"/>
              <w:bottom w:w="70" w:type="dxa"/>
              <w:right w:w="80" w:type="dxa"/>
            </w:tcMar>
            <w:vAlign w:val="center"/>
          </w:tcPr>
          <w:p w14:paraId="5C6817D0" w14:textId="77777777" w:rsidR="006A3F38" w:rsidRDefault="00000000">
            <w:pPr>
              <w:spacing w:after="0" w:line="240" w:lineRule="auto"/>
            </w:pPr>
            <w:r>
              <w:rPr>
                <w:b/>
                <w:sz w:val="15"/>
              </w:rPr>
              <w:t>Mechanism and expected timescale</w:t>
            </w:r>
          </w:p>
        </w:tc>
        <w:tc>
          <w:tcPr>
            <w:tcW w:w="964" w:type="pct"/>
            <w:shd w:val="clear" w:color="auto" w:fill="D9E2F3"/>
            <w:tcMar>
              <w:top w:w="70" w:type="dxa"/>
              <w:left w:w="80" w:type="dxa"/>
              <w:bottom w:w="70" w:type="dxa"/>
              <w:right w:w="80" w:type="dxa"/>
            </w:tcMar>
            <w:vAlign w:val="center"/>
          </w:tcPr>
          <w:p w14:paraId="206672E9" w14:textId="77777777" w:rsidR="006A3F38" w:rsidRDefault="00000000">
            <w:pPr>
              <w:spacing w:after="0" w:line="240" w:lineRule="auto"/>
            </w:pPr>
            <w:r>
              <w:rPr>
                <w:b/>
                <w:sz w:val="15"/>
              </w:rPr>
              <w:t>Evidence relevant to nilgai</w:t>
            </w:r>
          </w:p>
        </w:tc>
        <w:tc>
          <w:tcPr>
            <w:tcW w:w="865" w:type="pct"/>
            <w:shd w:val="clear" w:color="auto" w:fill="D9E2F3"/>
            <w:tcMar>
              <w:top w:w="70" w:type="dxa"/>
              <w:left w:w="80" w:type="dxa"/>
              <w:bottom w:w="70" w:type="dxa"/>
              <w:right w:w="80" w:type="dxa"/>
            </w:tcMar>
            <w:vAlign w:val="center"/>
          </w:tcPr>
          <w:p w14:paraId="15532126" w14:textId="77777777" w:rsidR="006A3F38" w:rsidRDefault="00000000">
            <w:pPr>
              <w:spacing w:after="0" w:line="240" w:lineRule="auto"/>
            </w:pPr>
            <w:r>
              <w:rPr>
                <w:b/>
                <w:sz w:val="15"/>
              </w:rPr>
              <w:t>Principal limitation or risk</w:t>
            </w:r>
          </w:p>
        </w:tc>
        <w:tc>
          <w:tcPr>
            <w:tcW w:w="944" w:type="pct"/>
            <w:shd w:val="clear" w:color="auto" w:fill="D9E2F3"/>
            <w:tcMar>
              <w:top w:w="70" w:type="dxa"/>
              <w:left w:w="80" w:type="dxa"/>
              <w:bottom w:w="70" w:type="dxa"/>
              <w:right w:w="80" w:type="dxa"/>
            </w:tcMar>
            <w:vAlign w:val="center"/>
          </w:tcPr>
          <w:p w14:paraId="312B73BD" w14:textId="77777777" w:rsidR="006A3F38" w:rsidRDefault="00000000">
            <w:pPr>
              <w:spacing w:after="0" w:line="240" w:lineRule="auto"/>
            </w:pPr>
            <w:r>
              <w:rPr>
                <w:b/>
                <w:sz w:val="15"/>
              </w:rPr>
              <w:t>Most defensible role</w:t>
            </w:r>
          </w:p>
        </w:tc>
        <w:tc>
          <w:tcPr>
            <w:tcW w:w="831" w:type="pct"/>
            <w:shd w:val="clear" w:color="auto" w:fill="D9E2F3"/>
            <w:tcMar>
              <w:top w:w="70" w:type="dxa"/>
              <w:left w:w="80" w:type="dxa"/>
              <w:bottom w:w="70" w:type="dxa"/>
              <w:right w:w="80" w:type="dxa"/>
            </w:tcMar>
            <w:vAlign w:val="center"/>
          </w:tcPr>
          <w:p w14:paraId="6B03F7B1" w14:textId="77777777" w:rsidR="006A3F38" w:rsidRDefault="00000000">
            <w:pPr>
              <w:spacing w:after="0" w:line="240" w:lineRule="auto"/>
            </w:pPr>
            <w:r>
              <w:rPr>
                <w:b/>
                <w:sz w:val="15"/>
              </w:rPr>
              <w:t>Supporting references</w:t>
            </w:r>
          </w:p>
        </w:tc>
      </w:tr>
      <w:tr w:rsidR="006A3F38" w14:paraId="0642FD1E" w14:textId="77777777" w:rsidTr="0077180A">
        <w:trPr>
          <w:cantSplit/>
          <w:jc w:val="center"/>
        </w:trPr>
        <w:tc>
          <w:tcPr>
            <w:tcW w:w="632" w:type="pct"/>
            <w:tcMar>
              <w:top w:w="70" w:type="dxa"/>
              <w:left w:w="80" w:type="dxa"/>
              <w:bottom w:w="70" w:type="dxa"/>
              <w:right w:w="80" w:type="dxa"/>
            </w:tcMar>
            <w:vAlign w:val="center"/>
          </w:tcPr>
          <w:p w14:paraId="129B6667" w14:textId="77777777" w:rsidR="006A3F38" w:rsidRDefault="00000000">
            <w:pPr>
              <w:spacing w:after="0" w:line="240" w:lineRule="auto"/>
            </w:pPr>
            <w:r>
              <w:rPr>
                <w:sz w:val="15"/>
              </w:rPr>
              <w:t>Active guarding and scare devices</w:t>
            </w:r>
          </w:p>
        </w:tc>
        <w:tc>
          <w:tcPr>
            <w:tcW w:w="764" w:type="pct"/>
            <w:tcMar>
              <w:top w:w="70" w:type="dxa"/>
              <w:left w:w="80" w:type="dxa"/>
              <w:bottom w:w="70" w:type="dxa"/>
              <w:right w:w="80" w:type="dxa"/>
            </w:tcMar>
            <w:vAlign w:val="center"/>
          </w:tcPr>
          <w:p w14:paraId="6EB44832" w14:textId="77777777" w:rsidR="006A3F38" w:rsidRDefault="00000000">
            <w:pPr>
              <w:spacing w:after="0" w:line="240" w:lineRule="auto"/>
            </w:pPr>
            <w:r>
              <w:rPr>
                <w:sz w:val="15"/>
              </w:rPr>
              <w:t xml:space="preserve">Increases perceived risk; immediate but </w:t>
            </w:r>
            <w:proofErr w:type="spellStart"/>
            <w:r>
              <w:rPr>
                <w:sz w:val="15"/>
              </w:rPr>
              <w:t>labour</w:t>
            </w:r>
            <w:proofErr w:type="spellEnd"/>
            <w:r>
              <w:rPr>
                <w:sz w:val="15"/>
              </w:rPr>
              <w:t xml:space="preserve"> dependent</w:t>
            </w:r>
          </w:p>
        </w:tc>
        <w:tc>
          <w:tcPr>
            <w:tcW w:w="964" w:type="pct"/>
            <w:tcMar>
              <w:top w:w="70" w:type="dxa"/>
              <w:left w:w="80" w:type="dxa"/>
              <w:bottom w:w="70" w:type="dxa"/>
              <w:right w:w="80" w:type="dxa"/>
            </w:tcMar>
            <w:vAlign w:val="center"/>
          </w:tcPr>
          <w:p w14:paraId="15428AA5" w14:textId="77777777" w:rsidR="006A3F38" w:rsidRDefault="00000000">
            <w:pPr>
              <w:spacing w:after="0" w:line="240" w:lineRule="auto"/>
            </w:pPr>
            <w:r>
              <w:rPr>
                <w:sz w:val="15"/>
              </w:rPr>
              <w:t>Commonly used; local trials and broader studies show variable, context-dependent effects</w:t>
            </w:r>
          </w:p>
        </w:tc>
        <w:tc>
          <w:tcPr>
            <w:tcW w:w="865" w:type="pct"/>
            <w:tcMar>
              <w:top w:w="70" w:type="dxa"/>
              <w:left w:w="80" w:type="dxa"/>
              <w:bottom w:w="70" w:type="dxa"/>
              <w:right w:w="80" w:type="dxa"/>
            </w:tcMar>
            <w:vAlign w:val="center"/>
          </w:tcPr>
          <w:p w14:paraId="34CDA5BF" w14:textId="77777777" w:rsidR="006A3F38" w:rsidRDefault="00000000">
            <w:pPr>
              <w:spacing w:after="0" w:line="240" w:lineRule="auto"/>
            </w:pPr>
            <w:r>
              <w:rPr>
                <w:sz w:val="15"/>
              </w:rPr>
              <w:t xml:space="preserve">Habituation, night </w:t>
            </w:r>
            <w:proofErr w:type="spellStart"/>
            <w:r>
              <w:rPr>
                <w:sz w:val="15"/>
              </w:rPr>
              <w:t>labour</w:t>
            </w:r>
            <w:proofErr w:type="spellEnd"/>
            <w:r>
              <w:rPr>
                <w:sz w:val="15"/>
              </w:rPr>
              <w:t>, safety burden and confounding by baseline risk</w:t>
            </w:r>
          </w:p>
        </w:tc>
        <w:tc>
          <w:tcPr>
            <w:tcW w:w="944" w:type="pct"/>
            <w:tcMar>
              <w:top w:w="70" w:type="dxa"/>
              <w:left w:w="80" w:type="dxa"/>
              <w:bottom w:w="70" w:type="dxa"/>
              <w:right w:w="80" w:type="dxa"/>
            </w:tcMar>
            <w:vAlign w:val="center"/>
          </w:tcPr>
          <w:p w14:paraId="505C6701" w14:textId="77777777" w:rsidR="006A3F38" w:rsidRDefault="00000000">
            <w:pPr>
              <w:spacing w:after="0" w:line="240" w:lineRule="auto"/>
            </w:pPr>
            <w:r>
              <w:rPr>
                <w:sz w:val="15"/>
              </w:rPr>
              <w:t>Short-term protection, preferably combined with other measures</w:t>
            </w:r>
          </w:p>
        </w:tc>
        <w:tc>
          <w:tcPr>
            <w:tcW w:w="831" w:type="pct"/>
            <w:tcMar>
              <w:top w:w="70" w:type="dxa"/>
              <w:left w:w="80" w:type="dxa"/>
              <w:bottom w:w="70" w:type="dxa"/>
              <w:right w:w="80" w:type="dxa"/>
            </w:tcMar>
            <w:vAlign w:val="center"/>
          </w:tcPr>
          <w:p w14:paraId="03E86A4F" w14:textId="77777777" w:rsidR="006A3F38" w:rsidRDefault="00000000">
            <w:pPr>
              <w:spacing w:after="0" w:line="240" w:lineRule="auto"/>
            </w:pPr>
            <w:r>
              <w:rPr>
                <w:sz w:val="15"/>
              </w:rPr>
              <w:t xml:space="preserve">Rani &amp; Babbar (2024); Gross et al. (2019); Karanth &amp; </w:t>
            </w:r>
            <w:proofErr w:type="spellStart"/>
            <w:r>
              <w:rPr>
                <w:sz w:val="15"/>
              </w:rPr>
              <w:t>Kudalkar</w:t>
            </w:r>
            <w:proofErr w:type="spellEnd"/>
            <w:r>
              <w:rPr>
                <w:sz w:val="15"/>
              </w:rPr>
              <w:t xml:space="preserve"> (2017)</w:t>
            </w:r>
          </w:p>
        </w:tc>
      </w:tr>
      <w:tr w:rsidR="006A3F38" w14:paraId="6A634A8D" w14:textId="77777777" w:rsidTr="0077180A">
        <w:trPr>
          <w:cantSplit/>
          <w:jc w:val="center"/>
        </w:trPr>
        <w:tc>
          <w:tcPr>
            <w:tcW w:w="632" w:type="pct"/>
            <w:tcMar>
              <w:top w:w="70" w:type="dxa"/>
              <w:left w:w="80" w:type="dxa"/>
              <w:bottom w:w="70" w:type="dxa"/>
              <w:right w:w="80" w:type="dxa"/>
            </w:tcMar>
            <w:vAlign w:val="center"/>
          </w:tcPr>
          <w:p w14:paraId="52F52603" w14:textId="77777777" w:rsidR="006A3F38" w:rsidRDefault="00000000">
            <w:pPr>
              <w:spacing w:after="0" w:line="240" w:lineRule="auto"/>
            </w:pPr>
            <w:r>
              <w:rPr>
                <w:sz w:val="15"/>
              </w:rPr>
              <w:t>Repellents and sensory cues</w:t>
            </w:r>
          </w:p>
        </w:tc>
        <w:tc>
          <w:tcPr>
            <w:tcW w:w="764" w:type="pct"/>
            <w:tcMar>
              <w:top w:w="70" w:type="dxa"/>
              <w:left w:w="80" w:type="dxa"/>
              <w:bottom w:w="70" w:type="dxa"/>
              <w:right w:w="80" w:type="dxa"/>
            </w:tcMar>
            <w:vAlign w:val="center"/>
          </w:tcPr>
          <w:p w14:paraId="21C0312F" w14:textId="77777777" w:rsidR="006A3F38" w:rsidRDefault="00000000">
            <w:pPr>
              <w:spacing w:after="0" w:line="240" w:lineRule="auto"/>
            </w:pPr>
            <w:r>
              <w:rPr>
                <w:sz w:val="15"/>
              </w:rPr>
              <w:t>Makes fields unattractive or signals danger; short persistence</w:t>
            </w:r>
          </w:p>
        </w:tc>
        <w:tc>
          <w:tcPr>
            <w:tcW w:w="964" w:type="pct"/>
            <w:tcMar>
              <w:top w:w="70" w:type="dxa"/>
              <w:left w:w="80" w:type="dxa"/>
              <w:bottom w:w="70" w:type="dxa"/>
              <w:right w:w="80" w:type="dxa"/>
            </w:tcMar>
            <w:vAlign w:val="center"/>
          </w:tcPr>
          <w:p w14:paraId="652BA7B9" w14:textId="77777777" w:rsidR="006A3F38" w:rsidRDefault="00000000">
            <w:pPr>
              <w:spacing w:after="0" w:line="240" w:lineRule="auto"/>
            </w:pPr>
            <w:r>
              <w:rPr>
                <w:sz w:val="15"/>
              </w:rPr>
              <w:t>Nilgai-specific field testing exists in Punjab</w:t>
            </w:r>
          </w:p>
        </w:tc>
        <w:tc>
          <w:tcPr>
            <w:tcW w:w="865" w:type="pct"/>
            <w:tcMar>
              <w:top w:w="70" w:type="dxa"/>
              <w:left w:w="80" w:type="dxa"/>
              <w:bottom w:w="70" w:type="dxa"/>
              <w:right w:w="80" w:type="dxa"/>
            </w:tcMar>
            <w:vAlign w:val="center"/>
          </w:tcPr>
          <w:p w14:paraId="56CE4144" w14:textId="77777777" w:rsidR="006A3F38" w:rsidRDefault="00000000">
            <w:pPr>
              <w:spacing w:after="0" w:line="240" w:lineRule="auto"/>
            </w:pPr>
            <w:r>
              <w:rPr>
                <w:sz w:val="15"/>
              </w:rPr>
              <w:t>Weathering, habituation and repeated application</w:t>
            </w:r>
          </w:p>
        </w:tc>
        <w:tc>
          <w:tcPr>
            <w:tcW w:w="944" w:type="pct"/>
            <w:tcMar>
              <w:top w:w="70" w:type="dxa"/>
              <w:left w:w="80" w:type="dxa"/>
              <w:bottom w:w="70" w:type="dxa"/>
              <w:right w:w="80" w:type="dxa"/>
            </w:tcMar>
            <w:vAlign w:val="center"/>
          </w:tcPr>
          <w:p w14:paraId="41AABE78" w14:textId="77777777" w:rsidR="006A3F38" w:rsidRDefault="00000000">
            <w:pPr>
              <w:spacing w:after="0" w:line="240" w:lineRule="auto"/>
            </w:pPr>
            <w:r>
              <w:rPr>
                <w:sz w:val="15"/>
              </w:rPr>
              <w:t>Supplementary tool for defined crop stages, not sole protection</w:t>
            </w:r>
          </w:p>
        </w:tc>
        <w:tc>
          <w:tcPr>
            <w:tcW w:w="831" w:type="pct"/>
            <w:tcMar>
              <w:top w:w="70" w:type="dxa"/>
              <w:left w:w="80" w:type="dxa"/>
              <w:bottom w:w="70" w:type="dxa"/>
              <w:right w:w="80" w:type="dxa"/>
            </w:tcMar>
            <w:vAlign w:val="center"/>
          </w:tcPr>
          <w:p w14:paraId="4E59E998" w14:textId="77777777" w:rsidR="006A3F38" w:rsidRDefault="00000000">
            <w:pPr>
              <w:spacing w:after="0" w:line="240" w:lineRule="auto"/>
            </w:pPr>
            <w:r>
              <w:rPr>
                <w:sz w:val="15"/>
              </w:rPr>
              <w:t>Rani &amp; Babbar (2024)</w:t>
            </w:r>
          </w:p>
        </w:tc>
      </w:tr>
      <w:tr w:rsidR="006A3F38" w14:paraId="4380EC64" w14:textId="77777777" w:rsidTr="0077180A">
        <w:trPr>
          <w:cantSplit/>
          <w:jc w:val="center"/>
        </w:trPr>
        <w:tc>
          <w:tcPr>
            <w:tcW w:w="632" w:type="pct"/>
            <w:tcMar>
              <w:top w:w="70" w:type="dxa"/>
              <w:left w:w="80" w:type="dxa"/>
              <w:bottom w:w="70" w:type="dxa"/>
              <w:right w:w="80" w:type="dxa"/>
            </w:tcMar>
            <w:vAlign w:val="center"/>
          </w:tcPr>
          <w:p w14:paraId="7E2FF75C" w14:textId="77777777" w:rsidR="006A3F38" w:rsidRDefault="00000000">
            <w:pPr>
              <w:spacing w:after="0" w:line="240" w:lineRule="auto"/>
            </w:pPr>
            <w:r>
              <w:rPr>
                <w:sz w:val="15"/>
              </w:rPr>
              <w:t>Physical or electric barriers</w:t>
            </w:r>
          </w:p>
        </w:tc>
        <w:tc>
          <w:tcPr>
            <w:tcW w:w="764" w:type="pct"/>
            <w:tcMar>
              <w:top w:w="70" w:type="dxa"/>
              <w:left w:w="80" w:type="dxa"/>
              <w:bottom w:w="70" w:type="dxa"/>
              <w:right w:w="80" w:type="dxa"/>
            </w:tcMar>
            <w:vAlign w:val="center"/>
          </w:tcPr>
          <w:p w14:paraId="11317318" w14:textId="77777777" w:rsidR="006A3F38" w:rsidRDefault="00000000">
            <w:pPr>
              <w:spacing w:after="0" w:line="240" w:lineRule="auto"/>
            </w:pPr>
            <w:r>
              <w:rPr>
                <w:sz w:val="15"/>
              </w:rPr>
              <w:t>Excludes animals; immediate and potentially multi-season</w:t>
            </w:r>
          </w:p>
        </w:tc>
        <w:tc>
          <w:tcPr>
            <w:tcW w:w="964" w:type="pct"/>
            <w:tcMar>
              <w:top w:w="70" w:type="dxa"/>
              <w:left w:w="80" w:type="dxa"/>
              <w:bottom w:w="70" w:type="dxa"/>
              <w:right w:w="80" w:type="dxa"/>
            </w:tcMar>
            <w:vAlign w:val="center"/>
          </w:tcPr>
          <w:p w14:paraId="31191E23" w14:textId="77777777" w:rsidR="006A3F38" w:rsidRDefault="00000000">
            <w:pPr>
              <w:spacing w:after="0" w:line="240" w:lineRule="auto"/>
            </w:pPr>
            <w:r>
              <w:rPr>
                <w:sz w:val="15"/>
              </w:rPr>
              <w:t>Strongest nilgai-specific intervention evidence among farm-scale methods</w:t>
            </w:r>
          </w:p>
        </w:tc>
        <w:tc>
          <w:tcPr>
            <w:tcW w:w="865" w:type="pct"/>
            <w:tcMar>
              <w:top w:w="70" w:type="dxa"/>
              <w:left w:w="80" w:type="dxa"/>
              <w:bottom w:w="70" w:type="dxa"/>
              <w:right w:w="80" w:type="dxa"/>
            </w:tcMar>
            <w:vAlign w:val="center"/>
          </w:tcPr>
          <w:p w14:paraId="2BA5E3F5" w14:textId="77777777" w:rsidR="006A3F38" w:rsidRDefault="00000000">
            <w:pPr>
              <w:spacing w:after="0" w:line="240" w:lineRule="auto"/>
            </w:pPr>
            <w:r>
              <w:rPr>
                <w:sz w:val="15"/>
              </w:rPr>
              <w:t>Capital and maintenance costs; raid displacement; movement obstruction</w:t>
            </w:r>
          </w:p>
        </w:tc>
        <w:tc>
          <w:tcPr>
            <w:tcW w:w="944" w:type="pct"/>
            <w:tcMar>
              <w:top w:w="70" w:type="dxa"/>
              <w:left w:w="80" w:type="dxa"/>
              <w:bottom w:w="70" w:type="dxa"/>
              <w:right w:w="80" w:type="dxa"/>
            </w:tcMar>
            <w:vAlign w:val="center"/>
          </w:tcPr>
          <w:p w14:paraId="1626ED2C" w14:textId="77777777" w:rsidR="006A3F38" w:rsidRDefault="00000000">
            <w:pPr>
              <w:spacing w:after="0" w:line="240" w:lineRule="auto"/>
            </w:pPr>
            <w:r>
              <w:rPr>
                <w:sz w:val="15"/>
              </w:rPr>
              <w:t>High-risk or high-value fields and coordinated field clusters</w:t>
            </w:r>
          </w:p>
        </w:tc>
        <w:tc>
          <w:tcPr>
            <w:tcW w:w="831" w:type="pct"/>
            <w:tcMar>
              <w:top w:w="70" w:type="dxa"/>
              <w:left w:w="80" w:type="dxa"/>
              <w:bottom w:w="70" w:type="dxa"/>
              <w:right w:w="80" w:type="dxa"/>
            </w:tcMar>
            <w:vAlign w:val="center"/>
          </w:tcPr>
          <w:p w14:paraId="6E65692E" w14:textId="77777777" w:rsidR="006A3F38" w:rsidRDefault="00000000">
            <w:pPr>
              <w:spacing w:after="0" w:line="240" w:lineRule="auto"/>
            </w:pPr>
            <w:r>
              <w:rPr>
                <w:sz w:val="15"/>
              </w:rPr>
              <w:t xml:space="preserve">Rani &amp; Babbar (2024); </w:t>
            </w:r>
            <w:proofErr w:type="spellStart"/>
            <w:r>
              <w:rPr>
                <w:sz w:val="15"/>
              </w:rPr>
              <w:t>Wszelaki</w:t>
            </w:r>
            <w:proofErr w:type="spellEnd"/>
            <w:r>
              <w:rPr>
                <w:sz w:val="15"/>
              </w:rPr>
              <w:t xml:space="preserve"> (2025)</w:t>
            </w:r>
          </w:p>
        </w:tc>
      </w:tr>
      <w:tr w:rsidR="006A3F38" w14:paraId="7616A3D5" w14:textId="77777777" w:rsidTr="0077180A">
        <w:trPr>
          <w:cantSplit/>
          <w:jc w:val="center"/>
        </w:trPr>
        <w:tc>
          <w:tcPr>
            <w:tcW w:w="632" w:type="pct"/>
            <w:tcMar>
              <w:top w:w="70" w:type="dxa"/>
              <w:left w:w="80" w:type="dxa"/>
              <w:bottom w:w="70" w:type="dxa"/>
              <w:right w:w="80" w:type="dxa"/>
            </w:tcMar>
            <w:vAlign w:val="center"/>
          </w:tcPr>
          <w:p w14:paraId="43F99AB6" w14:textId="77777777" w:rsidR="006A3F38" w:rsidRDefault="00000000">
            <w:pPr>
              <w:spacing w:after="0" w:line="240" w:lineRule="auto"/>
            </w:pPr>
            <w:r>
              <w:rPr>
                <w:sz w:val="15"/>
              </w:rPr>
              <w:t>Risk-stratified crop and landscape planning</w:t>
            </w:r>
          </w:p>
        </w:tc>
        <w:tc>
          <w:tcPr>
            <w:tcW w:w="764" w:type="pct"/>
            <w:tcMar>
              <w:top w:w="70" w:type="dxa"/>
              <w:left w:w="80" w:type="dxa"/>
              <w:bottom w:w="70" w:type="dxa"/>
              <w:right w:w="80" w:type="dxa"/>
            </w:tcMar>
            <w:vAlign w:val="center"/>
          </w:tcPr>
          <w:p w14:paraId="59B0FE8C" w14:textId="77777777" w:rsidR="006A3F38" w:rsidRDefault="00000000">
            <w:pPr>
              <w:spacing w:after="0" w:line="240" w:lineRule="auto"/>
            </w:pPr>
            <w:r>
              <w:rPr>
                <w:sz w:val="15"/>
              </w:rPr>
              <w:t>Reduces exposure or concentrates protection by edge, season and phenology</w:t>
            </w:r>
          </w:p>
        </w:tc>
        <w:tc>
          <w:tcPr>
            <w:tcW w:w="964" w:type="pct"/>
            <w:tcMar>
              <w:top w:w="70" w:type="dxa"/>
              <w:left w:w="80" w:type="dxa"/>
              <w:bottom w:w="70" w:type="dxa"/>
              <w:right w:w="80" w:type="dxa"/>
            </w:tcMar>
            <w:vAlign w:val="center"/>
          </w:tcPr>
          <w:p w14:paraId="7622372B" w14:textId="77777777" w:rsidR="006A3F38" w:rsidRDefault="00000000">
            <w:pPr>
              <w:spacing w:after="0" w:line="240" w:lineRule="auto"/>
            </w:pPr>
            <w:r>
              <w:rPr>
                <w:sz w:val="15"/>
              </w:rPr>
              <w:t>Distance and crop-stage effects recur across Indian studies</w:t>
            </w:r>
          </w:p>
        </w:tc>
        <w:tc>
          <w:tcPr>
            <w:tcW w:w="865" w:type="pct"/>
            <w:tcMar>
              <w:top w:w="70" w:type="dxa"/>
              <w:left w:w="80" w:type="dxa"/>
              <w:bottom w:w="70" w:type="dxa"/>
              <w:right w:w="80" w:type="dxa"/>
            </w:tcMar>
            <w:vAlign w:val="center"/>
          </w:tcPr>
          <w:p w14:paraId="19AB658F" w14:textId="77777777" w:rsidR="006A3F38" w:rsidRDefault="00000000">
            <w:pPr>
              <w:spacing w:after="0" w:line="240" w:lineRule="auto"/>
            </w:pPr>
            <w:r>
              <w:rPr>
                <w:sz w:val="15"/>
              </w:rPr>
              <w:t>May constrain farmer choice; spatial effects may shift risk</w:t>
            </w:r>
          </w:p>
        </w:tc>
        <w:tc>
          <w:tcPr>
            <w:tcW w:w="944" w:type="pct"/>
            <w:tcMar>
              <w:top w:w="70" w:type="dxa"/>
              <w:left w:w="80" w:type="dxa"/>
              <w:bottom w:w="70" w:type="dxa"/>
              <w:right w:w="80" w:type="dxa"/>
            </w:tcMar>
            <w:vAlign w:val="center"/>
          </w:tcPr>
          <w:p w14:paraId="5F63D904" w14:textId="77777777" w:rsidR="006A3F38" w:rsidRDefault="00000000">
            <w:pPr>
              <w:spacing w:after="0" w:line="240" w:lineRule="auto"/>
            </w:pPr>
            <w:r>
              <w:rPr>
                <w:sz w:val="15"/>
              </w:rPr>
              <w:t>Target protection where expected loss is greatest</w:t>
            </w:r>
          </w:p>
        </w:tc>
        <w:tc>
          <w:tcPr>
            <w:tcW w:w="831" w:type="pct"/>
            <w:tcMar>
              <w:top w:w="70" w:type="dxa"/>
              <w:left w:w="80" w:type="dxa"/>
              <w:bottom w:w="70" w:type="dxa"/>
              <w:right w:w="80" w:type="dxa"/>
            </w:tcMar>
            <w:vAlign w:val="center"/>
          </w:tcPr>
          <w:p w14:paraId="148965E4" w14:textId="77777777" w:rsidR="006A3F38" w:rsidRDefault="00000000">
            <w:pPr>
              <w:spacing w:after="0" w:line="240" w:lineRule="auto"/>
            </w:pPr>
            <w:r>
              <w:rPr>
                <w:sz w:val="15"/>
              </w:rPr>
              <w:t>Bayani et al. (2016); Gross et al. (2018); Kumar et al. (2017)</w:t>
            </w:r>
          </w:p>
        </w:tc>
      </w:tr>
      <w:tr w:rsidR="006A3F38" w14:paraId="7BCA15CE" w14:textId="77777777" w:rsidTr="0077180A">
        <w:trPr>
          <w:cantSplit/>
          <w:jc w:val="center"/>
        </w:trPr>
        <w:tc>
          <w:tcPr>
            <w:tcW w:w="632" w:type="pct"/>
            <w:tcMar>
              <w:top w:w="70" w:type="dxa"/>
              <w:left w:w="80" w:type="dxa"/>
              <w:bottom w:w="70" w:type="dxa"/>
              <w:right w:w="80" w:type="dxa"/>
            </w:tcMar>
            <w:vAlign w:val="center"/>
          </w:tcPr>
          <w:p w14:paraId="5D981192" w14:textId="77777777" w:rsidR="006A3F38" w:rsidRDefault="00000000">
            <w:pPr>
              <w:spacing w:after="0" w:line="240" w:lineRule="auto"/>
            </w:pPr>
            <w:r>
              <w:rPr>
                <w:sz w:val="15"/>
              </w:rPr>
              <w:t>Translocation</w:t>
            </w:r>
          </w:p>
        </w:tc>
        <w:tc>
          <w:tcPr>
            <w:tcW w:w="764" w:type="pct"/>
            <w:tcMar>
              <w:top w:w="70" w:type="dxa"/>
              <w:left w:w="80" w:type="dxa"/>
              <w:bottom w:w="70" w:type="dxa"/>
              <w:right w:w="80" w:type="dxa"/>
            </w:tcMar>
            <w:vAlign w:val="center"/>
          </w:tcPr>
          <w:p w14:paraId="2DE6FD29" w14:textId="77777777" w:rsidR="006A3F38" w:rsidRDefault="00000000">
            <w:pPr>
              <w:spacing w:after="0" w:line="240" w:lineRule="auto"/>
            </w:pPr>
            <w:r>
              <w:rPr>
                <w:sz w:val="15"/>
              </w:rPr>
              <w:t>Removes selected animals from conflict site</w:t>
            </w:r>
          </w:p>
        </w:tc>
        <w:tc>
          <w:tcPr>
            <w:tcW w:w="964" w:type="pct"/>
            <w:tcMar>
              <w:top w:w="70" w:type="dxa"/>
              <w:left w:w="80" w:type="dxa"/>
              <w:bottom w:w="70" w:type="dxa"/>
              <w:right w:w="80" w:type="dxa"/>
            </w:tcMar>
            <w:vAlign w:val="center"/>
          </w:tcPr>
          <w:p w14:paraId="118ACFAF" w14:textId="77777777" w:rsidR="006A3F38" w:rsidRDefault="00000000">
            <w:pPr>
              <w:spacing w:after="0" w:line="240" w:lineRule="auto"/>
            </w:pPr>
            <w:r>
              <w:rPr>
                <w:sz w:val="15"/>
              </w:rPr>
              <w:t>Limited outcome evidence; national habitat analysis questions reliance on it</w:t>
            </w:r>
          </w:p>
        </w:tc>
        <w:tc>
          <w:tcPr>
            <w:tcW w:w="865" w:type="pct"/>
            <w:tcMar>
              <w:top w:w="70" w:type="dxa"/>
              <w:left w:w="80" w:type="dxa"/>
              <w:bottom w:w="70" w:type="dxa"/>
              <w:right w:w="80" w:type="dxa"/>
            </w:tcMar>
            <w:vAlign w:val="center"/>
          </w:tcPr>
          <w:p w14:paraId="154E327C" w14:textId="77777777" w:rsidR="006A3F38" w:rsidRDefault="00000000">
            <w:pPr>
              <w:spacing w:after="0" w:line="240" w:lineRule="auto"/>
            </w:pPr>
            <w:r>
              <w:rPr>
                <w:sz w:val="15"/>
              </w:rPr>
              <w:t xml:space="preserve">Capture stress, destination effects, </w:t>
            </w:r>
            <w:proofErr w:type="spellStart"/>
            <w:r>
              <w:rPr>
                <w:sz w:val="15"/>
              </w:rPr>
              <w:t>recolonisation</w:t>
            </w:r>
            <w:proofErr w:type="spellEnd"/>
            <w:r>
              <w:rPr>
                <w:sz w:val="15"/>
              </w:rPr>
              <w:t xml:space="preserve"> and high logistics</w:t>
            </w:r>
          </w:p>
        </w:tc>
        <w:tc>
          <w:tcPr>
            <w:tcW w:w="944" w:type="pct"/>
            <w:tcMar>
              <w:top w:w="70" w:type="dxa"/>
              <w:left w:w="80" w:type="dxa"/>
              <w:bottom w:w="70" w:type="dxa"/>
              <w:right w:w="80" w:type="dxa"/>
            </w:tcMar>
            <w:vAlign w:val="center"/>
          </w:tcPr>
          <w:p w14:paraId="73F38494" w14:textId="77777777" w:rsidR="006A3F38" w:rsidRDefault="00000000">
            <w:pPr>
              <w:spacing w:after="0" w:line="240" w:lineRule="auto"/>
            </w:pPr>
            <w:r>
              <w:rPr>
                <w:sz w:val="15"/>
              </w:rPr>
              <w:t>Exceptional site-specific use with post-release monitoring</w:t>
            </w:r>
          </w:p>
        </w:tc>
        <w:tc>
          <w:tcPr>
            <w:tcW w:w="831" w:type="pct"/>
            <w:tcMar>
              <w:top w:w="70" w:type="dxa"/>
              <w:left w:w="80" w:type="dxa"/>
              <w:bottom w:w="70" w:type="dxa"/>
              <w:right w:w="80" w:type="dxa"/>
            </w:tcMar>
            <w:vAlign w:val="center"/>
          </w:tcPr>
          <w:p w14:paraId="6032112F" w14:textId="77777777" w:rsidR="006A3F38" w:rsidRDefault="00000000">
            <w:pPr>
              <w:spacing w:after="0" w:line="240" w:lineRule="auto"/>
            </w:pPr>
            <w:r>
              <w:rPr>
                <w:sz w:val="15"/>
              </w:rPr>
              <w:t>Chandel et al. (2025)</w:t>
            </w:r>
          </w:p>
        </w:tc>
      </w:tr>
      <w:tr w:rsidR="006A3F38" w14:paraId="1C06816B" w14:textId="77777777" w:rsidTr="0077180A">
        <w:trPr>
          <w:cantSplit/>
          <w:jc w:val="center"/>
        </w:trPr>
        <w:tc>
          <w:tcPr>
            <w:tcW w:w="632" w:type="pct"/>
            <w:tcMar>
              <w:top w:w="70" w:type="dxa"/>
              <w:left w:w="80" w:type="dxa"/>
              <w:bottom w:w="70" w:type="dxa"/>
              <w:right w:w="80" w:type="dxa"/>
            </w:tcMar>
            <w:vAlign w:val="center"/>
          </w:tcPr>
          <w:p w14:paraId="12B388F5" w14:textId="77777777" w:rsidR="006A3F38" w:rsidRDefault="00000000">
            <w:pPr>
              <w:spacing w:after="0" w:line="240" w:lineRule="auto"/>
            </w:pPr>
            <w:r>
              <w:rPr>
                <w:sz w:val="15"/>
              </w:rPr>
              <w:t>Lethal population control</w:t>
            </w:r>
          </w:p>
        </w:tc>
        <w:tc>
          <w:tcPr>
            <w:tcW w:w="764" w:type="pct"/>
            <w:tcMar>
              <w:top w:w="70" w:type="dxa"/>
              <w:left w:w="80" w:type="dxa"/>
              <w:bottom w:w="70" w:type="dxa"/>
              <w:right w:w="80" w:type="dxa"/>
            </w:tcMar>
            <w:vAlign w:val="center"/>
          </w:tcPr>
          <w:p w14:paraId="0C99E211" w14:textId="77777777" w:rsidR="006A3F38" w:rsidRDefault="00000000">
            <w:pPr>
              <w:spacing w:after="0" w:line="240" w:lineRule="auto"/>
            </w:pPr>
            <w:r>
              <w:rPr>
                <w:sz w:val="15"/>
              </w:rPr>
              <w:t>Directly lowers abundance if removals exceed replacement</w:t>
            </w:r>
          </w:p>
        </w:tc>
        <w:tc>
          <w:tcPr>
            <w:tcW w:w="964" w:type="pct"/>
            <w:tcMar>
              <w:top w:w="70" w:type="dxa"/>
              <w:left w:w="80" w:type="dxa"/>
              <w:bottom w:w="70" w:type="dxa"/>
              <w:right w:w="80" w:type="dxa"/>
            </w:tcMar>
            <w:vAlign w:val="center"/>
          </w:tcPr>
          <w:p w14:paraId="06826F76" w14:textId="77777777" w:rsidR="006A3F38" w:rsidRDefault="00000000">
            <w:pPr>
              <w:spacing w:after="0" w:line="240" w:lineRule="auto"/>
            </w:pPr>
            <w:r>
              <w:rPr>
                <w:sz w:val="15"/>
              </w:rPr>
              <w:t>Historical and policy use is discussed, but robust damage-response evaluations are limited</w:t>
            </w:r>
          </w:p>
        </w:tc>
        <w:tc>
          <w:tcPr>
            <w:tcW w:w="865" w:type="pct"/>
            <w:tcMar>
              <w:top w:w="70" w:type="dxa"/>
              <w:left w:w="80" w:type="dxa"/>
              <w:bottom w:w="70" w:type="dxa"/>
              <w:right w:w="80" w:type="dxa"/>
            </w:tcMar>
            <w:vAlign w:val="center"/>
          </w:tcPr>
          <w:p w14:paraId="54FAA7B4" w14:textId="77777777" w:rsidR="006A3F38" w:rsidRDefault="00000000">
            <w:pPr>
              <w:spacing w:after="0" w:line="240" w:lineRule="auto"/>
            </w:pPr>
            <w:r>
              <w:rPr>
                <w:sz w:val="15"/>
              </w:rPr>
              <w:t>Legal constraints, cultural opposition, immigration and welfare concerns</w:t>
            </w:r>
          </w:p>
        </w:tc>
        <w:tc>
          <w:tcPr>
            <w:tcW w:w="944" w:type="pct"/>
            <w:tcMar>
              <w:top w:w="70" w:type="dxa"/>
              <w:left w:w="80" w:type="dxa"/>
              <w:bottom w:w="70" w:type="dxa"/>
              <w:right w:w="80" w:type="dxa"/>
            </w:tcMar>
            <w:vAlign w:val="center"/>
          </w:tcPr>
          <w:p w14:paraId="2F009A2E" w14:textId="77777777" w:rsidR="006A3F38" w:rsidRDefault="00000000">
            <w:pPr>
              <w:spacing w:after="0" w:line="240" w:lineRule="auto"/>
            </w:pPr>
            <w:r>
              <w:rPr>
                <w:sz w:val="15"/>
              </w:rPr>
              <w:t>Only under lawful, evidence-based population objectives with monitoring</w:t>
            </w:r>
          </w:p>
        </w:tc>
        <w:tc>
          <w:tcPr>
            <w:tcW w:w="831" w:type="pct"/>
            <w:tcMar>
              <w:top w:w="70" w:type="dxa"/>
              <w:left w:w="80" w:type="dxa"/>
              <w:bottom w:w="70" w:type="dxa"/>
              <w:right w:w="80" w:type="dxa"/>
            </w:tcMar>
            <w:vAlign w:val="center"/>
          </w:tcPr>
          <w:p w14:paraId="45279EDE" w14:textId="77777777" w:rsidR="006A3F38" w:rsidRDefault="00000000">
            <w:pPr>
              <w:spacing w:after="0" w:line="240" w:lineRule="auto"/>
            </w:pPr>
            <w:r>
              <w:rPr>
                <w:sz w:val="15"/>
              </w:rPr>
              <w:t>Chauhan &amp; Sawarkar (1989); Government of India (1972)</w:t>
            </w:r>
          </w:p>
        </w:tc>
      </w:tr>
      <w:tr w:rsidR="006A3F38" w14:paraId="691228EC" w14:textId="77777777" w:rsidTr="0077180A">
        <w:trPr>
          <w:cantSplit/>
          <w:jc w:val="center"/>
        </w:trPr>
        <w:tc>
          <w:tcPr>
            <w:tcW w:w="632" w:type="pct"/>
            <w:tcMar>
              <w:top w:w="70" w:type="dxa"/>
              <w:left w:w="80" w:type="dxa"/>
              <w:bottom w:w="70" w:type="dxa"/>
              <w:right w:w="80" w:type="dxa"/>
            </w:tcMar>
            <w:vAlign w:val="center"/>
          </w:tcPr>
          <w:p w14:paraId="409FA662" w14:textId="77777777" w:rsidR="006A3F38" w:rsidRDefault="00000000">
            <w:pPr>
              <w:spacing w:after="0" w:line="240" w:lineRule="auto"/>
            </w:pPr>
            <w:r>
              <w:rPr>
                <w:sz w:val="15"/>
              </w:rPr>
              <w:t>Fertility control</w:t>
            </w:r>
          </w:p>
        </w:tc>
        <w:tc>
          <w:tcPr>
            <w:tcW w:w="764" w:type="pct"/>
            <w:tcMar>
              <w:top w:w="70" w:type="dxa"/>
              <w:left w:w="80" w:type="dxa"/>
              <w:bottom w:w="70" w:type="dxa"/>
              <w:right w:w="80" w:type="dxa"/>
            </w:tcMar>
            <w:vAlign w:val="center"/>
          </w:tcPr>
          <w:p w14:paraId="47BEE680" w14:textId="77777777" w:rsidR="006A3F38" w:rsidRDefault="00000000">
            <w:pPr>
              <w:spacing w:after="0" w:line="240" w:lineRule="auto"/>
            </w:pPr>
            <w:r>
              <w:rPr>
                <w:sz w:val="15"/>
              </w:rPr>
              <w:t>Reduces recruitment; delayed demographic effect</w:t>
            </w:r>
          </w:p>
        </w:tc>
        <w:tc>
          <w:tcPr>
            <w:tcW w:w="964" w:type="pct"/>
            <w:tcMar>
              <w:top w:w="70" w:type="dxa"/>
              <w:left w:w="80" w:type="dxa"/>
              <w:bottom w:w="70" w:type="dxa"/>
              <w:right w:w="80" w:type="dxa"/>
            </w:tcMar>
            <w:vAlign w:val="center"/>
          </w:tcPr>
          <w:p w14:paraId="019DA1BB" w14:textId="77777777" w:rsidR="006A3F38" w:rsidRDefault="00000000">
            <w:pPr>
              <w:spacing w:after="0" w:line="240" w:lineRule="auto"/>
            </w:pPr>
            <w:r>
              <w:rPr>
                <w:sz w:val="15"/>
              </w:rPr>
              <w:t xml:space="preserve">National WII research </w:t>
            </w:r>
            <w:proofErr w:type="spellStart"/>
            <w:r>
              <w:rPr>
                <w:sz w:val="15"/>
              </w:rPr>
              <w:t>programme</w:t>
            </w:r>
            <w:proofErr w:type="spellEnd"/>
            <w:r>
              <w:rPr>
                <w:sz w:val="15"/>
              </w:rPr>
              <w:t xml:space="preserve"> includes nilgai; population-level crop-loss effect not yet established</w:t>
            </w:r>
          </w:p>
        </w:tc>
        <w:tc>
          <w:tcPr>
            <w:tcW w:w="865" w:type="pct"/>
            <w:tcMar>
              <w:top w:w="70" w:type="dxa"/>
              <w:left w:w="80" w:type="dxa"/>
              <w:bottom w:w="70" w:type="dxa"/>
              <w:right w:w="80" w:type="dxa"/>
            </w:tcMar>
            <w:vAlign w:val="center"/>
          </w:tcPr>
          <w:p w14:paraId="1752459F" w14:textId="77777777" w:rsidR="006A3F38" w:rsidRDefault="00000000">
            <w:pPr>
              <w:spacing w:after="0" w:line="240" w:lineRule="auto"/>
            </w:pPr>
            <w:r>
              <w:rPr>
                <w:sz w:val="15"/>
              </w:rPr>
              <w:t>Delivery, coverage, time lag, welfare and demographic uncertainty</w:t>
            </w:r>
          </w:p>
        </w:tc>
        <w:tc>
          <w:tcPr>
            <w:tcW w:w="944" w:type="pct"/>
            <w:tcMar>
              <w:top w:w="70" w:type="dxa"/>
              <w:left w:w="80" w:type="dxa"/>
              <w:bottom w:w="70" w:type="dxa"/>
              <w:right w:w="80" w:type="dxa"/>
            </w:tcMar>
            <w:vAlign w:val="center"/>
          </w:tcPr>
          <w:p w14:paraId="4A45B190" w14:textId="77777777" w:rsidR="006A3F38" w:rsidRDefault="00000000">
            <w:pPr>
              <w:spacing w:after="0" w:line="240" w:lineRule="auto"/>
            </w:pPr>
            <w:r>
              <w:rPr>
                <w:sz w:val="15"/>
              </w:rPr>
              <w:t>Controlled research or targeted management with long-term monitoring</w:t>
            </w:r>
          </w:p>
        </w:tc>
        <w:tc>
          <w:tcPr>
            <w:tcW w:w="831" w:type="pct"/>
            <w:tcMar>
              <w:top w:w="70" w:type="dxa"/>
              <w:left w:w="80" w:type="dxa"/>
              <w:bottom w:w="70" w:type="dxa"/>
              <w:right w:w="80" w:type="dxa"/>
            </w:tcMar>
            <w:vAlign w:val="center"/>
          </w:tcPr>
          <w:p w14:paraId="6EB9CD9E" w14:textId="77777777" w:rsidR="006A3F38" w:rsidRDefault="00000000">
            <w:pPr>
              <w:spacing w:after="0" w:line="240" w:lineRule="auto"/>
            </w:pPr>
            <w:r>
              <w:rPr>
                <w:sz w:val="15"/>
              </w:rPr>
              <w:t>Qureshi et al. (2023); Gupta &amp; Minhas (2017); Kirkpatrick et al. (2011)</w:t>
            </w:r>
          </w:p>
        </w:tc>
      </w:tr>
      <w:tr w:rsidR="006A3F38" w14:paraId="23A7FDB4" w14:textId="77777777" w:rsidTr="0077180A">
        <w:trPr>
          <w:cantSplit/>
          <w:jc w:val="center"/>
        </w:trPr>
        <w:tc>
          <w:tcPr>
            <w:tcW w:w="632" w:type="pct"/>
            <w:tcMar>
              <w:top w:w="70" w:type="dxa"/>
              <w:left w:w="80" w:type="dxa"/>
              <w:bottom w:w="70" w:type="dxa"/>
              <w:right w:w="80" w:type="dxa"/>
            </w:tcMar>
            <w:vAlign w:val="center"/>
          </w:tcPr>
          <w:p w14:paraId="78B8CFC1" w14:textId="77777777" w:rsidR="006A3F38" w:rsidRDefault="00000000">
            <w:pPr>
              <w:spacing w:after="0" w:line="240" w:lineRule="auto"/>
            </w:pPr>
            <w:r>
              <w:rPr>
                <w:sz w:val="15"/>
              </w:rPr>
              <w:t>Compensation</w:t>
            </w:r>
          </w:p>
        </w:tc>
        <w:tc>
          <w:tcPr>
            <w:tcW w:w="764" w:type="pct"/>
            <w:tcMar>
              <w:top w:w="70" w:type="dxa"/>
              <w:left w:w="80" w:type="dxa"/>
              <w:bottom w:w="70" w:type="dxa"/>
              <w:right w:w="80" w:type="dxa"/>
            </w:tcMar>
            <w:vAlign w:val="center"/>
          </w:tcPr>
          <w:p w14:paraId="65072023" w14:textId="77777777" w:rsidR="006A3F38" w:rsidRDefault="00000000">
            <w:pPr>
              <w:spacing w:after="0" w:line="240" w:lineRule="auto"/>
            </w:pPr>
            <w:r>
              <w:rPr>
                <w:sz w:val="15"/>
              </w:rPr>
              <w:t>Redistributes residual economic loss; does not reduce raids</w:t>
            </w:r>
          </w:p>
        </w:tc>
        <w:tc>
          <w:tcPr>
            <w:tcW w:w="964" w:type="pct"/>
            <w:tcMar>
              <w:top w:w="70" w:type="dxa"/>
              <w:left w:w="80" w:type="dxa"/>
              <w:bottom w:w="70" w:type="dxa"/>
              <w:right w:w="80" w:type="dxa"/>
            </w:tcMar>
            <w:vAlign w:val="center"/>
          </w:tcPr>
          <w:p w14:paraId="5D68D6D3" w14:textId="77777777" w:rsidR="006A3F38" w:rsidRDefault="00000000">
            <w:pPr>
              <w:spacing w:after="0" w:line="240" w:lineRule="auto"/>
            </w:pPr>
            <w:r>
              <w:rPr>
                <w:sz w:val="15"/>
              </w:rPr>
              <w:t>Indian policies demonstrate variable eligibility and process</w:t>
            </w:r>
          </w:p>
        </w:tc>
        <w:tc>
          <w:tcPr>
            <w:tcW w:w="865" w:type="pct"/>
            <w:tcMar>
              <w:top w:w="70" w:type="dxa"/>
              <w:left w:w="80" w:type="dxa"/>
              <w:bottom w:w="70" w:type="dxa"/>
              <w:right w:w="80" w:type="dxa"/>
            </w:tcMar>
            <w:vAlign w:val="center"/>
          </w:tcPr>
          <w:p w14:paraId="1A063D03" w14:textId="77777777" w:rsidR="006A3F38" w:rsidRDefault="00000000">
            <w:pPr>
              <w:spacing w:after="0" w:line="240" w:lineRule="auto"/>
            </w:pPr>
            <w:r>
              <w:rPr>
                <w:sz w:val="15"/>
              </w:rPr>
              <w:t>Underassessment, delay, transaction cost and moral hazard concerns</w:t>
            </w:r>
          </w:p>
        </w:tc>
        <w:tc>
          <w:tcPr>
            <w:tcW w:w="944" w:type="pct"/>
            <w:tcMar>
              <w:top w:w="70" w:type="dxa"/>
              <w:left w:w="80" w:type="dxa"/>
              <w:bottom w:w="70" w:type="dxa"/>
              <w:right w:w="80" w:type="dxa"/>
            </w:tcMar>
            <w:vAlign w:val="center"/>
          </w:tcPr>
          <w:p w14:paraId="7C5F6631" w14:textId="77777777" w:rsidR="006A3F38" w:rsidRDefault="00000000">
            <w:pPr>
              <w:spacing w:after="0" w:line="240" w:lineRule="auto"/>
            </w:pPr>
            <w:r>
              <w:rPr>
                <w:sz w:val="15"/>
              </w:rPr>
              <w:t>Social risk-sharing paired with prevention and verified assessment</w:t>
            </w:r>
          </w:p>
        </w:tc>
        <w:tc>
          <w:tcPr>
            <w:tcW w:w="831" w:type="pct"/>
            <w:tcMar>
              <w:top w:w="70" w:type="dxa"/>
              <w:left w:w="80" w:type="dxa"/>
              <w:bottom w:w="70" w:type="dxa"/>
              <w:right w:w="80" w:type="dxa"/>
            </w:tcMar>
            <w:vAlign w:val="center"/>
          </w:tcPr>
          <w:p w14:paraId="72E0584A" w14:textId="77777777" w:rsidR="006A3F38" w:rsidRDefault="00000000">
            <w:pPr>
              <w:spacing w:after="0" w:line="240" w:lineRule="auto"/>
            </w:pPr>
            <w:r>
              <w:rPr>
                <w:sz w:val="15"/>
              </w:rPr>
              <w:t>Karanth et al. (2018); Johnson et al. (2018); Bayani et al. (2016)</w:t>
            </w:r>
          </w:p>
        </w:tc>
      </w:tr>
    </w:tbl>
    <w:p w14:paraId="7EBCAEBD" w14:textId="77777777" w:rsidR="006A3F38" w:rsidRDefault="00000000">
      <w:pPr>
        <w:spacing w:before="40" w:after="160" w:line="240" w:lineRule="auto"/>
      </w:pPr>
      <w:r>
        <w:rPr>
          <w:i/>
          <w:sz w:val="18"/>
        </w:rPr>
        <w:t xml:space="preserve">Note. Effectiveness should be judged using both biological outcomes (visitation, damage, abundance) and farmer outcomes (cost, </w:t>
      </w:r>
      <w:proofErr w:type="spellStart"/>
      <w:r>
        <w:rPr>
          <w:i/>
          <w:sz w:val="18"/>
        </w:rPr>
        <w:t>labour</w:t>
      </w:r>
      <w:proofErr w:type="spellEnd"/>
      <w:r>
        <w:rPr>
          <w:i/>
          <w:sz w:val="18"/>
        </w:rPr>
        <w:t>, safety, satisfaction and distributional effects).</w:t>
      </w:r>
    </w:p>
    <w:p w14:paraId="27888C63" w14:textId="77777777" w:rsidR="006A3F38" w:rsidRDefault="00000000">
      <w:pPr>
        <w:pStyle w:val="Heading1"/>
      </w:pPr>
      <w:r>
        <w:rPr>
          <w:rFonts w:ascii="Times New Roman" w:eastAsia="Times New Roman" w:hAnsi="Times New Roman"/>
        </w:rPr>
        <w:t>7. Methodological Weaknesses and Why Findings Diverge</w:t>
      </w:r>
    </w:p>
    <w:p w14:paraId="3C7E7207" w14:textId="77777777" w:rsidR="006A3F38" w:rsidRDefault="00000000">
      <w:pPr>
        <w:pStyle w:val="Heading2"/>
      </w:pPr>
      <w:r>
        <w:rPr>
          <w:rFonts w:ascii="Times New Roman" w:eastAsia="Times New Roman" w:hAnsi="Times New Roman"/>
        </w:rPr>
        <w:t>7.1 Damage metrics and species attribution</w:t>
      </w:r>
    </w:p>
    <w:p w14:paraId="59E95BFF" w14:textId="77777777" w:rsidR="006A3F38" w:rsidRDefault="00000000">
      <w:pPr>
        <w:spacing w:after="120"/>
        <w:jc w:val="both"/>
      </w:pPr>
      <w:r>
        <w:t>The central weakness in the evidence base is the absence of a common damage metric. Studies variously report the proportion of respondents experiencing damage, percentage of plants affected, area raided, estimated yield loss, monetary value, media reports or compensation claims. Each is legitimate for a particular question, but they are not interchangeable. A field with 30% visibly damaged plants may lose much less or much more than 30% of harvest depending on crop stage and compensatory growth. Likewise, a district with many press reports need not have higher per-hectare damage than a district with limited media coverage.</w:t>
      </w:r>
    </w:p>
    <w:p w14:paraId="687B1D3A" w14:textId="77777777" w:rsidR="006A3F38" w:rsidRDefault="00000000">
      <w:pPr>
        <w:spacing w:after="120"/>
        <w:jc w:val="both"/>
      </w:pPr>
      <w:r>
        <w:t xml:space="preserve">Species attribution introduces a second source of error. Many nilgai landscapes contain wild pig, blackbuck, chital, elephant, rhesus macaque or livestock. A farmer may identify the raider from tracks, direct observation or </w:t>
      </w:r>
      <w:r>
        <w:lastRenderedPageBreak/>
        <w:t>characteristic damage, but species can overlap temporally and spatially. Controlled exclusion plots quantify total wildlife-associated loss but do not automatically identify which herbivore caused it. Camera traps, track verification and event-linked field inspection can improve attribution. Where species cannot be distinguished, the correct reporting unit is the herbivore assemblage, with nilgai described as a suspected or observed contributor rather than assigned a precise share.</w:t>
      </w:r>
    </w:p>
    <w:p w14:paraId="561D20DF" w14:textId="77777777" w:rsidR="006A3F38" w:rsidRDefault="00000000">
      <w:pPr>
        <w:spacing w:after="120"/>
        <w:jc w:val="both"/>
      </w:pPr>
      <w:r>
        <w:t xml:space="preserve">Bajwa and Chauhan (2019) illustrate both the strength and limitation of controlled plots: the yield contrast is robust evidence of ungulate-associated loss, but blackbuck prevent exclusive nilgai attribution. Bayani et al. (2016) show the value of triangulating field methods, yet their study also concerns multiple protected herbivores. In contrast, </w:t>
      </w:r>
      <w:proofErr w:type="spellStart"/>
      <w:r>
        <w:t>behavioural</w:t>
      </w:r>
      <w:proofErr w:type="spellEnd"/>
      <w:r>
        <w:t xml:space="preserve"> observations such as Bayani and Watve (2016) can confirm nilgai crop use but were not designed to convert visits into farm-scale economic loss. The literature becomes contradictory mainly when these different inferential levels are collapsed.</w:t>
      </w:r>
    </w:p>
    <w:p w14:paraId="3682ECF2" w14:textId="77777777" w:rsidR="006A3F38" w:rsidRDefault="00000000">
      <w:pPr>
        <w:pStyle w:val="Heading2"/>
      </w:pPr>
      <w:r>
        <w:rPr>
          <w:rFonts w:ascii="Times New Roman" w:eastAsia="Times New Roman" w:hAnsi="Times New Roman"/>
        </w:rPr>
        <w:t>7.2 Selection, reporting and visibility bias</w:t>
      </w:r>
    </w:p>
    <w:p w14:paraId="57C8C2E6" w14:textId="77777777" w:rsidR="006A3F38" w:rsidRDefault="00000000">
      <w:pPr>
        <w:spacing w:after="120"/>
        <w:jc w:val="both"/>
      </w:pPr>
      <w:r>
        <w:t xml:space="preserve">Much of the literature is drawn from </w:t>
      </w:r>
      <w:proofErr w:type="spellStart"/>
      <w:r>
        <w:t>recognised</w:t>
      </w:r>
      <w:proofErr w:type="spellEnd"/>
      <w:r>
        <w:t xml:space="preserve"> conflict hotspots. This is appropriate for studying mechanisms and testing interventions, but it biases estimates upward if hotspot values are used as regional averages. Conversely, government claims data can bias estimates downward when farmers do not report minor recurrent losses or when schemes exclude particular crops or species. Media datasets have still another visibility filter. Chandel et al. (2024) provide a valuable national lens, but media occurrence depends on editorial interest and reporting infrastructure. Barua (2010) showed in another Indian conflict context how media representation can shape and simplify complex human-wildlife interactions.</w:t>
      </w:r>
    </w:p>
    <w:p w14:paraId="4BE9DA3B" w14:textId="77777777" w:rsidR="006A3F38" w:rsidRDefault="00000000">
      <w:pPr>
        <w:spacing w:after="120"/>
        <w:jc w:val="both"/>
      </w:pPr>
      <w:r>
        <w:t xml:space="preserve">Publication bias may operate in similar fashion. Severe crop damage and successful interventions are more likely to be written up than years with low damage or null deterrent effects. This makes it difficult to infer average national risk and can exaggerate confidence in novel devices. The solution is not simply larger sample size; it is pre-specified, longitudinal monitoring that records zero-damage observations and intervention failures. District agricultural networks could contribute substantially if protocols were </w:t>
      </w:r>
      <w:proofErr w:type="spellStart"/>
      <w:r>
        <w:t>standardised</w:t>
      </w:r>
      <w:proofErr w:type="spellEnd"/>
      <w:r>
        <w:t>.</w:t>
      </w:r>
    </w:p>
    <w:p w14:paraId="6565D9C1" w14:textId="77777777" w:rsidR="006A3F38" w:rsidRDefault="00000000">
      <w:pPr>
        <w:pStyle w:val="Heading2"/>
      </w:pPr>
      <w:r>
        <w:rPr>
          <w:rFonts w:ascii="Times New Roman" w:eastAsia="Times New Roman" w:hAnsi="Times New Roman"/>
        </w:rPr>
        <w:t>7.3 Spatial and temporal scale</w:t>
      </w:r>
    </w:p>
    <w:p w14:paraId="0F5FB687" w14:textId="77777777" w:rsidR="006A3F38" w:rsidRDefault="00000000">
      <w:pPr>
        <w:spacing w:after="120"/>
        <w:jc w:val="both"/>
      </w:pPr>
      <w:r>
        <w:t>Nilgai conflict operates at multiple scales: seconds during a raid, nights during guarding, crop seasons for yield, years for population dynamics and decades for land-use change. Most studies observe only one or two of these scales. Short-term deterrent trials cannot establish whether animals habituate over years, while population counts without crop monitoring cannot show whether abundance translates into loss. Rani et al. (2025) demonstrate the value of repeated population observations across forest and agrarian land, but linking those density estimates to concurrent crop outcomes would make the evidence substantially stronger.</w:t>
      </w:r>
    </w:p>
    <w:p w14:paraId="65EA24B8" w14:textId="77777777" w:rsidR="006A3F38" w:rsidRDefault="00000000">
      <w:pPr>
        <w:spacing w:after="120"/>
        <w:jc w:val="both"/>
      </w:pPr>
      <w:r>
        <w:t>Spatial scale is equally important. Distance from forest or refuge often predicts damage locally, yet Chandel et al. (2025) show that nilgai suitability is not restricted to protected-area edges. In heavily agricultural regions, village groves, canals, scrub, fallow fields and transport corridors can provide cover independent of formal forest boundaries. Studies that use “distance to protected area” as the only landscape variable may therefore misclassify exposure. Future spatial models should incorporate land cover, water, crop calendars, roads, fencing, settlement density and seasonal movement at scales that match nilgai home-range decisions.</w:t>
      </w:r>
    </w:p>
    <w:p w14:paraId="628F9237" w14:textId="77777777" w:rsidR="006A3F38" w:rsidRDefault="00000000">
      <w:pPr>
        <w:pStyle w:val="Heading2"/>
      </w:pPr>
      <w:r>
        <w:rPr>
          <w:rFonts w:ascii="Times New Roman" w:eastAsia="Times New Roman" w:hAnsi="Times New Roman"/>
        </w:rPr>
        <w:t>7.4 Intervention confounding and the missing counterfactual</w:t>
      </w:r>
    </w:p>
    <w:p w14:paraId="38E92CFC" w14:textId="77777777" w:rsidR="006A3F38" w:rsidRDefault="00000000">
      <w:pPr>
        <w:spacing w:after="120"/>
        <w:jc w:val="both"/>
      </w:pPr>
      <w:r>
        <w:t xml:space="preserve">Farmers choose interventions in response to risk. This creates confounding by indication analogous to problems in observational health research: heavily raided farms are more likely to fence or guard, so simple comparisons of users and non-users can make mitigation appear ineffective. Karanth et al. (2013) provide an instructive example from broader Indian human-wildlife conflict, where reported mitigation was not straightforwardly associated with </w:t>
      </w:r>
      <w:r>
        <w:lastRenderedPageBreak/>
        <w:t xml:space="preserve">lower losses. Without baseline measurements or </w:t>
      </w:r>
      <w:proofErr w:type="spellStart"/>
      <w:r>
        <w:t>randomised</w:t>
      </w:r>
      <w:proofErr w:type="spellEnd"/>
      <w:r>
        <w:t>/phased allocation, the counterfactual—what would have happened without the intervention—remains unknown.</w:t>
      </w:r>
    </w:p>
    <w:p w14:paraId="646F93B0" w14:textId="77777777" w:rsidR="006A3F38" w:rsidRDefault="00000000">
      <w:pPr>
        <w:spacing w:after="120"/>
        <w:jc w:val="both"/>
      </w:pPr>
      <w:r>
        <w:t xml:space="preserve">Nilgai management would benefit from cluster trials in which villages or field blocks adopt a measure at different times, allowing before-after and treated-control comparisons. Where </w:t>
      </w:r>
      <w:proofErr w:type="spellStart"/>
      <w:r>
        <w:t>randomisation</w:t>
      </w:r>
      <w:proofErr w:type="spellEnd"/>
      <w:r>
        <w:t xml:space="preserve"> is socially or administratively unacceptable, matched control villages and interrupted time-series designs can still improve inference. Outcomes should include not only crop damage but raid frequency, animal </w:t>
      </w:r>
      <w:proofErr w:type="spellStart"/>
      <w:r>
        <w:t>behaviour</w:t>
      </w:r>
      <w:proofErr w:type="spellEnd"/>
      <w:r>
        <w:t xml:space="preserve">, farmer </w:t>
      </w:r>
      <w:proofErr w:type="spellStart"/>
      <w:r>
        <w:t>labour</w:t>
      </w:r>
      <w:proofErr w:type="spellEnd"/>
      <w:r>
        <w:t xml:space="preserve">, costs, maintenance and displacement to </w:t>
      </w:r>
      <w:proofErr w:type="spellStart"/>
      <w:r>
        <w:t>neighbouring</w:t>
      </w:r>
      <w:proofErr w:type="spellEnd"/>
      <w:r>
        <w:t xml:space="preserve"> fields. An intervention that reduces damage in one field while increasing it next door is not a landscape-level success.</w:t>
      </w:r>
    </w:p>
    <w:p w14:paraId="2781C678" w14:textId="77777777" w:rsidR="006A3F38" w:rsidRDefault="00000000">
      <w:pPr>
        <w:pStyle w:val="Heading2"/>
      </w:pPr>
      <w:r>
        <w:rPr>
          <w:rFonts w:ascii="Times New Roman" w:eastAsia="Times New Roman" w:hAnsi="Times New Roman"/>
        </w:rPr>
        <w:t>7.5 Evidence confidence and synthesis</w:t>
      </w:r>
    </w:p>
    <w:p w14:paraId="38A7A2EA" w14:textId="77777777" w:rsidR="006A3F38" w:rsidRDefault="00000000">
      <w:pPr>
        <w:spacing w:after="120"/>
        <w:jc w:val="both"/>
      </w:pPr>
      <w:r>
        <w:t>Despite these limitations, several conclusions are reasonably secure. Nilgai exploit agricultural landscapes and can shift crop use into periods of lower human activity; severe crop losses occur in some localities; risk varies with crop, stage and landscape context; and farmers bear prevention costs in addition to harvest loss. Confidence is moderate rather than high for the relative effectiveness of most deterrents because trials are few and context dependent. Confidence is lower for national damage magnitude, for the causal effect of nilgai density on yield at broad scale, and for population-level interventions such as translocation or fertility control.</w:t>
      </w:r>
    </w:p>
    <w:p w14:paraId="1221C320" w14:textId="77777777" w:rsidR="006A3F38" w:rsidRDefault="00000000">
      <w:pPr>
        <w:spacing w:after="120"/>
        <w:jc w:val="both"/>
      </w:pPr>
      <w:r>
        <w:t>The appropriate response to heterogeneous evidence is therefore calibration, not paralysis. Strong local studies can guide immediate action where their conditions are comparable, while uncertainty should be made explicit when extrapolating. Table 5 translates the main evidence weaknesses into study designs that would materially improve decision-making.</w:t>
      </w:r>
    </w:p>
    <w:p w14:paraId="34476D7B" w14:textId="77777777" w:rsidR="006A3F38" w:rsidRDefault="00000000">
      <w:pPr>
        <w:pStyle w:val="TableCaption"/>
      </w:pPr>
      <w:r>
        <w:rPr>
          <w:rFonts w:eastAsia="Times New Roman"/>
        </w:rPr>
        <w:t>Table 5. Priority evidence gaps and methodological improvements for human-nilgai conflict research in India</w:t>
      </w:r>
    </w:p>
    <w:tbl>
      <w:tblPr>
        <w:tblW w:w="5000" w:type="pct"/>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ook w:val="04A0" w:firstRow="1" w:lastRow="0" w:firstColumn="1" w:lastColumn="0" w:noHBand="0" w:noVBand="1"/>
      </w:tblPr>
      <w:tblGrid>
        <w:gridCol w:w="1545"/>
        <w:gridCol w:w="2280"/>
        <w:gridCol w:w="2280"/>
        <w:gridCol w:w="2133"/>
        <w:gridCol w:w="2088"/>
      </w:tblGrid>
      <w:tr w:rsidR="006A3F38" w14:paraId="318BC0FA" w14:textId="77777777" w:rsidTr="0077180A">
        <w:trPr>
          <w:cantSplit/>
          <w:tblHeader/>
          <w:jc w:val="center"/>
        </w:trPr>
        <w:tc>
          <w:tcPr>
            <w:tcW w:w="748" w:type="pct"/>
            <w:shd w:val="clear" w:color="auto" w:fill="D9E2F3"/>
            <w:tcMar>
              <w:top w:w="70" w:type="dxa"/>
              <w:left w:w="80" w:type="dxa"/>
              <w:bottom w:w="70" w:type="dxa"/>
              <w:right w:w="80" w:type="dxa"/>
            </w:tcMar>
            <w:vAlign w:val="center"/>
          </w:tcPr>
          <w:p w14:paraId="333FCCC5" w14:textId="77777777" w:rsidR="006A3F38" w:rsidRDefault="00000000">
            <w:pPr>
              <w:spacing w:after="0" w:line="240" w:lineRule="auto"/>
            </w:pPr>
            <w:r>
              <w:rPr>
                <w:b/>
                <w:sz w:val="16"/>
              </w:rPr>
              <w:t>Evidence gap</w:t>
            </w:r>
          </w:p>
        </w:tc>
        <w:tc>
          <w:tcPr>
            <w:tcW w:w="1104" w:type="pct"/>
            <w:shd w:val="clear" w:color="auto" w:fill="D9E2F3"/>
            <w:tcMar>
              <w:top w:w="70" w:type="dxa"/>
              <w:left w:w="80" w:type="dxa"/>
              <w:bottom w:w="70" w:type="dxa"/>
              <w:right w:w="80" w:type="dxa"/>
            </w:tcMar>
            <w:vAlign w:val="center"/>
          </w:tcPr>
          <w:p w14:paraId="319F672D" w14:textId="77777777" w:rsidR="006A3F38" w:rsidRDefault="00000000">
            <w:pPr>
              <w:spacing w:after="0" w:line="240" w:lineRule="auto"/>
            </w:pPr>
            <w:r>
              <w:rPr>
                <w:b/>
                <w:sz w:val="16"/>
              </w:rPr>
              <w:t>Why current evidence is insufficient</w:t>
            </w:r>
          </w:p>
        </w:tc>
        <w:tc>
          <w:tcPr>
            <w:tcW w:w="1104" w:type="pct"/>
            <w:shd w:val="clear" w:color="auto" w:fill="D9E2F3"/>
            <w:tcMar>
              <w:top w:w="70" w:type="dxa"/>
              <w:left w:w="80" w:type="dxa"/>
              <w:bottom w:w="70" w:type="dxa"/>
              <w:right w:w="80" w:type="dxa"/>
            </w:tcMar>
            <w:vAlign w:val="center"/>
          </w:tcPr>
          <w:p w14:paraId="4B45F95F" w14:textId="77777777" w:rsidR="006A3F38" w:rsidRDefault="00000000">
            <w:pPr>
              <w:spacing w:after="0" w:line="240" w:lineRule="auto"/>
            </w:pPr>
            <w:r>
              <w:rPr>
                <w:b/>
                <w:sz w:val="16"/>
              </w:rPr>
              <w:t>Preferred design or data improvement</w:t>
            </w:r>
          </w:p>
        </w:tc>
        <w:tc>
          <w:tcPr>
            <w:tcW w:w="1033" w:type="pct"/>
            <w:shd w:val="clear" w:color="auto" w:fill="D9E2F3"/>
            <w:tcMar>
              <w:top w:w="70" w:type="dxa"/>
              <w:left w:w="80" w:type="dxa"/>
              <w:bottom w:w="70" w:type="dxa"/>
              <w:right w:w="80" w:type="dxa"/>
            </w:tcMar>
            <w:vAlign w:val="center"/>
          </w:tcPr>
          <w:p w14:paraId="567C8B0D" w14:textId="77777777" w:rsidR="006A3F38" w:rsidRDefault="00000000">
            <w:pPr>
              <w:spacing w:after="0" w:line="240" w:lineRule="auto"/>
            </w:pPr>
            <w:r>
              <w:rPr>
                <w:b/>
                <w:sz w:val="16"/>
              </w:rPr>
              <w:t>Decision that better evidence would support</w:t>
            </w:r>
          </w:p>
        </w:tc>
        <w:tc>
          <w:tcPr>
            <w:tcW w:w="1011" w:type="pct"/>
            <w:shd w:val="clear" w:color="auto" w:fill="D9E2F3"/>
            <w:tcMar>
              <w:top w:w="70" w:type="dxa"/>
              <w:left w:w="80" w:type="dxa"/>
              <w:bottom w:w="70" w:type="dxa"/>
              <w:right w:w="80" w:type="dxa"/>
            </w:tcMar>
            <w:vAlign w:val="center"/>
          </w:tcPr>
          <w:p w14:paraId="02EF4DE3" w14:textId="77777777" w:rsidR="006A3F38" w:rsidRDefault="00000000">
            <w:pPr>
              <w:spacing w:after="0" w:line="240" w:lineRule="auto"/>
            </w:pPr>
            <w:r>
              <w:rPr>
                <w:b/>
                <w:sz w:val="16"/>
              </w:rPr>
              <w:t>Supporting references</w:t>
            </w:r>
          </w:p>
        </w:tc>
      </w:tr>
      <w:tr w:rsidR="006A3F38" w14:paraId="51AB071E" w14:textId="77777777" w:rsidTr="0077180A">
        <w:trPr>
          <w:cantSplit/>
          <w:jc w:val="center"/>
        </w:trPr>
        <w:tc>
          <w:tcPr>
            <w:tcW w:w="748" w:type="pct"/>
            <w:tcMar>
              <w:top w:w="70" w:type="dxa"/>
              <w:left w:w="80" w:type="dxa"/>
              <w:bottom w:w="70" w:type="dxa"/>
              <w:right w:w="80" w:type="dxa"/>
            </w:tcMar>
            <w:vAlign w:val="center"/>
          </w:tcPr>
          <w:p w14:paraId="5977038C" w14:textId="77777777" w:rsidR="006A3F38" w:rsidRDefault="00000000">
            <w:pPr>
              <w:spacing w:after="0" w:line="240" w:lineRule="auto"/>
            </w:pPr>
            <w:r>
              <w:rPr>
                <w:sz w:val="16"/>
              </w:rPr>
              <w:t>National and state-level magnitude of nilgai crop loss</w:t>
            </w:r>
          </w:p>
        </w:tc>
        <w:tc>
          <w:tcPr>
            <w:tcW w:w="1104" w:type="pct"/>
            <w:tcMar>
              <w:top w:w="70" w:type="dxa"/>
              <w:left w:w="80" w:type="dxa"/>
              <w:bottom w:w="70" w:type="dxa"/>
              <w:right w:w="80" w:type="dxa"/>
            </w:tcMar>
            <w:vAlign w:val="center"/>
          </w:tcPr>
          <w:p w14:paraId="45D002B4" w14:textId="77777777" w:rsidR="006A3F38" w:rsidRDefault="00000000">
            <w:pPr>
              <w:spacing w:after="0" w:line="240" w:lineRule="auto"/>
            </w:pPr>
            <w:r>
              <w:rPr>
                <w:sz w:val="16"/>
              </w:rPr>
              <w:t>Hotspot studies, perceptions, claims and media reports have incompatible denominators</w:t>
            </w:r>
          </w:p>
        </w:tc>
        <w:tc>
          <w:tcPr>
            <w:tcW w:w="1104" w:type="pct"/>
            <w:tcMar>
              <w:top w:w="70" w:type="dxa"/>
              <w:left w:w="80" w:type="dxa"/>
              <w:bottom w:w="70" w:type="dxa"/>
              <w:right w:w="80" w:type="dxa"/>
            </w:tcMar>
            <w:vAlign w:val="center"/>
          </w:tcPr>
          <w:p w14:paraId="58047BFF" w14:textId="77777777" w:rsidR="006A3F38" w:rsidRDefault="00000000">
            <w:pPr>
              <w:spacing w:after="0" w:line="240" w:lineRule="auto"/>
            </w:pPr>
            <w:r>
              <w:rPr>
                <w:sz w:val="16"/>
              </w:rPr>
              <w:t>Stratified multi-state field monitoring with standard yield-loss protocol and nilgai attribution</w:t>
            </w:r>
          </w:p>
        </w:tc>
        <w:tc>
          <w:tcPr>
            <w:tcW w:w="1033" w:type="pct"/>
            <w:tcMar>
              <w:top w:w="70" w:type="dxa"/>
              <w:left w:w="80" w:type="dxa"/>
              <w:bottom w:w="70" w:type="dxa"/>
              <w:right w:w="80" w:type="dxa"/>
            </w:tcMar>
            <w:vAlign w:val="center"/>
          </w:tcPr>
          <w:p w14:paraId="3F15BFDA" w14:textId="77777777" w:rsidR="006A3F38" w:rsidRDefault="00000000">
            <w:pPr>
              <w:spacing w:after="0" w:line="240" w:lineRule="auto"/>
            </w:pPr>
            <w:r>
              <w:rPr>
                <w:sz w:val="16"/>
              </w:rPr>
              <w:t>Geographic targeting and realistic budget allocation</w:t>
            </w:r>
          </w:p>
        </w:tc>
        <w:tc>
          <w:tcPr>
            <w:tcW w:w="1011" w:type="pct"/>
            <w:tcMar>
              <w:top w:w="70" w:type="dxa"/>
              <w:left w:w="80" w:type="dxa"/>
              <w:bottom w:w="70" w:type="dxa"/>
              <w:right w:w="80" w:type="dxa"/>
            </w:tcMar>
            <w:vAlign w:val="center"/>
          </w:tcPr>
          <w:p w14:paraId="406DDC59" w14:textId="77777777" w:rsidR="006A3F38" w:rsidRDefault="00000000">
            <w:pPr>
              <w:spacing w:after="0" w:line="240" w:lineRule="auto"/>
            </w:pPr>
            <w:r>
              <w:rPr>
                <w:sz w:val="16"/>
              </w:rPr>
              <w:t>Bajwa &amp; Chauhan (2019); Chandel et al. (2024); Bayani et al. (2016)</w:t>
            </w:r>
          </w:p>
        </w:tc>
      </w:tr>
      <w:tr w:rsidR="006A3F38" w14:paraId="45819D24" w14:textId="77777777" w:rsidTr="0077180A">
        <w:trPr>
          <w:cantSplit/>
          <w:jc w:val="center"/>
        </w:trPr>
        <w:tc>
          <w:tcPr>
            <w:tcW w:w="748" w:type="pct"/>
            <w:tcMar>
              <w:top w:w="70" w:type="dxa"/>
              <w:left w:w="80" w:type="dxa"/>
              <w:bottom w:w="70" w:type="dxa"/>
              <w:right w:w="80" w:type="dxa"/>
            </w:tcMar>
            <w:vAlign w:val="center"/>
          </w:tcPr>
          <w:p w14:paraId="293CDA00" w14:textId="77777777" w:rsidR="006A3F38" w:rsidRDefault="00000000">
            <w:pPr>
              <w:spacing w:after="0" w:line="240" w:lineRule="auto"/>
            </w:pPr>
            <w:r>
              <w:rPr>
                <w:sz w:val="16"/>
              </w:rPr>
              <w:t>Link between nilgai abundance and crop loss</w:t>
            </w:r>
          </w:p>
        </w:tc>
        <w:tc>
          <w:tcPr>
            <w:tcW w:w="1104" w:type="pct"/>
            <w:tcMar>
              <w:top w:w="70" w:type="dxa"/>
              <w:left w:w="80" w:type="dxa"/>
              <w:bottom w:w="70" w:type="dxa"/>
              <w:right w:w="80" w:type="dxa"/>
            </w:tcMar>
            <w:vAlign w:val="center"/>
          </w:tcPr>
          <w:p w14:paraId="1E83EC26" w14:textId="77777777" w:rsidR="006A3F38" w:rsidRDefault="00000000">
            <w:pPr>
              <w:spacing w:after="0" w:line="240" w:lineRule="auto"/>
            </w:pPr>
            <w:r>
              <w:rPr>
                <w:sz w:val="16"/>
              </w:rPr>
              <w:t>Population and crop studies are rarely concurrent</w:t>
            </w:r>
          </w:p>
        </w:tc>
        <w:tc>
          <w:tcPr>
            <w:tcW w:w="1104" w:type="pct"/>
            <w:tcMar>
              <w:top w:w="70" w:type="dxa"/>
              <w:left w:w="80" w:type="dxa"/>
              <w:bottom w:w="70" w:type="dxa"/>
              <w:right w:w="80" w:type="dxa"/>
            </w:tcMar>
            <w:vAlign w:val="center"/>
          </w:tcPr>
          <w:p w14:paraId="46071F7B" w14:textId="77777777" w:rsidR="006A3F38" w:rsidRDefault="00000000">
            <w:pPr>
              <w:spacing w:after="0" w:line="240" w:lineRule="auto"/>
            </w:pPr>
            <w:r>
              <w:rPr>
                <w:sz w:val="16"/>
              </w:rPr>
              <w:t>Repeated density/occupancy estimates paired with field-level loss and crop covariates</w:t>
            </w:r>
          </w:p>
        </w:tc>
        <w:tc>
          <w:tcPr>
            <w:tcW w:w="1033" w:type="pct"/>
            <w:tcMar>
              <w:top w:w="70" w:type="dxa"/>
              <w:left w:w="80" w:type="dxa"/>
              <w:bottom w:w="70" w:type="dxa"/>
              <w:right w:w="80" w:type="dxa"/>
            </w:tcMar>
            <w:vAlign w:val="center"/>
          </w:tcPr>
          <w:p w14:paraId="1A4F9BEF" w14:textId="77777777" w:rsidR="006A3F38" w:rsidRDefault="00000000">
            <w:pPr>
              <w:spacing w:after="0" w:line="240" w:lineRule="auto"/>
            </w:pPr>
            <w:r>
              <w:rPr>
                <w:sz w:val="16"/>
              </w:rPr>
              <w:t>Whether population reduction is justified and at what threshold</w:t>
            </w:r>
          </w:p>
        </w:tc>
        <w:tc>
          <w:tcPr>
            <w:tcW w:w="1011" w:type="pct"/>
            <w:tcMar>
              <w:top w:w="70" w:type="dxa"/>
              <w:left w:w="80" w:type="dxa"/>
              <w:bottom w:w="70" w:type="dxa"/>
              <w:right w:w="80" w:type="dxa"/>
            </w:tcMar>
            <w:vAlign w:val="center"/>
          </w:tcPr>
          <w:p w14:paraId="7B1DE907" w14:textId="77777777" w:rsidR="006A3F38" w:rsidRDefault="00000000">
            <w:pPr>
              <w:spacing w:after="0" w:line="240" w:lineRule="auto"/>
            </w:pPr>
            <w:r>
              <w:rPr>
                <w:sz w:val="16"/>
              </w:rPr>
              <w:t>Rani et al. (2025); Chandel et al. (2025)</w:t>
            </w:r>
          </w:p>
        </w:tc>
      </w:tr>
      <w:tr w:rsidR="006A3F38" w14:paraId="2AD92980" w14:textId="77777777" w:rsidTr="0077180A">
        <w:trPr>
          <w:cantSplit/>
          <w:jc w:val="center"/>
        </w:trPr>
        <w:tc>
          <w:tcPr>
            <w:tcW w:w="748" w:type="pct"/>
            <w:tcMar>
              <w:top w:w="70" w:type="dxa"/>
              <w:left w:w="80" w:type="dxa"/>
              <w:bottom w:w="70" w:type="dxa"/>
              <w:right w:w="80" w:type="dxa"/>
            </w:tcMar>
            <w:vAlign w:val="center"/>
          </w:tcPr>
          <w:p w14:paraId="187641A0" w14:textId="77777777" w:rsidR="006A3F38" w:rsidRDefault="00000000">
            <w:pPr>
              <w:spacing w:after="0" w:line="240" w:lineRule="auto"/>
            </w:pPr>
            <w:r>
              <w:rPr>
                <w:sz w:val="16"/>
              </w:rPr>
              <w:t>Long-term effectiveness of deterrents and barriers</w:t>
            </w:r>
          </w:p>
        </w:tc>
        <w:tc>
          <w:tcPr>
            <w:tcW w:w="1104" w:type="pct"/>
            <w:tcMar>
              <w:top w:w="70" w:type="dxa"/>
              <w:left w:w="80" w:type="dxa"/>
              <w:bottom w:w="70" w:type="dxa"/>
              <w:right w:w="80" w:type="dxa"/>
            </w:tcMar>
            <w:vAlign w:val="center"/>
          </w:tcPr>
          <w:p w14:paraId="0BC05EE9" w14:textId="77777777" w:rsidR="006A3F38" w:rsidRDefault="00000000">
            <w:pPr>
              <w:spacing w:after="0" w:line="240" w:lineRule="auto"/>
            </w:pPr>
            <w:r>
              <w:rPr>
                <w:sz w:val="16"/>
              </w:rPr>
              <w:t>Trials are local and often short relative to habituation and maintenance cycles</w:t>
            </w:r>
          </w:p>
        </w:tc>
        <w:tc>
          <w:tcPr>
            <w:tcW w:w="1104" w:type="pct"/>
            <w:tcMar>
              <w:top w:w="70" w:type="dxa"/>
              <w:left w:w="80" w:type="dxa"/>
              <w:bottom w:w="70" w:type="dxa"/>
              <w:right w:w="80" w:type="dxa"/>
            </w:tcMar>
            <w:vAlign w:val="center"/>
          </w:tcPr>
          <w:p w14:paraId="6E05C491" w14:textId="77777777" w:rsidR="006A3F38" w:rsidRDefault="00000000">
            <w:pPr>
              <w:spacing w:after="0" w:line="240" w:lineRule="auto"/>
            </w:pPr>
            <w:r>
              <w:rPr>
                <w:sz w:val="16"/>
              </w:rPr>
              <w:t>Multi-season cluster or stepped-wedge trials with untreated comparisons</w:t>
            </w:r>
          </w:p>
        </w:tc>
        <w:tc>
          <w:tcPr>
            <w:tcW w:w="1033" w:type="pct"/>
            <w:tcMar>
              <w:top w:w="70" w:type="dxa"/>
              <w:left w:w="80" w:type="dxa"/>
              <w:bottom w:w="70" w:type="dxa"/>
              <w:right w:w="80" w:type="dxa"/>
            </w:tcMar>
            <w:vAlign w:val="center"/>
          </w:tcPr>
          <w:p w14:paraId="6E52EA28" w14:textId="77777777" w:rsidR="006A3F38" w:rsidRDefault="00000000">
            <w:pPr>
              <w:spacing w:after="0" w:line="240" w:lineRule="auto"/>
            </w:pPr>
            <w:r>
              <w:rPr>
                <w:sz w:val="16"/>
              </w:rPr>
              <w:t>Cost-effective portfolios for different crops and farm sizes</w:t>
            </w:r>
          </w:p>
        </w:tc>
        <w:tc>
          <w:tcPr>
            <w:tcW w:w="1011" w:type="pct"/>
            <w:tcMar>
              <w:top w:w="70" w:type="dxa"/>
              <w:left w:w="80" w:type="dxa"/>
              <w:bottom w:w="70" w:type="dxa"/>
              <w:right w:w="80" w:type="dxa"/>
            </w:tcMar>
            <w:vAlign w:val="center"/>
          </w:tcPr>
          <w:p w14:paraId="7DEDE78E" w14:textId="77777777" w:rsidR="006A3F38" w:rsidRDefault="00000000">
            <w:pPr>
              <w:spacing w:after="0" w:line="240" w:lineRule="auto"/>
            </w:pPr>
            <w:r>
              <w:rPr>
                <w:sz w:val="16"/>
              </w:rPr>
              <w:t xml:space="preserve">Rani &amp; Babbar (2024); Gross et al. (2019); </w:t>
            </w:r>
            <w:proofErr w:type="spellStart"/>
            <w:r>
              <w:rPr>
                <w:sz w:val="16"/>
              </w:rPr>
              <w:t>Wszelaki</w:t>
            </w:r>
            <w:proofErr w:type="spellEnd"/>
            <w:r>
              <w:rPr>
                <w:sz w:val="16"/>
              </w:rPr>
              <w:t xml:space="preserve"> (2025)</w:t>
            </w:r>
          </w:p>
        </w:tc>
      </w:tr>
      <w:tr w:rsidR="006A3F38" w14:paraId="59984DCD" w14:textId="77777777" w:rsidTr="0077180A">
        <w:trPr>
          <w:cantSplit/>
          <w:jc w:val="center"/>
        </w:trPr>
        <w:tc>
          <w:tcPr>
            <w:tcW w:w="748" w:type="pct"/>
            <w:tcMar>
              <w:top w:w="70" w:type="dxa"/>
              <w:left w:w="80" w:type="dxa"/>
              <w:bottom w:w="70" w:type="dxa"/>
              <w:right w:w="80" w:type="dxa"/>
            </w:tcMar>
            <w:vAlign w:val="center"/>
          </w:tcPr>
          <w:p w14:paraId="6819D12A" w14:textId="77777777" w:rsidR="006A3F38" w:rsidRDefault="00000000">
            <w:pPr>
              <w:spacing w:after="0" w:line="240" w:lineRule="auto"/>
            </w:pPr>
            <w:r>
              <w:rPr>
                <w:sz w:val="16"/>
              </w:rPr>
              <w:t>Species-specific attribution in multi-herbivore systems</w:t>
            </w:r>
          </w:p>
        </w:tc>
        <w:tc>
          <w:tcPr>
            <w:tcW w:w="1104" w:type="pct"/>
            <w:tcMar>
              <w:top w:w="70" w:type="dxa"/>
              <w:left w:w="80" w:type="dxa"/>
              <w:bottom w:w="70" w:type="dxa"/>
              <w:right w:w="80" w:type="dxa"/>
            </w:tcMar>
            <w:vAlign w:val="center"/>
          </w:tcPr>
          <w:p w14:paraId="417A24E7" w14:textId="77777777" w:rsidR="006A3F38" w:rsidRDefault="00000000">
            <w:pPr>
              <w:spacing w:after="0" w:line="240" w:lineRule="auto"/>
            </w:pPr>
            <w:r>
              <w:rPr>
                <w:sz w:val="16"/>
              </w:rPr>
              <w:t>Yield loss is often measured without event-level species confirmation</w:t>
            </w:r>
          </w:p>
        </w:tc>
        <w:tc>
          <w:tcPr>
            <w:tcW w:w="1104" w:type="pct"/>
            <w:tcMar>
              <w:top w:w="70" w:type="dxa"/>
              <w:left w:w="80" w:type="dxa"/>
              <w:bottom w:w="70" w:type="dxa"/>
              <w:right w:w="80" w:type="dxa"/>
            </w:tcMar>
            <w:vAlign w:val="center"/>
          </w:tcPr>
          <w:p w14:paraId="05E69A4C" w14:textId="77777777" w:rsidR="006A3F38" w:rsidRDefault="00000000">
            <w:pPr>
              <w:spacing w:after="0" w:line="240" w:lineRule="auto"/>
            </w:pPr>
            <w:r>
              <w:rPr>
                <w:sz w:val="16"/>
              </w:rPr>
              <w:t>Cameras, tracks and rapid event verification linked to plot measurements</w:t>
            </w:r>
          </w:p>
        </w:tc>
        <w:tc>
          <w:tcPr>
            <w:tcW w:w="1033" w:type="pct"/>
            <w:tcMar>
              <w:top w:w="70" w:type="dxa"/>
              <w:left w:w="80" w:type="dxa"/>
              <w:bottom w:w="70" w:type="dxa"/>
              <w:right w:w="80" w:type="dxa"/>
            </w:tcMar>
            <w:vAlign w:val="center"/>
          </w:tcPr>
          <w:p w14:paraId="7ABA0A0E" w14:textId="77777777" w:rsidR="006A3F38" w:rsidRDefault="00000000">
            <w:pPr>
              <w:spacing w:after="0" w:line="240" w:lineRule="auto"/>
            </w:pPr>
            <w:r>
              <w:rPr>
                <w:sz w:val="16"/>
              </w:rPr>
              <w:t>Correct targeting of species-specific mitigation and compensation</w:t>
            </w:r>
          </w:p>
        </w:tc>
        <w:tc>
          <w:tcPr>
            <w:tcW w:w="1011" w:type="pct"/>
            <w:tcMar>
              <w:top w:w="70" w:type="dxa"/>
              <w:left w:w="80" w:type="dxa"/>
              <w:bottom w:w="70" w:type="dxa"/>
              <w:right w:w="80" w:type="dxa"/>
            </w:tcMar>
            <w:vAlign w:val="center"/>
          </w:tcPr>
          <w:p w14:paraId="4E20C0FB" w14:textId="77777777" w:rsidR="006A3F38" w:rsidRDefault="00000000">
            <w:pPr>
              <w:spacing w:after="0" w:line="240" w:lineRule="auto"/>
            </w:pPr>
            <w:r>
              <w:rPr>
                <w:sz w:val="16"/>
              </w:rPr>
              <w:t>Bayani et al. (2016); Bajwa &amp; Chauhan (2019)</w:t>
            </w:r>
          </w:p>
        </w:tc>
      </w:tr>
      <w:tr w:rsidR="006A3F38" w14:paraId="1F2776CA" w14:textId="77777777" w:rsidTr="0077180A">
        <w:trPr>
          <w:cantSplit/>
          <w:jc w:val="center"/>
        </w:trPr>
        <w:tc>
          <w:tcPr>
            <w:tcW w:w="748" w:type="pct"/>
            <w:tcMar>
              <w:top w:w="70" w:type="dxa"/>
              <w:left w:w="80" w:type="dxa"/>
              <w:bottom w:w="70" w:type="dxa"/>
              <w:right w:w="80" w:type="dxa"/>
            </w:tcMar>
            <w:vAlign w:val="center"/>
          </w:tcPr>
          <w:p w14:paraId="42ED8B89" w14:textId="77777777" w:rsidR="006A3F38" w:rsidRDefault="00000000">
            <w:pPr>
              <w:spacing w:after="0" w:line="240" w:lineRule="auto"/>
            </w:pPr>
            <w:r>
              <w:rPr>
                <w:sz w:val="16"/>
              </w:rPr>
              <w:t>Hidden household and gendered costs</w:t>
            </w:r>
          </w:p>
        </w:tc>
        <w:tc>
          <w:tcPr>
            <w:tcW w:w="1104" w:type="pct"/>
            <w:tcMar>
              <w:top w:w="70" w:type="dxa"/>
              <w:left w:w="80" w:type="dxa"/>
              <w:bottom w:w="70" w:type="dxa"/>
              <w:right w:w="80" w:type="dxa"/>
            </w:tcMar>
            <w:vAlign w:val="center"/>
          </w:tcPr>
          <w:p w14:paraId="2E0EED59" w14:textId="77777777" w:rsidR="006A3F38" w:rsidRDefault="00000000">
            <w:pPr>
              <w:spacing w:after="0" w:line="240" w:lineRule="auto"/>
            </w:pPr>
            <w:r>
              <w:rPr>
                <w:sz w:val="16"/>
              </w:rPr>
              <w:t>Yield studies omit guarding, sleep, opportunity and transaction costs</w:t>
            </w:r>
          </w:p>
        </w:tc>
        <w:tc>
          <w:tcPr>
            <w:tcW w:w="1104" w:type="pct"/>
            <w:tcMar>
              <w:top w:w="70" w:type="dxa"/>
              <w:left w:w="80" w:type="dxa"/>
              <w:bottom w:w="70" w:type="dxa"/>
              <w:right w:w="80" w:type="dxa"/>
            </w:tcMar>
            <w:vAlign w:val="center"/>
          </w:tcPr>
          <w:p w14:paraId="0DB43C5D" w14:textId="77777777" w:rsidR="006A3F38" w:rsidRDefault="00000000">
            <w:pPr>
              <w:spacing w:after="0" w:line="240" w:lineRule="auto"/>
            </w:pPr>
            <w:r>
              <w:rPr>
                <w:sz w:val="16"/>
              </w:rPr>
              <w:t>Longitudinal time-use, wellbeing and claim-process studies disaggregated within households</w:t>
            </w:r>
          </w:p>
        </w:tc>
        <w:tc>
          <w:tcPr>
            <w:tcW w:w="1033" w:type="pct"/>
            <w:tcMar>
              <w:top w:w="70" w:type="dxa"/>
              <w:left w:w="80" w:type="dxa"/>
              <w:bottom w:w="70" w:type="dxa"/>
              <w:right w:w="80" w:type="dxa"/>
            </w:tcMar>
            <w:vAlign w:val="center"/>
          </w:tcPr>
          <w:p w14:paraId="567C64C5" w14:textId="77777777" w:rsidR="006A3F38" w:rsidRDefault="00000000">
            <w:pPr>
              <w:spacing w:after="0" w:line="240" w:lineRule="auto"/>
            </w:pPr>
            <w:r>
              <w:rPr>
                <w:sz w:val="16"/>
              </w:rPr>
              <w:t xml:space="preserve">Fair compensation and </w:t>
            </w:r>
            <w:proofErr w:type="spellStart"/>
            <w:r>
              <w:rPr>
                <w:sz w:val="16"/>
              </w:rPr>
              <w:t>labour-saving</w:t>
            </w:r>
            <w:proofErr w:type="spellEnd"/>
            <w:r>
              <w:rPr>
                <w:sz w:val="16"/>
              </w:rPr>
              <w:t xml:space="preserve"> mitigation</w:t>
            </w:r>
          </w:p>
        </w:tc>
        <w:tc>
          <w:tcPr>
            <w:tcW w:w="1011" w:type="pct"/>
            <w:tcMar>
              <w:top w:w="70" w:type="dxa"/>
              <w:left w:w="80" w:type="dxa"/>
              <w:bottom w:w="70" w:type="dxa"/>
              <w:right w:w="80" w:type="dxa"/>
            </w:tcMar>
            <w:vAlign w:val="center"/>
          </w:tcPr>
          <w:p w14:paraId="7D32C11D" w14:textId="77777777" w:rsidR="006A3F38" w:rsidRDefault="00000000">
            <w:pPr>
              <w:spacing w:after="0" w:line="240" w:lineRule="auto"/>
            </w:pPr>
            <w:r>
              <w:rPr>
                <w:sz w:val="16"/>
              </w:rPr>
              <w:t>Barua et al. (2013); Ogra (2008)</w:t>
            </w:r>
          </w:p>
        </w:tc>
      </w:tr>
      <w:tr w:rsidR="006A3F38" w14:paraId="7F5746A9" w14:textId="77777777" w:rsidTr="0077180A">
        <w:trPr>
          <w:cantSplit/>
          <w:jc w:val="center"/>
        </w:trPr>
        <w:tc>
          <w:tcPr>
            <w:tcW w:w="748" w:type="pct"/>
            <w:tcMar>
              <w:top w:w="70" w:type="dxa"/>
              <w:left w:w="80" w:type="dxa"/>
              <w:bottom w:w="70" w:type="dxa"/>
              <w:right w:w="80" w:type="dxa"/>
            </w:tcMar>
            <w:vAlign w:val="center"/>
          </w:tcPr>
          <w:p w14:paraId="4804E399" w14:textId="77777777" w:rsidR="006A3F38" w:rsidRDefault="00000000">
            <w:pPr>
              <w:spacing w:after="0" w:line="240" w:lineRule="auto"/>
            </w:pPr>
            <w:r>
              <w:rPr>
                <w:sz w:val="16"/>
              </w:rPr>
              <w:t>Effects of population-control interventions</w:t>
            </w:r>
          </w:p>
        </w:tc>
        <w:tc>
          <w:tcPr>
            <w:tcW w:w="1104" w:type="pct"/>
            <w:tcMar>
              <w:top w:w="70" w:type="dxa"/>
              <w:left w:w="80" w:type="dxa"/>
              <w:bottom w:w="70" w:type="dxa"/>
              <w:right w:w="80" w:type="dxa"/>
            </w:tcMar>
            <w:vAlign w:val="center"/>
          </w:tcPr>
          <w:p w14:paraId="7E9C319B" w14:textId="77777777" w:rsidR="006A3F38" w:rsidRDefault="00000000">
            <w:pPr>
              <w:spacing w:after="0" w:line="240" w:lineRule="auto"/>
            </w:pPr>
            <w:r>
              <w:rPr>
                <w:sz w:val="16"/>
              </w:rPr>
              <w:t>Removal or contraceptive activity is seldom linked to controlled crop-loss outcomes</w:t>
            </w:r>
          </w:p>
        </w:tc>
        <w:tc>
          <w:tcPr>
            <w:tcW w:w="1104" w:type="pct"/>
            <w:tcMar>
              <w:top w:w="70" w:type="dxa"/>
              <w:left w:w="80" w:type="dxa"/>
              <w:bottom w:w="70" w:type="dxa"/>
              <w:right w:w="80" w:type="dxa"/>
            </w:tcMar>
            <w:vAlign w:val="center"/>
          </w:tcPr>
          <w:p w14:paraId="4927FD05" w14:textId="77777777" w:rsidR="006A3F38" w:rsidRDefault="00000000">
            <w:pPr>
              <w:spacing w:after="0" w:line="240" w:lineRule="auto"/>
            </w:pPr>
            <w:r>
              <w:rPr>
                <w:sz w:val="16"/>
              </w:rPr>
              <w:t>Demographic models followed by monitored field implementation and counterfactual sites</w:t>
            </w:r>
          </w:p>
        </w:tc>
        <w:tc>
          <w:tcPr>
            <w:tcW w:w="1033" w:type="pct"/>
            <w:tcMar>
              <w:top w:w="70" w:type="dxa"/>
              <w:left w:w="80" w:type="dxa"/>
              <w:bottom w:w="70" w:type="dxa"/>
              <w:right w:w="80" w:type="dxa"/>
            </w:tcMar>
            <w:vAlign w:val="center"/>
          </w:tcPr>
          <w:p w14:paraId="1E229072" w14:textId="77777777" w:rsidR="006A3F38" w:rsidRDefault="00000000">
            <w:pPr>
              <w:spacing w:after="0" w:line="240" w:lineRule="auto"/>
            </w:pPr>
            <w:r>
              <w:rPr>
                <w:sz w:val="16"/>
              </w:rPr>
              <w:t>Whether culling, translocation or fertility control reduces conflict sustainably</w:t>
            </w:r>
          </w:p>
        </w:tc>
        <w:tc>
          <w:tcPr>
            <w:tcW w:w="1011" w:type="pct"/>
            <w:tcMar>
              <w:top w:w="70" w:type="dxa"/>
              <w:left w:w="80" w:type="dxa"/>
              <w:bottom w:w="70" w:type="dxa"/>
              <w:right w:w="80" w:type="dxa"/>
            </w:tcMar>
            <w:vAlign w:val="center"/>
          </w:tcPr>
          <w:p w14:paraId="2F0C20E9" w14:textId="77777777" w:rsidR="006A3F38" w:rsidRDefault="00000000">
            <w:pPr>
              <w:spacing w:after="0" w:line="240" w:lineRule="auto"/>
            </w:pPr>
            <w:r>
              <w:rPr>
                <w:sz w:val="16"/>
              </w:rPr>
              <w:t>Chandel et al. (2025); Qureshi et al. (2023)</w:t>
            </w:r>
          </w:p>
        </w:tc>
      </w:tr>
      <w:tr w:rsidR="006A3F38" w14:paraId="4729DAE2" w14:textId="77777777" w:rsidTr="0077180A">
        <w:trPr>
          <w:cantSplit/>
          <w:jc w:val="center"/>
        </w:trPr>
        <w:tc>
          <w:tcPr>
            <w:tcW w:w="748" w:type="pct"/>
            <w:tcMar>
              <w:top w:w="70" w:type="dxa"/>
              <w:left w:w="80" w:type="dxa"/>
              <w:bottom w:w="70" w:type="dxa"/>
              <w:right w:w="80" w:type="dxa"/>
            </w:tcMar>
            <w:vAlign w:val="center"/>
          </w:tcPr>
          <w:p w14:paraId="523EAE31" w14:textId="77777777" w:rsidR="006A3F38" w:rsidRDefault="00000000">
            <w:pPr>
              <w:spacing w:after="0" w:line="240" w:lineRule="auto"/>
            </w:pPr>
            <w:r>
              <w:rPr>
                <w:sz w:val="16"/>
              </w:rPr>
              <w:t>Governance and compensation performance</w:t>
            </w:r>
          </w:p>
        </w:tc>
        <w:tc>
          <w:tcPr>
            <w:tcW w:w="1104" w:type="pct"/>
            <w:tcMar>
              <w:top w:w="70" w:type="dxa"/>
              <w:left w:w="80" w:type="dxa"/>
              <w:bottom w:w="70" w:type="dxa"/>
              <w:right w:w="80" w:type="dxa"/>
            </w:tcMar>
            <w:vAlign w:val="center"/>
          </w:tcPr>
          <w:p w14:paraId="49AD5DC0" w14:textId="77777777" w:rsidR="006A3F38" w:rsidRDefault="00000000">
            <w:pPr>
              <w:spacing w:after="0" w:line="240" w:lineRule="auto"/>
            </w:pPr>
            <w:r>
              <w:rPr>
                <w:sz w:val="16"/>
              </w:rPr>
              <w:t>Administrative expenditure does not reveal accessibility or adequacy</w:t>
            </w:r>
          </w:p>
        </w:tc>
        <w:tc>
          <w:tcPr>
            <w:tcW w:w="1104" w:type="pct"/>
            <w:tcMar>
              <w:top w:w="70" w:type="dxa"/>
              <w:left w:w="80" w:type="dxa"/>
              <w:bottom w:w="70" w:type="dxa"/>
              <w:right w:w="80" w:type="dxa"/>
            </w:tcMar>
            <w:vAlign w:val="center"/>
          </w:tcPr>
          <w:p w14:paraId="1AF26153" w14:textId="77777777" w:rsidR="006A3F38" w:rsidRDefault="00000000">
            <w:pPr>
              <w:spacing w:after="0" w:line="240" w:lineRule="auto"/>
            </w:pPr>
            <w:r>
              <w:rPr>
                <w:sz w:val="16"/>
              </w:rPr>
              <w:t>Linked claims, field verification, payment-timing and household outcome datasets</w:t>
            </w:r>
          </w:p>
        </w:tc>
        <w:tc>
          <w:tcPr>
            <w:tcW w:w="1033" w:type="pct"/>
            <w:tcMar>
              <w:top w:w="70" w:type="dxa"/>
              <w:left w:w="80" w:type="dxa"/>
              <w:bottom w:w="70" w:type="dxa"/>
              <w:right w:w="80" w:type="dxa"/>
            </w:tcMar>
            <w:vAlign w:val="center"/>
          </w:tcPr>
          <w:p w14:paraId="5F8C6712" w14:textId="77777777" w:rsidR="006A3F38" w:rsidRDefault="00000000">
            <w:pPr>
              <w:spacing w:after="0" w:line="240" w:lineRule="auto"/>
            </w:pPr>
            <w:r>
              <w:rPr>
                <w:sz w:val="16"/>
              </w:rPr>
              <w:t>Faster, fairer and evidence-based compensation systems</w:t>
            </w:r>
          </w:p>
        </w:tc>
        <w:tc>
          <w:tcPr>
            <w:tcW w:w="1011" w:type="pct"/>
            <w:tcMar>
              <w:top w:w="70" w:type="dxa"/>
              <w:left w:w="80" w:type="dxa"/>
              <w:bottom w:w="70" w:type="dxa"/>
              <w:right w:w="80" w:type="dxa"/>
            </w:tcMar>
            <w:vAlign w:val="center"/>
          </w:tcPr>
          <w:p w14:paraId="285B070A" w14:textId="77777777" w:rsidR="006A3F38" w:rsidRDefault="00000000">
            <w:pPr>
              <w:spacing w:after="0" w:line="240" w:lineRule="auto"/>
            </w:pPr>
            <w:r>
              <w:rPr>
                <w:sz w:val="16"/>
              </w:rPr>
              <w:t>Karanth et al. (2018); Johnson et al. (2018)</w:t>
            </w:r>
          </w:p>
        </w:tc>
      </w:tr>
    </w:tbl>
    <w:p w14:paraId="2BBED82F" w14:textId="77777777" w:rsidR="006A3F38" w:rsidRDefault="00000000">
      <w:pPr>
        <w:spacing w:before="40" w:after="160" w:line="240" w:lineRule="auto"/>
      </w:pPr>
      <w:r>
        <w:rPr>
          <w:i/>
          <w:sz w:val="18"/>
        </w:rPr>
        <w:t>Note. Priority is assigned to gaps that constrain both causal inference and practical allocation of management resources.</w:t>
      </w:r>
    </w:p>
    <w:p w14:paraId="537852DF" w14:textId="77777777" w:rsidR="006A3F38" w:rsidRDefault="00000000">
      <w:pPr>
        <w:pStyle w:val="Heading1"/>
      </w:pPr>
      <w:r>
        <w:rPr>
          <w:rFonts w:ascii="Times New Roman" w:eastAsia="Times New Roman" w:hAnsi="Times New Roman"/>
        </w:rPr>
        <w:lastRenderedPageBreak/>
        <w:t>8. Future Directions</w:t>
      </w:r>
    </w:p>
    <w:p w14:paraId="4A102002" w14:textId="77777777" w:rsidR="006A3F38" w:rsidRDefault="00000000">
      <w:pPr>
        <w:spacing w:after="120"/>
        <w:jc w:val="both"/>
      </w:pPr>
      <w:r>
        <w:t xml:space="preserve">The immediate research priority is a </w:t>
      </w:r>
      <w:proofErr w:type="spellStart"/>
      <w:r>
        <w:t>standardised</w:t>
      </w:r>
      <w:proofErr w:type="spellEnd"/>
      <w:r>
        <w:t xml:space="preserve">, multi-state nilgai crop-depredation observatory. Existing studies establish that severe loss can occur, but they do not permit a defensible national estimate because methods and sampling frames differ. A network should stratify sites by </w:t>
      </w:r>
      <w:proofErr w:type="spellStart"/>
      <w:r>
        <w:t>agro</w:t>
      </w:r>
      <w:proofErr w:type="spellEnd"/>
      <w:r>
        <w:t>-ecological zone, nilgai occurrence, crop system and distance to refuge, then measure the same core outcomes: pre-harvest plant damage, harvested yield, raid frequency, species identity, prevention effort and farm-gate value. Repeated sampling across at least several crop seasons would distinguish episodic outbreaks from persistent risk. Zero-damage fields must be retained in the dataset so that models estimate risk rather than only severity after an event.</w:t>
      </w:r>
    </w:p>
    <w:p w14:paraId="67A8D540" w14:textId="77777777" w:rsidR="006A3F38" w:rsidRDefault="00000000">
      <w:pPr>
        <w:spacing w:after="120"/>
        <w:jc w:val="both"/>
      </w:pPr>
      <w:r>
        <w:t>A second immediate priority is to integrate nilgai demography with crop outcomes. Population monitoring such as that reported by Rani et al. (2025) should be paired with field-level damage and movement or occupancy data. The key question is not simply whether a district contains many nilgai, but whether incremental abundance predicts incremental damage after crop type, phenology, refuge, guarding and barriers are considered. This relationship is necessary for rational population-control thresholds. If damage plateaus at moderate density because crop attraction or field access dominates, reducing abundance may be less effective than exclusion. If a strong density-response exists, population management becomes more defensible.</w:t>
      </w:r>
    </w:p>
    <w:p w14:paraId="5309E100" w14:textId="77777777" w:rsidR="006A3F38" w:rsidRDefault="00000000">
      <w:pPr>
        <w:spacing w:after="120"/>
        <w:jc w:val="both"/>
      </w:pPr>
      <w:r>
        <w:t xml:space="preserve">Third, mitigation trials should move from device demonstration to comparative effectiveness. For fencing, repellents, lights, bioacoustics and guarding combinations, the appropriate unit of evaluation is often a field cluster or village rather than an isolated plot. Stepped-wedge or matched before-after designs can measure both direct protection and displacement of raids. Outcomes should include cost per hectare protected, </w:t>
      </w:r>
      <w:proofErr w:type="spellStart"/>
      <w:r>
        <w:t>labour</w:t>
      </w:r>
      <w:proofErr w:type="spellEnd"/>
      <w:r>
        <w:t xml:space="preserve"> saved, maintenance failure, animal injury, crop-stage-specific effectiveness and farmer willingness to continue after research support ends. Such trials would also identify whether lower-cost barriers can approximate the performance of capital-intensive fencing for particular crops.</w:t>
      </w:r>
    </w:p>
    <w:p w14:paraId="3D09944B" w14:textId="77777777" w:rsidR="006A3F38" w:rsidRDefault="00000000">
      <w:pPr>
        <w:spacing w:after="120"/>
        <w:jc w:val="both"/>
      </w:pPr>
      <w:r>
        <w:t xml:space="preserve">Fourth, hidden costs require direct measurement. Time-use diaries, repeated household interviews and simple wellbeing instruments should quantify night guarding, lost wage work, sleep disruption and claim transaction time. Data should be disaggregated by gender and age rather than reported only for the household head. Compensation and subsidy design can then be based on total burden rather than crop value alone. This is especially important where farmers successfully suppress damage through large unpaid </w:t>
      </w:r>
      <w:proofErr w:type="spellStart"/>
      <w:r>
        <w:t>labour</w:t>
      </w:r>
      <w:proofErr w:type="spellEnd"/>
      <w:r>
        <w:t xml:space="preserve"> inputs: low recorded yield loss should not be interpreted as low conflict.</w:t>
      </w:r>
    </w:p>
    <w:p w14:paraId="338ACC2D" w14:textId="77777777" w:rsidR="006A3F38" w:rsidRDefault="00000000">
      <w:pPr>
        <w:spacing w:after="120"/>
        <w:jc w:val="both"/>
      </w:pPr>
      <w:r>
        <w:t xml:space="preserve">Fifth, population-control research needs explicit decision thresholds and long-term monitoring. For fertility control, the WII </w:t>
      </w:r>
      <w:proofErr w:type="spellStart"/>
      <w:r>
        <w:t>programme</w:t>
      </w:r>
      <w:proofErr w:type="spellEnd"/>
      <w:r>
        <w:t xml:space="preserve"> provides an institutional foundation, but future field studies should specify target coverage, expected change in recruitment, monitoring interval, welfare endpoints and the population trajectory required to produce a measurable reduction in crop loss. Because the effect is delayed, any trial should be paired with short-term protection and transparent communication with affected farmers. For translocation or lawful lethal removal, the same principle applies: evaluation must follow abundance, immigration, crop damage and social response rather than end at the number of animals moved or removed.</w:t>
      </w:r>
    </w:p>
    <w:p w14:paraId="6EC7A666" w14:textId="77777777" w:rsidR="006A3F38" w:rsidRDefault="00000000">
      <w:pPr>
        <w:spacing w:after="120"/>
        <w:jc w:val="both"/>
      </w:pPr>
      <w:r>
        <w:t>Sixth, spatial planning should use predictive risk rather than administrative boundaries alone. Remote sensing can map crop phenology, fallows, scrub, woodland and water, while cameras or telemetry can identify movement corridors and recurrent farm entry routes. Chandel et al. (2025) provide a national habitat-suitability foundation, but management needs finer-scale models capable of predicting weekly or seasonal exposure. The practical output should be a risk surface that helps allocate fences, alert systems, field verification teams and compensation reserves before peak damage occurs.</w:t>
      </w:r>
    </w:p>
    <w:p w14:paraId="7C477EE7" w14:textId="77777777" w:rsidR="006A3F38" w:rsidRDefault="00000000">
      <w:pPr>
        <w:spacing w:after="120"/>
        <w:jc w:val="both"/>
      </w:pPr>
      <w:r>
        <w:t xml:space="preserve">A longer-term priority is to develop adaptive governance in which interventions are treated as testable policies. District agencies could maintain a common database linking incident verification, crop loss, claims, mitigation installations and nilgai monitoring. Policies would then be reviewed against measurable outcomes: damage per </w:t>
      </w:r>
      <w:r>
        <w:lastRenderedPageBreak/>
        <w:t xml:space="preserve">hectare, farmer </w:t>
      </w:r>
      <w:proofErr w:type="spellStart"/>
      <w:r>
        <w:t>labour</w:t>
      </w:r>
      <w:proofErr w:type="spellEnd"/>
      <w:r>
        <w:t>, payment time, intervention cost and wildlife welfare. Measures that fail after adequate implementation should be discontinued, while successful approaches should be expanded cautiously with monitoring for displacement or inequitable cost transfer. This would replace the recurrent cycle of crisis, ad hoc control and fading attention with cumulative institutional learning.</w:t>
      </w:r>
    </w:p>
    <w:p w14:paraId="5DDC5AD4" w14:textId="77777777" w:rsidR="006A3F38" w:rsidRDefault="00000000">
      <w:pPr>
        <w:spacing w:after="120"/>
        <w:jc w:val="both"/>
      </w:pPr>
      <w:r>
        <w:t>Finally, future research should treat coexistence as a distributional problem as well as an ecological one. Nilgai persistence in agricultural landscapes produces public conservation value but can impose private costs on particular farmers. Scientific assessment should therefore identify who pays, who benefits and which households lack the capital to protect themselves. The most durable strategy is unlikely to be a single technological fix. It will combine spatially targeted prevention, fair sharing of residual loss, reliable population information and legally legitimate population management where evidence shows it is necessary.</w:t>
      </w:r>
    </w:p>
    <w:p w14:paraId="69955B0B" w14:textId="77777777" w:rsidR="006A3F38" w:rsidRDefault="00000000">
      <w:pPr>
        <w:pStyle w:val="Heading1"/>
      </w:pPr>
      <w:r>
        <w:rPr>
          <w:rFonts w:ascii="Times New Roman" w:eastAsia="Times New Roman" w:hAnsi="Times New Roman"/>
        </w:rPr>
        <w:t>9. Conclusions</w:t>
      </w:r>
    </w:p>
    <w:p w14:paraId="21D2A1A5" w14:textId="77777777" w:rsidR="006A3F38" w:rsidRDefault="00000000">
      <w:pPr>
        <w:spacing w:after="120"/>
        <w:jc w:val="both"/>
      </w:pPr>
      <w:r>
        <w:t xml:space="preserve">Human-nilgai conflict in India is best understood as a production-landscape problem created by the interaction of a </w:t>
      </w:r>
      <w:proofErr w:type="spellStart"/>
      <w:r>
        <w:t>behaviourally</w:t>
      </w:r>
      <w:proofErr w:type="spellEnd"/>
      <w:r>
        <w:t xml:space="preserve"> flexible large herbivore with intensive agriculture, fragmented refuge habitats and uneven institutions for sharing wildlife costs. The available evidence supports several defensible conclusions. Nilgai use cropland as part of wider habitat mosaics, often under </w:t>
      </w:r>
      <w:proofErr w:type="spellStart"/>
      <w:r>
        <w:t>behavioural</w:t>
      </w:r>
      <w:proofErr w:type="spellEnd"/>
      <w:r>
        <w:t xml:space="preserve"> conditions that reduce exposure to people. Crop depredation can be severe in particular localities and crops, but the literature does not support a single national percentage loss because studies use different species assemblages, methods, crops and denominators. Perception surveys and media analyses demonstrate social salience and geographic visibility, whereas controlled plots and repeated field assessment provide stronger evidence about production loss. These evidence types are complementary only when their inferential limits are respected.</w:t>
      </w:r>
    </w:p>
    <w:p w14:paraId="288FF8F4" w14:textId="77777777" w:rsidR="006A3F38" w:rsidRDefault="00000000">
      <w:pPr>
        <w:spacing w:after="120"/>
        <w:jc w:val="both"/>
      </w:pPr>
      <w:r>
        <w:t xml:space="preserve">The conflict cannot be reduced to crop biomass removed. Farmers also bear prevention </w:t>
      </w:r>
      <w:proofErr w:type="spellStart"/>
      <w:r>
        <w:t>labour</w:t>
      </w:r>
      <w:proofErr w:type="spellEnd"/>
      <w:r>
        <w:t xml:space="preserve">, opportunity costs, transaction costs and risk, and these burdens are distributed unevenly within and among households. This explains why technically modest yield loss can still produce intense management demand and why compensation based only on visible crop injury may fail to restore legitimacy. The evidence also indicates that mitigation effectiveness is highly contextual. Physical exclusion has the strongest direct causal basis and encouraging nilgai-specific field evidence, while guarding, sensory deterrents and repellents are more variable and </w:t>
      </w:r>
      <w:proofErr w:type="spellStart"/>
      <w:r>
        <w:t>labour</w:t>
      </w:r>
      <w:proofErr w:type="spellEnd"/>
      <w:r>
        <w:t xml:space="preserve"> dependent. Population-level measures have longer time horizons and greater legal, ethical and social implications; they should be linked to demonstrated demographic drivers of damage and evaluated against crop-loss outcomes rather than implementation counts.</w:t>
      </w:r>
    </w:p>
    <w:p w14:paraId="364E8374" w14:textId="77777777" w:rsidR="006A3F38" w:rsidRDefault="00000000">
      <w:pPr>
        <w:spacing w:after="120"/>
        <w:jc w:val="both"/>
      </w:pPr>
      <w:r>
        <w:t xml:space="preserve">A coherent management approach therefore requires layered intervention. Immediate field protection should be concentrated where crop stage and landscape position create high risk, ideally through coordinated rather than isolated action. Residual losses should be measured credibly and shared through accessible compensation or support mechanisms. Population monitoring should be connected to damage monitoring so that decisions about fertility control, translocation or lawful lethal control are made from evidence about local abundance and replacement, not from visibility or political pressure alone. At the research level, </w:t>
      </w:r>
      <w:proofErr w:type="spellStart"/>
      <w:r>
        <w:t>standardised</w:t>
      </w:r>
      <w:proofErr w:type="spellEnd"/>
      <w:r>
        <w:t xml:space="preserve"> multi-state monitoring and comparative intervention trials are the clearest route to replacing fragmented case studies with decision-relevant evidence. The central objective should not be elimination of nilgai from agricultural India, but reduction of preventable and inequitably distributed costs while retaining ecologically and socially legitimate wildlife populations.</w:t>
      </w:r>
    </w:p>
    <w:p w14:paraId="7D15D8AC" w14:textId="77777777" w:rsidR="006A3F38" w:rsidRDefault="00000000">
      <w:pPr>
        <w:pStyle w:val="Heading1"/>
      </w:pPr>
      <w:r>
        <w:rPr>
          <w:rFonts w:ascii="Times New Roman" w:eastAsia="Times New Roman" w:hAnsi="Times New Roman"/>
        </w:rPr>
        <w:t>10. Limitations</w:t>
      </w:r>
    </w:p>
    <w:p w14:paraId="4A262F07" w14:textId="77777777" w:rsidR="006A3F38" w:rsidRDefault="00000000">
      <w:pPr>
        <w:spacing w:after="120"/>
        <w:jc w:val="both"/>
      </w:pPr>
      <w:r>
        <w:t xml:space="preserve">As a critical narrative review, this article is intrinsically vulnerable to selection and interpretive bias despite the use of transparent search concepts, source verification and explicit evidence appraisal. Direct access to some subscription bibliographic databases was not available, so the literature base was assembled from accessible </w:t>
      </w:r>
      <w:r>
        <w:lastRenderedPageBreak/>
        <w:t>scholarly indexes, repositories, institutional sources, citation searching and verified article records rather than from exhaustive searches of every major commercial database. English-language literature predominated, and relevant local-language reports or unpublished administrative datasets may therefore be underrepresented.</w:t>
      </w:r>
    </w:p>
    <w:p w14:paraId="35E6F2CA" w14:textId="77777777" w:rsidR="006A3F38" w:rsidRDefault="00000000">
      <w:pPr>
        <w:spacing w:after="120"/>
        <w:jc w:val="both"/>
      </w:pPr>
      <w:r>
        <w:t xml:space="preserve">The underlying evidence is also heterogeneous. Studies differ in crops, seasons, spatial scale, wildlife assemblages, damage definitions and methods of species attribution, which prevents quantitative pooling without introducing misleading comparability. Much of the field evidence comes from </w:t>
      </w:r>
      <w:proofErr w:type="spellStart"/>
      <w:r>
        <w:t>recognised</w:t>
      </w:r>
      <w:proofErr w:type="spellEnd"/>
      <w:r>
        <w:t xml:space="preserve"> conflict hotspots in northern, western and central India, leaving other regions less well </w:t>
      </w:r>
      <w:proofErr w:type="spellStart"/>
      <w:r>
        <w:t>characterised</w:t>
      </w:r>
      <w:proofErr w:type="spellEnd"/>
      <w:r>
        <w:t>. Several influential studies quantify multi-herbivore damage rather than nilgai-only loss, while perception, compensation and media datasets are shaped by reporting processes. Long-term controlled evaluations of deterrents, translocation, fertility control and lethal population management are scarce. Consequently, the review can identify robust mechanisms, recurrent limitations and defensible research priorities, but it cannot provide a national nilgai crop-loss estimate or rank all management options by a common effect size.</w:t>
      </w:r>
    </w:p>
    <w:p w14:paraId="77FD01A7" w14:textId="77777777" w:rsidR="00E25E0E" w:rsidRDefault="00E25E0E">
      <w:pPr>
        <w:spacing w:after="120"/>
        <w:jc w:val="both"/>
      </w:pPr>
    </w:p>
    <w:p w14:paraId="40354E71" w14:textId="77777777" w:rsidR="00E25E0E" w:rsidRPr="00E25E0E" w:rsidRDefault="00E25E0E" w:rsidP="00E25E0E">
      <w:pPr>
        <w:spacing w:after="0" w:line="240" w:lineRule="auto"/>
        <w:rPr>
          <w:rFonts w:eastAsia="Calibri" w:cs="Times New Roman"/>
          <w:b/>
        </w:rPr>
      </w:pPr>
      <w:r w:rsidRPr="00E25E0E">
        <w:rPr>
          <w:rFonts w:eastAsia="Calibri" w:cs="Times New Roman"/>
          <w:b/>
        </w:rPr>
        <w:t>Declaration of AI Use</w:t>
      </w:r>
    </w:p>
    <w:p w14:paraId="580F18BF" w14:textId="77777777" w:rsidR="00E25E0E" w:rsidRPr="00E25E0E" w:rsidRDefault="00E25E0E" w:rsidP="00E25E0E">
      <w:pPr>
        <w:spacing w:after="0" w:line="240" w:lineRule="auto"/>
        <w:rPr>
          <w:rFonts w:eastAsia="Calibri" w:cs="Times New Roman"/>
        </w:rPr>
      </w:pPr>
    </w:p>
    <w:p w14:paraId="56352D1B" w14:textId="77777777" w:rsidR="00E25E0E" w:rsidRPr="00E25E0E" w:rsidRDefault="00E25E0E" w:rsidP="00E25E0E">
      <w:pPr>
        <w:spacing w:after="0" w:line="240" w:lineRule="auto"/>
        <w:jc w:val="both"/>
        <w:rPr>
          <w:rFonts w:eastAsia="Calibri" w:cs="Times New Roman"/>
        </w:rPr>
      </w:pPr>
      <w:r w:rsidRPr="00E25E0E">
        <w:rPr>
          <w:rFonts w:eastAsia="Calibri"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11036DB" w14:textId="77777777" w:rsidR="00E25E0E" w:rsidRPr="00E25E0E" w:rsidRDefault="00E25E0E" w:rsidP="00E25E0E">
      <w:pPr>
        <w:spacing w:after="0" w:line="240" w:lineRule="auto"/>
        <w:jc w:val="both"/>
        <w:rPr>
          <w:rFonts w:eastAsia="Calibri" w:cs="Times New Roman"/>
        </w:rPr>
      </w:pPr>
    </w:p>
    <w:p w14:paraId="7615456C" w14:textId="77777777" w:rsidR="00E25E0E" w:rsidRPr="00E25E0E" w:rsidRDefault="00E25E0E" w:rsidP="00E25E0E">
      <w:pPr>
        <w:spacing w:after="0" w:line="240" w:lineRule="auto"/>
        <w:jc w:val="both"/>
        <w:rPr>
          <w:rFonts w:eastAsia="Calibri" w:cs="Times New Roman"/>
        </w:rPr>
      </w:pPr>
    </w:p>
    <w:p w14:paraId="29154695" w14:textId="77777777" w:rsidR="00E25E0E" w:rsidRPr="00E25E0E" w:rsidRDefault="00E25E0E" w:rsidP="00E25E0E">
      <w:pPr>
        <w:rPr>
          <w:rFonts w:ascii="Cambria" w:hAnsi="Cambria" w:cs="Arial"/>
          <w:b/>
          <w:bCs/>
          <w:lang w:val="en-GB" w:eastAsia="en-GB"/>
        </w:rPr>
      </w:pPr>
      <w:r w:rsidRPr="00E25E0E">
        <w:rPr>
          <w:rFonts w:ascii="Cambria" w:hAnsi="Cambria" w:cs="Arial"/>
          <w:b/>
          <w:bCs/>
          <w:lang w:val="en-GB" w:eastAsia="en-GB"/>
        </w:rPr>
        <w:t>COMPETING INTERESTS DISCLAIMER:</w:t>
      </w:r>
    </w:p>
    <w:p w14:paraId="30418FD5" w14:textId="77777777" w:rsidR="00E25E0E" w:rsidRPr="00E25E0E" w:rsidRDefault="00E25E0E" w:rsidP="00E25E0E">
      <w:pPr>
        <w:rPr>
          <w:rFonts w:ascii="Cambria" w:hAnsi="Cambria" w:cs="Times New Roman"/>
          <w:lang w:val="en-GB" w:eastAsia="en-GB"/>
        </w:rPr>
      </w:pPr>
      <w:r w:rsidRPr="00E25E0E">
        <w:rPr>
          <w:rFonts w:ascii="Cambria" w:hAnsi="Cambria" w:cs="Arial"/>
          <w:lang w:val="en-GB" w:eastAsia="en-GB"/>
        </w:rPr>
        <w:t>Authors have declared that they have no known competing financial interests OR non-financial interests OR personal relationships that could have appeared to influence the work reported in this paper.</w:t>
      </w:r>
    </w:p>
    <w:p w14:paraId="5E379FB7" w14:textId="77777777" w:rsidR="00E25E0E" w:rsidRDefault="00E25E0E">
      <w:pPr>
        <w:spacing w:after="120"/>
        <w:jc w:val="both"/>
      </w:pPr>
    </w:p>
    <w:p w14:paraId="16F7184F" w14:textId="77777777" w:rsidR="006A3F38" w:rsidRDefault="00000000">
      <w:pPr>
        <w:pStyle w:val="Heading1"/>
        <w:rPr>
          <w:rFonts w:ascii="Times New Roman" w:eastAsia="Times New Roman" w:hAnsi="Times New Roman"/>
        </w:rPr>
      </w:pPr>
      <w:r>
        <w:rPr>
          <w:rFonts w:ascii="Times New Roman" w:eastAsia="Times New Roman" w:hAnsi="Times New Roman"/>
        </w:rPr>
        <w:t>References</w:t>
      </w:r>
    </w:p>
    <w:p w14:paraId="47839AF4" w14:textId="77777777" w:rsidR="003A6624" w:rsidRDefault="003A6624" w:rsidP="003A6624">
      <w:pPr>
        <w:pStyle w:val="isselectedend"/>
      </w:pPr>
      <w:r>
        <w:t xml:space="preserve">Babbar, B. K., Singla, N., Kaur, H., Verma, M., Rani, K., Bala, B., &amp; Jain, S. (2024). Bio-ecology, </w:t>
      </w:r>
      <w:proofErr w:type="spellStart"/>
      <w:r>
        <w:t>behaviour</w:t>
      </w:r>
      <w:proofErr w:type="spellEnd"/>
      <w:r>
        <w:t xml:space="preserve"> and management of blue bull, </w:t>
      </w:r>
      <w:proofErr w:type="spellStart"/>
      <w:r>
        <w:rPr>
          <w:rStyle w:val="Emphasis"/>
        </w:rPr>
        <w:t>Boselaphus</w:t>
      </w:r>
      <w:proofErr w:type="spellEnd"/>
      <w:r>
        <w:rPr>
          <w:rStyle w:val="Emphasis"/>
        </w:rPr>
        <w:t xml:space="preserve"> </w:t>
      </w:r>
      <w:proofErr w:type="spellStart"/>
      <w:r>
        <w:rPr>
          <w:rStyle w:val="Emphasis"/>
        </w:rPr>
        <w:t>tragocamelus</w:t>
      </w:r>
      <w:proofErr w:type="spellEnd"/>
      <w:r>
        <w:t xml:space="preserve">. </w:t>
      </w:r>
      <w:r>
        <w:rPr>
          <w:rStyle w:val="Emphasis"/>
        </w:rPr>
        <w:t>International Journal of Pest Management, 70</w:t>
      </w:r>
      <w:r>
        <w:t xml:space="preserve">(4), 1260–1275. </w:t>
      </w:r>
      <w:hyperlink r:id="rId8" w:history="1">
        <w:r>
          <w:rPr>
            <w:rStyle w:val="Hyperlink"/>
          </w:rPr>
          <w:t>https://doi.org/10.1080/09670874.2022.2104402</w:t>
        </w:r>
      </w:hyperlink>
    </w:p>
    <w:p w14:paraId="1EDC54C4" w14:textId="77777777" w:rsidR="003A6624" w:rsidRDefault="003A6624" w:rsidP="003A6624">
      <w:pPr>
        <w:pStyle w:val="isselectedend"/>
      </w:pPr>
      <w:proofErr w:type="spellStart"/>
      <w:r>
        <w:t>Baethge</w:t>
      </w:r>
      <w:proofErr w:type="spellEnd"/>
      <w:r>
        <w:t xml:space="preserve">, C., Goldbeck-Wood, S., &amp; Mertens, S. (2019). SANRA—A scale for the quality assessment of narrative review articles. </w:t>
      </w:r>
      <w:r>
        <w:rPr>
          <w:rStyle w:val="Emphasis"/>
        </w:rPr>
        <w:t>Research Integrity and Peer Review, 4</w:t>
      </w:r>
      <w:r>
        <w:t xml:space="preserve">, 5. </w:t>
      </w:r>
      <w:hyperlink r:id="rId9" w:history="1">
        <w:r>
          <w:rPr>
            <w:rStyle w:val="Hyperlink"/>
          </w:rPr>
          <w:t>https://doi.org/10.1186/s41073-019-0064-8</w:t>
        </w:r>
      </w:hyperlink>
    </w:p>
    <w:p w14:paraId="05AC99AE" w14:textId="77777777" w:rsidR="003A6624" w:rsidRDefault="003A6624" w:rsidP="003A6624">
      <w:pPr>
        <w:pStyle w:val="isselectedend"/>
      </w:pPr>
      <w:r>
        <w:t xml:space="preserve">Bajwa, P., &amp; Chauhan, N. S. (2019). Assessment of crop damage caused by Asian antelopes compared to local people perception in the community conserved </w:t>
      </w:r>
      <w:proofErr w:type="spellStart"/>
      <w:r>
        <w:t>Abohar</w:t>
      </w:r>
      <w:proofErr w:type="spellEnd"/>
      <w:r>
        <w:t xml:space="preserve"> Wildlife Sanctuary, Northwestern India. </w:t>
      </w:r>
      <w:proofErr w:type="spellStart"/>
      <w:r>
        <w:rPr>
          <w:rStyle w:val="Emphasis"/>
        </w:rPr>
        <w:t>Écoscience</w:t>
      </w:r>
      <w:proofErr w:type="spellEnd"/>
      <w:r>
        <w:rPr>
          <w:rStyle w:val="Emphasis"/>
        </w:rPr>
        <w:t>, 26</w:t>
      </w:r>
      <w:r>
        <w:t xml:space="preserve">(4), 371–381. </w:t>
      </w:r>
      <w:hyperlink r:id="rId10" w:history="1">
        <w:r>
          <w:rPr>
            <w:rStyle w:val="Hyperlink"/>
          </w:rPr>
          <w:t>https://doi.org/10.1080/11956860.2019.1654635</w:t>
        </w:r>
      </w:hyperlink>
    </w:p>
    <w:p w14:paraId="49905DB6" w14:textId="77777777" w:rsidR="003A6624" w:rsidRDefault="003A6624" w:rsidP="003A6624">
      <w:pPr>
        <w:pStyle w:val="isselectedend"/>
      </w:pPr>
      <w:r>
        <w:t xml:space="preserve">Barua, M. (2010). Whose issue? Representations of human-elephant conflict in Indian and international media. </w:t>
      </w:r>
      <w:r>
        <w:rPr>
          <w:rStyle w:val="Emphasis"/>
        </w:rPr>
        <w:t>Science Communication, 32</w:t>
      </w:r>
      <w:r>
        <w:t xml:space="preserve">(1), 55–75. </w:t>
      </w:r>
      <w:hyperlink r:id="rId11" w:history="1">
        <w:r>
          <w:rPr>
            <w:rStyle w:val="Hyperlink"/>
          </w:rPr>
          <w:t>https://doi.org/10.1177/1075547009353177</w:t>
        </w:r>
      </w:hyperlink>
    </w:p>
    <w:p w14:paraId="4267DD1E" w14:textId="77777777" w:rsidR="003A6624" w:rsidRDefault="003A6624" w:rsidP="003A6624">
      <w:pPr>
        <w:pStyle w:val="isselectedend"/>
      </w:pPr>
      <w:r>
        <w:lastRenderedPageBreak/>
        <w:t xml:space="preserve">Barua, M., Bhagwat, S. A., &amp; Jadhav, S. (2013). The hidden dimensions of human-wildlife conflict: Health impacts, opportunity and transaction costs. </w:t>
      </w:r>
      <w:r>
        <w:rPr>
          <w:rStyle w:val="Emphasis"/>
        </w:rPr>
        <w:t>Biological Conservation, 157</w:t>
      </w:r>
      <w:r>
        <w:t xml:space="preserve">, 309–316. </w:t>
      </w:r>
      <w:hyperlink r:id="rId12" w:history="1">
        <w:r>
          <w:rPr>
            <w:rStyle w:val="Hyperlink"/>
          </w:rPr>
          <w:t>https://doi.org/10.1016/j.biocon.2012.07.014</w:t>
        </w:r>
      </w:hyperlink>
    </w:p>
    <w:p w14:paraId="259AA51C" w14:textId="77777777" w:rsidR="003A6624" w:rsidRDefault="003A6624" w:rsidP="003A6624">
      <w:pPr>
        <w:pStyle w:val="isselectedend"/>
      </w:pPr>
      <w:r>
        <w:t xml:space="preserve">Bayani, A., </w:t>
      </w:r>
      <w:proofErr w:type="spellStart"/>
      <w:r>
        <w:t>Tiwade</w:t>
      </w:r>
      <w:proofErr w:type="spellEnd"/>
      <w:r>
        <w:t xml:space="preserve">, D., Dongre, A., Dongre, A. P., Phatak, R., &amp; Watve, M. (2016). Assessment of crop damage by protected wild mammalian herbivores on the western boundary of </w:t>
      </w:r>
      <w:proofErr w:type="spellStart"/>
      <w:r>
        <w:t>Tadoba-Andhari</w:t>
      </w:r>
      <w:proofErr w:type="spellEnd"/>
      <w:r>
        <w:t xml:space="preserve"> Tiger Reserve (TATR), central India. </w:t>
      </w:r>
      <w:r>
        <w:rPr>
          <w:rStyle w:val="Emphasis"/>
        </w:rPr>
        <w:t>PLOS ONE, 11</w:t>
      </w:r>
      <w:r>
        <w:t xml:space="preserve">(4), e0153854. </w:t>
      </w:r>
      <w:hyperlink r:id="rId13" w:history="1">
        <w:r>
          <w:rPr>
            <w:rStyle w:val="Hyperlink"/>
          </w:rPr>
          <w:t>https://doi.org/10.1371/journal.pone.0153854</w:t>
        </w:r>
      </w:hyperlink>
    </w:p>
    <w:p w14:paraId="38BCFB83" w14:textId="77777777" w:rsidR="003A6624" w:rsidRDefault="003A6624" w:rsidP="003A6624">
      <w:pPr>
        <w:pStyle w:val="isselectedend"/>
      </w:pPr>
      <w:r>
        <w:t xml:space="preserve">Bayani, A., &amp; Watve, M. (2016). Differences in </w:t>
      </w:r>
      <w:proofErr w:type="spellStart"/>
      <w:r>
        <w:t>behaviour</w:t>
      </w:r>
      <w:proofErr w:type="spellEnd"/>
      <w:r>
        <w:t xml:space="preserve"> of the nilgai (</w:t>
      </w:r>
      <w:proofErr w:type="spellStart"/>
      <w:r>
        <w:rPr>
          <w:rStyle w:val="Emphasis"/>
        </w:rPr>
        <w:t>Boselaphus</w:t>
      </w:r>
      <w:proofErr w:type="spellEnd"/>
      <w:r>
        <w:rPr>
          <w:rStyle w:val="Emphasis"/>
        </w:rPr>
        <w:t xml:space="preserve"> </w:t>
      </w:r>
      <w:proofErr w:type="spellStart"/>
      <w:r>
        <w:rPr>
          <w:rStyle w:val="Emphasis"/>
        </w:rPr>
        <w:t>tragocamelus</w:t>
      </w:r>
      <w:proofErr w:type="spellEnd"/>
      <w:r>
        <w:t xml:space="preserve">) during foraging in forest versus in agricultural land. </w:t>
      </w:r>
      <w:r>
        <w:rPr>
          <w:rStyle w:val="Emphasis"/>
        </w:rPr>
        <w:t>Journal of Tropical Ecology, 32</w:t>
      </w:r>
      <w:r>
        <w:t xml:space="preserve">(6), 469–481. </w:t>
      </w:r>
      <w:hyperlink r:id="rId14" w:history="1">
        <w:r>
          <w:rPr>
            <w:rStyle w:val="Hyperlink"/>
          </w:rPr>
          <w:t>https://doi.org/10.1017/S0266467416000420</w:t>
        </w:r>
      </w:hyperlink>
    </w:p>
    <w:p w14:paraId="4509B059" w14:textId="77777777" w:rsidR="003A6624" w:rsidRDefault="003A6624" w:rsidP="003A6624">
      <w:pPr>
        <w:pStyle w:val="isselectedend"/>
      </w:pPr>
      <w:r>
        <w:t xml:space="preserve">Chandel, C. S., Madan, S., Jain, D., </w:t>
      </w:r>
      <w:proofErr w:type="spellStart"/>
      <w:r>
        <w:t>Kawlni</w:t>
      </w:r>
      <w:proofErr w:type="spellEnd"/>
      <w:r>
        <w:t xml:space="preserve">, L., </w:t>
      </w:r>
      <w:proofErr w:type="spellStart"/>
      <w:r>
        <w:t>Kolipakam</w:t>
      </w:r>
      <w:proofErr w:type="spellEnd"/>
      <w:r>
        <w:t xml:space="preserve">, V., &amp; Qureshi, Q. (2024). Understanding human-nilgai negative interactions in India: A systematic review through print media report analysis. </w:t>
      </w:r>
      <w:r>
        <w:rPr>
          <w:rStyle w:val="Emphasis"/>
        </w:rPr>
        <w:t>Journal of Threatened Taxa, 16</w:t>
      </w:r>
      <w:r>
        <w:t xml:space="preserve">(6), 25318–25329. </w:t>
      </w:r>
      <w:hyperlink r:id="rId15" w:history="1">
        <w:r>
          <w:rPr>
            <w:rStyle w:val="Hyperlink"/>
          </w:rPr>
          <w:t>https://doi.org/10.11609/jott.8758.16.6.25318-25329</w:t>
        </w:r>
      </w:hyperlink>
    </w:p>
    <w:p w14:paraId="1FBF256B" w14:textId="77777777" w:rsidR="003A6624" w:rsidRDefault="003A6624" w:rsidP="003A6624">
      <w:pPr>
        <w:pStyle w:val="isselectedend"/>
      </w:pPr>
      <w:r>
        <w:t xml:space="preserve">Chandel, C. S., Madan, S., Jain, D., Kumar, U., </w:t>
      </w:r>
      <w:proofErr w:type="spellStart"/>
      <w:r>
        <w:t>Kolipakam</w:t>
      </w:r>
      <w:proofErr w:type="spellEnd"/>
      <w:r>
        <w:t xml:space="preserve">, V., Kawlni, L., &amp; Qureshi, Q. (2025). Holy yet hindered: Habitat use patterns of a large herbivore reveal challenges to farmers in India. </w:t>
      </w:r>
      <w:r>
        <w:rPr>
          <w:rStyle w:val="Emphasis"/>
        </w:rPr>
        <w:t>Environmental Challenges, 20</w:t>
      </w:r>
      <w:r>
        <w:t xml:space="preserve">, 101198. </w:t>
      </w:r>
      <w:hyperlink r:id="rId16" w:history="1">
        <w:r>
          <w:rPr>
            <w:rStyle w:val="Hyperlink"/>
          </w:rPr>
          <w:t>https://doi.org/10.1016/j.envc.2025.101198</w:t>
        </w:r>
      </w:hyperlink>
    </w:p>
    <w:p w14:paraId="030B409C" w14:textId="77777777" w:rsidR="003A6624" w:rsidRDefault="003A6624" w:rsidP="003A6624">
      <w:pPr>
        <w:pStyle w:val="isselectedend"/>
      </w:pPr>
      <w:r>
        <w:t xml:space="preserve">Chauhan, N. P. S., &amp; Sawarkar, V. B. (1989). Problems of over-abundant populations of ‘Nilgai’ and ‘Blackbuck’ in Haryana and Madhya Pradesh and their management. </w:t>
      </w:r>
      <w:r>
        <w:rPr>
          <w:rStyle w:val="Emphasis"/>
        </w:rPr>
        <w:t>Indian Forester, 115</w:t>
      </w:r>
      <w:r>
        <w:t xml:space="preserve">(7), 488–493. </w:t>
      </w:r>
      <w:hyperlink r:id="rId17" w:history="1">
        <w:r>
          <w:rPr>
            <w:rStyle w:val="Hyperlink"/>
          </w:rPr>
          <w:t>https://doi.org/10.36808/if/1989/v115i7/9074</w:t>
        </w:r>
      </w:hyperlink>
    </w:p>
    <w:p w14:paraId="61BA3FC4" w14:textId="77777777" w:rsidR="003A6624" w:rsidRDefault="003A6624" w:rsidP="003A6624">
      <w:pPr>
        <w:pStyle w:val="isselectedend"/>
      </w:pPr>
      <w:proofErr w:type="spellStart"/>
      <w:r>
        <w:t>Chhangani</w:t>
      </w:r>
      <w:proofErr w:type="spellEnd"/>
      <w:r>
        <w:t xml:space="preserve">, A. K., Robbins, P., &amp; </w:t>
      </w:r>
      <w:proofErr w:type="spellStart"/>
      <w:r>
        <w:t>Mohnot</w:t>
      </w:r>
      <w:proofErr w:type="spellEnd"/>
      <w:r>
        <w:t xml:space="preserve">, S. M. (2008). Crop raiding and livestock predation at Kumbhalgarh Wildlife Sanctuary, Rajasthan India. </w:t>
      </w:r>
      <w:r>
        <w:rPr>
          <w:rStyle w:val="Emphasis"/>
        </w:rPr>
        <w:t>Human Dimensions of Wildlife, 13</w:t>
      </w:r>
      <w:r>
        <w:t xml:space="preserve">(5), 305–316. </w:t>
      </w:r>
      <w:hyperlink r:id="rId18" w:history="1">
        <w:r>
          <w:rPr>
            <w:rStyle w:val="Hyperlink"/>
          </w:rPr>
          <w:t>https://doi.org/10.1080/10871200802282922</w:t>
        </w:r>
      </w:hyperlink>
    </w:p>
    <w:p w14:paraId="412D2AA8" w14:textId="77777777" w:rsidR="003A6624" w:rsidRDefault="003A6624" w:rsidP="003A6624">
      <w:pPr>
        <w:pStyle w:val="isselectedend"/>
      </w:pPr>
      <w:r>
        <w:t>Chopra, G., &amp; Rai, D. (2009). A study on the ecology of Nilgai (</w:t>
      </w:r>
      <w:proofErr w:type="spellStart"/>
      <w:r>
        <w:rPr>
          <w:rStyle w:val="Emphasis"/>
        </w:rPr>
        <w:t>Boselaphus</w:t>
      </w:r>
      <w:proofErr w:type="spellEnd"/>
      <w:r>
        <w:rPr>
          <w:rStyle w:val="Emphasis"/>
        </w:rPr>
        <w:t xml:space="preserve"> </w:t>
      </w:r>
      <w:proofErr w:type="spellStart"/>
      <w:r>
        <w:rPr>
          <w:rStyle w:val="Emphasis"/>
        </w:rPr>
        <w:t>tragocamelus</w:t>
      </w:r>
      <w:proofErr w:type="spellEnd"/>
      <w:r>
        <w:t xml:space="preserve"> Pallas) and its status as an unconventional pest of agriculture in and around Beer-</w:t>
      </w:r>
      <w:proofErr w:type="spellStart"/>
      <w:r>
        <w:t>Sonty</w:t>
      </w:r>
      <w:proofErr w:type="spellEnd"/>
      <w:r>
        <w:t xml:space="preserve"> Reserve Forest, Haryana, India. </w:t>
      </w:r>
      <w:r>
        <w:rPr>
          <w:rStyle w:val="Emphasis"/>
        </w:rPr>
        <w:t>Journal of Applied and Natural Science, 1</w:t>
      </w:r>
      <w:r>
        <w:t xml:space="preserve">(2), 245–249. </w:t>
      </w:r>
      <w:hyperlink r:id="rId19" w:history="1">
        <w:r>
          <w:rPr>
            <w:rStyle w:val="Hyperlink"/>
          </w:rPr>
          <w:t>https://doi.org/10.31018/jans.v1i2.81</w:t>
        </w:r>
      </w:hyperlink>
    </w:p>
    <w:p w14:paraId="7CCA4173" w14:textId="77777777" w:rsidR="003A6624" w:rsidRDefault="003A6624" w:rsidP="003A6624">
      <w:pPr>
        <w:pStyle w:val="isselectedend"/>
      </w:pPr>
      <w:r>
        <w:t xml:space="preserve">Costa, H. C. M., Peres, C. A., Heming, N. M., da Silva, D. J., dos Santos-Filho, M., Campos-Silva, J. V., &amp; Storck-Tonon, D. (2026). Crop-raiding by a forest ungulate in Earth's largest tropical agricultural frontier potentially costs local farmers ~US$700 m and disproportionately penalizes smallholders. </w:t>
      </w:r>
      <w:r>
        <w:rPr>
          <w:rStyle w:val="Emphasis"/>
        </w:rPr>
        <w:t>Journal of Applied Ecology, 63</w:t>
      </w:r>
      <w:r>
        <w:t xml:space="preserve">(1), e70274. </w:t>
      </w:r>
      <w:hyperlink r:id="rId20" w:history="1">
        <w:r>
          <w:rPr>
            <w:rStyle w:val="Hyperlink"/>
          </w:rPr>
          <w:t>https://doi.org/10.1111/1365-2664.70274</w:t>
        </w:r>
      </w:hyperlink>
    </w:p>
    <w:p w14:paraId="763DD17C" w14:textId="77777777" w:rsidR="003A6624" w:rsidRDefault="003A6624" w:rsidP="003A6624">
      <w:pPr>
        <w:pStyle w:val="isselectedend"/>
      </w:pPr>
      <w:r>
        <w:t xml:space="preserve">Dickman, A. J. (2010). Complexities of conflict: The importance of considering social factors for effectively resolving human-wildlife conflict. </w:t>
      </w:r>
      <w:r>
        <w:rPr>
          <w:rStyle w:val="Emphasis"/>
        </w:rPr>
        <w:t>Animal Conservation, 13</w:t>
      </w:r>
      <w:r>
        <w:t xml:space="preserve">(5), 458–466. </w:t>
      </w:r>
      <w:hyperlink r:id="rId21" w:history="1">
        <w:r>
          <w:rPr>
            <w:rStyle w:val="Hyperlink"/>
          </w:rPr>
          <w:t>https://doi.org/10.1111/j.1469-1795.2010.00368.x</w:t>
        </w:r>
      </w:hyperlink>
    </w:p>
    <w:p w14:paraId="3C9A73DD" w14:textId="77777777" w:rsidR="003A6624" w:rsidRDefault="003A6624" w:rsidP="003A6624">
      <w:pPr>
        <w:pStyle w:val="isselectedend"/>
      </w:pPr>
      <w:r>
        <w:t xml:space="preserve">Galley, W., &amp; Anthony, B. P. (2024). Beyond crop-raiding: Unravelling the broader impacts of human-wildlife conflict on rural communities. </w:t>
      </w:r>
      <w:r>
        <w:rPr>
          <w:rStyle w:val="Emphasis"/>
        </w:rPr>
        <w:t>Environmental Management, 74</w:t>
      </w:r>
      <w:r>
        <w:t xml:space="preserve">(3), 590–608. </w:t>
      </w:r>
      <w:hyperlink r:id="rId22" w:history="1">
        <w:r>
          <w:rPr>
            <w:rStyle w:val="Hyperlink"/>
          </w:rPr>
          <w:t>https://doi.org/10.1007/s00267-024-02018-9</w:t>
        </w:r>
      </w:hyperlink>
    </w:p>
    <w:p w14:paraId="0C5BBBD5" w14:textId="77777777" w:rsidR="003A6624" w:rsidRDefault="003A6624" w:rsidP="003A6624">
      <w:pPr>
        <w:pStyle w:val="isselectedend"/>
      </w:pPr>
      <w:r>
        <w:t xml:space="preserve">Government of India. (1972). </w:t>
      </w:r>
      <w:r>
        <w:rPr>
          <w:rStyle w:val="Emphasis"/>
        </w:rPr>
        <w:t>The Wild Life (Protection) Act, 1972 (Act No. 53 of 1972), as amended</w:t>
      </w:r>
      <w:r>
        <w:t xml:space="preserve">. India Code. </w:t>
      </w:r>
      <w:hyperlink r:id="rId23" w:history="1">
        <w:r>
          <w:rPr>
            <w:rStyle w:val="Hyperlink"/>
          </w:rPr>
          <w:t>https://www.indiacode.nic.in/handle/123456789/1726</w:t>
        </w:r>
      </w:hyperlink>
    </w:p>
    <w:p w14:paraId="364185FD" w14:textId="77777777" w:rsidR="003A6624" w:rsidRDefault="003A6624" w:rsidP="003A6624">
      <w:pPr>
        <w:pStyle w:val="isselectedend"/>
      </w:pPr>
      <w:r>
        <w:lastRenderedPageBreak/>
        <w:t xml:space="preserve">Gross, E. M., Jayasinghe, N., Dahal, S., Tenzin, S., </w:t>
      </w:r>
      <w:proofErr w:type="spellStart"/>
      <w:r>
        <w:t>Klenzendorf</w:t>
      </w:r>
      <w:proofErr w:type="spellEnd"/>
      <w:r>
        <w:t xml:space="preserve">, S., Vannelli, K., van Gils, E., </w:t>
      </w:r>
      <w:proofErr w:type="spellStart"/>
      <w:r>
        <w:t>Hilderink</w:t>
      </w:r>
      <w:proofErr w:type="spellEnd"/>
      <w:r>
        <w:t xml:space="preserve">-Koopmans, F., McVey, D., Banasiak, N., Boron, V., Frances, D., Petrone, S., Elliott, W., Cranston, K., Clemens, K., Moore, J. F., Glikman, J. A., Kansky, R., … Kinnaird, M. F. (2025). C2C—conflict to coexistence: A global approach to manage human-wildlife conflict for coexistence. </w:t>
      </w:r>
      <w:r>
        <w:rPr>
          <w:rStyle w:val="Emphasis"/>
        </w:rPr>
        <w:t>Conservation Science and Practice, 7</w:t>
      </w:r>
      <w:r>
        <w:t xml:space="preserve">(2), e13292. </w:t>
      </w:r>
      <w:hyperlink r:id="rId24" w:history="1">
        <w:r>
          <w:rPr>
            <w:rStyle w:val="Hyperlink"/>
          </w:rPr>
          <w:t>https://doi.org/10.1111/csp2.13292</w:t>
        </w:r>
      </w:hyperlink>
    </w:p>
    <w:p w14:paraId="0ABE09D0" w14:textId="77777777" w:rsidR="003A6624" w:rsidRDefault="003A6624" w:rsidP="003A6624">
      <w:pPr>
        <w:pStyle w:val="isselectedend"/>
      </w:pPr>
      <w:r>
        <w:t xml:space="preserve">Gross, E. M., </w:t>
      </w:r>
      <w:proofErr w:type="spellStart"/>
      <w:r>
        <w:t>Lahkar</w:t>
      </w:r>
      <w:proofErr w:type="spellEnd"/>
      <w:r>
        <w:t xml:space="preserve">, B. P., Subedi, N., Nyirenda, V. R., Lichtenfeld, L. L., &amp; Jakoby, O. (2018). Seasonality, crop type and crop phenology influence crop damage by wildlife herbivores in Africa and Asia. </w:t>
      </w:r>
      <w:r>
        <w:rPr>
          <w:rStyle w:val="Emphasis"/>
        </w:rPr>
        <w:t>Biodiversity and Conservation, 27</w:t>
      </w:r>
      <w:r>
        <w:t xml:space="preserve">(8), 2029–2050. </w:t>
      </w:r>
      <w:hyperlink r:id="rId25" w:history="1">
        <w:r>
          <w:rPr>
            <w:rStyle w:val="Hyperlink"/>
          </w:rPr>
          <w:t>https://doi.org/10.1007/s10531-018-1523-0</w:t>
        </w:r>
      </w:hyperlink>
    </w:p>
    <w:p w14:paraId="378B2E4E" w14:textId="77777777" w:rsidR="003A6624" w:rsidRDefault="003A6624" w:rsidP="003A6624">
      <w:pPr>
        <w:pStyle w:val="isselectedend"/>
      </w:pPr>
      <w:r>
        <w:t xml:space="preserve">Gross, E. M., </w:t>
      </w:r>
      <w:proofErr w:type="spellStart"/>
      <w:r>
        <w:t>Lahkar</w:t>
      </w:r>
      <w:proofErr w:type="spellEnd"/>
      <w:r>
        <w:t xml:space="preserve">, B. P., Subedi, N., Nyirenda, V. R., Lichtenfeld, L. L., &amp; Jakoby, O. (2019). Does traditional and advanced guarding reduce crop losses due to wildlife? A comparative analysis from Africa and Asia. </w:t>
      </w:r>
      <w:r>
        <w:rPr>
          <w:rStyle w:val="Emphasis"/>
        </w:rPr>
        <w:t>Journal for Nature Conservation, 50</w:t>
      </w:r>
      <w:r>
        <w:t xml:space="preserve">, 125712. </w:t>
      </w:r>
      <w:hyperlink r:id="rId26" w:history="1">
        <w:r>
          <w:rPr>
            <w:rStyle w:val="Hyperlink"/>
          </w:rPr>
          <w:t>https://doi.org/10.1016/j.jnc.2019.125712</w:t>
        </w:r>
      </w:hyperlink>
    </w:p>
    <w:p w14:paraId="717C3396" w14:textId="77777777" w:rsidR="003A6624" w:rsidRDefault="003A6624" w:rsidP="003A6624">
      <w:pPr>
        <w:pStyle w:val="isselectedend"/>
      </w:pPr>
      <w:r>
        <w:t xml:space="preserve">Gulati, S., Karanth, K. K., Le, N. A., &amp; Noack, F. (2021). Human casualties are the dominant cost of human-wildlife conflict in India. </w:t>
      </w:r>
      <w:r>
        <w:rPr>
          <w:rStyle w:val="Emphasis"/>
        </w:rPr>
        <w:t>Proceedings of the National Academy of Sciences, 118</w:t>
      </w:r>
      <w:r>
        <w:t xml:space="preserve">(8), e1921338118. </w:t>
      </w:r>
      <w:hyperlink r:id="rId27" w:history="1">
        <w:r>
          <w:rPr>
            <w:rStyle w:val="Hyperlink"/>
          </w:rPr>
          <w:t>https://doi.org/10.1073/pnas.1921338118</w:t>
        </w:r>
      </w:hyperlink>
    </w:p>
    <w:p w14:paraId="44D3E5BF" w14:textId="77777777" w:rsidR="003A6624" w:rsidRDefault="003A6624" w:rsidP="003A6624">
      <w:pPr>
        <w:pStyle w:val="isselectedend"/>
      </w:pPr>
      <w:r>
        <w:t xml:space="preserve">Gupta, S. K., &amp; Minhas, V. (2017). Wildlife population management: Are contraceptive vaccines a feasible proposition? </w:t>
      </w:r>
      <w:r>
        <w:rPr>
          <w:rStyle w:val="Emphasis"/>
        </w:rPr>
        <w:t>Frontiers in Bioscience (Scholar Edition), 9</w:t>
      </w:r>
      <w:r>
        <w:t xml:space="preserve">(3), 357–374. </w:t>
      </w:r>
      <w:hyperlink r:id="rId28" w:history="1">
        <w:r>
          <w:rPr>
            <w:rStyle w:val="Hyperlink"/>
          </w:rPr>
          <w:t>https://doi.org/10.2741/S492</w:t>
        </w:r>
      </w:hyperlink>
    </w:p>
    <w:p w14:paraId="1021ABBA" w14:textId="77777777" w:rsidR="003A6624" w:rsidRDefault="003A6624" w:rsidP="003A6624">
      <w:pPr>
        <w:pStyle w:val="isselectedend"/>
      </w:pPr>
      <w:r>
        <w:t xml:space="preserve">Johnson, M. F., Karanth, K. K., &amp; </w:t>
      </w:r>
      <w:proofErr w:type="spellStart"/>
      <w:r>
        <w:t>Weinthal</w:t>
      </w:r>
      <w:proofErr w:type="spellEnd"/>
      <w:r>
        <w:t xml:space="preserve">, E. (2018). Compensation as a policy for mitigating human-wildlife conflict around four protected areas in Rajasthan, India. </w:t>
      </w:r>
      <w:r>
        <w:rPr>
          <w:rStyle w:val="Emphasis"/>
        </w:rPr>
        <w:t>Conservation and Society, 16</w:t>
      </w:r>
      <w:r>
        <w:t xml:space="preserve">(3), 305–319. </w:t>
      </w:r>
      <w:hyperlink r:id="rId29" w:history="1">
        <w:r>
          <w:rPr>
            <w:rStyle w:val="Hyperlink"/>
          </w:rPr>
          <w:t>https://doi.org/10.4103/cs.cs_17_1</w:t>
        </w:r>
      </w:hyperlink>
    </w:p>
    <w:p w14:paraId="76C5C227" w14:textId="77777777" w:rsidR="003A6624" w:rsidRDefault="003A6624" w:rsidP="003A6624">
      <w:pPr>
        <w:pStyle w:val="isselectedend"/>
      </w:pPr>
      <w:r>
        <w:t xml:space="preserve">Karanth, K. K., Gopalaswamy, A. M., Prasad, P. K., &amp; Dasgupta, S. (2013). Patterns of human-wildlife conflicts and compensation: Insights from Western Ghats protected areas. </w:t>
      </w:r>
      <w:r>
        <w:rPr>
          <w:rStyle w:val="Emphasis"/>
        </w:rPr>
        <w:t>Biological Conservation, 166</w:t>
      </w:r>
      <w:r>
        <w:t xml:space="preserve">, 175–185. </w:t>
      </w:r>
      <w:hyperlink r:id="rId30" w:history="1">
        <w:r>
          <w:rPr>
            <w:rStyle w:val="Hyperlink"/>
          </w:rPr>
          <w:t>https://doi.org/10.1016/j.biocon.2013.06.027</w:t>
        </w:r>
      </w:hyperlink>
    </w:p>
    <w:p w14:paraId="1BB64C3B" w14:textId="77777777" w:rsidR="003A6624" w:rsidRDefault="003A6624" w:rsidP="003A6624">
      <w:pPr>
        <w:pStyle w:val="isselectedend"/>
      </w:pPr>
      <w:r>
        <w:t xml:space="preserve">Karanth, K. K., Gupta, S., &amp; </w:t>
      </w:r>
      <w:proofErr w:type="spellStart"/>
      <w:r>
        <w:t>Vanamamalai</w:t>
      </w:r>
      <w:proofErr w:type="spellEnd"/>
      <w:r>
        <w:t xml:space="preserve">, A. (2018). Compensation payments, procedures and policies towards human-wildlife conflict management: Insights from India. </w:t>
      </w:r>
      <w:r>
        <w:rPr>
          <w:rStyle w:val="Emphasis"/>
        </w:rPr>
        <w:t>Biological Conservation, 227</w:t>
      </w:r>
      <w:r>
        <w:t xml:space="preserve">, 383–389. </w:t>
      </w:r>
      <w:hyperlink r:id="rId31" w:history="1">
        <w:r>
          <w:rPr>
            <w:rStyle w:val="Hyperlink"/>
          </w:rPr>
          <w:t>https://doi.org/10.1016/j.biocon.2018.07.006</w:t>
        </w:r>
      </w:hyperlink>
    </w:p>
    <w:p w14:paraId="3B9722DD" w14:textId="77777777" w:rsidR="003A6624" w:rsidRDefault="003A6624" w:rsidP="003A6624">
      <w:pPr>
        <w:pStyle w:val="isselectedend"/>
      </w:pPr>
      <w:r>
        <w:t xml:space="preserve">Karanth, K. K., &amp; </w:t>
      </w:r>
      <w:proofErr w:type="spellStart"/>
      <w:r>
        <w:t>Kudalkar</w:t>
      </w:r>
      <w:proofErr w:type="spellEnd"/>
      <w:r>
        <w:t xml:space="preserve">, S. (2017). History, location, and species matter: Insights for human-wildlife conflict mitigation from India. </w:t>
      </w:r>
      <w:r>
        <w:rPr>
          <w:rStyle w:val="Emphasis"/>
        </w:rPr>
        <w:t>Human Dimensions of Wildlife, 22</w:t>
      </w:r>
      <w:r>
        <w:t xml:space="preserve">(4), 331–346. </w:t>
      </w:r>
      <w:hyperlink r:id="rId32" w:history="1">
        <w:r>
          <w:rPr>
            <w:rStyle w:val="Hyperlink"/>
          </w:rPr>
          <w:t>https://doi.org/10.1080/10871209.2017.1334106</w:t>
        </w:r>
      </w:hyperlink>
    </w:p>
    <w:p w14:paraId="3021514D" w14:textId="77777777" w:rsidR="003A6624" w:rsidRDefault="003A6624" w:rsidP="003A6624">
      <w:pPr>
        <w:pStyle w:val="isselectedend"/>
      </w:pPr>
      <w:r>
        <w:t xml:space="preserve">Karanth, K. K., &amp; Nepal, S. K. (2012). Local </w:t>
      </w:r>
      <w:proofErr w:type="gramStart"/>
      <w:r>
        <w:t>residents</w:t>
      </w:r>
      <w:proofErr w:type="gramEnd"/>
      <w:r>
        <w:t xml:space="preserve"> perception of benefits and losses from protected areas in India and Nepal. </w:t>
      </w:r>
      <w:r>
        <w:rPr>
          <w:rStyle w:val="Emphasis"/>
        </w:rPr>
        <w:t>Environmental Management, 49</w:t>
      </w:r>
      <w:r>
        <w:t xml:space="preserve">(2), 372–386. </w:t>
      </w:r>
      <w:hyperlink r:id="rId33" w:history="1">
        <w:r>
          <w:rPr>
            <w:rStyle w:val="Hyperlink"/>
          </w:rPr>
          <w:t>https://doi.org/10.1007/s00267-011-9778-1</w:t>
        </w:r>
      </w:hyperlink>
    </w:p>
    <w:p w14:paraId="0938C8B9" w14:textId="77777777" w:rsidR="003A6624" w:rsidRDefault="003A6624" w:rsidP="003A6624">
      <w:pPr>
        <w:pStyle w:val="isselectedend"/>
      </w:pPr>
      <w:r>
        <w:t xml:space="preserve">Karanth, K. K., Nichols, J. D., Hines, J. E., Karanth, K. U., &amp; Christensen, N. L. (2009). Patterns and determinants of mammal species occurrence in India. </w:t>
      </w:r>
      <w:r>
        <w:rPr>
          <w:rStyle w:val="Emphasis"/>
        </w:rPr>
        <w:t>Journal of Applied Ecology, 46</w:t>
      </w:r>
      <w:r>
        <w:t xml:space="preserve">(6), 1189–1200. </w:t>
      </w:r>
      <w:hyperlink r:id="rId34" w:history="1">
        <w:r>
          <w:rPr>
            <w:rStyle w:val="Hyperlink"/>
          </w:rPr>
          <w:t>https://doi.org/10.1111/j.1365-2664.2009.01710.x</w:t>
        </w:r>
      </w:hyperlink>
    </w:p>
    <w:p w14:paraId="62791B33" w14:textId="77777777" w:rsidR="003A6624" w:rsidRDefault="003A6624" w:rsidP="003A6624">
      <w:pPr>
        <w:pStyle w:val="isselectedend"/>
      </w:pPr>
      <w:r>
        <w:t xml:space="preserve">Karanth, K. K., Nichols, J. D., Karanth, K. U., Hines, J. E., &amp; Christensen, N. L. (2010). The shrinking ark: Patterns of large mammal extinctions in India. </w:t>
      </w:r>
      <w:r>
        <w:rPr>
          <w:rStyle w:val="Emphasis"/>
        </w:rPr>
        <w:t>Proceedings of the Royal Society B: Biological Sciences, 277</w:t>
      </w:r>
      <w:r>
        <w:t xml:space="preserve">(1690), 1971–1979. </w:t>
      </w:r>
      <w:hyperlink r:id="rId35" w:history="1">
        <w:r>
          <w:rPr>
            <w:rStyle w:val="Hyperlink"/>
          </w:rPr>
          <w:t>https://doi.org/10.1098/rspb.2010.0171</w:t>
        </w:r>
      </w:hyperlink>
    </w:p>
    <w:p w14:paraId="5B1563FE" w14:textId="77777777" w:rsidR="003A6624" w:rsidRDefault="003A6624" w:rsidP="003A6624">
      <w:pPr>
        <w:pStyle w:val="isselectedend"/>
      </w:pPr>
      <w:r>
        <w:lastRenderedPageBreak/>
        <w:t xml:space="preserve">Kirkpatrick, J. F., Lyda, R. O., &amp; Frank, K. M. (2011). Contraceptive vaccines for wildlife: A review. </w:t>
      </w:r>
      <w:r>
        <w:rPr>
          <w:rStyle w:val="Emphasis"/>
        </w:rPr>
        <w:t>American Journal of Reproductive Immunology, 66</w:t>
      </w:r>
      <w:r>
        <w:t xml:space="preserve">(1), 40–50. </w:t>
      </w:r>
      <w:hyperlink r:id="rId36" w:history="1">
        <w:r>
          <w:rPr>
            <w:rStyle w:val="Hyperlink"/>
          </w:rPr>
          <w:t>https://doi.org/10.1111/j.1600-0897.2011.01003.x</w:t>
        </w:r>
      </w:hyperlink>
    </w:p>
    <w:p w14:paraId="5EA9F9C3" w14:textId="77777777" w:rsidR="003A6624" w:rsidRDefault="003A6624" w:rsidP="003A6624">
      <w:pPr>
        <w:pStyle w:val="isselectedend"/>
      </w:pPr>
      <w:r>
        <w:t xml:space="preserve">Kumar, A., </w:t>
      </w:r>
      <w:proofErr w:type="spellStart"/>
      <w:r>
        <w:t>Bargali</w:t>
      </w:r>
      <w:proofErr w:type="spellEnd"/>
      <w:r>
        <w:t xml:space="preserve">, H. S., David, A., &amp; </w:t>
      </w:r>
      <w:proofErr w:type="spellStart"/>
      <w:r>
        <w:t>Edgaonkar</w:t>
      </w:r>
      <w:proofErr w:type="spellEnd"/>
      <w:r>
        <w:t xml:space="preserve">, A. (2017). Patterns of crop </w:t>
      </w:r>
      <w:proofErr w:type="spellStart"/>
      <w:r>
        <w:t>rading</w:t>
      </w:r>
      <w:proofErr w:type="spellEnd"/>
      <w:r>
        <w:t xml:space="preserve"> by wild ungulates and elephants in </w:t>
      </w:r>
      <w:proofErr w:type="spellStart"/>
      <w:r>
        <w:t>Ramnagar</w:t>
      </w:r>
      <w:proofErr w:type="spellEnd"/>
      <w:r>
        <w:t xml:space="preserve"> Forest Division, Uttarakhand. </w:t>
      </w:r>
      <w:r>
        <w:rPr>
          <w:rStyle w:val="Emphasis"/>
        </w:rPr>
        <w:t>Human–Wildlife Interactions, 11</w:t>
      </w:r>
      <w:r>
        <w:t xml:space="preserve">(1), 41–49. </w:t>
      </w:r>
      <w:hyperlink r:id="rId37" w:history="1">
        <w:r>
          <w:rPr>
            <w:rStyle w:val="Hyperlink"/>
          </w:rPr>
          <w:t>https://doi.org/10.26077/j9j8-8e74</w:t>
        </w:r>
      </w:hyperlink>
    </w:p>
    <w:p w14:paraId="39DF9CA9" w14:textId="77777777" w:rsidR="003A6624" w:rsidRDefault="003A6624" w:rsidP="003A6624">
      <w:pPr>
        <w:pStyle w:val="isselectedend"/>
      </w:pPr>
      <w:r>
        <w:t xml:space="preserve">Kumar, V., Attri, V., Rana, D. S., &amp; Chauhan, S. K. (2022). ‘Crop raiding’: Farmers’ perspectives in </w:t>
      </w:r>
      <w:proofErr w:type="spellStart"/>
      <w:r>
        <w:t>Shiwalik</w:t>
      </w:r>
      <w:proofErr w:type="spellEnd"/>
      <w:r>
        <w:t xml:space="preserve"> Hills of North-Western Himalayas, India. </w:t>
      </w:r>
      <w:r>
        <w:rPr>
          <w:rStyle w:val="Emphasis"/>
        </w:rPr>
        <w:t>Journal of International Wildlife Law &amp; Policy, 25</w:t>
      </w:r>
      <w:r>
        <w:t xml:space="preserve">(4), 301–313. </w:t>
      </w:r>
      <w:hyperlink r:id="rId38" w:history="1">
        <w:r>
          <w:rPr>
            <w:rStyle w:val="Hyperlink"/>
          </w:rPr>
          <w:t>https://doi.org/10.1080/13880292.2022.2146851</w:t>
        </w:r>
      </w:hyperlink>
    </w:p>
    <w:p w14:paraId="5289CBAC" w14:textId="77777777" w:rsidR="003A6624" w:rsidRDefault="003A6624" w:rsidP="003A6624">
      <w:pPr>
        <w:pStyle w:val="isselectedend"/>
      </w:pPr>
      <w:r>
        <w:t xml:space="preserve">Liu, J., Li, Y., Liu, K., Zhang, C., Gao, H., Lu, M., &amp; Nie, Y. (2024). The synergistic impact of socioeconomic and landscape factors on spatial patterns of human-wildlife conflicts. </w:t>
      </w:r>
      <w:r>
        <w:rPr>
          <w:rStyle w:val="Emphasis"/>
        </w:rPr>
        <w:t>Biological Conservation, 290</w:t>
      </w:r>
      <w:r>
        <w:t xml:space="preserve">, 110431. </w:t>
      </w:r>
      <w:hyperlink r:id="rId39" w:history="1">
        <w:r>
          <w:rPr>
            <w:rStyle w:val="Hyperlink"/>
          </w:rPr>
          <w:t>https://doi.org/10.1016/j.biocon.2023.110431</w:t>
        </w:r>
      </w:hyperlink>
    </w:p>
    <w:p w14:paraId="0B575BE1" w14:textId="77777777" w:rsidR="003A6624" w:rsidRDefault="003A6624" w:rsidP="003A6624">
      <w:pPr>
        <w:pStyle w:val="isselectedend"/>
      </w:pPr>
      <w:r>
        <w:t xml:space="preserve">Madhusudan, M. D. (2003). Living amidst large wildlife: Livestock and crop depredation by large mammals in the interior villages of Bhadra Tiger Reserve, South India. </w:t>
      </w:r>
      <w:r>
        <w:rPr>
          <w:rStyle w:val="Emphasis"/>
        </w:rPr>
        <w:t>Environmental Management, 31</w:t>
      </w:r>
      <w:r>
        <w:t xml:space="preserve">(4), 466–475. </w:t>
      </w:r>
      <w:hyperlink r:id="rId40" w:history="1">
        <w:r>
          <w:rPr>
            <w:rStyle w:val="Hyperlink"/>
          </w:rPr>
          <w:t>https://doi.org/10.1007/s00267-002-2790-8</w:t>
        </w:r>
      </w:hyperlink>
    </w:p>
    <w:p w14:paraId="316C8AC6" w14:textId="77777777" w:rsidR="003A6624" w:rsidRDefault="003A6624" w:rsidP="003A6624">
      <w:pPr>
        <w:pStyle w:val="isselectedend"/>
      </w:pPr>
      <w:r>
        <w:t xml:space="preserve">Nyhus, P. J. (2016). Human-wildlife conflict and coexistence. </w:t>
      </w:r>
      <w:r>
        <w:rPr>
          <w:rStyle w:val="Emphasis"/>
        </w:rPr>
        <w:t>Annual Review of Environment and Resources, 41</w:t>
      </w:r>
      <w:r>
        <w:t xml:space="preserve">, 143–171. </w:t>
      </w:r>
      <w:hyperlink r:id="rId41" w:history="1">
        <w:r>
          <w:rPr>
            <w:rStyle w:val="Hyperlink"/>
          </w:rPr>
          <w:t>https://doi.org/10.1146/annurev-environ-110615-085634</w:t>
        </w:r>
      </w:hyperlink>
    </w:p>
    <w:p w14:paraId="2C14A513" w14:textId="77777777" w:rsidR="003A6624" w:rsidRDefault="003A6624" w:rsidP="003A6624">
      <w:pPr>
        <w:pStyle w:val="isselectedend"/>
      </w:pPr>
      <w:r>
        <w:t xml:space="preserve">Ogra, M. V. (2008). Human-wildlife conflict and gender in protected area borderlands: A case study of costs, perceptions, and vulnerabilities from Uttarakhand (Uttaranchal), India. </w:t>
      </w:r>
      <w:proofErr w:type="spellStart"/>
      <w:r>
        <w:rPr>
          <w:rStyle w:val="Emphasis"/>
        </w:rPr>
        <w:t>Geoforum</w:t>
      </w:r>
      <w:proofErr w:type="spellEnd"/>
      <w:r>
        <w:rPr>
          <w:rStyle w:val="Emphasis"/>
        </w:rPr>
        <w:t>, 39</w:t>
      </w:r>
      <w:r>
        <w:t xml:space="preserve">(3), 1408–1422. </w:t>
      </w:r>
      <w:hyperlink r:id="rId42" w:history="1">
        <w:r>
          <w:rPr>
            <w:rStyle w:val="Hyperlink"/>
          </w:rPr>
          <w:t>https://doi.org/10.1016/j.geoforum.2007.12.004</w:t>
        </w:r>
      </w:hyperlink>
    </w:p>
    <w:p w14:paraId="2F0D86E5" w14:textId="77777777" w:rsidR="003A6624" w:rsidRDefault="003A6624" w:rsidP="003A6624">
      <w:pPr>
        <w:pStyle w:val="isselectedend"/>
      </w:pPr>
      <w:r>
        <w:t xml:space="preserve">Qureshi, Q., </w:t>
      </w:r>
      <w:proofErr w:type="spellStart"/>
      <w:r>
        <w:t>Muliya</w:t>
      </w:r>
      <w:proofErr w:type="spellEnd"/>
      <w:r>
        <w:t xml:space="preserve">, S. K., </w:t>
      </w:r>
      <w:proofErr w:type="spellStart"/>
      <w:r>
        <w:t>Kawlni</w:t>
      </w:r>
      <w:proofErr w:type="spellEnd"/>
      <w:r>
        <w:t xml:space="preserve">, L., </w:t>
      </w:r>
      <w:proofErr w:type="spellStart"/>
      <w:r>
        <w:t>Kolipakam</w:t>
      </w:r>
      <w:proofErr w:type="spellEnd"/>
      <w:r>
        <w:t xml:space="preserve">, V., Gusain, P., Hussain, K., &amp; Jhala, Y. V. (2023). </w:t>
      </w:r>
      <w:r>
        <w:rPr>
          <w:rStyle w:val="Emphasis"/>
        </w:rPr>
        <w:t>Population management of species involved in human wildlife conflict</w:t>
      </w:r>
      <w:r>
        <w:t xml:space="preserve"> (Technical Report No. 2023/14). Wildlife Institute of India. </w:t>
      </w:r>
      <w:hyperlink r:id="rId43" w:history="1">
        <w:r>
          <w:rPr>
            <w:rStyle w:val="Hyperlink"/>
          </w:rPr>
          <w:t>https://wii.gov.in/publications/research-reports/population-management-of-species-involved-in-human-wildlife-conflict</w:t>
        </w:r>
      </w:hyperlink>
    </w:p>
    <w:p w14:paraId="34FCD37D" w14:textId="77777777" w:rsidR="003A6624" w:rsidRDefault="003A6624" w:rsidP="003A6624">
      <w:pPr>
        <w:pStyle w:val="isselectedend"/>
      </w:pPr>
      <w:r>
        <w:t xml:space="preserve">Rani, K., &amp; Babbar, B. K. (2024). Mitigating blue bull menace: Assessing strategies for sustainable agriculture. </w:t>
      </w:r>
      <w:r>
        <w:rPr>
          <w:rStyle w:val="Emphasis"/>
        </w:rPr>
        <w:t>Journal of Crop Health, 76</w:t>
      </w:r>
      <w:r>
        <w:t xml:space="preserve">(5), 1147–1165. </w:t>
      </w:r>
      <w:hyperlink r:id="rId44" w:history="1">
        <w:r>
          <w:rPr>
            <w:rStyle w:val="Hyperlink"/>
          </w:rPr>
          <w:t>https://doi.org/10.1007/s10343-024-01016-5</w:t>
        </w:r>
      </w:hyperlink>
    </w:p>
    <w:p w14:paraId="624A2325" w14:textId="77777777" w:rsidR="003A6624" w:rsidRDefault="003A6624" w:rsidP="003A6624">
      <w:pPr>
        <w:pStyle w:val="isselectedend"/>
      </w:pPr>
      <w:r>
        <w:t xml:space="preserve">Rani, K., Babbar, B. K., &amp; Dhillon, A. K. (2025). Population ecology and herd dynamics of blue bull </w:t>
      </w:r>
      <w:proofErr w:type="spellStart"/>
      <w:r>
        <w:rPr>
          <w:rStyle w:val="Emphasis"/>
        </w:rPr>
        <w:t>Boselaphus</w:t>
      </w:r>
      <w:proofErr w:type="spellEnd"/>
      <w:r>
        <w:rPr>
          <w:rStyle w:val="Emphasis"/>
        </w:rPr>
        <w:t xml:space="preserve"> </w:t>
      </w:r>
      <w:proofErr w:type="spellStart"/>
      <w:r>
        <w:rPr>
          <w:rStyle w:val="Emphasis"/>
        </w:rPr>
        <w:t>tragocamelus</w:t>
      </w:r>
      <w:proofErr w:type="spellEnd"/>
      <w:r>
        <w:t xml:space="preserve"> in forest and agrarian lands of district Ludhiana Punjab. </w:t>
      </w:r>
      <w:r>
        <w:rPr>
          <w:rStyle w:val="Emphasis"/>
        </w:rPr>
        <w:t>Scientific Reports, 15</w:t>
      </w:r>
      <w:r>
        <w:t xml:space="preserve">, 24005. </w:t>
      </w:r>
      <w:hyperlink r:id="rId45" w:history="1">
        <w:r>
          <w:rPr>
            <w:rStyle w:val="Hyperlink"/>
          </w:rPr>
          <w:t>https://doi.org/10.1038/s41598-025-08623-w</w:t>
        </w:r>
      </w:hyperlink>
    </w:p>
    <w:p w14:paraId="5133403F" w14:textId="77777777" w:rsidR="003A6624" w:rsidRDefault="003A6624" w:rsidP="003A6624">
      <w:pPr>
        <w:pStyle w:val="isselectedend"/>
      </w:pPr>
      <w:r>
        <w:t xml:space="preserve">Rathi, R., Kukreti, M., &amp; Bhatt, D. (2025). Estimation of losses to agricultural crops by the wild animals in </w:t>
      </w:r>
      <w:proofErr w:type="spellStart"/>
      <w:r>
        <w:t>Najibabad</w:t>
      </w:r>
      <w:proofErr w:type="spellEnd"/>
      <w:r>
        <w:t xml:space="preserve"> forest division. </w:t>
      </w:r>
      <w:r>
        <w:rPr>
          <w:rStyle w:val="Emphasis"/>
        </w:rPr>
        <w:t>The Indian Journal of Animal Sciences, 90</w:t>
      </w:r>
      <w:r>
        <w:t xml:space="preserve">(8), 1201–1203. </w:t>
      </w:r>
      <w:hyperlink r:id="rId46" w:history="1">
        <w:r>
          <w:rPr>
            <w:rStyle w:val="Hyperlink"/>
          </w:rPr>
          <w:t>https://doi.org/10.56093/ijans.v90i8.109318</w:t>
        </w:r>
      </w:hyperlink>
    </w:p>
    <w:p w14:paraId="363489C1" w14:textId="77777777" w:rsidR="003A6624" w:rsidRDefault="003A6624" w:rsidP="003A6624">
      <w:pPr>
        <w:pStyle w:val="isselectedend"/>
      </w:pPr>
      <w:r>
        <w:t xml:space="preserve">Rathi, R., Singh, A., &amp; Bhatt, D. (2020). Status of crop raiding caused by wild animals in </w:t>
      </w:r>
      <w:proofErr w:type="gramStart"/>
      <w:r>
        <w:t>Lansdowne forest</w:t>
      </w:r>
      <w:proofErr w:type="gramEnd"/>
      <w:r>
        <w:t xml:space="preserve"> division, Uttarakhand. </w:t>
      </w:r>
      <w:r>
        <w:rPr>
          <w:rStyle w:val="Emphasis"/>
        </w:rPr>
        <w:t>The Indian Journal of Agricultural Sciences, 90</w:t>
      </w:r>
      <w:r>
        <w:t xml:space="preserve">(8), 1622–1625. </w:t>
      </w:r>
      <w:hyperlink r:id="rId47" w:history="1">
        <w:r>
          <w:rPr>
            <w:rStyle w:val="Hyperlink"/>
          </w:rPr>
          <w:t>https://doi.org/10.56093/ijas.v90i8.105979</w:t>
        </w:r>
      </w:hyperlink>
    </w:p>
    <w:p w14:paraId="189574ED" w14:textId="77777777" w:rsidR="003A6624" w:rsidRDefault="003A6624" w:rsidP="003A6624">
      <w:pPr>
        <w:pStyle w:val="isselectedend"/>
      </w:pPr>
      <w:r>
        <w:lastRenderedPageBreak/>
        <w:t xml:space="preserve">Read, D. J., Habib, B., </w:t>
      </w:r>
      <w:proofErr w:type="spellStart"/>
      <w:r>
        <w:t>Stabach</w:t>
      </w:r>
      <w:proofErr w:type="spellEnd"/>
      <w:r>
        <w:t xml:space="preserve">, J., &amp; Leimgruber, P. (2021). Human movement influenced by perceived risk of wildlife encounters at fine scales: Evidence from central India. </w:t>
      </w:r>
      <w:r>
        <w:rPr>
          <w:rStyle w:val="Emphasis"/>
        </w:rPr>
        <w:t>Biological Conservation, 254</w:t>
      </w:r>
      <w:r>
        <w:t xml:space="preserve">, 108945. </w:t>
      </w:r>
      <w:hyperlink r:id="rId48" w:history="1">
        <w:r>
          <w:rPr>
            <w:rStyle w:val="Hyperlink"/>
          </w:rPr>
          <w:t>https://doi.org/10.1016/j.biocon.2020.108945</w:t>
        </w:r>
      </w:hyperlink>
    </w:p>
    <w:p w14:paraId="38B36A56" w14:textId="77777777" w:rsidR="003A6624" w:rsidRDefault="003A6624" w:rsidP="003A6624">
      <w:pPr>
        <w:pStyle w:val="isselectedend"/>
      </w:pPr>
      <w:r>
        <w:t xml:space="preserve">Redpath, S. M., Young, J., Evely, A., Adams, W. M., Sutherland, W. J., Whitehouse, A., Amar, A., Lambert, R., Linnell, J. D. C., Watt, A., &amp; Gutiérrez, R. J. (2013). Understanding and managing conservation conflicts. </w:t>
      </w:r>
      <w:r>
        <w:rPr>
          <w:rStyle w:val="Emphasis"/>
        </w:rPr>
        <w:t>Trends in Ecology &amp; Evolution, 28</w:t>
      </w:r>
      <w:r>
        <w:t xml:space="preserve">(2), 100–109. </w:t>
      </w:r>
      <w:hyperlink r:id="rId49" w:history="1">
        <w:r>
          <w:rPr>
            <w:rStyle w:val="Hyperlink"/>
          </w:rPr>
          <w:t>https://doi.org/10.1016/j.tree.2012.08.021</w:t>
        </w:r>
      </w:hyperlink>
    </w:p>
    <w:p w14:paraId="56032E99" w14:textId="77777777" w:rsidR="003A6624" w:rsidRDefault="003A6624" w:rsidP="003A6624">
      <w:pPr>
        <w:pStyle w:val="isselectedend"/>
      </w:pPr>
      <w:r>
        <w:t xml:space="preserve">Sekhar, N. U. (1998). Crop and livestock depredation caused by wild animals in protected areas: The case of </w:t>
      </w:r>
      <w:proofErr w:type="spellStart"/>
      <w:r>
        <w:t>Sariska</w:t>
      </w:r>
      <w:proofErr w:type="spellEnd"/>
      <w:r>
        <w:t xml:space="preserve"> Tiger Reserve, Rajasthan, India. </w:t>
      </w:r>
      <w:r>
        <w:rPr>
          <w:rStyle w:val="Emphasis"/>
        </w:rPr>
        <w:t>Environmental Conservation, 25</w:t>
      </w:r>
      <w:r>
        <w:t xml:space="preserve">(2), 160–171. </w:t>
      </w:r>
      <w:hyperlink r:id="rId50" w:history="1">
        <w:r>
          <w:rPr>
            <w:rStyle w:val="Hyperlink"/>
          </w:rPr>
          <w:t>https://doi.org/10.1017/S0376892998000204</w:t>
        </w:r>
      </w:hyperlink>
    </w:p>
    <w:p w14:paraId="531F76C0" w14:textId="77777777" w:rsidR="003A6624" w:rsidRDefault="003A6624" w:rsidP="003A6624">
      <w:pPr>
        <w:pStyle w:val="NormalWeb"/>
      </w:pPr>
      <w:proofErr w:type="spellStart"/>
      <w:r>
        <w:t>Wszelaki</w:t>
      </w:r>
      <w:proofErr w:type="spellEnd"/>
      <w:r>
        <w:t xml:space="preserve">, S. (2025). Variety and effectiveness of non-lethal crop protection methods against wildlife. </w:t>
      </w:r>
      <w:r>
        <w:rPr>
          <w:rStyle w:val="Emphasis"/>
        </w:rPr>
        <w:t>Biodiversity and Conservation, 34</w:t>
      </w:r>
      <w:r>
        <w:t xml:space="preserve">(10), 3399–3452. </w:t>
      </w:r>
      <w:hyperlink r:id="rId51" w:history="1">
        <w:r>
          <w:rPr>
            <w:rStyle w:val="Hyperlink"/>
          </w:rPr>
          <w:t>https://doi.org/10.1007/s10531-025-03124-8</w:t>
        </w:r>
      </w:hyperlink>
    </w:p>
    <w:p w14:paraId="44B30D92" w14:textId="77777777" w:rsidR="003A6624" w:rsidRPr="003A6624" w:rsidRDefault="003A6624" w:rsidP="003A6624"/>
    <w:sectPr w:rsidR="003A6624" w:rsidRPr="003A6624" w:rsidSect="00034616">
      <w:headerReference w:type="even" r:id="rId52"/>
      <w:headerReference w:type="default" r:id="rId53"/>
      <w:footerReference w:type="even" r:id="rId54"/>
      <w:footerReference w:type="default" r:id="rId55"/>
      <w:headerReference w:type="first" r:id="rId56"/>
      <w:footerReference w:type="first" r:id="rId57"/>
      <w:pgSz w:w="12240" w:h="15840"/>
      <w:pgMar w:top="1037" w:right="1037" w:bottom="1037" w:left="1037"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31569" w14:textId="77777777" w:rsidR="00EB28BC" w:rsidRDefault="00EB28BC">
      <w:pPr>
        <w:spacing w:after="0" w:line="240" w:lineRule="auto"/>
      </w:pPr>
      <w:r>
        <w:separator/>
      </w:r>
    </w:p>
  </w:endnote>
  <w:endnote w:type="continuationSeparator" w:id="0">
    <w:p w14:paraId="204AB49B" w14:textId="77777777" w:rsidR="00EB28BC" w:rsidRDefault="00EB2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48B43" w14:textId="77777777" w:rsidR="00AA52BD" w:rsidRDefault="00AA52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4A0DB" w14:textId="77777777" w:rsidR="006A3F38" w:rsidRDefault="00000000">
    <w:pPr>
      <w:pStyle w:val="Footer"/>
      <w:jc w:val="center"/>
    </w:pPr>
    <w:r>
      <w:rPr>
        <w:sz w:val="18"/>
      </w:rPr>
      <w:fldChar w:fldCharType="begin"/>
    </w:r>
    <w:r>
      <w:rPr>
        <w:sz w:val="18"/>
      </w:rPr>
      <w:instrText xml:space="preserve"> PAGE </w:instrText>
    </w:r>
    <w:r>
      <w:rPr>
        <w:sz w:val="18"/>
      </w:rPr>
      <w:fldChar w:fldCharType="separate"/>
    </w:r>
    <w:r w:rsidR="0077180A">
      <w:rPr>
        <w:noProof/>
        <w:sz w:val="18"/>
      </w:rPr>
      <w:t>1</w:t>
    </w:r>
    <w:r>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889D4" w14:textId="77777777" w:rsidR="00AA52BD" w:rsidRDefault="00AA52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5CD20" w14:textId="77777777" w:rsidR="00EB28BC" w:rsidRDefault="00EB28BC">
      <w:pPr>
        <w:spacing w:after="0" w:line="240" w:lineRule="auto"/>
      </w:pPr>
      <w:r>
        <w:separator/>
      </w:r>
    </w:p>
  </w:footnote>
  <w:footnote w:type="continuationSeparator" w:id="0">
    <w:p w14:paraId="7C0680B1" w14:textId="77777777" w:rsidR="00EB28BC" w:rsidRDefault="00EB28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94649" w14:textId="77777777" w:rsidR="00AA52BD" w:rsidRDefault="00000000">
    <w:pPr>
      <w:pStyle w:val="Header"/>
    </w:pPr>
    <w:r>
      <w:rPr>
        <w:noProof/>
      </w:rPr>
      <w:pict w14:anchorId="668176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8555797" o:spid="_x0000_s1026" type="#_x0000_t136" style="position:absolute;margin-left:0;margin-top:0;width:645pt;height:71.6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1398F" w14:textId="77777777" w:rsidR="00AA52BD" w:rsidRDefault="00000000">
    <w:pPr>
      <w:pStyle w:val="Header"/>
    </w:pPr>
    <w:r>
      <w:rPr>
        <w:noProof/>
      </w:rPr>
      <w:pict w14:anchorId="513C37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8555798" o:spid="_x0000_s1027" type="#_x0000_t136" style="position:absolute;margin-left:0;margin-top:0;width:645pt;height:71.6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B6ACC" w14:textId="77777777" w:rsidR="00AA52BD" w:rsidRDefault="00000000">
    <w:pPr>
      <w:pStyle w:val="Header"/>
    </w:pPr>
    <w:r>
      <w:rPr>
        <w:noProof/>
      </w:rPr>
      <w:pict w14:anchorId="708999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8555796" o:spid="_x0000_s1025" type="#_x0000_t136" style="position:absolute;margin-left:0;margin-top:0;width:645pt;height:71.6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11137985">
    <w:abstractNumId w:val="8"/>
  </w:num>
  <w:num w:numId="2" w16cid:durableId="909146906">
    <w:abstractNumId w:val="6"/>
  </w:num>
  <w:num w:numId="3" w16cid:durableId="1697923305">
    <w:abstractNumId w:val="5"/>
  </w:num>
  <w:num w:numId="4" w16cid:durableId="992948319">
    <w:abstractNumId w:val="4"/>
  </w:num>
  <w:num w:numId="5" w16cid:durableId="1985234914">
    <w:abstractNumId w:val="7"/>
  </w:num>
  <w:num w:numId="6" w16cid:durableId="1211499238">
    <w:abstractNumId w:val="3"/>
  </w:num>
  <w:num w:numId="7" w16cid:durableId="390421280">
    <w:abstractNumId w:val="2"/>
  </w:num>
  <w:num w:numId="8" w16cid:durableId="1894389340">
    <w:abstractNumId w:val="1"/>
  </w:num>
  <w:num w:numId="9" w16cid:durableId="862128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36E82"/>
    <w:rsid w:val="0006063C"/>
    <w:rsid w:val="000A2A2F"/>
    <w:rsid w:val="0015074B"/>
    <w:rsid w:val="001574E4"/>
    <w:rsid w:val="0029639D"/>
    <w:rsid w:val="00326F90"/>
    <w:rsid w:val="003A6624"/>
    <w:rsid w:val="003A763C"/>
    <w:rsid w:val="006977EA"/>
    <w:rsid w:val="006A3F38"/>
    <w:rsid w:val="0077180A"/>
    <w:rsid w:val="008A51E3"/>
    <w:rsid w:val="00900D38"/>
    <w:rsid w:val="00A33FF5"/>
    <w:rsid w:val="00AA1D8D"/>
    <w:rsid w:val="00AA52BD"/>
    <w:rsid w:val="00AE421D"/>
    <w:rsid w:val="00B47730"/>
    <w:rsid w:val="00B815FB"/>
    <w:rsid w:val="00C4393B"/>
    <w:rsid w:val="00C74B75"/>
    <w:rsid w:val="00CB0664"/>
    <w:rsid w:val="00E177CC"/>
    <w:rsid w:val="00E25E0E"/>
    <w:rsid w:val="00EB28BC"/>
    <w:rsid w:val="00F7719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D72CEC"/>
  <w14:defaultImageDpi w14:val="300"/>
  <w15:docId w15:val="{4B789EFE-9B96-47B0-A01E-182E557E3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b/>
      <w:bCs/>
      <w:color w:val="365F91" w:themeColor="accent1" w:themeShade="BF"/>
      <w:sz w:val="27"/>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b/>
      <w:bCs/>
      <w:color w:val="4F81BD" w:themeColor="accent1"/>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240" w:line="240" w:lineRule="auto"/>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ableCaption">
    <w:name w:val="Table Caption"/>
    <w:pPr>
      <w:keepNext/>
      <w:spacing w:before="160" w:after="80"/>
    </w:pPr>
    <w:rPr>
      <w:rFonts w:ascii="Times New Roman" w:hAnsi="Times New Roman"/>
      <w:b/>
      <w:sz w:val="20"/>
    </w:rPr>
  </w:style>
  <w:style w:type="paragraph" w:customStyle="1" w:styleId="isselectedend">
    <w:name w:val="isselectedend"/>
    <w:basedOn w:val="Normal"/>
    <w:rsid w:val="003A6624"/>
    <w:pPr>
      <w:spacing w:before="100" w:beforeAutospacing="1" w:after="100" w:afterAutospacing="1" w:line="240" w:lineRule="auto"/>
    </w:pPr>
    <w:rPr>
      <w:rFonts w:cs="Times New Roman"/>
      <w:sz w:val="24"/>
      <w:szCs w:val="24"/>
    </w:rPr>
  </w:style>
  <w:style w:type="character" w:styleId="Hyperlink">
    <w:name w:val="Hyperlink"/>
    <w:basedOn w:val="DefaultParagraphFont"/>
    <w:uiPriority w:val="99"/>
    <w:semiHidden/>
    <w:unhideWhenUsed/>
    <w:rsid w:val="003A6624"/>
    <w:rPr>
      <w:color w:val="0000FF"/>
      <w:u w:val="single"/>
    </w:rPr>
  </w:style>
  <w:style w:type="paragraph" w:styleId="NormalWeb">
    <w:name w:val="Normal (Web)"/>
    <w:basedOn w:val="Normal"/>
    <w:uiPriority w:val="99"/>
    <w:semiHidden/>
    <w:unhideWhenUsed/>
    <w:rsid w:val="003A6624"/>
    <w:pPr>
      <w:spacing w:before="100" w:beforeAutospacing="1" w:after="100" w:afterAutospacing="1" w:line="240" w:lineRule="auto"/>
    </w:pPr>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371/journal.pone.0153854" TargetMode="External"/><Relationship Id="rId18" Type="http://schemas.openxmlformats.org/officeDocument/2006/relationships/hyperlink" Target="https://doi.org/10.1080/10871200802282922" TargetMode="External"/><Relationship Id="rId26" Type="http://schemas.openxmlformats.org/officeDocument/2006/relationships/hyperlink" Target="https://doi.org/10.1016/j.jnc.2019.125712" TargetMode="External"/><Relationship Id="rId39" Type="http://schemas.openxmlformats.org/officeDocument/2006/relationships/hyperlink" Target="https://doi.org/10.1016/j.biocon.2023.110431" TargetMode="External"/><Relationship Id="rId21" Type="http://schemas.openxmlformats.org/officeDocument/2006/relationships/hyperlink" Target="https://doi.org/10.1111/j.1469-1795.2010.00368.x" TargetMode="External"/><Relationship Id="rId34" Type="http://schemas.openxmlformats.org/officeDocument/2006/relationships/hyperlink" Target="https://doi.org/10.1111/j.1365-2664.2009.01710.x" TargetMode="External"/><Relationship Id="rId42" Type="http://schemas.openxmlformats.org/officeDocument/2006/relationships/hyperlink" Target="https://doi.org/10.1016/j.geoforum.2007.12.004" TargetMode="External"/><Relationship Id="rId47" Type="http://schemas.openxmlformats.org/officeDocument/2006/relationships/hyperlink" Target="https://doi.org/10.56093/ijas.v90i8.105979" TargetMode="External"/><Relationship Id="rId50" Type="http://schemas.openxmlformats.org/officeDocument/2006/relationships/hyperlink" Target="https://doi.org/10.1017/S0376892998000204" TargetMode="External"/><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16/j.envc.2025.101198" TargetMode="External"/><Relationship Id="rId29" Type="http://schemas.openxmlformats.org/officeDocument/2006/relationships/hyperlink" Target="https://doi.org/10.4103/cs.cs_17_1" TargetMode="External"/><Relationship Id="rId11" Type="http://schemas.openxmlformats.org/officeDocument/2006/relationships/hyperlink" Target="https://doi.org/10.1177/1075547009353177" TargetMode="External"/><Relationship Id="rId24" Type="http://schemas.openxmlformats.org/officeDocument/2006/relationships/hyperlink" Target="https://doi.org/10.1111/csp2.13292" TargetMode="External"/><Relationship Id="rId32" Type="http://schemas.openxmlformats.org/officeDocument/2006/relationships/hyperlink" Target="https://doi.org/10.1080/10871209.2017.1334106" TargetMode="External"/><Relationship Id="rId37" Type="http://schemas.openxmlformats.org/officeDocument/2006/relationships/hyperlink" Target="https://doi.org/10.26077/j9j8-8e74" TargetMode="External"/><Relationship Id="rId40" Type="http://schemas.openxmlformats.org/officeDocument/2006/relationships/hyperlink" Target="https://doi.org/10.1007/s00267-002-2790-8" TargetMode="External"/><Relationship Id="rId45" Type="http://schemas.openxmlformats.org/officeDocument/2006/relationships/hyperlink" Target="https://doi.org/10.1038/s41598-025-08623-w" TargetMode="External"/><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s://doi.org/10.31018/jans.v1i2.81" TargetMode="External"/><Relationship Id="rId4" Type="http://schemas.openxmlformats.org/officeDocument/2006/relationships/settings" Target="settings.xml"/><Relationship Id="rId9" Type="http://schemas.openxmlformats.org/officeDocument/2006/relationships/hyperlink" Target="https://doi.org/10.1186/s41073-019-0064-8" TargetMode="External"/><Relationship Id="rId14" Type="http://schemas.openxmlformats.org/officeDocument/2006/relationships/hyperlink" Target="https://doi.org/10.1017/S0266467416000420" TargetMode="External"/><Relationship Id="rId22" Type="http://schemas.openxmlformats.org/officeDocument/2006/relationships/hyperlink" Target="https://doi.org/10.1007/s00267-024-02018-9" TargetMode="External"/><Relationship Id="rId27" Type="http://schemas.openxmlformats.org/officeDocument/2006/relationships/hyperlink" Target="https://doi.org/10.1073/pnas.1921338118" TargetMode="External"/><Relationship Id="rId30" Type="http://schemas.openxmlformats.org/officeDocument/2006/relationships/hyperlink" Target="https://doi.org/10.1016/j.biocon.2013.06.027" TargetMode="External"/><Relationship Id="rId35" Type="http://schemas.openxmlformats.org/officeDocument/2006/relationships/hyperlink" Target="https://doi.org/10.1098/rspb.2010.0171" TargetMode="External"/><Relationship Id="rId43" Type="http://schemas.openxmlformats.org/officeDocument/2006/relationships/hyperlink" Target="https://wii.gov.in/publications/research-reports/population-management-of-species-involved-in-human-wildlife-conflict" TargetMode="External"/><Relationship Id="rId48" Type="http://schemas.openxmlformats.org/officeDocument/2006/relationships/hyperlink" Target="https://doi.org/10.1016/j.biocon.2020.108945" TargetMode="External"/><Relationship Id="rId56" Type="http://schemas.openxmlformats.org/officeDocument/2006/relationships/header" Target="header3.xml"/><Relationship Id="rId8" Type="http://schemas.openxmlformats.org/officeDocument/2006/relationships/hyperlink" Target="https://doi.org/10.1080/09670874.2022.2104402" TargetMode="External"/><Relationship Id="rId51" Type="http://schemas.openxmlformats.org/officeDocument/2006/relationships/hyperlink" Target="https://doi.org/10.1007/s10531-025-03124-8" TargetMode="External"/><Relationship Id="rId3" Type="http://schemas.openxmlformats.org/officeDocument/2006/relationships/styles" Target="styles.xml"/><Relationship Id="rId12" Type="http://schemas.openxmlformats.org/officeDocument/2006/relationships/hyperlink" Target="https://doi.org/10.1016/j.biocon.2012.07.014" TargetMode="External"/><Relationship Id="rId17" Type="http://schemas.openxmlformats.org/officeDocument/2006/relationships/hyperlink" Target="https://doi.org/10.36808/if/1989/v115i7/9074" TargetMode="External"/><Relationship Id="rId25" Type="http://schemas.openxmlformats.org/officeDocument/2006/relationships/hyperlink" Target="https://doi.org/10.1007/s10531-018-1523-0" TargetMode="External"/><Relationship Id="rId33" Type="http://schemas.openxmlformats.org/officeDocument/2006/relationships/hyperlink" Target="https://doi.org/10.1007/s00267-011-9778-1" TargetMode="External"/><Relationship Id="rId38" Type="http://schemas.openxmlformats.org/officeDocument/2006/relationships/hyperlink" Target="https://doi.org/10.1080/13880292.2022.2146851" TargetMode="External"/><Relationship Id="rId46" Type="http://schemas.openxmlformats.org/officeDocument/2006/relationships/hyperlink" Target="https://doi.org/10.56093/ijans.v90i8.109318" TargetMode="External"/><Relationship Id="rId59" Type="http://schemas.openxmlformats.org/officeDocument/2006/relationships/theme" Target="theme/theme1.xml"/><Relationship Id="rId20" Type="http://schemas.openxmlformats.org/officeDocument/2006/relationships/hyperlink" Target="https://doi.org/10.1111/1365-2664.70274" TargetMode="External"/><Relationship Id="rId41" Type="http://schemas.openxmlformats.org/officeDocument/2006/relationships/hyperlink" Target="https://doi.org/10.1146/annurev-environ-110615-085634"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1609/jott.8758.16.6.25318-25329" TargetMode="External"/><Relationship Id="rId23" Type="http://schemas.openxmlformats.org/officeDocument/2006/relationships/hyperlink" Target="https://www.indiacode.nic.in/handle/123456789/1726" TargetMode="External"/><Relationship Id="rId28" Type="http://schemas.openxmlformats.org/officeDocument/2006/relationships/hyperlink" Target="https://doi.org/10.2741/S492" TargetMode="External"/><Relationship Id="rId36" Type="http://schemas.openxmlformats.org/officeDocument/2006/relationships/hyperlink" Target="https://doi.org/10.1111/j.1600-0897.2011.01003.x" TargetMode="External"/><Relationship Id="rId49" Type="http://schemas.openxmlformats.org/officeDocument/2006/relationships/hyperlink" Target="https://doi.org/10.1016/j.tree.2012.08.021" TargetMode="External"/><Relationship Id="rId57" Type="http://schemas.openxmlformats.org/officeDocument/2006/relationships/footer" Target="footer3.xml"/><Relationship Id="rId10" Type="http://schemas.openxmlformats.org/officeDocument/2006/relationships/hyperlink" Target="https://doi.org/10.1080/11956860.2019.1654635" TargetMode="External"/><Relationship Id="rId31" Type="http://schemas.openxmlformats.org/officeDocument/2006/relationships/hyperlink" Target="https://doi.org/10.1016/j.biocon.2018.07.006" TargetMode="External"/><Relationship Id="rId44" Type="http://schemas.openxmlformats.org/officeDocument/2006/relationships/hyperlink" Target="https://doi.org/10.1007/s10343-024-01016-5" TargetMode="External"/><Relationship Id="rId5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24</Pages>
  <Words>14783</Words>
  <Characters>84264</Characters>
  <Application>Microsoft Office Word</Application>
  <DocSecurity>0</DocSecurity>
  <Lines>702</Lines>
  <Paragraphs>197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98850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Human-Wildlife Conflict and Crop Depredation by Nilgai in India</dc:title>
  <dc:subject>Critical narrative review</dc:subject>
  <dc:creator>python-docx</dc:creator>
  <cp:keywords/>
  <dc:description/>
  <cp:lastModifiedBy>SDI 1087</cp:lastModifiedBy>
  <cp:revision>8</cp:revision>
  <dcterms:created xsi:type="dcterms:W3CDTF">2013-12-23T23:15:00Z</dcterms:created>
  <dcterms:modified xsi:type="dcterms:W3CDTF">2026-08-11T10:38:00Z</dcterms:modified>
  <cp:category/>
</cp:coreProperties>
</file>