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ABE46" w14:textId="405CAD3D" w:rsidR="00706FFA" w:rsidRDefault="00000000" w:rsidP="00E35ED2">
      <w:pPr>
        <w:spacing w:before="100" w:beforeAutospacing="1" w:after="100" w:afterAutospacing="1"/>
        <w:jc w:val="center"/>
      </w:pPr>
      <w:r>
        <w:rPr>
          <w:b/>
          <w:bCs/>
          <w:sz w:val="30"/>
          <w:szCs w:val="30"/>
        </w:rPr>
        <w:t xml:space="preserve">Dye effluent-induced stress responses in freshwater fishes: </w:t>
      </w:r>
      <w:r w:rsidR="00C46630">
        <w:rPr>
          <w:b/>
          <w:bCs/>
          <w:sz w:val="30"/>
          <w:szCs w:val="30"/>
        </w:rPr>
        <w:t xml:space="preserve">A </w:t>
      </w:r>
      <w:r>
        <w:rPr>
          <w:b/>
          <w:bCs/>
          <w:sz w:val="30"/>
          <w:szCs w:val="30"/>
        </w:rPr>
        <w:t>critical appraisal of mechanisms, biomarker evidence and exposure realism</w:t>
      </w:r>
    </w:p>
    <w:p w14:paraId="14426DC2" w14:textId="77777777" w:rsidR="00706FFA" w:rsidRDefault="00000000" w:rsidP="00E35ED2">
      <w:pPr>
        <w:pStyle w:val="Heading1"/>
        <w:spacing w:before="100" w:beforeAutospacing="1" w:after="100" w:afterAutospacing="1"/>
      </w:pPr>
      <w:r>
        <w:rPr>
          <w:b/>
          <w:bCs/>
          <w:color w:val="000000"/>
          <w:sz w:val="26"/>
          <w:szCs w:val="26"/>
        </w:rPr>
        <w:t>Abstract</w:t>
      </w:r>
    </w:p>
    <w:p w14:paraId="53795549" w14:textId="77777777" w:rsidR="00706FFA" w:rsidRDefault="00000000" w:rsidP="00E35ED2">
      <w:pPr>
        <w:spacing w:before="100" w:beforeAutospacing="1" w:after="100" w:afterAutospacing="1"/>
        <w:jc w:val="both"/>
      </w:pPr>
      <w:r>
        <w:t>Textile dyeing and finishing operations discharge coloured, chemically complex wastewater into freshwater systems that support fisheries, aquaculture and drinking-water abstraction. Fish exposed to such discharges display a recurring suite of alterations spanning redox biochemistry, genetic integrity, tissue architecture, haematology, behaviour and gut microbial composition. Whether these alterations constitute a coherent, mechanistically understood stress syndrome remains contested. This critical narrative review evaluates the strength, internal consistency and methodological quality of the evidence linking dye-bearing effluents and their constituent dyes to stress responses in freshwater fishes, and distinguishes conclusions that the literature supports from those that it does not. Verified peer-reviewed studies retrieved from openly accessible bibliographic indexes were appraised for exposure characterisation, concentration realism, biomarker interpretation and analytical transparency. Three findings emerge with reasonable confidence: exposure to dye-containing wastewater and to individual dyes elevates markers of lipid peroxidation and induces cytogenetic damage in erythrocytes across taxonomically diverse species; gill and liver are consistently the most severely affected organs; and conventional treatment reduces colour and organic load more effectively than it reduces biological hazard. Three areas remain unresolved. Antioxidant enzyme responses are directionally inconsistent across studies of the same dye and species, and this inconsistency is rarely analysed rather than described. Most laboratory exposures use concentrations one to five orders of magnitude above measured environmental levels, so the ecological meaning of reported effect thresholds is uncertain. Attribution of observed damage to parent dyes, to their reductive cleavage products or to co-occurring salts, metals and surfactants is almost never established experimentally. Neuroendocrine mediation, in particular the hypothalamic-pituitary-</w:t>
      </w:r>
      <w:proofErr w:type="spellStart"/>
      <w:r>
        <w:t>interrenal</w:t>
      </w:r>
      <w:proofErr w:type="spellEnd"/>
      <w:r>
        <w:t xml:space="preserve"> axis, is largely unexamined despite being the canonical vertebrate stress pathway. Priorities include quantified exposure characterisation, effect-directed attribution, chronic and multigenerational designs at environmentally measured concentrations, and standardised reporting of biomarker directionality.</w:t>
      </w:r>
    </w:p>
    <w:p w14:paraId="70C9B8FE" w14:textId="77777777" w:rsidR="00706FFA" w:rsidRDefault="00000000" w:rsidP="00E35ED2">
      <w:pPr>
        <w:pStyle w:val="Heading1"/>
        <w:spacing w:before="100" w:beforeAutospacing="1" w:after="100" w:afterAutospacing="1"/>
      </w:pPr>
      <w:r>
        <w:rPr>
          <w:b/>
          <w:bCs/>
          <w:color w:val="000000"/>
          <w:sz w:val="26"/>
          <w:szCs w:val="26"/>
        </w:rPr>
        <w:t>Keywords</w:t>
      </w:r>
    </w:p>
    <w:p w14:paraId="05CAE28F" w14:textId="77777777" w:rsidR="00706FFA" w:rsidRDefault="00000000" w:rsidP="00E35ED2">
      <w:pPr>
        <w:spacing w:before="100" w:beforeAutospacing="1" w:after="100" w:afterAutospacing="1"/>
        <w:jc w:val="both"/>
      </w:pPr>
      <w:r>
        <w:t>textile dye effluent; azo dyes; oxidative stress biomarkers; genotoxicity; fish histopathology; whole-effluent toxicity; exposure realism; freshwater ecotoxicology</w:t>
      </w:r>
    </w:p>
    <w:p w14:paraId="53624C35" w14:textId="77777777" w:rsidR="00706FFA" w:rsidRDefault="00000000" w:rsidP="00E35ED2">
      <w:pPr>
        <w:pStyle w:val="Heading1"/>
        <w:spacing w:before="100" w:beforeAutospacing="1" w:after="100" w:afterAutospacing="1"/>
      </w:pPr>
      <w:r>
        <w:rPr>
          <w:b/>
          <w:bCs/>
          <w:color w:val="000000"/>
          <w:sz w:val="26"/>
          <w:szCs w:val="26"/>
        </w:rPr>
        <w:t>1. Introduction</w:t>
      </w:r>
    </w:p>
    <w:p w14:paraId="7D12794C" w14:textId="77777777" w:rsidR="00706FFA" w:rsidRDefault="00000000" w:rsidP="00E35ED2">
      <w:pPr>
        <w:spacing w:before="100" w:beforeAutospacing="1" w:after="100" w:afterAutospacing="1"/>
        <w:jc w:val="both"/>
      </w:pPr>
      <w:r>
        <w:t xml:space="preserve">Colour is among the oldest and most persistent signatures of industrial water pollution. Dyeing and finishing operations use large volumes of water, and a substantial fraction of the applied colourant fails to fix to the fibre, with estimates of the unfixed fraction clustering between roughly 2 and 50 per cent depending on dye class, fibre and application method (de Oliveira et al., 2018; Ramamurthy, Priya, et al., 2024). Because the sector is concentrated in regions where treatment infrastructure is uneven, the receiving waters are frequently shallow, seasonally low-flow rivers and canals that also support capture fisheries, aquaculture and irrigation (Colin et al., 2016; Sanyal et al., 2015). Fish integrate exposure across the water column and the sediment-associated food web, are long-lived relative to most invertebrate test species, and </w:t>
      </w:r>
      <w:r>
        <w:lastRenderedPageBreak/>
        <w:t xml:space="preserve">enter human diets directly, which makes them both ecologically informative and economically consequential (Bojarski &amp; </w:t>
      </w:r>
      <w:proofErr w:type="spellStart"/>
      <w:r>
        <w:t>Witeska</w:t>
      </w:r>
      <w:proofErr w:type="spellEnd"/>
      <w:r>
        <w:t xml:space="preserve">, 2020; </w:t>
      </w:r>
      <w:proofErr w:type="spellStart"/>
      <w:r>
        <w:t>Zulqurnain</w:t>
      </w:r>
      <w:proofErr w:type="spellEnd"/>
      <w:r>
        <w:t xml:space="preserve"> et al., 2024).</w:t>
      </w:r>
    </w:p>
    <w:p w14:paraId="48C455F7" w14:textId="77777777" w:rsidR="00706FFA" w:rsidRDefault="00000000" w:rsidP="00E35ED2">
      <w:pPr>
        <w:spacing w:before="100" w:beforeAutospacing="1" w:after="100" w:afterAutospacing="1"/>
        <w:jc w:val="both"/>
      </w:pPr>
      <w:r>
        <w:t xml:space="preserve">The chemistry involved is not a single contaminant class. Synthetic dyes are grouped by application (reactive, disperse, direct, acid, basic, vat, sulphur) and by chromophore (azo, anthraquinone, triarylmethane, phthalocyanine, indigoid), and the two classifications cut across one another. Azo compounds dominate industrial use and account for most of the toxicological literature (Al-Tohamy et al., 2022; Sharma et al., 2021). Their environmental behaviour is complicated by the reductive lability of the azo linkage, which under anoxic conditions yields aromatic amines whose mutagenic and carcinogenic properties are established independently of the parent dye (Chung, 2000; Mahmood et al., 2016). Anthraquinone dyes lack this cleavage pathway and resist biological decolourisation, while triarylmethane compounds such as malachite green carry an additional history of veterinary use in aquaculture that confounds source attribution (Kwan et al., 2019; </w:t>
      </w:r>
      <w:proofErr w:type="spellStart"/>
      <w:r>
        <w:t>Poopal</w:t>
      </w:r>
      <w:proofErr w:type="spellEnd"/>
      <w:r>
        <w:t xml:space="preserve"> et al., 2023). A framework built around azo chemistry alone cannot be extended uncritically to the other chromophore families.</w:t>
      </w:r>
    </w:p>
    <w:p w14:paraId="2F22BA3A" w14:textId="77777777" w:rsidR="00706FFA" w:rsidRDefault="00000000" w:rsidP="00E35ED2">
      <w:pPr>
        <w:spacing w:before="100" w:beforeAutospacing="1" w:after="100" w:afterAutospacing="1"/>
        <w:jc w:val="both"/>
      </w:pPr>
      <w:r>
        <w:t>Effluent adds a second layer of complexity. Dye-bath discharge carries residual colourant together with electrolytes used to promote dye uptake, acid and alkali from pH adjustment, sequestrants, levelling and dispersing agents, residual oxidants and reducing agents from bleaching and vat chemistry, surfactants from scouring, and metals associated with metal-complex dyes and mordanting (Adane et al., 2021; Peng et al., 2025; Sanyal et al., 2015). Salinity, chemical oxygen demand and suspended solids can each independently stress a freshwater teleost. An experiment that exposes fish to whole effluent and reports oxidative stress has therefore demonstrated that the effluent is hazardous, not that the dye caused the hazard, and this distinction underlies the interpretive difficulties that recur throughout the literature.</w:t>
      </w:r>
    </w:p>
    <w:p w14:paraId="624F0036" w14:textId="77777777" w:rsidR="00706FFA" w:rsidRPr="000714A8" w:rsidRDefault="00000000" w:rsidP="00E35ED2">
      <w:pPr>
        <w:spacing w:before="100" w:beforeAutospacing="1" w:after="100" w:afterAutospacing="1"/>
        <w:jc w:val="both"/>
      </w:pPr>
      <w:r>
        <w:t xml:space="preserve">Research on the biological consequences of dye exposure in fish has expanded considerably over two decades and has diversified across endpoint types, from early work on lethality and cytogenetic damage in circulating erythrocytes (Al-Sabti, 2000; Sharma et al., 2009) through antioxidant enzyme profiling, histopathology, haematology and behavioural observation (Kaur &amp; Kaur, 2015; </w:t>
      </w:r>
      <w:proofErr w:type="spellStart"/>
      <w:r>
        <w:t>Poopal</w:t>
      </w:r>
      <w:proofErr w:type="spellEnd"/>
      <w:r>
        <w:t xml:space="preserve"> et </w:t>
      </w:r>
      <w:r w:rsidRPr="000714A8">
        <w:t>al., 2023; Sinha &amp; Jindal, 2020; Srivastava et al., 2017) to developmental toxicity in embryo-larval models, inflammatory and apoptotic gene expression, gut microbiome sequencing and molecular docking of dyes with candidate protein targets (</w:t>
      </w:r>
      <w:proofErr w:type="spellStart"/>
      <w:r w:rsidRPr="000714A8">
        <w:t>Köktürk</w:t>
      </w:r>
      <w:proofErr w:type="spellEnd"/>
      <w:r w:rsidRPr="000714A8">
        <w:t>, 2022; Ramamurthy, Madesh, et al., 2024; Singh et al., 2026; Wang et al., 2021; Wu, Xu, et al., 2021). The result is a large and technically varied evidence base whose internal coherence has not been examined closely.</w:t>
      </w:r>
    </w:p>
    <w:p w14:paraId="0BC7F9DA" w14:textId="77777777" w:rsidR="00310711" w:rsidRPr="000714A8" w:rsidRDefault="00000000">
      <w:pPr>
        <w:spacing w:before="100" w:beforeAutospacing="1" w:after="100" w:afterAutospacing="1"/>
        <w:jc w:val="both"/>
      </w:pPr>
      <w:r w:rsidRPr="000714A8">
        <w:rPr>
          <w:highlight w:val="yellow"/>
        </w:rPr>
        <w:t>Recent primary studies have broadened the evidence base to include dye-associated sensory and behavioural changes during zebrafish development, altered metabolic responses in guppies, and reproductive or developmental effects extending to subsequent generations after exposure to rhodamine B or Disperse Blue 79 (de Arruda Leite et al., 2024; MacAulay et al., 2024; Priya et al., 2024; Wang et al., 2024).</w:t>
      </w:r>
    </w:p>
    <w:p w14:paraId="11C8D8B2" w14:textId="77777777" w:rsidR="00706FFA" w:rsidRPr="000714A8" w:rsidRDefault="00000000" w:rsidP="00E35ED2">
      <w:pPr>
        <w:spacing w:before="100" w:beforeAutospacing="1" w:after="100" w:afterAutospacing="1"/>
        <w:jc w:val="both"/>
      </w:pPr>
      <w:r w:rsidRPr="000714A8">
        <w:t xml:space="preserve">Existing syntheses have not resolved this. Several influential reviews are organised around treatment technology, with ecotoxicological findings serving as justification for remediation rather than as an object of analysis (Al-Tohamy et al., 2022; Islam et al., 2025; Periyasamy, 2024; Sudarshan et al., 2023). Others are organised by dye class and human health outcome, summarising genotoxic and carcinogenic properties across taxa without separating fish-specific evidence or interrogating exposure realism (Dutta et al., 2024; Ramamurthy, Priya, et </w:t>
      </w:r>
      <w:r w:rsidRPr="000714A8">
        <w:lastRenderedPageBreak/>
        <w:t xml:space="preserve">al., 2024). A recent review dedicated to aquatic effects uses the zebrafish, </w:t>
      </w:r>
      <w:r w:rsidRPr="000714A8">
        <w:rPr>
          <w:i/>
          <w:iCs/>
        </w:rPr>
        <w:t>Danio rerio</w:t>
      </w:r>
      <w:r w:rsidRPr="000714A8">
        <w:t>, as its organising model and consequently emphasises embryonic and larval endpoints, leaving juvenile and adult responses in ecologically important species comparatively unexamined (Khandelwal et al., 2024), while reviews of fish oxidative stress and neurotoxicity biomarkers offer methodological depth but treat dyes as one example among many contaminant classes (</w:t>
      </w:r>
      <w:proofErr w:type="spellStart"/>
      <w:r w:rsidRPr="000714A8">
        <w:t>Formicki</w:t>
      </w:r>
      <w:proofErr w:type="spellEnd"/>
      <w:r w:rsidRPr="000714A8">
        <w:t xml:space="preserve"> et al., 2025). None of these publications systematically confronts the three problems that most constrain inference in the field: the conflation of single-dye and whole-effluent exposures, the mismatch between tested and measured concentrations, and the directional inconsistency of antioxidant enzyme responses.</w:t>
      </w:r>
    </w:p>
    <w:p w14:paraId="612DD67D" w14:textId="77777777" w:rsidR="00706FFA" w:rsidRPr="000714A8" w:rsidRDefault="00000000" w:rsidP="00E35ED2">
      <w:pPr>
        <w:spacing w:before="100" w:beforeAutospacing="1" w:after="100" w:afterAutospacing="1"/>
        <w:jc w:val="both"/>
      </w:pPr>
      <w:r w:rsidRPr="000714A8">
        <w:t xml:space="preserve">That inconsistency deserves emphasis at the outset because it is frequently obscured. Superoxide dismutase, catalase, glutathione peroxidase and glutathione S-transferase activities are reported as increased in some studies and decreased in others following exposure to the same or closely related dyes in the same or closely related species (Kaur &amp; Kaur, 2015; Naz &amp; </w:t>
      </w:r>
      <w:proofErr w:type="spellStart"/>
      <w:r w:rsidRPr="000714A8">
        <w:t>Vaseem</w:t>
      </w:r>
      <w:proofErr w:type="spellEnd"/>
      <w:r w:rsidRPr="000714A8">
        <w:t xml:space="preserve">, 2025; Sharma et al., 2022; Singh et al., 2026; Wang et al., 2021; Wu, </w:t>
      </w:r>
      <w:proofErr w:type="spellStart"/>
      <w:r w:rsidRPr="000714A8">
        <w:t>Lv</w:t>
      </w:r>
      <w:proofErr w:type="spellEnd"/>
      <w:r w:rsidRPr="000714A8">
        <w:t>, et al., 2021). Both directions are routinely interpreted as evidence of oxidative stress: induction is read as compensatory upregulation and suppression as enzyme exhaustion or direct inhibition. An explanatory framework that accommodates opposite observations equally well without specifying the conditions distinguishing them provides limited predictive value, and its widespread use has allowed a heterogeneous set of findings to be presented as a consistent body of knowledge.</w:t>
      </w:r>
    </w:p>
    <w:p w14:paraId="368A7199" w14:textId="77777777" w:rsidR="00706FFA" w:rsidRDefault="00000000" w:rsidP="00E35ED2">
      <w:pPr>
        <w:spacing w:before="100" w:beforeAutospacing="1" w:after="100" w:afterAutospacing="1"/>
        <w:jc w:val="both"/>
      </w:pPr>
      <w:r w:rsidRPr="000714A8">
        <w:t>Quantitative claims about the scale of the problem show comparable inconsistency. Global synthetic dye consumption has been reported as approximately 7 × 10</w:t>
      </w:r>
      <w:r w:rsidRPr="000714A8">
        <w:rPr>
          <w:vertAlign w:val="superscript"/>
        </w:rPr>
        <w:t>5</w:t>
      </w:r>
      <w:r w:rsidRPr="000714A8">
        <w:t xml:space="preserve"> tonnes per year with the textile sector accounting for roughly two-thirds (Hernández-Zamora &amp; Martínez-Jerónimo, 2019a), and as approximately 7 × 10</w:t>
      </w:r>
      <w:r w:rsidRPr="000714A8">
        <w:rPr>
          <w:vertAlign w:val="superscript"/>
        </w:rPr>
        <w:t>7</w:t>
      </w:r>
      <w:r w:rsidRPr="000714A8">
        <w:t xml:space="preserve"> tonnes per year with the textile sector accounting for more than 10 000 tonnes (Ramamurthy, Priya, et al., 2024). These figures differ by two orders of magnitude and cannot both be correct. Their coexistence in the recent literature indicates that basic descriptive parameters of the field are propagated through citation chains without verification, and it provides a reason for caution when interpreting</w:t>
      </w:r>
      <w:r>
        <w:t xml:space="preserve"> derived statements about environmental loading.</w:t>
      </w:r>
    </w:p>
    <w:p w14:paraId="7834BB8B" w14:textId="77777777" w:rsidR="00706FFA" w:rsidRDefault="00000000" w:rsidP="00E35ED2">
      <w:pPr>
        <w:pStyle w:val="Heading2"/>
        <w:spacing w:before="100" w:beforeAutospacing="1" w:after="100" w:afterAutospacing="1"/>
      </w:pPr>
      <w:r>
        <w:rPr>
          <w:b/>
          <w:bCs/>
          <w:color w:val="000000"/>
          <w:sz w:val="24"/>
          <w:szCs w:val="24"/>
        </w:rPr>
        <w:t>1.1 Scope, Research Gap and Objectives</w:t>
      </w:r>
    </w:p>
    <w:p w14:paraId="1A0BAFD8" w14:textId="77777777" w:rsidR="00706FFA" w:rsidRDefault="00000000" w:rsidP="00E35ED2">
      <w:pPr>
        <w:spacing w:before="100" w:beforeAutospacing="1" w:after="100" w:afterAutospacing="1"/>
        <w:jc w:val="both"/>
      </w:pPr>
      <w:r>
        <w:t xml:space="preserve">This review examines the physiological, biochemical, cytogenetic, histological and behavioural responses of freshwater fishes to synthetic dyes, to dye-manufacturing and dye-application intermediates, and to the mixed effluents generated by textile dyeing, finishing and laundering. Coverage extends from cellular redox and genotoxic endpoints through tissue pathology and haematology to whole-organism performance, reproduction and gut microbial composition, and includes controlled laboratory exposures and field or in situ assessments of receiving waters. Freshwater </w:t>
      </w:r>
      <w:proofErr w:type="spellStart"/>
      <w:r>
        <w:t>teleosts</w:t>
      </w:r>
      <w:proofErr w:type="spellEnd"/>
      <w:r>
        <w:t xml:space="preserve"> of all life stages are within scope, together with cell lines derived from freshwater species where these inform mechanism.</w:t>
      </w:r>
    </w:p>
    <w:p w14:paraId="4D65BE1F" w14:textId="77777777" w:rsidR="00706FFA" w:rsidRDefault="00000000" w:rsidP="00E35ED2">
      <w:pPr>
        <w:spacing w:before="100" w:beforeAutospacing="1" w:after="100" w:afterAutospacing="1"/>
        <w:jc w:val="both"/>
      </w:pPr>
      <w:r>
        <w:t>Several adjacent areas are excluded. Treatment technologies are considered only where a study reports biological outcomes in fish before and after treatment. Human health, occupational and dietary risk assessment lie outside scope except where fish tissue residues bear on exposure interpretation. Marine and estuarine systems, terrestrial and plant test species and invertebrate-only assessments are excluded except where they supply comparative sensitivity information necessary to interpret fish results. Food-additive dyes are included only where exposure route and concentration are relevant to aquatic contamination.</w:t>
      </w:r>
    </w:p>
    <w:p w14:paraId="533B7E22" w14:textId="77777777" w:rsidR="00706FFA" w:rsidRDefault="00000000" w:rsidP="00E35ED2">
      <w:pPr>
        <w:spacing w:before="100" w:beforeAutospacing="1" w:after="100" w:afterAutospacing="1"/>
        <w:jc w:val="both"/>
      </w:pPr>
      <w:r>
        <w:lastRenderedPageBreak/>
        <w:t>The research gap addressed is interpretive rather than descriptive. The volume of primary observation is considerable, but the field lacks a critical account of how exposure characterisation, concentration selection, biomarker directionality and attribution of causation interact to constrain what can legitimately be concluded. Existing reviews catalogue effects without evaluating whether those effects are coherent, whether they occur at concentrations relevant to receiving waters, or whether they can be attributed to dyes rather than to the chemical matrix accompanying them.</w:t>
      </w:r>
    </w:p>
    <w:p w14:paraId="2C62B425" w14:textId="77777777" w:rsidR="00706FFA" w:rsidRDefault="00000000" w:rsidP="00E35ED2">
      <w:pPr>
        <w:spacing w:before="100" w:beforeAutospacing="1" w:after="100" w:afterAutospacing="1"/>
        <w:jc w:val="both"/>
      </w:pPr>
      <w:r>
        <w:t>Four objectives follow: to establish which responses are supported by convergent evidence across independent studies, species and dye classes and which rest on isolated or methodologically constrained observations; to analyse the sources of disagreement, particularly the directional inconsistency of antioxidant enzyme responses and the divergence between single-compound and whole-effluent findings; to evaluate the relationship between tested and measured environmental concentrations and its implications for risk inference; and to identify research priorities that would materially reduce the principal uncertainties, specifying the designs and measurements required.</w:t>
      </w:r>
    </w:p>
    <w:p w14:paraId="61A5C874" w14:textId="77777777" w:rsidR="00706FFA" w:rsidRDefault="00000000" w:rsidP="00E35ED2">
      <w:pPr>
        <w:pStyle w:val="Heading1"/>
        <w:spacing w:before="100" w:beforeAutospacing="1" w:after="100" w:afterAutospacing="1"/>
      </w:pPr>
      <w:r>
        <w:rPr>
          <w:b/>
          <w:bCs/>
          <w:color w:val="000000"/>
          <w:sz w:val="26"/>
          <w:szCs w:val="26"/>
        </w:rPr>
        <w:t>2. Methods for Literature Selection</w:t>
      </w:r>
    </w:p>
    <w:p w14:paraId="30080241" w14:textId="77777777" w:rsidR="00706FFA" w:rsidRDefault="00000000" w:rsidP="00E35ED2">
      <w:pPr>
        <w:pStyle w:val="Heading2"/>
        <w:spacing w:before="100" w:beforeAutospacing="1" w:after="100" w:afterAutospacing="1"/>
      </w:pPr>
      <w:r>
        <w:rPr>
          <w:b/>
          <w:bCs/>
          <w:color w:val="000000"/>
          <w:sz w:val="24"/>
          <w:szCs w:val="24"/>
        </w:rPr>
        <w:t>2.1 Review Design and Rationale</w:t>
      </w:r>
    </w:p>
    <w:p w14:paraId="3E4B319C" w14:textId="77777777" w:rsidR="00706FFA" w:rsidRDefault="00000000" w:rsidP="00E35ED2">
      <w:pPr>
        <w:spacing w:before="100" w:beforeAutospacing="1" w:after="100" w:afterAutospacing="1"/>
        <w:jc w:val="both"/>
      </w:pPr>
      <w:r>
        <w:t>A critical narrative design was selected because the central questions concern interpretation, coherence and inferential validity rather than estimation of a pooled effect. The evidence base is irreducibly heterogeneous in exposure entity, from purified single dyes through synthesis intermediates to whole effluents of unquantified composition; in exposure metric, with concentrations expressed as nominal mass per volume, millimolar, percentage dilution, fractions of a median lethal concentration and mass per unit body mass; in species; and in endpoint, spanning enzyme activities, comet assay parameters, histological indices, microbial community metrics and behavioural observation. Quantitative pooling would require assumptions about commensurability that the primary literature does not support, and a scoping review would map the field without addressing the interpretive problems that motivate this work.</w:t>
      </w:r>
    </w:p>
    <w:p w14:paraId="65BAF7C6" w14:textId="77777777" w:rsidR="00706FFA" w:rsidRDefault="00000000" w:rsidP="00E35ED2">
      <w:pPr>
        <w:spacing w:before="100" w:beforeAutospacing="1" w:after="100" w:afterAutospacing="1"/>
        <w:jc w:val="both"/>
      </w:pPr>
      <w:r>
        <w:t>Narrative synthesis does not license reduced transparency or suspended appraisal. The conduct of this review was structured against the domains addressed by an established instrument for assessing narrative review quality, covering justification of importance, statement of aims, description of literature search, referencing, scientific reasoning and appropriate presentation of data (</w:t>
      </w:r>
      <w:proofErr w:type="spellStart"/>
      <w:r>
        <w:t>Baethge</w:t>
      </w:r>
      <w:proofErr w:type="spellEnd"/>
      <w:r>
        <w:t xml:space="preserve"> et al., 2019). Search sources, search period, eligibility rules and appraisal criteria are stated explicitly below so that the basis for each interpretive claim can be examined. Every source cited was checked against its bibliographic record and its persistent identifier before inclusion.</w:t>
      </w:r>
    </w:p>
    <w:p w14:paraId="50C0596B" w14:textId="77777777" w:rsidR="00706FFA" w:rsidRDefault="00000000" w:rsidP="00E35ED2">
      <w:pPr>
        <w:pStyle w:val="Heading2"/>
        <w:spacing w:before="100" w:beforeAutospacing="1" w:after="100" w:afterAutospacing="1"/>
      </w:pPr>
      <w:r>
        <w:rPr>
          <w:b/>
          <w:bCs/>
          <w:color w:val="000000"/>
          <w:sz w:val="24"/>
          <w:szCs w:val="24"/>
        </w:rPr>
        <w:t>2.2 Information Sources</w:t>
      </w:r>
    </w:p>
    <w:p w14:paraId="7E334CB0" w14:textId="77777777" w:rsidR="00706FFA" w:rsidRDefault="00000000" w:rsidP="00E35ED2">
      <w:pPr>
        <w:spacing w:before="100" w:beforeAutospacing="1" w:after="100" w:afterAutospacing="1"/>
        <w:jc w:val="both"/>
      </w:pPr>
      <w:r>
        <w:t xml:space="preserve">Searching was conducted in openly accessible scholarly indexes. The sources actually queried were </w:t>
      </w:r>
      <w:proofErr w:type="spellStart"/>
      <w:r>
        <w:t>OpenAlex</w:t>
      </w:r>
      <w:proofErr w:type="spellEnd"/>
      <w:r>
        <w:t xml:space="preserve">, </w:t>
      </w:r>
      <w:proofErr w:type="spellStart"/>
      <w:r>
        <w:t>Crossref</w:t>
      </w:r>
      <w:proofErr w:type="spellEnd"/>
      <w:r>
        <w:t xml:space="preserve"> Metadata Search, PubMed, Europe PMC and the Directory of Open Access Journals. Bibliographic detail, including author lists, year, volume, issue, pagination or article number, was verified against </w:t>
      </w:r>
      <w:proofErr w:type="spellStart"/>
      <w:r>
        <w:t>Crossref</w:t>
      </w:r>
      <w:proofErr w:type="spellEnd"/>
      <w:r>
        <w:t xml:space="preserve"> metadata records and against the persistent identifier landing pages of the individual articles. General web searching was used as a </w:t>
      </w:r>
      <w:r>
        <w:lastRenderedPageBreak/>
        <w:t>supplementary route to identify candidate publications and reviews for subsequent verification in the indexes named above.</w:t>
      </w:r>
    </w:p>
    <w:p w14:paraId="1111EE95" w14:textId="77777777" w:rsidR="00706FFA" w:rsidRDefault="00000000" w:rsidP="00E35ED2">
      <w:pPr>
        <w:spacing w:before="100" w:beforeAutospacing="1" w:after="100" w:afterAutospacing="1"/>
        <w:jc w:val="both"/>
      </w:pPr>
      <w:r>
        <w:t>Subscription-restricted citation indexes and abstracting services were not accessible during preparation of this review, and no search of such resources is claimed; this limitation on coverage is discussed in the final section. Supplementary retrieval used backward citation searching from the reference lists of recent reviews and primary studies, forward and related-record searching through index citation links, and targeted author searching for groups that have published series of studies on individual dyes or effluent streams. Records were checked for corrections, expressions of concern and retraction notices, and material carrying such notices was not used as evidence.</w:t>
      </w:r>
    </w:p>
    <w:p w14:paraId="77FA7A4E" w14:textId="77777777" w:rsidR="00706FFA" w:rsidRDefault="00000000" w:rsidP="00E35ED2">
      <w:pPr>
        <w:pStyle w:val="Heading2"/>
        <w:spacing w:before="100" w:beforeAutospacing="1" w:after="100" w:afterAutospacing="1"/>
      </w:pPr>
      <w:r>
        <w:rPr>
          <w:b/>
          <w:bCs/>
          <w:color w:val="000000"/>
          <w:sz w:val="24"/>
          <w:szCs w:val="24"/>
        </w:rPr>
        <w:t>2.3 Search Strategy and Search Period</w:t>
      </w:r>
    </w:p>
    <w:p w14:paraId="5F32FAAB" w14:textId="77777777" w:rsidR="00706FFA" w:rsidRDefault="00000000" w:rsidP="00E35ED2">
      <w:pPr>
        <w:spacing w:before="100" w:beforeAutospacing="1" w:after="100" w:afterAutospacing="1"/>
        <w:jc w:val="both"/>
      </w:pPr>
      <w:r>
        <w:t xml:space="preserve">Search concepts were built from four blocks combined with Boolean operators. The exposure block combined generic terms ("textile dye", "azo dye", "reactive dye", "disperse dye", "anthraquinone dye", "triarylmethane"), named dyes ("malachite green", "Congo red", "tartrazine", "Eriochrome Black T", "Acid Black", "Disperse Red", "indigo", "alizarin") and discharge terms ("dye effluent", "textile effluent", "dyeing wastewater", "dye bath effluent", "textile wastewater treatment plant effluent"). The receptor block combined "fish", "fishes", "teleost", "zebrafish", "carp", "tilapia", "catfish" and named species including </w:t>
      </w:r>
      <w:r>
        <w:rPr>
          <w:i/>
          <w:iCs/>
        </w:rPr>
        <w:t>Danio rerio</w:t>
      </w:r>
      <w:r>
        <w:t xml:space="preserve">, </w:t>
      </w:r>
      <w:proofErr w:type="spellStart"/>
      <w:r>
        <w:rPr>
          <w:i/>
          <w:iCs/>
        </w:rPr>
        <w:t>Labeo</w:t>
      </w:r>
      <w:proofErr w:type="spellEnd"/>
      <w:r>
        <w:rPr>
          <w:i/>
          <w:iCs/>
        </w:rPr>
        <w:t xml:space="preserve"> </w:t>
      </w:r>
      <w:proofErr w:type="spellStart"/>
      <w:r>
        <w:rPr>
          <w:i/>
          <w:iCs/>
        </w:rPr>
        <w:t>rohita</w:t>
      </w:r>
      <w:proofErr w:type="spellEnd"/>
      <w:r>
        <w:t xml:space="preserve">, </w:t>
      </w:r>
      <w:r>
        <w:rPr>
          <w:i/>
          <w:iCs/>
        </w:rPr>
        <w:t>Cyprinus carpio</w:t>
      </w:r>
      <w:r>
        <w:t xml:space="preserve">, </w:t>
      </w:r>
      <w:r>
        <w:rPr>
          <w:i/>
          <w:iCs/>
        </w:rPr>
        <w:t>Oreochromis niloticus</w:t>
      </w:r>
      <w:r>
        <w:t xml:space="preserve">, </w:t>
      </w:r>
      <w:r>
        <w:rPr>
          <w:i/>
          <w:iCs/>
        </w:rPr>
        <w:t>Channa punctata</w:t>
      </w:r>
      <w:r>
        <w:t xml:space="preserve">, </w:t>
      </w:r>
      <w:r>
        <w:rPr>
          <w:i/>
          <w:iCs/>
        </w:rPr>
        <w:t xml:space="preserve">Clarias </w:t>
      </w:r>
      <w:proofErr w:type="spellStart"/>
      <w:r>
        <w:rPr>
          <w:i/>
          <w:iCs/>
        </w:rPr>
        <w:t>batrachus</w:t>
      </w:r>
      <w:proofErr w:type="spellEnd"/>
      <w:r>
        <w:t xml:space="preserve"> and </w:t>
      </w:r>
      <w:r>
        <w:rPr>
          <w:i/>
          <w:iCs/>
        </w:rPr>
        <w:t xml:space="preserve">Astyanax </w:t>
      </w:r>
      <w:proofErr w:type="spellStart"/>
      <w:r>
        <w:rPr>
          <w:i/>
          <w:iCs/>
        </w:rPr>
        <w:t>lacustris</w:t>
      </w:r>
      <w:proofErr w:type="spellEnd"/>
      <w:r>
        <w:t>. The response block combined "oxidative stress", "antioxidant", "superoxide dismutase", "catalase", "glutathione", "lipid peroxidation", "malondialdehyde", "genotoxicity", "micronucleus", "comet assay", "histopathology", "haematology", "cortisol", "behaviour", "growth", "vitellogenin" and "gut microbiota". A context block combined "risk assessment", "predicted no-effect concentration", "whole effluent toxicity", "biomonitoring", "bioaccumulation", "recovery" and "treatment".</w:t>
      </w:r>
    </w:p>
    <w:p w14:paraId="41C76789" w14:textId="77777777" w:rsidR="00706FFA" w:rsidRDefault="00000000" w:rsidP="00E35ED2">
      <w:pPr>
        <w:spacing w:before="100" w:beforeAutospacing="1" w:after="100" w:afterAutospacing="1"/>
        <w:jc w:val="both"/>
      </w:pPr>
      <w:r>
        <w:t>Representative strings, adapted to the syntax of each index, combined the exposure and receptor blocks as ("textile effluent" OR "dye effluent" OR "textile dye" OR "azo dye") AND (fish OR fishes OR zebrafish OR carp OR tilapia), and the exposure and response blocks as ("textile dye" OR "azo dye" OR "dyeing wastewater") AND ("oxidative stress" OR antioxidant OR genotoxic</w:t>
      </w:r>
      <w:r>
        <w:rPr>
          <w:i/>
          <w:iCs/>
        </w:rPr>
        <w:t xml:space="preserve"> OR </w:t>
      </w:r>
      <w:proofErr w:type="spellStart"/>
      <w:r>
        <w:rPr>
          <w:i/>
          <w:iCs/>
        </w:rPr>
        <w:t>histopath</w:t>
      </w:r>
      <w:proofErr w:type="spellEnd"/>
      <w:r>
        <w:t xml:space="preserve"> OR </w:t>
      </w:r>
      <w:proofErr w:type="spellStart"/>
      <w:r>
        <w:t>haematolog</w:t>
      </w:r>
      <w:proofErr w:type="spellEnd"/>
      <w:r>
        <w:rPr>
          <w:i/>
          <w:iCs/>
        </w:rPr>
        <w:t xml:space="preserve"> OR </w:t>
      </w:r>
      <w:proofErr w:type="spellStart"/>
      <w:r>
        <w:rPr>
          <w:i/>
          <w:iCs/>
        </w:rPr>
        <w:t>hematolog</w:t>
      </w:r>
      <w:proofErr w:type="spellEnd"/>
      <w:r>
        <w:t>). Further strings substituted named dyes and named species for generic terms, and combined the exposure block with the context block to capture exposure characterisation and risk-assessment literature. Free-text searching of title and abstract fields was used throughout to avoid dependence on indexing completeness.</w:t>
      </w:r>
    </w:p>
    <w:p w14:paraId="19DBBE73" w14:textId="77777777" w:rsidR="00706FFA" w:rsidRDefault="00000000" w:rsidP="00E35ED2">
      <w:pPr>
        <w:spacing w:before="100" w:beforeAutospacing="1" w:after="100" w:afterAutospacing="1"/>
        <w:jc w:val="both"/>
      </w:pPr>
      <w:r>
        <w:t>The search period opened in 1990 and closed on 31 May 2026. The opening year was selected because the systematic application of cytogenetic and biochemical biomarkers to fish exposed to industrial colourants, as distinct from acute lethality testing, dates from that period, and because it precedes the earliest primary studies on which current interpretive frameworks in this field rest. Foundational publications on azo reduction chemistry and on the mutagenic properties of aromatic amines were included where earlier than the opening year, since these are necessary to explain the mechanistic reasoning that later fish studies inherit.</w:t>
      </w:r>
    </w:p>
    <w:p w14:paraId="1E2606CA" w14:textId="77777777" w:rsidR="00706FFA" w:rsidRDefault="00000000" w:rsidP="00E35ED2">
      <w:pPr>
        <w:pStyle w:val="Heading2"/>
        <w:spacing w:before="100" w:beforeAutospacing="1" w:after="100" w:afterAutospacing="1"/>
      </w:pPr>
      <w:r>
        <w:rPr>
          <w:b/>
          <w:bCs/>
          <w:color w:val="000000"/>
          <w:sz w:val="24"/>
          <w:szCs w:val="24"/>
        </w:rPr>
        <w:t>2.4 Eligibility Criteria</w:t>
      </w:r>
    </w:p>
    <w:p w14:paraId="33DF3206" w14:textId="77777777" w:rsidR="00706FFA" w:rsidRDefault="00000000" w:rsidP="00E35ED2">
      <w:pPr>
        <w:spacing w:before="100" w:beforeAutospacing="1" w:after="100" w:afterAutospacing="1"/>
        <w:jc w:val="both"/>
      </w:pPr>
      <w:r>
        <w:t xml:space="preserve">Publications were eligible if they were peer-reviewed primary research or review articles reporting or synthesising biological responses of freshwater fishes, or of cell lines derived from </w:t>
      </w:r>
      <w:r>
        <w:lastRenderedPageBreak/>
        <w:t>freshwater fishes, to synthetic dyes, dye intermediates or dye-bearing effluents. Eligible exposure entities were purified or commercial dyes, identified dye-synthesis or application intermediates, dye-bath and process-stream effluents, treatment plant effluents, and receiving waters demonstrably influenced by such discharges. Eligible response domains spanned redox and antioxidant biochemistry, genotoxicity and cytogenetic damage, histopathology and ultrastructure, haematology and clinical biochemistry, neurotransmission and behaviour, growth and energetics, reproduction and development, endocrine and immune measures, gut microbial composition, and tissue residue.</w:t>
      </w:r>
    </w:p>
    <w:p w14:paraId="148EE454" w14:textId="77777777" w:rsidR="00706FFA" w:rsidRDefault="00000000" w:rsidP="00E35ED2">
      <w:pPr>
        <w:spacing w:before="100" w:beforeAutospacing="1" w:after="100" w:afterAutospacing="1"/>
        <w:jc w:val="both"/>
      </w:pPr>
      <w:r>
        <w:t>Publications were excluded if the exposure entity was a degradation catalyst, nanomaterial or adsorbent tested for its own toxicity; if fish material was used solely as an adsorbent or analytical substrate; if the receptor was exclusively non-fish; if the report was a preprint, conference abstract, thesis, trade publication or non-peer-reviewed commentary; or if bibliographic identity could not be verified. Studies whose concentration units could not be reconciled internally were retained only where the qualitative direction of effect was unambiguous, with the limitation noted in appraisal. No geographical restriction was applied. Language was restricted to English, which is a source of bias discussed in the final section.</w:t>
      </w:r>
    </w:p>
    <w:p w14:paraId="48DA1D51" w14:textId="77777777" w:rsidR="00706FFA" w:rsidRDefault="00000000" w:rsidP="00E35ED2">
      <w:pPr>
        <w:pStyle w:val="Heading2"/>
        <w:spacing w:before="100" w:beforeAutospacing="1" w:after="100" w:afterAutospacing="1"/>
      </w:pPr>
      <w:r>
        <w:rPr>
          <w:b/>
          <w:bCs/>
          <w:color w:val="000000"/>
          <w:sz w:val="24"/>
          <w:szCs w:val="24"/>
        </w:rPr>
        <w:t>2.5 Screening, Duplicate Handling and Study Selection</w:t>
      </w:r>
    </w:p>
    <w:p w14:paraId="72A38C1B" w14:textId="77777777" w:rsidR="00706FFA" w:rsidRDefault="00000000" w:rsidP="00E35ED2">
      <w:pPr>
        <w:spacing w:before="100" w:beforeAutospacing="1" w:after="100" w:afterAutospacing="1"/>
        <w:jc w:val="both"/>
      </w:pPr>
      <w:r>
        <w:t>Records were screened first on title and abstract against the eligibility criteria, then assessed on full text or, where full text was inaccessible, on the complete abstract together with verified bibliographic metadata; records assessed only on abstract were used solely for corroborative statements. Duplicates arising from overlapping index coverage were identified by persistent identifier and, where absent, by matching title, first author and year, retaining the most completely documented record. Preprint versions of subsequently published articles were replaced by the version of record, and records for which neither exposure entity nor direction of effect could be established were set aside rather than interpreted. Because selection was purposive and interpretive rather than exhaustive, no screening counts are reported and no flow diagram is presented. Methodologically limited studies were retained where they provided the only available evidence on a particular dye, species or endpoint, with the limitation stated at the point of use.</w:t>
      </w:r>
    </w:p>
    <w:p w14:paraId="0742E64B" w14:textId="77777777" w:rsidR="00706FFA" w:rsidRDefault="00000000" w:rsidP="00E35ED2">
      <w:pPr>
        <w:pStyle w:val="Heading2"/>
        <w:spacing w:before="100" w:beforeAutospacing="1" w:after="100" w:afterAutospacing="1"/>
      </w:pPr>
      <w:r>
        <w:rPr>
          <w:b/>
          <w:bCs/>
          <w:color w:val="000000"/>
          <w:sz w:val="24"/>
          <w:szCs w:val="24"/>
        </w:rPr>
        <w:t>2.6 Critical Appraisal and Evidence Synthesis</w:t>
      </w:r>
    </w:p>
    <w:p w14:paraId="2C896FBD" w14:textId="77777777" w:rsidR="00706FFA" w:rsidRDefault="00000000" w:rsidP="00E35ED2">
      <w:pPr>
        <w:spacing w:before="100" w:beforeAutospacing="1" w:after="100" w:afterAutospacing="1"/>
        <w:jc w:val="both"/>
      </w:pPr>
      <w:r>
        <w:t>Each included primary study was appraised against criteria appropriate to aquatic toxicology rather than by a formal risk-of-bias instrument, since the reporting detail required to apply such an instrument reliably was frequently absent and formal scoring would have conveyed unwarranted precision. Appraisal considered whether the exposure entity was chemically characterised; whether concentrations were measured analytically or assumed from nominal preparation, and whether they bore a stated relationship to environmental measurements; whether exposure duration suited the endpoint, with particular attention to delayed effects in early life stages; whether controls, replication and unit of analysis were adequate; whether water quality covariates capable of independently producing the observed response were considered; whether biomarker directionality was interpreted consistently with the stated mechanism; and whether the reported conclusions were proportionate to the design.</w:t>
      </w:r>
    </w:p>
    <w:p w14:paraId="2F906ABF" w14:textId="77777777" w:rsidR="00706FFA" w:rsidRDefault="00000000" w:rsidP="00E35ED2">
      <w:pPr>
        <w:spacing w:before="100" w:beforeAutospacing="1" w:after="100" w:afterAutospacing="1"/>
        <w:jc w:val="both"/>
      </w:pPr>
      <w:r>
        <w:t xml:space="preserve">Synthesis proceeded thematically, grouping studies by the interpretive problem they illuminate rather than by dye class or species, so that exposure characterisation, the redox framework, the genotoxicity signal, tissue and organismal response, the reproductive and microbiome domain, </w:t>
      </w:r>
      <w:r>
        <w:lastRenderedPageBreak/>
        <w:t>and the recovery and treatment question each form an analytical unit. Within each theme, convergent findings were identified first, conflicting findings were examined for methodological explanations, and residual disagreement was retained rather than resolved by preference. Confidence in each conclusion was assessed qualitatively from the number of independent groups reporting it, the diversity of species and dye classes across which it holds, the consistency of its direction, and its robustness to the exposure characterisation and concentration realism problems identified below.</w:t>
      </w:r>
    </w:p>
    <w:p w14:paraId="525BE6FF" w14:textId="77777777" w:rsidR="00706FFA" w:rsidRDefault="00000000" w:rsidP="00E35ED2">
      <w:pPr>
        <w:spacing w:before="100" w:beforeAutospacing="1" w:after="100" w:afterAutospacing="1"/>
        <w:jc w:val="both"/>
      </w:pPr>
      <w:r>
        <w:t>Table 1 distinguishes the exposure entities that this literature treats as interchangeable and specifies what each can and cannot support. The distinctions are not pedantic: a conclusion drawn from purified dye exposure speaks to the intrinsic hazard of a defined molecule, whereas a conclusion drawn from whole effluent speaks to the hazard of a discharge whose composition is usually unquantified and locally variable. Studies that use the two designs are cited side by side throughout the field, and the resulting composite picture attributes to dyes effects that may originate in salinity, metals, surfactants or residual oxidants. The table also records the intermediate case of identified synthesis intermediates, which has been examined in a small but analytically informative body of work.</w:t>
      </w:r>
    </w:p>
    <w:p w14:paraId="2AB994A9" w14:textId="77777777" w:rsidR="00706FFA" w:rsidRDefault="00000000" w:rsidP="00E35ED2">
      <w:pPr>
        <w:spacing w:before="100" w:beforeAutospacing="1" w:after="100" w:afterAutospacing="1"/>
      </w:pPr>
      <w:r>
        <w:rPr>
          <w:b/>
          <w:bCs/>
          <w:sz w:val="22"/>
          <w:szCs w:val="22"/>
        </w:rPr>
        <w:t>Table 1</w:t>
      </w:r>
    </w:p>
    <w:p w14:paraId="2C88F0EF" w14:textId="77777777" w:rsidR="00706FFA" w:rsidRDefault="00000000" w:rsidP="00E35ED2">
      <w:pPr>
        <w:spacing w:before="100" w:beforeAutospacing="1" w:after="100" w:afterAutospacing="1"/>
      </w:pPr>
      <w:r>
        <w:rPr>
          <w:i/>
          <w:iCs/>
          <w:sz w:val="22"/>
          <w:szCs w:val="22"/>
        </w:rPr>
        <w:t>Exposure entities in the dye effluent literature and the inferences each design supports</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706FFA" w14:paraId="010C567E" w14:textId="77777777">
        <w:trPr>
          <w:tblHeader/>
        </w:trPr>
        <w:tc>
          <w:tcPr>
            <w:tcW w:w="1872" w:type="dxa"/>
            <w:shd w:val="clear" w:color="auto" w:fill="EDEDED"/>
            <w:tcMar>
              <w:top w:w="60" w:type="dxa"/>
              <w:left w:w="90" w:type="dxa"/>
              <w:bottom w:w="60" w:type="dxa"/>
              <w:right w:w="90" w:type="dxa"/>
            </w:tcMar>
          </w:tcPr>
          <w:p w14:paraId="1C8FDCFD" w14:textId="77777777" w:rsidR="00706FFA" w:rsidRDefault="00000000" w:rsidP="00E35ED2">
            <w:pPr>
              <w:spacing w:before="100" w:beforeAutospacing="1" w:after="100" w:afterAutospacing="1"/>
            </w:pPr>
            <w:r>
              <w:rPr>
                <w:b/>
                <w:bCs/>
                <w:sz w:val="18"/>
                <w:szCs w:val="18"/>
              </w:rPr>
              <w:t>Exposure entity</w:t>
            </w:r>
          </w:p>
        </w:tc>
        <w:tc>
          <w:tcPr>
            <w:tcW w:w="1872" w:type="dxa"/>
            <w:shd w:val="clear" w:color="auto" w:fill="EDEDED"/>
            <w:tcMar>
              <w:top w:w="60" w:type="dxa"/>
              <w:left w:w="90" w:type="dxa"/>
              <w:bottom w:w="60" w:type="dxa"/>
              <w:right w:w="90" w:type="dxa"/>
            </w:tcMar>
          </w:tcPr>
          <w:p w14:paraId="561D996B" w14:textId="77777777" w:rsidR="00706FFA" w:rsidRDefault="00000000" w:rsidP="00E35ED2">
            <w:pPr>
              <w:spacing w:before="100" w:beforeAutospacing="1" w:after="100" w:afterAutospacing="1"/>
            </w:pPr>
            <w:r>
              <w:rPr>
                <w:b/>
                <w:bCs/>
                <w:sz w:val="18"/>
                <w:szCs w:val="18"/>
              </w:rPr>
              <w:t>Typical characterisation</w:t>
            </w:r>
          </w:p>
        </w:tc>
        <w:tc>
          <w:tcPr>
            <w:tcW w:w="1872" w:type="dxa"/>
            <w:shd w:val="clear" w:color="auto" w:fill="EDEDED"/>
            <w:tcMar>
              <w:top w:w="60" w:type="dxa"/>
              <w:left w:w="90" w:type="dxa"/>
              <w:bottom w:w="60" w:type="dxa"/>
              <w:right w:w="90" w:type="dxa"/>
            </w:tcMar>
          </w:tcPr>
          <w:p w14:paraId="489390F6" w14:textId="77777777" w:rsidR="00706FFA" w:rsidRDefault="00000000" w:rsidP="00E35ED2">
            <w:pPr>
              <w:spacing w:before="100" w:beforeAutospacing="1" w:after="100" w:afterAutospacing="1"/>
            </w:pPr>
            <w:r>
              <w:rPr>
                <w:b/>
                <w:bCs/>
                <w:sz w:val="18"/>
                <w:szCs w:val="18"/>
              </w:rPr>
              <w:t>What the design can support</w:t>
            </w:r>
          </w:p>
        </w:tc>
        <w:tc>
          <w:tcPr>
            <w:tcW w:w="1872" w:type="dxa"/>
            <w:shd w:val="clear" w:color="auto" w:fill="EDEDED"/>
            <w:tcMar>
              <w:top w:w="60" w:type="dxa"/>
              <w:left w:w="90" w:type="dxa"/>
              <w:bottom w:w="60" w:type="dxa"/>
              <w:right w:w="90" w:type="dxa"/>
            </w:tcMar>
          </w:tcPr>
          <w:p w14:paraId="602D0734" w14:textId="77777777" w:rsidR="00706FFA" w:rsidRDefault="00000000" w:rsidP="00E35ED2">
            <w:pPr>
              <w:spacing w:before="100" w:beforeAutospacing="1" w:after="100" w:afterAutospacing="1"/>
            </w:pPr>
            <w:r>
              <w:rPr>
                <w:b/>
                <w:bCs/>
                <w:sz w:val="18"/>
                <w:szCs w:val="18"/>
              </w:rPr>
              <w:t>What it cannot support</w:t>
            </w:r>
          </w:p>
        </w:tc>
        <w:tc>
          <w:tcPr>
            <w:tcW w:w="1872" w:type="dxa"/>
            <w:shd w:val="clear" w:color="auto" w:fill="EDEDED"/>
            <w:tcMar>
              <w:top w:w="60" w:type="dxa"/>
              <w:left w:w="90" w:type="dxa"/>
              <w:bottom w:w="60" w:type="dxa"/>
              <w:right w:w="90" w:type="dxa"/>
            </w:tcMar>
          </w:tcPr>
          <w:p w14:paraId="3A7A4DED" w14:textId="77777777" w:rsidR="00706FFA" w:rsidRDefault="00000000" w:rsidP="00E35ED2">
            <w:pPr>
              <w:spacing w:before="100" w:beforeAutospacing="1" w:after="100" w:afterAutospacing="1"/>
            </w:pPr>
            <w:r>
              <w:rPr>
                <w:b/>
                <w:bCs/>
                <w:sz w:val="18"/>
                <w:szCs w:val="18"/>
              </w:rPr>
              <w:t>Supporting references</w:t>
            </w:r>
          </w:p>
        </w:tc>
      </w:tr>
      <w:tr w:rsidR="00706FFA" w14:paraId="4D79F3C7" w14:textId="77777777">
        <w:tc>
          <w:tcPr>
            <w:tcW w:w="1872" w:type="dxa"/>
            <w:tcMar>
              <w:top w:w="60" w:type="dxa"/>
              <w:left w:w="90" w:type="dxa"/>
              <w:bottom w:w="60" w:type="dxa"/>
              <w:right w:w="90" w:type="dxa"/>
            </w:tcMar>
          </w:tcPr>
          <w:p w14:paraId="515EC7A2" w14:textId="77777777" w:rsidR="00706FFA" w:rsidRDefault="00000000" w:rsidP="00E35ED2">
            <w:pPr>
              <w:spacing w:before="100" w:beforeAutospacing="1" w:after="100" w:afterAutospacing="1"/>
            </w:pPr>
            <w:r>
              <w:rPr>
                <w:sz w:val="18"/>
                <w:szCs w:val="18"/>
              </w:rPr>
              <w:t>Purified or commercial single dye</w:t>
            </w:r>
          </w:p>
        </w:tc>
        <w:tc>
          <w:tcPr>
            <w:tcW w:w="1872" w:type="dxa"/>
            <w:tcMar>
              <w:top w:w="60" w:type="dxa"/>
              <w:left w:w="90" w:type="dxa"/>
              <w:bottom w:w="60" w:type="dxa"/>
              <w:right w:w="90" w:type="dxa"/>
            </w:tcMar>
          </w:tcPr>
          <w:p w14:paraId="3C1D83F8" w14:textId="77777777" w:rsidR="00706FFA" w:rsidRDefault="00000000" w:rsidP="00E35ED2">
            <w:pPr>
              <w:spacing w:before="100" w:beforeAutospacing="1" w:after="100" w:afterAutospacing="1"/>
            </w:pPr>
            <w:r>
              <w:rPr>
                <w:sz w:val="18"/>
                <w:szCs w:val="18"/>
              </w:rPr>
              <w:t>Named dye with Colour Index designation; concentration usually nominal</w:t>
            </w:r>
          </w:p>
        </w:tc>
        <w:tc>
          <w:tcPr>
            <w:tcW w:w="1872" w:type="dxa"/>
            <w:tcMar>
              <w:top w:w="60" w:type="dxa"/>
              <w:left w:w="90" w:type="dxa"/>
              <w:bottom w:w="60" w:type="dxa"/>
              <w:right w:w="90" w:type="dxa"/>
            </w:tcMar>
          </w:tcPr>
          <w:p w14:paraId="535C9889" w14:textId="77777777" w:rsidR="00706FFA" w:rsidRDefault="00000000" w:rsidP="00E35ED2">
            <w:pPr>
              <w:spacing w:before="100" w:beforeAutospacing="1" w:after="100" w:afterAutospacing="1"/>
            </w:pPr>
            <w:r>
              <w:rPr>
                <w:sz w:val="18"/>
                <w:szCs w:val="18"/>
              </w:rPr>
              <w:t>Intrinsic hazard and potency of a defined chromophore; concentration-response relationships; mechanistic hypotheses</w:t>
            </w:r>
          </w:p>
        </w:tc>
        <w:tc>
          <w:tcPr>
            <w:tcW w:w="1872" w:type="dxa"/>
            <w:tcMar>
              <w:top w:w="60" w:type="dxa"/>
              <w:left w:w="90" w:type="dxa"/>
              <w:bottom w:w="60" w:type="dxa"/>
              <w:right w:w="90" w:type="dxa"/>
            </w:tcMar>
          </w:tcPr>
          <w:p w14:paraId="225498A3" w14:textId="77777777" w:rsidR="00706FFA" w:rsidRDefault="00000000" w:rsidP="00E35ED2">
            <w:pPr>
              <w:spacing w:before="100" w:beforeAutospacing="1" w:after="100" w:afterAutospacing="1"/>
            </w:pPr>
            <w:r>
              <w:rPr>
                <w:sz w:val="18"/>
                <w:szCs w:val="18"/>
              </w:rPr>
              <w:t>Attribution of field effects; effects of process chemicals; realism of exposure</w:t>
            </w:r>
          </w:p>
        </w:tc>
        <w:tc>
          <w:tcPr>
            <w:tcW w:w="1872" w:type="dxa"/>
            <w:tcMar>
              <w:top w:w="60" w:type="dxa"/>
              <w:left w:w="90" w:type="dxa"/>
              <w:bottom w:w="60" w:type="dxa"/>
              <w:right w:w="90" w:type="dxa"/>
            </w:tcMar>
          </w:tcPr>
          <w:p w14:paraId="22706907" w14:textId="77777777" w:rsidR="00706FFA" w:rsidRDefault="00000000" w:rsidP="00E35ED2">
            <w:pPr>
              <w:spacing w:before="100" w:beforeAutospacing="1" w:after="100" w:afterAutospacing="1"/>
            </w:pPr>
            <w:r>
              <w:rPr>
                <w:sz w:val="18"/>
                <w:szCs w:val="18"/>
              </w:rPr>
              <w:t xml:space="preserve">Kaur &amp; Kaur (2015); </w:t>
            </w:r>
            <w:proofErr w:type="spellStart"/>
            <w:r>
              <w:rPr>
                <w:sz w:val="18"/>
                <w:szCs w:val="18"/>
              </w:rPr>
              <w:t>Köktürk</w:t>
            </w:r>
            <w:proofErr w:type="spellEnd"/>
            <w:r>
              <w:rPr>
                <w:sz w:val="18"/>
                <w:szCs w:val="18"/>
              </w:rPr>
              <w:t xml:space="preserve"> et al. (2021); Parrott et al. (2016); Rodrigues et al. (2026)</w:t>
            </w:r>
          </w:p>
        </w:tc>
      </w:tr>
      <w:tr w:rsidR="00706FFA" w14:paraId="63A5BE0D" w14:textId="77777777">
        <w:tc>
          <w:tcPr>
            <w:tcW w:w="1872" w:type="dxa"/>
            <w:tcMar>
              <w:top w:w="60" w:type="dxa"/>
              <w:left w:w="90" w:type="dxa"/>
              <w:bottom w:w="60" w:type="dxa"/>
              <w:right w:w="90" w:type="dxa"/>
            </w:tcMar>
          </w:tcPr>
          <w:p w14:paraId="5A8A0902" w14:textId="77777777" w:rsidR="00706FFA" w:rsidRDefault="00000000" w:rsidP="00E35ED2">
            <w:pPr>
              <w:spacing w:before="100" w:beforeAutospacing="1" w:after="100" w:afterAutospacing="1"/>
            </w:pPr>
            <w:r>
              <w:rPr>
                <w:sz w:val="18"/>
                <w:szCs w:val="18"/>
              </w:rPr>
              <w:t>Identified dye-synthesis or application intermediate</w:t>
            </w:r>
          </w:p>
        </w:tc>
        <w:tc>
          <w:tcPr>
            <w:tcW w:w="1872" w:type="dxa"/>
            <w:tcMar>
              <w:top w:w="60" w:type="dxa"/>
              <w:left w:w="90" w:type="dxa"/>
              <w:bottom w:w="60" w:type="dxa"/>
              <w:right w:w="90" w:type="dxa"/>
            </w:tcMar>
          </w:tcPr>
          <w:p w14:paraId="7C888B42" w14:textId="77777777" w:rsidR="00706FFA" w:rsidRDefault="00000000" w:rsidP="00E35ED2">
            <w:pPr>
              <w:spacing w:before="100" w:beforeAutospacing="1" w:after="100" w:afterAutospacing="1"/>
            </w:pPr>
            <w:r>
              <w:rPr>
                <w:sz w:val="18"/>
                <w:szCs w:val="18"/>
              </w:rPr>
              <w:t>Named compound, often a sulphonated aromatic</w:t>
            </w:r>
          </w:p>
        </w:tc>
        <w:tc>
          <w:tcPr>
            <w:tcW w:w="1872" w:type="dxa"/>
            <w:tcMar>
              <w:top w:w="60" w:type="dxa"/>
              <w:left w:w="90" w:type="dxa"/>
              <w:bottom w:w="60" w:type="dxa"/>
              <w:right w:w="90" w:type="dxa"/>
            </w:tcMar>
          </w:tcPr>
          <w:p w14:paraId="1D5354A5" w14:textId="77777777" w:rsidR="00706FFA" w:rsidRDefault="00000000" w:rsidP="00E35ED2">
            <w:pPr>
              <w:spacing w:before="100" w:beforeAutospacing="1" w:after="100" w:afterAutospacing="1"/>
            </w:pPr>
            <w:r>
              <w:rPr>
                <w:sz w:val="18"/>
                <w:szCs w:val="18"/>
              </w:rPr>
              <w:t>Hazard of specific transformation or precursor products; persistence-related exposure</w:t>
            </w:r>
          </w:p>
        </w:tc>
        <w:tc>
          <w:tcPr>
            <w:tcW w:w="1872" w:type="dxa"/>
            <w:tcMar>
              <w:top w:w="60" w:type="dxa"/>
              <w:left w:w="90" w:type="dxa"/>
              <w:bottom w:w="60" w:type="dxa"/>
              <w:right w:w="90" w:type="dxa"/>
            </w:tcMar>
          </w:tcPr>
          <w:p w14:paraId="20E3068D" w14:textId="77777777" w:rsidR="00706FFA" w:rsidRDefault="00000000" w:rsidP="00E35ED2">
            <w:pPr>
              <w:spacing w:before="100" w:beforeAutospacing="1" w:after="100" w:afterAutospacing="1"/>
            </w:pPr>
            <w:r>
              <w:rPr>
                <w:sz w:val="18"/>
                <w:szCs w:val="18"/>
              </w:rPr>
              <w:t>Effects of the parent dye; effluent-level hazard</w:t>
            </w:r>
          </w:p>
        </w:tc>
        <w:tc>
          <w:tcPr>
            <w:tcW w:w="1872" w:type="dxa"/>
            <w:tcMar>
              <w:top w:w="60" w:type="dxa"/>
              <w:left w:w="90" w:type="dxa"/>
              <w:bottom w:w="60" w:type="dxa"/>
              <w:right w:w="90" w:type="dxa"/>
            </w:tcMar>
          </w:tcPr>
          <w:p w14:paraId="407F0313" w14:textId="77777777" w:rsidR="00706FFA" w:rsidRDefault="00000000" w:rsidP="00E35ED2">
            <w:pPr>
              <w:spacing w:before="100" w:beforeAutospacing="1" w:after="100" w:afterAutospacing="1"/>
            </w:pPr>
            <w:r>
              <w:rPr>
                <w:sz w:val="18"/>
                <w:szCs w:val="18"/>
              </w:rPr>
              <w:t>Mehra &amp; Chadha (2020, 2021); Sharma et al. (2022)</w:t>
            </w:r>
          </w:p>
        </w:tc>
      </w:tr>
      <w:tr w:rsidR="00706FFA" w14:paraId="53BC8FA9" w14:textId="77777777">
        <w:tc>
          <w:tcPr>
            <w:tcW w:w="1872" w:type="dxa"/>
            <w:tcMar>
              <w:top w:w="60" w:type="dxa"/>
              <w:left w:w="90" w:type="dxa"/>
              <w:bottom w:w="60" w:type="dxa"/>
              <w:right w:w="90" w:type="dxa"/>
            </w:tcMar>
          </w:tcPr>
          <w:p w14:paraId="6878E3DE" w14:textId="77777777" w:rsidR="00706FFA" w:rsidRDefault="00000000" w:rsidP="00E35ED2">
            <w:pPr>
              <w:spacing w:before="100" w:beforeAutospacing="1" w:after="100" w:afterAutospacing="1"/>
            </w:pPr>
            <w:r>
              <w:rPr>
                <w:sz w:val="18"/>
                <w:szCs w:val="18"/>
              </w:rPr>
              <w:t>Dye-bath or process-stream effluent</w:t>
            </w:r>
          </w:p>
        </w:tc>
        <w:tc>
          <w:tcPr>
            <w:tcW w:w="1872" w:type="dxa"/>
            <w:tcMar>
              <w:top w:w="60" w:type="dxa"/>
              <w:left w:w="90" w:type="dxa"/>
              <w:bottom w:w="60" w:type="dxa"/>
              <w:right w:w="90" w:type="dxa"/>
            </w:tcMar>
          </w:tcPr>
          <w:p w14:paraId="00CAB21D" w14:textId="77777777" w:rsidR="00706FFA" w:rsidRDefault="00000000" w:rsidP="00E35ED2">
            <w:pPr>
              <w:spacing w:before="100" w:beforeAutospacing="1" w:after="100" w:afterAutospacing="1"/>
            </w:pPr>
            <w:r>
              <w:rPr>
                <w:sz w:val="18"/>
                <w:szCs w:val="18"/>
              </w:rPr>
              <w:t>Colour, chemical oxygen demand, pH, solids sometimes reported; dye identity usually not</w:t>
            </w:r>
          </w:p>
        </w:tc>
        <w:tc>
          <w:tcPr>
            <w:tcW w:w="1872" w:type="dxa"/>
            <w:tcMar>
              <w:top w:w="60" w:type="dxa"/>
              <w:left w:w="90" w:type="dxa"/>
              <w:bottom w:w="60" w:type="dxa"/>
              <w:right w:w="90" w:type="dxa"/>
            </w:tcMar>
          </w:tcPr>
          <w:p w14:paraId="7B1FBCAD" w14:textId="77777777" w:rsidR="00706FFA" w:rsidRDefault="00000000" w:rsidP="00E35ED2">
            <w:pPr>
              <w:spacing w:before="100" w:beforeAutospacing="1" w:after="100" w:afterAutospacing="1"/>
            </w:pPr>
            <w:r>
              <w:rPr>
                <w:sz w:val="18"/>
                <w:szCs w:val="18"/>
              </w:rPr>
              <w:t>Hazard of the discharge as generated; comparative severity across process units</w:t>
            </w:r>
          </w:p>
        </w:tc>
        <w:tc>
          <w:tcPr>
            <w:tcW w:w="1872" w:type="dxa"/>
            <w:tcMar>
              <w:top w:w="60" w:type="dxa"/>
              <w:left w:w="90" w:type="dxa"/>
              <w:bottom w:w="60" w:type="dxa"/>
              <w:right w:w="90" w:type="dxa"/>
            </w:tcMar>
          </w:tcPr>
          <w:p w14:paraId="0B963742" w14:textId="77777777" w:rsidR="00706FFA" w:rsidRDefault="00000000" w:rsidP="00E35ED2">
            <w:pPr>
              <w:spacing w:before="100" w:beforeAutospacing="1" w:after="100" w:afterAutospacing="1"/>
            </w:pPr>
            <w:r>
              <w:rPr>
                <w:sz w:val="18"/>
                <w:szCs w:val="18"/>
              </w:rPr>
              <w:t>Attribution to dye chemistry; generalisation to other mills</w:t>
            </w:r>
          </w:p>
        </w:tc>
        <w:tc>
          <w:tcPr>
            <w:tcW w:w="1872" w:type="dxa"/>
            <w:tcMar>
              <w:top w:w="60" w:type="dxa"/>
              <w:left w:w="90" w:type="dxa"/>
              <w:bottom w:w="60" w:type="dxa"/>
              <w:right w:w="90" w:type="dxa"/>
            </w:tcMar>
          </w:tcPr>
          <w:p w14:paraId="1CD2881D" w14:textId="77777777" w:rsidR="00706FFA" w:rsidRDefault="00000000" w:rsidP="00E35ED2">
            <w:pPr>
              <w:spacing w:before="100" w:beforeAutospacing="1" w:after="100" w:afterAutospacing="1"/>
            </w:pPr>
            <w:r>
              <w:rPr>
                <w:sz w:val="18"/>
                <w:szCs w:val="18"/>
              </w:rPr>
              <w:t>Sharma et al. (2023, 2024); Zhang et al. (2012)</w:t>
            </w:r>
          </w:p>
        </w:tc>
      </w:tr>
      <w:tr w:rsidR="00706FFA" w14:paraId="09F4C589" w14:textId="77777777">
        <w:tc>
          <w:tcPr>
            <w:tcW w:w="1872" w:type="dxa"/>
            <w:tcMar>
              <w:top w:w="60" w:type="dxa"/>
              <w:left w:w="90" w:type="dxa"/>
              <w:bottom w:w="60" w:type="dxa"/>
              <w:right w:w="90" w:type="dxa"/>
            </w:tcMar>
          </w:tcPr>
          <w:p w14:paraId="03E0190B" w14:textId="77777777" w:rsidR="00706FFA" w:rsidRDefault="00000000" w:rsidP="00E35ED2">
            <w:pPr>
              <w:spacing w:before="100" w:beforeAutospacing="1" w:after="100" w:afterAutospacing="1"/>
            </w:pPr>
            <w:r>
              <w:rPr>
                <w:sz w:val="18"/>
                <w:szCs w:val="18"/>
              </w:rPr>
              <w:t>Treatment plant final effluent</w:t>
            </w:r>
          </w:p>
        </w:tc>
        <w:tc>
          <w:tcPr>
            <w:tcW w:w="1872" w:type="dxa"/>
            <w:tcMar>
              <w:top w:w="60" w:type="dxa"/>
              <w:left w:w="90" w:type="dxa"/>
              <w:bottom w:w="60" w:type="dxa"/>
              <w:right w:w="90" w:type="dxa"/>
            </w:tcMar>
          </w:tcPr>
          <w:p w14:paraId="472D7BE2" w14:textId="77777777" w:rsidR="00706FFA" w:rsidRDefault="00000000" w:rsidP="00E35ED2">
            <w:pPr>
              <w:spacing w:before="100" w:beforeAutospacing="1" w:after="100" w:afterAutospacing="1"/>
            </w:pPr>
            <w:r>
              <w:rPr>
                <w:sz w:val="18"/>
                <w:szCs w:val="18"/>
              </w:rPr>
              <w:t>Compliance parameters usually reported; residual organics rarely characterised</w:t>
            </w:r>
          </w:p>
        </w:tc>
        <w:tc>
          <w:tcPr>
            <w:tcW w:w="1872" w:type="dxa"/>
            <w:tcMar>
              <w:top w:w="60" w:type="dxa"/>
              <w:left w:w="90" w:type="dxa"/>
              <w:bottom w:w="60" w:type="dxa"/>
              <w:right w:w="90" w:type="dxa"/>
            </w:tcMar>
          </w:tcPr>
          <w:p w14:paraId="36F6727B" w14:textId="77777777" w:rsidR="00706FFA" w:rsidRDefault="00000000" w:rsidP="00E35ED2">
            <w:pPr>
              <w:spacing w:before="100" w:beforeAutospacing="1" w:after="100" w:afterAutospacing="1"/>
            </w:pPr>
            <w:r>
              <w:rPr>
                <w:sz w:val="18"/>
                <w:szCs w:val="18"/>
              </w:rPr>
              <w:t>Adequacy of treatment for biological hazard; residual risk after compliance</w:t>
            </w:r>
          </w:p>
        </w:tc>
        <w:tc>
          <w:tcPr>
            <w:tcW w:w="1872" w:type="dxa"/>
            <w:tcMar>
              <w:top w:w="60" w:type="dxa"/>
              <w:left w:w="90" w:type="dxa"/>
              <w:bottom w:w="60" w:type="dxa"/>
              <w:right w:w="90" w:type="dxa"/>
            </w:tcMar>
          </w:tcPr>
          <w:p w14:paraId="2792A94F" w14:textId="77777777" w:rsidR="00706FFA" w:rsidRDefault="00000000" w:rsidP="00E35ED2">
            <w:pPr>
              <w:spacing w:before="100" w:beforeAutospacing="1" w:after="100" w:afterAutospacing="1"/>
            </w:pPr>
            <w:r>
              <w:rPr>
                <w:sz w:val="18"/>
                <w:szCs w:val="18"/>
              </w:rPr>
              <w:t>Identity of the residual causative agents</w:t>
            </w:r>
          </w:p>
        </w:tc>
        <w:tc>
          <w:tcPr>
            <w:tcW w:w="1872" w:type="dxa"/>
            <w:tcMar>
              <w:top w:w="60" w:type="dxa"/>
              <w:left w:w="90" w:type="dxa"/>
              <w:bottom w:w="60" w:type="dxa"/>
              <w:right w:w="90" w:type="dxa"/>
            </w:tcMar>
          </w:tcPr>
          <w:p w14:paraId="40760042" w14:textId="77777777" w:rsidR="00706FFA" w:rsidRDefault="00000000" w:rsidP="00E35ED2">
            <w:pPr>
              <w:spacing w:before="100" w:beforeAutospacing="1" w:after="100" w:afterAutospacing="1"/>
            </w:pPr>
            <w:r>
              <w:rPr>
                <w:sz w:val="18"/>
                <w:szCs w:val="18"/>
              </w:rPr>
              <w:t>Li et al. (2023); Peng et al. (2025); Wang et al. (2021, 2023)</w:t>
            </w:r>
          </w:p>
        </w:tc>
      </w:tr>
      <w:tr w:rsidR="00706FFA" w14:paraId="2DE1B191" w14:textId="77777777">
        <w:tc>
          <w:tcPr>
            <w:tcW w:w="1872" w:type="dxa"/>
            <w:tcMar>
              <w:top w:w="60" w:type="dxa"/>
              <w:left w:w="90" w:type="dxa"/>
              <w:bottom w:w="60" w:type="dxa"/>
              <w:right w:w="90" w:type="dxa"/>
            </w:tcMar>
          </w:tcPr>
          <w:p w14:paraId="0E4ADF48" w14:textId="77777777" w:rsidR="00706FFA" w:rsidRDefault="00000000" w:rsidP="00E35ED2">
            <w:pPr>
              <w:spacing w:before="100" w:beforeAutospacing="1" w:after="100" w:afterAutospacing="1"/>
            </w:pPr>
            <w:r>
              <w:rPr>
                <w:sz w:val="18"/>
                <w:szCs w:val="18"/>
              </w:rPr>
              <w:t>Receiving water or in situ exposure</w:t>
            </w:r>
          </w:p>
        </w:tc>
        <w:tc>
          <w:tcPr>
            <w:tcW w:w="1872" w:type="dxa"/>
            <w:tcMar>
              <w:top w:w="60" w:type="dxa"/>
              <w:left w:w="90" w:type="dxa"/>
              <w:bottom w:w="60" w:type="dxa"/>
              <w:right w:w="90" w:type="dxa"/>
            </w:tcMar>
          </w:tcPr>
          <w:p w14:paraId="69647DB5" w14:textId="77777777" w:rsidR="00706FFA" w:rsidRDefault="00000000" w:rsidP="00E35ED2">
            <w:pPr>
              <w:spacing w:before="100" w:beforeAutospacing="1" w:after="100" w:afterAutospacing="1"/>
            </w:pPr>
            <w:r>
              <w:rPr>
                <w:sz w:val="18"/>
                <w:szCs w:val="18"/>
              </w:rPr>
              <w:t>Water quality and community metrics; multiple upstream sources</w:t>
            </w:r>
          </w:p>
        </w:tc>
        <w:tc>
          <w:tcPr>
            <w:tcW w:w="1872" w:type="dxa"/>
            <w:tcMar>
              <w:top w:w="60" w:type="dxa"/>
              <w:left w:w="90" w:type="dxa"/>
              <w:bottom w:w="60" w:type="dxa"/>
              <w:right w:w="90" w:type="dxa"/>
            </w:tcMar>
          </w:tcPr>
          <w:p w14:paraId="4F377D91" w14:textId="77777777" w:rsidR="00706FFA" w:rsidRDefault="00000000" w:rsidP="00E35ED2">
            <w:pPr>
              <w:spacing w:before="100" w:beforeAutospacing="1" w:after="100" w:afterAutospacing="1"/>
            </w:pPr>
            <w:r>
              <w:rPr>
                <w:sz w:val="18"/>
                <w:szCs w:val="18"/>
              </w:rPr>
              <w:t>Ecological status and integrated response; spatial recovery gradients</w:t>
            </w:r>
          </w:p>
        </w:tc>
        <w:tc>
          <w:tcPr>
            <w:tcW w:w="1872" w:type="dxa"/>
            <w:tcMar>
              <w:top w:w="60" w:type="dxa"/>
              <w:left w:w="90" w:type="dxa"/>
              <w:bottom w:w="60" w:type="dxa"/>
              <w:right w:w="90" w:type="dxa"/>
            </w:tcMar>
          </w:tcPr>
          <w:p w14:paraId="1ED90456" w14:textId="77777777" w:rsidR="00706FFA" w:rsidRDefault="00000000" w:rsidP="00E35ED2">
            <w:pPr>
              <w:spacing w:before="100" w:beforeAutospacing="1" w:after="100" w:afterAutospacing="1"/>
            </w:pPr>
            <w:r>
              <w:rPr>
                <w:sz w:val="18"/>
                <w:szCs w:val="18"/>
              </w:rPr>
              <w:t>Isolation of the dyeing contribution from other sources</w:t>
            </w:r>
          </w:p>
        </w:tc>
        <w:tc>
          <w:tcPr>
            <w:tcW w:w="1872" w:type="dxa"/>
            <w:tcMar>
              <w:top w:w="60" w:type="dxa"/>
              <w:left w:w="90" w:type="dxa"/>
              <w:bottom w:w="60" w:type="dxa"/>
              <w:right w:w="90" w:type="dxa"/>
            </w:tcMar>
          </w:tcPr>
          <w:p w14:paraId="068816DC" w14:textId="77777777" w:rsidR="00706FFA" w:rsidRDefault="00000000" w:rsidP="00E35ED2">
            <w:pPr>
              <w:spacing w:before="100" w:beforeAutospacing="1" w:after="100" w:afterAutospacing="1"/>
            </w:pPr>
            <w:r>
              <w:rPr>
                <w:sz w:val="18"/>
                <w:szCs w:val="18"/>
              </w:rPr>
              <w:t xml:space="preserve">Colin et al. (2016); Hemachandra &amp; </w:t>
            </w:r>
            <w:proofErr w:type="spellStart"/>
            <w:r>
              <w:rPr>
                <w:sz w:val="18"/>
                <w:szCs w:val="18"/>
              </w:rPr>
              <w:t>Pathiratne</w:t>
            </w:r>
            <w:proofErr w:type="spellEnd"/>
            <w:r>
              <w:rPr>
                <w:sz w:val="18"/>
                <w:szCs w:val="18"/>
              </w:rPr>
              <w:t xml:space="preserve"> (2016); Pérez et al. (2018)</w:t>
            </w:r>
          </w:p>
        </w:tc>
      </w:tr>
    </w:tbl>
    <w:p w14:paraId="4665D1A1" w14:textId="77777777" w:rsidR="00706FFA" w:rsidRDefault="00000000" w:rsidP="00E35ED2">
      <w:pPr>
        <w:spacing w:before="100" w:beforeAutospacing="1" w:after="100" w:afterAutospacing="1"/>
      </w:pPr>
      <w:r>
        <w:rPr>
          <w:i/>
          <w:iCs/>
          <w:sz w:val="18"/>
          <w:szCs w:val="18"/>
        </w:rPr>
        <w:t xml:space="preserve">Note. </w:t>
      </w:r>
      <w:r>
        <w:rPr>
          <w:sz w:val="18"/>
          <w:szCs w:val="18"/>
        </w:rPr>
        <w:t>Colour Index designations identify commercial dyes by constitution and application class. Nominal concentration refers to a concentration calculated from the mass of substance added rather than measured analytically in the exposure medium.</w:t>
      </w:r>
    </w:p>
    <w:p w14:paraId="4B27F20B" w14:textId="77777777" w:rsidR="00706FFA" w:rsidRDefault="00000000" w:rsidP="00E35ED2">
      <w:pPr>
        <w:pStyle w:val="Heading1"/>
        <w:spacing w:before="100" w:beforeAutospacing="1" w:after="100" w:afterAutospacing="1"/>
      </w:pPr>
      <w:r>
        <w:rPr>
          <w:b/>
          <w:bCs/>
          <w:color w:val="000000"/>
          <w:sz w:val="26"/>
          <w:szCs w:val="26"/>
        </w:rPr>
        <w:lastRenderedPageBreak/>
        <w:t>3. Exposure characterisation and concentration realism</w:t>
      </w:r>
    </w:p>
    <w:p w14:paraId="567D60B1" w14:textId="77777777" w:rsidR="00706FFA" w:rsidRDefault="00000000" w:rsidP="00E35ED2">
      <w:pPr>
        <w:pStyle w:val="Heading2"/>
        <w:spacing w:before="100" w:beforeAutospacing="1" w:after="100" w:afterAutospacing="1"/>
      </w:pPr>
      <w:r>
        <w:rPr>
          <w:b/>
          <w:bCs/>
          <w:color w:val="000000"/>
          <w:sz w:val="24"/>
          <w:szCs w:val="24"/>
        </w:rPr>
        <w:t>3.1 The single-compound to whole-effluent continuum</w:t>
      </w:r>
    </w:p>
    <w:p w14:paraId="22F35832" w14:textId="77777777" w:rsidR="00706FFA" w:rsidRDefault="00000000" w:rsidP="00E35ED2">
      <w:pPr>
        <w:spacing w:before="100" w:beforeAutospacing="1" w:after="100" w:afterAutospacing="1"/>
        <w:jc w:val="both"/>
      </w:pPr>
      <w:r>
        <w:t xml:space="preserve">The most consequential methodological division lies not between species or endpoints but between studies exposing fish to a defined dye and studies exposing fish to a discharge. Single-compound work establishes intrinsic hazard. Exposure of </w:t>
      </w:r>
      <w:proofErr w:type="spellStart"/>
      <w:r>
        <w:rPr>
          <w:i/>
          <w:iCs/>
        </w:rPr>
        <w:t>Labeo</w:t>
      </w:r>
      <w:proofErr w:type="spellEnd"/>
      <w:r>
        <w:rPr>
          <w:i/>
          <w:iCs/>
        </w:rPr>
        <w:t xml:space="preserve"> </w:t>
      </w:r>
      <w:proofErr w:type="spellStart"/>
      <w:r>
        <w:rPr>
          <w:i/>
          <w:iCs/>
        </w:rPr>
        <w:t>rohita</w:t>
      </w:r>
      <w:proofErr w:type="spellEnd"/>
      <w:r>
        <w:t xml:space="preserve"> to Acid Black at 6, 8 and 10 mg L</w:t>
      </w:r>
      <w:r>
        <w:rPr>
          <w:vertAlign w:val="superscript"/>
        </w:rPr>
        <w:t>−1</w:t>
      </w:r>
      <w:r>
        <w:t xml:space="preserve">, bracketing a </w:t>
      </w:r>
      <w:proofErr w:type="gramStart"/>
      <w:r>
        <w:t>96 h</w:t>
      </w:r>
      <w:proofErr w:type="gramEnd"/>
      <w:r>
        <w:t xml:space="preserve"> median lethal concentration of 10 mg L</w:t>
      </w:r>
      <w:r>
        <w:rPr>
          <w:vertAlign w:val="superscript"/>
        </w:rPr>
        <w:t>−1</w:t>
      </w:r>
      <w:r>
        <w:t>, altered twelve antioxidant, detoxification and metabolic enzymes across liver, kidney, gill, muscle and brain dose-dependently, identifying superoxide dismutase as most responsive and liver as most affected (Kaur &amp; Kaur, 2015). Embryo-larval exposures have yielded median lethal concentrations of 151.92 mg L</w:t>
      </w:r>
      <w:r>
        <w:rPr>
          <w:vertAlign w:val="superscript"/>
        </w:rPr>
        <w:t>−1</w:t>
      </w:r>
      <w:r>
        <w:t xml:space="preserve"> for Remazol Gelb-GR, 166.04 mg L</w:t>
      </w:r>
      <w:r>
        <w:rPr>
          <w:vertAlign w:val="superscript"/>
        </w:rPr>
        <w:t>−1</w:t>
      </w:r>
      <w:r>
        <w:t xml:space="preserve"> for </w:t>
      </w:r>
      <w:proofErr w:type="spellStart"/>
      <w:r>
        <w:t>Maxilon</w:t>
      </w:r>
      <w:proofErr w:type="spellEnd"/>
      <w:r>
        <w:t xml:space="preserve"> Blue 5G and 278.32 mg L</w:t>
      </w:r>
      <w:r>
        <w:rPr>
          <w:vertAlign w:val="superscript"/>
        </w:rPr>
        <w:t>−1</w:t>
      </w:r>
      <w:r>
        <w:t xml:space="preserve"> for Reactive Blue 203 in </w:t>
      </w:r>
      <w:r>
        <w:rPr>
          <w:i/>
          <w:iCs/>
        </w:rPr>
        <w:t>Danio rerio</w:t>
      </w:r>
      <w:r>
        <w:t>, and approximately 350 and 300 mg L</w:t>
      </w:r>
      <w:r>
        <w:rPr>
          <w:vertAlign w:val="superscript"/>
        </w:rPr>
        <w:t>−1</w:t>
      </w:r>
      <w:r>
        <w:t xml:space="preserve"> for natural and synthetic indigo (</w:t>
      </w:r>
      <w:proofErr w:type="spellStart"/>
      <w:r>
        <w:t>Köktürk</w:t>
      </w:r>
      <w:proofErr w:type="spellEnd"/>
      <w:r>
        <w:t xml:space="preserve">, 2022; </w:t>
      </w:r>
      <w:proofErr w:type="spellStart"/>
      <w:r>
        <w:t>Köktürk</w:t>
      </w:r>
      <w:proofErr w:type="spellEnd"/>
      <w:r>
        <w:t xml:space="preserve"> et al., 2021; Porkodi et al., 2024), values consistent in indicating that many textile dyes are of low acute potency when tested as isolated substances.</w:t>
      </w:r>
    </w:p>
    <w:p w14:paraId="6C8B2D3C" w14:textId="77777777" w:rsidR="00706FFA" w:rsidRDefault="00000000" w:rsidP="00E35ED2">
      <w:pPr>
        <w:spacing w:before="100" w:beforeAutospacing="1" w:after="100" w:afterAutospacing="1"/>
        <w:jc w:val="both"/>
      </w:pPr>
      <w:r>
        <w:t xml:space="preserve">Whole-effluent work establishes something different. Untreated textile effluents from two treatment plants serving a large industrial park produced toxic units of 17.3 against zebrafish embryos, alongside 42.9 against luminescent bacteria, 14.0 against green algae and 10.1 against duckweed, with toxicity associated with chemical oxygen demand, fulvic acid-like fluorescence, 4-nonylphenol and bisphenol A among other characteristics (Peng et al., 2025). Raw effluent from a jeans manufacturing operation produced a </w:t>
      </w:r>
      <w:proofErr w:type="gramStart"/>
      <w:r>
        <w:t>96 h</w:t>
      </w:r>
      <w:proofErr w:type="gramEnd"/>
      <w:r>
        <w:t xml:space="preserve"> median lethal concentration of 3.40 per cent by volume for </w:t>
      </w:r>
      <w:proofErr w:type="spellStart"/>
      <w:r>
        <w:rPr>
          <w:i/>
          <w:iCs/>
        </w:rPr>
        <w:t>Rhamdia</w:t>
      </w:r>
      <w:proofErr w:type="spellEnd"/>
      <w:r>
        <w:rPr>
          <w:i/>
          <w:iCs/>
        </w:rPr>
        <w:t xml:space="preserve"> </w:t>
      </w:r>
      <w:proofErr w:type="spellStart"/>
      <w:r>
        <w:rPr>
          <w:i/>
          <w:iCs/>
        </w:rPr>
        <w:t>quelen</w:t>
      </w:r>
      <w:proofErr w:type="spellEnd"/>
      <w:r>
        <w:t xml:space="preserve"> larvae and 13.42 per cent for juveniles (Vasconcelos et al., 2025). Effluent from a Nigerian textile discharge produced a </w:t>
      </w:r>
      <w:proofErr w:type="gramStart"/>
      <w:r>
        <w:t>96 h</w:t>
      </w:r>
      <w:proofErr w:type="gramEnd"/>
      <w:r>
        <w:t xml:space="preserve"> median lethal concentration of 8.203 mL L</w:t>
      </w:r>
      <w:r>
        <w:rPr>
          <w:vertAlign w:val="superscript"/>
        </w:rPr>
        <w:t>−1</w:t>
      </w:r>
      <w:r>
        <w:t xml:space="preserve"> in </w:t>
      </w:r>
      <w:r>
        <w:rPr>
          <w:i/>
          <w:iCs/>
        </w:rPr>
        <w:t xml:space="preserve">Clarias </w:t>
      </w:r>
      <w:proofErr w:type="spellStart"/>
      <w:r>
        <w:rPr>
          <w:i/>
          <w:iCs/>
        </w:rPr>
        <w:t>gariepinus</w:t>
      </w:r>
      <w:proofErr w:type="spellEnd"/>
      <w:r>
        <w:t>, equivalent to slightly less than one per cent by volume (Ayoola et al., 2012). Expressed on any common basis, effluents are far more acutely toxic than the dyes they contain at the concentrations at which those dyes occur, which is the central reason why attribution matters.</w:t>
      </w:r>
    </w:p>
    <w:p w14:paraId="3253440B" w14:textId="77777777" w:rsidR="00706FFA" w:rsidRDefault="00000000" w:rsidP="00E35ED2">
      <w:pPr>
        <w:spacing w:before="100" w:beforeAutospacing="1" w:after="100" w:afterAutospacing="1"/>
        <w:jc w:val="both"/>
      </w:pPr>
      <w:r>
        <w:t xml:space="preserve">Identification of non-dye organic contaminants as toxicity drivers in the Guangxi study matters because it demonstrates directly that the coloured component need not be the hazardous one (Peng et al., 2025). Work on intermediates points the same way. Naphthalene-2-sulphonate produced time- and dose-dependent oxidative stress, comet assay and micronucleus responses and measurable bioaccumulation in </w:t>
      </w:r>
      <w:r>
        <w:rPr>
          <w:i/>
          <w:iCs/>
        </w:rPr>
        <w:t>Channa punctata</w:t>
      </w:r>
      <w:r>
        <w:t>, with persistence attributed to the hydrophilicity conferred by the sulphonate group and consequent passage through treatment plants (Mehra &amp; Chadha, 2020, 2021), and 2-aminobenzene sulphonate produced a biphasic antioxidant response with elevated malondialdehyde and DNA damage in the same species (Sharma et al., 2022). Such intermediates are colourless, are not indexed by colour-based compliance parameters, and are invisible to any study that characterises its exposure solely as a named dye.</w:t>
      </w:r>
    </w:p>
    <w:p w14:paraId="3F662D8B" w14:textId="77777777" w:rsidR="00706FFA" w:rsidRDefault="00000000" w:rsidP="00E35ED2">
      <w:pPr>
        <w:spacing w:before="100" w:beforeAutospacing="1" w:after="100" w:afterAutospacing="1"/>
        <w:jc w:val="both"/>
      </w:pPr>
      <w:r>
        <w:t xml:space="preserve">Few studies have attempted partial attribution by testing constituents alongside effluent. Comparative exposure of </w:t>
      </w:r>
      <w:r>
        <w:rPr>
          <w:i/>
          <w:iCs/>
        </w:rPr>
        <w:t xml:space="preserve">Gambusia </w:t>
      </w:r>
      <w:proofErr w:type="spellStart"/>
      <w:r>
        <w:rPr>
          <w:i/>
          <w:iCs/>
        </w:rPr>
        <w:t>affinis</w:t>
      </w:r>
      <w:proofErr w:type="spellEnd"/>
      <w:r>
        <w:t xml:space="preserve"> to textile dye wastewater and to selected ingredients, comprising the azo dye methyl red and the metals cadmium, copper, nickel and zinc, found that the concentration halving erythrocyte counts was comparable in sensitivity to lethality, and identified erythrocyte morphology and count as superior monitoring indices in the absence of mortality (Sharma et al., 2009). Chromium deposition from handloom dyeing operations in West Bengal has been documented in water, sediment and biota (Sanyal et al., 2015), and the toxicology of hexavalent chromium in fish is sufficiently characterised that its </w:t>
      </w:r>
      <w:r>
        <w:lastRenderedPageBreak/>
        <w:t>contribution to effects in metal-bearing effluents cannot be dismissed (Bakshi &amp; Panigrahi, 2018; Kamila et al., 2023). Studies reporting oxidative stress in fish exposed to metal-complex dye effluent without measuring metals have not distinguished dye toxicity from metal toxicity.</w:t>
      </w:r>
    </w:p>
    <w:p w14:paraId="4DEDF547" w14:textId="77777777" w:rsidR="00706FFA" w:rsidRDefault="00000000" w:rsidP="00E35ED2">
      <w:pPr>
        <w:pStyle w:val="Heading2"/>
        <w:spacing w:before="100" w:beforeAutospacing="1" w:after="100" w:afterAutospacing="1"/>
      </w:pPr>
      <w:r>
        <w:rPr>
          <w:b/>
          <w:bCs/>
          <w:color w:val="000000"/>
          <w:sz w:val="24"/>
          <w:szCs w:val="24"/>
        </w:rPr>
        <w:t>3.2 Tested concentrations against measured environmental concentrations</w:t>
      </w:r>
    </w:p>
    <w:p w14:paraId="3CE77F15" w14:textId="77777777" w:rsidR="00706FFA" w:rsidRDefault="00000000" w:rsidP="00E35ED2">
      <w:pPr>
        <w:spacing w:before="100" w:beforeAutospacing="1" w:after="100" w:afterAutospacing="1"/>
        <w:jc w:val="both"/>
      </w:pPr>
      <w:r>
        <w:t>The concentrations at which effects are demonstrated bear an uncertain relationship to those fish encounter. The most rigorous characterisation concerns Disperse Red 1, for which a long-term predicted no-effect concentration of 60 ng L</w:t>
      </w:r>
      <w:r>
        <w:rPr>
          <w:vertAlign w:val="superscript"/>
        </w:rPr>
        <w:t>−1</w:t>
      </w:r>
      <w:r>
        <w:t xml:space="preserve"> and a short-term value of 1800 ng L</w:t>
      </w:r>
      <w:r>
        <w:rPr>
          <w:vertAlign w:val="superscript"/>
        </w:rPr>
        <w:t>−1</w:t>
      </w:r>
      <w:r>
        <w:t xml:space="preserve"> were derived, and for which liquid chromatography with tandem mass spectrometry established concentrations of 50 to 500 ng L</w:t>
      </w:r>
      <w:r>
        <w:rPr>
          <w:vertAlign w:val="superscript"/>
        </w:rPr>
        <w:t>−1</w:t>
      </w:r>
      <w:r>
        <w:t xml:space="preserve"> in river waters at three sites influenced by textile discharges (</w:t>
      </w:r>
      <w:proofErr w:type="spellStart"/>
      <w:r>
        <w:t>Vacchi</w:t>
      </w:r>
      <w:proofErr w:type="spellEnd"/>
      <w:r>
        <w:t xml:space="preserve"> et al., 2016). The resulting risk quotients indicate potential risk to freshwater biota, and a fish partial or full life-cycle study was identified as the measurement required to reduce threshold uncertainty; that study has not been performed. Most reported effect concentrations in the fish literature exceed measured river concentrations by three to five orders of magnitude.</w:t>
      </w:r>
    </w:p>
    <w:p w14:paraId="18031DC0" w14:textId="77777777" w:rsidR="00706FFA" w:rsidRDefault="00000000" w:rsidP="00E35ED2">
      <w:pPr>
        <w:spacing w:before="100" w:beforeAutospacing="1" w:after="100" w:afterAutospacing="1"/>
        <w:jc w:val="both"/>
      </w:pPr>
      <w:r>
        <w:t xml:space="preserve">A second well-characterised case reaches the opposite conclusion about risk while using comparably careful methods. Chronic embryo-larval exposure of fathead minnow, </w:t>
      </w:r>
      <w:proofErr w:type="spellStart"/>
      <w:r>
        <w:rPr>
          <w:i/>
          <w:iCs/>
        </w:rPr>
        <w:t>Pimephales</w:t>
      </w:r>
      <w:proofErr w:type="spellEnd"/>
      <w:r>
        <w:rPr>
          <w:i/>
          <w:iCs/>
        </w:rPr>
        <w:t xml:space="preserve"> </w:t>
      </w:r>
      <w:proofErr w:type="spellStart"/>
      <w:r>
        <w:rPr>
          <w:i/>
          <w:iCs/>
        </w:rPr>
        <w:t>promelas</w:t>
      </w:r>
      <w:proofErr w:type="spellEnd"/>
      <w:r>
        <w:t>, established median lethal concentrations of 25.4 µg L</w:t>
      </w:r>
      <w:r>
        <w:rPr>
          <w:vertAlign w:val="superscript"/>
        </w:rPr>
        <w:t>−1</w:t>
      </w:r>
      <w:r>
        <w:t xml:space="preserve"> for Disperse Yellow 7 and 16.7 µg L</w:t>
      </w:r>
      <w:r>
        <w:rPr>
          <w:vertAlign w:val="superscript"/>
        </w:rPr>
        <w:t>−1</w:t>
      </w:r>
      <w:r>
        <w:t xml:space="preserve"> for Sudan Red G, with the </w:t>
      </w:r>
      <w:proofErr w:type="spellStart"/>
      <w:r>
        <w:t>anthracenedione</w:t>
      </w:r>
      <w:proofErr w:type="spellEnd"/>
      <w:r>
        <w:t xml:space="preserve"> dyes Acid Blue 80 and Acid Blue 129 producing no effect at measured concentrations of 7700 and 6700 µg L</w:t>
      </w:r>
      <w:r>
        <w:rPr>
          <w:vertAlign w:val="superscript"/>
        </w:rPr>
        <w:t>−1</w:t>
      </w:r>
      <w:r>
        <w:t xml:space="preserve"> (Parrott et al., 2016). The azo dyes were therefore some three hundred times more potent than the </w:t>
      </w:r>
      <w:proofErr w:type="spellStart"/>
      <w:r>
        <w:t>anthracenedione</w:t>
      </w:r>
      <w:proofErr w:type="spellEnd"/>
      <w:r>
        <w:t xml:space="preserve"> dyes. In 162 municipal wastewater effluent samples collected across Canada and analysed for these dyes, all results were below detection limits, and the authors concluded that concentrations entering the Canadian environment were much lower than those affecting larval survival. Two studies of similar analytical quality thus reach divergent risk conclusions, and the divergence is attributable to geography and to dye identity rather than to methodological disagreement. Risk conclusions in this field are not transferable between regions.</w:t>
      </w:r>
    </w:p>
    <w:p w14:paraId="4A990F6A" w14:textId="77777777" w:rsidR="00706FFA" w:rsidRDefault="00000000" w:rsidP="00E35ED2">
      <w:pPr>
        <w:spacing w:before="100" w:beforeAutospacing="1" w:after="100" w:afterAutospacing="1"/>
        <w:jc w:val="both"/>
      </w:pPr>
      <w:r>
        <w:t>The Parrott study also identifies an exposure-duration artefact of general importance. Larval fish exposed to both azo dyes succumbed four to ten days after hatch, and the authors state explicitly that terminating exposure at the embryo stage or shortly after hatch would have greatly underestimated potency (Parrott et al., 2016). Standard fish embryo acute toxicity designs terminate at 96 h post-fertilisation, which for zebrafish is at or shortly after hatch. The large body of 96 h embryo studies reporting median lethal concentrations in the hundreds of milligrams per litre may therefore be systematically underestimating the potency of azo dyes, and the apparently reassuring conclusion that textile dyes are of low acute hazard to fish may be partly an artefact of test duration.</w:t>
      </w:r>
    </w:p>
    <w:p w14:paraId="6CF125FA" w14:textId="77777777" w:rsidR="00706FFA" w:rsidRDefault="00000000" w:rsidP="00E35ED2">
      <w:pPr>
        <w:spacing w:before="100" w:beforeAutospacing="1" w:after="100" w:afterAutospacing="1"/>
        <w:jc w:val="both"/>
      </w:pPr>
      <w:r>
        <w:t>Recent work on the anthraquinone dye alizarin shows how far the picture shifts when sensitive designs are applied. A median lethal concentration of 45.8 µg L</w:t>
      </w:r>
      <w:r>
        <w:rPr>
          <w:vertAlign w:val="superscript"/>
        </w:rPr>
        <w:t>−1</w:t>
      </w:r>
      <w:r>
        <w:t xml:space="preserve"> and a tenth-percentile effect concentration of 20.8 µg L</w:t>
      </w:r>
      <w:r>
        <w:rPr>
          <w:vertAlign w:val="superscript"/>
        </w:rPr>
        <w:t>−1</w:t>
      </w:r>
      <w:r>
        <w:t xml:space="preserve"> were derived for </w:t>
      </w:r>
      <w:r>
        <w:rPr>
          <w:i/>
          <w:iCs/>
        </w:rPr>
        <w:t>Danio rerio</w:t>
      </w:r>
      <w:r>
        <w:t xml:space="preserve"> embryos, with </w:t>
      </w:r>
      <w:r>
        <w:rPr>
          <w:i/>
          <w:iCs/>
        </w:rPr>
        <w:t xml:space="preserve">Daphnia </w:t>
      </w:r>
      <w:proofErr w:type="spellStart"/>
      <w:r>
        <w:rPr>
          <w:i/>
          <w:iCs/>
        </w:rPr>
        <w:t>similis</w:t>
      </w:r>
      <w:proofErr w:type="spellEnd"/>
      <w:r>
        <w:t xml:space="preserve"> effect concentrations of 68.6 to 105 µg L</w:t>
      </w:r>
      <w:r>
        <w:rPr>
          <w:vertAlign w:val="superscript"/>
        </w:rPr>
        <w:t>−1</w:t>
      </w:r>
      <w:r>
        <w:t xml:space="preserve"> depending on light regime and mutagenicity confirmed in a miniaturised bacterial reverse mutation assay (Rodrigues et al., 2026). These fish values lie three to four orders of magnitude below the indigo and Remazol figures cited above, and the light-dependence indicates that photochemistry modulates potency in ways standard designs do not capture. Anthraquinone dyes cannot be treated as uniformly less hazardous than azo dyes on the basis of the </w:t>
      </w:r>
      <w:proofErr w:type="spellStart"/>
      <w:r>
        <w:t>anthracenedione</w:t>
      </w:r>
      <w:proofErr w:type="spellEnd"/>
      <w:r>
        <w:t xml:space="preserve"> results.</w:t>
      </w:r>
    </w:p>
    <w:p w14:paraId="7A4AEB2B" w14:textId="77777777" w:rsidR="00706FFA" w:rsidRDefault="00000000" w:rsidP="00E35ED2">
      <w:pPr>
        <w:spacing w:before="100" w:beforeAutospacing="1" w:after="100" w:afterAutospacing="1"/>
        <w:jc w:val="both"/>
      </w:pPr>
      <w:r>
        <w:lastRenderedPageBreak/>
        <w:t>Table 2 assembles the studies in which exposure concentrations can be compared with an environmental reference point, and it makes the scale of the mismatch explicit. The pattern is that exposure realism and mechanistic depth are inversely related across the literature: the studies that measure environmental concentrations and derive thresholds report few biological endpoints, while the studies that profile enzymes, histology, haematology and gene expression in detail almost never relate their concentrations to measured environmental values. No study identified for this review combines analytically measured environmentally realistic exposure with multi-level biomarker characterisation in a juvenile or adult fish, which is the single most consequential gap in the evidence base.</w:t>
      </w:r>
    </w:p>
    <w:p w14:paraId="272CBA7F" w14:textId="77777777" w:rsidR="00706FFA" w:rsidRDefault="00000000" w:rsidP="00E35ED2">
      <w:pPr>
        <w:spacing w:before="100" w:beforeAutospacing="1" w:after="100" w:afterAutospacing="1"/>
      </w:pPr>
      <w:r>
        <w:rPr>
          <w:b/>
          <w:bCs/>
          <w:sz w:val="22"/>
          <w:szCs w:val="22"/>
        </w:rPr>
        <w:t>Table 2</w:t>
      </w:r>
    </w:p>
    <w:p w14:paraId="79FB66EF" w14:textId="77777777" w:rsidR="00706FFA" w:rsidRDefault="00000000" w:rsidP="00E35ED2">
      <w:pPr>
        <w:spacing w:before="100" w:beforeAutospacing="1" w:after="100" w:afterAutospacing="1"/>
      </w:pPr>
      <w:r>
        <w:rPr>
          <w:i/>
          <w:iCs/>
          <w:sz w:val="22"/>
          <w:szCs w:val="22"/>
        </w:rPr>
        <w:t>Relationship between tested concentrations and environmental reference values in studies permitting comparison</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560"/>
        <w:gridCol w:w="1560"/>
        <w:gridCol w:w="1560"/>
        <w:gridCol w:w="1560"/>
        <w:gridCol w:w="1560"/>
        <w:gridCol w:w="1560"/>
      </w:tblGrid>
      <w:tr w:rsidR="00706FFA" w14:paraId="76B34E4A" w14:textId="77777777">
        <w:trPr>
          <w:tblHeader/>
        </w:trPr>
        <w:tc>
          <w:tcPr>
            <w:tcW w:w="1560" w:type="dxa"/>
            <w:shd w:val="clear" w:color="auto" w:fill="EDEDED"/>
            <w:tcMar>
              <w:top w:w="60" w:type="dxa"/>
              <w:left w:w="90" w:type="dxa"/>
              <w:bottom w:w="60" w:type="dxa"/>
              <w:right w:w="90" w:type="dxa"/>
            </w:tcMar>
          </w:tcPr>
          <w:p w14:paraId="3CA8E5FF" w14:textId="77777777" w:rsidR="00706FFA" w:rsidRDefault="00000000" w:rsidP="00E35ED2">
            <w:pPr>
              <w:spacing w:before="100" w:beforeAutospacing="1" w:after="100" w:afterAutospacing="1"/>
            </w:pPr>
            <w:r>
              <w:rPr>
                <w:b/>
                <w:bCs/>
                <w:sz w:val="18"/>
                <w:szCs w:val="18"/>
              </w:rPr>
              <w:t>Study focus</w:t>
            </w:r>
          </w:p>
        </w:tc>
        <w:tc>
          <w:tcPr>
            <w:tcW w:w="1560" w:type="dxa"/>
            <w:shd w:val="clear" w:color="auto" w:fill="EDEDED"/>
            <w:tcMar>
              <w:top w:w="60" w:type="dxa"/>
              <w:left w:w="90" w:type="dxa"/>
              <w:bottom w:w="60" w:type="dxa"/>
              <w:right w:w="90" w:type="dxa"/>
            </w:tcMar>
          </w:tcPr>
          <w:p w14:paraId="368C3530" w14:textId="77777777" w:rsidR="00706FFA" w:rsidRDefault="00000000" w:rsidP="00E35ED2">
            <w:pPr>
              <w:spacing w:before="100" w:beforeAutospacing="1" w:after="100" w:afterAutospacing="1"/>
            </w:pPr>
            <w:r>
              <w:rPr>
                <w:b/>
                <w:bCs/>
                <w:sz w:val="18"/>
                <w:szCs w:val="18"/>
              </w:rPr>
              <w:t>Species or model</w:t>
            </w:r>
          </w:p>
        </w:tc>
        <w:tc>
          <w:tcPr>
            <w:tcW w:w="1560" w:type="dxa"/>
            <w:shd w:val="clear" w:color="auto" w:fill="EDEDED"/>
            <w:tcMar>
              <w:top w:w="60" w:type="dxa"/>
              <w:left w:w="90" w:type="dxa"/>
              <w:bottom w:w="60" w:type="dxa"/>
              <w:right w:w="90" w:type="dxa"/>
            </w:tcMar>
          </w:tcPr>
          <w:p w14:paraId="3BE14C34" w14:textId="77777777" w:rsidR="00706FFA" w:rsidRDefault="00000000" w:rsidP="00E35ED2">
            <w:pPr>
              <w:spacing w:before="100" w:beforeAutospacing="1" w:after="100" w:afterAutospacing="1"/>
            </w:pPr>
            <w:r>
              <w:rPr>
                <w:b/>
                <w:bCs/>
                <w:sz w:val="18"/>
                <w:szCs w:val="18"/>
              </w:rPr>
              <w:t>Tested concentration range</w:t>
            </w:r>
          </w:p>
        </w:tc>
        <w:tc>
          <w:tcPr>
            <w:tcW w:w="1560" w:type="dxa"/>
            <w:shd w:val="clear" w:color="auto" w:fill="EDEDED"/>
            <w:tcMar>
              <w:top w:w="60" w:type="dxa"/>
              <w:left w:w="90" w:type="dxa"/>
              <w:bottom w:w="60" w:type="dxa"/>
              <w:right w:w="90" w:type="dxa"/>
            </w:tcMar>
          </w:tcPr>
          <w:p w14:paraId="4D353198" w14:textId="77777777" w:rsidR="00706FFA" w:rsidRDefault="00000000" w:rsidP="00E35ED2">
            <w:pPr>
              <w:spacing w:before="100" w:beforeAutospacing="1" w:after="100" w:afterAutospacing="1"/>
            </w:pPr>
            <w:r>
              <w:rPr>
                <w:b/>
                <w:bCs/>
                <w:sz w:val="18"/>
                <w:szCs w:val="18"/>
              </w:rPr>
              <w:t>Environmental reference reported</w:t>
            </w:r>
          </w:p>
        </w:tc>
        <w:tc>
          <w:tcPr>
            <w:tcW w:w="1560" w:type="dxa"/>
            <w:shd w:val="clear" w:color="auto" w:fill="EDEDED"/>
            <w:tcMar>
              <w:top w:w="60" w:type="dxa"/>
              <w:left w:w="90" w:type="dxa"/>
              <w:bottom w:w="60" w:type="dxa"/>
              <w:right w:w="90" w:type="dxa"/>
            </w:tcMar>
          </w:tcPr>
          <w:p w14:paraId="0CBC71BC" w14:textId="77777777" w:rsidR="00706FFA" w:rsidRDefault="00000000" w:rsidP="00E35ED2">
            <w:pPr>
              <w:spacing w:before="100" w:beforeAutospacing="1" w:after="100" w:afterAutospacing="1"/>
            </w:pPr>
            <w:r>
              <w:rPr>
                <w:b/>
                <w:bCs/>
                <w:sz w:val="18"/>
                <w:szCs w:val="18"/>
              </w:rPr>
              <w:t>Direction of mismatch</w:t>
            </w:r>
          </w:p>
        </w:tc>
        <w:tc>
          <w:tcPr>
            <w:tcW w:w="1560" w:type="dxa"/>
            <w:shd w:val="clear" w:color="auto" w:fill="EDEDED"/>
            <w:tcMar>
              <w:top w:w="60" w:type="dxa"/>
              <w:left w:w="90" w:type="dxa"/>
              <w:bottom w:w="60" w:type="dxa"/>
              <w:right w:w="90" w:type="dxa"/>
            </w:tcMar>
          </w:tcPr>
          <w:p w14:paraId="3463E0C9" w14:textId="77777777" w:rsidR="00706FFA" w:rsidRDefault="00000000" w:rsidP="00E35ED2">
            <w:pPr>
              <w:spacing w:before="100" w:beforeAutospacing="1" w:after="100" w:afterAutospacing="1"/>
            </w:pPr>
            <w:r>
              <w:rPr>
                <w:b/>
                <w:bCs/>
                <w:sz w:val="18"/>
                <w:szCs w:val="18"/>
              </w:rPr>
              <w:t>Supporting references</w:t>
            </w:r>
          </w:p>
        </w:tc>
      </w:tr>
      <w:tr w:rsidR="00706FFA" w14:paraId="0B8F9C64" w14:textId="77777777">
        <w:tc>
          <w:tcPr>
            <w:tcW w:w="1560" w:type="dxa"/>
            <w:tcMar>
              <w:top w:w="60" w:type="dxa"/>
              <w:left w:w="90" w:type="dxa"/>
              <w:bottom w:w="60" w:type="dxa"/>
              <w:right w:w="90" w:type="dxa"/>
            </w:tcMar>
          </w:tcPr>
          <w:p w14:paraId="57CF73D4" w14:textId="77777777" w:rsidR="00706FFA" w:rsidRDefault="00000000" w:rsidP="00E35ED2">
            <w:pPr>
              <w:spacing w:before="100" w:beforeAutospacing="1" w:after="100" w:afterAutospacing="1"/>
            </w:pPr>
            <w:r>
              <w:rPr>
                <w:sz w:val="18"/>
                <w:szCs w:val="18"/>
              </w:rPr>
              <w:t>Disperse Red 1 risk assessment</w:t>
            </w:r>
          </w:p>
        </w:tc>
        <w:tc>
          <w:tcPr>
            <w:tcW w:w="1560" w:type="dxa"/>
            <w:tcMar>
              <w:top w:w="60" w:type="dxa"/>
              <w:left w:w="90" w:type="dxa"/>
              <w:bottom w:w="60" w:type="dxa"/>
              <w:right w:w="90" w:type="dxa"/>
            </w:tcMar>
          </w:tcPr>
          <w:p w14:paraId="4C9B6B19" w14:textId="77777777" w:rsidR="00706FFA" w:rsidRDefault="00000000" w:rsidP="00E35ED2">
            <w:pPr>
              <w:spacing w:before="100" w:beforeAutospacing="1" w:after="100" w:afterAutospacing="1"/>
            </w:pPr>
            <w:r>
              <w:rPr>
                <w:sz w:val="18"/>
                <w:szCs w:val="18"/>
              </w:rPr>
              <w:t>Eight species, four trophic levels</w:t>
            </w:r>
          </w:p>
        </w:tc>
        <w:tc>
          <w:tcPr>
            <w:tcW w:w="1560" w:type="dxa"/>
            <w:tcMar>
              <w:top w:w="60" w:type="dxa"/>
              <w:left w:w="90" w:type="dxa"/>
              <w:bottom w:w="60" w:type="dxa"/>
              <w:right w:w="90" w:type="dxa"/>
            </w:tcMar>
          </w:tcPr>
          <w:p w14:paraId="01688B2F" w14:textId="77777777" w:rsidR="00706FFA" w:rsidRDefault="00000000" w:rsidP="00E35ED2">
            <w:pPr>
              <w:spacing w:before="100" w:beforeAutospacing="1" w:after="100" w:afterAutospacing="1"/>
            </w:pPr>
            <w:r>
              <w:rPr>
                <w:sz w:val="18"/>
                <w:szCs w:val="18"/>
              </w:rPr>
              <w:t>Threshold derivation; PNEC 60 ng L</w:t>
            </w:r>
            <w:r>
              <w:rPr>
                <w:sz w:val="18"/>
                <w:szCs w:val="18"/>
                <w:vertAlign w:val="superscript"/>
              </w:rPr>
              <w:t>−1</w:t>
            </w:r>
            <w:r>
              <w:rPr>
                <w:sz w:val="18"/>
                <w:szCs w:val="18"/>
              </w:rPr>
              <w:t xml:space="preserve"> chronic, 1800 ng L</w:t>
            </w:r>
            <w:r>
              <w:rPr>
                <w:sz w:val="18"/>
                <w:szCs w:val="18"/>
                <w:vertAlign w:val="superscript"/>
              </w:rPr>
              <w:t>−1</w:t>
            </w:r>
            <w:r>
              <w:rPr>
                <w:sz w:val="18"/>
                <w:szCs w:val="18"/>
              </w:rPr>
              <w:t xml:space="preserve"> acute</w:t>
            </w:r>
          </w:p>
        </w:tc>
        <w:tc>
          <w:tcPr>
            <w:tcW w:w="1560" w:type="dxa"/>
            <w:tcMar>
              <w:top w:w="60" w:type="dxa"/>
              <w:left w:w="90" w:type="dxa"/>
              <w:bottom w:w="60" w:type="dxa"/>
              <w:right w:w="90" w:type="dxa"/>
            </w:tcMar>
          </w:tcPr>
          <w:p w14:paraId="22B0292C" w14:textId="77777777" w:rsidR="00706FFA" w:rsidRDefault="00000000" w:rsidP="00E35ED2">
            <w:pPr>
              <w:spacing w:before="100" w:beforeAutospacing="1" w:after="100" w:afterAutospacing="1"/>
            </w:pPr>
            <w:r>
              <w:rPr>
                <w:sz w:val="18"/>
                <w:szCs w:val="18"/>
              </w:rPr>
              <w:t>50-500 ng L</w:t>
            </w:r>
            <w:r>
              <w:rPr>
                <w:sz w:val="18"/>
                <w:szCs w:val="18"/>
                <w:vertAlign w:val="superscript"/>
              </w:rPr>
              <w:t>−1</w:t>
            </w:r>
            <w:r>
              <w:rPr>
                <w:sz w:val="18"/>
                <w:szCs w:val="18"/>
              </w:rPr>
              <w:t xml:space="preserve"> in three river sites near textile discharges</w:t>
            </w:r>
          </w:p>
        </w:tc>
        <w:tc>
          <w:tcPr>
            <w:tcW w:w="1560" w:type="dxa"/>
            <w:tcMar>
              <w:top w:w="60" w:type="dxa"/>
              <w:left w:w="90" w:type="dxa"/>
              <w:bottom w:w="60" w:type="dxa"/>
              <w:right w:w="90" w:type="dxa"/>
            </w:tcMar>
          </w:tcPr>
          <w:p w14:paraId="5B283F12" w14:textId="77777777" w:rsidR="00706FFA" w:rsidRDefault="00000000" w:rsidP="00E35ED2">
            <w:pPr>
              <w:spacing w:before="100" w:beforeAutospacing="1" w:after="100" w:afterAutospacing="1"/>
            </w:pPr>
            <w:r>
              <w:rPr>
                <w:sz w:val="18"/>
                <w:szCs w:val="18"/>
              </w:rPr>
              <w:t>Measured concentrations exceed chronic PNEC</w:t>
            </w:r>
          </w:p>
        </w:tc>
        <w:tc>
          <w:tcPr>
            <w:tcW w:w="1560" w:type="dxa"/>
            <w:tcMar>
              <w:top w:w="60" w:type="dxa"/>
              <w:left w:w="90" w:type="dxa"/>
              <w:bottom w:w="60" w:type="dxa"/>
              <w:right w:w="90" w:type="dxa"/>
            </w:tcMar>
          </w:tcPr>
          <w:p w14:paraId="320882D3" w14:textId="77777777" w:rsidR="00706FFA" w:rsidRDefault="00000000" w:rsidP="00E35ED2">
            <w:pPr>
              <w:spacing w:before="100" w:beforeAutospacing="1" w:after="100" w:afterAutospacing="1"/>
            </w:pPr>
            <w:proofErr w:type="spellStart"/>
            <w:r>
              <w:rPr>
                <w:sz w:val="18"/>
                <w:szCs w:val="18"/>
              </w:rPr>
              <w:t>Vacchi</w:t>
            </w:r>
            <w:proofErr w:type="spellEnd"/>
            <w:r>
              <w:rPr>
                <w:sz w:val="18"/>
                <w:szCs w:val="18"/>
              </w:rPr>
              <w:t xml:space="preserve"> et al. (2016)</w:t>
            </w:r>
          </w:p>
        </w:tc>
      </w:tr>
      <w:tr w:rsidR="00706FFA" w14:paraId="12BE6F94" w14:textId="77777777">
        <w:tc>
          <w:tcPr>
            <w:tcW w:w="1560" w:type="dxa"/>
            <w:tcMar>
              <w:top w:w="60" w:type="dxa"/>
              <w:left w:w="90" w:type="dxa"/>
              <w:bottom w:w="60" w:type="dxa"/>
              <w:right w:w="90" w:type="dxa"/>
            </w:tcMar>
          </w:tcPr>
          <w:p w14:paraId="1F6F6399" w14:textId="77777777" w:rsidR="00706FFA" w:rsidRDefault="00000000" w:rsidP="00E35ED2">
            <w:pPr>
              <w:spacing w:before="100" w:beforeAutospacing="1" w:after="100" w:afterAutospacing="1"/>
            </w:pPr>
            <w:r>
              <w:rPr>
                <w:sz w:val="18"/>
                <w:szCs w:val="18"/>
              </w:rPr>
              <w:t xml:space="preserve">Azo and </w:t>
            </w:r>
            <w:proofErr w:type="spellStart"/>
            <w:r>
              <w:rPr>
                <w:sz w:val="18"/>
                <w:szCs w:val="18"/>
              </w:rPr>
              <w:t>anthracenedione</w:t>
            </w:r>
            <w:proofErr w:type="spellEnd"/>
            <w:r>
              <w:rPr>
                <w:sz w:val="18"/>
                <w:szCs w:val="18"/>
              </w:rPr>
              <w:t xml:space="preserve"> dye chronic toxicity</w:t>
            </w:r>
          </w:p>
        </w:tc>
        <w:tc>
          <w:tcPr>
            <w:tcW w:w="1560" w:type="dxa"/>
            <w:tcMar>
              <w:top w:w="60" w:type="dxa"/>
              <w:left w:w="90" w:type="dxa"/>
              <w:bottom w:w="60" w:type="dxa"/>
              <w:right w:w="90" w:type="dxa"/>
            </w:tcMar>
          </w:tcPr>
          <w:p w14:paraId="0F4CB210" w14:textId="77777777" w:rsidR="00706FFA" w:rsidRDefault="00000000" w:rsidP="00E35ED2">
            <w:pPr>
              <w:spacing w:before="100" w:beforeAutospacing="1" w:after="100" w:afterAutospacing="1"/>
            </w:pPr>
            <w:proofErr w:type="spellStart"/>
            <w:r>
              <w:rPr>
                <w:i/>
                <w:iCs/>
                <w:sz w:val="18"/>
                <w:szCs w:val="18"/>
              </w:rPr>
              <w:t>Pimephales</w:t>
            </w:r>
            <w:proofErr w:type="spellEnd"/>
            <w:r>
              <w:rPr>
                <w:i/>
                <w:iCs/>
                <w:sz w:val="18"/>
                <w:szCs w:val="18"/>
              </w:rPr>
              <w:t xml:space="preserve"> </w:t>
            </w:r>
            <w:proofErr w:type="spellStart"/>
            <w:r>
              <w:rPr>
                <w:i/>
                <w:iCs/>
                <w:sz w:val="18"/>
                <w:szCs w:val="18"/>
              </w:rPr>
              <w:t>promelas</w:t>
            </w:r>
            <w:proofErr w:type="spellEnd"/>
            <w:r>
              <w:rPr>
                <w:sz w:val="18"/>
                <w:szCs w:val="18"/>
              </w:rPr>
              <w:t xml:space="preserve"> embryo-larval</w:t>
            </w:r>
          </w:p>
        </w:tc>
        <w:tc>
          <w:tcPr>
            <w:tcW w:w="1560" w:type="dxa"/>
            <w:tcMar>
              <w:top w:w="60" w:type="dxa"/>
              <w:left w:w="90" w:type="dxa"/>
              <w:bottom w:w="60" w:type="dxa"/>
              <w:right w:w="90" w:type="dxa"/>
            </w:tcMar>
          </w:tcPr>
          <w:p w14:paraId="0C57BC40" w14:textId="77777777" w:rsidR="00706FFA" w:rsidRDefault="00000000" w:rsidP="00E35ED2">
            <w:pPr>
              <w:spacing w:before="100" w:beforeAutospacing="1" w:after="100" w:afterAutospacing="1"/>
            </w:pPr>
            <w:r>
              <w:rPr>
                <w:sz w:val="18"/>
                <w:szCs w:val="18"/>
              </w:rPr>
              <w:t>16.7-7700 µg L</w:t>
            </w:r>
            <w:r>
              <w:rPr>
                <w:sz w:val="18"/>
                <w:szCs w:val="18"/>
                <w:vertAlign w:val="superscript"/>
              </w:rPr>
              <w:t>−1</w:t>
            </w:r>
            <w:r>
              <w:rPr>
                <w:sz w:val="18"/>
                <w:szCs w:val="18"/>
              </w:rPr>
              <w:t xml:space="preserve"> (measured)</w:t>
            </w:r>
          </w:p>
        </w:tc>
        <w:tc>
          <w:tcPr>
            <w:tcW w:w="1560" w:type="dxa"/>
            <w:tcMar>
              <w:top w:w="60" w:type="dxa"/>
              <w:left w:w="90" w:type="dxa"/>
              <w:bottom w:w="60" w:type="dxa"/>
              <w:right w:w="90" w:type="dxa"/>
            </w:tcMar>
          </w:tcPr>
          <w:p w14:paraId="1CDD8BB7" w14:textId="77777777" w:rsidR="00706FFA" w:rsidRDefault="00000000" w:rsidP="00E35ED2">
            <w:pPr>
              <w:spacing w:before="100" w:beforeAutospacing="1" w:after="100" w:afterAutospacing="1"/>
            </w:pPr>
            <w:r>
              <w:rPr>
                <w:sz w:val="18"/>
                <w:szCs w:val="18"/>
              </w:rPr>
              <w:t>All of 162 municipal effluent samples below detection</w:t>
            </w:r>
          </w:p>
        </w:tc>
        <w:tc>
          <w:tcPr>
            <w:tcW w:w="1560" w:type="dxa"/>
            <w:tcMar>
              <w:top w:w="60" w:type="dxa"/>
              <w:left w:w="90" w:type="dxa"/>
              <w:bottom w:w="60" w:type="dxa"/>
              <w:right w:w="90" w:type="dxa"/>
            </w:tcMar>
          </w:tcPr>
          <w:p w14:paraId="7A45A240" w14:textId="77777777" w:rsidR="00706FFA" w:rsidRDefault="00000000" w:rsidP="00E35ED2">
            <w:pPr>
              <w:spacing w:before="100" w:beforeAutospacing="1" w:after="100" w:afterAutospacing="1"/>
            </w:pPr>
            <w:r>
              <w:rPr>
                <w:sz w:val="18"/>
                <w:szCs w:val="18"/>
              </w:rPr>
              <w:t>Tested concentrations far exceed measured</w:t>
            </w:r>
          </w:p>
        </w:tc>
        <w:tc>
          <w:tcPr>
            <w:tcW w:w="1560" w:type="dxa"/>
            <w:tcMar>
              <w:top w:w="60" w:type="dxa"/>
              <w:left w:w="90" w:type="dxa"/>
              <w:bottom w:w="60" w:type="dxa"/>
              <w:right w:w="90" w:type="dxa"/>
            </w:tcMar>
          </w:tcPr>
          <w:p w14:paraId="5C6E68FC" w14:textId="77777777" w:rsidR="00706FFA" w:rsidRDefault="00000000" w:rsidP="00E35ED2">
            <w:pPr>
              <w:spacing w:before="100" w:beforeAutospacing="1" w:after="100" w:afterAutospacing="1"/>
            </w:pPr>
            <w:r>
              <w:rPr>
                <w:sz w:val="18"/>
                <w:szCs w:val="18"/>
              </w:rPr>
              <w:t>Parrott et al. (2016)</w:t>
            </w:r>
          </w:p>
        </w:tc>
      </w:tr>
      <w:tr w:rsidR="00706FFA" w14:paraId="11ABE912" w14:textId="77777777">
        <w:tc>
          <w:tcPr>
            <w:tcW w:w="1560" w:type="dxa"/>
            <w:tcMar>
              <w:top w:w="60" w:type="dxa"/>
              <w:left w:w="90" w:type="dxa"/>
              <w:bottom w:w="60" w:type="dxa"/>
              <w:right w:w="90" w:type="dxa"/>
            </w:tcMar>
          </w:tcPr>
          <w:p w14:paraId="2ECB470D" w14:textId="77777777" w:rsidR="00706FFA" w:rsidRDefault="00000000" w:rsidP="00E35ED2">
            <w:pPr>
              <w:spacing w:before="100" w:beforeAutospacing="1" w:after="100" w:afterAutospacing="1"/>
            </w:pPr>
            <w:r>
              <w:rPr>
                <w:sz w:val="18"/>
                <w:szCs w:val="18"/>
              </w:rPr>
              <w:t>Alizarin multi-species assessment</w:t>
            </w:r>
          </w:p>
        </w:tc>
        <w:tc>
          <w:tcPr>
            <w:tcW w:w="1560" w:type="dxa"/>
            <w:tcMar>
              <w:top w:w="60" w:type="dxa"/>
              <w:left w:w="90" w:type="dxa"/>
              <w:bottom w:w="60" w:type="dxa"/>
              <w:right w:w="90" w:type="dxa"/>
            </w:tcMar>
          </w:tcPr>
          <w:p w14:paraId="47717FBC" w14:textId="77777777" w:rsidR="00706FFA" w:rsidRDefault="00000000" w:rsidP="00E35ED2">
            <w:pPr>
              <w:spacing w:before="100" w:beforeAutospacing="1" w:after="100" w:afterAutospacing="1"/>
            </w:pPr>
            <w:r>
              <w:rPr>
                <w:i/>
                <w:iCs/>
                <w:sz w:val="18"/>
                <w:szCs w:val="18"/>
              </w:rPr>
              <w:t>Danio rerio</w:t>
            </w:r>
            <w:r>
              <w:rPr>
                <w:sz w:val="18"/>
                <w:szCs w:val="18"/>
              </w:rPr>
              <w:t xml:space="preserve"> embryos; crustaceans; mussels</w:t>
            </w:r>
          </w:p>
        </w:tc>
        <w:tc>
          <w:tcPr>
            <w:tcW w:w="1560" w:type="dxa"/>
            <w:tcMar>
              <w:top w:w="60" w:type="dxa"/>
              <w:left w:w="90" w:type="dxa"/>
              <w:bottom w:w="60" w:type="dxa"/>
              <w:right w:w="90" w:type="dxa"/>
            </w:tcMar>
          </w:tcPr>
          <w:p w14:paraId="683E2A1C" w14:textId="77777777" w:rsidR="00706FFA" w:rsidRDefault="00000000" w:rsidP="00E35ED2">
            <w:pPr>
              <w:spacing w:before="100" w:beforeAutospacing="1" w:after="100" w:afterAutospacing="1"/>
            </w:pPr>
            <w:r>
              <w:rPr>
                <w:sz w:val="18"/>
                <w:szCs w:val="18"/>
              </w:rPr>
              <w:t>LC50 45.8 µg L</w:t>
            </w:r>
            <w:r>
              <w:rPr>
                <w:sz w:val="18"/>
                <w:szCs w:val="18"/>
                <w:vertAlign w:val="superscript"/>
              </w:rPr>
              <w:t>−1</w:t>
            </w:r>
            <w:r>
              <w:rPr>
                <w:sz w:val="18"/>
                <w:szCs w:val="18"/>
              </w:rPr>
              <w:t>; EC10 20.8 µg L</w:t>
            </w:r>
            <w:r>
              <w:rPr>
                <w:sz w:val="18"/>
                <w:szCs w:val="18"/>
                <w:vertAlign w:val="superscript"/>
              </w:rPr>
              <w:t>−1</w:t>
            </w:r>
          </w:p>
        </w:tc>
        <w:tc>
          <w:tcPr>
            <w:tcW w:w="1560" w:type="dxa"/>
            <w:tcMar>
              <w:top w:w="60" w:type="dxa"/>
              <w:left w:w="90" w:type="dxa"/>
              <w:bottom w:w="60" w:type="dxa"/>
              <w:right w:w="90" w:type="dxa"/>
            </w:tcMar>
          </w:tcPr>
          <w:p w14:paraId="33E253B5" w14:textId="77777777" w:rsidR="00706FFA" w:rsidRDefault="00000000" w:rsidP="00E35ED2">
            <w:pPr>
              <w:spacing w:before="100" w:beforeAutospacing="1" w:after="100" w:afterAutospacing="1"/>
            </w:pPr>
            <w:r>
              <w:rPr>
                <w:sz w:val="18"/>
                <w:szCs w:val="18"/>
              </w:rPr>
              <w:t>Not quantified in receiving waters</w:t>
            </w:r>
          </w:p>
        </w:tc>
        <w:tc>
          <w:tcPr>
            <w:tcW w:w="1560" w:type="dxa"/>
            <w:tcMar>
              <w:top w:w="60" w:type="dxa"/>
              <w:left w:w="90" w:type="dxa"/>
              <w:bottom w:w="60" w:type="dxa"/>
              <w:right w:w="90" w:type="dxa"/>
            </w:tcMar>
          </w:tcPr>
          <w:p w14:paraId="0CB210F0" w14:textId="77777777" w:rsidR="00706FFA" w:rsidRDefault="00000000" w:rsidP="00E35ED2">
            <w:pPr>
              <w:spacing w:before="100" w:beforeAutospacing="1" w:after="100" w:afterAutospacing="1"/>
            </w:pPr>
            <w:r>
              <w:rPr>
                <w:sz w:val="18"/>
                <w:szCs w:val="18"/>
              </w:rPr>
              <w:t>Environmental reference absent</w:t>
            </w:r>
          </w:p>
        </w:tc>
        <w:tc>
          <w:tcPr>
            <w:tcW w:w="1560" w:type="dxa"/>
            <w:tcMar>
              <w:top w:w="60" w:type="dxa"/>
              <w:left w:w="90" w:type="dxa"/>
              <w:bottom w:w="60" w:type="dxa"/>
              <w:right w:w="90" w:type="dxa"/>
            </w:tcMar>
          </w:tcPr>
          <w:p w14:paraId="264073EC" w14:textId="77777777" w:rsidR="00706FFA" w:rsidRDefault="00000000" w:rsidP="00E35ED2">
            <w:pPr>
              <w:spacing w:before="100" w:beforeAutospacing="1" w:after="100" w:afterAutospacing="1"/>
            </w:pPr>
            <w:r>
              <w:rPr>
                <w:sz w:val="18"/>
                <w:szCs w:val="18"/>
              </w:rPr>
              <w:t>Rodrigues et al. (2026)</w:t>
            </w:r>
          </w:p>
        </w:tc>
      </w:tr>
      <w:tr w:rsidR="00706FFA" w14:paraId="0E888F8A" w14:textId="77777777">
        <w:tc>
          <w:tcPr>
            <w:tcW w:w="1560" w:type="dxa"/>
            <w:tcMar>
              <w:top w:w="60" w:type="dxa"/>
              <w:left w:w="90" w:type="dxa"/>
              <w:bottom w:w="60" w:type="dxa"/>
              <w:right w:w="90" w:type="dxa"/>
            </w:tcMar>
          </w:tcPr>
          <w:p w14:paraId="0B192432" w14:textId="77777777" w:rsidR="00706FFA" w:rsidRDefault="00000000" w:rsidP="00E35ED2">
            <w:pPr>
              <w:spacing w:before="100" w:beforeAutospacing="1" w:after="100" w:afterAutospacing="1"/>
            </w:pPr>
            <w:r>
              <w:rPr>
                <w:sz w:val="18"/>
                <w:szCs w:val="18"/>
              </w:rPr>
              <w:t>Single textile dye embryo toxicity</w:t>
            </w:r>
          </w:p>
        </w:tc>
        <w:tc>
          <w:tcPr>
            <w:tcW w:w="1560" w:type="dxa"/>
            <w:tcMar>
              <w:top w:w="60" w:type="dxa"/>
              <w:left w:w="90" w:type="dxa"/>
              <w:bottom w:w="60" w:type="dxa"/>
              <w:right w:w="90" w:type="dxa"/>
            </w:tcMar>
          </w:tcPr>
          <w:p w14:paraId="5E8E3EAC" w14:textId="77777777" w:rsidR="00706FFA" w:rsidRDefault="00000000" w:rsidP="00E35ED2">
            <w:pPr>
              <w:spacing w:before="100" w:beforeAutospacing="1" w:after="100" w:afterAutospacing="1"/>
            </w:pPr>
            <w:r>
              <w:rPr>
                <w:i/>
                <w:iCs/>
                <w:sz w:val="18"/>
                <w:szCs w:val="18"/>
              </w:rPr>
              <w:t>Danio rerio</w:t>
            </w:r>
            <w:r>
              <w:rPr>
                <w:sz w:val="18"/>
                <w:szCs w:val="18"/>
              </w:rPr>
              <w:t xml:space="preserve"> embryo-larval</w:t>
            </w:r>
          </w:p>
        </w:tc>
        <w:tc>
          <w:tcPr>
            <w:tcW w:w="1560" w:type="dxa"/>
            <w:tcMar>
              <w:top w:w="60" w:type="dxa"/>
              <w:left w:w="90" w:type="dxa"/>
              <w:bottom w:w="60" w:type="dxa"/>
              <w:right w:w="90" w:type="dxa"/>
            </w:tcMar>
          </w:tcPr>
          <w:p w14:paraId="12072248" w14:textId="77777777" w:rsidR="00706FFA" w:rsidRDefault="00000000" w:rsidP="00E35ED2">
            <w:pPr>
              <w:spacing w:before="100" w:beforeAutospacing="1" w:after="100" w:afterAutospacing="1"/>
            </w:pPr>
            <w:r>
              <w:rPr>
                <w:sz w:val="18"/>
                <w:szCs w:val="18"/>
              </w:rPr>
              <w:t>0.5-100 mg L</w:t>
            </w:r>
            <w:r>
              <w:rPr>
                <w:sz w:val="18"/>
                <w:szCs w:val="18"/>
                <w:vertAlign w:val="superscript"/>
              </w:rPr>
              <w:t>−1</w:t>
            </w:r>
            <w:r>
              <w:rPr>
                <w:sz w:val="18"/>
                <w:szCs w:val="18"/>
              </w:rPr>
              <w:t xml:space="preserve"> sublethal; LC50 152-278 mg L</w:t>
            </w:r>
            <w:r>
              <w:rPr>
                <w:sz w:val="18"/>
                <w:szCs w:val="18"/>
                <w:vertAlign w:val="superscript"/>
              </w:rPr>
              <w:t>−1</w:t>
            </w:r>
          </w:p>
        </w:tc>
        <w:tc>
          <w:tcPr>
            <w:tcW w:w="1560" w:type="dxa"/>
            <w:tcMar>
              <w:top w:w="60" w:type="dxa"/>
              <w:left w:w="90" w:type="dxa"/>
              <w:bottom w:w="60" w:type="dxa"/>
              <w:right w:w="90" w:type="dxa"/>
            </w:tcMar>
          </w:tcPr>
          <w:p w14:paraId="36BAD6CF" w14:textId="77777777" w:rsidR="00706FFA" w:rsidRDefault="00000000" w:rsidP="00E35ED2">
            <w:pPr>
              <w:spacing w:before="100" w:beforeAutospacing="1" w:after="100" w:afterAutospacing="1"/>
            </w:pPr>
            <w:r>
              <w:rPr>
                <w:sz w:val="18"/>
                <w:szCs w:val="18"/>
              </w:rPr>
              <w:t>Not reported</w:t>
            </w:r>
          </w:p>
        </w:tc>
        <w:tc>
          <w:tcPr>
            <w:tcW w:w="1560" w:type="dxa"/>
            <w:tcMar>
              <w:top w:w="60" w:type="dxa"/>
              <w:left w:w="90" w:type="dxa"/>
              <w:bottom w:w="60" w:type="dxa"/>
              <w:right w:w="90" w:type="dxa"/>
            </w:tcMar>
          </w:tcPr>
          <w:p w14:paraId="38CF94F2" w14:textId="77777777" w:rsidR="00706FFA" w:rsidRDefault="00000000" w:rsidP="00E35ED2">
            <w:pPr>
              <w:spacing w:before="100" w:beforeAutospacing="1" w:after="100" w:afterAutospacing="1"/>
            </w:pPr>
            <w:r>
              <w:rPr>
                <w:sz w:val="18"/>
                <w:szCs w:val="18"/>
              </w:rPr>
              <w:t>Environmental reference absent</w:t>
            </w:r>
          </w:p>
        </w:tc>
        <w:tc>
          <w:tcPr>
            <w:tcW w:w="1560" w:type="dxa"/>
            <w:tcMar>
              <w:top w:w="60" w:type="dxa"/>
              <w:left w:w="90" w:type="dxa"/>
              <w:bottom w:w="60" w:type="dxa"/>
              <w:right w:w="90" w:type="dxa"/>
            </w:tcMar>
          </w:tcPr>
          <w:p w14:paraId="0E91E846" w14:textId="77777777" w:rsidR="00706FFA" w:rsidRDefault="00000000" w:rsidP="00E35ED2">
            <w:pPr>
              <w:spacing w:before="100" w:beforeAutospacing="1" w:after="100" w:afterAutospacing="1"/>
            </w:pPr>
            <w:proofErr w:type="spellStart"/>
            <w:r>
              <w:rPr>
                <w:sz w:val="18"/>
                <w:szCs w:val="18"/>
              </w:rPr>
              <w:t>Köktürk</w:t>
            </w:r>
            <w:proofErr w:type="spellEnd"/>
            <w:r>
              <w:rPr>
                <w:sz w:val="18"/>
                <w:szCs w:val="18"/>
              </w:rPr>
              <w:t xml:space="preserve"> (2022); </w:t>
            </w:r>
            <w:proofErr w:type="spellStart"/>
            <w:r>
              <w:rPr>
                <w:sz w:val="18"/>
                <w:szCs w:val="18"/>
              </w:rPr>
              <w:t>Köktürk</w:t>
            </w:r>
            <w:proofErr w:type="spellEnd"/>
            <w:r>
              <w:rPr>
                <w:sz w:val="18"/>
                <w:szCs w:val="18"/>
              </w:rPr>
              <w:t xml:space="preserve"> et al. (2021)</w:t>
            </w:r>
          </w:p>
        </w:tc>
      </w:tr>
      <w:tr w:rsidR="00706FFA" w14:paraId="50EFAF37" w14:textId="77777777">
        <w:tc>
          <w:tcPr>
            <w:tcW w:w="1560" w:type="dxa"/>
            <w:tcMar>
              <w:top w:w="60" w:type="dxa"/>
              <w:left w:w="90" w:type="dxa"/>
              <w:bottom w:w="60" w:type="dxa"/>
              <w:right w:w="90" w:type="dxa"/>
            </w:tcMar>
          </w:tcPr>
          <w:p w14:paraId="27F746E6" w14:textId="77777777" w:rsidR="00706FFA" w:rsidRDefault="00000000" w:rsidP="00E35ED2">
            <w:pPr>
              <w:spacing w:before="100" w:beforeAutospacing="1" w:after="100" w:afterAutospacing="1"/>
            </w:pPr>
            <w:r>
              <w:rPr>
                <w:sz w:val="18"/>
                <w:szCs w:val="18"/>
              </w:rPr>
              <w:t>Disperse dye biomarker response</w:t>
            </w:r>
          </w:p>
        </w:tc>
        <w:tc>
          <w:tcPr>
            <w:tcW w:w="1560" w:type="dxa"/>
            <w:tcMar>
              <w:top w:w="60" w:type="dxa"/>
              <w:left w:w="90" w:type="dxa"/>
              <w:bottom w:w="60" w:type="dxa"/>
              <w:right w:w="90" w:type="dxa"/>
            </w:tcMar>
          </w:tcPr>
          <w:p w14:paraId="5467AE02" w14:textId="77777777" w:rsidR="00706FFA" w:rsidRDefault="00000000" w:rsidP="00E35ED2">
            <w:pPr>
              <w:spacing w:before="100" w:beforeAutospacing="1" w:after="100" w:afterAutospacing="1"/>
            </w:pPr>
            <w:r>
              <w:rPr>
                <w:i/>
                <w:iCs/>
                <w:sz w:val="18"/>
                <w:szCs w:val="18"/>
              </w:rPr>
              <w:t>Danio rerio</w:t>
            </w:r>
            <w:r>
              <w:rPr>
                <w:sz w:val="18"/>
                <w:szCs w:val="18"/>
              </w:rPr>
              <w:t xml:space="preserve"> early life stages</w:t>
            </w:r>
          </w:p>
        </w:tc>
        <w:tc>
          <w:tcPr>
            <w:tcW w:w="1560" w:type="dxa"/>
            <w:tcMar>
              <w:top w:w="60" w:type="dxa"/>
              <w:left w:w="90" w:type="dxa"/>
              <w:bottom w:w="60" w:type="dxa"/>
              <w:right w:w="90" w:type="dxa"/>
            </w:tcMar>
          </w:tcPr>
          <w:p w14:paraId="288B755E" w14:textId="77777777" w:rsidR="00706FFA" w:rsidRDefault="00000000" w:rsidP="00E35ED2">
            <w:pPr>
              <w:spacing w:before="100" w:beforeAutospacing="1" w:after="100" w:afterAutospacing="1"/>
            </w:pPr>
            <w:r>
              <w:rPr>
                <w:sz w:val="18"/>
                <w:szCs w:val="18"/>
              </w:rPr>
              <w:t>Stated as environmentally realistic</w:t>
            </w:r>
          </w:p>
        </w:tc>
        <w:tc>
          <w:tcPr>
            <w:tcW w:w="1560" w:type="dxa"/>
            <w:tcMar>
              <w:top w:w="60" w:type="dxa"/>
              <w:left w:w="90" w:type="dxa"/>
              <w:bottom w:w="60" w:type="dxa"/>
              <w:right w:w="90" w:type="dxa"/>
            </w:tcMar>
          </w:tcPr>
          <w:p w14:paraId="09226D8B" w14:textId="77777777" w:rsidR="00706FFA" w:rsidRDefault="00000000" w:rsidP="00E35ED2">
            <w:pPr>
              <w:spacing w:before="100" w:beforeAutospacing="1" w:after="100" w:afterAutospacing="1"/>
            </w:pPr>
            <w:r>
              <w:rPr>
                <w:sz w:val="18"/>
                <w:szCs w:val="18"/>
              </w:rPr>
              <w:t>Referenced but not measured in study</w:t>
            </w:r>
          </w:p>
        </w:tc>
        <w:tc>
          <w:tcPr>
            <w:tcW w:w="1560" w:type="dxa"/>
            <w:tcMar>
              <w:top w:w="60" w:type="dxa"/>
              <w:left w:w="90" w:type="dxa"/>
              <w:bottom w:w="60" w:type="dxa"/>
              <w:right w:w="90" w:type="dxa"/>
            </w:tcMar>
          </w:tcPr>
          <w:p w14:paraId="08D13189" w14:textId="77777777" w:rsidR="00706FFA" w:rsidRDefault="00000000" w:rsidP="00E35ED2">
            <w:pPr>
              <w:spacing w:before="100" w:beforeAutospacing="1" w:after="100" w:afterAutospacing="1"/>
            </w:pPr>
            <w:r>
              <w:rPr>
                <w:sz w:val="18"/>
                <w:szCs w:val="18"/>
              </w:rPr>
              <w:t>Realism asserted, not verified locally</w:t>
            </w:r>
          </w:p>
        </w:tc>
        <w:tc>
          <w:tcPr>
            <w:tcW w:w="1560" w:type="dxa"/>
            <w:tcMar>
              <w:top w:w="60" w:type="dxa"/>
              <w:left w:w="90" w:type="dxa"/>
              <w:bottom w:w="60" w:type="dxa"/>
              <w:right w:w="90" w:type="dxa"/>
            </w:tcMar>
          </w:tcPr>
          <w:p w14:paraId="5C66058C" w14:textId="77777777" w:rsidR="00706FFA" w:rsidRDefault="00000000" w:rsidP="00E35ED2">
            <w:pPr>
              <w:spacing w:before="100" w:beforeAutospacing="1" w:after="100" w:afterAutospacing="1"/>
            </w:pPr>
            <w:r>
              <w:rPr>
                <w:sz w:val="18"/>
                <w:szCs w:val="18"/>
              </w:rPr>
              <w:t>Meireles et al. (2018)</w:t>
            </w:r>
          </w:p>
        </w:tc>
      </w:tr>
      <w:tr w:rsidR="00706FFA" w14:paraId="3301CB53" w14:textId="77777777">
        <w:tc>
          <w:tcPr>
            <w:tcW w:w="1560" w:type="dxa"/>
            <w:tcMar>
              <w:top w:w="60" w:type="dxa"/>
              <w:left w:w="90" w:type="dxa"/>
              <w:bottom w:w="60" w:type="dxa"/>
              <w:right w:w="90" w:type="dxa"/>
            </w:tcMar>
          </w:tcPr>
          <w:p w14:paraId="1621A547" w14:textId="77777777" w:rsidR="00706FFA" w:rsidRDefault="00000000" w:rsidP="00E35ED2">
            <w:pPr>
              <w:spacing w:before="100" w:beforeAutospacing="1" w:after="100" w:afterAutospacing="1"/>
            </w:pPr>
            <w:r>
              <w:rPr>
                <w:sz w:val="18"/>
                <w:szCs w:val="18"/>
              </w:rPr>
              <w:t>Whole effluent toxicity units</w:t>
            </w:r>
          </w:p>
        </w:tc>
        <w:tc>
          <w:tcPr>
            <w:tcW w:w="1560" w:type="dxa"/>
            <w:tcMar>
              <w:top w:w="60" w:type="dxa"/>
              <w:left w:w="90" w:type="dxa"/>
              <w:bottom w:w="60" w:type="dxa"/>
              <w:right w:w="90" w:type="dxa"/>
            </w:tcMar>
          </w:tcPr>
          <w:p w14:paraId="23CE5588" w14:textId="77777777" w:rsidR="00706FFA" w:rsidRDefault="00000000" w:rsidP="00E35ED2">
            <w:pPr>
              <w:spacing w:before="100" w:beforeAutospacing="1" w:after="100" w:afterAutospacing="1"/>
            </w:pPr>
            <w:r>
              <w:rPr>
                <w:sz w:val="18"/>
                <w:szCs w:val="18"/>
              </w:rPr>
              <w:t>Zebrafish embryos and three other taxa</w:t>
            </w:r>
          </w:p>
        </w:tc>
        <w:tc>
          <w:tcPr>
            <w:tcW w:w="1560" w:type="dxa"/>
            <w:tcMar>
              <w:top w:w="60" w:type="dxa"/>
              <w:left w:w="90" w:type="dxa"/>
              <w:bottom w:w="60" w:type="dxa"/>
              <w:right w:w="90" w:type="dxa"/>
            </w:tcMar>
          </w:tcPr>
          <w:p w14:paraId="3DB419D9" w14:textId="77777777" w:rsidR="00706FFA" w:rsidRDefault="00000000" w:rsidP="00E35ED2">
            <w:pPr>
              <w:spacing w:before="100" w:beforeAutospacing="1" w:after="100" w:afterAutospacing="1"/>
            </w:pPr>
            <w:r>
              <w:rPr>
                <w:sz w:val="18"/>
                <w:szCs w:val="18"/>
              </w:rPr>
              <w:t>Undiluted to compliance-treated effluent</w:t>
            </w:r>
          </w:p>
        </w:tc>
        <w:tc>
          <w:tcPr>
            <w:tcW w:w="1560" w:type="dxa"/>
            <w:tcMar>
              <w:top w:w="60" w:type="dxa"/>
              <w:left w:w="90" w:type="dxa"/>
              <w:bottom w:w="60" w:type="dxa"/>
              <w:right w:w="90" w:type="dxa"/>
            </w:tcMar>
          </w:tcPr>
          <w:p w14:paraId="415072B2" w14:textId="77777777" w:rsidR="00706FFA" w:rsidRDefault="00000000" w:rsidP="00E35ED2">
            <w:pPr>
              <w:spacing w:before="100" w:beforeAutospacing="1" w:after="100" w:afterAutospacing="1"/>
            </w:pPr>
            <w:r>
              <w:rPr>
                <w:sz w:val="18"/>
                <w:szCs w:val="18"/>
              </w:rPr>
              <w:t>Discharge standards for China and other countries</w:t>
            </w:r>
          </w:p>
        </w:tc>
        <w:tc>
          <w:tcPr>
            <w:tcW w:w="1560" w:type="dxa"/>
            <w:tcMar>
              <w:top w:w="60" w:type="dxa"/>
              <w:left w:w="90" w:type="dxa"/>
              <w:bottom w:w="60" w:type="dxa"/>
              <w:right w:w="90" w:type="dxa"/>
            </w:tcMar>
          </w:tcPr>
          <w:p w14:paraId="464D00D6" w14:textId="77777777" w:rsidR="00706FFA" w:rsidRDefault="00000000" w:rsidP="00E35ED2">
            <w:pPr>
              <w:spacing w:before="100" w:beforeAutospacing="1" w:after="100" w:afterAutospacing="1"/>
            </w:pPr>
            <w:r>
              <w:rPr>
                <w:sz w:val="18"/>
                <w:szCs w:val="18"/>
              </w:rPr>
              <w:t>Effluent tested as discharged</w:t>
            </w:r>
          </w:p>
        </w:tc>
        <w:tc>
          <w:tcPr>
            <w:tcW w:w="1560" w:type="dxa"/>
            <w:tcMar>
              <w:top w:w="60" w:type="dxa"/>
              <w:left w:w="90" w:type="dxa"/>
              <w:bottom w:w="60" w:type="dxa"/>
              <w:right w:w="90" w:type="dxa"/>
            </w:tcMar>
          </w:tcPr>
          <w:p w14:paraId="1325FA58" w14:textId="77777777" w:rsidR="00706FFA" w:rsidRDefault="00000000" w:rsidP="00E35ED2">
            <w:pPr>
              <w:spacing w:before="100" w:beforeAutospacing="1" w:after="100" w:afterAutospacing="1"/>
            </w:pPr>
            <w:r>
              <w:rPr>
                <w:sz w:val="18"/>
                <w:szCs w:val="18"/>
              </w:rPr>
              <w:t>Peng et al. (2025)</w:t>
            </w:r>
          </w:p>
        </w:tc>
      </w:tr>
      <w:tr w:rsidR="00706FFA" w14:paraId="28F37B4E" w14:textId="77777777">
        <w:tc>
          <w:tcPr>
            <w:tcW w:w="1560" w:type="dxa"/>
            <w:tcMar>
              <w:top w:w="60" w:type="dxa"/>
              <w:left w:w="90" w:type="dxa"/>
              <w:bottom w:w="60" w:type="dxa"/>
              <w:right w:w="90" w:type="dxa"/>
            </w:tcMar>
          </w:tcPr>
          <w:p w14:paraId="66E20252" w14:textId="77777777" w:rsidR="00706FFA" w:rsidRDefault="00000000" w:rsidP="00E35ED2">
            <w:pPr>
              <w:spacing w:before="100" w:beforeAutospacing="1" w:after="100" w:afterAutospacing="1"/>
            </w:pPr>
            <w:r>
              <w:rPr>
                <w:sz w:val="18"/>
                <w:szCs w:val="18"/>
              </w:rPr>
              <w:t>Malachite green residue and stress</w:t>
            </w:r>
          </w:p>
        </w:tc>
        <w:tc>
          <w:tcPr>
            <w:tcW w:w="1560" w:type="dxa"/>
            <w:tcMar>
              <w:top w:w="60" w:type="dxa"/>
              <w:left w:w="90" w:type="dxa"/>
              <w:bottom w:w="60" w:type="dxa"/>
              <w:right w:w="90" w:type="dxa"/>
            </w:tcMar>
          </w:tcPr>
          <w:p w14:paraId="077FF576" w14:textId="77777777" w:rsidR="00706FFA" w:rsidRDefault="00000000" w:rsidP="00E35ED2">
            <w:pPr>
              <w:spacing w:before="100" w:beforeAutospacing="1" w:after="100" w:afterAutospacing="1"/>
            </w:pPr>
            <w:r>
              <w:rPr>
                <w:sz w:val="18"/>
                <w:szCs w:val="18"/>
              </w:rPr>
              <w:t>Red tilapia</w:t>
            </w:r>
          </w:p>
        </w:tc>
        <w:tc>
          <w:tcPr>
            <w:tcW w:w="1560" w:type="dxa"/>
            <w:tcMar>
              <w:top w:w="60" w:type="dxa"/>
              <w:left w:w="90" w:type="dxa"/>
              <w:bottom w:w="60" w:type="dxa"/>
              <w:right w:w="90" w:type="dxa"/>
            </w:tcMar>
          </w:tcPr>
          <w:p w14:paraId="52F85209" w14:textId="77777777" w:rsidR="00706FFA" w:rsidRDefault="00000000" w:rsidP="00E35ED2">
            <w:pPr>
              <w:spacing w:before="100" w:beforeAutospacing="1" w:after="100" w:afterAutospacing="1"/>
            </w:pPr>
            <w:r>
              <w:rPr>
                <w:sz w:val="18"/>
                <w:szCs w:val="18"/>
              </w:rPr>
              <w:t>0.053 mg L</w:t>
            </w:r>
            <w:r>
              <w:rPr>
                <w:sz w:val="18"/>
                <w:szCs w:val="18"/>
                <w:vertAlign w:val="superscript"/>
              </w:rPr>
              <w:t>−1</w:t>
            </w:r>
            <w:r>
              <w:rPr>
                <w:sz w:val="18"/>
                <w:szCs w:val="18"/>
              </w:rPr>
              <w:t xml:space="preserve"> for 60 d; 0.105 mg L</w:t>
            </w:r>
            <w:r>
              <w:rPr>
                <w:sz w:val="18"/>
                <w:szCs w:val="18"/>
                <w:vertAlign w:val="superscript"/>
              </w:rPr>
              <w:t>−1</w:t>
            </w:r>
            <w:r>
              <w:rPr>
                <w:sz w:val="18"/>
                <w:szCs w:val="18"/>
              </w:rPr>
              <w:t xml:space="preserve"> for 20 d</w:t>
            </w:r>
          </w:p>
        </w:tc>
        <w:tc>
          <w:tcPr>
            <w:tcW w:w="1560" w:type="dxa"/>
            <w:tcMar>
              <w:top w:w="60" w:type="dxa"/>
              <w:left w:w="90" w:type="dxa"/>
              <w:bottom w:w="60" w:type="dxa"/>
              <w:right w:w="90" w:type="dxa"/>
            </w:tcMar>
          </w:tcPr>
          <w:p w14:paraId="1B6FF684" w14:textId="77777777" w:rsidR="00706FFA" w:rsidRDefault="00000000" w:rsidP="00E35ED2">
            <w:pPr>
              <w:spacing w:before="100" w:beforeAutospacing="1" w:after="100" w:afterAutospacing="1"/>
            </w:pPr>
            <w:r>
              <w:rPr>
                <w:sz w:val="18"/>
                <w:szCs w:val="18"/>
              </w:rPr>
              <w:t>Muscle residues 82.68 and 108.04 µg kg</w:t>
            </w:r>
            <w:r>
              <w:rPr>
                <w:sz w:val="18"/>
                <w:szCs w:val="18"/>
                <w:vertAlign w:val="superscript"/>
              </w:rPr>
              <w:t>−1</w:t>
            </w:r>
          </w:p>
        </w:tc>
        <w:tc>
          <w:tcPr>
            <w:tcW w:w="1560" w:type="dxa"/>
            <w:tcMar>
              <w:top w:w="60" w:type="dxa"/>
              <w:left w:w="90" w:type="dxa"/>
              <w:bottom w:w="60" w:type="dxa"/>
              <w:right w:w="90" w:type="dxa"/>
            </w:tcMar>
          </w:tcPr>
          <w:p w14:paraId="3150F83A" w14:textId="77777777" w:rsidR="00706FFA" w:rsidRDefault="00000000" w:rsidP="00E35ED2">
            <w:pPr>
              <w:spacing w:before="100" w:beforeAutospacing="1" w:after="100" w:afterAutospacing="1"/>
            </w:pPr>
            <w:r>
              <w:rPr>
                <w:sz w:val="18"/>
                <w:szCs w:val="18"/>
              </w:rPr>
              <w:t>Tissue burden quantified</w:t>
            </w:r>
          </w:p>
        </w:tc>
        <w:tc>
          <w:tcPr>
            <w:tcW w:w="1560" w:type="dxa"/>
            <w:tcMar>
              <w:top w:w="60" w:type="dxa"/>
              <w:left w:w="90" w:type="dxa"/>
              <w:bottom w:w="60" w:type="dxa"/>
              <w:right w:w="90" w:type="dxa"/>
            </w:tcMar>
          </w:tcPr>
          <w:p w14:paraId="0A4F8D7C" w14:textId="77777777" w:rsidR="00706FFA" w:rsidRDefault="00000000" w:rsidP="00E35ED2">
            <w:pPr>
              <w:spacing w:before="100" w:beforeAutospacing="1" w:after="100" w:afterAutospacing="1"/>
            </w:pPr>
            <w:r>
              <w:rPr>
                <w:sz w:val="18"/>
                <w:szCs w:val="18"/>
              </w:rPr>
              <w:t>Kwan et al. (2019)</w:t>
            </w:r>
          </w:p>
        </w:tc>
      </w:tr>
      <w:tr w:rsidR="00706FFA" w14:paraId="3DCD16C8" w14:textId="77777777">
        <w:tc>
          <w:tcPr>
            <w:tcW w:w="1560" w:type="dxa"/>
            <w:tcMar>
              <w:top w:w="60" w:type="dxa"/>
              <w:left w:w="90" w:type="dxa"/>
              <w:bottom w:w="60" w:type="dxa"/>
              <w:right w:w="90" w:type="dxa"/>
            </w:tcMar>
          </w:tcPr>
          <w:p w14:paraId="1FCE2E16" w14:textId="77777777" w:rsidR="00706FFA" w:rsidRDefault="00000000" w:rsidP="00E35ED2">
            <w:pPr>
              <w:spacing w:before="100" w:beforeAutospacing="1" w:after="100" w:afterAutospacing="1"/>
            </w:pPr>
            <w:r>
              <w:rPr>
                <w:sz w:val="18"/>
                <w:szCs w:val="18"/>
              </w:rPr>
              <w:t>Textile effluent dilution series</w:t>
            </w:r>
          </w:p>
        </w:tc>
        <w:tc>
          <w:tcPr>
            <w:tcW w:w="1560" w:type="dxa"/>
            <w:tcMar>
              <w:top w:w="60" w:type="dxa"/>
              <w:left w:w="90" w:type="dxa"/>
              <w:bottom w:w="60" w:type="dxa"/>
              <w:right w:w="90" w:type="dxa"/>
            </w:tcMar>
          </w:tcPr>
          <w:p w14:paraId="43CAD829" w14:textId="77777777" w:rsidR="00706FFA" w:rsidRDefault="00000000" w:rsidP="00E35ED2">
            <w:pPr>
              <w:spacing w:before="100" w:beforeAutospacing="1" w:after="100" w:afterAutospacing="1"/>
            </w:pPr>
            <w:r>
              <w:rPr>
                <w:i/>
                <w:iCs/>
                <w:sz w:val="18"/>
                <w:szCs w:val="18"/>
              </w:rPr>
              <w:t>Oreochromis niloticus</w:t>
            </w:r>
          </w:p>
        </w:tc>
        <w:tc>
          <w:tcPr>
            <w:tcW w:w="1560" w:type="dxa"/>
            <w:tcMar>
              <w:top w:w="60" w:type="dxa"/>
              <w:left w:w="90" w:type="dxa"/>
              <w:bottom w:w="60" w:type="dxa"/>
              <w:right w:w="90" w:type="dxa"/>
            </w:tcMar>
          </w:tcPr>
          <w:p w14:paraId="57D37263" w14:textId="77777777" w:rsidR="00706FFA" w:rsidRDefault="00000000" w:rsidP="00E35ED2">
            <w:pPr>
              <w:spacing w:before="100" w:beforeAutospacing="1" w:after="100" w:afterAutospacing="1"/>
            </w:pPr>
            <w:r>
              <w:rPr>
                <w:sz w:val="18"/>
                <w:szCs w:val="18"/>
              </w:rPr>
              <w:t>100% and 12.5% treated effluent</w:t>
            </w:r>
          </w:p>
        </w:tc>
        <w:tc>
          <w:tcPr>
            <w:tcW w:w="1560" w:type="dxa"/>
            <w:tcMar>
              <w:top w:w="60" w:type="dxa"/>
              <w:left w:w="90" w:type="dxa"/>
              <w:bottom w:w="60" w:type="dxa"/>
              <w:right w:w="90" w:type="dxa"/>
            </w:tcMar>
          </w:tcPr>
          <w:p w14:paraId="65D82378" w14:textId="77777777" w:rsidR="00706FFA" w:rsidRDefault="00000000" w:rsidP="00E35ED2">
            <w:pPr>
              <w:spacing w:before="100" w:beforeAutospacing="1" w:after="100" w:afterAutospacing="1"/>
            </w:pPr>
            <w:r>
              <w:rPr>
                <w:sz w:val="18"/>
                <w:szCs w:val="18"/>
              </w:rPr>
              <w:t>Sri Lankan discharge tolerance limits</w:t>
            </w:r>
          </w:p>
        </w:tc>
        <w:tc>
          <w:tcPr>
            <w:tcW w:w="1560" w:type="dxa"/>
            <w:tcMar>
              <w:top w:w="60" w:type="dxa"/>
              <w:left w:w="90" w:type="dxa"/>
              <w:bottom w:w="60" w:type="dxa"/>
              <w:right w:w="90" w:type="dxa"/>
            </w:tcMar>
          </w:tcPr>
          <w:p w14:paraId="2FD594D3" w14:textId="77777777" w:rsidR="00706FFA" w:rsidRDefault="00000000" w:rsidP="00E35ED2">
            <w:pPr>
              <w:spacing w:before="100" w:beforeAutospacing="1" w:after="100" w:afterAutospacing="1"/>
            </w:pPr>
            <w:r>
              <w:rPr>
                <w:sz w:val="18"/>
                <w:szCs w:val="18"/>
              </w:rPr>
              <w:t>Genotoxicity at 1:8 dilution</w:t>
            </w:r>
          </w:p>
        </w:tc>
        <w:tc>
          <w:tcPr>
            <w:tcW w:w="1560" w:type="dxa"/>
            <w:tcMar>
              <w:top w:w="60" w:type="dxa"/>
              <w:left w:w="90" w:type="dxa"/>
              <w:bottom w:w="60" w:type="dxa"/>
              <w:right w:w="90" w:type="dxa"/>
            </w:tcMar>
          </w:tcPr>
          <w:p w14:paraId="2FBB4183" w14:textId="77777777" w:rsidR="00706FFA" w:rsidRDefault="00000000" w:rsidP="00E35ED2">
            <w:pPr>
              <w:spacing w:before="100" w:beforeAutospacing="1" w:after="100" w:afterAutospacing="1"/>
            </w:pPr>
            <w:r>
              <w:rPr>
                <w:sz w:val="18"/>
                <w:szCs w:val="18"/>
              </w:rPr>
              <w:t xml:space="preserve">Hemachandra &amp; </w:t>
            </w:r>
            <w:proofErr w:type="spellStart"/>
            <w:r>
              <w:rPr>
                <w:sz w:val="18"/>
                <w:szCs w:val="18"/>
              </w:rPr>
              <w:t>Pathiratne</w:t>
            </w:r>
            <w:proofErr w:type="spellEnd"/>
            <w:r>
              <w:rPr>
                <w:sz w:val="18"/>
                <w:szCs w:val="18"/>
              </w:rPr>
              <w:t xml:space="preserve"> (2016)</w:t>
            </w:r>
          </w:p>
        </w:tc>
      </w:tr>
    </w:tbl>
    <w:p w14:paraId="7FEFC879" w14:textId="77777777" w:rsidR="00706FFA" w:rsidRDefault="00000000" w:rsidP="00E35ED2">
      <w:pPr>
        <w:spacing w:before="100" w:beforeAutospacing="1" w:after="100" w:afterAutospacing="1"/>
      </w:pPr>
      <w:r>
        <w:rPr>
          <w:i/>
          <w:iCs/>
          <w:sz w:val="18"/>
          <w:szCs w:val="18"/>
        </w:rPr>
        <w:t xml:space="preserve">Note. </w:t>
      </w:r>
      <w:r>
        <w:rPr>
          <w:sz w:val="18"/>
          <w:szCs w:val="18"/>
        </w:rPr>
        <w:t>PNEC, predicted no-effect concentration; LC50, median lethal concentration; EC10, effect concentration at the tenth percentile. Toxicity units express the reciprocal of the effluent dilution producing a fifty per cent response.</w:t>
      </w:r>
    </w:p>
    <w:p w14:paraId="2CEAD7A6" w14:textId="77777777" w:rsidR="00706FFA" w:rsidRDefault="00000000" w:rsidP="00E35ED2">
      <w:pPr>
        <w:pStyle w:val="Heading1"/>
        <w:spacing w:before="100" w:beforeAutospacing="1" w:after="100" w:afterAutospacing="1"/>
      </w:pPr>
      <w:r>
        <w:rPr>
          <w:b/>
          <w:bCs/>
          <w:color w:val="000000"/>
          <w:sz w:val="26"/>
          <w:szCs w:val="26"/>
        </w:rPr>
        <w:t>4. Oxidative stress as the dominant explanatory framework</w:t>
      </w:r>
    </w:p>
    <w:p w14:paraId="485FC15D" w14:textId="77777777" w:rsidR="00706FFA" w:rsidRDefault="00000000" w:rsidP="00E35ED2">
      <w:pPr>
        <w:pStyle w:val="Heading2"/>
        <w:spacing w:before="100" w:beforeAutospacing="1" w:after="100" w:afterAutospacing="1"/>
      </w:pPr>
      <w:r>
        <w:rPr>
          <w:b/>
          <w:bCs/>
          <w:color w:val="000000"/>
          <w:sz w:val="24"/>
          <w:szCs w:val="24"/>
        </w:rPr>
        <w:t>4.1 Convergent evidence for redox disturbance</w:t>
      </w:r>
    </w:p>
    <w:p w14:paraId="1C89E042" w14:textId="77777777" w:rsidR="00706FFA" w:rsidRDefault="00000000" w:rsidP="00E35ED2">
      <w:pPr>
        <w:spacing w:before="100" w:beforeAutospacing="1" w:after="100" w:afterAutospacing="1"/>
        <w:jc w:val="both"/>
      </w:pPr>
      <w:r>
        <w:lastRenderedPageBreak/>
        <w:t xml:space="preserve">Lipid peroxidation is the most consistently reported response to dye and dye effluent exposure in fish, and it is the one for which confidence is highest. Elevated malondialdehyde or </w:t>
      </w:r>
      <w:proofErr w:type="spellStart"/>
      <w:r>
        <w:t>thiobarbituric</w:t>
      </w:r>
      <w:proofErr w:type="spellEnd"/>
      <w:r>
        <w:t xml:space="preserve"> acid reactive substances have been reported following exposure to Eriochrome Black T in </w:t>
      </w:r>
      <w:r>
        <w:rPr>
          <w:i/>
          <w:iCs/>
        </w:rPr>
        <w:t xml:space="preserve">Clarias </w:t>
      </w:r>
      <w:proofErr w:type="spellStart"/>
      <w:r>
        <w:rPr>
          <w:i/>
          <w:iCs/>
        </w:rPr>
        <w:t>batrachus</w:t>
      </w:r>
      <w:proofErr w:type="spellEnd"/>
      <w:r>
        <w:t xml:space="preserve"> and </w:t>
      </w:r>
      <w:proofErr w:type="spellStart"/>
      <w:r>
        <w:rPr>
          <w:i/>
          <w:iCs/>
        </w:rPr>
        <w:t>Heteropneustes</w:t>
      </w:r>
      <w:proofErr w:type="spellEnd"/>
      <w:r>
        <w:rPr>
          <w:i/>
          <w:iCs/>
        </w:rPr>
        <w:t xml:space="preserve"> </w:t>
      </w:r>
      <w:proofErr w:type="spellStart"/>
      <w:r>
        <w:rPr>
          <w:i/>
          <w:iCs/>
        </w:rPr>
        <w:t>fossilis</w:t>
      </w:r>
      <w:proofErr w:type="spellEnd"/>
      <w:r>
        <w:t xml:space="preserve"> (Naz &amp; </w:t>
      </w:r>
      <w:proofErr w:type="spellStart"/>
      <w:r>
        <w:t>Vaseem</w:t>
      </w:r>
      <w:proofErr w:type="spellEnd"/>
      <w:r>
        <w:t xml:space="preserve">, 2024, 2025), to malachite green in </w:t>
      </w:r>
      <w:r>
        <w:rPr>
          <w:i/>
          <w:iCs/>
        </w:rPr>
        <w:t>Cyprinus carpio</w:t>
      </w:r>
      <w:r>
        <w:t xml:space="preserve"> gill and in </w:t>
      </w:r>
      <w:r>
        <w:rPr>
          <w:i/>
          <w:iCs/>
        </w:rPr>
        <w:t>Channa striata</w:t>
      </w:r>
      <w:r>
        <w:t xml:space="preserve"> kidney and gill cell lines (Majeed et al., 2014; Sinha &amp; Jindal, 2022), to Remazol Gelb-GR in </w:t>
      </w:r>
      <w:r>
        <w:rPr>
          <w:i/>
          <w:iCs/>
        </w:rPr>
        <w:t>Danio rerio</w:t>
      </w:r>
      <w:r>
        <w:t xml:space="preserve"> larvae (</w:t>
      </w:r>
      <w:proofErr w:type="spellStart"/>
      <w:r>
        <w:t>Köktürk</w:t>
      </w:r>
      <w:proofErr w:type="spellEnd"/>
      <w:r>
        <w:t>, 2022), to Reactive Blue 4 in zebrafish embryos (</w:t>
      </w:r>
      <w:proofErr w:type="spellStart"/>
      <w:r>
        <w:t>Tungare</w:t>
      </w:r>
      <w:proofErr w:type="spellEnd"/>
      <w:r>
        <w:t xml:space="preserve"> et al., 2022), to tartrazine in </w:t>
      </w:r>
      <w:r>
        <w:rPr>
          <w:i/>
          <w:iCs/>
        </w:rPr>
        <w:t>Carassius auratus</w:t>
      </w:r>
      <w:r>
        <w:t xml:space="preserve"> and </w:t>
      </w:r>
      <w:r>
        <w:rPr>
          <w:i/>
          <w:iCs/>
        </w:rPr>
        <w:t xml:space="preserve">Carassius </w:t>
      </w:r>
      <w:proofErr w:type="spellStart"/>
      <w:r>
        <w:rPr>
          <w:i/>
          <w:iCs/>
        </w:rPr>
        <w:t>carassius</w:t>
      </w:r>
      <w:proofErr w:type="spellEnd"/>
      <w:r>
        <w:t xml:space="preserve"> (Wu, </w:t>
      </w:r>
      <w:proofErr w:type="spellStart"/>
      <w:r>
        <w:t>Lv</w:t>
      </w:r>
      <w:proofErr w:type="spellEnd"/>
      <w:r>
        <w:t xml:space="preserve">, et al., 2021; Wu, Xu, et al., 2021), to naphthalene-2-sulphonate and 2-aminobenzene sulphonate in </w:t>
      </w:r>
      <w:r>
        <w:rPr>
          <w:i/>
          <w:iCs/>
        </w:rPr>
        <w:t>Channa punctata</w:t>
      </w:r>
      <w:r>
        <w:t xml:space="preserve"> (Mehra &amp; Chadha, 2020; Sharma et al., 2022), to textile effluent in </w:t>
      </w:r>
      <w:r>
        <w:rPr>
          <w:i/>
          <w:iCs/>
        </w:rPr>
        <w:t xml:space="preserve">Clarias </w:t>
      </w:r>
      <w:proofErr w:type="spellStart"/>
      <w:r>
        <w:rPr>
          <w:i/>
          <w:iCs/>
        </w:rPr>
        <w:t>gariepinus</w:t>
      </w:r>
      <w:proofErr w:type="spellEnd"/>
      <w:r>
        <w:t xml:space="preserve"> (Ayoola et al., 2012), and to textile effluent in </w:t>
      </w:r>
      <w:r>
        <w:rPr>
          <w:i/>
          <w:iCs/>
        </w:rPr>
        <w:t>Channa punctata</w:t>
      </w:r>
      <w:r>
        <w:t xml:space="preserve"> (Sharma et al., 2024). The signal holds across azo, anthraquinone, triarylmethane and reactive chromophores, across cyprinid, channid, clariid and cichlid lineages, across in vivo and in vitro systems, and across single-compound and whole-effluent exposures, which supports the conclusion that dye-bearing exposures produce membrane lipid oxidation in fish tissues.</w:t>
      </w:r>
    </w:p>
    <w:p w14:paraId="706D04C9" w14:textId="77777777" w:rsidR="00706FFA" w:rsidRDefault="00000000" w:rsidP="00E35ED2">
      <w:pPr>
        <w:spacing w:before="100" w:beforeAutospacing="1" w:after="100" w:afterAutospacing="1"/>
        <w:jc w:val="both"/>
      </w:pPr>
      <w:r>
        <w:t>The mechanistic account is plausible and partially supported. Xenobiotic biotransformation in fish generates reactive oxygen species through redox cycling of quinoid and nitroaromatic structures, uncoupling of cytochrome P450 catalytic cycles and consumption of reducing equivalents during conjugation, with the resulting signalling organised around the nuclear factor erythroid 2-related factor 2 pathway (Silvestre, 2020). Direct support comes from a study in which that factor declined in zebrafish larvae exposed to Remazol Gelb-GR while nuclear factor kappa B, tumour necrosis factor alpha, interleukin 6 and caspase 3 increased and immunopositivity for 8-hydroxy-2-deoxyguanosine intensified (</w:t>
      </w:r>
      <w:proofErr w:type="spellStart"/>
      <w:r>
        <w:t>Köktürk</w:t>
      </w:r>
      <w:proofErr w:type="spellEnd"/>
      <w:r>
        <w:t xml:space="preserve">, 2022); the same oxidative base lesion increased in the brain of zebrafish exposed to </w:t>
      </w:r>
      <w:proofErr w:type="spellStart"/>
      <w:r>
        <w:t>Maxilon</w:t>
      </w:r>
      <w:proofErr w:type="spellEnd"/>
      <w:r>
        <w:t xml:space="preserve"> Blue 5G and Reactive Blue 203 (</w:t>
      </w:r>
      <w:proofErr w:type="spellStart"/>
      <w:r>
        <w:t>Köktürk</w:t>
      </w:r>
      <w:proofErr w:type="spellEnd"/>
      <w:r>
        <w:t xml:space="preserve"> et al., 2021). These are among the few studies here that measure a molecular intermediate rather than inferring one.</w:t>
      </w:r>
    </w:p>
    <w:p w14:paraId="215D97CB" w14:textId="77777777" w:rsidR="00706FFA" w:rsidRDefault="00000000" w:rsidP="00E35ED2">
      <w:pPr>
        <w:spacing w:before="100" w:beforeAutospacing="1" w:after="100" w:afterAutospacing="1"/>
        <w:jc w:val="both"/>
      </w:pPr>
      <w:r>
        <w:t xml:space="preserve">Two qualifications apply. Malondialdehyde quantification by the </w:t>
      </w:r>
      <w:proofErr w:type="spellStart"/>
      <w:r>
        <w:t>thiobarbituric</w:t>
      </w:r>
      <w:proofErr w:type="spellEnd"/>
      <w:r>
        <w:t xml:space="preserve"> acid method is subject to interference from aldehydes and sugars unrelated to lipid peroxidation, and few studies report the chromatographic separation that would exclude such interference. One chronic study also reports malondialdehyde as decreasing after one and four months of effluent exposure while listing it among activities described collectively as antioxidant enzymes (Wang et al., 2021), a conceptual conflation that the report does not allow to be resolved.</w:t>
      </w:r>
    </w:p>
    <w:p w14:paraId="1E951B7E" w14:textId="77777777" w:rsidR="00706FFA" w:rsidRDefault="00000000" w:rsidP="00E35ED2">
      <w:pPr>
        <w:pStyle w:val="Heading2"/>
        <w:spacing w:before="100" w:beforeAutospacing="1" w:after="100" w:afterAutospacing="1"/>
      </w:pPr>
      <w:r>
        <w:rPr>
          <w:b/>
          <w:bCs/>
          <w:color w:val="000000"/>
          <w:sz w:val="24"/>
          <w:szCs w:val="24"/>
        </w:rPr>
        <w:t>4.2 Directional inconsistency in antioxidant enzyme responses</w:t>
      </w:r>
    </w:p>
    <w:p w14:paraId="594C74F5" w14:textId="77777777" w:rsidR="00706FFA" w:rsidRDefault="00000000" w:rsidP="00E35ED2">
      <w:pPr>
        <w:spacing w:before="100" w:beforeAutospacing="1" w:after="100" w:afterAutospacing="1"/>
        <w:jc w:val="both"/>
      </w:pPr>
      <w:r>
        <w:t xml:space="preserve">The antioxidant enzyme literature does not converge. Superoxide dismutase, catalase and glutathione reductase increased while glutathione peroxidase decreased in two catfish species exposed to Eriochrome Black T for 96 h (Naz &amp; </w:t>
      </w:r>
      <w:proofErr w:type="spellStart"/>
      <w:r>
        <w:t>Vaseem</w:t>
      </w:r>
      <w:proofErr w:type="spellEnd"/>
      <w:r>
        <w:t xml:space="preserve">, 2024). The same three activities rose and then declined in </w:t>
      </w:r>
      <w:r>
        <w:rPr>
          <w:i/>
          <w:iCs/>
        </w:rPr>
        <w:t>Channa punctata</w:t>
      </w:r>
      <w:r>
        <w:t xml:space="preserve"> exposed to 2-aminobenzene sulphonate over the same duration (Sharma et al., 2022), whereas catalase and superoxide dismutase were reduced with elevated malondialdehyde in the same species after 45 days of textile effluent exposure (Sharma et al., 2024). Catalase, superoxide dismutase and glutathione peroxidase declined with elevated malondialdehyde in </w:t>
      </w:r>
      <w:r>
        <w:rPr>
          <w:i/>
          <w:iCs/>
        </w:rPr>
        <w:t>Carassius</w:t>
      </w:r>
      <w:r>
        <w:t xml:space="preserve"> species exposed to tartrazine (Wu, </w:t>
      </w:r>
      <w:proofErr w:type="spellStart"/>
      <w:r>
        <w:t>Lv</w:t>
      </w:r>
      <w:proofErr w:type="spellEnd"/>
      <w:r>
        <w:t xml:space="preserve">, et al., 2021; Wu, Xu, et al., 2021), and superoxide dismutase, catalase and total protein declined in </w:t>
      </w:r>
      <w:r>
        <w:rPr>
          <w:i/>
          <w:iCs/>
        </w:rPr>
        <w:t xml:space="preserve">Clarias </w:t>
      </w:r>
      <w:proofErr w:type="spellStart"/>
      <w:r>
        <w:rPr>
          <w:i/>
          <w:iCs/>
        </w:rPr>
        <w:t>gariepinus</w:t>
      </w:r>
      <w:proofErr w:type="spellEnd"/>
      <w:r>
        <w:t xml:space="preserve"> exposed to textile effluent (Ayoola et al., 2012). Superoxide dismutase, catalase, nitric oxide and lactate dehydrogenase increased while glutathione fell in zebrafish exposed to Sudan Black B (Ramamurthy, Madesh, et al., 2024), whereas catalase, glutathione, glutathione </w:t>
      </w:r>
      <w:r>
        <w:lastRenderedPageBreak/>
        <w:t>peroxidase and total antioxidant capacity all fell in adult zebrafish after chronic effluent exposure (Wang et al., 2021).</w:t>
      </w:r>
    </w:p>
    <w:p w14:paraId="652FC015" w14:textId="77777777" w:rsidR="00706FFA" w:rsidRDefault="00000000" w:rsidP="00E35ED2">
      <w:pPr>
        <w:spacing w:before="100" w:beforeAutospacing="1" w:after="100" w:afterAutospacing="1"/>
        <w:jc w:val="both"/>
      </w:pPr>
      <w:r>
        <w:t xml:space="preserve">The most instructive comparison involves the same dye and the same species. Acute exposure of </w:t>
      </w:r>
      <w:proofErr w:type="spellStart"/>
      <w:r>
        <w:rPr>
          <w:i/>
          <w:iCs/>
        </w:rPr>
        <w:t>Labeo</w:t>
      </w:r>
      <w:proofErr w:type="spellEnd"/>
      <w:r>
        <w:rPr>
          <w:i/>
          <w:iCs/>
        </w:rPr>
        <w:t xml:space="preserve"> </w:t>
      </w:r>
      <w:proofErr w:type="spellStart"/>
      <w:r>
        <w:rPr>
          <w:i/>
          <w:iCs/>
        </w:rPr>
        <w:t>rohita</w:t>
      </w:r>
      <w:proofErr w:type="spellEnd"/>
      <w:r>
        <w:t xml:space="preserve"> to Acid Black at 6 to 10 mg L</w:t>
      </w:r>
      <w:r>
        <w:rPr>
          <w:vertAlign w:val="superscript"/>
        </w:rPr>
        <w:t>−1</w:t>
      </w:r>
      <w:r>
        <w:t xml:space="preserve"> for 96 h identified liver as the most affected tissue and superoxide dismutase as the maximally affected enzyme, with fish failing to recover ninety days after exposure ceased (Kaur &amp; Kaur, 2015). Subchronic exposure of the same species to the same dye, designated Acid Black-1 with the same Colour Index number, for 150 days followed by a </w:t>
      </w:r>
      <w:proofErr w:type="gramStart"/>
      <w:r>
        <w:t>90 day</w:t>
      </w:r>
      <w:proofErr w:type="gramEnd"/>
      <w:r>
        <w:t xml:space="preserve"> recovery phase identified muscle as the tissue showing the most pronounced changes for a majority of enzymes, while again reporting consistent decline in superoxide dismutase and proposing that enzyme as a biomarker (Singh et al., 2026). The convergence on superoxide dismutase as the responsive activity is reassuring; the divergence in target tissue is not, and it cannot be explained by species or compound difference. Exposure duration, concentration range, or the difference between the exposure and recovery phases in which measurements were taken remain candidate explanations, and the second study does not analyse the discrepancy with the first.</w:t>
      </w:r>
    </w:p>
    <w:p w14:paraId="73E8C0BD" w14:textId="77777777" w:rsidR="00706FFA" w:rsidRDefault="00000000" w:rsidP="00E35ED2">
      <w:pPr>
        <w:spacing w:before="100" w:beforeAutospacing="1" w:after="100" w:afterAutospacing="1"/>
        <w:jc w:val="both"/>
      </w:pPr>
      <w:r>
        <w:t xml:space="preserve">Several non-exclusive explanations are available. Induction early in exposure followed by suppression as substrate is consumed or protein oxidatively modified would generate opposite results depending on sampling point, and the biphasic pattern documented within a single 96 h exposure supports this reading (Sharma et al., 2022). Concentration is a second axis: </w:t>
      </w:r>
      <w:proofErr w:type="spellStart"/>
      <w:r>
        <w:t>hormetic</w:t>
      </w:r>
      <w:proofErr w:type="spellEnd"/>
      <w:r>
        <w:t xml:space="preserve"> responses have been documented for a textile azo dye in a fish cell line, where Direct Black 38 produced direct and oxidative comet assay damage in rainbow trout gonad cells in </w:t>
      </w:r>
      <w:proofErr w:type="spellStart"/>
      <w:r>
        <w:t>hormetic</w:t>
      </w:r>
      <w:proofErr w:type="spellEnd"/>
      <w:r>
        <w:t xml:space="preserve"> form (de Oliveira et al., 2018). Tissue is a third, since the studies above assay enzymes with differing tissue distributions in different organs. Species and life stage constitute a fourth, and the opposite gut microbial responses of </w:t>
      </w:r>
      <w:proofErr w:type="spellStart"/>
      <w:r>
        <w:rPr>
          <w:i/>
          <w:iCs/>
        </w:rPr>
        <w:t>Heteropneustes</w:t>
      </w:r>
      <w:proofErr w:type="spellEnd"/>
      <w:r>
        <w:rPr>
          <w:i/>
          <w:iCs/>
        </w:rPr>
        <w:t xml:space="preserve"> </w:t>
      </w:r>
      <w:proofErr w:type="spellStart"/>
      <w:r>
        <w:rPr>
          <w:i/>
          <w:iCs/>
        </w:rPr>
        <w:t>fossilis</w:t>
      </w:r>
      <w:proofErr w:type="spellEnd"/>
      <w:r>
        <w:t xml:space="preserve"> and </w:t>
      </w:r>
      <w:r>
        <w:rPr>
          <w:i/>
          <w:iCs/>
        </w:rPr>
        <w:t xml:space="preserve">Clarias </w:t>
      </w:r>
      <w:proofErr w:type="spellStart"/>
      <w:r>
        <w:rPr>
          <w:i/>
          <w:iCs/>
        </w:rPr>
        <w:t>batrachus</w:t>
      </w:r>
      <w:proofErr w:type="spellEnd"/>
      <w:r>
        <w:t xml:space="preserve"> to identical exposure show that closely related catfishes can diverge (Naz &amp; </w:t>
      </w:r>
      <w:proofErr w:type="spellStart"/>
      <w:r>
        <w:t>Vaseem</w:t>
      </w:r>
      <w:proofErr w:type="spellEnd"/>
      <w:r>
        <w:t>, 2024).</w:t>
      </w:r>
    </w:p>
    <w:p w14:paraId="43370E11" w14:textId="77777777" w:rsidR="00706FFA" w:rsidRDefault="00000000" w:rsidP="00E35ED2">
      <w:pPr>
        <w:spacing w:before="100" w:beforeAutospacing="1" w:after="100" w:afterAutospacing="1"/>
        <w:jc w:val="both"/>
      </w:pPr>
      <w:r>
        <w:t>What is largely absent is analysis. Most studies interpret their directional result as oxidative stress without reference to studies reporting the opposite direction under comparable conditions, and reviews reproduce the pattern by listing effects rather than reconciling them (Dutta et al., 2024; Khandelwal et al., 2024). As applied in this literature the framework is close to unfalsifiable: both induction and suppression count as confirmation, no study identified here specifies its predicted direction in advance, and none reports a null result as evidence against redox involvement. Guidance on fish oxidative stress biomarkers emphasises attention to time course, tissue specificity and the distinction between damage and defence markers (</w:t>
      </w:r>
      <w:proofErr w:type="spellStart"/>
      <w:r>
        <w:t>Formicki</w:t>
      </w:r>
      <w:proofErr w:type="spellEnd"/>
      <w:r>
        <w:t xml:space="preserve"> et al., 2025), and adherence to it here is uneven.</w:t>
      </w:r>
    </w:p>
    <w:p w14:paraId="3223824F" w14:textId="77777777" w:rsidR="00706FFA" w:rsidRDefault="00000000" w:rsidP="00E35ED2">
      <w:pPr>
        <w:pStyle w:val="Heading2"/>
        <w:spacing w:before="100" w:beforeAutospacing="1" w:after="100" w:afterAutospacing="1"/>
      </w:pPr>
      <w:r>
        <w:rPr>
          <w:b/>
          <w:bCs/>
          <w:color w:val="000000"/>
          <w:sz w:val="24"/>
          <w:szCs w:val="24"/>
        </w:rPr>
        <w:t>4.3 Competing mechanisms</w:t>
      </w:r>
    </w:p>
    <w:p w14:paraId="174AEC44" w14:textId="77777777" w:rsidR="00706FFA" w:rsidRDefault="00000000" w:rsidP="00E35ED2">
      <w:pPr>
        <w:spacing w:before="100" w:beforeAutospacing="1" w:after="100" w:afterAutospacing="1"/>
        <w:jc w:val="both"/>
      </w:pPr>
      <w:r>
        <w:t xml:space="preserve">Reactive oxygen species generation is not the only mechanism capable of producing the observed changes, and three alternatives have empirical support. The first is direct interaction of dye with enzyme protein. Studies of Eriochrome Black T in </w:t>
      </w:r>
      <w:proofErr w:type="spellStart"/>
      <w:r>
        <w:rPr>
          <w:i/>
          <w:iCs/>
        </w:rPr>
        <w:t>Labeo</w:t>
      </w:r>
      <w:proofErr w:type="spellEnd"/>
      <w:r>
        <w:rPr>
          <w:i/>
          <w:iCs/>
        </w:rPr>
        <w:t xml:space="preserve"> </w:t>
      </w:r>
      <w:proofErr w:type="spellStart"/>
      <w:r>
        <w:rPr>
          <w:i/>
          <w:iCs/>
        </w:rPr>
        <w:t>rohita</w:t>
      </w:r>
      <w:proofErr w:type="spellEnd"/>
      <w:r>
        <w:t xml:space="preserve"> attributed declines in alkaline phosphatase, acid phosphatase, carboxylesterase, succinate dehydrogenase, catalase and peroxidase activity in skin and gill to dye binding rather than oxidative inactivation (Srivastava et al., 2017, 2018). Molecular docking has since been used to support that interpretation, with Acid Black-1 interacting with antioxidant enzymes at active or allosteric sites (Singh et al., 2026) and malachite green binding haemoglobin (</w:t>
      </w:r>
      <w:proofErr w:type="spellStart"/>
      <w:r>
        <w:t>Poopal</w:t>
      </w:r>
      <w:proofErr w:type="spellEnd"/>
      <w:r>
        <w:t xml:space="preserve"> et al., 2023). Docking demonstrates geometric and energetic plausibility rather than in vivo occurrence, and none of these studies provides the kinetic evidence that would establish direct inhibition. The </w:t>
      </w:r>
      <w:r>
        <w:lastRenderedPageBreak/>
        <w:t>hypothesis nevertheless accounts economically for coordinated declines across enzymes of unrelated catalytic chemistry.</w:t>
      </w:r>
    </w:p>
    <w:p w14:paraId="30569ED5" w14:textId="77777777" w:rsidR="00706FFA" w:rsidRDefault="00000000" w:rsidP="00E35ED2">
      <w:pPr>
        <w:spacing w:before="100" w:beforeAutospacing="1" w:after="100" w:afterAutospacing="1"/>
        <w:jc w:val="both"/>
      </w:pPr>
      <w:r>
        <w:t xml:space="preserve">The second alternative is energetic. Exposure of zebrafish early life stages to the azo dye Basic Red 51 and to the naphthoquinone dye </w:t>
      </w:r>
      <w:proofErr w:type="spellStart"/>
      <w:r>
        <w:t>erythrostominone</w:t>
      </w:r>
      <w:proofErr w:type="spellEnd"/>
      <w:r>
        <w:t xml:space="preserve"> reduced energy consumption from a lowest observed effect concentration of 7.5 mg L</w:t>
      </w:r>
      <w:r>
        <w:rPr>
          <w:vertAlign w:val="superscript"/>
        </w:rPr>
        <w:t>−1</w:t>
      </w:r>
      <w:r>
        <w:t xml:space="preserve"> while leaving available energy reserves in carbohydrate, lipid and protein unchanged, so that cellular energy allocation increased, and larvae exposed to either dye through 144 h were less active (Abe et al., 2018). Photodegradation of </w:t>
      </w:r>
      <w:proofErr w:type="spellStart"/>
      <w:r>
        <w:t>erythrostominone</w:t>
      </w:r>
      <w:proofErr w:type="spellEnd"/>
      <w:r>
        <w:t xml:space="preserve"> to a colourless product abolished all measured effects. Reduced metabolic activity accompanied by reduced locomotion is consistent with a generalised stress response rather than with a specific oxidative lesion, and the parallel behavioural and energetic findings provide a mechanistic route from biochemical change to whole-organism performance that the antioxidant literature does not supply. Earlier work by the same group established that antioxidant and neurotransmission biomarkers respond to natural as well as synthetic dyes in zebrafish early life stages, indicating that the response is not specific to synthetic chemistry (Abe et al., 2017).</w:t>
      </w:r>
    </w:p>
    <w:p w14:paraId="061818B7" w14:textId="77777777" w:rsidR="00706FFA" w:rsidRDefault="00000000" w:rsidP="00E35ED2">
      <w:pPr>
        <w:spacing w:before="100" w:beforeAutospacing="1" w:after="100" w:afterAutospacing="1"/>
        <w:jc w:val="both"/>
      </w:pPr>
      <w:r>
        <w:t xml:space="preserve">The third alternative is inflammatory and immune activation. Tartrazine upregulated interleukin 6, tumour necrosis factor alpha, interleukin 8, interleukin 10, complement component 3, lysozyme and beta-defensin 3 in </w:t>
      </w:r>
      <w:r>
        <w:rPr>
          <w:i/>
          <w:iCs/>
        </w:rPr>
        <w:t>Carassius auratus</w:t>
      </w:r>
      <w:r>
        <w:t xml:space="preserve"> alongside intestinal and hepatic histopathology and microbiota shift (Wu, Xu, et al., 2021), with comparable upregulation in </w:t>
      </w:r>
      <w:r>
        <w:rPr>
          <w:i/>
          <w:iCs/>
        </w:rPr>
        <w:t xml:space="preserve">Carassius </w:t>
      </w:r>
      <w:proofErr w:type="spellStart"/>
      <w:r>
        <w:rPr>
          <w:i/>
          <w:iCs/>
        </w:rPr>
        <w:t>carassius</w:t>
      </w:r>
      <w:proofErr w:type="spellEnd"/>
      <w:r>
        <w:t xml:space="preserve"> juveniles (Wu, </w:t>
      </w:r>
      <w:proofErr w:type="spellStart"/>
      <w:r>
        <w:t>Lv</w:t>
      </w:r>
      <w:proofErr w:type="spellEnd"/>
      <w:r>
        <w:t>, et al., 2021). Sudan Black B produced a complex pattern across tumour necrosis factor alpha, interleukin 10 and inducible nitric oxide synthase with increased apoptosis and hepatic damage (Ramamurthy, Madesh, et al., 2024). Because reactive oxygen species and inflammatory signalling are reciprocally coupled, these observations do not exclude the redox account, but they indicate that immune activation may be primary rather than secondary, and no study identified here has established the temporal order.</w:t>
      </w:r>
    </w:p>
    <w:p w14:paraId="6578D4F5" w14:textId="77777777" w:rsidR="00706FFA" w:rsidRDefault="00000000" w:rsidP="00E35ED2">
      <w:pPr>
        <w:spacing w:before="100" w:beforeAutospacing="1" w:after="100" w:afterAutospacing="1"/>
        <w:jc w:val="both"/>
      </w:pPr>
      <w:r>
        <w:t>Table 3 sets out the principal conflicting findings and the explanations that can reasonably be advanced for each. The table is analytical rather than exhaustive: it records where the literature disagrees, what the disagreement most plausibly reflects, and what measurement would resolve it. In every case except the biphasic time-course finding, the resolving measurement has not been made. The predominance of unresolved entries indicates that the disagreements in this field are not residual noise around an established relationship but consequences of design choices that could be corrected.</w:t>
      </w:r>
    </w:p>
    <w:p w14:paraId="678EA8D9" w14:textId="77777777" w:rsidR="00706FFA" w:rsidRDefault="00000000" w:rsidP="00E35ED2">
      <w:pPr>
        <w:spacing w:before="100" w:beforeAutospacing="1" w:after="100" w:afterAutospacing="1"/>
      </w:pPr>
      <w:r>
        <w:rPr>
          <w:b/>
          <w:bCs/>
          <w:sz w:val="22"/>
          <w:szCs w:val="22"/>
        </w:rPr>
        <w:t>Table 3</w:t>
      </w:r>
    </w:p>
    <w:p w14:paraId="66F0719C" w14:textId="77777777" w:rsidR="00706FFA" w:rsidRDefault="00000000" w:rsidP="00E35ED2">
      <w:pPr>
        <w:spacing w:before="100" w:beforeAutospacing="1" w:after="100" w:afterAutospacing="1"/>
      </w:pPr>
      <w:r>
        <w:rPr>
          <w:i/>
          <w:iCs/>
          <w:sz w:val="22"/>
          <w:szCs w:val="22"/>
        </w:rPr>
        <w:t>Principal conflicting findings, candidate explanations and resolving measurements</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706FFA" w14:paraId="02773987" w14:textId="77777777">
        <w:trPr>
          <w:tblHeader/>
        </w:trPr>
        <w:tc>
          <w:tcPr>
            <w:tcW w:w="1872" w:type="dxa"/>
            <w:shd w:val="clear" w:color="auto" w:fill="EDEDED"/>
            <w:tcMar>
              <w:top w:w="60" w:type="dxa"/>
              <w:left w:w="90" w:type="dxa"/>
              <w:bottom w:w="60" w:type="dxa"/>
              <w:right w:w="90" w:type="dxa"/>
            </w:tcMar>
          </w:tcPr>
          <w:p w14:paraId="31435347" w14:textId="77777777" w:rsidR="00706FFA" w:rsidRDefault="00000000" w:rsidP="00E35ED2">
            <w:pPr>
              <w:spacing w:before="100" w:beforeAutospacing="1" w:after="100" w:afterAutospacing="1"/>
            </w:pPr>
            <w:r>
              <w:rPr>
                <w:b/>
                <w:bCs/>
                <w:sz w:val="18"/>
                <w:szCs w:val="18"/>
              </w:rPr>
              <w:t>Conflict</w:t>
            </w:r>
          </w:p>
        </w:tc>
        <w:tc>
          <w:tcPr>
            <w:tcW w:w="1872" w:type="dxa"/>
            <w:shd w:val="clear" w:color="auto" w:fill="EDEDED"/>
            <w:tcMar>
              <w:top w:w="60" w:type="dxa"/>
              <w:left w:w="90" w:type="dxa"/>
              <w:bottom w:w="60" w:type="dxa"/>
              <w:right w:w="90" w:type="dxa"/>
            </w:tcMar>
          </w:tcPr>
          <w:p w14:paraId="7EDE89F4" w14:textId="77777777" w:rsidR="00706FFA" w:rsidRDefault="00000000" w:rsidP="00E35ED2">
            <w:pPr>
              <w:spacing w:before="100" w:beforeAutospacing="1" w:after="100" w:afterAutospacing="1"/>
            </w:pPr>
            <w:r>
              <w:rPr>
                <w:b/>
                <w:bCs/>
                <w:sz w:val="18"/>
                <w:szCs w:val="18"/>
              </w:rPr>
              <w:t>Contrasting observations</w:t>
            </w:r>
          </w:p>
        </w:tc>
        <w:tc>
          <w:tcPr>
            <w:tcW w:w="1872" w:type="dxa"/>
            <w:shd w:val="clear" w:color="auto" w:fill="EDEDED"/>
            <w:tcMar>
              <w:top w:w="60" w:type="dxa"/>
              <w:left w:w="90" w:type="dxa"/>
              <w:bottom w:w="60" w:type="dxa"/>
              <w:right w:w="90" w:type="dxa"/>
            </w:tcMar>
          </w:tcPr>
          <w:p w14:paraId="3A5F5A90" w14:textId="77777777" w:rsidR="00706FFA" w:rsidRDefault="00000000" w:rsidP="00E35ED2">
            <w:pPr>
              <w:spacing w:before="100" w:beforeAutospacing="1" w:after="100" w:afterAutospacing="1"/>
            </w:pPr>
            <w:r>
              <w:rPr>
                <w:b/>
                <w:bCs/>
                <w:sz w:val="18"/>
                <w:szCs w:val="18"/>
              </w:rPr>
              <w:t>Most plausible explanations</w:t>
            </w:r>
          </w:p>
        </w:tc>
        <w:tc>
          <w:tcPr>
            <w:tcW w:w="1872" w:type="dxa"/>
            <w:shd w:val="clear" w:color="auto" w:fill="EDEDED"/>
            <w:tcMar>
              <w:top w:w="60" w:type="dxa"/>
              <w:left w:w="90" w:type="dxa"/>
              <w:bottom w:w="60" w:type="dxa"/>
              <w:right w:w="90" w:type="dxa"/>
            </w:tcMar>
          </w:tcPr>
          <w:p w14:paraId="77222924" w14:textId="77777777" w:rsidR="00706FFA" w:rsidRDefault="00000000" w:rsidP="00E35ED2">
            <w:pPr>
              <w:spacing w:before="100" w:beforeAutospacing="1" w:after="100" w:afterAutospacing="1"/>
            </w:pPr>
            <w:r>
              <w:rPr>
                <w:b/>
                <w:bCs/>
                <w:sz w:val="18"/>
                <w:szCs w:val="18"/>
              </w:rPr>
              <w:t>Measurement that would resolve it</w:t>
            </w:r>
          </w:p>
        </w:tc>
        <w:tc>
          <w:tcPr>
            <w:tcW w:w="1872" w:type="dxa"/>
            <w:shd w:val="clear" w:color="auto" w:fill="EDEDED"/>
            <w:tcMar>
              <w:top w:w="60" w:type="dxa"/>
              <w:left w:w="90" w:type="dxa"/>
              <w:bottom w:w="60" w:type="dxa"/>
              <w:right w:w="90" w:type="dxa"/>
            </w:tcMar>
          </w:tcPr>
          <w:p w14:paraId="74913A51" w14:textId="77777777" w:rsidR="00706FFA" w:rsidRDefault="00000000" w:rsidP="00E35ED2">
            <w:pPr>
              <w:spacing w:before="100" w:beforeAutospacing="1" w:after="100" w:afterAutospacing="1"/>
            </w:pPr>
            <w:r>
              <w:rPr>
                <w:b/>
                <w:bCs/>
                <w:sz w:val="18"/>
                <w:szCs w:val="18"/>
              </w:rPr>
              <w:t>Supporting references</w:t>
            </w:r>
          </w:p>
        </w:tc>
      </w:tr>
      <w:tr w:rsidR="00706FFA" w14:paraId="2AD08E28" w14:textId="77777777">
        <w:tc>
          <w:tcPr>
            <w:tcW w:w="1872" w:type="dxa"/>
            <w:tcMar>
              <w:top w:w="60" w:type="dxa"/>
              <w:left w:w="90" w:type="dxa"/>
              <w:bottom w:w="60" w:type="dxa"/>
              <w:right w:w="90" w:type="dxa"/>
            </w:tcMar>
          </w:tcPr>
          <w:p w14:paraId="32E6AC83" w14:textId="77777777" w:rsidR="00706FFA" w:rsidRDefault="00000000" w:rsidP="00E35ED2">
            <w:pPr>
              <w:spacing w:before="100" w:beforeAutospacing="1" w:after="100" w:afterAutospacing="1"/>
            </w:pPr>
            <w:r>
              <w:rPr>
                <w:sz w:val="18"/>
                <w:szCs w:val="18"/>
              </w:rPr>
              <w:t>Direction of antioxidant enzyme response</w:t>
            </w:r>
          </w:p>
        </w:tc>
        <w:tc>
          <w:tcPr>
            <w:tcW w:w="1872" w:type="dxa"/>
            <w:tcMar>
              <w:top w:w="60" w:type="dxa"/>
              <w:left w:w="90" w:type="dxa"/>
              <w:bottom w:w="60" w:type="dxa"/>
              <w:right w:w="90" w:type="dxa"/>
            </w:tcMar>
          </w:tcPr>
          <w:p w14:paraId="5674E778" w14:textId="77777777" w:rsidR="00706FFA" w:rsidRDefault="00000000" w:rsidP="00E35ED2">
            <w:pPr>
              <w:spacing w:before="100" w:beforeAutospacing="1" w:after="100" w:afterAutospacing="1"/>
            </w:pPr>
            <w:r>
              <w:rPr>
                <w:sz w:val="18"/>
                <w:szCs w:val="18"/>
              </w:rPr>
              <w:t>Superoxide dismutase and catalase increased in some exposures, decreased in others, at comparable concentrations</w:t>
            </w:r>
          </w:p>
        </w:tc>
        <w:tc>
          <w:tcPr>
            <w:tcW w:w="1872" w:type="dxa"/>
            <w:tcMar>
              <w:top w:w="60" w:type="dxa"/>
              <w:left w:w="90" w:type="dxa"/>
              <w:bottom w:w="60" w:type="dxa"/>
              <w:right w:w="90" w:type="dxa"/>
            </w:tcMar>
          </w:tcPr>
          <w:p w14:paraId="5DE0DB2E" w14:textId="77777777" w:rsidR="00706FFA" w:rsidRDefault="00000000" w:rsidP="00E35ED2">
            <w:pPr>
              <w:spacing w:before="100" w:beforeAutospacing="1" w:after="100" w:afterAutospacing="1"/>
            </w:pPr>
            <w:r>
              <w:rPr>
                <w:sz w:val="18"/>
                <w:szCs w:val="18"/>
              </w:rPr>
              <w:t>Sampling time relative to induction and exhaustion; concentration-dependent hormesis; tissue specificity</w:t>
            </w:r>
          </w:p>
        </w:tc>
        <w:tc>
          <w:tcPr>
            <w:tcW w:w="1872" w:type="dxa"/>
            <w:tcMar>
              <w:top w:w="60" w:type="dxa"/>
              <w:left w:w="90" w:type="dxa"/>
              <w:bottom w:w="60" w:type="dxa"/>
              <w:right w:w="90" w:type="dxa"/>
            </w:tcMar>
          </w:tcPr>
          <w:p w14:paraId="164565D4" w14:textId="77777777" w:rsidR="00706FFA" w:rsidRDefault="00000000" w:rsidP="00E35ED2">
            <w:pPr>
              <w:spacing w:before="100" w:beforeAutospacing="1" w:after="100" w:afterAutospacing="1"/>
            </w:pPr>
            <w:r>
              <w:rPr>
                <w:sz w:val="18"/>
                <w:szCs w:val="18"/>
              </w:rPr>
              <w:t>Time-resolved sampling across a concentration series in one tissue with one dye</w:t>
            </w:r>
          </w:p>
        </w:tc>
        <w:tc>
          <w:tcPr>
            <w:tcW w:w="1872" w:type="dxa"/>
            <w:tcMar>
              <w:top w:w="60" w:type="dxa"/>
              <w:left w:w="90" w:type="dxa"/>
              <w:bottom w:w="60" w:type="dxa"/>
              <w:right w:w="90" w:type="dxa"/>
            </w:tcMar>
          </w:tcPr>
          <w:p w14:paraId="7F6041FD" w14:textId="77777777" w:rsidR="00706FFA" w:rsidRDefault="00000000" w:rsidP="00E35ED2">
            <w:pPr>
              <w:spacing w:before="100" w:beforeAutospacing="1" w:after="100" w:afterAutospacing="1"/>
            </w:pPr>
            <w:r>
              <w:rPr>
                <w:sz w:val="18"/>
                <w:szCs w:val="18"/>
              </w:rPr>
              <w:t xml:space="preserve">Kaur &amp; Kaur (2015); Naz &amp; </w:t>
            </w:r>
            <w:proofErr w:type="spellStart"/>
            <w:r>
              <w:rPr>
                <w:sz w:val="18"/>
                <w:szCs w:val="18"/>
              </w:rPr>
              <w:t>Vaseem</w:t>
            </w:r>
            <w:proofErr w:type="spellEnd"/>
            <w:r>
              <w:rPr>
                <w:sz w:val="18"/>
                <w:szCs w:val="18"/>
              </w:rPr>
              <w:t xml:space="preserve"> (2024); Sharma et al. (2022, 2024); Wang et al. (2021); Wu, </w:t>
            </w:r>
            <w:proofErr w:type="spellStart"/>
            <w:r>
              <w:rPr>
                <w:sz w:val="18"/>
                <w:szCs w:val="18"/>
              </w:rPr>
              <w:t>Lv</w:t>
            </w:r>
            <w:proofErr w:type="spellEnd"/>
            <w:r>
              <w:rPr>
                <w:sz w:val="18"/>
                <w:szCs w:val="18"/>
              </w:rPr>
              <w:t>, et al. (2021)</w:t>
            </w:r>
          </w:p>
        </w:tc>
      </w:tr>
      <w:tr w:rsidR="00706FFA" w14:paraId="10135B3F" w14:textId="77777777">
        <w:tc>
          <w:tcPr>
            <w:tcW w:w="1872" w:type="dxa"/>
            <w:tcMar>
              <w:top w:w="60" w:type="dxa"/>
              <w:left w:w="90" w:type="dxa"/>
              <w:bottom w:w="60" w:type="dxa"/>
              <w:right w:w="90" w:type="dxa"/>
            </w:tcMar>
          </w:tcPr>
          <w:p w14:paraId="1DEA6921" w14:textId="77777777" w:rsidR="00706FFA" w:rsidRDefault="00000000" w:rsidP="00E35ED2">
            <w:pPr>
              <w:spacing w:before="100" w:beforeAutospacing="1" w:after="100" w:afterAutospacing="1"/>
            </w:pPr>
            <w:r>
              <w:rPr>
                <w:sz w:val="18"/>
                <w:szCs w:val="18"/>
              </w:rPr>
              <w:lastRenderedPageBreak/>
              <w:t>Most affected tissue for one dye in one species</w:t>
            </w:r>
          </w:p>
        </w:tc>
        <w:tc>
          <w:tcPr>
            <w:tcW w:w="1872" w:type="dxa"/>
            <w:tcMar>
              <w:top w:w="60" w:type="dxa"/>
              <w:left w:w="90" w:type="dxa"/>
              <w:bottom w:w="60" w:type="dxa"/>
              <w:right w:w="90" w:type="dxa"/>
            </w:tcMar>
          </w:tcPr>
          <w:p w14:paraId="44CFCD3D" w14:textId="77777777" w:rsidR="00706FFA" w:rsidRDefault="00000000" w:rsidP="00E35ED2">
            <w:pPr>
              <w:spacing w:before="100" w:beforeAutospacing="1" w:after="100" w:afterAutospacing="1"/>
            </w:pPr>
            <w:r>
              <w:rPr>
                <w:sz w:val="18"/>
                <w:szCs w:val="18"/>
              </w:rPr>
              <w:t>Liver identified after 96 h exposure; muscle identified after 150 d exposure</w:t>
            </w:r>
          </w:p>
        </w:tc>
        <w:tc>
          <w:tcPr>
            <w:tcW w:w="1872" w:type="dxa"/>
            <w:tcMar>
              <w:top w:w="60" w:type="dxa"/>
              <w:left w:w="90" w:type="dxa"/>
              <w:bottom w:w="60" w:type="dxa"/>
              <w:right w:w="90" w:type="dxa"/>
            </w:tcMar>
          </w:tcPr>
          <w:p w14:paraId="7301641D" w14:textId="77777777" w:rsidR="00706FFA" w:rsidRDefault="00000000" w:rsidP="00E35ED2">
            <w:pPr>
              <w:spacing w:before="100" w:beforeAutospacing="1" w:after="100" w:afterAutospacing="1"/>
            </w:pPr>
            <w:r>
              <w:rPr>
                <w:sz w:val="18"/>
                <w:szCs w:val="18"/>
              </w:rPr>
              <w:t>Duration-dependent redistribution; differing concentration ranges; measurement phase</w:t>
            </w:r>
          </w:p>
        </w:tc>
        <w:tc>
          <w:tcPr>
            <w:tcW w:w="1872" w:type="dxa"/>
            <w:tcMar>
              <w:top w:w="60" w:type="dxa"/>
              <w:left w:w="90" w:type="dxa"/>
              <w:bottom w:w="60" w:type="dxa"/>
              <w:right w:w="90" w:type="dxa"/>
            </w:tcMar>
          </w:tcPr>
          <w:p w14:paraId="176AAD44" w14:textId="77777777" w:rsidR="00706FFA" w:rsidRDefault="00000000" w:rsidP="00E35ED2">
            <w:pPr>
              <w:spacing w:before="100" w:beforeAutospacing="1" w:after="100" w:afterAutospacing="1"/>
            </w:pPr>
            <w:r>
              <w:rPr>
                <w:sz w:val="18"/>
                <w:szCs w:val="18"/>
              </w:rPr>
              <w:t>Parallel acute and subchronic exposure with identical tissue panel</w:t>
            </w:r>
          </w:p>
        </w:tc>
        <w:tc>
          <w:tcPr>
            <w:tcW w:w="1872" w:type="dxa"/>
            <w:tcMar>
              <w:top w:w="60" w:type="dxa"/>
              <w:left w:w="90" w:type="dxa"/>
              <w:bottom w:w="60" w:type="dxa"/>
              <w:right w:w="90" w:type="dxa"/>
            </w:tcMar>
          </w:tcPr>
          <w:p w14:paraId="7285BF93" w14:textId="77777777" w:rsidR="00706FFA" w:rsidRDefault="00000000" w:rsidP="00E35ED2">
            <w:pPr>
              <w:spacing w:before="100" w:beforeAutospacing="1" w:after="100" w:afterAutospacing="1"/>
            </w:pPr>
            <w:r>
              <w:rPr>
                <w:sz w:val="18"/>
                <w:szCs w:val="18"/>
              </w:rPr>
              <w:t>Kaur &amp; Kaur (2015); Singh et al. (2026)</w:t>
            </w:r>
          </w:p>
        </w:tc>
      </w:tr>
      <w:tr w:rsidR="00706FFA" w14:paraId="6C0C079B" w14:textId="77777777">
        <w:tc>
          <w:tcPr>
            <w:tcW w:w="1872" w:type="dxa"/>
            <w:tcMar>
              <w:top w:w="60" w:type="dxa"/>
              <w:left w:w="90" w:type="dxa"/>
              <w:bottom w:w="60" w:type="dxa"/>
              <w:right w:w="90" w:type="dxa"/>
            </w:tcMar>
          </w:tcPr>
          <w:p w14:paraId="51A048A4" w14:textId="77777777" w:rsidR="00706FFA" w:rsidRDefault="00000000" w:rsidP="00E35ED2">
            <w:pPr>
              <w:spacing w:before="100" w:beforeAutospacing="1" w:after="100" w:afterAutospacing="1"/>
            </w:pPr>
            <w:r>
              <w:rPr>
                <w:sz w:val="18"/>
                <w:szCs w:val="18"/>
              </w:rPr>
              <w:t>Relative hazard of anthraquinone dyes</w:t>
            </w:r>
          </w:p>
        </w:tc>
        <w:tc>
          <w:tcPr>
            <w:tcW w:w="1872" w:type="dxa"/>
            <w:tcMar>
              <w:top w:w="60" w:type="dxa"/>
              <w:left w:w="90" w:type="dxa"/>
              <w:bottom w:w="60" w:type="dxa"/>
              <w:right w:w="90" w:type="dxa"/>
            </w:tcMar>
          </w:tcPr>
          <w:p w14:paraId="0D0FA3BB" w14:textId="77777777" w:rsidR="00706FFA" w:rsidRDefault="00000000" w:rsidP="00E35ED2">
            <w:pPr>
              <w:spacing w:before="100" w:beforeAutospacing="1" w:after="100" w:afterAutospacing="1"/>
            </w:pPr>
            <w:proofErr w:type="spellStart"/>
            <w:r>
              <w:rPr>
                <w:sz w:val="18"/>
                <w:szCs w:val="18"/>
              </w:rPr>
              <w:t>Anthracenedione</w:t>
            </w:r>
            <w:proofErr w:type="spellEnd"/>
            <w:r>
              <w:rPr>
                <w:sz w:val="18"/>
                <w:szCs w:val="18"/>
              </w:rPr>
              <w:t xml:space="preserve"> dyes without effect near 7 mg L</w:t>
            </w:r>
            <w:r>
              <w:rPr>
                <w:sz w:val="18"/>
                <w:szCs w:val="18"/>
                <w:vertAlign w:val="superscript"/>
              </w:rPr>
              <w:t>−1</w:t>
            </w:r>
            <w:r>
              <w:rPr>
                <w:sz w:val="18"/>
                <w:szCs w:val="18"/>
              </w:rPr>
              <w:t>; alizarin lethal near 46 µg L</w:t>
            </w:r>
            <w:r>
              <w:rPr>
                <w:sz w:val="18"/>
                <w:szCs w:val="18"/>
                <w:vertAlign w:val="superscript"/>
              </w:rPr>
              <w:t>−1</w:t>
            </w:r>
          </w:p>
        </w:tc>
        <w:tc>
          <w:tcPr>
            <w:tcW w:w="1872" w:type="dxa"/>
            <w:tcMar>
              <w:top w:w="60" w:type="dxa"/>
              <w:left w:w="90" w:type="dxa"/>
              <w:bottom w:w="60" w:type="dxa"/>
              <w:right w:w="90" w:type="dxa"/>
            </w:tcMar>
          </w:tcPr>
          <w:p w14:paraId="2C0902D8" w14:textId="77777777" w:rsidR="00706FFA" w:rsidRDefault="00000000" w:rsidP="00E35ED2">
            <w:pPr>
              <w:spacing w:before="100" w:beforeAutospacing="1" w:after="100" w:afterAutospacing="1"/>
            </w:pPr>
            <w:r>
              <w:rPr>
                <w:sz w:val="18"/>
                <w:szCs w:val="18"/>
              </w:rPr>
              <w:t>Structural heterogeneity within the chromophore class; substituent effects; light-dependent activation</w:t>
            </w:r>
          </w:p>
        </w:tc>
        <w:tc>
          <w:tcPr>
            <w:tcW w:w="1872" w:type="dxa"/>
            <w:tcMar>
              <w:top w:w="60" w:type="dxa"/>
              <w:left w:w="90" w:type="dxa"/>
              <w:bottom w:w="60" w:type="dxa"/>
              <w:right w:w="90" w:type="dxa"/>
            </w:tcMar>
          </w:tcPr>
          <w:p w14:paraId="70BEDE00" w14:textId="77777777" w:rsidR="00706FFA" w:rsidRDefault="00000000" w:rsidP="00E35ED2">
            <w:pPr>
              <w:spacing w:before="100" w:beforeAutospacing="1" w:after="100" w:afterAutospacing="1"/>
            </w:pPr>
            <w:r>
              <w:rPr>
                <w:sz w:val="18"/>
                <w:szCs w:val="18"/>
              </w:rPr>
              <w:t>Structure-activity testing across substituted anthraquinones under controlled light</w:t>
            </w:r>
          </w:p>
        </w:tc>
        <w:tc>
          <w:tcPr>
            <w:tcW w:w="1872" w:type="dxa"/>
            <w:tcMar>
              <w:top w:w="60" w:type="dxa"/>
              <w:left w:w="90" w:type="dxa"/>
              <w:bottom w:w="60" w:type="dxa"/>
              <w:right w:w="90" w:type="dxa"/>
            </w:tcMar>
          </w:tcPr>
          <w:p w14:paraId="6557956B" w14:textId="77777777" w:rsidR="00706FFA" w:rsidRDefault="00000000" w:rsidP="00E35ED2">
            <w:pPr>
              <w:spacing w:before="100" w:beforeAutospacing="1" w:after="100" w:afterAutospacing="1"/>
            </w:pPr>
            <w:r>
              <w:rPr>
                <w:sz w:val="18"/>
                <w:szCs w:val="18"/>
              </w:rPr>
              <w:t>Parrott et al. (2016); Rodrigues et al. (2026)</w:t>
            </w:r>
          </w:p>
        </w:tc>
      </w:tr>
      <w:tr w:rsidR="00706FFA" w14:paraId="7F09FBC9" w14:textId="77777777">
        <w:tc>
          <w:tcPr>
            <w:tcW w:w="1872" w:type="dxa"/>
            <w:tcMar>
              <w:top w:w="60" w:type="dxa"/>
              <w:left w:w="90" w:type="dxa"/>
              <w:bottom w:w="60" w:type="dxa"/>
              <w:right w:w="90" w:type="dxa"/>
            </w:tcMar>
          </w:tcPr>
          <w:p w14:paraId="248CA811" w14:textId="77777777" w:rsidR="00706FFA" w:rsidRDefault="00000000" w:rsidP="00E35ED2">
            <w:pPr>
              <w:spacing w:before="100" w:beforeAutospacing="1" w:after="100" w:afterAutospacing="1"/>
            </w:pPr>
            <w:r>
              <w:rPr>
                <w:sz w:val="18"/>
                <w:szCs w:val="18"/>
              </w:rPr>
              <w:t>Ecological risk from textile dyes</w:t>
            </w:r>
          </w:p>
        </w:tc>
        <w:tc>
          <w:tcPr>
            <w:tcW w:w="1872" w:type="dxa"/>
            <w:tcMar>
              <w:top w:w="60" w:type="dxa"/>
              <w:left w:w="90" w:type="dxa"/>
              <w:bottom w:w="60" w:type="dxa"/>
              <w:right w:w="90" w:type="dxa"/>
            </w:tcMar>
          </w:tcPr>
          <w:p w14:paraId="4318573D" w14:textId="77777777" w:rsidR="00706FFA" w:rsidRDefault="00000000" w:rsidP="00E35ED2">
            <w:pPr>
              <w:spacing w:before="100" w:beforeAutospacing="1" w:after="100" w:afterAutospacing="1"/>
            </w:pPr>
            <w:r>
              <w:rPr>
                <w:sz w:val="18"/>
                <w:szCs w:val="18"/>
              </w:rPr>
              <w:t>Risk quotients indicating potential risk; measured concentrations below detection</w:t>
            </w:r>
          </w:p>
        </w:tc>
        <w:tc>
          <w:tcPr>
            <w:tcW w:w="1872" w:type="dxa"/>
            <w:tcMar>
              <w:top w:w="60" w:type="dxa"/>
              <w:left w:w="90" w:type="dxa"/>
              <w:bottom w:w="60" w:type="dxa"/>
              <w:right w:w="90" w:type="dxa"/>
            </w:tcMar>
          </w:tcPr>
          <w:p w14:paraId="17D78871" w14:textId="77777777" w:rsidR="00706FFA" w:rsidRDefault="00000000" w:rsidP="00E35ED2">
            <w:pPr>
              <w:spacing w:before="100" w:beforeAutospacing="1" w:after="100" w:afterAutospacing="1"/>
            </w:pPr>
            <w:r>
              <w:rPr>
                <w:sz w:val="18"/>
                <w:szCs w:val="18"/>
              </w:rPr>
              <w:t>Regional differences in discharge control; dye identity; analytical detection limits</w:t>
            </w:r>
          </w:p>
        </w:tc>
        <w:tc>
          <w:tcPr>
            <w:tcW w:w="1872" w:type="dxa"/>
            <w:tcMar>
              <w:top w:w="60" w:type="dxa"/>
              <w:left w:w="90" w:type="dxa"/>
              <w:bottom w:w="60" w:type="dxa"/>
              <w:right w:w="90" w:type="dxa"/>
            </w:tcMar>
          </w:tcPr>
          <w:p w14:paraId="429A2341" w14:textId="77777777" w:rsidR="00706FFA" w:rsidRDefault="00000000" w:rsidP="00E35ED2">
            <w:pPr>
              <w:spacing w:before="100" w:beforeAutospacing="1" w:after="100" w:afterAutospacing="1"/>
            </w:pPr>
            <w:r>
              <w:rPr>
                <w:sz w:val="18"/>
                <w:szCs w:val="18"/>
              </w:rPr>
              <w:t>Harmonised monitoring of the same dyes across contrasting regulatory settings</w:t>
            </w:r>
          </w:p>
        </w:tc>
        <w:tc>
          <w:tcPr>
            <w:tcW w:w="1872" w:type="dxa"/>
            <w:tcMar>
              <w:top w:w="60" w:type="dxa"/>
              <w:left w:w="90" w:type="dxa"/>
              <w:bottom w:w="60" w:type="dxa"/>
              <w:right w:w="90" w:type="dxa"/>
            </w:tcMar>
          </w:tcPr>
          <w:p w14:paraId="2E47440A" w14:textId="77777777" w:rsidR="00706FFA" w:rsidRDefault="00000000" w:rsidP="00E35ED2">
            <w:pPr>
              <w:spacing w:before="100" w:beforeAutospacing="1" w:after="100" w:afterAutospacing="1"/>
            </w:pPr>
            <w:r>
              <w:rPr>
                <w:sz w:val="18"/>
                <w:szCs w:val="18"/>
              </w:rPr>
              <w:t xml:space="preserve">Parrott et al. (2016); </w:t>
            </w:r>
            <w:proofErr w:type="spellStart"/>
            <w:r>
              <w:rPr>
                <w:sz w:val="18"/>
                <w:szCs w:val="18"/>
              </w:rPr>
              <w:t>Vacchi</w:t>
            </w:r>
            <w:proofErr w:type="spellEnd"/>
            <w:r>
              <w:rPr>
                <w:sz w:val="18"/>
                <w:szCs w:val="18"/>
              </w:rPr>
              <w:t xml:space="preserve"> et al. (2016)</w:t>
            </w:r>
          </w:p>
        </w:tc>
      </w:tr>
      <w:tr w:rsidR="00706FFA" w14:paraId="40BE3359" w14:textId="77777777">
        <w:tc>
          <w:tcPr>
            <w:tcW w:w="1872" w:type="dxa"/>
            <w:tcMar>
              <w:top w:w="60" w:type="dxa"/>
              <w:left w:w="90" w:type="dxa"/>
              <w:bottom w:w="60" w:type="dxa"/>
              <w:right w:w="90" w:type="dxa"/>
            </w:tcMar>
          </w:tcPr>
          <w:p w14:paraId="3D0D4B26" w14:textId="77777777" w:rsidR="00706FFA" w:rsidRDefault="00000000" w:rsidP="00E35ED2">
            <w:pPr>
              <w:spacing w:before="100" w:beforeAutospacing="1" w:after="100" w:afterAutospacing="1"/>
            </w:pPr>
            <w:r>
              <w:rPr>
                <w:sz w:val="18"/>
                <w:szCs w:val="18"/>
              </w:rPr>
              <w:t>Adequacy of a single dye as effluent surrogate</w:t>
            </w:r>
          </w:p>
        </w:tc>
        <w:tc>
          <w:tcPr>
            <w:tcW w:w="1872" w:type="dxa"/>
            <w:tcMar>
              <w:top w:w="60" w:type="dxa"/>
              <w:left w:w="90" w:type="dxa"/>
              <w:bottom w:w="60" w:type="dxa"/>
              <w:right w:w="90" w:type="dxa"/>
            </w:tcMar>
          </w:tcPr>
          <w:p w14:paraId="4208D7D5" w14:textId="77777777" w:rsidR="00706FFA" w:rsidRDefault="00000000" w:rsidP="00E35ED2">
            <w:pPr>
              <w:spacing w:before="100" w:beforeAutospacing="1" w:after="100" w:afterAutospacing="1"/>
            </w:pPr>
            <w:r>
              <w:rPr>
                <w:sz w:val="18"/>
                <w:szCs w:val="18"/>
              </w:rPr>
              <w:t>Single dyes of low acute potency; effluents acutely lethal at low percentage dilution</w:t>
            </w:r>
          </w:p>
        </w:tc>
        <w:tc>
          <w:tcPr>
            <w:tcW w:w="1872" w:type="dxa"/>
            <w:tcMar>
              <w:top w:w="60" w:type="dxa"/>
              <w:left w:w="90" w:type="dxa"/>
              <w:bottom w:w="60" w:type="dxa"/>
              <w:right w:w="90" w:type="dxa"/>
            </w:tcMar>
          </w:tcPr>
          <w:p w14:paraId="684CD6DA" w14:textId="77777777" w:rsidR="00706FFA" w:rsidRDefault="00000000" w:rsidP="00E35ED2">
            <w:pPr>
              <w:spacing w:before="100" w:beforeAutospacing="1" w:after="100" w:afterAutospacing="1"/>
            </w:pPr>
            <w:r>
              <w:rPr>
                <w:sz w:val="18"/>
                <w:szCs w:val="18"/>
              </w:rPr>
              <w:t>Non-dye constituents dominating toxicity; mixture interaction</w:t>
            </w:r>
          </w:p>
        </w:tc>
        <w:tc>
          <w:tcPr>
            <w:tcW w:w="1872" w:type="dxa"/>
            <w:tcMar>
              <w:top w:w="60" w:type="dxa"/>
              <w:left w:w="90" w:type="dxa"/>
              <w:bottom w:w="60" w:type="dxa"/>
              <w:right w:w="90" w:type="dxa"/>
            </w:tcMar>
          </w:tcPr>
          <w:p w14:paraId="66DB462E" w14:textId="77777777" w:rsidR="00706FFA" w:rsidRDefault="00000000" w:rsidP="00E35ED2">
            <w:pPr>
              <w:spacing w:before="100" w:beforeAutospacing="1" w:after="100" w:afterAutospacing="1"/>
            </w:pPr>
            <w:r>
              <w:rPr>
                <w:sz w:val="18"/>
                <w:szCs w:val="18"/>
              </w:rPr>
              <w:t>Effect-directed analysis with fractionation and confirmation in fish</w:t>
            </w:r>
          </w:p>
        </w:tc>
        <w:tc>
          <w:tcPr>
            <w:tcW w:w="1872" w:type="dxa"/>
            <w:tcMar>
              <w:top w:w="60" w:type="dxa"/>
              <w:left w:w="90" w:type="dxa"/>
              <w:bottom w:w="60" w:type="dxa"/>
              <w:right w:w="90" w:type="dxa"/>
            </w:tcMar>
          </w:tcPr>
          <w:p w14:paraId="05203C83" w14:textId="77777777" w:rsidR="00706FFA" w:rsidRDefault="00000000" w:rsidP="00E35ED2">
            <w:pPr>
              <w:spacing w:before="100" w:beforeAutospacing="1" w:after="100" w:afterAutospacing="1"/>
            </w:pPr>
            <w:r>
              <w:rPr>
                <w:sz w:val="18"/>
                <w:szCs w:val="18"/>
              </w:rPr>
              <w:t>Ayoola et al. (2012); Peng et al. (2025); Vasconcelos et al. (2025)</w:t>
            </w:r>
          </w:p>
        </w:tc>
      </w:tr>
      <w:tr w:rsidR="00706FFA" w14:paraId="02DE3899" w14:textId="77777777">
        <w:tc>
          <w:tcPr>
            <w:tcW w:w="1872" w:type="dxa"/>
            <w:tcMar>
              <w:top w:w="60" w:type="dxa"/>
              <w:left w:w="90" w:type="dxa"/>
              <w:bottom w:w="60" w:type="dxa"/>
              <w:right w:w="90" w:type="dxa"/>
            </w:tcMar>
          </w:tcPr>
          <w:p w14:paraId="5BC4BB4A" w14:textId="77777777" w:rsidR="00706FFA" w:rsidRDefault="00000000" w:rsidP="00E35ED2">
            <w:pPr>
              <w:spacing w:before="100" w:beforeAutospacing="1" w:after="100" w:afterAutospacing="1"/>
            </w:pPr>
            <w:r>
              <w:rPr>
                <w:sz w:val="18"/>
                <w:szCs w:val="18"/>
              </w:rPr>
              <w:t>Interpretation of enzyme decline</w:t>
            </w:r>
          </w:p>
        </w:tc>
        <w:tc>
          <w:tcPr>
            <w:tcW w:w="1872" w:type="dxa"/>
            <w:tcMar>
              <w:top w:w="60" w:type="dxa"/>
              <w:left w:w="90" w:type="dxa"/>
              <w:bottom w:w="60" w:type="dxa"/>
              <w:right w:w="90" w:type="dxa"/>
            </w:tcMar>
          </w:tcPr>
          <w:p w14:paraId="2551FD8C" w14:textId="77777777" w:rsidR="00706FFA" w:rsidRDefault="00000000" w:rsidP="00E35ED2">
            <w:pPr>
              <w:spacing w:before="100" w:beforeAutospacing="1" w:after="100" w:afterAutospacing="1"/>
            </w:pPr>
            <w:r>
              <w:rPr>
                <w:sz w:val="18"/>
                <w:szCs w:val="18"/>
              </w:rPr>
              <w:t>Attributed to oxidative exhaustion; attributed to direct dye-protein binding</w:t>
            </w:r>
          </w:p>
        </w:tc>
        <w:tc>
          <w:tcPr>
            <w:tcW w:w="1872" w:type="dxa"/>
            <w:tcMar>
              <w:top w:w="60" w:type="dxa"/>
              <w:left w:w="90" w:type="dxa"/>
              <w:bottom w:w="60" w:type="dxa"/>
              <w:right w:w="90" w:type="dxa"/>
            </w:tcMar>
          </w:tcPr>
          <w:p w14:paraId="55789A68" w14:textId="77777777" w:rsidR="00706FFA" w:rsidRDefault="00000000" w:rsidP="00E35ED2">
            <w:pPr>
              <w:spacing w:before="100" w:beforeAutospacing="1" w:after="100" w:afterAutospacing="1"/>
            </w:pPr>
            <w:r>
              <w:rPr>
                <w:sz w:val="18"/>
                <w:szCs w:val="18"/>
              </w:rPr>
              <w:t>Both operating; relative contribution unquantified</w:t>
            </w:r>
          </w:p>
        </w:tc>
        <w:tc>
          <w:tcPr>
            <w:tcW w:w="1872" w:type="dxa"/>
            <w:tcMar>
              <w:top w:w="60" w:type="dxa"/>
              <w:left w:w="90" w:type="dxa"/>
              <w:bottom w:w="60" w:type="dxa"/>
              <w:right w:w="90" w:type="dxa"/>
            </w:tcMar>
          </w:tcPr>
          <w:p w14:paraId="0EC86A9D" w14:textId="77777777" w:rsidR="00706FFA" w:rsidRDefault="00000000" w:rsidP="00E35ED2">
            <w:pPr>
              <w:spacing w:before="100" w:beforeAutospacing="1" w:after="100" w:afterAutospacing="1"/>
            </w:pPr>
            <w:r>
              <w:rPr>
                <w:sz w:val="18"/>
                <w:szCs w:val="18"/>
              </w:rPr>
              <w:t>Enzyme kinetic characterisation with and without dye at measured tissue concentrations</w:t>
            </w:r>
          </w:p>
        </w:tc>
        <w:tc>
          <w:tcPr>
            <w:tcW w:w="1872" w:type="dxa"/>
            <w:tcMar>
              <w:top w:w="60" w:type="dxa"/>
              <w:left w:w="90" w:type="dxa"/>
              <w:bottom w:w="60" w:type="dxa"/>
              <w:right w:w="90" w:type="dxa"/>
            </w:tcMar>
          </w:tcPr>
          <w:p w14:paraId="39AED2EA" w14:textId="77777777" w:rsidR="00706FFA" w:rsidRDefault="00000000" w:rsidP="00E35ED2">
            <w:pPr>
              <w:spacing w:before="100" w:beforeAutospacing="1" w:after="100" w:afterAutospacing="1"/>
            </w:pPr>
            <w:r>
              <w:rPr>
                <w:sz w:val="18"/>
                <w:szCs w:val="18"/>
              </w:rPr>
              <w:t>Singh et al. (2026); Srivastava et al. (2017, 2018)</w:t>
            </w:r>
          </w:p>
        </w:tc>
      </w:tr>
      <w:tr w:rsidR="00706FFA" w14:paraId="5DC53768" w14:textId="77777777">
        <w:tc>
          <w:tcPr>
            <w:tcW w:w="1872" w:type="dxa"/>
            <w:tcMar>
              <w:top w:w="60" w:type="dxa"/>
              <w:left w:w="90" w:type="dxa"/>
              <w:bottom w:w="60" w:type="dxa"/>
              <w:right w:w="90" w:type="dxa"/>
            </w:tcMar>
          </w:tcPr>
          <w:p w14:paraId="222DF40A" w14:textId="77777777" w:rsidR="00706FFA" w:rsidRDefault="00000000" w:rsidP="00E35ED2">
            <w:pPr>
              <w:spacing w:before="100" w:beforeAutospacing="1" w:after="100" w:afterAutospacing="1"/>
            </w:pPr>
            <w:r>
              <w:rPr>
                <w:sz w:val="18"/>
                <w:szCs w:val="18"/>
              </w:rPr>
              <w:t>Direction of malondialdehyde change under chronic exposure</w:t>
            </w:r>
          </w:p>
        </w:tc>
        <w:tc>
          <w:tcPr>
            <w:tcW w:w="1872" w:type="dxa"/>
            <w:tcMar>
              <w:top w:w="60" w:type="dxa"/>
              <w:left w:w="90" w:type="dxa"/>
              <w:bottom w:w="60" w:type="dxa"/>
              <w:right w:w="90" w:type="dxa"/>
            </w:tcMar>
          </w:tcPr>
          <w:p w14:paraId="57F7EEC9" w14:textId="77777777" w:rsidR="00706FFA" w:rsidRDefault="00000000" w:rsidP="00E35ED2">
            <w:pPr>
              <w:spacing w:before="100" w:beforeAutospacing="1" w:after="100" w:afterAutospacing="1"/>
            </w:pPr>
            <w:r>
              <w:rPr>
                <w:sz w:val="18"/>
                <w:szCs w:val="18"/>
              </w:rPr>
              <w:t>Elevated in most acute and subacute studies; reduced after one and four months</w:t>
            </w:r>
          </w:p>
        </w:tc>
        <w:tc>
          <w:tcPr>
            <w:tcW w:w="1872" w:type="dxa"/>
            <w:tcMar>
              <w:top w:w="60" w:type="dxa"/>
              <w:left w:w="90" w:type="dxa"/>
              <w:bottom w:w="60" w:type="dxa"/>
              <w:right w:w="90" w:type="dxa"/>
            </w:tcMar>
          </w:tcPr>
          <w:p w14:paraId="5D908CFA" w14:textId="77777777" w:rsidR="00706FFA" w:rsidRDefault="00000000" w:rsidP="00E35ED2">
            <w:pPr>
              <w:spacing w:before="100" w:beforeAutospacing="1" w:after="100" w:afterAutospacing="1"/>
            </w:pPr>
            <w:r>
              <w:rPr>
                <w:sz w:val="18"/>
                <w:szCs w:val="18"/>
              </w:rPr>
              <w:t>Adaptation; substrate depletion; assay interference; reporting error</w:t>
            </w:r>
          </w:p>
        </w:tc>
        <w:tc>
          <w:tcPr>
            <w:tcW w:w="1872" w:type="dxa"/>
            <w:tcMar>
              <w:top w:w="60" w:type="dxa"/>
              <w:left w:w="90" w:type="dxa"/>
              <w:bottom w:w="60" w:type="dxa"/>
              <w:right w:w="90" w:type="dxa"/>
            </w:tcMar>
          </w:tcPr>
          <w:p w14:paraId="0D7D4B9C" w14:textId="77777777" w:rsidR="00706FFA" w:rsidRDefault="00000000" w:rsidP="00E35ED2">
            <w:pPr>
              <w:spacing w:before="100" w:beforeAutospacing="1" w:after="100" w:afterAutospacing="1"/>
            </w:pPr>
            <w:r>
              <w:rPr>
                <w:sz w:val="18"/>
                <w:szCs w:val="18"/>
              </w:rPr>
              <w:t xml:space="preserve">Chromatographically resolved aldehyde quantification over a </w:t>
            </w:r>
            <w:proofErr w:type="gramStart"/>
            <w:r>
              <w:rPr>
                <w:sz w:val="18"/>
                <w:szCs w:val="18"/>
              </w:rPr>
              <w:t>long time</w:t>
            </w:r>
            <w:proofErr w:type="gramEnd"/>
            <w:r>
              <w:rPr>
                <w:sz w:val="18"/>
                <w:szCs w:val="18"/>
              </w:rPr>
              <w:t xml:space="preserve"> course</w:t>
            </w:r>
          </w:p>
        </w:tc>
        <w:tc>
          <w:tcPr>
            <w:tcW w:w="1872" w:type="dxa"/>
            <w:tcMar>
              <w:top w:w="60" w:type="dxa"/>
              <w:left w:w="90" w:type="dxa"/>
              <w:bottom w:w="60" w:type="dxa"/>
              <w:right w:w="90" w:type="dxa"/>
            </w:tcMar>
          </w:tcPr>
          <w:p w14:paraId="1ACA4BA8" w14:textId="77777777" w:rsidR="00706FFA" w:rsidRDefault="00000000" w:rsidP="00E35ED2">
            <w:pPr>
              <w:spacing w:before="100" w:beforeAutospacing="1" w:after="100" w:afterAutospacing="1"/>
            </w:pPr>
            <w:r>
              <w:rPr>
                <w:sz w:val="18"/>
                <w:szCs w:val="18"/>
              </w:rPr>
              <w:t>Sharma et al. (2024); Wang et al. (2021)</w:t>
            </w:r>
          </w:p>
        </w:tc>
      </w:tr>
    </w:tbl>
    <w:p w14:paraId="71EB86A4" w14:textId="77777777" w:rsidR="00706FFA" w:rsidRDefault="00000000" w:rsidP="00E35ED2">
      <w:pPr>
        <w:spacing w:before="100" w:beforeAutospacing="1" w:after="100" w:afterAutospacing="1"/>
      </w:pPr>
      <w:r>
        <w:rPr>
          <w:i/>
          <w:iCs/>
          <w:sz w:val="18"/>
          <w:szCs w:val="18"/>
        </w:rPr>
        <w:t xml:space="preserve">Note. </w:t>
      </w:r>
      <w:r>
        <w:rPr>
          <w:sz w:val="18"/>
          <w:szCs w:val="18"/>
        </w:rPr>
        <w:t>Hormesis refers to a biphasic concentration-response relationship in which low and high concentrations produce opposite effects. Effect-directed analysis combines fractionation of a complex sample with bioassay to identify causative constituents.</w:t>
      </w:r>
    </w:p>
    <w:p w14:paraId="73993710" w14:textId="77777777" w:rsidR="00706FFA" w:rsidRDefault="00000000" w:rsidP="00E35ED2">
      <w:pPr>
        <w:pStyle w:val="Heading1"/>
        <w:spacing w:before="100" w:beforeAutospacing="1" w:after="100" w:afterAutospacing="1"/>
      </w:pPr>
      <w:r>
        <w:rPr>
          <w:b/>
          <w:bCs/>
          <w:color w:val="000000"/>
          <w:sz w:val="26"/>
          <w:szCs w:val="26"/>
        </w:rPr>
        <w:t>5. Genotoxicity and cytogenetic damage</w:t>
      </w:r>
    </w:p>
    <w:p w14:paraId="57E259D2" w14:textId="77777777" w:rsidR="00706FFA" w:rsidRDefault="00000000" w:rsidP="00E35ED2">
      <w:pPr>
        <w:pStyle w:val="Heading2"/>
        <w:spacing w:before="100" w:beforeAutospacing="1" w:after="100" w:afterAutospacing="1"/>
      </w:pPr>
      <w:r>
        <w:rPr>
          <w:b/>
          <w:bCs/>
          <w:color w:val="000000"/>
          <w:sz w:val="24"/>
          <w:szCs w:val="24"/>
        </w:rPr>
        <w:t>5.1 Consistency of the erythrocyte damage signal</w:t>
      </w:r>
    </w:p>
    <w:p w14:paraId="219CB49E" w14:textId="77777777" w:rsidR="00706FFA" w:rsidRDefault="00000000" w:rsidP="00E35ED2">
      <w:pPr>
        <w:spacing w:before="100" w:beforeAutospacing="1" w:after="100" w:afterAutospacing="1"/>
        <w:jc w:val="both"/>
      </w:pPr>
      <w:r>
        <w:t>Genotoxicity is the second domain in which the evidence converges, and it does so more cleanly than the antioxidant domain because the endpoints are counts rather than activities and their direction is unambiguous. Induction of micronuclei in fish erythrocytes by a chlorotriazine reactive azo dye was demonstrated in a dose- and time-dependent manner at 1, 5 and 10 mg L</w:t>
      </w:r>
      <w:r>
        <w:rPr>
          <w:vertAlign w:val="superscript"/>
        </w:rPr>
        <w:t>−1</w:t>
      </w:r>
      <w:r>
        <w:t xml:space="preserve">, establishing the design that most subsequent work has followed (Al-Sabti, 2000). Since then, elevated micronucleus frequency, nuclear abnormalities, comet assay tail length and tail moment have been reported following exposure to textile effluent in </w:t>
      </w:r>
      <w:r>
        <w:rPr>
          <w:i/>
          <w:iCs/>
        </w:rPr>
        <w:t xml:space="preserve">Clarias </w:t>
      </w:r>
      <w:proofErr w:type="spellStart"/>
      <w:r>
        <w:rPr>
          <w:i/>
          <w:iCs/>
        </w:rPr>
        <w:t>gariepinus</w:t>
      </w:r>
      <w:proofErr w:type="spellEnd"/>
      <w:r>
        <w:t xml:space="preserve"> (Ayoola et al., 2012), to treated textile effluent in </w:t>
      </w:r>
      <w:r>
        <w:rPr>
          <w:i/>
          <w:iCs/>
        </w:rPr>
        <w:t>Oreochromis niloticus</w:t>
      </w:r>
      <w:r>
        <w:t xml:space="preserve"> at dilutions as low as one part in eight (Hemachandra &amp; </w:t>
      </w:r>
      <w:proofErr w:type="spellStart"/>
      <w:r>
        <w:t>Pathiratne</w:t>
      </w:r>
      <w:proofErr w:type="spellEnd"/>
      <w:r>
        <w:t xml:space="preserve">, 2016), to textile production effluent and to a commercial reactive dye in </w:t>
      </w:r>
      <w:r>
        <w:rPr>
          <w:i/>
          <w:iCs/>
        </w:rPr>
        <w:t xml:space="preserve">Astyanax </w:t>
      </w:r>
      <w:proofErr w:type="spellStart"/>
      <w:r>
        <w:rPr>
          <w:i/>
          <w:iCs/>
        </w:rPr>
        <w:t>lacustris</w:t>
      </w:r>
      <w:proofErr w:type="spellEnd"/>
      <w:r>
        <w:t xml:space="preserve"> (da Silva et al., 2023, 2024), to dye-bath effluent in </w:t>
      </w:r>
      <w:r>
        <w:rPr>
          <w:i/>
          <w:iCs/>
        </w:rPr>
        <w:t>Channa punctata</w:t>
      </w:r>
      <w:r>
        <w:t xml:space="preserve"> with micronucleus frequencies 1.28 to 1.61 times those of a treated-effluent comparison group (Sharma et al., 2023), to naphthalene-2-sulphonate in the same species (Mehra &amp; Chadha, 2021), and to dye effluent in </w:t>
      </w:r>
      <w:r>
        <w:rPr>
          <w:i/>
          <w:iCs/>
        </w:rPr>
        <w:t>Danio rerio</w:t>
      </w:r>
      <w:r>
        <w:t xml:space="preserve"> by both micronucleus and comet assays (Zhang et al., 2014). Oxidative DNA base damage measured </w:t>
      </w:r>
      <w:r>
        <w:lastRenderedPageBreak/>
        <w:t>immunohistochemically corroborates the comet findings in zebrafish larvae (</w:t>
      </w:r>
      <w:proofErr w:type="spellStart"/>
      <w:r>
        <w:t>Köktürk</w:t>
      </w:r>
      <w:proofErr w:type="spellEnd"/>
      <w:r>
        <w:t xml:space="preserve">, 2022; </w:t>
      </w:r>
      <w:proofErr w:type="spellStart"/>
      <w:r>
        <w:t>Köktürk</w:t>
      </w:r>
      <w:proofErr w:type="spellEnd"/>
      <w:r>
        <w:t xml:space="preserve"> et al., 2021).</w:t>
      </w:r>
    </w:p>
    <w:p w14:paraId="13C9D762" w14:textId="77777777" w:rsidR="00706FFA" w:rsidRDefault="00000000" w:rsidP="00E35ED2">
      <w:pPr>
        <w:spacing w:before="100" w:beforeAutospacing="1" w:after="100" w:afterAutospacing="1"/>
        <w:jc w:val="both"/>
      </w:pPr>
      <w:r>
        <w:t xml:space="preserve">Two qualifications temper this consistency. The original micronucleus study reported a slight time-dependent increase in control fish held in tap water (Al-Sabti, 2000), so handling, confinement and background water quality generate a drifting baseline over the multi-day sampling intervals typical of these designs. The second concerns effect size. In the study of a commercial reactive dye in </w:t>
      </w:r>
      <w:r>
        <w:rPr>
          <w:i/>
          <w:iCs/>
        </w:rPr>
        <w:t xml:space="preserve">Astyanax </w:t>
      </w:r>
      <w:proofErr w:type="spellStart"/>
      <w:r>
        <w:rPr>
          <w:i/>
          <w:iCs/>
        </w:rPr>
        <w:t>lacustris</w:t>
      </w:r>
      <w:proofErr w:type="spellEnd"/>
      <w:r>
        <w:t>, reported totals were 27 micronuclei and 3513 cellular morphological changes across the experiment, with significance at all concentrations except mean DNA damage frequency at the lowest (da Silva et al., 2024). Micronucleus counts of that magnitude, distributed across four concentrations and replicated groups, rest on small absolute numbers, and the far larger count of morphological changes indicates that the two endpoints differ greatly in statistical power. Reviews reporting both as genotoxicity evidence without distinguishing their precision overstate the micronucleus signal.</w:t>
      </w:r>
    </w:p>
    <w:p w14:paraId="4158971B" w14:textId="77777777" w:rsidR="00706FFA" w:rsidRDefault="00000000" w:rsidP="00E35ED2">
      <w:pPr>
        <w:spacing w:before="100" w:beforeAutospacing="1" w:after="100" w:afterAutospacing="1"/>
        <w:jc w:val="both"/>
      </w:pPr>
      <w:r>
        <w:t xml:space="preserve">The relationship between genotoxicity and mutagenicity in this field is not straightforward. Assessment of Acid Black 210, a </w:t>
      </w:r>
      <w:proofErr w:type="spellStart"/>
      <w:r>
        <w:t>trisazo</w:t>
      </w:r>
      <w:proofErr w:type="spellEnd"/>
      <w:r>
        <w:t xml:space="preserve"> dye of toxicological concern because of its potential to generate carcinogenic aromatic amines, returned negative results in the comet assay, in a cladoceran acute test and in the zebrafish embryo acute toxicity test, with the sole positive result arising in one bacterial reverse mutation strain at low mutagenic potency; the authors concluded that the dye was safe from an ecotoxicological standpoint in the areas evaluated given the low concentrations found in tannery effluents (Rocha et al., 2017). By contrast, alizarin was mutagenic in a bacterial reverse mutation assay and genotoxic in invertebrate somatic and germ cells while also being acutely lethal to fish embryos at microgram-per-litre concentrations (Rodrigues et al., 2026). Structural class does not predict genotoxic outcome, and the presence of azo linkages capable of yielding aromatic amines is not sufficient to establish genotoxicity in fish.</w:t>
      </w:r>
    </w:p>
    <w:p w14:paraId="7EA9ABBD" w14:textId="77777777" w:rsidR="00706FFA" w:rsidRDefault="00000000" w:rsidP="00E35ED2">
      <w:pPr>
        <w:pStyle w:val="Heading2"/>
        <w:spacing w:before="100" w:beforeAutospacing="1" w:after="100" w:afterAutospacing="1"/>
      </w:pPr>
      <w:r>
        <w:rPr>
          <w:b/>
          <w:bCs/>
          <w:color w:val="000000"/>
          <w:sz w:val="24"/>
          <w:szCs w:val="24"/>
        </w:rPr>
        <w:t>5.2 The attribution problem in genotoxicity</w:t>
      </w:r>
    </w:p>
    <w:p w14:paraId="4E2E760F" w14:textId="77777777" w:rsidR="00706FFA" w:rsidRDefault="00000000" w:rsidP="00E35ED2">
      <w:pPr>
        <w:spacing w:before="100" w:beforeAutospacing="1" w:after="100" w:afterAutospacing="1"/>
        <w:jc w:val="both"/>
      </w:pPr>
      <w:r>
        <w:t>Where genotoxicity is demonstrated for an effluent, the causative agent is almost never identified. The strongest inferential evidence that azo cleavage products rather than parent dyes drive the response comes from treatment-train studies. In a Chinese textile factory and its associated sewage treatment plants, wastewater from bleaching, rinsing and soaping was highly acutely toxic and genotoxic to zebrafish; anoxic-</w:t>
      </w:r>
      <w:proofErr w:type="spellStart"/>
      <w:r>
        <w:t>oxic</w:t>
      </w:r>
      <w:proofErr w:type="spellEnd"/>
      <w:r>
        <w:t xml:space="preserve"> treatment reduced colour by 40 per cent and chemical oxygen demand by 84 per cent, bringing the effluent within the applicable discharge standard, yet toxicity and genotoxicity increased in the anaerobic tank and final effluent genotoxicity did not differ from that of the influent (Zhang et al., 2012). Increased hazard under anoxic conditions is what azo reduction to aromatic amines predicts, the reductive chemistry is well characterised in bacterial systems (Mahmood et al., 2016), and the mutagenicity of the amine products is established independently of any fish study (Chung, 2000).</w:t>
      </w:r>
    </w:p>
    <w:p w14:paraId="6773F5CA" w14:textId="77777777" w:rsidR="00706FFA" w:rsidRDefault="00000000" w:rsidP="00E35ED2">
      <w:pPr>
        <w:spacing w:before="100" w:beforeAutospacing="1" w:after="100" w:afterAutospacing="1"/>
        <w:jc w:val="both"/>
      </w:pPr>
      <w:r>
        <w:t xml:space="preserve">This inference remains indirect because the amines were not measured. Direct measurement of specific aromatic amines in a dye effluent alongside a fish genotoxicity response has not been reported in the studies located for this review, and the transformation-product hypothesis therefore rests on mechanistic plausibility and on the pattern of hazard change through treatment stages rather than on chemical confirmation. That the hypothesis is well supported chemically does not make it demonstrated ecotoxicologically, and the distinction matters because several other candidate </w:t>
      </w:r>
      <w:proofErr w:type="spellStart"/>
      <w:r>
        <w:t>genotoxicants</w:t>
      </w:r>
      <w:proofErr w:type="spellEnd"/>
      <w:r>
        <w:t xml:space="preserve"> occur in the same streams, including metals with </w:t>
      </w:r>
      <w:r>
        <w:lastRenderedPageBreak/>
        <w:t>established genotoxic activity in fish (Bakshi &amp; Panigrahi, 2018; Kamila et al., 2023) and residual oxidants from bleaching operations.</w:t>
      </w:r>
    </w:p>
    <w:p w14:paraId="66A92624" w14:textId="21CF11F0" w:rsidR="00706FFA" w:rsidRDefault="00000000" w:rsidP="00E35ED2">
      <w:pPr>
        <w:spacing w:before="100" w:beforeAutospacing="1" w:after="100" w:afterAutospacing="1"/>
        <w:jc w:val="both"/>
      </w:pPr>
      <w:r>
        <w:t>Low-dose behaviour compounds the problem. Low-concentration exposure to Disperse Red 1 in mice and zebrafish produced consequences below the doses used in conventional testing (Fernandes et al., 2024), and the natural anthraquinone emodin has been characterised as eco-genotoxic to aquatic organisms (</w:t>
      </w:r>
      <w:r w:rsidR="0000783F" w:rsidRPr="0000783F">
        <w:t xml:space="preserve">Oliveira </w:t>
      </w:r>
      <w:r>
        <w:t>de Farias et al., 2024), so naturally sourced colourants are not exempt. Taken with the alizarin findings, the field's concentration on high-concentration synthetic azo dye exposures has produced a distorted map of where genotoxic hazard lies.</w:t>
      </w:r>
    </w:p>
    <w:p w14:paraId="0229122B" w14:textId="77777777" w:rsidR="00706FFA" w:rsidRDefault="00000000" w:rsidP="00E35ED2">
      <w:pPr>
        <w:pStyle w:val="Heading1"/>
        <w:spacing w:before="100" w:beforeAutospacing="1" w:after="100" w:afterAutospacing="1"/>
      </w:pPr>
      <w:r>
        <w:rPr>
          <w:b/>
          <w:bCs/>
          <w:color w:val="000000"/>
          <w:sz w:val="26"/>
          <w:szCs w:val="26"/>
        </w:rPr>
        <w:t>6. Tissue-level and organismal responses</w:t>
      </w:r>
    </w:p>
    <w:p w14:paraId="7CAA9BFD" w14:textId="77777777" w:rsidR="00706FFA" w:rsidRDefault="00000000" w:rsidP="00E35ED2">
      <w:pPr>
        <w:pStyle w:val="Heading2"/>
        <w:spacing w:before="100" w:beforeAutospacing="1" w:after="100" w:afterAutospacing="1"/>
      </w:pPr>
      <w:r>
        <w:rPr>
          <w:b/>
          <w:bCs/>
          <w:color w:val="000000"/>
          <w:sz w:val="24"/>
          <w:szCs w:val="24"/>
        </w:rPr>
        <w:t>6.1 Gill, liver and kidney pathology</w:t>
      </w:r>
    </w:p>
    <w:p w14:paraId="382F24BC" w14:textId="77777777" w:rsidR="00706FFA" w:rsidRDefault="00000000" w:rsidP="00E35ED2">
      <w:pPr>
        <w:spacing w:before="100" w:beforeAutospacing="1" w:after="100" w:afterAutospacing="1"/>
        <w:jc w:val="both"/>
      </w:pPr>
      <w:r>
        <w:t xml:space="preserve">Histopathology provides the most spatially resolved evidence and converges strongly on target organ. Gill lesions reported across studies include lamellar fusion, curling and bending, epithelial uplifting, telangiectasia, aneurysm, oedema, necrosis and vacuolation, documented in </w:t>
      </w:r>
      <w:r>
        <w:rPr>
          <w:i/>
          <w:iCs/>
        </w:rPr>
        <w:t>Cyprinus carpio</w:t>
      </w:r>
      <w:r>
        <w:t xml:space="preserve"> exposed to malachite green with corroborating electron microscopy showing </w:t>
      </w:r>
      <w:proofErr w:type="spellStart"/>
      <w:r>
        <w:t>microridge</w:t>
      </w:r>
      <w:proofErr w:type="spellEnd"/>
      <w:r>
        <w:t xml:space="preserve"> aberration, pyknosis, mitochondrial swelling and </w:t>
      </w:r>
      <w:proofErr w:type="spellStart"/>
      <w:r>
        <w:t>cristolysis</w:t>
      </w:r>
      <w:proofErr w:type="spellEnd"/>
      <w:r>
        <w:t xml:space="preserve"> (Sinha &amp; Jindal, 2022), in </w:t>
      </w:r>
      <w:r>
        <w:rPr>
          <w:i/>
          <w:iCs/>
        </w:rPr>
        <w:t>Channa punctata</w:t>
      </w:r>
      <w:r>
        <w:t xml:space="preserve"> exposed to textile effluent and to 2-aminobenzene sulphonate (Sharma et al., 2022, 2024), in </w:t>
      </w:r>
      <w:proofErr w:type="spellStart"/>
      <w:r>
        <w:rPr>
          <w:i/>
          <w:iCs/>
        </w:rPr>
        <w:t>Labeo</w:t>
      </w:r>
      <w:proofErr w:type="spellEnd"/>
      <w:r>
        <w:rPr>
          <w:i/>
          <w:iCs/>
        </w:rPr>
        <w:t xml:space="preserve"> </w:t>
      </w:r>
      <w:proofErr w:type="spellStart"/>
      <w:r>
        <w:rPr>
          <w:i/>
          <w:iCs/>
        </w:rPr>
        <w:t>rohita</w:t>
      </w:r>
      <w:proofErr w:type="spellEnd"/>
      <w:r>
        <w:t xml:space="preserve"> exposed to methyl orange (</w:t>
      </w:r>
      <w:proofErr w:type="spellStart"/>
      <w:r>
        <w:t>Alaguprathana</w:t>
      </w:r>
      <w:proofErr w:type="spellEnd"/>
      <w:r>
        <w:t xml:space="preserve"> &amp; Poonkothai, 2021) and in </w:t>
      </w:r>
      <w:r>
        <w:rPr>
          <w:i/>
          <w:iCs/>
        </w:rPr>
        <w:t>Oreochromis niloticus</w:t>
      </w:r>
      <w:r>
        <w:t xml:space="preserve"> exposed to indigo dye (</w:t>
      </w:r>
      <w:proofErr w:type="spellStart"/>
      <w:r>
        <w:t>Ayebidun</w:t>
      </w:r>
      <w:proofErr w:type="spellEnd"/>
      <w:r>
        <w:t xml:space="preserve"> &amp; </w:t>
      </w:r>
      <w:proofErr w:type="spellStart"/>
      <w:r>
        <w:t>Ajibare</w:t>
      </w:r>
      <w:proofErr w:type="spellEnd"/>
      <w:r>
        <w:t xml:space="preserve">, 2023). Hepatic lesions include sinusoidal dilation, congestion, lymphocytic infiltration, vacuolation and necrosis (Naz &amp; </w:t>
      </w:r>
      <w:proofErr w:type="spellStart"/>
      <w:r>
        <w:t>Vaseem</w:t>
      </w:r>
      <w:proofErr w:type="spellEnd"/>
      <w:r>
        <w:t>, 2025; Sharma et al., 2022, 2024), and renal lesions include tubular degeneration, glomerular shrinkage and interstitial haematopoietic necrosis (Hussain et al., 2021).</w:t>
      </w:r>
    </w:p>
    <w:p w14:paraId="03A11964" w14:textId="77777777" w:rsidR="00706FFA" w:rsidRDefault="00000000" w:rsidP="00E35ED2">
      <w:pPr>
        <w:spacing w:before="100" w:beforeAutospacing="1" w:after="100" w:afterAutospacing="1"/>
        <w:jc w:val="both"/>
      </w:pPr>
      <w:r>
        <w:t xml:space="preserve">The convergence on gill and liver is mechanistically coherent. The gill is the first tissue in contact with waterborne solutes and combines a large surface area with a short diffusion distance, while the liver concentrates biotransformation capacity and receives portal drainage. Semi-quantitative scoring supports the pattern, with degree of tissue change reaching 50.33 in liver and 42.33 in gill under identical exposure to a dye intermediate in </w:t>
      </w:r>
      <w:r>
        <w:rPr>
          <w:i/>
          <w:iCs/>
        </w:rPr>
        <w:t>Channa punctata</w:t>
      </w:r>
      <w:r>
        <w:t xml:space="preserve">, indicating slightly greater hepatic involvement at that exposure (Sharma et al., 2022). Skin also responds, and the response has a defensive character: exposure of </w:t>
      </w:r>
      <w:proofErr w:type="spellStart"/>
      <w:r>
        <w:rPr>
          <w:i/>
          <w:iCs/>
        </w:rPr>
        <w:t>Labeo</w:t>
      </w:r>
      <w:proofErr w:type="spellEnd"/>
      <w:r>
        <w:rPr>
          <w:i/>
          <w:iCs/>
        </w:rPr>
        <w:t xml:space="preserve"> </w:t>
      </w:r>
      <w:proofErr w:type="spellStart"/>
      <w:r>
        <w:rPr>
          <w:i/>
          <w:iCs/>
        </w:rPr>
        <w:t>rohita</w:t>
      </w:r>
      <w:proofErr w:type="spellEnd"/>
      <w:r>
        <w:t xml:space="preserve"> to Eriochrome Black T produced epithelial hypertrophy, increased mucous goblet cell density and profuse mucous secretion, interpreted as protective, alongside degenerative change in club cells whose released contents were interpreted as plugging intercellular spaces against further entry (Srivastava et al., 2017). Adaptive and pathological changes therefore coexist in the same tissue, and scoring systems that aggregate all deviations from control conflate them.</w:t>
      </w:r>
    </w:p>
    <w:p w14:paraId="5657C3AE" w14:textId="77777777" w:rsidR="00706FFA" w:rsidRDefault="00000000" w:rsidP="00E35ED2">
      <w:pPr>
        <w:spacing w:before="100" w:beforeAutospacing="1" w:after="100" w:afterAutospacing="1"/>
        <w:jc w:val="both"/>
      </w:pPr>
      <w:r>
        <w:t>Two interpretive weaknesses recur. Semi-quantitative indices are usually applied without stated blinding of the assessor or inter-observer agreement statistics, in a domain where expectancy effects are well recognised. The lesions themselves are not specific to dye exposure, since lamellar fusion, epithelial uplifting and telangiectasia also follow acidity, alkalinity, elevated salinity, ammonia, suspended solids and metals, all present in dye effluents. Where whole effluent is the exposure and water quality covariates are unreported, the lesions cannot be attributed to the coloured component. In situ assessment confirms that biochemical and histological damage occurs downstream of complex discharges (Pérez et al., 2018) without isolating dye-specific contributions.</w:t>
      </w:r>
    </w:p>
    <w:p w14:paraId="7FFAC672" w14:textId="77777777" w:rsidR="00706FFA" w:rsidRDefault="00000000" w:rsidP="00E35ED2">
      <w:pPr>
        <w:pStyle w:val="Heading2"/>
        <w:spacing w:before="100" w:beforeAutospacing="1" w:after="100" w:afterAutospacing="1"/>
      </w:pPr>
      <w:r>
        <w:rPr>
          <w:b/>
          <w:bCs/>
          <w:color w:val="000000"/>
          <w:sz w:val="24"/>
          <w:szCs w:val="24"/>
        </w:rPr>
        <w:lastRenderedPageBreak/>
        <w:t>6.2 Haematological responses</w:t>
      </w:r>
    </w:p>
    <w:p w14:paraId="529BF441" w14:textId="77777777" w:rsidR="00706FFA" w:rsidRDefault="00000000" w:rsidP="00E35ED2">
      <w:pPr>
        <w:spacing w:before="100" w:beforeAutospacing="1" w:after="100" w:afterAutospacing="1"/>
        <w:jc w:val="both"/>
      </w:pPr>
      <w:r>
        <w:t xml:space="preserve">Haematological findings are internally inconsistent in a way that has not been examined. Reduced erythrocyte count, packed cell volume, haemoglobin and mean corpuscular haemoglobin concentration with increased leucocyte count occurred in </w:t>
      </w:r>
      <w:proofErr w:type="spellStart"/>
      <w:r>
        <w:rPr>
          <w:i/>
          <w:iCs/>
        </w:rPr>
        <w:t>Labeo</w:t>
      </w:r>
      <w:proofErr w:type="spellEnd"/>
      <w:r>
        <w:rPr>
          <w:i/>
          <w:iCs/>
        </w:rPr>
        <w:t xml:space="preserve"> </w:t>
      </w:r>
      <w:proofErr w:type="spellStart"/>
      <w:r>
        <w:rPr>
          <w:i/>
          <w:iCs/>
        </w:rPr>
        <w:t>rohita</w:t>
      </w:r>
      <w:proofErr w:type="spellEnd"/>
      <w:r>
        <w:t xml:space="preserve"> exposed to untreated methyl orange (</w:t>
      </w:r>
      <w:proofErr w:type="spellStart"/>
      <w:r>
        <w:t>Alaguprathana</w:t>
      </w:r>
      <w:proofErr w:type="spellEnd"/>
      <w:r>
        <w:t xml:space="preserve"> &amp; Poonkothai, 2021), and reduced indices with markedly elevated leucocyte count occurred in </w:t>
      </w:r>
      <w:r>
        <w:rPr>
          <w:i/>
          <w:iCs/>
        </w:rPr>
        <w:t>Channa punctata</w:t>
      </w:r>
      <w:r>
        <w:t xml:space="preserve"> exposed to untreated equalisation tank effluent relative to a microbially treated comparison (Sharma et al., 2024). In a companion study of dye-bath effluent in the same species, blood parameters were reported as increased and leucocyte count as reduced in the treated group relative to the untreated (Sharma et al., 2023). Haemoglobin, erythrocyte and leucocyte </w:t>
      </w:r>
      <w:proofErr w:type="gramStart"/>
      <w:r>
        <w:t>counts</w:t>
      </w:r>
      <w:proofErr w:type="gramEnd"/>
      <w:r>
        <w:t xml:space="preserve"> changed significantly in </w:t>
      </w:r>
      <w:r>
        <w:rPr>
          <w:i/>
          <w:iCs/>
        </w:rPr>
        <w:t>Cyprinus carpio</w:t>
      </w:r>
      <w:r>
        <w:t xml:space="preserve"> under acute malachite green exposure (</w:t>
      </w:r>
      <w:proofErr w:type="spellStart"/>
      <w:r>
        <w:t>Poopal</w:t>
      </w:r>
      <w:proofErr w:type="spellEnd"/>
      <w:r>
        <w:t xml:space="preserve"> et al., 2023), and erythrocyte count halved at concentrations comparable in sensitivity to lethality in </w:t>
      </w:r>
      <w:r>
        <w:rPr>
          <w:i/>
          <w:iCs/>
        </w:rPr>
        <w:t xml:space="preserve">Gambusia </w:t>
      </w:r>
      <w:proofErr w:type="spellStart"/>
      <w:r>
        <w:rPr>
          <w:i/>
          <w:iCs/>
        </w:rPr>
        <w:t>affinis</w:t>
      </w:r>
      <w:proofErr w:type="spellEnd"/>
      <w:r>
        <w:t xml:space="preserve"> (Sharma et al., 2009). Two of these reports are reconcilable rather than contradictory, since both compare untreated with microbially treated effluent and both place the more severe outcome in the untreated group; the apparent conflict arises from the direction in which each comparison is stated. What remains unresolved is whether reduced oxygen-carrying indices with concurrent leucocytosis represent a response specific to dye-bearing exposure, since haematological indices in fish are sensitive to handling, sampling interval and water quality as well as to the contaminant under test (Bojarski &amp; </w:t>
      </w:r>
      <w:proofErr w:type="spellStart"/>
      <w:r>
        <w:t>Witeska</w:t>
      </w:r>
      <w:proofErr w:type="spellEnd"/>
      <w:r>
        <w:t>, 2020).</w:t>
      </w:r>
    </w:p>
    <w:p w14:paraId="43F650BB" w14:textId="77777777" w:rsidR="00706FFA" w:rsidRDefault="00000000" w:rsidP="00E35ED2">
      <w:pPr>
        <w:pStyle w:val="Heading2"/>
        <w:spacing w:before="100" w:beforeAutospacing="1" w:after="100" w:afterAutospacing="1"/>
      </w:pPr>
      <w:r>
        <w:rPr>
          <w:b/>
          <w:bCs/>
          <w:color w:val="000000"/>
          <w:sz w:val="24"/>
          <w:szCs w:val="24"/>
        </w:rPr>
        <w:t>6.3 Behaviour, growth and energetics</w:t>
      </w:r>
    </w:p>
    <w:p w14:paraId="5B83FE15" w14:textId="77777777" w:rsidR="00706FFA" w:rsidRDefault="00000000" w:rsidP="00E35ED2">
      <w:pPr>
        <w:spacing w:before="100" w:beforeAutospacing="1" w:after="100" w:afterAutospacing="1"/>
        <w:jc w:val="both"/>
      </w:pPr>
      <w:r>
        <w:t xml:space="preserve">Behavioural observation is nearly universal in this literature and nearly always qualitative. Reported responses include air gulping, erratic and accelerated swimming, increased opercular activity, mucus exudation and surface dye deposition in </w:t>
      </w:r>
      <w:r>
        <w:rPr>
          <w:i/>
          <w:iCs/>
        </w:rPr>
        <w:t>Channa punctata</w:t>
      </w:r>
      <w:r>
        <w:t xml:space="preserve"> exposed to untreated dye-bath effluent (Sharma et al., 2023); irregular swimming, hyperventilation, rapid opercular movement and restlessness in </w:t>
      </w:r>
      <w:r>
        <w:rPr>
          <w:i/>
          <w:iCs/>
        </w:rPr>
        <w:t>Oreochromis niloticus</w:t>
      </w:r>
      <w:r>
        <w:t xml:space="preserve"> exposed to indigo dye (</w:t>
      </w:r>
      <w:proofErr w:type="spellStart"/>
      <w:r>
        <w:t>Ayebidun</w:t>
      </w:r>
      <w:proofErr w:type="spellEnd"/>
      <w:r>
        <w:t xml:space="preserve"> &amp; </w:t>
      </w:r>
      <w:proofErr w:type="spellStart"/>
      <w:r>
        <w:t>Ajibare</w:t>
      </w:r>
      <w:proofErr w:type="spellEnd"/>
      <w:r>
        <w:t xml:space="preserve">, 2023); abnormal behaviour in </w:t>
      </w:r>
      <w:proofErr w:type="spellStart"/>
      <w:r>
        <w:rPr>
          <w:i/>
          <w:iCs/>
        </w:rPr>
        <w:t>Labeo</w:t>
      </w:r>
      <w:proofErr w:type="spellEnd"/>
      <w:r>
        <w:rPr>
          <w:i/>
          <w:iCs/>
        </w:rPr>
        <w:t xml:space="preserve"> </w:t>
      </w:r>
      <w:proofErr w:type="spellStart"/>
      <w:r>
        <w:rPr>
          <w:i/>
          <w:iCs/>
        </w:rPr>
        <w:t>rohita</w:t>
      </w:r>
      <w:proofErr w:type="spellEnd"/>
      <w:r>
        <w:t xml:space="preserve"> exposed to untreated but not to algal-treated methyl orange solution (</w:t>
      </w:r>
      <w:proofErr w:type="spellStart"/>
      <w:r>
        <w:t>Alaguprathana</w:t>
      </w:r>
      <w:proofErr w:type="spellEnd"/>
      <w:r>
        <w:t xml:space="preserve"> &amp; Poonkothai, 2021); and inverse relationships between malachite green exposure and opercular and fin movement with escape behaviour from the exposure tank in </w:t>
      </w:r>
      <w:r>
        <w:rPr>
          <w:i/>
          <w:iCs/>
        </w:rPr>
        <w:t>Cyprinus carpio</w:t>
      </w:r>
      <w:r>
        <w:t xml:space="preserve"> (Sinha &amp; Jindal, 2020). Air gulping and increased opercular activity are consistent with respiratory compromise secondary to gill damage, and their co-occurrence with lamellar pathology across studies gives the association reasonable support.</w:t>
      </w:r>
    </w:p>
    <w:p w14:paraId="71B757E6" w14:textId="77777777" w:rsidR="00706FFA" w:rsidRDefault="00000000" w:rsidP="00E35ED2">
      <w:pPr>
        <w:spacing w:before="100" w:beforeAutospacing="1" w:after="100" w:afterAutospacing="1"/>
        <w:jc w:val="both"/>
      </w:pPr>
      <w:r>
        <w:t xml:space="preserve">Quantitative behavioural measurement is rare, and where it exists it links to physiology. Reduced swimming activity in zebrafish larvae exposed to Basic Red 51 and </w:t>
      </w:r>
      <w:proofErr w:type="spellStart"/>
      <w:r>
        <w:t>erythrostominone</w:t>
      </w:r>
      <w:proofErr w:type="spellEnd"/>
      <w:r>
        <w:t xml:space="preserve"> accompanied reduced energy consumption and, for the naphthoquinone dye only, reduced acetylcholinesterase activity from a lowest observed effect concentration of 15 mg L</w:t>
      </w:r>
      <w:r>
        <w:rPr>
          <w:vertAlign w:val="superscript"/>
        </w:rPr>
        <w:t>−1</w:t>
      </w:r>
      <w:r>
        <w:t xml:space="preserve"> (Abe et al., 2018). Neurotoxic mechanisms have since been examined for amaranth, reported to disrupt neuronal plasticity and promote alpha-synuclein aggregation (Gopi et al., 2025), aniline blue (Sudhakaran et al., 2025) and tartrazine, reported to induce mitochondria-mediated apoptosis during neurodevelopment (</w:t>
      </w:r>
      <w:proofErr w:type="spellStart"/>
      <w:r>
        <w:t>Haridevamuthu</w:t>
      </w:r>
      <w:proofErr w:type="spellEnd"/>
      <w:r>
        <w:t xml:space="preserve"> et al., 2024). This is the most mechanistically ambitious work in the field, and it shares a limitation: concentrations are selected for effect rather than environmental relevance, and the compounds are predominantly food-additive rather than textile-application dyes.</w:t>
      </w:r>
    </w:p>
    <w:p w14:paraId="21B3FE74" w14:textId="77777777" w:rsidR="00706FFA" w:rsidRDefault="00000000" w:rsidP="00E35ED2">
      <w:pPr>
        <w:spacing w:before="100" w:beforeAutospacing="1" w:after="100" w:afterAutospacing="1"/>
        <w:jc w:val="both"/>
      </w:pPr>
      <w:r>
        <w:t xml:space="preserve">Growth responses have been documented mainly under chronic effluent exposure. Textile treatment plant effluent inhibited growth, worsened condition factor and increased mortality in </w:t>
      </w:r>
      <w:r>
        <w:lastRenderedPageBreak/>
        <w:t xml:space="preserve">adult zebrafish over one and four months (Wang et al., 2021), and three-month exposure to dyeing wastewater treatment plant effluent produced higher mortality and fatness with lower body weight and length and a reduced hepatosomatic ratio (Li et al., 2023). Growth reduction accompanied renal pathology in </w:t>
      </w:r>
      <w:proofErr w:type="spellStart"/>
      <w:r>
        <w:rPr>
          <w:i/>
          <w:iCs/>
        </w:rPr>
        <w:t>Cirrhinus</w:t>
      </w:r>
      <w:proofErr w:type="spellEnd"/>
      <w:r>
        <w:rPr>
          <w:i/>
          <w:iCs/>
        </w:rPr>
        <w:t xml:space="preserve"> </w:t>
      </w:r>
      <w:proofErr w:type="spellStart"/>
      <w:r>
        <w:rPr>
          <w:i/>
          <w:iCs/>
        </w:rPr>
        <w:t>mrigala</w:t>
      </w:r>
      <w:proofErr w:type="spellEnd"/>
      <w:r>
        <w:t xml:space="preserve"> exposed to </w:t>
      </w:r>
      <w:proofErr w:type="spellStart"/>
      <w:r>
        <w:t>hematoxylin</w:t>
      </w:r>
      <w:proofErr w:type="spellEnd"/>
      <w:r>
        <w:t xml:space="preserve"> dye (Hussain et al., 2021), and exposure of three Indian major carp species to dilutions of mixed industrial wastewater reduced unsaturated and increased saturated fatty acid proportions dose-dependently (</w:t>
      </w:r>
      <w:proofErr w:type="spellStart"/>
      <w:r>
        <w:t>Zulqurnain</w:t>
      </w:r>
      <w:proofErr w:type="spellEnd"/>
      <w:r>
        <w:t xml:space="preserve"> et al., 2024). Growth and body composition endpoints are ecologically and economically interpretable in a way that enzyme activities are not, and their relative neglect in single-dye studies is a structural weakness.</w:t>
      </w:r>
    </w:p>
    <w:p w14:paraId="11357133" w14:textId="77777777" w:rsidR="00706FFA" w:rsidRDefault="00000000" w:rsidP="00E35ED2">
      <w:pPr>
        <w:pStyle w:val="Heading2"/>
        <w:spacing w:before="100" w:beforeAutospacing="1" w:after="100" w:afterAutospacing="1"/>
      </w:pPr>
      <w:r>
        <w:rPr>
          <w:b/>
          <w:bCs/>
          <w:color w:val="000000"/>
          <w:sz w:val="24"/>
          <w:szCs w:val="24"/>
        </w:rPr>
        <w:t>6.4 The neglected neuroendocrine axis</w:t>
      </w:r>
    </w:p>
    <w:p w14:paraId="4A4468D3" w14:textId="77777777" w:rsidR="00706FFA" w:rsidRDefault="00000000" w:rsidP="00E35ED2">
      <w:pPr>
        <w:spacing w:before="100" w:beforeAutospacing="1" w:after="100" w:afterAutospacing="1"/>
        <w:jc w:val="both"/>
      </w:pPr>
      <w:r>
        <w:t>The vertebrate stress response is canonically organised around the hypothalamic-pituitary-</w:t>
      </w:r>
      <w:proofErr w:type="spellStart"/>
      <w:r>
        <w:t>interrenal</w:t>
      </w:r>
      <w:proofErr w:type="spellEnd"/>
      <w:r>
        <w:t xml:space="preserve"> axis, culminating in cortisol secretion, with secondary consequences for glucose mobilisation, ion regulation, immune function and growth. In the literature examined for this review, cortisol was not measured. Studies use plasma or serum glucose instead, reporting reduced glucose and protein in </w:t>
      </w:r>
      <w:proofErr w:type="spellStart"/>
      <w:r>
        <w:rPr>
          <w:i/>
          <w:iCs/>
        </w:rPr>
        <w:t>Labeo</w:t>
      </w:r>
      <w:proofErr w:type="spellEnd"/>
      <w:r>
        <w:rPr>
          <w:i/>
          <w:iCs/>
        </w:rPr>
        <w:t xml:space="preserve"> </w:t>
      </w:r>
      <w:proofErr w:type="spellStart"/>
      <w:r>
        <w:rPr>
          <w:i/>
          <w:iCs/>
        </w:rPr>
        <w:t>rohita</w:t>
      </w:r>
      <w:proofErr w:type="spellEnd"/>
      <w:r>
        <w:t xml:space="preserve"> exposed to methyl orange (</w:t>
      </w:r>
      <w:proofErr w:type="spellStart"/>
      <w:r>
        <w:t>Alaguprathana</w:t>
      </w:r>
      <w:proofErr w:type="spellEnd"/>
      <w:r>
        <w:t xml:space="preserve"> &amp; Poonkothai, 2021), altered glucose, protein and cholesterol in </w:t>
      </w:r>
      <w:r>
        <w:rPr>
          <w:i/>
          <w:iCs/>
        </w:rPr>
        <w:t>Cyprinus carpio</w:t>
      </w:r>
      <w:r>
        <w:t xml:space="preserve"> exposed to malachite green (</w:t>
      </w:r>
      <w:proofErr w:type="spellStart"/>
      <w:r>
        <w:t>Poopal</w:t>
      </w:r>
      <w:proofErr w:type="spellEnd"/>
      <w:r>
        <w:t xml:space="preserve"> et al., 2023), and decreased glucose with elevated lipid in zebrafish exposed to Sudan Black B (Ramamurthy, Madesh, et al., 2024). Glucose is downstream and non-specific, its direction depending on the balance between catecholamine-driven glycogenolysis, cortisol-driven gluconeogenesis and consumption by stressed tissue, so inconsistent glucose results are uninformative about axis activation.</w:t>
      </w:r>
    </w:p>
    <w:p w14:paraId="3D764271" w14:textId="77777777" w:rsidR="00706FFA" w:rsidRDefault="00000000" w:rsidP="00E35ED2">
      <w:pPr>
        <w:pStyle w:val="Heading1"/>
        <w:spacing w:before="100" w:beforeAutospacing="1" w:after="100" w:afterAutospacing="1"/>
      </w:pPr>
      <w:r>
        <w:rPr>
          <w:b/>
          <w:bCs/>
          <w:color w:val="000000"/>
          <w:sz w:val="26"/>
          <w:szCs w:val="26"/>
        </w:rPr>
        <w:t>7. Reproductive, developmental and microbiome-mediated responses</w:t>
      </w:r>
    </w:p>
    <w:p w14:paraId="7CDFB014" w14:textId="77777777" w:rsidR="00706FFA" w:rsidRDefault="00000000" w:rsidP="00E35ED2">
      <w:pPr>
        <w:pStyle w:val="Heading2"/>
        <w:spacing w:before="100" w:beforeAutospacing="1" w:after="100" w:afterAutospacing="1"/>
      </w:pPr>
      <w:r>
        <w:rPr>
          <w:b/>
          <w:bCs/>
          <w:color w:val="000000"/>
          <w:sz w:val="24"/>
          <w:szCs w:val="24"/>
        </w:rPr>
        <w:t>7.1 Early life stages</w:t>
      </w:r>
    </w:p>
    <w:p w14:paraId="2C72F6F6" w14:textId="77777777" w:rsidR="00706FFA" w:rsidRDefault="00000000" w:rsidP="00E35ED2">
      <w:pPr>
        <w:spacing w:before="100" w:beforeAutospacing="1" w:after="100" w:afterAutospacing="1"/>
        <w:jc w:val="both"/>
      </w:pPr>
      <w:r>
        <w:t xml:space="preserve">Embryo-larval work dominates the recent literature and has generated the most detailed developmental characterisation. Teratogenic outcomes reported across dyes include egg coagulation, tail detachment and bend, yolk sac and pericardial oedema, curved body axis, microphthalmia, spinal curvature, reduced heart rate and impaired hatching, documented for natural and synthetic indigo (Porkodi et al., 2024), for </w:t>
      </w:r>
      <w:proofErr w:type="spellStart"/>
      <w:r>
        <w:t>Maxilon</w:t>
      </w:r>
      <w:proofErr w:type="spellEnd"/>
      <w:r>
        <w:t xml:space="preserve"> Blue 5G and Reactive Blue 203 (</w:t>
      </w:r>
      <w:proofErr w:type="spellStart"/>
      <w:r>
        <w:t>Köktürk</w:t>
      </w:r>
      <w:proofErr w:type="spellEnd"/>
      <w:r>
        <w:t xml:space="preserve"> et al., 2021), for Remazol Gelb-GR with reduced blood flow and survival (</w:t>
      </w:r>
      <w:proofErr w:type="spellStart"/>
      <w:r>
        <w:t>Köktürk</w:t>
      </w:r>
      <w:proofErr w:type="spellEnd"/>
      <w:r>
        <w:t xml:space="preserve">, 2022), for four food-additive azo dyes with complete </w:t>
      </w:r>
      <w:proofErr w:type="spellStart"/>
      <w:r>
        <w:t>embryolethality</w:t>
      </w:r>
      <w:proofErr w:type="spellEnd"/>
      <w:r>
        <w:t xml:space="preserve"> at 100 mM and teratogenic indices between 1.10 and 1.31 (Jiang et al., 2020), and for Congo red with yolk sac oedema, skeletal deformity and arrested hatching (Hernández-Zamora &amp; Martínez-Jerónimo, 2019a). Malachite green produces cardiovascular defects in developing zebrafish through blockade of vascular endothelial growth factor receptor 2 signalling, which is among the few molecularly specified mechanisms in the field (Jang et al., 2009).</w:t>
      </w:r>
    </w:p>
    <w:p w14:paraId="51791368" w14:textId="77777777" w:rsidR="00706FFA" w:rsidRDefault="00000000" w:rsidP="00E35ED2">
      <w:pPr>
        <w:spacing w:before="100" w:beforeAutospacing="1" w:after="100" w:afterAutospacing="1"/>
        <w:jc w:val="both"/>
      </w:pPr>
      <w:r>
        <w:t xml:space="preserve">Comparative sensitivity across trophic levels does not support the assumption that fish embryos are the sensitive receptor. For Congo red, the microalga </w:t>
      </w:r>
      <w:proofErr w:type="spellStart"/>
      <w:r>
        <w:rPr>
          <w:i/>
          <w:iCs/>
        </w:rPr>
        <w:t>Pseudokirchneriella</w:t>
      </w:r>
      <w:proofErr w:type="spellEnd"/>
      <w:r>
        <w:rPr>
          <w:i/>
          <w:iCs/>
        </w:rPr>
        <w:t xml:space="preserve"> </w:t>
      </w:r>
      <w:proofErr w:type="spellStart"/>
      <w:r>
        <w:rPr>
          <w:i/>
          <w:iCs/>
        </w:rPr>
        <w:t>subcapitata</w:t>
      </w:r>
      <w:proofErr w:type="spellEnd"/>
      <w:r>
        <w:t xml:space="preserve"> was the most sensitive species with a fifty per cent inhibitory concentration of 3.11 mg L</w:t>
      </w:r>
      <w:r>
        <w:rPr>
          <w:vertAlign w:val="superscript"/>
        </w:rPr>
        <w:t>−1</w:t>
      </w:r>
      <w:r>
        <w:t xml:space="preserve">, while the cladoceran </w:t>
      </w:r>
      <w:r>
        <w:rPr>
          <w:i/>
          <w:iCs/>
        </w:rPr>
        <w:t>Daphnia magna</w:t>
      </w:r>
      <w:r>
        <w:t xml:space="preserve"> tolerated 322.9 mg L</w:t>
      </w:r>
      <w:r>
        <w:rPr>
          <w:vertAlign w:val="superscript"/>
        </w:rPr>
        <w:t>−1</w:t>
      </w:r>
      <w:r>
        <w:t xml:space="preserve"> and </w:t>
      </w:r>
      <w:proofErr w:type="spellStart"/>
      <w:r>
        <w:rPr>
          <w:i/>
          <w:iCs/>
        </w:rPr>
        <w:t>Ceriodaphnia</w:t>
      </w:r>
      <w:proofErr w:type="spellEnd"/>
      <w:r>
        <w:rPr>
          <w:i/>
          <w:iCs/>
        </w:rPr>
        <w:t xml:space="preserve"> </w:t>
      </w:r>
      <w:proofErr w:type="spellStart"/>
      <w:r>
        <w:rPr>
          <w:i/>
          <w:iCs/>
        </w:rPr>
        <w:t>rigaudi</w:t>
      </w:r>
      <w:proofErr w:type="spellEnd"/>
      <w:r>
        <w:t xml:space="preserve"> 62.92 mg L</w:t>
      </w:r>
      <w:r>
        <w:rPr>
          <w:vertAlign w:val="superscript"/>
        </w:rPr>
        <w:t>−1</w:t>
      </w:r>
      <w:r>
        <w:t>; in zebrafish embryos the only lethal effect observed was absence of heartbeat (Hernández-Zamora &amp; Martínez-Jerónimo, 2019a). Parallel results were obtained for Direct Blue 15 across the same battery (Hernández-Zamora &amp; Martínez-Jerónimo, 2019b). For alizarin, the fish embryo median lethal concentration of 45.8 µg L</w:t>
      </w:r>
      <w:r>
        <w:rPr>
          <w:vertAlign w:val="superscript"/>
        </w:rPr>
        <w:t>−1</w:t>
      </w:r>
      <w:r>
        <w:t xml:space="preserve"> was lower than the crustacean effect concentrations, reversing the pattern (Rodrigues et al., 2026). Sensitivity ranking is dye-</w:t>
      </w:r>
      <w:r>
        <w:lastRenderedPageBreak/>
        <w:t>specific, and risk assessments based on fish alone or on invertebrates alone will misestimate hazard in opposite directions depending on the compound.</w:t>
      </w:r>
    </w:p>
    <w:p w14:paraId="2CEA6708" w14:textId="77777777" w:rsidR="00706FFA" w:rsidRDefault="00000000" w:rsidP="00E35ED2">
      <w:pPr>
        <w:spacing w:before="100" w:beforeAutospacing="1" w:after="100" w:afterAutospacing="1"/>
        <w:jc w:val="both"/>
      </w:pPr>
      <w:r>
        <w:t xml:space="preserve">The dominance of the </w:t>
      </w:r>
      <w:proofErr w:type="gramStart"/>
      <w:r>
        <w:t>96 h</w:t>
      </w:r>
      <w:proofErr w:type="gramEnd"/>
      <w:r>
        <w:t xml:space="preserve"> embryo design carries the limitation identified earlier: delayed larval mortality four to ten days after hatch would be invisible in most published designs (Parrott et al., 2016), and embryo assays depend on chorion permeability and on the limited biotransformation capacity of early embryos. Azo dyes requiring reductive cleavage to express toxicity are the class most likely to be underestimated. Biochemical endpoints in early life stages nevertheless respond at concentrations described as environmentally realistic for three red disperse dyes, so the design retains value as an early-warning screen even where its lethality estimates are conservative (Meireles et al., 2018).</w:t>
      </w:r>
    </w:p>
    <w:p w14:paraId="377F671D" w14:textId="77777777" w:rsidR="00706FFA" w:rsidRDefault="00000000" w:rsidP="00E35ED2">
      <w:pPr>
        <w:pStyle w:val="Heading2"/>
        <w:spacing w:before="100" w:beforeAutospacing="1" w:after="100" w:afterAutospacing="1"/>
      </w:pPr>
      <w:r>
        <w:rPr>
          <w:b/>
          <w:bCs/>
          <w:color w:val="000000"/>
          <w:sz w:val="24"/>
          <w:szCs w:val="24"/>
        </w:rPr>
        <w:t>7.2 Endocrine and reproductive endpoints</w:t>
      </w:r>
    </w:p>
    <w:p w14:paraId="2DA388C5" w14:textId="77777777" w:rsidR="00706FFA" w:rsidRDefault="00000000" w:rsidP="00E35ED2">
      <w:pPr>
        <w:spacing w:before="100" w:beforeAutospacing="1" w:after="100" w:afterAutospacing="1"/>
        <w:jc w:val="both"/>
      </w:pPr>
      <w:r>
        <w:t xml:space="preserve">Reproductive evidence is sparse but consistent in direction. Exposure of </w:t>
      </w:r>
      <w:r>
        <w:rPr>
          <w:i/>
          <w:iCs/>
        </w:rPr>
        <w:t>Danio rerio</w:t>
      </w:r>
      <w:r>
        <w:t xml:space="preserve"> to effluent from a textile factory and from two sewage treatment plants receiving industrial discharge in Zimbabwe produced significantly elevated vitellogenin in males exposed to one sewage treatment plant effluent, and textile effluent produced oocyte atresia in females and an increased proportion of spermatogonia in males, with textile effluent at 5 per cent by volume reducing fertilisation success in breeding groups (Teta &amp; Naik, 2017). Reduced fertilisation and hatching rates with embryonic deformity and delayed yolk resorption followed tartrazine exposure in </w:t>
      </w:r>
      <w:r>
        <w:rPr>
          <w:i/>
          <w:iCs/>
        </w:rPr>
        <w:t xml:space="preserve">Carassius </w:t>
      </w:r>
      <w:proofErr w:type="spellStart"/>
      <w:r>
        <w:rPr>
          <w:i/>
          <w:iCs/>
        </w:rPr>
        <w:t>carassius</w:t>
      </w:r>
      <w:proofErr w:type="spellEnd"/>
      <w:r>
        <w:t xml:space="preserve"> (Wu, </w:t>
      </w:r>
      <w:proofErr w:type="spellStart"/>
      <w:r>
        <w:t>Lv</w:t>
      </w:r>
      <w:proofErr w:type="spellEnd"/>
      <w:r>
        <w:t>, et al., 2021). Reproductive impairment therefore occurs at effluent dilutions well within the range encountered downstream of discharges, and it occurs through both gametogenic and fertilisation-competence pathways.</w:t>
      </w:r>
    </w:p>
    <w:p w14:paraId="75C2C11C" w14:textId="77777777" w:rsidR="00706FFA" w:rsidRDefault="00000000" w:rsidP="00E35ED2">
      <w:pPr>
        <w:spacing w:before="100" w:beforeAutospacing="1" w:after="100" w:afterAutospacing="1"/>
        <w:jc w:val="both"/>
      </w:pPr>
      <w:r>
        <w:t>Attribution again limits interpretation. 4-Nonylphenol and bisphenol A were among the constituents associated with whole-effluent toxicity in the Guangxi study (Peng et al., 2025), and both are established oestrogen receptor agonists in fish, so vitellogenin induction in effluent-exposed fish is more parsimoniously attributed to them than to dyes. No study located for this review establishes endocrine activity for a dye molecule itself in fish, and general statements that azo dyes cause endocrine disruption in aquatic organisms should be treated as extrapolation from effluent studies. The absence of the life-cycle fish testing identified as necessary a decade ago (</w:t>
      </w:r>
      <w:proofErr w:type="spellStart"/>
      <w:r>
        <w:t>Vacchi</w:t>
      </w:r>
      <w:proofErr w:type="spellEnd"/>
      <w:r>
        <w:t xml:space="preserve"> et al., 2016) remains the principal barrier.</w:t>
      </w:r>
    </w:p>
    <w:p w14:paraId="4B773D51" w14:textId="77777777" w:rsidR="00706FFA" w:rsidRDefault="00000000" w:rsidP="00E35ED2">
      <w:pPr>
        <w:pStyle w:val="Heading2"/>
        <w:spacing w:before="100" w:beforeAutospacing="1" w:after="100" w:afterAutospacing="1"/>
      </w:pPr>
      <w:r>
        <w:rPr>
          <w:b/>
          <w:bCs/>
          <w:color w:val="000000"/>
          <w:sz w:val="24"/>
          <w:szCs w:val="24"/>
        </w:rPr>
        <w:t>7.3 Gut microbiota and host-microbe interaction</w:t>
      </w:r>
    </w:p>
    <w:p w14:paraId="387826DD" w14:textId="77777777" w:rsidR="00706FFA" w:rsidRDefault="00000000" w:rsidP="00E35ED2">
      <w:pPr>
        <w:spacing w:before="100" w:beforeAutospacing="1" w:after="100" w:afterAutospacing="1"/>
        <w:jc w:val="both"/>
      </w:pPr>
      <w:r>
        <w:t xml:space="preserve">Microbiome work is the newest addition to this field and has produced findings that complicate rather than confirm the prevailing account. Chronic exposure of adult zebrafish to textile treatment plant effluent altered intestinal microbial community composition and reduced community diversity, with slight changes in the relative abundance of </w:t>
      </w:r>
      <w:r>
        <w:rPr>
          <w:i/>
          <w:iCs/>
        </w:rPr>
        <w:t>Lactobacillus</w:t>
      </w:r>
      <w:r>
        <w:t xml:space="preserve">, </w:t>
      </w:r>
      <w:proofErr w:type="spellStart"/>
      <w:r>
        <w:rPr>
          <w:i/>
          <w:iCs/>
        </w:rPr>
        <w:t>Akkermansia</w:t>
      </w:r>
      <w:proofErr w:type="spellEnd"/>
      <w:r>
        <w:t xml:space="preserve"> and </w:t>
      </w:r>
      <w:r>
        <w:rPr>
          <w:i/>
          <w:iCs/>
        </w:rPr>
        <w:t>Lactococcus</w:t>
      </w:r>
      <w:r>
        <w:t xml:space="preserve"> and increases in opportunistic pathogens (Wang et al., 2021), and a companion microcosm study confirmed dysbiosis under long-term exposure (Wang et al., 2023). Three-month exposure to dyeing wastewater treatment plant effluent shifted phylum-level composition and increased </w:t>
      </w:r>
      <w:r>
        <w:rPr>
          <w:i/>
          <w:iCs/>
        </w:rPr>
        <w:t>Lactobacillus</w:t>
      </w:r>
      <w:r>
        <w:t xml:space="preserve"> while reducing </w:t>
      </w:r>
      <w:proofErr w:type="spellStart"/>
      <w:r>
        <w:rPr>
          <w:i/>
          <w:iCs/>
        </w:rPr>
        <w:t>Akkermansia</w:t>
      </w:r>
      <w:proofErr w:type="spellEnd"/>
      <w:r>
        <w:t xml:space="preserve">, </w:t>
      </w:r>
      <w:r>
        <w:rPr>
          <w:i/>
          <w:iCs/>
        </w:rPr>
        <w:t>Prevotella</w:t>
      </w:r>
      <w:r>
        <w:t xml:space="preserve">, </w:t>
      </w:r>
      <w:r>
        <w:rPr>
          <w:i/>
          <w:iCs/>
        </w:rPr>
        <w:t>Bacteroides</w:t>
      </w:r>
      <w:r>
        <w:t xml:space="preserve"> and </w:t>
      </w:r>
      <w:proofErr w:type="spellStart"/>
      <w:r>
        <w:rPr>
          <w:i/>
          <w:iCs/>
        </w:rPr>
        <w:t>Sutterella</w:t>
      </w:r>
      <w:proofErr w:type="spellEnd"/>
      <w:r>
        <w:t xml:space="preserve"> (Li et al., 2023). Tartrazine consumption reduced short-chain fatty acid producing genera and probiotic genera while increasing </w:t>
      </w:r>
      <w:proofErr w:type="spellStart"/>
      <w:r>
        <w:rPr>
          <w:i/>
          <w:iCs/>
        </w:rPr>
        <w:t>Bdellovibrio</w:t>
      </w:r>
      <w:proofErr w:type="spellEnd"/>
      <w:r>
        <w:t xml:space="preserve"> and </w:t>
      </w:r>
      <w:r>
        <w:rPr>
          <w:i/>
          <w:iCs/>
        </w:rPr>
        <w:t>Shewanella</w:t>
      </w:r>
      <w:r>
        <w:t xml:space="preserve"> in </w:t>
      </w:r>
      <w:r>
        <w:rPr>
          <w:i/>
          <w:iCs/>
        </w:rPr>
        <w:t>Carassius auratus</w:t>
      </w:r>
      <w:r>
        <w:t xml:space="preserve"> (Wu, Xu, et al., 2021).</w:t>
      </w:r>
    </w:p>
    <w:p w14:paraId="7477CF56" w14:textId="77777777" w:rsidR="00706FFA" w:rsidRDefault="00000000" w:rsidP="00E35ED2">
      <w:pPr>
        <w:spacing w:before="100" w:beforeAutospacing="1" w:after="100" w:afterAutospacing="1"/>
        <w:jc w:val="both"/>
      </w:pPr>
      <w:r>
        <w:t xml:space="preserve">Direction is inconsistent even for the same genus, with </w:t>
      </w:r>
      <w:r>
        <w:rPr>
          <w:i/>
          <w:iCs/>
        </w:rPr>
        <w:t>Lactobacillus</w:t>
      </w:r>
      <w:r>
        <w:t xml:space="preserve"> reported as slightly changed in one effluent study and significantly increased in another (Li et al., 2023; Wang et </w:t>
      </w:r>
      <w:r>
        <w:lastRenderedPageBreak/>
        <w:t xml:space="preserve">al., 2021). The most analytically interesting result concerns species divergence: identical Eriochrome Black T exposure suppressed or eliminated commensals including </w:t>
      </w:r>
      <w:r>
        <w:rPr>
          <w:i/>
          <w:iCs/>
        </w:rPr>
        <w:t>Bacillus</w:t>
      </w:r>
      <w:r>
        <w:t xml:space="preserve"> and </w:t>
      </w:r>
      <w:proofErr w:type="spellStart"/>
      <w:r>
        <w:rPr>
          <w:i/>
          <w:iCs/>
        </w:rPr>
        <w:t>Cetobacterium</w:t>
      </w:r>
      <w:proofErr w:type="spellEnd"/>
      <w:r>
        <w:t xml:space="preserve"> in </w:t>
      </w:r>
      <w:r>
        <w:rPr>
          <w:i/>
          <w:iCs/>
        </w:rPr>
        <w:t xml:space="preserve">Clarias </w:t>
      </w:r>
      <w:proofErr w:type="spellStart"/>
      <w:r>
        <w:rPr>
          <w:i/>
          <w:iCs/>
        </w:rPr>
        <w:t>batrachus</w:t>
      </w:r>
      <w:proofErr w:type="spellEnd"/>
      <w:r>
        <w:t xml:space="preserve"> while promoting </w:t>
      </w:r>
      <w:r>
        <w:rPr>
          <w:i/>
          <w:iCs/>
        </w:rPr>
        <w:t>Bacillus</w:t>
      </w:r>
      <w:r>
        <w:t xml:space="preserve">, </w:t>
      </w:r>
      <w:r>
        <w:rPr>
          <w:i/>
          <w:iCs/>
        </w:rPr>
        <w:t>Bacteroides</w:t>
      </w:r>
      <w:r>
        <w:t xml:space="preserve">, </w:t>
      </w:r>
      <w:r>
        <w:rPr>
          <w:i/>
          <w:iCs/>
        </w:rPr>
        <w:t>Prevotella</w:t>
      </w:r>
      <w:r>
        <w:t xml:space="preserve"> and </w:t>
      </w:r>
      <w:proofErr w:type="spellStart"/>
      <w:r>
        <w:rPr>
          <w:i/>
          <w:iCs/>
        </w:rPr>
        <w:t>Megasphaera</w:t>
      </w:r>
      <w:proofErr w:type="spellEnd"/>
      <w:r>
        <w:t xml:space="preserve"> in </w:t>
      </w:r>
      <w:proofErr w:type="spellStart"/>
      <w:r>
        <w:rPr>
          <w:i/>
          <w:iCs/>
        </w:rPr>
        <w:t>Heteropneustes</w:t>
      </w:r>
      <w:proofErr w:type="spellEnd"/>
      <w:r>
        <w:rPr>
          <w:i/>
          <w:iCs/>
        </w:rPr>
        <w:t xml:space="preserve"> </w:t>
      </w:r>
      <w:proofErr w:type="spellStart"/>
      <w:r>
        <w:rPr>
          <w:i/>
          <w:iCs/>
        </w:rPr>
        <w:t>fossilis</w:t>
      </w:r>
      <w:proofErr w:type="spellEnd"/>
      <w:r>
        <w:t xml:space="preserve">, with concurrent alteration of gut morphometry and of lipase, trypsin and amylase activity in both (Naz &amp; </w:t>
      </w:r>
      <w:proofErr w:type="spellStart"/>
      <w:r>
        <w:t>Vaseem</w:t>
      </w:r>
      <w:proofErr w:type="spellEnd"/>
      <w:r>
        <w:t>, 2024). Two air-breathing catfishes from the same habitat responded in opposite directions to one exposure. Because azo reduction is bacterially mediated, the microbiome is simultaneously a target of dye exposure and a determinant of internal aromatic amine dose, and species differences in community composition provide a mechanistic basis for species differences in susceptibility. The hypothesis is testable and has not been tested.</w:t>
      </w:r>
    </w:p>
    <w:p w14:paraId="335A1B64" w14:textId="77777777" w:rsidR="00706FFA" w:rsidRDefault="00000000" w:rsidP="00E35ED2">
      <w:pPr>
        <w:pStyle w:val="Heading1"/>
        <w:spacing w:before="100" w:beforeAutospacing="1" w:after="100" w:afterAutospacing="1"/>
      </w:pPr>
      <w:r>
        <w:rPr>
          <w:b/>
          <w:bCs/>
          <w:color w:val="000000"/>
          <w:sz w:val="26"/>
          <w:szCs w:val="26"/>
        </w:rPr>
        <w:t>8. Recovery, adaptation and the treatment paradox</w:t>
      </w:r>
    </w:p>
    <w:p w14:paraId="22D99CA1" w14:textId="77777777" w:rsidR="00706FFA" w:rsidRDefault="00000000" w:rsidP="00E35ED2">
      <w:pPr>
        <w:pStyle w:val="Heading2"/>
        <w:spacing w:before="100" w:beforeAutospacing="1" w:after="100" w:afterAutospacing="1"/>
      </w:pPr>
      <w:r>
        <w:rPr>
          <w:b/>
          <w:bCs/>
          <w:color w:val="000000"/>
          <w:sz w:val="24"/>
          <w:szCs w:val="24"/>
        </w:rPr>
        <w:t>8.1 Reversibility and persistence</w:t>
      </w:r>
    </w:p>
    <w:p w14:paraId="115A830A" w14:textId="77777777" w:rsidR="00706FFA" w:rsidRDefault="00000000" w:rsidP="00E35ED2">
      <w:pPr>
        <w:spacing w:before="100" w:beforeAutospacing="1" w:after="100" w:afterAutospacing="1"/>
        <w:jc w:val="both"/>
      </w:pPr>
      <w:r>
        <w:t xml:space="preserve">Recovery has been assessed in a minority of studies, and the results diverge in a way that carries direct management implications. Complete or near-complete recovery was documented in </w:t>
      </w:r>
      <w:proofErr w:type="spellStart"/>
      <w:r>
        <w:rPr>
          <w:i/>
          <w:iCs/>
        </w:rPr>
        <w:t>Labeo</w:t>
      </w:r>
      <w:proofErr w:type="spellEnd"/>
      <w:r>
        <w:rPr>
          <w:i/>
          <w:iCs/>
        </w:rPr>
        <w:t xml:space="preserve"> </w:t>
      </w:r>
      <w:proofErr w:type="spellStart"/>
      <w:r>
        <w:rPr>
          <w:i/>
          <w:iCs/>
        </w:rPr>
        <w:t>rohita</w:t>
      </w:r>
      <w:proofErr w:type="spellEnd"/>
      <w:r>
        <w:t xml:space="preserve"> transferred to clean water after four days of exposure to Eriochrome Black T, with skin mucous goblet cell density and area and enzyme activities returning to control values within eight days (Srivastava et al., 2017), and with succinate dehydrogenase, alkaline phosphatase and lactate dehydrogenase in gill returning to control levels over the same interval, although acid phosphatase, catalase, peroxidase and carboxylesterase remained significantly depressed (Srivastava et al., 2018). Recovery from oxidative stress and DNA damage induced by naphthalene-2-sulphonate was evident in </w:t>
      </w:r>
      <w:r>
        <w:rPr>
          <w:i/>
          <w:iCs/>
        </w:rPr>
        <w:t>Channa punctata</w:t>
      </w:r>
      <w:r>
        <w:t xml:space="preserve"> thirty days after exposure ceased (Mehra &amp; Chadha, 2020, 2021). Red tilapia exposed to malachite green at 0.053 mg L</w:t>
      </w:r>
      <w:r>
        <w:rPr>
          <w:vertAlign w:val="superscript"/>
        </w:rPr>
        <w:t>−1</w:t>
      </w:r>
      <w:r>
        <w:t xml:space="preserve"> for sixty days were interpreted as having adapted to the stress, with muscle accumulating 82.68 µg kg</w:t>
      </w:r>
      <w:r>
        <w:rPr>
          <w:vertAlign w:val="superscript"/>
        </w:rPr>
        <w:t>−1</w:t>
      </w:r>
      <w:r>
        <w:t xml:space="preserve"> of the sum of malachite green and its </w:t>
      </w:r>
      <w:proofErr w:type="spellStart"/>
      <w:r>
        <w:t>leuco</w:t>
      </w:r>
      <w:proofErr w:type="spellEnd"/>
      <w:r>
        <w:t xml:space="preserve"> metabolite (Kwan et al., 2019).</w:t>
      </w:r>
    </w:p>
    <w:p w14:paraId="5861D319" w14:textId="77777777" w:rsidR="00706FFA" w:rsidRDefault="00000000" w:rsidP="00E35ED2">
      <w:pPr>
        <w:spacing w:before="100" w:beforeAutospacing="1" w:after="100" w:afterAutospacing="1"/>
        <w:jc w:val="both"/>
      </w:pPr>
      <w:r>
        <w:t xml:space="preserve">Persistence was documented under comparable designs. </w:t>
      </w:r>
      <w:proofErr w:type="spellStart"/>
      <w:r>
        <w:rPr>
          <w:i/>
          <w:iCs/>
        </w:rPr>
        <w:t>Labeo</w:t>
      </w:r>
      <w:proofErr w:type="spellEnd"/>
      <w:r>
        <w:rPr>
          <w:i/>
          <w:iCs/>
        </w:rPr>
        <w:t xml:space="preserve"> </w:t>
      </w:r>
      <w:proofErr w:type="spellStart"/>
      <w:r>
        <w:rPr>
          <w:i/>
          <w:iCs/>
        </w:rPr>
        <w:t>rohita</w:t>
      </w:r>
      <w:proofErr w:type="spellEnd"/>
      <w:r>
        <w:t xml:space="preserve"> exposed to Acid Black for 96 h had not recovered ninety days later, with the authors noting that even the lowest concentration tested produced significant effects that were sustained (Kaur &amp; Kaur, 2015). Subchronic exposure of the same species to the same dye for 150 days followed by ninety days of recovery produced continued dose- and duration-dependent enzyme changes during the recovery phase, with a consistent and marked decline in superoxide dismutase throughout (Singh et al., 2026). Reversible and persistent outcomes have thus been reported for the same species under exposures differing in dye identity, duration and concentration, and the determinants of reversibility have not been isolated. Exposure duration is the most plausible discriminating variable, since the studies reporting recovery used exposures of four days to sixty days while the studies reporting persistence used a dye with a low median lethal concentration or an exposure of 150 days, but this remains a hypothesis rather than a finding.</w:t>
      </w:r>
    </w:p>
    <w:p w14:paraId="3BEC5653" w14:textId="77777777" w:rsidR="00706FFA" w:rsidRDefault="00000000" w:rsidP="00E35ED2">
      <w:pPr>
        <w:pStyle w:val="Heading2"/>
        <w:spacing w:before="100" w:beforeAutospacing="1" w:after="100" w:afterAutospacing="1"/>
      </w:pPr>
      <w:r>
        <w:rPr>
          <w:b/>
          <w:bCs/>
          <w:color w:val="000000"/>
          <w:sz w:val="24"/>
          <w:szCs w:val="24"/>
        </w:rPr>
        <w:t>8.2 Does treatment remove biological hazard?</w:t>
      </w:r>
    </w:p>
    <w:p w14:paraId="74B88BBC" w14:textId="77777777" w:rsidR="00706FFA" w:rsidRDefault="00000000" w:rsidP="00E35ED2">
      <w:pPr>
        <w:spacing w:before="100" w:beforeAutospacing="1" w:after="100" w:afterAutospacing="1"/>
        <w:jc w:val="both"/>
      </w:pPr>
      <w:r>
        <w:t>The evidence that treatment reduces toxicity is consistent; the evidence that it removes toxicity is not. Reduction has been demonstrated across chemical, biological and nature-based processes: Fenton-coagulation eliminated detectable acute toxicity and genotoxicity to zebrafish within four hours while bringing chemical oxygen demand below 50 mg L</w:t>
      </w:r>
      <w:r>
        <w:rPr>
          <w:vertAlign w:val="superscript"/>
        </w:rPr>
        <w:t>−1</w:t>
      </w:r>
      <w:r>
        <w:t xml:space="preserve"> (Zhang et al., 2014); chitosan-based remediation removed approximately 80 per cent of dyes with a concurrent fall in metal content and reduced </w:t>
      </w:r>
      <w:proofErr w:type="spellStart"/>
      <w:r>
        <w:t>thiobarbituric</w:t>
      </w:r>
      <w:proofErr w:type="spellEnd"/>
      <w:r>
        <w:t xml:space="preserve"> acid reactive substances by 29.9 per cent, whereas conventional biological and physicochemical treatment increased metal content </w:t>
      </w:r>
      <w:r>
        <w:lastRenderedPageBreak/>
        <w:t>(</w:t>
      </w:r>
      <w:proofErr w:type="spellStart"/>
      <w:r>
        <w:t>Grinevicius</w:t>
      </w:r>
      <w:proofErr w:type="spellEnd"/>
      <w:r>
        <w:t xml:space="preserve"> et al., 2009); microbial treatment of dye-bath and equalisation tank effluent produced less severe outcomes in </w:t>
      </w:r>
      <w:r>
        <w:rPr>
          <w:i/>
          <w:iCs/>
        </w:rPr>
        <w:t>Channa punctata</w:t>
      </w:r>
      <w:r>
        <w:t xml:space="preserve"> across all measured domains (Sharma et al., 2023, 2024); algal treatment of methyl orange abolished the responses observed with untreated dye in </w:t>
      </w:r>
      <w:proofErr w:type="spellStart"/>
      <w:r>
        <w:rPr>
          <w:i/>
          <w:iCs/>
        </w:rPr>
        <w:t>Labeo</w:t>
      </w:r>
      <w:proofErr w:type="spellEnd"/>
      <w:r>
        <w:rPr>
          <w:i/>
          <w:iCs/>
        </w:rPr>
        <w:t xml:space="preserve"> </w:t>
      </w:r>
      <w:proofErr w:type="spellStart"/>
      <w:r>
        <w:rPr>
          <w:i/>
          <w:iCs/>
        </w:rPr>
        <w:t>rohita</w:t>
      </w:r>
      <w:proofErr w:type="spellEnd"/>
      <w:r>
        <w:t xml:space="preserve"> (</w:t>
      </w:r>
      <w:proofErr w:type="spellStart"/>
      <w:r>
        <w:t>Alaguprathana</w:t>
      </w:r>
      <w:proofErr w:type="spellEnd"/>
      <w:r>
        <w:t xml:space="preserve"> &amp; Poonkothai, 2021); plant-bacterial treatment reduced oxidative stress and gill damage in </w:t>
      </w:r>
      <w:proofErr w:type="spellStart"/>
      <w:r>
        <w:rPr>
          <w:i/>
          <w:iCs/>
        </w:rPr>
        <w:t>Etheostoma</w:t>
      </w:r>
      <w:proofErr w:type="spellEnd"/>
      <w:r>
        <w:rPr>
          <w:i/>
          <w:iCs/>
        </w:rPr>
        <w:t xml:space="preserve"> </w:t>
      </w:r>
      <w:proofErr w:type="spellStart"/>
      <w:r>
        <w:rPr>
          <w:i/>
          <w:iCs/>
        </w:rPr>
        <w:t>olmstedi</w:t>
      </w:r>
      <w:proofErr w:type="spellEnd"/>
      <w:r>
        <w:t xml:space="preserve">, which died in untreated effluent (Watharkar et al., 2015); and vertical-flow constructed wetlands reduced cyto- and genotoxicity in </w:t>
      </w:r>
      <w:r>
        <w:rPr>
          <w:i/>
          <w:iCs/>
        </w:rPr>
        <w:t xml:space="preserve">Astyanax </w:t>
      </w:r>
      <w:proofErr w:type="spellStart"/>
      <w:r>
        <w:rPr>
          <w:i/>
          <w:iCs/>
        </w:rPr>
        <w:t>lacustris</w:t>
      </w:r>
      <w:proofErr w:type="spellEnd"/>
      <w:r>
        <w:t xml:space="preserve"> while hairy-root remediation halved zebrafish embryo mortality (da Silva et al., 2024; </w:t>
      </w:r>
      <w:proofErr w:type="spellStart"/>
      <w:r>
        <w:t>Tungare</w:t>
      </w:r>
      <w:proofErr w:type="spellEnd"/>
      <w:r>
        <w:t xml:space="preserve"> et al., 2022).</w:t>
      </w:r>
    </w:p>
    <w:p w14:paraId="66D5A67A" w14:textId="77777777" w:rsidR="00706FFA" w:rsidRDefault="00000000" w:rsidP="00E35ED2">
      <w:pPr>
        <w:spacing w:before="100" w:beforeAutospacing="1" w:after="100" w:afterAutospacing="1"/>
        <w:jc w:val="both"/>
      </w:pPr>
      <w:r>
        <w:t xml:space="preserve">Residual hazard is equally well documented. Genotoxicity of treated effluents reaching a major </w:t>
      </w:r>
      <w:proofErr w:type="gramStart"/>
      <w:r>
        <w:t>Sri Lankan river</w:t>
      </w:r>
      <w:proofErr w:type="gramEnd"/>
      <w:r>
        <w:t xml:space="preserve"> persisted at a one-in-eight dilution in </w:t>
      </w:r>
      <w:r>
        <w:rPr>
          <w:i/>
          <w:iCs/>
        </w:rPr>
        <w:t>Oreochromis niloticus</w:t>
      </w:r>
      <w:r>
        <w:t xml:space="preserve"> erythrocytes, with compliance parameters exceeded occasionally or frequently in the two industries studied (Hemachandra &amp; </w:t>
      </w:r>
      <w:proofErr w:type="spellStart"/>
      <w:r>
        <w:t>Pathiratne</w:t>
      </w:r>
      <w:proofErr w:type="spellEnd"/>
      <w:r>
        <w:t>, 2016). Genotoxicity of anoxic-</w:t>
      </w:r>
      <w:proofErr w:type="spellStart"/>
      <w:r>
        <w:t>oxic</w:t>
      </w:r>
      <w:proofErr w:type="spellEnd"/>
      <w:r>
        <w:t xml:space="preserve"> treated effluent did not differ from that of the influent despite compliance with the discharge standard (Zhang et al., 2012). Whole-effluent toxicity was reduced but not eliminated by a train comprising coagulation, anaerobic-aerobic treatment, Fenton oxidation, disinfection and wetland polishing, and only the final wetland effluent met both toxicity and physicochemical criteria (Peng et al., 2025). Bacterial bioremediation achieved only partial detoxification, with the bioremediated effluent still damaging </w:t>
      </w:r>
      <w:r>
        <w:rPr>
          <w:i/>
          <w:iCs/>
        </w:rPr>
        <w:t xml:space="preserve">Astyanax </w:t>
      </w:r>
      <w:proofErr w:type="spellStart"/>
      <w:r>
        <w:rPr>
          <w:i/>
          <w:iCs/>
        </w:rPr>
        <w:t>lacustris</w:t>
      </w:r>
      <w:proofErr w:type="spellEnd"/>
      <w:r>
        <w:t xml:space="preserve"> relative to controls (da Silva et al., 2023). Chronic exposure of adult zebrafish to fully treated effluent inhibited growth, increased mortality, altered antioxidant status and disturbed gut microbiota (Li et al., 2023; Wang et al., 2021, 2023).</w:t>
      </w:r>
    </w:p>
    <w:p w14:paraId="2D6087D7" w14:textId="77777777" w:rsidR="00706FFA" w:rsidRDefault="00000000" w:rsidP="00E35ED2">
      <w:pPr>
        <w:spacing w:before="100" w:beforeAutospacing="1" w:after="100" w:afterAutospacing="1"/>
        <w:jc w:val="both"/>
      </w:pPr>
      <w:r>
        <w:t>The two bodies of evidence are reconcilable and jointly identify the central regulatory problem: colour and organic load are removed more efficiently than biological hazard, and compliance parameters therefore do not index residual risk. The 40 per cent colour and 84 per cent chemical oxygen demand removal that satisfied a discharge standard while leaving genotoxicity unchanged is the clearest single demonstration (Zhang et al., 2012). The finding that anaerobic stages can increase hazard while decolourising supplies the mechanism, and it implies that sequences optimised for colour removal may be counterproductive for genotoxicity unless followed by an oxidative or aerobic polishing stage capable of mineralising amine products. Treatment-focused reviews have not consistently drawn this conclusion, tending instead to present decolourisation efficiency as the primary performance metric (Adane et al., 2021; Islam et al., 2025; Periyasamy, 2024; Sudarshan et al., 2023). Comparable residual toxicity after conventional municipal treatment has been reported for anoxic-</w:t>
      </w:r>
      <w:proofErr w:type="spellStart"/>
      <w:r>
        <w:t>oxic</w:t>
      </w:r>
      <w:proofErr w:type="spellEnd"/>
      <w:r>
        <w:t xml:space="preserve"> processes generally (Zhang et al., 2013), so the problem is not unique to textile streams.</w:t>
      </w:r>
    </w:p>
    <w:p w14:paraId="6B47FDB2" w14:textId="77777777" w:rsidR="00706FFA" w:rsidRDefault="00000000" w:rsidP="00E35ED2">
      <w:pPr>
        <w:spacing w:before="100" w:beforeAutospacing="1" w:after="100" w:afterAutospacing="1"/>
        <w:jc w:val="both"/>
      </w:pPr>
      <w:r>
        <w:t>Table 4 compares treatment interventions against the biological outcomes measured in fish, and it shows that the interventions achieving the most complete detoxification are chemical oxidation and constructed wetland polishing rather than the biological and physicochemical processes most widely installed. The comparison is limited by the absence of standardised effluent characterisation, so cross-study inference about relative treatment performance is weak, and by the fact that most studies measure a single class of endpoint. The table should be read as a map of what has been tested rather than as a performance ranking.</w:t>
      </w:r>
    </w:p>
    <w:p w14:paraId="43DC9784" w14:textId="77777777" w:rsidR="00706FFA" w:rsidRDefault="00000000" w:rsidP="00E35ED2">
      <w:pPr>
        <w:spacing w:before="100" w:beforeAutospacing="1" w:after="100" w:afterAutospacing="1"/>
      </w:pPr>
      <w:r>
        <w:rPr>
          <w:b/>
          <w:bCs/>
          <w:sz w:val="22"/>
          <w:szCs w:val="22"/>
        </w:rPr>
        <w:t>Table 4</w:t>
      </w:r>
    </w:p>
    <w:p w14:paraId="00AD748E" w14:textId="77777777" w:rsidR="00706FFA" w:rsidRDefault="00000000" w:rsidP="00E35ED2">
      <w:pPr>
        <w:spacing w:before="100" w:beforeAutospacing="1" w:after="100" w:afterAutospacing="1"/>
      </w:pPr>
      <w:r>
        <w:rPr>
          <w:i/>
          <w:iCs/>
          <w:sz w:val="22"/>
          <w:szCs w:val="22"/>
        </w:rPr>
        <w:t>Treatment interventions assessed against biological outcomes in fish and fish-relevant endpoints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488"/>
        <w:gridCol w:w="1486"/>
        <w:gridCol w:w="1575"/>
        <w:gridCol w:w="1491"/>
        <w:gridCol w:w="1487"/>
        <w:gridCol w:w="1489"/>
      </w:tblGrid>
      <w:tr w:rsidR="00706FFA" w14:paraId="4A06199A" w14:textId="77777777" w:rsidTr="00E35ED2">
        <w:trPr>
          <w:tblHeader/>
        </w:trPr>
        <w:tc>
          <w:tcPr>
            <w:tcW w:w="832" w:type="pct"/>
            <w:shd w:val="clear" w:color="auto" w:fill="EDEDED"/>
            <w:tcMar>
              <w:top w:w="60" w:type="dxa"/>
              <w:left w:w="90" w:type="dxa"/>
              <w:bottom w:w="60" w:type="dxa"/>
              <w:right w:w="90" w:type="dxa"/>
            </w:tcMar>
          </w:tcPr>
          <w:p w14:paraId="195D17A5" w14:textId="77777777" w:rsidR="00706FFA" w:rsidRDefault="00000000" w:rsidP="00E35ED2">
            <w:pPr>
              <w:spacing w:before="100" w:beforeAutospacing="1" w:after="100" w:afterAutospacing="1"/>
            </w:pPr>
            <w:r>
              <w:rPr>
                <w:b/>
                <w:bCs/>
                <w:sz w:val="18"/>
                <w:szCs w:val="18"/>
              </w:rPr>
              <w:lastRenderedPageBreak/>
              <w:t>Treatment approach</w:t>
            </w:r>
          </w:p>
        </w:tc>
        <w:tc>
          <w:tcPr>
            <w:tcW w:w="831" w:type="pct"/>
            <w:shd w:val="clear" w:color="auto" w:fill="EDEDED"/>
            <w:tcMar>
              <w:top w:w="60" w:type="dxa"/>
              <w:left w:w="90" w:type="dxa"/>
              <w:bottom w:w="60" w:type="dxa"/>
              <w:right w:w="90" w:type="dxa"/>
            </w:tcMar>
          </w:tcPr>
          <w:p w14:paraId="2360E74A" w14:textId="77777777" w:rsidR="00706FFA" w:rsidRDefault="00000000" w:rsidP="00E35ED2">
            <w:pPr>
              <w:spacing w:before="100" w:beforeAutospacing="1" w:after="100" w:afterAutospacing="1"/>
            </w:pPr>
            <w:r>
              <w:rPr>
                <w:b/>
                <w:bCs/>
                <w:sz w:val="18"/>
                <w:szCs w:val="18"/>
              </w:rPr>
              <w:t>Effluent or dye tested</w:t>
            </w:r>
          </w:p>
        </w:tc>
        <w:tc>
          <w:tcPr>
            <w:tcW w:w="841" w:type="pct"/>
            <w:shd w:val="clear" w:color="auto" w:fill="EDEDED"/>
            <w:tcMar>
              <w:top w:w="60" w:type="dxa"/>
              <w:left w:w="90" w:type="dxa"/>
              <w:bottom w:w="60" w:type="dxa"/>
              <w:right w:w="90" w:type="dxa"/>
            </w:tcMar>
          </w:tcPr>
          <w:p w14:paraId="5795D8C3" w14:textId="77777777" w:rsidR="00706FFA" w:rsidRDefault="00000000" w:rsidP="00E35ED2">
            <w:pPr>
              <w:spacing w:before="100" w:beforeAutospacing="1" w:after="100" w:afterAutospacing="1"/>
            </w:pPr>
            <w:r>
              <w:rPr>
                <w:b/>
                <w:bCs/>
                <w:sz w:val="18"/>
                <w:szCs w:val="18"/>
              </w:rPr>
              <w:t>Physicochemical outcome reported</w:t>
            </w:r>
          </w:p>
        </w:tc>
        <w:tc>
          <w:tcPr>
            <w:tcW w:w="833" w:type="pct"/>
            <w:shd w:val="clear" w:color="auto" w:fill="EDEDED"/>
            <w:tcMar>
              <w:top w:w="60" w:type="dxa"/>
              <w:left w:w="90" w:type="dxa"/>
              <w:bottom w:w="60" w:type="dxa"/>
              <w:right w:w="90" w:type="dxa"/>
            </w:tcMar>
          </w:tcPr>
          <w:p w14:paraId="2AA98EFD" w14:textId="77777777" w:rsidR="00706FFA" w:rsidRDefault="00000000" w:rsidP="00E35ED2">
            <w:pPr>
              <w:spacing w:before="100" w:beforeAutospacing="1" w:after="100" w:afterAutospacing="1"/>
            </w:pPr>
            <w:r>
              <w:rPr>
                <w:b/>
                <w:bCs/>
                <w:sz w:val="18"/>
                <w:szCs w:val="18"/>
              </w:rPr>
              <w:t>Biological outcome in fish or fish cells</w:t>
            </w:r>
          </w:p>
        </w:tc>
        <w:tc>
          <w:tcPr>
            <w:tcW w:w="831" w:type="pct"/>
            <w:shd w:val="clear" w:color="auto" w:fill="EDEDED"/>
            <w:tcMar>
              <w:top w:w="60" w:type="dxa"/>
              <w:left w:w="90" w:type="dxa"/>
              <w:bottom w:w="60" w:type="dxa"/>
              <w:right w:w="90" w:type="dxa"/>
            </w:tcMar>
          </w:tcPr>
          <w:p w14:paraId="45DF4F7C" w14:textId="77777777" w:rsidR="00706FFA" w:rsidRDefault="00000000" w:rsidP="00E35ED2">
            <w:pPr>
              <w:spacing w:before="100" w:beforeAutospacing="1" w:after="100" w:afterAutospacing="1"/>
            </w:pPr>
            <w:r>
              <w:rPr>
                <w:b/>
                <w:bCs/>
                <w:sz w:val="18"/>
                <w:szCs w:val="18"/>
              </w:rPr>
              <w:t>Residual hazard</w:t>
            </w:r>
          </w:p>
        </w:tc>
        <w:tc>
          <w:tcPr>
            <w:tcW w:w="832" w:type="pct"/>
            <w:shd w:val="clear" w:color="auto" w:fill="EDEDED"/>
            <w:tcMar>
              <w:top w:w="60" w:type="dxa"/>
              <w:left w:w="90" w:type="dxa"/>
              <w:bottom w:w="60" w:type="dxa"/>
              <w:right w:w="90" w:type="dxa"/>
            </w:tcMar>
          </w:tcPr>
          <w:p w14:paraId="22F91E24" w14:textId="77777777" w:rsidR="00706FFA" w:rsidRDefault="00000000" w:rsidP="00E35ED2">
            <w:pPr>
              <w:spacing w:before="100" w:beforeAutospacing="1" w:after="100" w:afterAutospacing="1"/>
            </w:pPr>
            <w:r>
              <w:rPr>
                <w:b/>
                <w:bCs/>
                <w:sz w:val="18"/>
                <w:szCs w:val="18"/>
              </w:rPr>
              <w:t>Supporting references</w:t>
            </w:r>
          </w:p>
        </w:tc>
      </w:tr>
      <w:tr w:rsidR="00706FFA" w14:paraId="2416BA72" w14:textId="77777777" w:rsidTr="00E35ED2">
        <w:tc>
          <w:tcPr>
            <w:tcW w:w="832" w:type="pct"/>
            <w:tcMar>
              <w:top w:w="60" w:type="dxa"/>
              <w:left w:w="90" w:type="dxa"/>
              <w:bottom w:w="60" w:type="dxa"/>
              <w:right w:w="90" w:type="dxa"/>
            </w:tcMar>
          </w:tcPr>
          <w:p w14:paraId="67111092" w14:textId="77777777" w:rsidR="00706FFA" w:rsidRDefault="00000000" w:rsidP="00E35ED2">
            <w:pPr>
              <w:spacing w:before="100" w:beforeAutospacing="1" w:after="100" w:afterAutospacing="1"/>
            </w:pPr>
            <w:r>
              <w:rPr>
                <w:sz w:val="18"/>
                <w:szCs w:val="18"/>
              </w:rPr>
              <w:t>Fenton-coagulation</w:t>
            </w:r>
          </w:p>
        </w:tc>
        <w:tc>
          <w:tcPr>
            <w:tcW w:w="831" w:type="pct"/>
            <w:tcMar>
              <w:top w:w="60" w:type="dxa"/>
              <w:left w:w="90" w:type="dxa"/>
              <w:bottom w:w="60" w:type="dxa"/>
              <w:right w:w="90" w:type="dxa"/>
            </w:tcMar>
          </w:tcPr>
          <w:p w14:paraId="14B592E6" w14:textId="77777777" w:rsidR="00706FFA" w:rsidRDefault="00000000" w:rsidP="00E35ED2">
            <w:pPr>
              <w:spacing w:before="100" w:beforeAutospacing="1" w:after="100" w:afterAutospacing="1"/>
            </w:pPr>
            <w:r>
              <w:rPr>
                <w:sz w:val="18"/>
                <w:szCs w:val="18"/>
              </w:rPr>
              <w:t>Dye effluent</w:t>
            </w:r>
          </w:p>
        </w:tc>
        <w:tc>
          <w:tcPr>
            <w:tcW w:w="841" w:type="pct"/>
            <w:tcMar>
              <w:top w:w="60" w:type="dxa"/>
              <w:left w:w="90" w:type="dxa"/>
              <w:bottom w:w="60" w:type="dxa"/>
              <w:right w:w="90" w:type="dxa"/>
            </w:tcMar>
          </w:tcPr>
          <w:p w14:paraId="14D13D93" w14:textId="77777777" w:rsidR="00706FFA" w:rsidRDefault="00000000" w:rsidP="00E35ED2">
            <w:pPr>
              <w:spacing w:before="100" w:beforeAutospacing="1" w:after="100" w:afterAutospacing="1"/>
            </w:pPr>
            <w:r>
              <w:rPr>
                <w:sz w:val="18"/>
                <w:szCs w:val="18"/>
              </w:rPr>
              <w:t>Chemical oxygen demand below 50 mg L</w:t>
            </w:r>
            <w:r>
              <w:rPr>
                <w:sz w:val="18"/>
                <w:szCs w:val="18"/>
                <w:vertAlign w:val="superscript"/>
              </w:rPr>
              <w:t>−1</w:t>
            </w:r>
          </w:p>
        </w:tc>
        <w:tc>
          <w:tcPr>
            <w:tcW w:w="833" w:type="pct"/>
            <w:tcMar>
              <w:top w:w="60" w:type="dxa"/>
              <w:left w:w="90" w:type="dxa"/>
              <w:bottom w:w="60" w:type="dxa"/>
              <w:right w:w="90" w:type="dxa"/>
            </w:tcMar>
          </w:tcPr>
          <w:p w14:paraId="3A33F6D6" w14:textId="77777777" w:rsidR="00706FFA" w:rsidRDefault="00000000" w:rsidP="00E35ED2">
            <w:pPr>
              <w:spacing w:before="100" w:beforeAutospacing="1" w:after="100" w:afterAutospacing="1"/>
            </w:pPr>
            <w:r>
              <w:rPr>
                <w:sz w:val="18"/>
                <w:szCs w:val="18"/>
              </w:rPr>
              <w:t>Acute toxicity and genotoxicity to zebrafish not detectable after 4 h</w:t>
            </w:r>
          </w:p>
        </w:tc>
        <w:tc>
          <w:tcPr>
            <w:tcW w:w="831" w:type="pct"/>
            <w:tcMar>
              <w:top w:w="60" w:type="dxa"/>
              <w:left w:w="90" w:type="dxa"/>
              <w:bottom w:w="60" w:type="dxa"/>
              <w:right w:w="90" w:type="dxa"/>
            </w:tcMar>
          </w:tcPr>
          <w:p w14:paraId="76913FB0" w14:textId="77777777" w:rsidR="00706FFA" w:rsidRDefault="00000000" w:rsidP="00E35ED2">
            <w:pPr>
              <w:spacing w:before="100" w:beforeAutospacing="1" w:after="100" w:afterAutospacing="1"/>
            </w:pPr>
            <w:r>
              <w:rPr>
                <w:sz w:val="18"/>
                <w:szCs w:val="18"/>
              </w:rPr>
              <w:t>None detected</w:t>
            </w:r>
          </w:p>
        </w:tc>
        <w:tc>
          <w:tcPr>
            <w:tcW w:w="832" w:type="pct"/>
            <w:tcMar>
              <w:top w:w="60" w:type="dxa"/>
              <w:left w:w="90" w:type="dxa"/>
              <w:bottom w:w="60" w:type="dxa"/>
              <w:right w:w="90" w:type="dxa"/>
            </w:tcMar>
          </w:tcPr>
          <w:p w14:paraId="3D453BDF" w14:textId="77777777" w:rsidR="00706FFA" w:rsidRDefault="00000000" w:rsidP="00E35ED2">
            <w:pPr>
              <w:spacing w:before="100" w:beforeAutospacing="1" w:after="100" w:afterAutospacing="1"/>
            </w:pPr>
            <w:r>
              <w:rPr>
                <w:sz w:val="18"/>
                <w:szCs w:val="18"/>
              </w:rPr>
              <w:t>Zhang et al. (2014)</w:t>
            </w:r>
          </w:p>
        </w:tc>
      </w:tr>
      <w:tr w:rsidR="00706FFA" w14:paraId="75B0A598" w14:textId="77777777" w:rsidTr="00E35ED2">
        <w:tc>
          <w:tcPr>
            <w:tcW w:w="832" w:type="pct"/>
            <w:tcMar>
              <w:top w:w="60" w:type="dxa"/>
              <w:left w:w="90" w:type="dxa"/>
              <w:bottom w:w="60" w:type="dxa"/>
              <w:right w:w="90" w:type="dxa"/>
            </w:tcMar>
          </w:tcPr>
          <w:p w14:paraId="16FB787D" w14:textId="77777777" w:rsidR="00706FFA" w:rsidRDefault="00000000" w:rsidP="00E35ED2">
            <w:pPr>
              <w:spacing w:before="100" w:beforeAutospacing="1" w:after="100" w:afterAutospacing="1"/>
            </w:pPr>
            <w:r>
              <w:rPr>
                <w:sz w:val="18"/>
                <w:szCs w:val="18"/>
              </w:rPr>
              <w:t>Chitosan-based remediation</w:t>
            </w:r>
          </w:p>
        </w:tc>
        <w:tc>
          <w:tcPr>
            <w:tcW w:w="831" w:type="pct"/>
            <w:tcMar>
              <w:top w:w="60" w:type="dxa"/>
              <w:left w:w="90" w:type="dxa"/>
              <w:bottom w:w="60" w:type="dxa"/>
              <w:right w:w="90" w:type="dxa"/>
            </w:tcMar>
          </w:tcPr>
          <w:p w14:paraId="484A1B6B" w14:textId="77777777" w:rsidR="00706FFA" w:rsidRDefault="00000000" w:rsidP="00E35ED2">
            <w:pPr>
              <w:spacing w:before="100" w:beforeAutospacing="1" w:after="100" w:afterAutospacing="1"/>
            </w:pPr>
            <w:r>
              <w:rPr>
                <w:sz w:val="18"/>
                <w:szCs w:val="18"/>
              </w:rPr>
              <w:t>Textile effluent</w:t>
            </w:r>
          </w:p>
        </w:tc>
        <w:tc>
          <w:tcPr>
            <w:tcW w:w="841" w:type="pct"/>
            <w:tcMar>
              <w:top w:w="60" w:type="dxa"/>
              <w:left w:w="90" w:type="dxa"/>
              <w:bottom w:w="60" w:type="dxa"/>
              <w:right w:w="90" w:type="dxa"/>
            </w:tcMar>
          </w:tcPr>
          <w:p w14:paraId="5E0AA0B3" w14:textId="77777777" w:rsidR="00706FFA" w:rsidRDefault="00000000" w:rsidP="00E35ED2">
            <w:pPr>
              <w:spacing w:before="100" w:beforeAutospacing="1" w:after="100" w:afterAutospacing="1"/>
            </w:pPr>
            <w:r>
              <w:rPr>
                <w:sz w:val="18"/>
                <w:szCs w:val="18"/>
              </w:rPr>
              <w:t>Approximately 80% dye removal; metal content decreased</w:t>
            </w:r>
          </w:p>
        </w:tc>
        <w:tc>
          <w:tcPr>
            <w:tcW w:w="833" w:type="pct"/>
            <w:tcMar>
              <w:top w:w="60" w:type="dxa"/>
              <w:left w:w="90" w:type="dxa"/>
              <w:bottom w:w="60" w:type="dxa"/>
              <w:right w:w="90" w:type="dxa"/>
            </w:tcMar>
          </w:tcPr>
          <w:p w14:paraId="58C3E225" w14:textId="77777777" w:rsidR="00706FFA" w:rsidRDefault="00000000" w:rsidP="00E35ED2">
            <w:pPr>
              <w:spacing w:before="100" w:beforeAutospacing="1" w:after="100" w:afterAutospacing="1"/>
            </w:pPr>
            <w:proofErr w:type="spellStart"/>
            <w:r>
              <w:rPr>
                <w:sz w:val="18"/>
                <w:szCs w:val="18"/>
              </w:rPr>
              <w:t>Thiobarbituric</w:t>
            </w:r>
            <w:proofErr w:type="spellEnd"/>
            <w:r>
              <w:rPr>
                <w:sz w:val="18"/>
                <w:szCs w:val="18"/>
              </w:rPr>
              <w:t xml:space="preserve"> acid reactive substances reduced by 29.9%</w:t>
            </w:r>
          </w:p>
        </w:tc>
        <w:tc>
          <w:tcPr>
            <w:tcW w:w="831" w:type="pct"/>
            <w:tcMar>
              <w:top w:w="60" w:type="dxa"/>
              <w:left w:w="90" w:type="dxa"/>
              <w:bottom w:w="60" w:type="dxa"/>
              <w:right w:w="90" w:type="dxa"/>
            </w:tcMar>
          </w:tcPr>
          <w:p w14:paraId="6DC78D97" w14:textId="77777777" w:rsidR="00706FFA" w:rsidRDefault="00000000" w:rsidP="00E35ED2">
            <w:pPr>
              <w:spacing w:before="100" w:beforeAutospacing="1" w:after="100" w:afterAutospacing="1"/>
            </w:pPr>
            <w:r>
              <w:rPr>
                <w:sz w:val="18"/>
                <w:szCs w:val="18"/>
              </w:rPr>
              <w:t>Reduced, not quantified as absent</w:t>
            </w:r>
          </w:p>
        </w:tc>
        <w:tc>
          <w:tcPr>
            <w:tcW w:w="832" w:type="pct"/>
            <w:tcMar>
              <w:top w:w="60" w:type="dxa"/>
              <w:left w:w="90" w:type="dxa"/>
              <w:bottom w:w="60" w:type="dxa"/>
              <w:right w:w="90" w:type="dxa"/>
            </w:tcMar>
          </w:tcPr>
          <w:p w14:paraId="1B8FC621" w14:textId="77777777" w:rsidR="00706FFA" w:rsidRDefault="00000000" w:rsidP="00E35ED2">
            <w:pPr>
              <w:spacing w:before="100" w:beforeAutospacing="1" w:after="100" w:afterAutospacing="1"/>
            </w:pPr>
            <w:proofErr w:type="spellStart"/>
            <w:r>
              <w:rPr>
                <w:sz w:val="18"/>
                <w:szCs w:val="18"/>
              </w:rPr>
              <w:t>Grinevicius</w:t>
            </w:r>
            <w:proofErr w:type="spellEnd"/>
            <w:r>
              <w:rPr>
                <w:sz w:val="18"/>
                <w:szCs w:val="18"/>
              </w:rPr>
              <w:t xml:space="preserve"> et al. (2009)</w:t>
            </w:r>
          </w:p>
        </w:tc>
      </w:tr>
      <w:tr w:rsidR="00706FFA" w14:paraId="3E3F768F" w14:textId="77777777" w:rsidTr="00E35ED2">
        <w:tc>
          <w:tcPr>
            <w:tcW w:w="832" w:type="pct"/>
            <w:tcMar>
              <w:top w:w="60" w:type="dxa"/>
              <w:left w:w="90" w:type="dxa"/>
              <w:bottom w:w="60" w:type="dxa"/>
              <w:right w:w="90" w:type="dxa"/>
            </w:tcMar>
          </w:tcPr>
          <w:p w14:paraId="14CDAE9C" w14:textId="77777777" w:rsidR="00706FFA" w:rsidRDefault="00000000" w:rsidP="00E35ED2">
            <w:pPr>
              <w:spacing w:before="100" w:beforeAutospacing="1" w:after="100" w:afterAutospacing="1"/>
            </w:pPr>
            <w:r>
              <w:rPr>
                <w:sz w:val="18"/>
                <w:szCs w:val="18"/>
              </w:rPr>
              <w:t>Conventional biological and physicochemical</w:t>
            </w:r>
          </w:p>
        </w:tc>
        <w:tc>
          <w:tcPr>
            <w:tcW w:w="831" w:type="pct"/>
            <w:tcMar>
              <w:top w:w="60" w:type="dxa"/>
              <w:left w:w="90" w:type="dxa"/>
              <w:bottom w:w="60" w:type="dxa"/>
              <w:right w:w="90" w:type="dxa"/>
            </w:tcMar>
          </w:tcPr>
          <w:p w14:paraId="31B049D9" w14:textId="77777777" w:rsidR="00706FFA" w:rsidRDefault="00000000" w:rsidP="00E35ED2">
            <w:pPr>
              <w:spacing w:before="100" w:beforeAutospacing="1" w:after="100" w:afterAutospacing="1"/>
            </w:pPr>
            <w:r>
              <w:rPr>
                <w:sz w:val="18"/>
                <w:szCs w:val="18"/>
              </w:rPr>
              <w:t>Textile effluent</w:t>
            </w:r>
          </w:p>
        </w:tc>
        <w:tc>
          <w:tcPr>
            <w:tcW w:w="841" w:type="pct"/>
            <w:tcMar>
              <w:top w:w="60" w:type="dxa"/>
              <w:left w:w="90" w:type="dxa"/>
              <w:bottom w:w="60" w:type="dxa"/>
              <w:right w:w="90" w:type="dxa"/>
            </w:tcMar>
          </w:tcPr>
          <w:p w14:paraId="530DE5FE" w14:textId="77777777" w:rsidR="00706FFA" w:rsidRDefault="00000000" w:rsidP="00E35ED2">
            <w:pPr>
              <w:spacing w:before="100" w:beforeAutospacing="1" w:after="100" w:afterAutospacing="1"/>
            </w:pPr>
            <w:r>
              <w:rPr>
                <w:sz w:val="18"/>
                <w:szCs w:val="18"/>
              </w:rPr>
              <w:t>Metal content relatively increased</w:t>
            </w:r>
          </w:p>
        </w:tc>
        <w:tc>
          <w:tcPr>
            <w:tcW w:w="833" w:type="pct"/>
            <w:tcMar>
              <w:top w:w="60" w:type="dxa"/>
              <w:left w:w="90" w:type="dxa"/>
              <w:bottom w:w="60" w:type="dxa"/>
              <w:right w:w="90" w:type="dxa"/>
            </w:tcMar>
          </w:tcPr>
          <w:p w14:paraId="573D2B25" w14:textId="77777777" w:rsidR="00706FFA" w:rsidRDefault="00000000" w:rsidP="00E35ED2">
            <w:pPr>
              <w:spacing w:before="100" w:beforeAutospacing="1" w:after="100" w:afterAutospacing="1"/>
            </w:pPr>
            <w:r>
              <w:rPr>
                <w:sz w:val="18"/>
                <w:szCs w:val="18"/>
              </w:rPr>
              <w:t>Oxidative stress biomarkers less improved than chitosan system</w:t>
            </w:r>
          </w:p>
        </w:tc>
        <w:tc>
          <w:tcPr>
            <w:tcW w:w="831" w:type="pct"/>
            <w:tcMar>
              <w:top w:w="60" w:type="dxa"/>
              <w:left w:w="90" w:type="dxa"/>
              <w:bottom w:w="60" w:type="dxa"/>
              <w:right w:w="90" w:type="dxa"/>
            </w:tcMar>
          </w:tcPr>
          <w:p w14:paraId="60AD1D88" w14:textId="77777777" w:rsidR="00706FFA" w:rsidRDefault="00000000" w:rsidP="00E35ED2">
            <w:pPr>
              <w:spacing w:before="100" w:beforeAutospacing="1" w:after="100" w:afterAutospacing="1"/>
            </w:pPr>
            <w:r>
              <w:rPr>
                <w:sz w:val="18"/>
                <w:szCs w:val="18"/>
              </w:rPr>
              <w:t>Present</w:t>
            </w:r>
          </w:p>
        </w:tc>
        <w:tc>
          <w:tcPr>
            <w:tcW w:w="832" w:type="pct"/>
            <w:tcMar>
              <w:top w:w="60" w:type="dxa"/>
              <w:left w:w="90" w:type="dxa"/>
              <w:bottom w:w="60" w:type="dxa"/>
              <w:right w:w="90" w:type="dxa"/>
            </w:tcMar>
          </w:tcPr>
          <w:p w14:paraId="6C52C43E" w14:textId="77777777" w:rsidR="00706FFA" w:rsidRDefault="00000000" w:rsidP="00E35ED2">
            <w:pPr>
              <w:spacing w:before="100" w:beforeAutospacing="1" w:after="100" w:afterAutospacing="1"/>
            </w:pPr>
            <w:proofErr w:type="spellStart"/>
            <w:r>
              <w:rPr>
                <w:sz w:val="18"/>
                <w:szCs w:val="18"/>
              </w:rPr>
              <w:t>Grinevicius</w:t>
            </w:r>
            <w:proofErr w:type="spellEnd"/>
            <w:r>
              <w:rPr>
                <w:sz w:val="18"/>
                <w:szCs w:val="18"/>
              </w:rPr>
              <w:t xml:space="preserve"> et al. (2009)</w:t>
            </w:r>
          </w:p>
        </w:tc>
      </w:tr>
      <w:tr w:rsidR="00706FFA" w14:paraId="34BDD85B" w14:textId="77777777" w:rsidTr="00E35ED2">
        <w:tc>
          <w:tcPr>
            <w:tcW w:w="832" w:type="pct"/>
            <w:tcMar>
              <w:top w:w="60" w:type="dxa"/>
              <w:left w:w="90" w:type="dxa"/>
              <w:bottom w:w="60" w:type="dxa"/>
              <w:right w:w="90" w:type="dxa"/>
            </w:tcMar>
          </w:tcPr>
          <w:p w14:paraId="23B4257E" w14:textId="77777777" w:rsidR="00706FFA" w:rsidRDefault="00000000" w:rsidP="00E35ED2">
            <w:pPr>
              <w:spacing w:before="100" w:beforeAutospacing="1" w:after="100" w:afterAutospacing="1"/>
            </w:pPr>
            <w:r>
              <w:rPr>
                <w:sz w:val="18"/>
                <w:szCs w:val="18"/>
              </w:rPr>
              <w:t>Anoxic-</w:t>
            </w:r>
            <w:proofErr w:type="spellStart"/>
            <w:r>
              <w:rPr>
                <w:sz w:val="18"/>
                <w:szCs w:val="18"/>
              </w:rPr>
              <w:t>oxic</w:t>
            </w:r>
            <w:proofErr w:type="spellEnd"/>
            <w:r>
              <w:rPr>
                <w:sz w:val="18"/>
                <w:szCs w:val="18"/>
              </w:rPr>
              <w:t xml:space="preserve"> biological</w:t>
            </w:r>
          </w:p>
        </w:tc>
        <w:tc>
          <w:tcPr>
            <w:tcW w:w="831" w:type="pct"/>
            <w:tcMar>
              <w:top w:w="60" w:type="dxa"/>
              <w:left w:w="90" w:type="dxa"/>
              <w:bottom w:w="60" w:type="dxa"/>
              <w:right w:w="90" w:type="dxa"/>
            </w:tcMar>
          </w:tcPr>
          <w:p w14:paraId="510F0892" w14:textId="77777777" w:rsidR="00706FFA" w:rsidRDefault="00000000" w:rsidP="00E35ED2">
            <w:pPr>
              <w:spacing w:before="100" w:beforeAutospacing="1" w:after="100" w:afterAutospacing="1"/>
            </w:pPr>
            <w:r>
              <w:rPr>
                <w:sz w:val="18"/>
                <w:szCs w:val="18"/>
              </w:rPr>
              <w:t>Textile factory and sewage streams</w:t>
            </w:r>
          </w:p>
        </w:tc>
        <w:tc>
          <w:tcPr>
            <w:tcW w:w="841" w:type="pct"/>
            <w:tcMar>
              <w:top w:w="60" w:type="dxa"/>
              <w:left w:w="90" w:type="dxa"/>
              <w:bottom w:w="60" w:type="dxa"/>
              <w:right w:w="90" w:type="dxa"/>
            </w:tcMar>
          </w:tcPr>
          <w:p w14:paraId="48C8B2EA" w14:textId="77777777" w:rsidR="00706FFA" w:rsidRDefault="00000000" w:rsidP="00E35ED2">
            <w:pPr>
              <w:spacing w:before="100" w:beforeAutospacing="1" w:after="100" w:afterAutospacing="1"/>
            </w:pPr>
            <w:r>
              <w:rPr>
                <w:sz w:val="18"/>
                <w:szCs w:val="18"/>
              </w:rPr>
              <w:t>Colour reduced 40%; chemical oxygen demand reduced 84%; standard met</w:t>
            </w:r>
          </w:p>
        </w:tc>
        <w:tc>
          <w:tcPr>
            <w:tcW w:w="833" w:type="pct"/>
            <w:tcMar>
              <w:top w:w="60" w:type="dxa"/>
              <w:left w:w="90" w:type="dxa"/>
              <w:bottom w:w="60" w:type="dxa"/>
              <w:right w:w="90" w:type="dxa"/>
            </w:tcMar>
          </w:tcPr>
          <w:p w14:paraId="568487BC" w14:textId="77777777" w:rsidR="00706FFA" w:rsidRDefault="00000000" w:rsidP="00E35ED2">
            <w:pPr>
              <w:spacing w:before="100" w:beforeAutospacing="1" w:after="100" w:afterAutospacing="1"/>
            </w:pPr>
            <w:r>
              <w:rPr>
                <w:sz w:val="18"/>
                <w:szCs w:val="18"/>
              </w:rPr>
              <w:t>Genotoxicity of final effluent not different from influent; toxicity increased in anaerobic tank</w:t>
            </w:r>
          </w:p>
        </w:tc>
        <w:tc>
          <w:tcPr>
            <w:tcW w:w="831" w:type="pct"/>
            <w:tcMar>
              <w:top w:w="60" w:type="dxa"/>
              <w:left w:w="90" w:type="dxa"/>
              <w:bottom w:w="60" w:type="dxa"/>
              <w:right w:w="90" w:type="dxa"/>
            </w:tcMar>
          </w:tcPr>
          <w:p w14:paraId="35581123" w14:textId="77777777" w:rsidR="00706FFA" w:rsidRDefault="00000000" w:rsidP="00E35ED2">
            <w:pPr>
              <w:spacing w:before="100" w:beforeAutospacing="1" w:after="100" w:afterAutospacing="1"/>
            </w:pPr>
            <w:r>
              <w:rPr>
                <w:sz w:val="18"/>
                <w:szCs w:val="18"/>
              </w:rPr>
              <w:t>Substantial</w:t>
            </w:r>
          </w:p>
        </w:tc>
        <w:tc>
          <w:tcPr>
            <w:tcW w:w="832" w:type="pct"/>
            <w:tcMar>
              <w:top w:w="60" w:type="dxa"/>
              <w:left w:w="90" w:type="dxa"/>
              <w:bottom w:w="60" w:type="dxa"/>
              <w:right w:w="90" w:type="dxa"/>
            </w:tcMar>
          </w:tcPr>
          <w:p w14:paraId="0E963D64" w14:textId="77777777" w:rsidR="00706FFA" w:rsidRDefault="00000000" w:rsidP="00E35ED2">
            <w:pPr>
              <w:spacing w:before="100" w:beforeAutospacing="1" w:after="100" w:afterAutospacing="1"/>
            </w:pPr>
            <w:r>
              <w:rPr>
                <w:sz w:val="18"/>
                <w:szCs w:val="18"/>
              </w:rPr>
              <w:t>Zhang et al. (2012)</w:t>
            </w:r>
          </w:p>
        </w:tc>
      </w:tr>
      <w:tr w:rsidR="00706FFA" w14:paraId="493A25EB" w14:textId="77777777" w:rsidTr="00E35ED2">
        <w:tc>
          <w:tcPr>
            <w:tcW w:w="832" w:type="pct"/>
            <w:tcMar>
              <w:top w:w="60" w:type="dxa"/>
              <w:left w:w="90" w:type="dxa"/>
              <w:bottom w:w="60" w:type="dxa"/>
              <w:right w:w="90" w:type="dxa"/>
            </w:tcMar>
          </w:tcPr>
          <w:p w14:paraId="7221E948" w14:textId="77777777" w:rsidR="00706FFA" w:rsidRDefault="00000000" w:rsidP="00E35ED2">
            <w:pPr>
              <w:spacing w:before="100" w:beforeAutospacing="1" w:after="100" w:afterAutospacing="1"/>
            </w:pPr>
            <w:r>
              <w:rPr>
                <w:sz w:val="18"/>
                <w:szCs w:val="18"/>
              </w:rPr>
              <w:t>Microbial consortium</w:t>
            </w:r>
          </w:p>
        </w:tc>
        <w:tc>
          <w:tcPr>
            <w:tcW w:w="831" w:type="pct"/>
            <w:tcMar>
              <w:top w:w="60" w:type="dxa"/>
              <w:left w:w="90" w:type="dxa"/>
              <w:bottom w:w="60" w:type="dxa"/>
              <w:right w:w="90" w:type="dxa"/>
            </w:tcMar>
          </w:tcPr>
          <w:p w14:paraId="19FF6146" w14:textId="77777777" w:rsidR="00706FFA" w:rsidRDefault="00000000" w:rsidP="00E35ED2">
            <w:pPr>
              <w:spacing w:before="100" w:beforeAutospacing="1" w:after="100" w:afterAutospacing="1"/>
            </w:pPr>
            <w:r>
              <w:rPr>
                <w:sz w:val="18"/>
                <w:szCs w:val="18"/>
              </w:rPr>
              <w:t>Dye-bath and equalisation tank effluent</w:t>
            </w:r>
          </w:p>
        </w:tc>
        <w:tc>
          <w:tcPr>
            <w:tcW w:w="841" w:type="pct"/>
            <w:tcMar>
              <w:top w:w="60" w:type="dxa"/>
              <w:left w:w="90" w:type="dxa"/>
              <w:bottom w:w="60" w:type="dxa"/>
              <w:right w:w="90" w:type="dxa"/>
            </w:tcMar>
          </w:tcPr>
          <w:p w14:paraId="7543867B" w14:textId="77777777" w:rsidR="00706FFA" w:rsidRDefault="00000000" w:rsidP="00E35ED2">
            <w:pPr>
              <w:spacing w:before="100" w:beforeAutospacing="1" w:after="100" w:afterAutospacing="1"/>
            </w:pPr>
            <w:r>
              <w:rPr>
                <w:sz w:val="18"/>
                <w:szCs w:val="18"/>
              </w:rPr>
              <w:t>Not fully characterised</w:t>
            </w:r>
          </w:p>
        </w:tc>
        <w:tc>
          <w:tcPr>
            <w:tcW w:w="833" w:type="pct"/>
            <w:tcMar>
              <w:top w:w="60" w:type="dxa"/>
              <w:left w:w="90" w:type="dxa"/>
              <w:bottom w:w="60" w:type="dxa"/>
              <w:right w:w="90" w:type="dxa"/>
            </w:tcMar>
          </w:tcPr>
          <w:p w14:paraId="3A8B0489" w14:textId="77777777" w:rsidR="00706FFA" w:rsidRDefault="00000000" w:rsidP="00E35ED2">
            <w:pPr>
              <w:spacing w:before="100" w:beforeAutospacing="1" w:after="100" w:afterAutospacing="1"/>
            </w:pPr>
            <w:r>
              <w:rPr>
                <w:sz w:val="18"/>
                <w:szCs w:val="18"/>
              </w:rPr>
              <w:t xml:space="preserve">Genotoxic, haematological, biochemical and histopathological damage less severe in </w:t>
            </w:r>
            <w:r>
              <w:rPr>
                <w:i/>
                <w:iCs/>
                <w:sz w:val="18"/>
                <w:szCs w:val="18"/>
              </w:rPr>
              <w:t>Channa punctata</w:t>
            </w:r>
          </w:p>
        </w:tc>
        <w:tc>
          <w:tcPr>
            <w:tcW w:w="831" w:type="pct"/>
            <w:tcMar>
              <w:top w:w="60" w:type="dxa"/>
              <w:left w:w="90" w:type="dxa"/>
              <w:bottom w:w="60" w:type="dxa"/>
              <w:right w:w="90" w:type="dxa"/>
            </w:tcMar>
          </w:tcPr>
          <w:p w14:paraId="0239CC52" w14:textId="77777777" w:rsidR="00706FFA" w:rsidRDefault="00000000" w:rsidP="00E35ED2">
            <w:pPr>
              <w:spacing w:before="100" w:beforeAutospacing="1" w:after="100" w:afterAutospacing="1"/>
            </w:pPr>
            <w:r>
              <w:rPr>
                <w:sz w:val="18"/>
                <w:szCs w:val="18"/>
              </w:rPr>
              <w:t>Reduced, still present</w:t>
            </w:r>
          </w:p>
        </w:tc>
        <w:tc>
          <w:tcPr>
            <w:tcW w:w="832" w:type="pct"/>
            <w:tcMar>
              <w:top w:w="60" w:type="dxa"/>
              <w:left w:w="90" w:type="dxa"/>
              <w:bottom w:w="60" w:type="dxa"/>
              <w:right w:w="90" w:type="dxa"/>
            </w:tcMar>
          </w:tcPr>
          <w:p w14:paraId="7E602360" w14:textId="77777777" w:rsidR="00706FFA" w:rsidRDefault="00000000" w:rsidP="00E35ED2">
            <w:pPr>
              <w:spacing w:before="100" w:beforeAutospacing="1" w:after="100" w:afterAutospacing="1"/>
            </w:pPr>
            <w:r>
              <w:rPr>
                <w:sz w:val="18"/>
                <w:szCs w:val="18"/>
              </w:rPr>
              <w:t>Sharma et al. (2023, 2024)</w:t>
            </w:r>
          </w:p>
        </w:tc>
      </w:tr>
      <w:tr w:rsidR="00706FFA" w14:paraId="754FB1C7" w14:textId="77777777" w:rsidTr="00E35ED2">
        <w:tc>
          <w:tcPr>
            <w:tcW w:w="832" w:type="pct"/>
            <w:tcMar>
              <w:top w:w="60" w:type="dxa"/>
              <w:left w:w="90" w:type="dxa"/>
              <w:bottom w:w="60" w:type="dxa"/>
              <w:right w:w="90" w:type="dxa"/>
            </w:tcMar>
          </w:tcPr>
          <w:p w14:paraId="56CD8582" w14:textId="77777777" w:rsidR="00706FFA" w:rsidRDefault="00000000" w:rsidP="00E35ED2">
            <w:pPr>
              <w:spacing w:before="100" w:beforeAutospacing="1" w:after="100" w:afterAutospacing="1"/>
            </w:pPr>
            <w:r>
              <w:rPr>
                <w:sz w:val="18"/>
                <w:szCs w:val="18"/>
              </w:rPr>
              <w:t>Algal treatment</w:t>
            </w:r>
          </w:p>
        </w:tc>
        <w:tc>
          <w:tcPr>
            <w:tcW w:w="831" w:type="pct"/>
            <w:tcMar>
              <w:top w:w="60" w:type="dxa"/>
              <w:left w:w="90" w:type="dxa"/>
              <w:bottom w:w="60" w:type="dxa"/>
              <w:right w:w="90" w:type="dxa"/>
            </w:tcMar>
          </w:tcPr>
          <w:p w14:paraId="25879D9A" w14:textId="77777777" w:rsidR="00706FFA" w:rsidRDefault="00000000" w:rsidP="00E35ED2">
            <w:pPr>
              <w:spacing w:before="100" w:beforeAutospacing="1" w:after="100" w:afterAutospacing="1"/>
            </w:pPr>
            <w:r>
              <w:rPr>
                <w:sz w:val="18"/>
                <w:szCs w:val="18"/>
              </w:rPr>
              <w:t>Methyl orange solution</w:t>
            </w:r>
          </w:p>
        </w:tc>
        <w:tc>
          <w:tcPr>
            <w:tcW w:w="841" w:type="pct"/>
            <w:tcMar>
              <w:top w:w="60" w:type="dxa"/>
              <w:left w:w="90" w:type="dxa"/>
              <w:bottom w:w="60" w:type="dxa"/>
              <w:right w:w="90" w:type="dxa"/>
            </w:tcMar>
          </w:tcPr>
          <w:p w14:paraId="5EB5DA76" w14:textId="77777777" w:rsidR="00706FFA" w:rsidRDefault="00000000" w:rsidP="00E35ED2">
            <w:pPr>
              <w:spacing w:before="100" w:beforeAutospacing="1" w:after="100" w:afterAutospacing="1"/>
            </w:pPr>
            <w:r>
              <w:rPr>
                <w:sz w:val="18"/>
                <w:szCs w:val="18"/>
              </w:rPr>
              <w:t>Not fully characterised</w:t>
            </w:r>
          </w:p>
        </w:tc>
        <w:tc>
          <w:tcPr>
            <w:tcW w:w="833" w:type="pct"/>
            <w:tcMar>
              <w:top w:w="60" w:type="dxa"/>
              <w:left w:w="90" w:type="dxa"/>
              <w:bottom w:w="60" w:type="dxa"/>
              <w:right w:w="90" w:type="dxa"/>
            </w:tcMar>
          </w:tcPr>
          <w:p w14:paraId="018ABF95" w14:textId="77777777" w:rsidR="00706FFA" w:rsidRDefault="00000000" w:rsidP="00E35ED2">
            <w:pPr>
              <w:spacing w:before="100" w:beforeAutospacing="1" w:after="100" w:afterAutospacing="1"/>
            </w:pPr>
            <w:r>
              <w:rPr>
                <w:sz w:val="18"/>
                <w:szCs w:val="18"/>
              </w:rPr>
              <w:t xml:space="preserve">Behavioural, haematological and enzymological responses of </w:t>
            </w:r>
            <w:proofErr w:type="spellStart"/>
            <w:r>
              <w:rPr>
                <w:i/>
                <w:iCs/>
                <w:sz w:val="18"/>
                <w:szCs w:val="18"/>
              </w:rPr>
              <w:t>Labeo</w:t>
            </w:r>
            <w:proofErr w:type="spellEnd"/>
            <w:r>
              <w:rPr>
                <w:i/>
                <w:iCs/>
                <w:sz w:val="18"/>
                <w:szCs w:val="18"/>
              </w:rPr>
              <w:t xml:space="preserve"> </w:t>
            </w:r>
            <w:proofErr w:type="spellStart"/>
            <w:r>
              <w:rPr>
                <w:i/>
                <w:iCs/>
                <w:sz w:val="18"/>
                <w:szCs w:val="18"/>
              </w:rPr>
              <w:t>rohita</w:t>
            </w:r>
            <w:proofErr w:type="spellEnd"/>
            <w:r>
              <w:rPr>
                <w:sz w:val="18"/>
                <w:szCs w:val="18"/>
              </w:rPr>
              <w:t xml:space="preserve"> comparable to control</w:t>
            </w:r>
          </w:p>
        </w:tc>
        <w:tc>
          <w:tcPr>
            <w:tcW w:w="831" w:type="pct"/>
            <w:tcMar>
              <w:top w:w="60" w:type="dxa"/>
              <w:left w:w="90" w:type="dxa"/>
              <w:bottom w:w="60" w:type="dxa"/>
              <w:right w:w="90" w:type="dxa"/>
            </w:tcMar>
          </w:tcPr>
          <w:p w14:paraId="42E45B05" w14:textId="77777777" w:rsidR="00706FFA" w:rsidRDefault="00000000" w:rsidP="00E35ED2">
            <w:pPr>
              <w:spacing w:before="100" w:beforeAutospacing="1" w:after="100" w:afterAutospacing="1"/>
            </w:pPr>
            <w:r>
              <w:rPr>
                <w:sz w:val="18"/>
                <w:szCs w:val="18"/>
              </w:rPr>
              <w:t>None detected</w:t>
            </w:r>
          </w:p>
        </w:tc>
        <w:tc>
          <w:tcPr>
            <w:tcW w:w="832" w:type="pct"/>
            <w:tcMar>
              <w:top w:w="60" w:type="dxa"/>
              <w:left w:w="90" w:type="dxa"/>
              <w:bottom w:w="60" w:type="dxa"/>
              <w:right w:w="90" w:type="dxa"/>
            </w:tcMar>
          </w:tcPr>
          <w:p w14:paraId="4D84A8E2" w14:textId="77777777" w:rsidR="00706FFA" w:rsidRDefault="00000000" w:rsidP="00E35ED2">
            <w:pPr>
              <w:spacing w:before="100" w:beforeAutospacing="1" w:after="100" w:afterAutospacing="1"/>
            </w:pPr>
            <w:proofErr w:type="spellStart"/>
            <w:r>
              <w:rPr>
                <w:sz w:val="18"/>
                <w:szCs w:val="18"/>
              </w:rPr>
              <w:t>Alaguprathana</w:t>
            </w:r>
            <w:proofErr w:type="spellEnd"/>
            <w:r>
              <w:rPr>
                <w:sz w:val="18"/>
                <w:szCs w:val="18"/>
              </w:rPr>
              <w:t xml:space="preserve"> &amp; Poonkothai (2021)</w:t>
            </w:r>
          </w:p>
        </w:tc>
      </w:tr>
      <w:tr w:rsidR="00706FFA" w14:paraId="73504D81" w14:textId="77777777" w:rsidTr="00E35ED2">
        <w:tc>
          <w:tcPr>
            <w:tcW w:w="832" w:type="pct"/>
            <w:tcMar>
              <w:top w:w="60" w:type="dxa"/>
              <w:left w:w="90" w:type="dxa"/>
              <w:bottom w:w="60" w:type="dxa"/>
              <w:right w:w="90" w:type="dxa"/>
            </w:tcMar>
          </w:tcPr>
          <w:p w14:paraId="0D640AAB" w14:textId="77777777" w:rsidR="00706FFA" w:rsidRDefault="00000000" w:rsidP="00E35ED2">
            <w:pPr>
              <w:spacing w:before="100" w:beforeAutospacing="1" w:after="100" w:afterAutospacing="1"/>
            </w:pPr>
            <w:r>
              <w:rPr>
                <w:sz w:val="18"/>
                <w:szCs w:val="18"/>
              </w:rPr>
              <w:t>Plant-bacterial consortium bioreactor</w:t>
            </w:r>
          </w:p>
        </w:tc>
        <w:tc>
          <w:tcPr>
            <w:tcW w:w="831" w:type="pct"/>
            <w:tcMar>
              <w:top w:w="60" w:type="dxa"/>
              <w:left w:w="90" w:type="dxa"/>
              <w:bottom w:w="60" w:type="dxa"/>
              <w:right w:w="90" w:type="dxa"/>
            </w:tcMar>
          </w:tcPr>
          <w:p w14:paraId="51FA00D6" w14:textId="77777777" w:rsidR="00706FFA" w:rsidRDefault="00000000" w:rsidP="00E35ED2">
            <w:pPr>
              <w:spacing w:before="100" w:beforeAutospacing="1" w:after="100" w:afterAutospacing="1"/>
            </w:pPr>
            <w:r>
              <w:rPr>
                <w:sz w:val="18"/>
                <w:szCs w:val="18"/>
              </w:rPr>
              <w:t>Textile effluent</w:t>
            </w:r>
          </w:p>
        </w:tc>
        <w:tc>
          <w:tcPr>
            <w:tcW w:w="841" w:type="pct"/>
            <w:tcMar>
              <w:top w:w="60" w:type="dxa"/>
              <w:left w:w="90" w:type="dxa"/>
              <w:bottom w:w="60" w:type="dxa"/>
              <w:right w:w="90" w:type="dxa"/>
            </w:tcMar>
          </w:tcPr>
          <w:p w14:paraId="7EFEECDA" w14:textId="77777777" w:rsidR="00706FFA" w:rsidRDefault="00000000" w:rsidP="00E35ED2">
            <w:pPr>
              <w:spacing w:before="100" w:beforeAutospacing="1" w:after="100" w:afterAutospacing="1"/>
            </w:pPr>
            <w:r>
              <w:rPr>
                <w:sz w:val="18"/>
                <w:szCs w:val="18"/>
              </w:rPr>
              <w:t>Chemical oxygen demand 78%, colour 93%, conductivity 4% reduction</w:t>
            </w:r>
          </w:p>
        </w:tc>
        <w:tc>
          <w:tcPr>
            <w:tcW w:w="833" w:type="pct"/>
            <w:tcMar>
              <w:top w:w="60" w:type="dxa"/>
              <w:left w:w="90" w:type="dxa"/>
              <w:bottom w:w="60" w:type="dxa"/>
              <w:right w:w="90" w:type="dxa"/>
            </w:tcMar>
          </w:tcPr>
          <w:p w14:paraId="14D1629B" w14:textId="77777777" w:rsidR="00706FFA" w:rsidRDefault="00000000" w:rsidP="00E35ED2">
            <w:pPr>
              <w:spacing w:before="100" w:beforeAutospacing="1" w:after="100" w:afterAutospacing="1"/>
            </w:pPr>
            <w:r>
              <w:rPr>
                <w:sz w:val="18"/>
                <w:szCs w:val="18"/>
              </w:rPr>
              <w:t xml:space="preserve">Reduced superoxide dismutase, catalase and lipid peroxidation and less gill damage in </w:t>
            </w:r>
            <w:proofErr w:type="spellStart"/>
            <w:r>
              <w:rPr>
                <w:i/>
                <w:iCs/>
                <w:sz w:val="18"/>
                <w:szCs w:val="18"/>
              </w:rPr>
              <w:t>Etheostoma</w:t>
            </w:r>
            <w:proofErr w:type="spellEnd"/>
            <w:r>
              <w:rPr>
                <w:i/>
                <w:iCs/>
                <w:sz w:val="18"/>
                <w:szCs w:val="18"/>
              </w:rPr>
              <w:t xml:space="preserve"> </w:t>
            </w:r>
            <w:proofErr w:type="spellStart"/>
            <w:r>
              <w:rPr>
                <w:i/>
                <w:iCs/>
                <w:sz w:val="18"/>
                <w:szCs w:val="18"/>
              </w:rPr>
              <w:t>olmstedi</w:t>
            </w:r>
            <w:proofErr w:type="spellEnd"/>
          </w:p>
        </w:tc>
        <w:tc>
          <w:tcPr>
            <w:tcW w:w="831" w:type="pct"/>
            <w:tcMar>
              <w:top w:w="60" w:type="dxa"/>
              <w:left w:w="90" w:type="dxa"/>
              <w:bottom w:w="60" w:type="dxa"/>
              <w:right w:w="90" w:type="dxa"/>
            </w:tcMar>
          </w:tcPr>
          <w:p w14:paraId="3FC08E14" w14:textId="77777777" w:rsidR="00706FFA" w:rsidRDefault="00000000" w:rsidP="00E35ED2">
            <w:pPr>
              <w:spacing w:before="100" w:beforeAutospacing="1" w:after="100" w:afterAutospacing="1"/>
            </w:pPr>
            <w:r>
              <w:rPr>
                <w:sz w:val="18"/>
                <w:szCs w:val="18"/>
              </w:rPr>
              <w:t>Reduced</w:t>
            </w:r>
          </w:p>
        </w:tc>
        <w:tc>
          <w:tcPr>
            <w:tcW w:w="832" w:type="pct"/>
            <w:tcMar>
              <w:top w:w="60" w:type="dxa"/>
              <w:left w:w="90" w:type="dxa"/>
              <w:bottom w:w="60" w:type="dxa"/>
              <w:right w:w="90" w:type="dxa"/>
            </w:tcMar>
          </w:tcPr>
          <w:p w14:paraId="591770D4" w14:textId="77777777" w:rsidR="00706FFA" w:rsidRDefault="00000000" w:rsidP="00E35ED2">
            <w:pPr>
              <w:spacing w:before="100" w:beforeAutospacing="1" w:after="100" w:afterAutospacing="1"/>
            </w:pPr>
            <w:r>
              <w:rPr>
                <w:sz w:val="18"/>
                <w:szCs w:val="18"/>
              </w:rPr>
              <w:t>Watharkar et al. (2015)</w:t>
            </w:r>
          </w:p>
        </w:tc>
      </w:tr>
      <w:tr w:rsidR="00706FFA" w14:paraId="514211C1" w14:textId="77777777" w:rsidTr="00E35ED2">
        <w:tc>
          <w:tcPr>
            <w:tcW w:w="832" w:type="pct"/>
            <w:tcMar>
              <w:top w:w="60" w:type="dxa"/>
              <w:left w:w="90" w:type="dxa"/>
              <w:bottom w:w="60" w:type="dxa"/>
              <w:right w:w="90" w:type="dxa"/>
            </w:tcMar>
          </w:tcPr>
          <w:p w14:paraId="6ABA3B8E" w14:textId="77777777" w:rsidR="00706FFA" w:rsidRDefault="00000000" w:rsidP="00E35ED2">
            <w:pPr>
              <w:spacing w:before="100" w:beforeAutospacing="1" w:after="100" w:afterAutospacing="1"/>
            </w:pPr>
            <w:r>
              <w:rPr>
                <w:sz w:val="18"/>
                <w:szCs w:val="18"/>
              </w:rPr>
              <w:t>Hairy-root remediation</w:t>
            </w:r>
          </w:p>
        </w:tc>
        <w:tc>
          <w:tcPr>
            <w:tcW w:w="831" w:type="pct"/>
            <w:tcMar>
              <w:top w:w="60" w:type="dxa"/>
              <w:left w:w="90" w:type="dxa"/>
              <w:bottom w:w="60" w:type="dxa"/>
              <w:right w:w="90" w:type="dxa"/>
            </w:tcMar>
          </w:tcPr>
          <w:p w14:paraId="058BB3CC" w14:textId="77777777" w:rsidR="00706FFA" w:rsidRDefault="00000000" w:rsidP="00E35ED2">
            <w:pPr>
              <w:spacing w:before="100" w:beforeAutospacing="1" w:after="100" w:afterAutospacing="1"/>
            </w:pPr>
            <w:r>
              <w:rPr>
                <w:sz w:val="18"/>
                <w:szCs w:val="18"/>
              </w:rPr>
              <w:t>Reactive Blue 4</w:t>
            </w:r>
          </w:p>
        </w:tc>
        <w:tc>
          <w:tcPr>
            <w:tcW w:w="841" w:type="pct"/>
            <w:tcMar>
              <w:top w:w="60" w:type="dxa"/>
              <w:left w:w="90" w:type="dxa"/>
              <w:bottom w:w="60" w:type="dxa"/>
              <w:right w:w="90" w:type="dxa"/>
            </w:tcMar>
          </w:tcPr>
          <w:p w14:paraId="5B7D3A3A" w14:textId="77777777" w:rsidR="00706FFA" w:rsidRDefault="00000000" w:rsidP="00E35ED2">
            <w:pPr>
              <w:spacing w:before="100" w:beforeAutospacing="1" w:after="100" w:afterAutospacing="1"/>
            </w:pPr>
            <w:r>
              <w:rPr>
                <w:sz w:val="18"/>
                <w:szCs w:val="18"/>
              </w:rPr>
              <w:t>Decolourisation followed by degradation</w:t>
            </w:r>
          </w:p>
        </w:tc>
        <w:tc>
          <w:tcPr>
            <w:tcW w:w="833" w:type="pct"/>
            <w:tcMar>
              <w:top w:w="60" w:type="dxa"/>
              <w:left w:w="90" w:type="dxa"/>
              <w:bottom w:w="60" w:type="dxa"/>
              <w:right w:w="90" w:type="dxa"/>
            </w:tcMar>
          </w:tcPr>
          <w:p w14:paraId="6E2FA7D9" w14:textId="77777777" w:rsidR="00706FFA" w:rsidRDefault="00000000" w:rsidP="00E35ED2">
            <w:pPr>
              <w:spacing w:before="100" w:beforeAutospacing="1" w:after="100" w:afterAutospacing="1"/>
            </w:pPr>
            <w:r>
              <w:rPr>
                <w:sz w:val="18"/>
                <w:szCs w:val="18"/>
              </w:rPr>
              <w:t>Two-fold decrease in zebrafish embryo mortality; lipid peroxidation normalised</w:t>
            </w:r>
          </w:p>
        </w:tc>
        <w:tc>
          <w:tcPr>
            <w:tcW w:w="831" w:type="pct"/>
            <w:tcMar>
              <w:top w:w="60" w:type="dxa"/>
              <w:left w:w="90" w:type="dxa"/>
              <w:bottom w:w="60" w:type="dxa"/>
              <w:right w:w="90" w:type="dxa"/>
            </w:tcMar>
          </w:tcPr>
          <w:p w14:paraId="35471570" w14:textId="77777777" w:rsidR="00706FFA" w:rsidRDefault="00000000" w:rsidP="00E35ED2">
            <w:pPr>
              <w:spacing w:before="100" w:beforeAutospacing="1" w:after="100" w:afterAutospacing="1"/>
            </w:pPr>
            <w:r>
              <w:rPr>
                <w:sz w:val="18"/>
                <w:szCs w:val="18"/>
              </w:rPr>
              <w:t>Reduced at low concentration</w:t>
            </w:r>
          </w:p>
        </w:tc>
        <w:tc>
          <w:tcPr>
            <w:tcW w:w="832" w:type="pct"/>
            <w:tcMar>
              <w:top w:w="60" w:type="dxa"/>
              <w:left w:w="90" w:type="dxa"/>
              <w:bottom w:w="60" w:type="dxa"/>
              <w:right w:w="90" w:type="dxa"/>
            </w:tcMar>
          </w:tcPr>
          <w:p w14:paraId="030E28DB" w14:textId="77777777" w:rsidR="00706FFA" w:rsidRDefault="00000000" w:rsidP="00E35ED2">
            <w:pPr>
              <w:spacing w:before="100" w:beforeAutospacing="1" w:after="100" w:afterAutospacing="1"/>
            </w:pPr>
            <w:proofErr w:type="spellStart"/>
            <w:r>
              <w:rPr>
                <w:sz w:val="18"/>
                <w:szCs w:val="18"/>
              </w:rPr>
              <w:t>Tungare</w:t>
            </w:r>
            <w:proofErr w:type="spellEnd"/>
            <w:r>
              <w:rPr>
                <w:sz w:val="18"/>
                <w:szCs w:val="18"/>
              </w:rPr>
              <w:t xml:space="preserve"> et al. (2022)</w:t>
            </w:r>
          </w:p>
        </w:tc>
      </w:tr>
      <w:tr w:rsidR="00706FFA" w14:paraId="314BF83A" w14:textId="77777777" w:rsidTr="00E35ED2">
        <w:tc>
          <w:tcPr>
            <w:tcW w:w="832" w:type="pct"/>
            <w:tcMar>
              <w:top w:w="60" w:type="dxa"/>
              <w:left w:w="90" w:type="dxa"/>
              <w:bottom w:w="60" w:type="dxa"/>
              <w:right w:w="90" w:type="dxa"/>
            </w:tcMar>
          </w:tcPr>
          <w:p w14:paraId="6EAFFBCB" w14:textId="77777777" w:rsidR="00706FFA" w:rsidRDefault="00000000" w:rsidP="00E35ED2">
            <w:pPr>
              <w:spacing w:before="100" w:beforeAutospacing="1" w:after="100" w:afterAutospacing="1"/>
            </w:pPr>
            <w:r>
              <w:rPr>
                <w:sz w:val="18"/>
                <w:szCs w:val="18"/>
              </w:rPr>
              <w:t>Vertical-flow constructed wetland</w:t>
            </w:r>
          </w:p>
        </w:tc>
        <w:tc>
          <w:tcPr>
            <w:tcW w:w="831" w:type="pct"/>
            <w:tcMar>
              <w:top w:w="60" w:type="dxa"/>
              <w:left w:w="90" w:type="dxa"/>
              <w:bottom w:w="60" w:type="dxa"/>
              <w:right w:w="90" w:type="dxa"/>
            </w:tcMar>
          </w:tcPr>
          <w:p w14:paraId="705B940D" w14:textId="77777777" w:rsidR="00706FFA" w:rsidRDefault="00000000" w:rsidP="00E35ED2">
            <w:pPr>
              <w:spacing w:before="100" w:beforeAutospacing="1" w:after="100" w:afterAutospacing="1"/>
            </w:pPr>
            <w:r>
              <w:rPr>
                <w:sz w:val="18"/>
                <w:szCs w:val="18"/>
              </w:rPr>
              <w:t>Reactive dye and textile production effluent</w:t>
            </w:r>
          </w:p>
        </w:tc>
        <w:tc>
          <w:tcPr>
            <w:tcW w:w="841" w:type="pct"/>
            <w:tcMar>
              <w:top w:w="60" w:type="dxa"/>
              <w:left w:w="90" w:type="dxa"/>
              <w:bottom w:w="60" w:type="dxa"/>
              <w:right w:w="90" w:type="dxa"/>
            </w:tcMar>
          </w:tcPr>
          <w:p w14:paraId="044BB9ED" w14:textId="77777777" w:rsidR="00706FFA" w:rsidRDefault="00000000" w:rsidP="00E35ED2">
            <w:pPr>
              <w:spacing w:before="100" w:beforeAutospacing="1" w:after="100" w:afterAutospacing="1"/>
            </w:pPr>
            <w:r>
              <w:rPr>
                <w:sz w:val="18"/>
                <w:szCs w:val="18"/>
              </w:rPr>
              <w:t>Confirmed by spectrophotometry, chromatography-mass spectrometry and physicochemical analysis</w:t>
            </w:r>
          </w:p>
        </w:tc>
        <w:tc>
          <w:tcPr>
            <w:tcW w:w="833" w:type="pct"/>
            <w:tcMar>
              <w:top w:w="60" w:type="dxa"/>
              <w:left w:w="90" w:type="dxa"/>
              <w:bottom w:w="60" w:type="dxa"/>
              <w:right w:w="90" w:type="dxa"/>
            </w:tcMar>
          </w:tcPr>
          <w:p w14:paraId="68286EAB" w14:textId="77777777" w:rsidR="00706FFA" w:rsidRDefault="00000000" w:rsidP="00E35ED2">
            <w:pPr>
              <w:spacing w:before="100" w:beforeAutospacing="1" w:after="100" w:afterAutospacing="1"/>
            </w:pPr>
            <w:r>
              <w:rPr>
                <w:sz w:val="18"/>
                <w:szCs w:val="18"/>
              </w:rPr>
              <w:t xml:space="preserve">Cyto- and genotoxicity in </w:t>
            </w:r>
            <w:r>
              <w:rPr>
                <w:i/>
                <w:iCs/>
                <w:sz w:val="18"/>
                <w:szCs w:val="18"/>
              </w:rPr>
              <w:t xml:space="preserve">Astyanax </w:t>
            </w:r>
            <w:proofErr w:type="spellStart"/>
            <w:r>
              <w:rPr>
                <w:i/>
                <w:iCs/>
                <w:sz w:val="18"/>
                <w:szCs w:val="18"/>
              </w:rPr>
              <w:t>lacustris</w:t>
            </w:r>
            <w:proofErr w:type="spellEnd"/>
            <w:r>
              <w:rPr>
                <w:sz w:val="18"/>
                <w:szCs w:val="18"/>
              </w:rPr>
              <w:t xml:space="preserve"> reduced</w:t>
            </w:r>
          </w:p>
        </w:tc>
        <w:tc>
          <w:tcPr>
            <w:tcW w:w="831" w:type="pct"/>
            <w:tcMar>
              <w:top w:w="60" w:type="dxa"/>
              <w:left w:w="90" w:type="dxa"/>
              <w:bottom w:w="60" w:type="dxa"/>
              <w:right w:w="90" w:type="dxa"/>
            </w:tcMar>
          </w:tcPr>
          <w:p w14:paraId="722A9173" w14:textId="77777777" w:rsidR="00706FFA" w:rsidRDefault="00000000" w:rsidP="00E35ED2">
            <w:pPr>
              <w:spacing w:before="100" w:beforeAutospacing="1" w:after="100" w:afterAutospacing="1"/>
            </w:pPr>
            <w:r>
              <w:rPr>
                <w:sz w:val="18"/>
                <w:szCs w:val="18"/>
              </w:rPr>
              <w:t>Reduced</w:t>
            </w:r>
          </w:p>
        </w:tc>
        <w:tc>
          <w:tcPr>
            <w:tcW w:w="832" w:type="pct"/>
            <w:tcMar>
              <w:top w:w="60" w:type="dxa"/>
              <w:left w:w="90" w:type="dxa"/>
              <w:bottom w:w="60" w:type="dxa"/>
              <w:right w:w="90" w:type="dxa"/>
            </w:tcMar>
          </w:tcPr>
          <w:p w14:paraId="661AE83A" w14:textId="77777777" w:rsidR="00706FFA" w:rsidRDefault="00000000" w:rsidP="00E35ED2">
            <w:pPr>
              <w:spacing w:before="100" w:beforeAutospacing="1" w:after="100" w:afterAutospacing="1"/>
            </w:pPr>
            <w:r>
              <w:rPr>
                <w:sz w:val="18"/>
                <w:szCs w:val="18"/>
              </w:rPr>
              <w:t>da Silva et al. (2024, 2025)</w:t>
            </w:r>
          </w:p>
        </w:tc>
      </w:tr>
      <w:tr w:rsidR="00706FFA" w14:paraId="1BDB2560" w14:textId="77777777" w:rsidTr="00E35ED2">
        <w:tc>
          <w:tcPr>
            <w:tcW w:w="832" w:type="pct"/>
            <w:tcMar>
              <w:top w:w="60" w:type="dxa"/>
              <w:left w:w="90" w:type="dxa"/>
              <w:bottom w:w="60" w:type="dxa"/>
              <w:right w:w="90" w:type="dxa"/>
            </w:tcMar>
          </w:tcPr>
          <w:p w14:paraId="4A7E85E9" w14:textId="77777777" w:rsidR="00706FFA" w:rsidRDefault="00000000" w:rsidP="00E35ED2">
            <w:pPr>
              <w:spacing w:before="100" w:beforeAutospacing="1" w:after="100" w:afterAutospacing="1"/>
            </w:pPr>
            <w:r>
              <w:rPr>
                <w:sz w:val="18"/>
                <w:szCs w:val="18"/>
              </w:rPr>
              <w:lastRenderedPageBreak/>
              <w:t>Bacterial bioremediation</w:t>
            </w:r>
          </w:p>
        </w:tc>
        <w:tc>
          <w:tcPr>
            <w:tcW w:w="831" w:type="pct"/>
            <w:tcMar>
              <w:top w:w="60" w:type="dxa"/>
              <w:left w:w="90" w:type="dxa"/>
              <w:bottom w:w="60" w:type="dxa"/>
              <w:right w:w="90" w:type="dxa"/>
            </w:tcMar>
          </w:tcPr>
          <w:p w14:paraId="72E4285D" w14:textId="77777777" w:rsidR="00706FFA" w:rsidRDefault="00000000" w:rsidP="00E35ED2">
            <w:pPr>
              <w:spacing w:before="100" w:beforeAutospacing="1" w:after="100" w:afterAutospacing="1"/>
            </w:pPr>
            <w:r>
              <w:rPr>
                <w:sz w:val="18"/>
                <w:szCs w:val="18"/>
              </w:rPr>
              <w:t>Textile production effluent</w:t>
            </w:r>
          </w:p>
        </w:tc>
        <w:tc>
          <w:tcPr>
            <w:tcW w:w="841" w:type="pct"/>
            <w:tcMar>
              <w:top w:w="60" w:type="dxa"/>
              <w:left w:w="90" w:type="dxa"/>
              <w:bottom w:w="60" w:type="dxa"/>
              <w:right w:w="90" w:type="dxa"/>
            </w:tcMar>
          </w:tcPr>
          <w:p w14:paraId="35ED6721" w14:textId="77777777" w:rsidR="00706FFA" w:rsidRDefault="00000000" w:rsidP="00E35ED2">
            <w:pPr>
              <w:spacing w:before="100" w:beforeAutospacing="1" w:after="100" w:afterAutospacing="1"/>
            </w:pPr>
            <w:r>
              <w:rPr>
                <w:sz w:val="18"/>
                <w:szCs w:val="18"/>
              </w:rPr>
              <w:t>Partial biodegradation</w:t>
            </w:r>
          </w:p>
        </w:tc>
        <w:tc>
          <w:tcPr>
            <w:tcW w:w="833" w:type="pct"/>
            <w:tcMar>
              <w:top w:w="60" w:type="dxa"/>
              <w:left w:w="90" w:type="dxa"/>
              <w:bottom w:w="60" w:type="dxa"/>
              <w:right w:w="90" w:type="dxa"/>
            </w:tcMar>
          </w:tcPr>
          <w:p w14:paraId="6F9A33D4" w14:textId="77777777" w:rsidR="00706FFA" w:rsidRDefault="00000000" w:rsidP="00E35ED2">
            <w:pPr>
              <w:spacing w:before="100" w:beforeAutospacing="1" w:after="100" w:afterAutospacing="1"/>
            </w:pPr>
            <w:r>
              <w:rPr>
                <w:sz w:val="18"/>
                <w:szCs w:val="18"/>
              </w:rPr>
              <w:t xml:space="preserve">Damage in </w:t>
            </w:r>
            <w:r>
              <w:rPr>
                <w:i/>
                <w:iCs/>
                <w:sz w:val="18"/>
                <w:szCs w:val="18"/>
              </w:rPr>
              <w:t xml:space="preserve">Astyanax </w:t>
            </w:r>
            <w:proofErr w:type="spellStart"/>
            <w:r>
              <w:rPr>
                <w:i/>
                <w:iCs/>
                <w:sz w:val="18"/>
                <w:szCs w:val="18"/>
              </w:rPr>
              <w:t>lacustris</w:t>
            </w:r>
            <w:proofErr w:type="spellEnd"/>
            <w:r>
              <w:rPr>
                <w:sz w:val="18"/>
                <w:szCs w:val="18"/>
              </w:rPr>
              <w:t xml:space="preserve"> significantly above control after treatment</w:t>
            </w:r>
          </w:p>
        </w:tc>
        <w:tc>
          <w:tcPr>
            <w:tcW w:w="831" w:type="pct"/>
            <w:tcMar>
              <w:top w:w="60" w:type="dxa"/>
              <w:left w:w="90" w:type="dxa"/>
              <w:bottom w:w="60" w:type="dxa"/>
              <w:right w:w="90" w:type="dxa"/>
            </w:tcMar>
          </w:tcPr>
          <w:p w14:paraId="09C339DD" w14:textId="77777777" w:rsidR="00706FFA" w:rsidRDefault="00000000" w:rsidP="00E35ED2">
            <w:pPr>
              <w:spacing w:before="100" w:beforeAutospacing="1" w:after="100" w:afterAutospacing="1"/>
            </w:pPr>
            <w:r>
              <w:rPr>
                <w:sz w:val="18"/>
                <w:szCs w:val="18"/>
              </w:rPr>
              <w:t>Present</w:t>
            </w:r>
          </w:p>
        </w:tc>
        <w:tc>
          <w:tcPr>
            <w:tcW w:w="832" w:type="pct"/>
            <w:tcMar>
              <w:top w:w="60" w:type="dxa"/>
              <w:left w:w="90" w:type="dxa"/>
              <w:bottom w:w="60" w:type="dxa"/>
              <w:right w:w="90" w:type="dxa"/>
            </w:tcMar>
          </w:tcPr>
          <w:p w14:paraId="218F91DA" w14:textId="77777777" w:rsidR="00706FFA" w:rsidRDefault="00000000" w:rsidP="00E35ED2">
            <w:pPr>
              <w:spacing w:before="100" w:beforeAutospacing="1" w:after="100" w:afterAutospacing="1"/>
            </w:pPr>
            <w:r>
              <w:rPr>
                <w:sz w:val="18"/>
                <w:szCs w:val="18"/>
              </w:rPr>
              <w:t>da Silva et al. (2023)</w:t>
            </w:r>
          </w:p>
        </w:tc>
      </w:tr>
      <w:tr w:rsidR="00706FFA" w14:paraId="2F82E724" w14:textId="77777777" w:rsidTr="00E35ED2">
        <w:tc>
          <w:tcPr>
            <w:tcW w:w="832" w:type="pct"/>
            <w:tcMar>
              <w:top w:w="60" w:type="dxa"/>
              <w:left w:w="90" w:type="dxa"/>
              <w:bottom w:w="60" w:type="dxa"/>
              <w:right w:w="90" w:type="dxa"/>
            </w:tcMar>
          </w:tcPr>
          <w:p w14:paraId="41358ACC" w14:textId="77777777" w:rsidR="00706FFA" w:rsidRDefault="00000000" w:rsidP="00E35ED2">
            <w:pPr>
              <w:spacing w:before="100" w:beforeAutospacing="1" w:after="100" w:afterAutospacing="1"/>
            </w:pPr>
            <w:r>
              <w:rPr>
                <w:sz w:val="18"/>
                <w:szCs w:val="18"/>
              </w:rPr>
              <w:t>Full treatment train with wetland polishing</w:t>
            </w:r>
          </w:p>
        </w:tc>
        <w:tc>
          <w:tcPr>
            <w:tcW w:w="831" w:type="pct"/>
            <w:tcMar>
              <w:top w:w="60" w:type="dxa"/>
              <w:left w:w="90" w:type="dxa"/>
              <w:bottom w:w="60" w:type="dxa"/>
              <w:right w:w="90" w:type="dxa"/>
            </w:tcMar>
          </w:tcPr>
          <w:p w14:paraId="3E1A936B" w14:textId="77777777" w:rsidR="00706FFA" w:rsidRDefault="00000000" w:rsidP="00E35ED2">
            <w:pPr>
              <w:spacing w:before="100" w:beforeAutospacing="1" w:after="100" w:afterAutospacing="1"/>
            </w:pPr>
            <w:proofErr w:type="gramStart"/>
            <w:r>
              <w:rPr>
                <w:sz w:val="18"/>
                <w:szCs w:val="18"/>
              </w:rPr>
              <w:t>Textile park</w:t>
            </w:r>
            <w:proofErr w:type="gramEnd"/>
            <w:r>
              <w:rPr>
                <w:sz w:val="18"/>
                <w:szCs w:val="18"/>
              </w:rPr>
              <w:t xml:space="preserve"> effluents</w:t>
            </w:r>
          </w:p>
        </w:tc>
        <w:tc>
          <w:tcPr>
            <w:tcW w:w="841" w:type="pct"/>
            <w:tcMar>
              <w:top w:w="60" w:type="dxa"/>
              <w:left w:w="90" w:type="dxa"/>
              <w:bottom w:w="60" w:type="dxa"/>
              <w:right w:w="90" w:type="dxa"/>
            </w:tcMar>
          </w:tcPr>
          <w:p w14:paraId="1C964B83" w14:textId="77777777" w:rsidR="00706FFA" w:rsidRDefault="00000000" w:rsidP="00E35ED2">
            <w:pPr>
              <w:spacing w:before="100" w:beforeAutospacing="1" w:after="100" w:afterAutospacing="1"/>
            </w:pPr>
            <w:r>
              <w:rPr>
                <w:sz w:val="18"/>
                <w:szCs w:val="18"/>
              </w:rPr>
              <w:t>Compliance achieved in wetland effluent</w:t>
            </w:r>
          </w:p>
        </w:tc>
        <w:tc>
          <w:tcPr>
            <w:tcW w:w="833" w:type="pct"/>
            <w:tcMar>
              <w:top w:w="60" w:type="dxa"/>
              <w:left w:w="90" w:type="dxa"/>
              <w:bottom w:w="60" w:type="dxa"/>
              <w:right w:w="90" w:type="dxa"/>
            </w:tcMar>
          </w:tcPr>
          <w:p w14:paraId="4CDB99AF" w14:textId="77777777" w:rsidR="00706FFA" w:rsidRDefault="00000000" w:rsidP="00E35ED2">
            <w:pPr>
              <w:spacing w:before="100" w:beforeAutospacing="1" w:after="100" w:afterAutospacing="1"/>
            </w:pPr>
            <w:r>
              <w:rPr>
                <w:sz w:val="18"/>
                <w:szCs w:val="18"/>
              </w:rPr>
              <w:t>Zebrafish embryo toxic units reduced from 17.3</w:t>
            </w:r>
          </w:p>
        </w:tc>
        <w:tc>
          <w:tcPr>
            <w:tcW w:w="831" w:type="pct"/>
            <w:tcMar>
              <w:top w:w="60" w:type="dxa"/>
              <w:left w:w="90" w:type="dxa"/>
              <w:bottom w:w="60" w:type="dxa"/>
              <w:right w:w="90" w:type="dxa"/>
            </w:tcMar>
          </w:tcPr>
          <w:p w14:paraId="1FA3B827" w14:textId="77777777" w:rsidR="00706FFA" w:rsidRDefault="00000000" w:rsidP="00E35ED2">
            <w:pPr>
              <w:spacing w:before="100" w:beforeAutospacing="1" w:after="100" w:afterAutospacing="1"/>
            </w:pPr>
            <w:r>
              <w:rPr>
                <w:sz w:val="18"/>
                <w:szCs w:val="18"/>
              </w:rPr>
              <w:t>Removed only after wetland stage</w:t>
            </w:r>
          </w:p>
        </w:tc>
        <w:tc>
          <w:tcPr>
            <w:tcW w:w="832" w:type="pct"/>
            <w:tcMar>
              <w:top w:w="60" w:type="dxa"/>
              <w:left w:w="90" w:type="dxa"/>
              <w:bottom w:w="60" w:type="dxa"/>
              <w:right w:w="90" w:type="dxa"/>
            </w:tcMar>
          </w:tcPr>
          <w:p w14:paraId="66DC6105" w14:textId="77777777" w:rsidR="00706FFA" w:rsidRDefault="00000000" w:rsidP="00E35ED2">
            <w:pPr>
              <w:spacing w:before="100" w:beforeAutospacing="1" w:after="100" w:afterAutospacing="1"/>
            </w:pPr>
            <w:r>
              <w:rPr>
                <w:sz w:val="18"/>
                <w:szCs w:val="18"/>
              </w:rPr>
              <w:t>Peng et al. (2025)</w:t>
            </w:r>
          </w:p>
        </w:tc>
      </w:tr>
      <w:tr w:rsidR="00706FFA" w14:paraId="5D623C45" w14:textId="77777777" w:rsidTr="00E35ED2">
        <w:tc>
          <w:tcPr>
            <w:tcW w:w="832" w:type="pct"/>
            <w:tcMar>
              <w:top w:w="60" w:type="dxa"/>
              <w:left w:w="90" w:type="dxa"/>
              <w:bottom w:w="60" w:type="dxa"/>
              <w:right w:w="90" w:type="dxa"/>
            </w:tcMar>
          </w:tcPr>
          <w:p w14:paraId="4BEA2040" w14:textId="77777777" w:rsidR="00706FFA" w:rsidRDefault="00000000" w:rsidP="00E35ED2">
            <w:pPr>
              <w:spacing w:before="100" w:beforeAutospacing="1" w:after="100" w:afterAutospacing="1"/>
            </w:pPr>
            <w:r>
              <w:rPr>
                <w:sz w:val="18"/>
                <w:szCs w:val="18"/>
              </w:rPr>
              <w:t>Operational treatment plant final effluent</w:t>
            </w:r>
          </w:p>
        </w:tc>
        <w:tc>
          <w:tcPr>
            <w:tcW w:w="831" w:type="pct"/>
            <w:tcMar>
              <w:top w:w="60" w:type="dxa"/>
              <w:left w:w="90" w:type="dxa"/>
              <w:bottom w:w="60" w:type="dxa"/>
              <w:right w:w="90" w:type="dxa"/>
            </w:tcMar>
          </w:tcPr>
          <w:p w14:paraId="6FE41EB9" w14:textId="77777777" w:rsidR="00706FFA" w:rsidRDefault="00000000" w:rsidP="00E35ED2">
            <w:pPr>
              <w:spacing w:before="100" w:beforeAutospacing="1" w:after="100" w:afterAutospacing="1"/>
            </w:pPr>
            <w:r>
              <w:rPr>
                <w:sz w:val="18"/>
                <w:szCs w:val="18"/>
              </w:rPr>
              <w:t>Textile and dyeing wastewater</w:t>
            </w:r>
          </w:p>
        </w:tc>
        <w:tc>
          <w:tcPr>
            <w:tcW w:w="841" w:type="pct"/>
            <w:tcMar>
              <w:top w:w="60" w:type="dxa"/>
              <w:left w:w="90" w:type="dxa"/>
              <w:bottom w:w="60" w:type="dxa"/>
              <w:right w:w="90" w:type="dxa"/>
            </w:tcMar>
          </w:tcPr>
          <w:p w14:paraId="1D7B997E" w14:textId="77777777" w:rsidR="00706FFA" w:rsidRDefault="00000000" w:rsidP="00E35ED2">
            <w:pPr>
              <w:spacing w:before="100" w:beforeAutospacing="1" w:after="100" w:afterAutospacing="1"/>
            </w:pPr>
            <w:r>
              <w:rPr>
                <w:sz w:val="18"/>
                <w:szCs w:val="18"/>
              </w:rPr>
              <w:t>Compliant discharge</w:t>
            </w:r>
          </w:p>
        </w:tc>
        <w:tc>
          <w:tcPr>
            <w:tcW w:w="833" w:type="pct"/>
            <w:tcMar>
              <w:top w:w="60" w:type="dxa"/>
              <w:left w:w="90" w:type="dxa"/>
              <w:bottom w:w="60" w:type="dxa"/>
              <w:right w:w="90" w:type="dxa"/>
            </w:tcMar>
          </w:tcPr>
          <w:p w14:paraId="29BC3B09" w14:textId="77777777" w:rsidR="00706FFA" w:rsidRDefault="00000000" w:rsidP="00E35ED2">
            <w:pPr>
              <w:spacing w:before="100" w:beforeAutospacing="1" w:after="100" w:afterAutospacing="1"/>
            </w:pPr>
            <w:r>
              <w:rPr>
                <w:sz w:val="18"/>
                <w:szCs w:val="18"/>
              </w:rPr>
              <w:t>Growth inhibition, mortality, antioxidant change and dysbiosis in adult zebrafish</w:t>
            </w:r>
          </w:p>
        </w:tc>
        <w:tc>
          <w:tcPr>
            <w:tcW w:w="831" w:type="pct"/>
            <w:tcMar>
              <w:top w:w="60" w:type="dxa"/>
              <w:left w:w="90" w:type="dxa"/>
              <w:bottom w:w="60" w:type="dxa"/>
              <w:right w:w="90" w:type="dxa"/>
            </w:tcMar>
          </w:tcPr>
          <w:p w14:paraId="35318DF4" w14:textId="77777777" w:rsidR="00706FFA" w:rsidRDefault="00000000" w:rsidP="00E35ED2">
            <w:pPr>
              <w:spacing w:before="100" w:beforeAutospacing="1" w:after="100" w:afterAutospacing="1"/>
            </w:pPr>
            <w:r>
              <w:rPr>
                <w:sz w:val="18"/>
                <w:szCs w:val="18"/>
              </w:rPr>
              <w:t>Present</w:t>
            </w:r>
          </w:p>
        </w:tc>
        <w:tc>
          <w:tcPr>
            <w:tcW w:w="832" w:type="pct"/>
            <w:tcMar>
              <w:top w:w="60" w:type="dxa"/>
              <w:left w:w="90" w:type="dxa"/>
              <w:bottom w:w="60" w:type="dxa"/>
              <w:right w:w="90" w:type="dxa"/>
            </w:tcMar>
          </w:tcPr>
          <w:p w14:paraId="491FA0A2" w14:textId="77777777" w:rsidR="00706FFA" w:rsidRDefault="00000000" w:rsidP="00E35ED2">
            <w:pPr>
              <w:spacing w:before="100" w:beforeAutospacing="1" w:after="100" w:afterAutospacing="1"/>
            </w:pPr>
            <w:r>
              <w:rPr>
                <w:sz w:val="18"/>
                <w:szCs w:val="18"/>
              </w:rPr>
              <w:t>Li et al. (2023); Wang et al. (2021, 2023)</w:t>
            </w:r>
          </w:p>
        </w:tc>
      </w:tr>
    </w:tbl>
    <w:p w14:paraId="1CAEFF9B" w14:textId="77777777" w:rsidR="00706FFA" w:rsidRDefault="00000000" w:rsidP="00E35ED2">
      <w:pPr>
        <w:spacing w:before="100" w:beforeAutospacing="1" w:after="100" w:afterAutospacing="1"/>
      </w:pPr>
      <w:r>
        <w:rPr>
          <w:i/>
          <w:iCs/>
          <w:sz w:val="18"/>
          <w:szCs w:val="18"/>
        </w:rPr>
        <w:t xml:space="preserve">Note. </w:t>
      </w:r>
      <w:proofErr w:type="spellStart"/>
      <w:r>
        <w:rPr>
          <w:sz w:val="18"/>
          <w:szCs w:val="18"/>
        </w:rPr>
        <w:t>Thiobarbituric</w:t>
      </w:r>
      <w:proofErr w:type="spellEnd"/>
      <w:r>
        <w:rPr>
          <w:sz w:val="18"/>
          <w:szCs w:val="18"/>
        </w:rPr>
        <w:t xml:space="preserve"> acid reactive substances index lipid peroxidation. Toxicity units express the reciprocal of the effluent dilution producing a fifty per cent response. Percentage removals are as reported in the cited studies and are not directly comparable because influent characteristics differ.</w:t>
      </w:r>
    </w:p>
    <w:p w14:paraId="00909D4D" w14:textId="77777777" w:rsidR="00706FFA" w:rsidRDefault="00000000" w:rsidP="00E35ED2">
      <w:pPr>
        <w:pStyle w:val="Heading1"/>
        <w:spacing w:before="100" w:beforeAutospacing="1" w:after="100" w:afterAutospacing="1"/>
      </w:pPr>
      <w:r>
        <w:rPr>
          <w:b/>
          <w:bCs/>
          <w:color w:val="000000"/>
          <w:sz w:val="26"/>
          <w:szCs w:val="26"/>
        </w:rPr>
        <w:t>9. Methodological quality of the evidence base</w:t>
      </w:r>
    </w:p>
    <w:p w14:paraId="46EF4B18" w14:textId="77777777" w:rsidR="00706FFA" w:rsidRDefault="00000000" w:rsidP="00E35ED2">
      <w:pPr>
        <w:spacing w:before="100" w:beforeAutospacing="1" w:after="100" w:afterAutospacing="1"/>
        <w:jc w:val="both"/>
      </w:pPr>
      <w:r>
        <w:t>The recurring weaknesses are structural rather than incidental, and they explain most of the interpretive difficulty documented above. Exposure concentrations are predominantly nominal; analytical confirmation was reported in a small minority of studies, of which the fathead minnow chronic work is the clearest example in basing its lethal concentrations on measured values (Parrott et al., 2016). Because dyes adsorb to tank surfaces, partition to particulates and photodegrade, nominal concentrations overestimate exposure by an unknown margin that varies with dye class, and reported effect concentrations are not comparable across studies.</w:t>
      </w:r>
    </w:p>
    <w:p w14:paraId="6520B36E" w14:textId="77777777" w:rsidR="00706FFA" w:rsidRDefault="00000000" w:rsidP="00E35ED2">
      <w:pPr>
        <w:spacing w:before="100" w:beforeAutospacing="1" w:after="100" w:afterAutospacing="1"/>
        <w:jc w:val="both"/>
      </w:pPr>
      <w:r>
        <w:t>Unit and dose expression are frequently irreconcilable, with concentrations appearing as mass per volume, millimolar, percentage volume dilution, fractions of a median lethal concentration and mass per unit body mass, the last implying an administered rather than waterborne dose while the exposure is described as aquatic. In one study the median lethal concentration is stated in grams per litre and the sublethal concentrations in milligrams per litre, with values differing by four orders of magnitude and the discrepancy unaddressed (Hussain et al., 2021). Where body-mass-normalised doses are used without conversion to water concentration, cross-study comparison is impossible (Mehra &amp; Chadha, 2021).</w:t>
      </w:r>
    </w:p>
    <w:p w14:paraId="329074DA" w14:textId="77777777" w:rsidR="00706FFA" w:rsidRDefault="00000000" w:rsidP="00E35ED2">
      <w:pPr>
        <w:spacing w:before="100" w:beforeAutospacing="1" w:after="100" w:afterAutospacing="1"/>
        <w:jc w:val="both"/>
      </w:pPr>
      <w:r>
        <w:t>Statistical and design limitations are common. Replication is frequently at the level of the individual fish rather than the tank, and the number of independent replicate tanks is often unstated. Blinding of observer-scored histopathological and cytogenetic endpoints is rarely reported, and sample sizes for cytogenetic work are sometimes very small, with one design using four fish per condition in triplicate across five conditions (da Silva et al., 2023, 2025). Correction for multiple comparisons is seldom described despite panels of ten or more enzymes being tested across several tissues and time points, which inflates the family-wise error rate and supplies a straightforward statistical contribution to the directional inconsistency documented in Section 4.</w:t>
      </w:r>
    </w:p>
    <w:p w14:paraId="6ADFACA1" w14:textId="77777777" w:rsidR="00706FFA" w:rsidRDefault="00000000" w:rsidP="00E35ED2">
      <w:pPr>
        <w:spacing w:before="100" w:beforeAutospacing="1" w:after="100" w:afterAutospacing="1"/>
        <w:jc w:val="both"/>
      </w:pPr>
      <w:r>
        <w:lastRenderedPageBreak/>
        <w:t xml:space="preserve">Geographical and taxonomic concentration limits generalisability. Most whole-effluent and single-dye studies on juvenile and adult fish originate from South Asia, with substantial contributions from Brazil, China and Türkiye and comparatively little from Africa despite major dyeing industries and documented effluent impacts there (Ayoola et al., 2012; Teta &amp; Naik, 2017). Species selection is dominated by </w:t>
      </w:r>
      <w:r>
        <w:rPr>
          <w:i/>
          <w:iCs/>
        </w:rPr>
        <w:t>Danio rerio</w:t>
      </w:r>
      <w:r>
        <w:t xml:space="preserve"> for developmental work and by </w:t>
      </w:r>
      <w:proofErr w:type="spellStart"/>
      <w:r>
        <w:rPr>
          <w:i/>
          <w:iCs/>
        </w:rPr>
        <w:t>Labeo</w:t>
      </w:r>
      <w:proofErr w:type="spellEnd"/>
      <w:r>
        <w:rPr>
          <w:i/>
          <w:iCs/>
        </w:rPr>
        <w:t xml:space="preserve"> </w:t>
      </w:r>
      <w:proofErr w:type="spellStart"/>
      <w:r>
        <w:rPr>
          <w:i/>
          <w:iCs/>
        </w:rPr>
        <w:t>rohita</w:t>
      </w:r>
      <w:proofErr w:type="spellEnd"/>
      <w:r>
        <w:t xml:space="preserve">, </w:t>
      </w:r>
      <w:r>
        <w:rPr>
          <w:i/>
          <w:iCs/>
        </w:rPr>
        <w:t>Channa punctata</w:t>
      </w:r>
      <w:r>
        <w:t xml:space="preserve">, </w:t>
      </w:r>
      <w:r>
        <w:rPr>
          <w:i/>
          <w:iCs/>
        </w:rPr>
        <w:t>Cyprinus carpio</w:t>
      </w:r>
      <w:r>
        <w:t xml:space="preserve"> and </w:t>
      </w:r>
      <w:r>
        <w:rPr>
          <w:i/>
          <w:iCs/>
        </w:rPr>
        <w:t>Oreochromis niloticus</w:t>
      </w:r>
      <w:r>
        <w:t xml:space="preserve"> otherwise, while air-breathing species common in the shallow, hypoxic waters of dyeing districts appear in only a few studies (Naz &amp; </w:t>
      </w:r>
      <w:proofErr w:type="spellStart"/>
      <w:r>
        <w:t>Vaseem</w:t>
      </w:r>
      <w:proofErr w:type="spellEnd"/>
      <w:r>
        <w:t>, 2024, 2025, 2026). Because accessory respiration alters both exposure route and hypoxia tolerance, findings in obligate water-breathers may not transfer.</w:t>
      </w:r>
    </w:p>
    <w:p w14:paraId="21EE89BC" w14:textId="77777777" w:rsidR="00706FFA" w:rsidRDefault="00000000" w:rsidP="00E35ED2">
      <w:pPr>
        <w:spacing w:before="100" w:beforeAutospacing="1" w:after="100" w:afterAutospacing="1"/>
        <w:jc w:val="both"/>
      </w:pPr>
      <w:r>
        <w:t xml:space="preserve">Publication and reporting bias should be assumed. No study located for this review reports absence of effect as its principal finding, with the partial exceptions of the Acid Black 210 assessment (Rocha et al., 2017) and the </w:t>
      </w:r>
      <w:proofErr w:type="spellStart"/>
      <w:r>
        <w:t>anthracenedione</w:t>
      </w:r>
      <w:proofErr w:type="spellEnd"/>
      <w:r>
        <w:t xml:space="preserve"> arm of the fathead minnow study (Parrott et al., 2016). A literature in which almost every tested dye produces effects is better explained by selective reporting and by concentration selection aimed at demonstrating effect than by uniform hazard across the many dyes in commerce. Table 5 summarises these limitations, their consequences and the available remedies.</w:t>
      </w:r>
    </w:p>
    <w:p w14:paraId="5726C4D7" w14:textId="77777777" w:rsidR="00706FFA" w:rsidRDefault="00000000" w:rsidP="00E35ED2">
      <w:pPr>
        <w:spacing w:before="100" w:beforeAutospacing="1" w:after="100" w:afterAutospacing="1"/>
      </w:pPr>
      <w:r>
        <w:rPr>
          <w:b/>
          <w:bCs/>
          <w:sz w:val="22"/>
          <w:szCs w:val="22"/>
        </w:rPr>
        <w:t>Table 5</w:t>
      </w:r>
    </w:p>
    <w:p w14:paraId="055A5A41" w14:textId="77777777" w:rsidR="00706FFA" w:rsidRDefault="00000000" w:rsidP="00E35ED2">
      <w:pPr>
        <w:spacing w:before="100" w:beforeAutospacing="1" w:after="100" w:afterAutospacing="1"/>
      </w:pPr>
      <w:r>
        <w:rPr>
          <w:i/>
          <w:iCs/>
          <w:sz w:val="22"/>
          <w:szCs w:val="22"/>
        </w:rPr>
        <w:t>Methodological limitations of the evidence base, their consequences and available remedies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804"/>
        <w:gridCol w:w="1803"/>
        <w:gridCol w:w="1803"/>
        <w:gridCol w:w="1803"/>
        <w:gridCol w:w="1803"/>
      </w:tblGrid>
      <w:tr w:rsidR="00706FFA" w14:paraId="042FA67B" w14:textId="77777777" w:rsidTr="00E35ED2">
        <w:trPr>
          <w:tblHeader/>
        </w:trPr>
        <w:tc>
          <w:tcPr>
            <w:tcW w:w="1000" w:type="pct"/>
            <w:shd w:val="clear" w:color="auto" w:fill="EDEDED"/>
            <w:tcMar>
              <w:top w:w="60" w:type="dxa"/>
              <w:left w:w="90" w:type="dxa"/>
              <w:bottom w:w="60" w:type="dxa"/>
              <w:right w:w="90" w:type="dxa"/>
            </w:tcMar>
          </w:tcPr>
          <w:p w14:paraId="76452389" w14:textId="77777777" w:rsidR="00706FFA" w:rsidRDefault="00000000" w:rsidP="00E35ED2">
            <w:pPr>
              <w:spacing w:before="100" w:beforeAutospacing="1" w:after="100" w:afterAutospacing="1"/>
            </w:pPr>
            <w:r>
              <w:rPr>
                <w:b/>
                <w:bCs/>
                <w:sz w:val="18"/>
                <w:szCs w:val="18"/>
              </w:rPr>
              <w:t>Limitation</w:t>
            </w:r>
          </w:p>
        </w:tc>
        <w:tc>
          <w:tcPr>
            <w:tcW w:w="1000" w:type="pct"/>
            <w:shd w:val="clear" w:color="auto" w:fill="EDEDED"/>
            <w:tcMar>
              <w:top w:w="60" w:type="dxa"/>
              <w:left w:w="90" w:type="dxa"/>
              <w:bottom w:w="60" w:type="dxa"/>
              <w:right w:w="90" w:type="dxa"/>
            </w:tcMar>
          </w:tcPr>
          <w:p w14:paraId="55713A40" w14:textId="77777777" w:rsidR="00706FFA" w:rsidRDefault="00000000" w:rsidP="00E35ED2">
            <w:pPr>
              <w:spacing w:before="100" w:beforeAutospacing="1" w:after="100" w:afterAutospacing="1"/>
            </w:pPr>
            <w:r>
              <w:rPr>
                <w:b/>
                <w:bCs/>
                <w:sz w:val="18"/>
                <w:szCs w:val="18"/>
              </w:rPr>
              <w:t>Prevalence in the reviewed literature</w:t>
            </w:r>
          </w:p>
        </w:tc>
        <w:tc>
          <w:tcPr>
            <w:tcW w:w="1000" w:type="pct"/>
            <w:shd w:val="clear" w:color="auto" w:fill="EDEDED"/>
            <w:tcMar>
              <w:top w:w="60" w:type="dxa"/>
              <w:left w:w="90" w:type="dxa"/>
              <w:bottom w:w="60" w:type="dxa"/>
              <w:right w:w="90" w:type="dxa"/>
            </w:tcMar>
          </w:tcPr>
          <w:p w14:paraId="73D49046" w14:textId="77777777" w:rsidR="00706FFA" w:rsidRDefault="00000000" w:rsidP="00E35ED2">
            <w:pPr>
              <w:spacing w:before="100" w:beforeAutospacing="1" w:after="100" w:afterAutospacing="1"/>
            </w:pPr>
            <w:r>
              <w:rPr>
                <w:b/>
                <w:bCs/>
                <w:sz w:val="18"/>
                <w:szCs w:val="18"/>
              </w:rPr>
              <w:t>Consequence for inference</w:t>
            </w:r>
          </w:p>
        </w:tc>
        <w:tc>
          <w:tcPr>
            <w:tcW w:w="1000" w:type="pct"/>
            <w:shd w:val="clear" w:color="auto" w:fill="EDEDED"/>
            <w:tcMar>
              <w:top w:w="60" w:type="dxa"/>
              <w:left w:w="90" w:type="dxa"/>
              <w:bottom w:w="60" w:type="dxa"/>
              <w:right w:w="90" w:type="dxa"/>
            </w:tcMar>
          </w:tcPr>
          <w:p w14:paraId="3CAFC444" w14:textId="77777777" w:rsidR="00706FFA" w:rsidRDefault="00000000" w:rsidP="00E35ED2">
            <w:pPr>
              <w:spacing w:before="100" w:beforeAutospacing="1" w:after="100" w:afterAutospacing="1"/>
            </w:pPr>
            <w:r>
              <w:rPr>
                <w:b/>
                <w:bCs/>
                <w:sz w:val="18"/>
                <w:szCs w:val="18"/>
              </w:rPr>
              <w:t>Available remedy</w:t>
            </w:r>
          </w:p>
        </w:tc>
        <w:tc>
          <w:tcPr>
            <w:tcW w:w="1000" w:type="pct"/>
            <w:shd w:val="clear" w:color="auto" w:fill="EDEDED"/>
            <w:tcMar>
              <w:top w:w="60" w:type="dxa"/>
              <w:left w:w="90" w:type="dxa"/>
              <w:bottom w:w="60" w:type="dxa"/>
              <w:right w:w="90" w:type="dxa"/>
            </w:tcMar>
          </w:tcPr>
          <w:p w14:paraId="3E0941D7" w14:textId="77777777" w:rsidR="00706FFA" w:rsidRDefault="00000000" w:rsidP="00E35ED2">
            <w:pPr>
              <w:spacing w:before="100" w:beforeAutospacing="1" w:after="100" w:afterAutospacing="1"/>
            </w:pPr>
            <w:r>
              <w:rPr>
                <w:b/>
                <w:bCs/>
                <w:sz w:val="18"/>
                <w:szCs w:val="18"/>
              </w:rPr>
              <w:t>Supporting references</w:t>
            </w:r>
          </w:p>
        </w:tc>
      </w:tr>
      <w:tr w:rsidR="00706FFA" w14:paraId="3A30EC6D" w14:textId="77777777" w:rsidTr="00E35ED2">
        <w:tc>
          <w:tcPr>
            <w:tcW w:w="1000" w:type="pct"/>
            <w:tcMar>
              <w:top w:w="60" w:type="dxa"/>
              <w:left w:w="90" w:type="dxa"/>
              <w:bottom w:w="60" w:type="dxa"/>
              <w:right w:w="90" w:type="dxa"/>
            </w:tcMar>
          </w:tcPr>
          <w:p w14:paraId="33127A33" w14:textId="77777777" w:rsidR="00706FFA" w:rsidRDefault="00000000" w:rsidP="00E35ED2">
            <w:pPr>
              <w:spacing w:before="100" w:beforeAutospacing="1" w:after="100" w:afterAutospacing="1"/>
            </w:pPr>
            <w:r>
              <w:rPr>
                <w:sz w:val="18"/>
                <w:szCs w:val="18"/>
              </w:rPr>
              <w:t>Nominal rather than measured exposure concentrations</w:t>
            </w:r>
          </w:p>
        </w:tc>
        <w:tc>
          <w:tcPr>
            <w:tcW w:w="1000" w:type="pct"/>
            <w:tcMar>
              <w:top w:w="60" w:type="dxa"/>
              <w:left w:w="90" w:type="dxa"/>
              <w:bottom w:w="60" w:type="dxa"/>
              <w:right w:w="90" w:type="dxa"/>
            </w:tcMar>
          </w:tcPr>
          <w:p w14:paraId="66E6D53C" w14:textId="77777777" w:rsidR="00706FFA" w:rsidRDefault="00000000" w:rsidP="00E35ED2">
            <w:pPr>
              <w:spacing w:before="100" w:beforeAutospacing="1" w:after="100" w:afterAutospacing="1"/>
            </w:pPr>
            <w:r>
              <w:rPr>
                <w:sz w:val="18"/>
                <w:szCs w:val="18"/>
              </w:rPr>
              <w:t>Predominant</w:t>
            </w:r>
          </w:p>
        </w:tc>
        <w:tc>
          <w:tcPr>
            <w:tcW w:w="1000" w:type="pct"/>
            <w:tcMar>
              <w:top w:w="60" w:type="dxa"/>
              <w:left w:w="90" w:type="dxa"/>
              <w:bottom w:w="60" w:type="dxa"/>
              <w:right w:w="90" w:type="dxa"/>
            </w:tcMar>
          </w:tcPr>
          <w:p w14:paraId="408F4F6A" w14:textId="77777777" w:rsidR="00706FFA" w:rsidRDefault="00000000" w:rsidP="00E35ED2">
            <w:pPr>
              <w:spacing w:before="100" w:beforeAutospacing="1" w:after="100" w:afterAutospacing="1"/>
            </w:pPr>
            <w:r>
              <w:rPr>
                <w:sz w:val="18"/>
                <w:szCs w:val="18"/>
              </w:rPr>
              <w:t xml:space="preserve">Effect concentrations not comparable across studies; potency systematically </w:t>
            </w:r>
            <w:proofErr w:type="spellStart"/>
            <w:r>
              <w:rPr>
                <w:sz w:val="18"/>
                <w:szCs w:val="18"/>
              </w:rPr>
              <w:t>misestimated</w:t>
            </w:r>
            <w:proofErr w:type="spellEnd"/>
          </w:p>
        </w:tc>
        <w:tc>
          <w:tcPr>
            <w:tcW w:w="1000" w:type="pct"/>
            <w:tcMar>
              <w:top w:w="60" w:type="dxa"/>
              <w:left w:w="90" w:type="dxa"/>
              <w:bottom w:w="60" w:type="dxa"/>
              <w:right w:w="90" w:type="dxa"/>
            </w:tcMar>
          </w:tcPr>
          <w:p w14:paraId="54E66F92" w14:textId="77777777" w:rsidR="00706FFA" w:rsidRDefault="00000000" w:rsidP="00E35ED2">
            <w:pPr>
              <w:spacing w:before="100" w:beforeAutospacing="1" w:after="100" w:afterAutospacing="1"/>
            </w:pPr>
            <w:r>
              <w:rPr>
                <w:sz w:val="18"/>
                <w:szCs w:val="18"/>
              </w:rPr>
              <w:t>Analytical verification of exposure water at intervals through the test</w:t>
            </w:r>
          </w:p>
        </w:tc>
        <w:tc>
          <w:tcPr>
            <w:tcW w:w="1000" w:type="pct"/>
            <w:tcMar>
              <w:top w:w="60" w:type="dxa"/>
              <w:left w:w="90" w:type="dxa"/>
              <w:bottom w:w="60" w:type="dxa"/>
              <w:right w:w="90" w:type="dxa"/>
            </w:tcMar>
          </w:tcPr>
          <w:p w14:paraId="27531A9E" w14:textId="77777777" w:rsidR="00706FFA" w:rsidRDefault="00000000" w:rsidP="00E35ED2">
            <w:pPr>
              <w:spacing w:before="100" w:beforeAutospacing="1" w:after="100" w:afterAutospacing="1"/>
            </w:pPr>
            <w:r>
              <w:rPr>
                <w:sz w:val="18"/>
                <w:szCs w:val="18"/>
              </w:rPr>
              <w:t>Parrott et al. (2016)</w:t>
            </w:r>
          </w:p>
        </w:tc>
      </w:tr>
      <w:tr w:rsidR="00706FFA" w14:paraId="45629139" w14:textId="77777777" w:rsidTr="00E35ED2">
        <w:tc>
          <w:tcPr>
            <w:tcW w:w="1000" w:type="pct"/>
            <w:tcMar>
              <w:top w:w="60" w:type="dxa"/>
              <w:left w:w="90" w:type="dxa"/>
              <w:bottom w:w="60" w:type="dxa"/>
              <w:right w:w="90" w:type="dxa"/>
            </w:tcMar>
          </w:tcPr>
          <w:p w14:paraId="01EAE0F3" w14:textId="77777777" w:rsidR="00706FFA" w:rsidRDefault="00000000" w:rsidP="00E35ED2">
            <w:pPr>
              <w:spacing w:before="100" w:beforeAutospacing="1" w:after="100" w:afterAutospacing="1"/>
            </w:pPr>
            <w:r>
              <w:rPr>
                <w:sz w:val="18"/>
                <w:szCs w:val="18"/>
              </w:rPr>
              <w:t>Incommensurable concentration units and dose metrics</w:t>
            </w:r>
          </w:p>
        </w:tc>
        <w:tc>
          <w:tcPr>
            <w:tcW w:w="1000" w:type="pct"/>
            <w:tcMar>
              <w:top w:w="60" w:type="dxa"/>
              <w:left w:w="90" w:type="dxa"/>
              <w:bottom w:w="60" w:type="dxa"/>
              <w:right w:w="90" w:type="dxa"/>
            </w:tcMar>
          </w:tcPr>
          <w:p w14:paraId="2AC48B77"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51272F1F" w14:textId="77777777" w:rsidR="00706FFA" w:rsidRDefault="00000000" w:rsidP="00E35ED2">
            <w:pPr>
              <w:spacing w:before="100" w:beforeAutospacing="1" w:after="100" w:afterAutospacing="1"/>
            </w:pPr>
            <w:r>
              <w:rPr>
                <w:sz w:val="18"/>
                <w:szCs w:val="18"/>
              </w:rPr>
              <w:t>Cross-study comparison and meta-analysis precluded</w:t>
            </w:r>
          </w:p>
        </w:tc>
        <w:tc>
          <w:tcPr>
            <w:tcW w:w="1000" w:type="pct"/>
            <w:tcMar>
              <w:top w:w="60" w:type="dxa"/>
              <w:left w:w="90" w:type="dxa"/>
              <w:bottom w:w="60" w:type="dxa"/>
              <w:right w:w="90" w:type="dxa"/>
            </w:tcMar>
          </w:tcPr>
          <w:p w14:paraId="67478F67" w14:textId="77777777" w:rsidR="00706FFA" w:rsidRDefault="00000000" w:rsidP="00E35ED2">
            <w:pPr>
              <w:spacing w:before="100" w:beforeAutospacing="1" w:after="100" w:afterAutospacing="1"/>
            </w:pPr>
            <w:r>
              <w:rPr>
                <w:sz w:val="18"/>
                <w:szCs w:val="18"/>
              </w:rPr>
              <w:t>Reporting of waterborne concentration in mass per volume alongside any derived metric</w:t>
            </w:r>
          </w:p>
        </w:tc>
        <w:tc>
          <w:tcPr>
            <w:tcW w:w="1000" w:type="pct"/>
            <w:tcMar>
              <w:top w:w="60" w:type="dxa"/>
              <w:left w:w="90" w:type="dxa"/>
              <w:bottom w:w="60" w:type="dxa"/>
              <w:right w:w="90" w:type="dxa"/>
            </w:tcMar>
          </w:tcPr>
          <w:p w14:paraId="3F5545C6" w14:textId="77777777" w:rsidR="00706FFA" w:rsidRDefault="00000000" w:rsidP="00E35ED2">
            <w:pPr>
              <w:spacing w:before="100" w:beforeAutospacing="1" w:after="100" w:afterAutospacing="1"/>
            </w:pPr>
            <w:r>
              <w:rPr>
                <w:sz w:val="18"/>
                <w:szCs w:val="18"/>
              </w:rPr>
              <w:t>Hussain et al. (2021); Mehra &amp; Chadha (2021)</w:t>
            </w:r>
          </w:p>
        </w:tc>
      </w:tr>
      <w:tr w:rsidR="00706FFA" w14:paraId="4C999642" w14:textId="77777777" w:rsidTr="00E35ED2">
        <w:tc>
          <w:tcPr>
            <w:tcW w:w="1000" w:type="pct"/>
            <w:tcMar>
              <w:top w:w="60" w:type="dxa"/>
              <w:left w:w="90" w:type="dxa"/>
              <w:bottom w:w="60" w:type="dxa"/>
              <w:right w:w="90" w:type="dxa"/>
            </w:tcMar>
          </w:tcPr>
          <w:p w14:paraId="716A1ECE" w14:textId="77777777" w:rsidR="00706FFA" w:rsidRDefault="00000000" w:rsidP="00E35ED2">
            <w:pPr>
              <w:spacing w:before="100" w:beforeAutospacing="1" w:after="100" w:afterAutospacing="1"/>
            </w:pPr>
            <w:r>
              <w:rPr>
                <w:sz w:val="18"/>
                <w:szCs w:val="18"/>
              </w:rPr>
              <w:t>Unreported water quality covariates in effluent exposures</w:t>
            </w:r>
          </w:p>
        </w:tc>
        <w:tc>
          <w:tcPr>
            <w:tcW w:w="1000" w:type="pct"/>
            <w:tcMar>
              <w:top w:w="60" w:type="dxa"/>
              <w:left w:w="90" w:type="dxa"/>
              <w:bottom w:w="60" w:type="dxa"/>
              <w:right w:w="90" w:type="dxa"/>
            </w:tcMar>
          </w:tcPr>
          <w:p w14:paraId="0F2CC2A5"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4333E685" w14:textId="77777777" w:rsidR="00706FFA" w:rsidRDefault="00000000" w:rsidP="00E35ED2">
            <w:pPr>
              <w:spacing w:before="100" w:beforeAutospacing="1" w:after="100" w:afterAutospacing="1"/>
            </w:pPr>
            <w:r>
              <w:rPr>
                <w:sz w:val="18"/>
                <w:szCs w:val="18"/>
              </w:rPr>
              <w:t>Osmoregulatory and ammonia stress cannot be excluded as causes</w:t>
            </w:r>
          </w:p>
        </w:tc>
        <w:tc>
          <w:tcPr>
            <w:tcW w:w="1000" w:type="pct"/>
            <w:tcMar>
              <w:top w:w="60" w:type="dxa"/>
              <w:left w:w="90" w:type="dxa"/>
              <w:bottom w:w="60" w:type="dxa"/>
              <w:right w:w="90" w:type="dxa"/>
            </w:tcMar>
          </w:tcPr>
          <w:p w14:paraId="391F4718" w14:textId="77777777" w:rsidR="00706FFA" w:rsidRDefault="00000000" w:rsidP="00E35ED2">
            <w:pPr>
              <w:spacing w:before="100" w:beforeAutospacing="1" w:after="100" w:afterAutospacing="1"/>
            </w:pPr>
            <w:r>
              <w:rPr>
                <w:sz w:val="18"/>
                <w:szCs w:val="18"/>
              </w:rPr>
              <w:t>Full physicochemical characterisation reported with biological endpoints</w:t>
            </w:r>
          </w:p>
        </w:tc>
        <w:tc>
          <w:tcPr>
            <w:tcW w:w="1000" w:type="pct"/>
            <w:tcMar>
              <w:top w:w="60" w:type="dxa"/>
              <w:left w:w="90" w:type="dxa"/>
              <w:bottom w:w="60" w:type="dxa"/>
              <w:right w:w="90" w:type="dxa"/>
            </w:tcMar>
          </w:tcPr>
          <w:p w14:paraId="7FF74832" w14:textId="77777777" w:rsidR="00706FFA" w:rsidRDefault="00000000" w:rsidP="00E35ED2">
            <w:pPr>
              <w:spacing w:before="100" w:beforeAutospacing="1" w:after="100" w:afterAutospacing="1"/>
            </w:pPr>
            <w:r>
              <w:rPr>
                <w:sz w:val="18"/>
                <w:szCs w:val="18"/>
              </w:rPr>
              <w:t>Watharkar et al. (2015); Peng et al. (2025)</w:t>
            </w:r>
          </w:p>
        </w:tc>
      </w:tr>
      <w:tr w:rsidR="00706FFA" w14:paraId="76694637" w14:textId="77777777" w:rsidTr="00E35ED2">
        <w:tc>
          <w:tcPr>
            <w:tcW w:w="1000" w:type="pct"/>
            <w:tcMar>
              <w:top w:w="60" w:type="dxa"/>
              <w:left w:w="90" w:type="dxa"/>
              <w:bottom w:w="60" w:type="dxa"/>
              <w:right w:w="90" w:type="dxa"/>
            </w:tcMar>
          </w:tcPr>
          <w:p w14:paraId="3B2631A0" w14:textId="77777777" w:rsidR="00706FFA" w:rsidRDefault="00000000" w:rsidP="00E35ED2">
            <w:pPr>
              <w:spacing w:before="100" w:beforeAutospacing="1" w:after="100" w:afterAutospacing="1"/>
            </w:pPr>
            <w:r>
              <w:rPr>
                <w:sz w:val="18"/>
                <w:szCs w:val="18"/>
              </w:rPr>
              <w:t>Absence of chemical attribution within effluent</w:t>
            </w:r>
          </w:p>
        </w:tc>
        <w:tc>
          <w:tcPr>
            <w:tcW w:w="1000" w:type="pct"/>
            <w:tcMar>
              <w:top w:w="60" w:type="dxa"/>
              <w:left w:w="90" w:type="dxa"/>
              <w:bottom w:w="60" w:type="dxa"/>
              <w:right w:w="90" w:type="dxa"/>
            </w:tcMar>
          </w:tcPr>
          <w:p w14:paraId="434AA430" w14:textId="77777777" w:rsidR="00706FFA" w:rsidRDefault="00000000" w:rsidP="00E35ED2">
            <w:pPr>
              <w:spacing w:before="100" w:beforeAutospacing="1" w:after="100" w:afterAutospacing="1"/>
            </w:pPr>
            <w:r>
              <w:rPr>
                <w:sz w:val="18"/>
                <w:szCs w:val="18"/>
              </w:rPr>
              <w:t>Almost universal</w:t>
            </w:r>
          </w:p>
        </w:tc>
        <w:tc>
          <w:tcPr>
            <w:tcW w:w="1000" w:type="pct"/>
            <w:tcMar>
              <w:top w:w="60" w:type="dxa"/>
              <w:left w:w="90" w:type="dxa"/>
              <w:bottom w:w="60" w:type="dxa"/>
              <w:right w:w="90" w:type="dxa"/>
            </w:tcMar>
          </w:tcPr>
          <w:p w14:paraId="21898FD8" w14:textId="77777777" w:rsidR="00706FFA" w:rsidRDefault="00000000" w:rsidP="00E35ED2">
            <w:pPr>
              <w:spacing w:before="100" w:beforeAutospacing="1" w:after="100" w:afterAutospacing="1"/>
            </w:pPr>
            <w:r>
              <w:rPr>
                <w:sz w:val="18"/>
                <w:szCs w:val="18"/>
              </w:rPr>
              <w:t>Effects attributed to dyes may originate in metals, surfactants or oxidants</w:t>
            </w:r>
          </w:p>
        </w:tc>
        <w:tc>
          <w:tcPr>
            <w:tcW w:w="1000" w:type="pct"/>
            <w:tcMar>
              <w:top w:w="60" w:type="dxa"/>
              <w:left w:w="90" w:type="dxa"/>
              <w:bottom w:w="60" w:type="dxa"/>
              <w:right w:w="90" w:type="dxa"/>
            </w:tcMar>
          </w:tcPr>
          <w:p w14:paraId="3560131B" w14:textId="77777777" w:rsidR="00706FFA" w:rsidRDefault="00000000" w:rsidP="00E35ED2">
            <w:pPr>
              <w:spacing w:before="100" w:beforeAutospacing="1" w:after="100" w:afterAutospacing="1"/>
            </w:pPr>
            <w:r>
              <w:rPr>
                <w:sz w:val="18"/>
                <w:szCs w:val="18"/>
              </w:rPr>
              <w:t>Effect-directed analysis with fractionation and confirmatory fish testing</w:t>
            </w:r>
          </w:p>
        </w:tc>
        <w:tc>
          <w:tcPr>
            <w:tcW w:w="1000" w:type="pct"/>
            <w:tcMar>
              <w:top w:w="60" w:type="dxa"/>
              <w:left w:w="90" w:type="dxa"/>
              <w:bottom w:w="60" w:type="dxa"/>
              <w:right w:w="90" w:type="dxa"/>
            </w:tcMar>
          </w:tcPr>
          <w:p w14:paraId="41C9D125" w14:textId="77777777" w:rsidR="00706FFA" w:rsidRDefault="00000000" w:rsidP="00E35ED2">
            <w:pPr>
              <w:spacing w:before="100" w:beforeAutospacing="1" w:after="100" w:afterAutospacing="1"/>
            </w:pPr>
            <w:r>
              <w:rPr>
                <w:sz w:val="18"/>
                <w:szCs w:val="18"/>
              </w:rPr>
              <w:t>Peng et al. (2025); Sanyal et al. (2015)</w:t>
            </w:r>
          </w:p>
        </w:tc>
      </w:tr>
      <w:tr w:rsidR="00706FFA" w14:paraId="1064AC1B" w14:textId="77777777" w:rsidTr="00E35ED2">
        <w:tc>
          <w:tcPr>
            <w:tcW w:w="1000" w:type="pct"/>
            <w:tcMar>
              <w:top w:w="60" w:type="dxa"/>
              <w:left w:w="90" w:type="dxa"/>
              <w:bottom w:w="60" w:type="dxa"/>
              <w:right w:w="90" w:type="dxa"/>
            </w:tcMar>
          </w:tcPr>
          <w:p w14:paraId="3FB79AA6" w14:textId="77777777" w:rsidR="00706FFA" w:rsidRDefault="00000000" w:rsidP="00E35ED2">
            <w:pPr>
              <w:spacing w:before="100" w:beforeAutospacing="1" w:after="100" w:afterAutospacing="1"/>
            </w:pPr>
            <w:r>
              <w:rPr>
                <w:sz w:val="18"/>
                <w:szCs w:val="18"/>
              </w:rPr>
              <w:t>Exposure duration too short for delayed effects</w:t>
            </w:r>
          </w:p>
        </w:tc>
        <w:tc>
          <w:tcPr>
            <w:tcW w:w="1000" w:type="pct"/>
            <w:tcMar>
              <w:top w:w="60" w:type="dxa"/>
              <w:left w:w="90" w:type="dxa"/>
              <w:bottom w:w="60" w:type="dxa"/>
              <w:right w:w="90" w:type="dxa"/>
            </w:tcMar>
          </w:tcPr>
          <w:p w14:paraId="01B4B716" w14:textId="77777777" w:rsidR="00706FFA" w:rsidRDefault="00000000" w:rsidP="00E35ED2">
            <w:pPr>
              <w:spacing w:before="100" w:beforeAutospacing="1" w:after="100" w:afterAutospacing="1"/>
            </w:pPr>
            <w:r>
              <w:rPr>
                <w:sz w:val="18"/>
                <w:szCs w:val="18"/>
              </w:rPr>
              <w:t>Predominant in embryo studies</w:t>
            </w:r>
          </w:p>
        </w:tc>
        <w:tc>
          <w:tcPr>
            <w:tcW w:w="1000" w:type="pct"/>
            <w:tcMar>
              <w:top w:w="60" w:type="dxa"/>
              <w:left w:w="90" w:type="dxa"/>
              <w:bottom w:w="60" w:type="dxa"/>
              <w:right w:w="90" w:type="dxa"/>
            </w:tcMar>
          </w:tcPr>
          <w:p w14:paraId="0CE0863C" w14:textId="77777777" w:rsidR="00706FFA" w:rsidRDefault="00000000" w:rsidP="00E35ED2">
            <w:pPr>
              <w:spacing w:before="100" w:beforeAutospacing="1" w:after="100" w:afterAutospacing="1"/>
            </w:pPr>
            <w:r>
              <w:rPr>
                <w:sz w:val="18"/>
                <w:szCs w:val="18"/>
              </w:rPr>
              <w:t>Potency of dyes requiring metabolic activation underestimated</w:t>
            </w:r>
          </w:p>
        </w:tc>
        <w:tc>
          <w:tcPr>
            <w:tcW w:w="1000" w:type="pct"/>
            <w:tcMar>
              <w:top w:w="60" w:type="dxa"/>
              <w:left w:w="90" w:type="dxa"/>
              <w:bottom w:w="60" w:type="dxa"/>
              <w:right w:w="90" w:type="dxa"/>
            </w:tcMar>
          </w:tcPr>
          <w:p w14:paraId="1C8A6AF7" w14:textId="77777777" w:rsidR="00706FFA" w:rsidRDefault="00000000" w:rsidP="00E35ED2">
            <w:pPr>
              <w:spacing w:before="100" w:beforeAutospacing="1" w:after="100" w:afterAutospacing="1"/>
            </w:pPr>
            <w:r>
              <w:rPr>
                <w:sz w:val="18"/>
                <w:szCs w:val="18"/>
              </w:rPr>
              <w:t>Extension of exposure through at least ten days post-hatch</w:t>
            </w:r>
          </w:p>
        </w:tc>
        <w:tc>
          <w:tcPr>
            <w:tcW w:w="1000" w:type="pct"/>
            <w:tcMar>
              <w:top w:w="60" w:type="dxa"/>
              <w:left w:w="90" w:type="dxa"/>
              <w:bottom w:w="60" w:type="dxa"/>
              <w:right w:w="90" w:type="dxa"/>
            </w:tcMar>
          </w:tcPr>
          <w:p w14:paraId="053654ED" w14:textId="77777777" w:rsidR="00706FFA" w:rsidRDefault="00000000" w:rsidP="00E35ED2">
            <w:pPr>
              <w:spacing w:before="100" w:beforeAutospacing="1" w:after="100" w:afterAutospacing="1"/>
            </w:pPr>
            <w:r>
              <w:rPr>
                <w:sz w:val="18"/>
                <w:szCs w:val="18"/>
              </w:rPr>
              <w:t>Parrott et al. (2016)</w:t>
            </w:r>
          </w:p>
        </w:tc>
      </w:tr>
      <w:tr w:rsidR="00706FFA" w14:paraId="7AB491AE" w14:textId="77777777" w:rsidTr="00E35ED2">
        <w:tc>
          <w:tcPr>
            <w:tcW w:w="1000" w:type="pct"/>
            <w:tcMar>
              <w:top w:w="60" w:type="dxa"/>
              <w:left w:w="90" w:type="dxa"/>
              <w:bottom w:w="60" w:type="dxa"/>
              <w:right w:w="90" w:type="dxa"/>
            </w:tcMar>
          </w:tcPr>
          <w:p w14:paraId="012B32C9" w14:textId="77777777" w:rsidR="00706FFA" w:rsidRDefault="00000000" w:rsidP="00E35ED2">
            <w:pPr>
              <w:spacing w:before="100" w:beforeAutospacing="1" w:after="100" w:afterAutospacing="1"/>
            </w:pPr>
            <w:proofErr w:type="spellStart"/>
            <w:r>
              <w:rPr>
                <w:sz w:val="18"/>
                <w:szCs w:val="18"/>
              </w:rPr>
              <w:t>Pseudoreplication</w:t>
            </w:r>
            <w:proofErr w:type="spellEnd"/>
            <w:r>
              <w:rPr>
                <w:sz w:val="18"/>
                <w:szCs w:val="18"/>
              </w:rPr>
              <w:t xml:space="preserve"> and unstated replicate structure</w:t>
            </w:r>
          </w:p>
        </w:tc>
        <w:tc>
          <w:tcPr>
            <w:tcW w:w="1000" w:type="pct"/>
            <w:tcMar>
              <w:top w:w="60" w:type="dxa"/>
              <w:left w:w="90" w:type="dxa"/>
              <w:bottom w:w="60" w:type="dxa"/>
              <w:right w:w="90" w:type="dxa"/>
            </w:tcMar>
          </w:tcPr>
          <w:p w14:paraId="7147EFDE"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6FCA0B99" w14:textId="77777777" w:rsidR="00706FFA" w:rsidRDefault="00000000" w:rsidP="00E35ED2">
            <w:pPr>
              <w:spacing w:before="100" w:beforeAutospacing="1" w:after="100" w:afterAutospacing="1"/>
            </w:pPr>
            <w:r>
              <w:rPr>
                <w:sz w:val="18"/>
                <w:szCs w:val="18"/>
              </w:rPr>
              <w:t>Precision overstated; type I error inflated</w:t>
            </w:r>
          </w:p>
        </w:tc>
        <w:tc>
          <w:tcPr>
            <w:tcW w:w="1000" w:type="pct"/>
            <w:tcMar>
              <w:top w:w="60" w:type="dxa"/>
              <w:left w:w="90" w:type="dxa"/>
              <w:bottom w:w="60" w:type="dxa"/>
              <w:right w:w="90" w:type="dxa"/>
            </w:tcMar>
          </w:tcPr>
          <w:p w14:paraId="352BE897" w14:textId="77777777" w:rsidR="00706FFA" w:rsidRDefault="00000000" w:rsidP="00E35ED2">
            <w:pPr>
              <w:spacing w:before="100" w:beforeAutospacing="1" w:after="100" w:afterAutospacing="1"/>
            </w:pPr>
            <w:r>
              <w:rPr>
                <w:sz w:val="18"/>
                <w:szCs w:val="18"/>
              </w:rPr>
              <w:t>Tank as unit of analysis with stated replicate number</w:t>
            </w:r>
          </w:p>
        </w:tc>
        <w:tc>
          <w:tcPr>
            <w:tcW w:w="1000" w:type="pct"/>
            <w:tcMar>
              <w:top w:w="60" w:type="dxa"/>
              <w:left w:w="90" w:type="dxa"/>
              <w:bottom w:w="60" w:type="dxa"/>
              <w:right w:w="90" w:type="dxa"/>
            </w:tcMar>
          </w:tcPr>
          <w:p w14:paraId="7086B402" w14:textId="77777777" w:rsidR="00706FFA" w:rsidRDefault="00000000" w:rsidP="00E35ED2">
            <w:pPr>
              <w:spacing w:before="100" w:beforeAutospacing="1" w:after="100" w:afterAutospacing="1"/>
            </w:pPr>
            <w:r>
              <w:rPr>
                <w:sz w:val="18"/>
                <w:szCs w:val="18"/>
              </w:rPr>
              <w:t>da Silva et al. (2023, 2025)</w:t>
            </w:r>
          </w:p>
        </w:tc>
      </w:tr>
      <w:tr w:rsidR="00706FFA" w14:paraId="28CC5C77" w14:textId="77777777" w:rsidTr="00E35ED2">
        <w:tc>
          <w:tcPr>
            <w:tcW w:w="1000" w:type="pct"/>
            <w:tcMar>
              <w:top w:w="60" w:type="dxa"/>
              <w:left w:w="90" w:type="dxa"/>
              <w:bottom w:w="60" w:type="dxa"/>
              <w:right w:w="90" w:type="dxa"/>
            </w:tcMar>
          </w:tcPr>
          <w:p w14:paraId="7C45C235" w14:textId="77777777" w:rsidR="00706FFA" w:rsidRDefault="00000000" w:rsidP="00E35ED2">
            <w:pPr>
              <w:spacing w:before="100" w:beforeAutospacing="1" w:after="100" w:afterAutospacing="1"/>
            </w:pPr>
            <w:r>
              <w:rPr>
                <w:sz w:val="18"/>
                <w:szCs w:val="18"/>
              </w:rPr>
              <w:t>Multiple comparisons without correction</w:t>
            </w:r>
          </w:p>
        </w:tc>
        <w:tc>
          <w:tcPr>
            <w:tcW w:w="1000" w:type="pct"/>
            <w:tcMar>
              <w:top w:w="60" w:type="dxa"/>
              <w:left w:w="90" w:type="dxa"/>
              <w:bottom w:w="60" w:type="dxa"/>
              <w:right w:w="90" w:type="dxa"/>
            </w:tcMar>
          </w:tcPr>
          <w:p w14:paraId="1B387127"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5F59AF6C" w14:textId="77777777" w:rsidR="00706FFA" w:rsidRDefault="00000000" w:rsidP="00E35ED2">
            <w:pPr>
              <w:spacing w:before="100" w:beforeAutospacing="1" w:after="100" w:afterAutospacing="1"/>
            </w:pPr>
            <w:r>
              <w:rPr>
                <w:sz w:val="18"/>
                <w:szCs w:val="18"/>
              </w:rPr>
              <w:t>Directional inconsistency partly attributable to chance</w:t>
            </w:r>
          </w:p>
        </w:tc>
        <w:tc>
          <w:tcPr>
            <w:tcW w:w="1000" w:type="pct"/>
            <w:tcMar>
              <w:top w:w="60" w:type="dxa"/>
              <w:left w:w="90" w:type="dxa"/>
              <w:bottom w:w="60" w:type="dxa"/>
              <w:right w:w="90" w:type="dxa"/>
            </w:tcMar>
          </w:tcPr>
          <w:p w14:paraId="0EAB9C4D" w14:textId="77777777" w:rsidR="00706FFA" w:rsidRDefault="00000000" w:rsidP="00E35ED2">
            <w:pPr>
              <w:spacing w:before="100" w:beforeAutospacing="1" w:after="100" w:afterAutospacing="1"/>
            </w:pPr>
            <w:r>
              <w:rPr>
                <w:sz w:val="18"/>
                <w:szCs w:val="18"/>
              </w:rPr>
              <w:t>Pre-specified primary endpoints with correction for the remainder</w:t>
            </w:r>
          </w:p>
        </w:tc>
        <w:tc>
          <w:tcPr>
            <w:tcW w:w="1000" w:type="pct"/>
            <w:tcMar>
              <w:top w:w="60" w:type="dxa"/>
              <w:left w:w="90" w:type="dxa"/>
              <w:bottom w:w="60" w:type="dxa"/>
              <w:right w:w="90" w:type="dxa"/>
            </w:tcMar>
          </w:tcPr>
          <w:p w14:paraId="6897F62F" w14:textId="77777777" w:rsidR="00706FFA" w:rsidRDefault="00000000" w:rsidP="00E35ED2">
            <w:pPr>
              <w:spacing w:before="100" w:beforeAutospacing="1" w:after="100" w:afterAutospacing="1"/>
            </w:pPr>
            <w:r>
              <w:rPr>
                <w:sz w:val="18"/>
                <w:szCs w:val="18"/>
              </w:rPr>
              <w:t>Kaur &amp; Kaur (2015); Singh et al. (2026)</w:t>
            </w:r>
          </w:p>
        </w:tc>
      </w:tr>
      <w:tr w:rsidR="00706FFA" w14:paraId="4C59A5C4" w14:textId="77777777" w:rsidTr="00E35ED2">
        <w:tc>
          <w:tcPr>
            <w:tcW w:w="1000" w:type="pct"/>
            <w:tcMar>
              <w:top w:w="60" w:type="dxa"/>
              <w:left w:w="90" w:type="dxa"/>
              <w:bottom w:w="60" w:type="dxa"/>
              <w:right w:w="90" w:type="dxa"/>
            </w:tcMar>
          </w:tcPr>
          <w:p w14:paraId="43041094" w14:textId="77777777" w:rsidR="00706FFA" w:rsidRDefault="00000000" w:rsidP="00E35ED2">
            <w:pPr>
              <w:spacing w:before="100" w:beforeAutospacing="1" w:after="100" w:afterAutospacing="1"/>
            </w:pPr>
            <w:r>
              <w:rPr>
                <w:sz w:val="18"/>
                <w:szCs w:val="18"/>
              </w:rPr>
              <w:lastRenderedPageBreak/>
              <w:t>Unblinded observer-scored endpoints</w:t>
            </w:r>
          </w:p>
        </w:tc>
        <w:tc>
          <w:tcPr>
            <w:tcW w:w="1000" w:type="pct"/>
            <w:tcMar>
              <w:top w:w="60" w:type="dxa"/>
              <w:left w:w="90" w:type="dxa"/>
              <w:bottom w:w="60" w:type="dxa"/>
              <w:right w:w="90" w:type="dxa"/>
            </w:tcMar>
          </w:tcPr>
          <w:p w14:paraId="0DFCE552"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39F62F51" w14:textId="77777777" w:rsidR="00706FFA" w:rsidRDefault="00000000" w:rsidP="00E35ED2">
            <w:pPr>
              <w:spacing w:before="100" w:beforeAutospacing="1" w:after="100" w:afterAutospacing="1"/>
            </w:pPr>
            <w:r>
              <w:rPr>
                <w:sz w:val="18"/>
                <w:szCs w:val="18"/>
              </w:rPr>
              <w:t>Expectancy bias in histopathology and cytogenetics</w:t>
            </w:r>
          </w:p>
        </w:tc>
        <w:tc>
          <w:tcPr>
            <w:tcW w:w="1000" w:type="pct"/>
            <w:tcMar>
              <w:top w:w="60" w:type="dxa"/>
              <w:left w:w="90" w:type="dxa"/>
              <w:bottom w:w="60" w:type="dxa"/>
              <w:right w:w="90" w:type="dxa"/>
            </w:tcMar>
          </w:tcPr>
          <w:p w14:paraId="3481F691" w14:textId="77777777" w:rsidR="00706FFA" w:rsidRDefault="00000000" w:rsidP="00E35ED2">
            <w:pPr>
              <w:spacing w:before="100" w:beforeAutospacing="1" w:after="100" w:afterAutospacing="1"/>
            </w:pPr>
            <w:r>
              <w:rPr>
                <w:sz w:val="18"/>
                <w:szCs w:val="18"/>
              </w:rPr>
              <w:t>Blinded scoring with inter-observer agreement reported</w:t>
            </w:r>
          </w:p>
        </w:tc>
        <w:tc>
          <w:tcPr>
            <w:tcW w:w="1000" w:type="pct"/>
            <w:tcMar>
              <w:top w:w="60" w:type="dxa"/>
              <w:left w:w="90" w:type="dxa"/>
              <w:bottom w:w="60" w:type="dxa"/>
              <w:right w:w="90" w:type="dxa"/>
            </w:tcMar>
          </w:tcPr>
          <w:p w14:paraId="78DCDEBB" w14:textId="77777777" w:rsidR="00706FFA" w:rsidRDefault="00000000" w:rsidP="00E35ED2">
            <w:pPr>
              <w:spacing w:before="100" w:beforeAutospacing="1" w:after="100" w:afterAutospacing="1"/>
            </w:pPr>
            <w:r>
              <w:rPr>
                <w:sz w:val="18"/>
                <w:szCs w:val="18"/>
              </w:rPr>
              <w:t>Sharma et al. (2022); Sinha &amp; Jindal (2022)</w:t>
            </w:r>
          </w:p>
        </w:tc>
      </w:tr>
      <w:tr w:rsidR="00706FFA" w14:paraId="6FCF6A3C" w14:textId="77777777" w:rsidTr="00E35ED2">
        <w:tc>
          <w:tcPr>
            <w:tcW w:w="1000" w:type="pct"/>
            <w:tcMar>
              <w:top w:w="60" w:type="dxa"/>
              <w:left w:w="90" w:type="dxa"/>
              <w:bottom w:w="60" w:type="dxa"/>
              <w:right w:w="90" w:type="dxa"/>
            </w:tcMar>
          </w:tcPr>
          <w:p w14:paraId="26393788" w14:textId="77777777" w:rsidR="00706FFA" w:rsidRDefault="00000000" w:rsidP="00E35ED2">
            <w:pPr>
              <w:spacing w:before="100" w:beforeAutospacing="1" w:after="100" w:afterAutospacing="1"/>
            </w:pPr>
            <w:r>
              <w:rPr>
                <w:sz w:val="18"/>
                <w:szCs w:val="18"/>
              </w:rPr>
              <w:t>Absence of internal dose measurement</w:t>
            </w:r>
          </w:p>
        </w:tc>
        <w:tc>
          <w:tcPr>
            <w:tcW w:w="1000" w:type="pct"/>
            <w:tcMar>
              <w:top w:w="60" w:type="dxa"/>
              <w:left w:w="90" w:type="dxa"/>
              <w:bottom w:w="60" w:type="dxa"/>
              <w:right w:w="90" w:type="dxa"/>
            </w:tcMar>
          </w:tcPr>
          <w:p w14:paraId="7C142263" w14:textId="77777777" w:rsidR="00706FFA" w:rsidRDefault="00000000" w:rsidP="00E35ED2">
            <w:pPr>
              <w:spacing w:before="100" w:beforeAutospacing="1" w:after="100" w:afterAutospacing="1"/>
            </w:pPr>
            <w:r>
              <w:rPr>
                <w:sz w:val="18"/>
                <w:szCs w:val="18"/>
              </w:rPr>
              <w:t>Predominant</w:t>
            </w:r>
          </w:p>
        </w:tc>
        <w:tc>
          <w:tcPr>
            <w:tcW w:w="1000" w:type="pct"/>
            <w:tcMar>
              <w:top w:w="60" w:type="dxa"/>
              <w:left w:w="90" w:type="dxa"/>
              <w:bottom w:w="60" w:type="dxa"/>
              <w:right w:w="90" w:type="dxa"/>
            </w:tcMar>
          </w:tcPr>
          <w:p w14:paraId="2B7822D5" w14:textId="77777777" w:rsidR="00706FFA" w:rsidRDefault="00000000" w:rsidP="00E35ED2">
            <w:pPr>
              <w:spacing w:before="100" w:beforeAutospacing="1" w:after="100" w:afterAutospacing="1"/>
            </w:pPr>
            <w:r>
              <w:rPr>
                <w:sz w:val="18"/>
                <w:szCs w:val="18"/>
              </w:rPr>
              <w:t>Dose-response relationships describe water rather than tissue exposure</w:t>
            </w:r>
          </w:p>
        </w:tc>
        <w:tc>
          <w:tcPr>
            <w:tcW w:w="1000" w:type="pct"/>
            <w:tcMar>
              <w:top w:w="60" w:type="dxa"/>
              <w:left w:w="90" w:type="dxa"/>
              <w:bottom w:w="60" w:type="dxa"/>
              <w:right w:w="90" w:type="dxa"/>
            </w:tcMar>
          </w:tcPr>
          <w:p w14:paraId="3ADD0A63" w14:textId="77777777" w:rsidR="00706FFA" w:rsidRDefault="00000000" w:rsidP="00E35ED2">
            <w:pPr>
              <w:spacing w:before="100" w:beforeAutospacing="1" w:after="100" w:afterAutospacing="1"/>
            </w:pPr>
            <w:r>
              <w:rPr>
                <w:sz w:val="18"/>
                <w:szCs w:val="18"/>
              </w:rPr>
              <w:t>Tissue residue quantification alongside effect measurement</w:t>
            </w:r>
          </w:p>
        </w:tc>
        <w:tc>
          <w:tcPr>
            <w:tcW w:w="1000" w:type="pct"/>
            <w:tcMar>
              <w:top w:w="60" w:type="dxa"/>
              <w:left w:w="90" w:type="dxa"/>
              <w:bottom w:w="60" w:type="dxa"/>
              <w:right w:w="90" w:type="dxa"/>
            </w:tcMar>
          </w:tcPr>
          <w:p w14:paraId="4CE45CF8" w14:textId="77777777" w:rsidR="00706FFA" w:rsidRDefault="00000000" w:rsidP="00E35ED2">
            <w:pPr>
              <w:spacing w:before="100" w:beforeAutospacing="1" w:after="100" w:afterAutospacing="1"/>
            </w:pPr>
            <w:r>
              <w:rPr>
                <w:sz w:val="18"/>
                <w:szCs w:val="18"/>
              </w:rPr>
              <w:t xml:space="preserve">Kwan et al. (2019); Naz &amp; </w:t>
            </w:r>
            <w:proofErr w:type="spellStart"/>
            <w:r>
              <w:rPr>
                <w:sz w:val="18"/>
                <w:szCs w:val="18"/>
              </w:rPr>
              <w:t>Vaseem</w:t>
            </w:r>
            <w:proofErr w:type="spellEnd"/>
            <w:r>
              <w:rPr>
                <w:sz w:val="18"/>
                <w:szCs w:val="18"/>
              </w:rPr>
              <w:t xml:space="preserve"> (2025)</w:t>
            </w:r>
          </w:p>
        </w:tc>
      </w:tr>
      <w:tr w:rsidR="00706FFA" w14:paraId="7EBBC604" w14:textId="77777777" w:rsidTr="00E35ED2">
        <w:tc>
          <w:tcPr>
            <w:tcW w:w="1000" w:type="pct"/>
            <w:tcMar>
              <w:top w:w="60" w:type="dxa"/>
              <w:left w:w="90" w:type="dxa"/>
              <w:bottom w:w="60" w:type="dxa"/>
              <w:right w:w="90" w:type="dxa"/>
            </w:tcMar>
          </w:tcPr>
          <w:p w14:paraId="032B7F54" w14:textId="77777777" w:rsidR="00706FFA" w:rsidRDefault="00000000" w:rsidP="00E35ED2">
            <w:pPr>
              <w:spacing w:before="100" w:beforeAutospacing="1" w:after="100" w:afterAutospacing="1"/>
            </w:pPr>
            <w:r>
              <w:rPr>
                <w:sz w:val="18"/>
                <w:szCs w:val="18"/>
              </w:rPr>
              <w:t>Neuroendocrine mediator not measured</w:t>
            </w:r>
          </w:p>
        </w:tc>
        <w:tc>
          <w:tcPr>
            <w:tcW w:w="1000" w:type="pct"/>
            <w:tcMar>
              <w:top w:w="60" w:type="dxa"/>
              <w:left w:w="90" w:type="dxa"/>
              <w:bottom w:w="60" w:type="dxa"/>
              <w:right w:w="90" w:type="dxa"/>
            </w:tcMar>
          </w:tcPr>
          <w:p w14:paraId="36C072FD" w14:textId="77777777" w:rsidR="00706FFA" w:rsidRDefault="00000000" w:rsidP="00E35ED2">
            <w:pPr>
              <w:spacing w:before="100" w:beforeAutospacing="1" w:after="100" w:afterAutospacing="1"/>
            </w:pPr>
            <w:r>
              <w:rPr>
                <w:sz w:val="18"/>
                <w:szCs w:val="18"/>
              </w:rPr>
              <w:t>Universal in the studies reviewed</w:t>
            </w:r>
          </w:p>
        </w:tc>
        <w:tc>
          <w:tcPr>
            <w:tcW w:w="1000" w:type="pct"/>
            <w:tcMar>
              <w:top w:w="60" w:type="dxa"/>
              <w:left w:w="90" w:type="dxa"/>
              <w:bottom w:w="60" w:type="dxa"/>
              <w:right w:w="90" w:type="dxa"/>
            </w:tcMar>
          </w:tcPr>
          <w:p w14:paraId="1008139B" w14:textId="77777777" w:rsidR="00706FFA" w:rsidRDefault="00000000" w:rsidP="00E35ED2">
            <w:pPr>
              <w:spacing w:before="100" w:beforeAutospacing="1" w:after="100" w:afterAutospacing="1"/>
            </w:pPr>
            <w:r>
              <w:rPr>
                <w:sz w:val="18"/>
                <w:szCs w:val="18"/>
              </w:rPr>
              <w:t>Generalised stress cannot be distinguished from specific toxicity</w:t>
            </w:r>
          </w:p>
        </w:tc>
        <w:tc>
          <w:tcPr>
            <w:tcW w:w="1000" w:type="pct"/>
            <w:tcMar>
              <w:top w:w="60" w:type="dxa"/>
              <w:left w:w="90" w:type="dxa"/>
              <w:bottom w:w="60" w:type="dxa"/>
              <w:right w:w="90" w:type="dxa"/>
            </w:tcMar>
          </w:tcPr>
          <w:p w14:paraId="20E4D490" w14:textId="77777777" w:rsidR="00706FFA" w:rsidRDefault="00000000" w:rsidP="00E35ED2">
            <w:pPr>
              <w:spacing w:before="100" w:beforeAutospacing="1" w:after="100" w:afterAutospacing="1"/>
            </w:pPr>
            <w:r>
              <w:rPr>
                <w:sz w:val="18"/>
                <w:szCs w:val="18"/>
              </w:rPr>
              <w:t>Cortisol quantification by non-lethal or terminal sampling</w:t>
            </w:r>
          </w:p>
        </w:tc>
        <w:tc>
          <w:tcPr>
            <w:tcW w:w="1000" w:type="pct"/>
            <w:tcMar>
              <w:top w:w="60" w:type="dxa"/>
              <w:left w:w="90" w:type="dxa"/>
              <w:bottom w:w="60" w:type="dxa"/>
              <w:right w:w="90" w:type="dxa"/>
            </w:tcMar>
          </w:tcPr>
          <w:p w14:paraId="05BB5515" w14:textId="77777777" w:rsidR="00706FFA" w:rsidRDefault="00000000" w:rsidP="00E35ED2">
            <w:pPr>
              <w:spacing w:before="100" w:beforeAutospacing="1" w:after="100" w:afterAutospacing="1"/>
            </w:pPr>
            <w:r>
              <w:rPr>
                <w:sz w:val="18"/>
                <w:szCs w:val="18"/>
              </w:rPr>
              <w:t>Lemos et al. (2023)</w:t>
            </w:r>
          </w:p>
        </w:tc>
      </w:tr>
      <w:tr w:rsidR="00706FFA" w14:paraId="3FE954CF" w14:textId="77777777" w:rsidTr="00E35ED2">
        <w:tc>
          <w:tcPr>
            <w:tcW w:w="1000" w:type="pct"/>
            <w:tcMar>
              <w:top w:w="60" w:type="dxa"/>
              <w:left w:w="90" w:type="dxa"/>
              <w:bottom w:w="60" w:type="dxa"/>
              <w:right w:w="90" w:type="dxa"/>
            </w:tcMar>
          </w:tcPr>
          <w:p w14:paraId="04A87AEC" w14:textId="77777777" w:rsidR="00706FFA" w:rsidRDefault="00000000" w:rsidP="00E35ED2">
            <w:pPr>
              <w:spacing w:before="100" w:beforeAutospacing="1" w:after="100" w:afterAutospacing="1"/>
            </w:pPr>
            <w:r>
              <w:rPr>
                <w:sz w:val="18"/>
                <w:szCs w:val="18"/>
              </w:rPr>
              <w:t>Geographical and taxonomic concentration</w:t>
            </w:r>
          </w:p>
        </w:tc>
        <w:tc>
          <w:tcPr>
            <w:tcW w:w="1000" w:type="pct"/>
            <w:tcMar>
              <w:top w:w="60" w:type="dxa"/>
              <w:left w:w="90" w:type="dxa"/>
              <w:bottom w:w="60" w:type="dxa"/>
              <w:right w:w="90" w:type="dxa"/>
            </w:tcMar>
          </w:tcPr>
          <w:p w14:paraId="4E805FC3" w14:textId="77777777" w:rsidR="00706FFA" w:rsidRDefault="00000000" w:rsidP="00E35ED2">
            <w:pPr>
              <w:spacing w:before="100" w:beforeAutospacing="1" w:after="100" w:afterAutospacing="1"/>
            </w:pPr>
            <w:r>
              <w:rPr>
                <w:sz w:val="18"/>
                <w:szCs w:val="18"/>
              </w:rPr>
              <w:t>Substantial</w:t>
            </w:r>
          </w:p>
        </w:tc>
        <w:tc>
          <w:tcPr>
            <w:tcW w:w="1000" w:type="pct"/>
            <w:tcMar>
              <w:top w:w="60" w:type="dxa"/>
              <w:left w:w="90" w:type="dxa"/>
              <w:bottom w:w="60" w:type="dxa"/>
              <w:right w:w="90" w:type="dxa"/>
            </w:tcMar>
          </w:tcPr>
          <w:p w14:paraId="2DE6A63D" w14:textId="77777777" w:rsidR="00706FFA" w:rsidRDefault="00000000" w:rsidP="00E35ED2">
            <w:pPr>
              <w:spacing w:before="100" w:beforeAutospacing="1" w:after="100" w:afterAutospacing="1"/>
            </w:pPr>
            <w:r>
              <w:rPr>
                <w:sz w:val="18"/>
                <w:szCs w:val="18"/>
              </w:rPr>
              <w:t>Generalisability to other regions and to air-breathing species uncertain</w:t>
            </w:r>
          </w:p>
        </w:tc>
        <w:tc>
          <w:tcPr>
            <w:tcW w:w="1000" w:type="pct"/>
            <w:tcMar>
              <w:top w:w="60" w:type="dxa"/>
              <w:left w:w="90" w:type="dxa"/>
              <w:bottom w:w="60" w:type="dxa"/>
              <w:right w:w="90" w:type="dxa"/>
            </w:tcMar>
          </w:tcPr>
          <w:p w14:paraId="0484494E" w14:textId="77777777" w:rsidR="00706FFA" w:rsidRDefault="00000000" w:rsidP="00E35ED2">
            <w:pPr>
              <w:spacing w:before="100" w:beforeAutospacing="1" w:after="100" w:afterAutospacing="1"/>
            </w:pPr>
            <w:r>
              <w:rPr>
                <w:sz w:val="18"/>
                <w:szCs w:val="18"/>
              </w:rPr>
              <w:t>Coordinated multi-region testing including accessory-breathing species</w:t>
            </w:r>
          </w:p>
        </w:tc>
        <w:tc>
          <w:tcPr>
            <w:tcW w:w="1000" w:type="pct"/>
            <w:tcMar>
              <w:top w:w="60" w:type="dxa"/>
              <w:left w:w="90" w:type="dxa"/>
              <w:bottom w:w="60" w:type="dxa"/>
              <w:right w:w="90" w:type="dxa"/>
            </w:tcMar>
          </w:tcPr>
          <w:p w14:paraId="61FCF253" w14:textId="77777777" w:rsidR="00706FFA" w:rsidRDefault="00000000" w:rsidP="00E35ED2">
            <w:pPr>
              <w:spacing w:before="100" w:beforeAutospacing="1" w:after="100" w:afterAutospacing="1"/>
            </w:pPr>
            <w:r>
              <w:rPr>
                <w:sz w:val="18"/>
                <w:szCs w:val="18"/>
              </w:rPr>
              <w:t xml:space="preserve">Naz &amp; </w:t>
            </w:r>
            <w:proofErr w:type="spellStart"/>
            <w:r>
              <w:rPr>
                <w:sz w:val="18"/>
                <w:szCs w:val="18"/>
              </w:rPr>
              <w:t>Vaseem</w:t>
            </w:r>
            <w:proofErr w:type="spellEnd"/>
            <w:r>
              <w:rPr>
                <w:sz w:val="18"/>
                <w:szCs w:val="18"/>
              </w:rPr>
              <w:t xml:space="preserve"> (2024); Teta &amp; Naik (2017)</w:t>
            </w:r>
          </w:p>
        </w:tc>
      </w:tr>
      <w:tr w:rsidR="00706FFA" w14:paraId="679A8FE7" w14:textId="77777777" w:rsidTr="00E35ED2">
        <w:tc>
          <w:tcPr>
            <w:tcW w:w="1000" w:type="pct"/>
            <w:tcMar>
              <w:top w:w="60" w:type="dxa"/>
              <w:left w:w="90" w:type="dxa"/>
              <w:bottom w:w="60" w:type="dxa"/>
              <w:right w:w="90" w:type="dxa"/>
            </w:tcMar>
          </w:tcPr>
          <w:p w14:paraId="7567704C" w14:textId="77777777" w:rsidR="00706FFA" w:rsidRDefault="00000000" w:rsidP="00E35ED2">
            <w:pPr>
              <w:spacing w:before="100" w:beforeAutospacing="1" w:after="100" w:afterAutospacing="1"/>
            </w:pPr>
            <w:r>
              <w:rPr>
                <w:sz w:val="18"/>
                <w:szCs w:val="18"/>
              </w:rPr>
              <w:t>Selective reporting of positive findings</w:t>
            </w:r>
          </w:p>
        </w:tc>
        <w:tc>
          <w:tcPr>
            <w:tcW w:w="1000" w:type="pct"/>
            <w:tcMar>
              <w:top w:w="60" w:type="dxa"/>
              <w:left w:w="90" w:type="dxa"/>
              <w:bottom w:w="60" w:type="dxa"/>
              <w:right w:w="90" w:type="dxa"/>
            </w:tcMar>
          </w:tcPr>
          <w:p w14:paraId="1C4C116B" w14:textId="77777777" w:rsidR="00706FFA" w:rsidRDefault="00000000" w:rsidP="00E35ED2">
            <w:pPr>
              <w:spacing w:before="100" w:beforeAutospacing="1" w:after="100" w:afterAutospacing="1"/>
            </w:pPr>
            <w:r>
              <w:rPr>
                <w:sz w:val="18"/>
                <w:szCs w:val="18"/>
              </w:rPr>
              <w:t>Probable</w:t>
            </w:r>
          </w:p>
        </w:tc>
        <w:tc>
          <w:tcPr>
            <w:tcW w:w="1000" w:type="pct"/>
            <w:tcMar>
              <w:top w:w="60" w:type="dxa"/>
              <w:left w:w="90" w:type="dxa"/>
              <w:bottom w:w="60" w:type="dxa"/>
              <w:right w:w="90" w:type="dxa"/>
            </w:tcMar>
          </w:tcPr>
          <w:p w14:paraId="2D44E873" w14:textId="77777777" w:rsidR="00706FFA" w:rsidRDefault="00000000" w:rsidP="00E35ED2">
            <w:pPr>
              <w:spacing w:before="100" w:beforeAutospacing="1" w:after="100" w:afterAutospacing="1"/>
            </w:pPr>
            <w:r>
              <w:rPr>
                <w:sz w:val="18"/>
                <w:szCs w:val="18"/>
              </w:rPr>
              <w:t>Apparent uniformity of hazard across dyes overstated</w:t>
            </w:r>
          </w:p>
        </w:tc>
        <w:tc>
          <w:tcPr>
            <w:tcW w:w="1000" w:type="pct"/>
            <w:tcMar>
              <w:top w:w="60" w:type="dxa"/>
              <w:left w:w="90" w:type="dxa"/>
              <w:bottom w:w="60" w:type="dxa"/>
              <w:right w:w="90" w:type="dxa"/>
            </w:tcMar>
          </w:tcPr>
          <w:p w14:paraId="47964E8E" w14:textId="77777777" w:rsidR="00706FFA" w:rsidRDefault="00000000" w:rsidP="00E35ED2">
            <w:pPr>
              <w:spacing w:before="100" w:beforeAutospacing="1" w:after="100" w:afterAutospacing="1"/>
            </w:pPr>
            <w:r>
              <w:rPr>
                <w:sz w:val="18"/>
                <w:szCs w:val="18"/>
              </w:rPr>
              <w:t>Publication of null results and pre-registration of designs</w:t>
            </w:r>
          </w:p>
        </w:tc>
        <w:tc>
          <w:tcPr>
            <w:tcW w:w="1000" w:type="pct"/>
            <w:tcMar>
              <w:top w:w="60" w:type="dxa"/>
              <w:left w:w="90" w:type="dxa"/>
              <w:bottom w:w="60" w:type="dxa"/>
              <w:right w:w="90" w:type="dxa"/>
            </w:tcMar>
          </w:tcPr>
          <w:p w14:paraId="6C508210" w14:textId="77777777" w:rsidR="00706FFA" w:rsidRDefault="00000000" w:rsidP="00E35ED2">
            <w:pPr>
              <w:spacing w:before="100" w:beforeAutospacing="1" w:after="100" w:afterAutospacing="1"/>
            </w:pPr>
            <w:r>
              <w:rPr>
                <w:sz w:val="18"/>
                <w:szCs w:val="18"/>
              </w:rPr>
              <w:t>Parrott et al. (2016); Rocha et al. (2017)</w:t>
            </w:r>
          </w:p>
        </w:tc>
      </w:tr>
    </w:tbl>
    <w:p w14:paraId="2F8F86EE" w14:textId="77777777" w:rsidR="00706FFA" w:rsidRDefault="00000000" w:rsidP="00E35ED2">
      <w:pPr>
        <w:spacing w:before="100" w:beforeAutospacing="1" w:after="100" w:afterAutospacing="1"/>
      </w:pPr>
      <w:r>
        <w:rPr>
          <w:i/>
          <w:iCs/>
          <w:sz w:val="18"/>
          <w:szCs w:val="18"/>
        </w:rPr>
        <w:t xml:space="preserve">Note. </w:t>
      </w:r>
      <w:proofErr w:type="spellStart"/>
      <w:r>
        <w:rPr>
          <w:sz w:val="18"/>
          <w:szCs w:val="18"/>
        </w:rPr>
        <w:t>Pseudoreplication</w:t>
      </w:r>
      <w:proofErr w:type="spellEnd"/>
      <w:r>
        <w:rPr>
          <w:sz w:val="18"/>
          <w:szCs w:val="18"/>
        </w:rPr>
        <w:t xml:space="preserve"> refers to the treatment of non-independent observations as independent replicates. Effect-directed analysis combines sample fractionation with bioassay to identify causative constituents.</w:t>
      </w:r>
    </w:p>
    <w:p w14:paraId="30383586" w14:textId="77777777" w:rsidR="00706FFA" w:rsidRDefault="00000000" w:rsidP="00E35ED2">
      <w:pPr>
        <w:pStyle w:val="Heading1"/>
        <w:spacing w:before="100" w:beforeAutospacing="1" w:after="100" w:afterAutospacing="1"/>
      </w:pPr>
      <w:r>
        <w:rPr>
          <w:b/>
          <w:bCs/>
          <w:color w:val="000000"/>
          <w:sz w:val="26"/>
          <w:szCs w:val="26"/>
        </w:rPr>
        <w:t>10. Future Directions</w:t>
      </w:r>
    </w:p>
    <w:p w14:paraId="776A2015" w14:textId="77777777" w:rsidR="00706FFA" w:rsidRDefault="00000000" w:rsidP="00E35ED2">
      <w:pPr>
        <w:spacing w:before="100" w:beforeAutospacing="1" w:after="100" w:afterAutospacing="1"/>
        <w:jc w:val="both"/>
      </w:pPr>
      <w:r>
        <w:t xml:space="preserve">The first and most consequential priority is to couple environmentally measured exposure to multi-level biological response in juvenile or adult fish. No study located for this review combines analytically verified concentrations at levels documented in receiving waters with characterisation across redox, genotoxic, histological, endocrine and performance endpoints; rigorous exposure characterisation coexists with minimal biological measurement, and detailed biomarker profiling coexists with concentrations three to five orders of magnitude above measured river values (Parrott et al., 2016; </w:t>
      </w:r>
      <w:proofErr w:type="spellStart"/>
      <w:r>
        <w:t>Vacchi</w:t>
      </w:r>
      <w:proofErr w:type="spellEnd"/>
      <w:r>
        <w:t xml:space="preserve"> et al., 2016). The design required is a flow-through exposure at a concentration series bracketing measured receiving-water values, with periodic analytical verification and terminal tissue residue quantification, running for at least ninety days in a species of local fisheries importance, and measuring lipid peroxidation, a defined antioxidant panel, comet and micronucleus endpoints, blinded gill and liver histopathology, plasma cortisol and glucose, and growth. Without such a study the ecological significance of the biomarker literature remains conjectural.</w:t>
      </w:r>
    </w:p>
    <w:p w14:paraId="3D5DADA1" w14:textId="77777777" w:rsidR="00706FFA" w:rsidRDefault="00000000" w:rsidP="00E35ED2">
      <w:pPr>
        <w:spacing w:before="100" w:beforeAutospacing="1" w:after="100" w:afterAutospacing="1"/>
        <w:jc w:val="both"/>
      </w:pPr>
      <w:r>
        <w:t xml:space="preserve">The second immediate priority is chemical attribution within effluent. The demonstration that non-dye constituents including 4-nonylphenol and bisphenol </w:t>
      </w:r>
      <w:proofErr w:type="spellStart"/>
      <w:r>
        <w:t>A</w:t>
      </w:r>
      <w:proofErr w:type="spellEnd"/>
      <w:r>
        <w:t xml:space="preserve"> associate with whole-effluent toxicity establishes that colour is not a reliable proxy for hazard (Peng et al., 2025), and the persistence of genotoxicity through decolourising treatment establishes that the causative agents survive processes designed to remove dyes (Zhang et al., 2012). The appropriate method is effect-directed analysis: fractionation of effluent by polarity and molecular size, bioassay of fractions using a fish-relevant genotoxicity endpoint, chemical identification within active fractions by high-resolution mass spectrometry, and confirmation by testing identified compounds individually and in reconstituted mixtures against the same endpoint in fish. Priority analytes are the aromatic amines predicted by azo reduction chemistry (Chung, 2000; Mahmood et al., 2016), sulphonated aromatic intermediates known to pass through treatment (Mehra &amp; Chadha, 2020), alkylphenols and bisphenols, and metals associated with metal-complex dyes (Sanyal et al., 2015). Success would convert the field's central mechanistic </w:t>
      </w:r>
      <w:r>
        <w:lastRenderedPageBreak/>
        <w:t>hypothesis from plausible to demonstrated and would identify the compounds that treatment must remove.</w:t>
      </w:r>
    </w:p>
    <w:p w14:paraId="4DDAD7D3" w14:textId="77777777" w:rsidR="00706FFA" w:rsidRDefault="00000000" w:rsidP="00E35ED2">
      <w:pPr>
        <w:spacing w:before="100" w:beforeAutospacing="1" w:after="100" w:afterAutospacing="1"/>
        <w:jc w:val="both"/>
      </w:pPr>
      <w:r>
        <w:t>The third immediate priority is resolution of biomarker directionality through time-resolved design, since the disagreement documented in Section 4 follows from single-timepoint sampling across studies differing in duration, concentration and tissue. Exposing one species to one well-characterised dye at five or more concentrations spanning two orders of magnitude, with sampling at six or more intervals from hours to weeks and the same enzyme panel measured in the same tissues throughout, would establish whether induction followed by suppression is the general pattern, whether the transition is concentration-dependent, and whether the hormesis observed in fish cell lines occurs in vivo (de Oliveira et al., 2018). The design should include enzyme kinetic characterisation with and without dye at measured tissue concentrations, discriminating direct binding from oxidative inactivation and testing the alternative advanced on docking evidence (Singh et al., 2026; Srivastava et al., 2018). Reporting should distinguish damage from defence markers and specify predicted direction in advance (</w:t>
      </w:r>
      <w:proofErr w:type="spellStart"/>
      <w:r>
        <w:t>Formicki</w:t>
      </w:r>
      <w:proofErr w:type="spellEnd"/>
      <w:r>
        <w:t xml:space="preserve"> et al., 2025).</w:t>
      </w:r>
    </w:p>
    <w:p w14:paraId="5F96876D" w14:textId="77777777" w:rsidR="00706FFA" w:rsidRDefault="00000000" w:rsidP="00E35ED2">
      <w:pPr>
        <w:spacing w:before="100" w:beforeAutospacing="1" w:after="100" w:afterAutospacing="1"/>
        <w:jc w:val="both"/>
      </w:pPr>
      <w:r>
        <w:t>A fourth priority, achievable on the same timescale, is measurement of the neuroendocrine axis. Cortisol has not been quantified in any study located for this review, despite its status as the principal mediator of the vertebrate stress response and the availability of non-lethal sampling methods suited to pollutant work (Lemos et al., 2023). Incorporating cortisol alongside glucose, haematological indices and growth would establish whether the recurring findings represent a generalised stress response common to any aversive exposure or a dye-specific cellular toxicity, and it is inexpensive relative to the interpretive gain.</w:t>
      </w:r>
    </w:p>
    <w:p w14:paraId="2CD64F45" w14:textId="77777777" w:rsidR="00706FFA" w:rsidRDefault="00000000" w:rsidP="00E35ED2">
      <w:pPr>
        <w:spacing w:before="100" w:beforeAutospacing="1" w:after="100" w:afterAutospacing="1"/>
        <w:jc w:val="both"/>
      </w:pPr>
      <w:r>
        <w:t>Longer-term priorities require larger investment. A fish partial or full life-cycle test, identified as necessary for reducing threshold uncertainty a decade ago and still not performed (</w:t>
      </w:r>
      <w:proofErr w:type="spellStart"/>
      <w:r>
        <w:t>Vacchi</w:t>
      </w:r>
      <w:proofErr w:type="spellEnd"/>
      <w:r>
        <w:t xml:space="preserve"> et al., 2016), would supply the chronic endpoints on which defensible water quality criteria for individual dyes depend and would establish whether the reproductive impairment observed under effluent exposure occurs with purified dyes (Teta &amp; Naik, 2017). Multigenerational designs are warranted by evidence that low-dose exposure to a disperse azo dye produces consequences across generations (Fernandes et al., 2024). Structure-activity work across substituted anthraquinones under controlled light regimes is needed to explain the discrepancy between </w:t>
      </w:r>
      <w:proofErr w:type="spellStart"/>
      <w:r>
        <w:t>anthracenedione</w:t>
      </w:r>
      <w:proofErr w:type="spellEnd"/>
      <w:r>
        <w:t xml:space="preserve"> dyes without effect near 7 mg L</w:t>
      </w:r>
      <w:r>
        <w:rPr>
          <w:vertAlign w:val="superscript"/>
        </w:rPr>
        <w:t>−1</w:t>
      </w:r>
      <w:r>
        <w:t xml:space="preserve"> and alizarin lethal to fish embryos near 46 µg L</w:t>
      </w:r>
      <w:r>
        <w:rPr>
          <w:vertAlign w:val="superscript"/>
        </w:rPr>
        <w:t>−1</w:t>
      </w:r>
      <w:r>
        <w:t xml:space="preserve"> (Parrott et al., 2016; Rodrigues et al., 2026).</w:t>
      </w:r>
    </w:p>
    <w:p w14:paraId="34ABC868" w14:textId="77777777" w:rsidR="00706FFA" w:rsidRDefault="00000000" w:rsidP="00E35ED2">
      <w:pPr>
        <w:spacing w:before="100" w:beforeAutospacing="1" w:after="100" w:afterAutospacing="1"/>
        <w:jc w:val="both"/>
      </w:pPr>
      <w:r>
        <w:t xml:space="preserve">Two further directions follow from currently isolated findings. The gut microbiome should be examined as a determinant of internal dose rather than only as an endpoint, since azo reduction is bacterially mediated and the opposite responses of two air-breathing catfishes to identical exposure suggest that community composition governs susceptibility (Naz &amp; </w:t>
      </w:r>
      <w:proofErr w:type="spellStart"/>
      <w:r>
        <w:t>Vaseem</w:t>
      </w:r>
      <w:proofErr w:type="spellEnd"/>
      <w:r>
        <w:t xml:space="preserve">, 2024); the appropriate design combines germ-free or antibiotic-treated fish with defined microbial reconstitution and measures aromatic amine formation alongside host response. Coordinated monitoring of the same dyes and intermediates across regions with contrasting discharge controls would test whether divergent risk conclusions reflect genuine geographical difference in exposure rather than analytical or regulatory artefact (Parrott et al., 2016; </w:t>
      </w:r>
      <w:proofErr w:type="spellStart"/>
      <w:r>
        <w:t>Vacchi</w:t>
      </w:r>
      <w:proofErr w:type="spellEnd"/>
      <w:r>
        <w:t xml:space="preserve"> et al., 2016). Implementation follows directly: the first would identify species and settings requiring precautionary protection, and the second would determine whether colour-based discharge standards should be supplemented by toxicity-based criteria of the kind that residual-hazard findings imply (Hemachandra &amp; </w:t>
      </w:r>
      <w:proofErr w:type="spellStart"/>
      <w:r>
        <w:t>Pathiratne</w:t>
      </w:r>
      <w:proofErr w:type="spellEnd"/>
      <w:r>
        <w:t>, 2016; Peng et al., 2025).</w:t>
      </w:r>
    </w:p>
    <w:p w14:paraId="3D341C6B" w14:textId="77777777" w:rsidR="00706FFA" w:rsidRDefault="00000000" w:rsidP="00E35ED2">
      <w:pPr>
        <w:pStyle w:val="Heading1"/>
        <w:spacing w:before="100" w:beforeAutospacing="1" w:after="100" w:afterAutospacing="1"/>
      </w:pPr>
      <w:r>
        <w:rPr>
          <w:b/>
          <w:bCs/>
          <w:color w:val="000000"/>
          <w:sz w:val="26"/>
          <w:szCs w:val="26"/>
        </w:rPr>
        <w:lastRenderedPageBreak/>
        <w:t>11. Conclusions</w:t>
      </w:r>
    </w:p>
    <w:p w14:paraId="1332F829" w14:textId="77777777" w:rsidR="00706FFA" w:rsidRDefault="00000000" w:rsidP="00E35ED2">
      <w:pPr>
        <w:spacing w:before="100" w:beforeAutospacing="1" w:after="100" w:afterAutospacing="1"/>
        <w:jc w:val="both"/>
      </w:pPr>
      <w:r>
        <w:t>Exposure of freshwater fishes to dye-bearing effluents and to individual synthetic dyes produces measurable biological change, and three conclusions can be drawn with reasonable confidence. Membrane lipid peroxidation increases across chromophore classes, species lineages, life stages and exposure designs, with sufficient independent replication to be regarded as established. Cytogenetic damage in circulating erythrocytes occurs consistently in response to whole effluents and to several individual dyes, including at effluent dilutions encountered downstream of discharges. Gill and liver are the principal target organs, a finding supported by concordant light and electron microscopy, semi-quantitative scoring and organ-specific enzyme measurement, and coherent with the physiology of solute uptake and biotransformation.</w:t>
      </w:r>
    </w:p>
    <w:p w14:paraId="2566F4B8" w14:textId="77777777" w:rsidR="00706FFA" w:rsidRDefault="00000000" w:rsidP="00E35ED2">
      <w:pPr>
        <w:spacing w:before="100" w:beforeAutospacing="1" w:after="100" w:afterAutospacing="1"/>
        <w:jc w:val="both"/>
      </w:pPr>
      <w:r>
        <w:t>Beyond these, the evidence supports weaker claims than the literature generally asserts. Antioxidant enzyme responses are directionally inconsistent across studies of the same dye in the same species, and because both induction and suppression are routinely interpreted as confirming oxidative stress, the framework as applied has limited discriminating power. Alternative mechanisms remain live: direct binding of dyes to enzyme proteins offers a more economical account of coordinated declines across catalytically unrelated enzymes, reduced energy consumption with concurrent behavioural depression indicates a generalised rather than a specifically oxidative lesion, and inflammatory activation may precede rather than follow redox disturbance. None of these has been experimentally separated from the others.</w:t>
      </w:r>
    </w:p>
    <w:p w14:paraId="79C6F6AE" w14:textId="77777777" w:rsidR="00706FFA" w:rsidRDefault="00000000" w:rsidP="00E35ED2">
      <w:pPr>
        <w:spacing w:before="100" w:beforeAutospacing="1" w:after="100" w:afterAutospacing="1"/>
        <w:jc w:val="both"/>
      </w:pPr>
      <w:r>
        <w:t>Attribution is the field's central unresolved problem. Effluents are far more acutely toxic than the dyes they contain at environmentally occurring concentrations, non-dye organic constituents have been identified as toxicity drivers in the one study that looked for them, colourless synthesis intermediates produce the same biochemical and genotoxic signature as dyes while escaping colour-based monitoring, and metals and process chemicals co-occur throughout. Effects observed under whole-effluent exposure cannot be assigned to the coloured component, and statements that textile dyes cause a given effect in fish are frequently extrapolations from effluent studies. The hypothesis that azo reduction to aromatic amines drives genotoxicity is chemically well grounded and supported by the pattern of hazard change through treatment stages, but the amines have not been measured alongside a fish response.</w:t>
      </w:r>
    </w:p>
    <w:p w14:paraId="60F2681F" w14:textId="77777777" w:rsidR="00706FFA" w:rsidRDefault="00000000" w:rsidP="00E35ED2">
      <w:pPr>
        <w:spacing w:before="100" w:beforeAutospacing="1" w:after="100" w:afterAutospacing="1"/>
        <w:jc w:val="both"/>
      </w:pPr>
      <w:r>
        <w:t>Concentration realism further constrains inference. Most reported effect concentrations exceed measured concentrations in dye-affected rivers by three to five orders of magnitude, and the two studies that characterised exposure most rigorously reached divergent risk conclusions attributable to region and dye identity rather than to methodological disagreement. Standard embryo test durations terminate before the delayed larval mortality that azo dyes can produce, so the apparently reassuring finding that many textile dyes are of low acute potency to fish is partly an artefact of design. Assumptions that fish embryos are the sensitive receptor, and that anthraquinone dyes are inherently less hazardous than azo dyes, are both contradicted by specific well-conducted studies.</w:t>
      </w:r>
    </w:p>
    <w:p w14:paraId="4E91514A" w14:textId="77777777" w:rsidR="00706FFA" w:rsidRDefault="00000000" w:rsidP="00E35ED2">
      <w:pPr>
        <w:spacing w:before="100" w:beforeAutospacing="1" w:after="100" w:afterAutospacing="1"/>
        <w:jc w:val="both"/>
      </w:pPr>
      <w:r>
        <w:t xml:space="preserve">Two practical conclusions follow with reasonable security. Treatment consistently reduces biological hazard but does not reliably remove it, and because colour and organic load are removed more efficiently than genotoxicity, compliance with colour-based and oxygen-demand-based discharge standards does not indicate that a discharge is biologically safe; anaerobic stages that decolourise effectively can increase hazard, with direct implications for treatment train design. Recovery after exposure ceases is possible but not assured, with </w:t>
      </w:r>
      <w:r>
        <w:lastRenderedPageBreak/>
        <w:t>reversible and persistent outcomes documented in the same species under exposures differing in duration and potency.</w:t>
      </w:r>
    </w:p>
    <w:p w14:paraId="37E87088" w14:textId="77777777" w:rsidR="00706FFA" w:rsidRDefault="00000000" w:rsidP="00E35ED2">
      <w:pPr>
        <w:spacing w:before="100" w:beforeAutospacing="1" w:after="100" w:afterAutospacing="1"/>
        <w:jc w:val="both"/>
      </w:pPr>
      <w:r>
        <w:t>The broader significance of this synthesis is methodological. A large and technically sophisticated literature has established that dye-bearing effluents harm fish without establishing which constituents are responsible, at what concentrations the harm occurs under field conditions, or through which physiological pathway it is mediated. These are answerable questions, and the designs capable of answering them are inexpensive relative to the work already undertaken. Redirecting effort from biomarker observation at high concentrations towards attribution, exposure realism and mechanistic discrimination would materially improve the capacity of this field to inform protection of freshwater systems.</w:t>
      </w:r>
    </w:p>
    <w:p w14:paraId="6B31D36A" w14:textId="77777777" w:rsidR="00706FFA" w:rsidRDefault="00000000" w:rsidP="00E35ED2">
      <w:pPr>
        <w:pStyle w:val="Heading1"/>
        <w:spacing w:before="100" w:beforeAutospacing="1" w:after="100" w:afterAutospacing="1"/>
      </w:pPr>
      <w:r>
        <w:rPr>
          <w:b/>
          <w:bCs/>
          <w:color w:val="000000"/>
          <w:sz w:val="26"/>
          <w:szCs w:val="26"/>
        </w:rPr>
        <w:t>12. Limitations</w:t>
      </w:r>
    </w:p>
    <w:p w14:paraId="71888AAE" w14:textId="77777777" w:rsidR="00706FFA" w:rsidRDefault="00000000" w:rsidP="00E35ED2">
      <w:pPr>
        <w:spacing w:before="100" w:beforeAutospacing="1" w:after="100" w:afterAutospacing="1"/>
        <w:jc w:val="both"/>
      </w:pPr>
      <w:r>
        <w:t>This review is a narrative synthesis and carries the limitations intrinsic to that design. Source selection was purposive and interpretive rather than exhaustive, and although search concepts, sources, period and eligibility rules are stated explicitly and every cited source was verified against its bibliographic record, studies may have been omitted whose inclusion would alter the balance of the assessment. Judgements about the weight of conflicting evidence, the plausibility of competing mechanisms and the adequacy of individual designs reflect the interpretive framework applied here, and a reviewer applying different criteria could reasonably differ on several points. No formal risk-of-bias scoring was applied, because the reporting detail required to do so reliably was frequently absent, and the qualitative appraisal used instead is less reproducible than a validated instrument.</w:t>
      </w:r>
    </w:p>
    <w:p w14:paraId="1E3D3B1C" w14:textId="77777777" w:rsidR="00706FFA" w:rsidRDefault="00000000" w:rsidP="00E35ED2">
      <w:pPr>
        <w:spacing w:before="100" w:beforeAutospacing="1" w:after="100" w:afterAutospacing="1"/>
        <w:jc w:val="both"/>
      </w:pPr>
      <w:r>
        <w:t>Coverage was constrained by access. Subscription-restricted citation indexes and abstracting services were not available, and the search consequently relied on openly accessible bibliographic and scholarly indexes together with supplementary citation and author searching. Studies indexed only in restricted resources, and studies published in journals with limited indexing, may therefore be underrepresented. Where full text was inaccessible, assessment relied on complete abstracts together with verified metadata, and such sources were used only for corroboration rather than as sole support for quantitative claims. Restriction to English-language publications excludes literature from several countries with substantial dyeing industries, which is likely to compound the geographical imbalance identified in the primary evidence base.</w:t>
      </w:r>
    </w:p>
    <w:p w14:paraId="2E116B6D" w14:textId="77777777" w:rsidR="00706FFA" w:rsidRDefault="00000000" w:rsidP="00E35ED2">
      <w:pPr>
        <w:spacing w:before="100" w:beforeAutospacing="1" w:after="100" w:afterAutospacing="1"/>
        <w:jc w:val="both"/>
      </w:pPr>
      <w:r>
        <w:t>The evidence base itself imposes the most severe limitations. Heterogeneity in exposure entity, concentration metric, duration, species, life stage and endpoint precluded quantitative synthesis, so no pooled effect estimate, dose-response meta-regression or formal assessment of publication bias could be undertaken. Comparability is further reduced by the predominance of nominal rather than measured concentrations and by the frequent absence of internal dose measurement. Long-term evidence is scarce, with chronic exposures exceeding three months confined to a small number of studies and life-cycle testing absent altogether, so conclusions about persistence, adaptation and reproductive consequence rest on limited foundations. Geographical representation is uneven, most juvenile and adult fish studies originating from a small number of countries. Reliance on observational field assessment for ecological inference and on laboratory exposure for mechanism means that neither body of evidence substitutes for the other. Publication bias towards positive findings should be assumed and its magnitude cannot be estimated. The field is developing rapidly, particularly in molecular and microbiome methods, and conclusions about the state of knowledge are correspondingly provisional.</w:t>
      </w:r>
    </w:p>
    <w:p w14:paraId="6D530EA9" w14:textId="77777777" w:rsidR="001112F5" w:rsidRDefault="001112F5" w:rsidP="00E35ED2">
      <w:pPr>
        <w:spacing w:before="100" w:beforeAutospacing="1" w:after="100" w:afterAutospacing="1"/>
        <w:jc w:val="both"/>
      </w:pPr>
    </w:p>
    <w:p w14:paraId="26664FF9" w14:textId="77777777" w:rsidR="001112F5" w:rsidRPr="000839CE" w:rsidRDefault="001112F5" w:rsidP="001112F5">
      <w:pPr>
        <w:rPr>
          <w:b/>
        </w:rPr>
      </w:pPr>
      <w:r w:rsidRPr="000839CE">
        <w:rPr>
          <w:b/>
        </w:rPr>
        <w:t>Declaration of AI Use</w:t>
      </w:r>
    </w:p>
    <w:p w14:paraId="3E16D08F" w14:textId="77777777" w:rsidR="001112F5" w:rsidRPr="000839CE" w:rsidRDefault="001112F5" w:rsidP="001112F5"/>
    <w:p w14:paraId="0C4BD445" w14:textId="77777777" w:rsidR="001112F5" w:rsidRPr="000839CE" w:rsidRDefault="001112F5" w:rsidP="001112F5">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41B1822" w14:textId="77777777" w:rsidR="001112F5" w:rsidRDefault="001112F5" w:rsidP="00E35ED2">
      <w:pPr>
        <w:spacing w:before="100" w:beforeAutospacing="1" w:after="100" w:afterAutospacing="1"/>
        <w:jc w:val="both"/>
      </w:pPr>
    </w:p>
    <w:p w14:paraId="2E79AB9E" w14:textId="77777777" w:rsidR="00706FFA" w:rsidRDefault="00000000" w:rsidP="00E35ED2">
      <w:pPr>
        <w:pStyle w:val="Heading1"/>
        <w:spacing w:before="100" w:beforeAutospacing="1" w:after="100" w:afterAutospacing="1"/>
        <w:rPr>
          <w:b/>
          <w:bCs/>
          <w:color w:val="000000"/>
          <w:sz w:val="26"/>
          <w:szCs w:val="26"/>
        </w:rPr>
      </w:pPr>
      <w:r>
        <w:rPr>
          <w:b/>
          <w:bCs/>
          <w:color w:val="000000"/>
          <w:sz w:val="26"/>
          <w:szCs w:val="26"/>
        </w:rPr>
        <w:t>References</w:t>
      </w:r>
    </w:p>
    <w:p w14:paraId="4ABA0751"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Abe, F. R., Gravato, C., Soares, A. M. V. M., &amp; de Oliveira, D. P. (2017). Biochemical approaches to assess oxidative stress induced by exposure to natural and synthetic dyes in early life stages in zebrafish. </w:t>
      </w:r>
      <w:r w:rsidRPr="0000783F">
        <w:rPr>
          <w:i/>
          <w:iCs/>
          <w:lang w:val="en-US" w:eastAsia="en-US"/>
        </w:rPr>
        <w:t>Journal of Toxicology and Environmental Health, Part A, 80</w:t>
      </w:r>
      <w:r w:rsidRPr="0000783F">
        <w:rPr>
          <w:lang w:val="en-US" w:eastAsia="en-US"/>
        </w:rPr>
        <w:t xml:space="preserve">(23–24), 1259–1268. https://doi.org/10.1080/15287394.2017.1371091 </w:t>
      </w:r>
    </w:p>
    <w:p w14:paraId="5DB77E4C"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Abe, F. R., Soares, A. M. V. M., de Oliveira, D. P., &amp; Gravato, C. (2018). Toxicity of dyes to zebrafish at the biochemical level: Cellular energy allocation and neurotoxicity. </w:t>
      </w:r>
      <w:r w:rsidRPr="0000783F">
        <w:rPr>
          <w:i/>
          <w:iCs/>
          <w:lang w:val="en-US" w:eastAsia="en-US"/>
        </w:rPr>
        <w:t>Environmental Pollution, 235</w:t>
      </w:r>
      <w:r w:rsidRPr="0000783F">
        <w:rPr>
          <w:lang w:val="en-US" w:eastAsia="en-US"/>
        </w:rPr>
        <w:t>, 255–262. https://doi.org/10.1016/j.envpol.2017.12.020</w:t>
      </w:r>
    </w:p>
    <w:p w14:paraId="63751B93"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Adane, T., Adugna, A. T., &amp; Alemayehu, E. (2021). Textile industry effluent treatment techniques. </w:t>
      </w:r>
      <w:r w:rsidRPr="0000783F">
        <w:rPr>
          <w:i/>
          <w:iCs/>
          <w:lang w:val="en-US" w:eastAsia="en-US"/>
        </w:rPr>
        <w:t>Journal of Chemistry, 2021</w:t>
      </w:r>
      <w:r w:rsidRPr="0000783F">
        <w:rPr>
          <w:lang w:val="en-US" w:eastAsia="en-US"/>
        </w:rPr>
        <w:t>, Article 5314404. https://doi.org/10.1155/2021/5314404</w:t>
      </w:r>
    </w:p>
    <w:p w14:paraId="1EAFBACF" w14:textId="77777777" w:rsidR="0000783F" w:rsidRPr="0000783F" w:rsidRDefault="0000783F" w:rsidP="0000783F">
      <w:pPr>
        <w:spacing w:before="100" w:beforeAutospacing="1" w:after="100" w:afterAutospacing="1"/>
        <w:rPr>
          <w:lang w:val="en-US" w:eastAsia="en-US"/>
        </w:rPr>
      </w:pPr>
      <w:proofErr w:type="spellStart"/>
      <w:r w:rsidRPr="0000783F">
        <w:rPr>
          <w:lang w:val="en-US" w:eastAsia="en-US"/>
        </w:rPr>
        <w:t>Alaguprathana</w:t>
      </w:r>
      <w:proofErr w:type="spellEnd"/>
      <w:r w:rsidRPr="0000783F">
        <w:rPr>
          <w:lang w:val="en-US" w:eastAsia="en-US"/>
        </w:rPr>
        <w:t xml:space="preserve">, M., &amp; Poonkothai, M. (2021). </w:t>
      </w:r>
      <w:proofErr w:type="spellStart"/>
      <w:r w:rsidRPr="0000783F">
        <w:rPr>
          <w:lang w:val="en-US" w:eastAsia="en-US"/>
        </w:rPr>
        <w:t>Haematological</w:t>
      </w:r>
      <w:proofErr w:type="spellEnd"/>
      <w:r w:rsidRPr="0000783F">
        <w:rPr>
          <w:lang w:val="en-US" w:eastAsia="en-US"/>
        </w:rPr>
        <w:t xml:space="preserve">, biochemical, enzymological and histological responses of </w:t>
      </w:r>
      <w:proofErr w:type="spellStart"/>
      <w:r w:rsidRPr="0000783F">
        <w:rPr>
          <w:i/>
          <w:iCs/>
          <w:lang w:val="en-US" w:eastAsia="en-US"/>
        </w:rPr>
        <w:t>Labeo</w:t>
      </w:r>
      <w:proofErr w:type="spellEnd"/>
      <w:r w:rsidRPr="0000783F">
        <w:rPr>
          <w:i/>
          <w:iCs/>
          <w:lang w:val="en-US" w:eastAsia="en-US"/>
        </w:rPr>
        <w:t xml:space="preserve"> </w:t>
      </w:r>
      <w:proofErr w:type="spellStart"/>
      <w:r w:rsidRPr="0000783F">
        <w:rPr>
          <w:i/>
          <w:iCs/>
          <w:lang w:val="en-US" w:eastAsia="en-US"/>
        </w:rPr>
        <w:t>rohita</w:t>
      </w:r>
      <w:proofErr w:type="spellEnd"/>
      <w:r w:rsidRPr="0000783F">
        <w:rPr>
          <w:lang w:val="en-US" w:eastAsia="en-US"/>
        </w:rPr>
        <w:t xml:space="preserve"> exposed to methyl orange dye solution treated with </w:t>
      </w:r>
      <w:r w:rsidRPr="0000783F">
        <w:rPr>
          <w:i/>
          <w:iCs/>
          <w:lang w:val="en-US" w:eastAsia="en-US"/>
        </w:rPr>
        <w:t xml:space="preserve">Oedogonium </w:t>
      </w:r>
      <w:proofErr w:type="spellStart"/>
      <w:r w:rsidRPr="0000783F">
        <w:rPr>
          <w:i/>
          <w:iCs/>
          <w:lang w:val="en-US" w:eastAsia="en-US"/>
        </w:rPr>
        <w:t>subplagiostomum</w:t>
      </w:r>
      <w:proofErr w:type="spellEnd"/>
      <w:r w:rsidRPr="0000783F">
        <w:rPr>
          <w:lang w:val="en-US" w:eastAsia="en-US"/>
        </w:rPr>
        <w:t xml:space="preserve"> AP1. </w:t>
      </w:r>
      <w:r w:rsidRPr="0000783F">
        <w:rPr>
          <w:i/>
          <w:iCs/>
          <w:lang w:val="en-US" w:eastAsia="en-US"/>
        </w:rPr>
        <w:t>Environmental Science and Pollution Research, 28</w:t>
      </w:r>
      <w:r w:rsidRPr="0000783F">
        <w:rPr>
          <w:lang w:val="en-US" w:eastAsia="en-US"/>
        </w:rPr>
        <w:t>(14), 17602–17612. https://doi.org/10.1007/s11356-020-12208-7</w:t>
      </w:r>
    </w:p>
    <w:p w14:paraId="569E59F6"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Al-Sabti, K. (2000). Chlorotriazine reactive azo red 120 textile dye induces micronuclei in fish. </w:t>
      </w:r>
      <w:r w:rsidRPr="0000783F">
        <w:rPr>
          <w:i/>
          <w:iCs/>
          <w:lang w:val="en-US" w:eastAsia="en-US"/>
        </w:rPr>
        <w:t>Ecotoxicology and Environmental Safety, 47</w:t>
      </w:r>
      <w:r w:rsidRPr="0000783F">
        <w:rPr>
          <w:lang w:val="en-US" w:eastAsia="en-US"/>
        </w:rPr>
        <w:t>(2), 149–155. https://doi.org/10.1006/eesa.2000.1931</w:t>
      </w:r>
    </w:p>
    <w:p w14:paraId="13EE0624"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Al-Tohamy, R., Ali, S. S., Li, F., Okasha, K. M., Mahmoud, Y. A. G., Elsamahy, T., Jiao, H., Fu, Y., &amp; Sun, J. (2022). A critical review on the treatment of dye-containing wastewater: Ecotoxicological and health concerns of textile dyes and possible remediation approaches for environmental safety. </w:t>
      </w:r>
      <w:r w:rsidRPr="0000783F">
        <w:rPr>
          <w:i/>
          <w:iCs/>
          <w:lang w:val="en-US" w:eastAsia="en-US"/>
        </w:rPr>
        <w:t>Ecotoxicology and Environmental Safety, 231</w:t>
      </w:r>
      <w:r w:rsidRPr="0000783F">
        <w:rPr>
          <w:lang w:val="en-US" w:eastAsia="en-US"/>
        </w:rPr>
        <w:t xml:space="preserve">, Article 113160. </w:t>
      </w:r>
      <w:hyperlink r:id="rId7" w:tgtFrame="_new" w:history="1">
        <w:r w:rsidRPr="0000783F">
          <w:rPr>
            <w:color w:val="0000FF"/>
            <w:u w:val="single"/>
            <w:lang w:val="en-US" w:eastAsia="en-US"/>
          </w:rPr>
          <w:t>https://doi.org/10.1016/j.ecoenv.2021.113160</w:t>
        </w:r>
      </w:hyperlink>
    </w:p>
    <w:p w14:paraId="2D6E4967" w14:textId="77777777" w:rsidR="0000783F" w:rsidRPr="0000783F" w:rsidRDefault="0000783F" w:rsidP="0000783F">
      <w:pPr>
        <w:spacing w:before="100" w:beforeAutospacing="1" w:after="100" w:afterAutospacing="1"/>
        <w:rPr>
          <w:lang w:val="en-US" w:eastAsia="en-US"/>
        </w:rPr>
      </w:pPr>
      <w:proofErr w:type="spellStart"/>
      <w:r w:rsidRPr="0000783F">
        <w:rPr>
          <w:lang w:val="en-US" w:eastAsia="en-US"/>
        </w:rPr>
        <w:t>Ayebidun</w:t>
      </w:r>
      <w:proofErr w:type="spellEnd"/>
      <w:r w:rsidRPr="0000783F">
        <w:rPr>
          <w:lang w:val="en-US" w:eastAsia="en-US"/>
        </w:rPr>
        <w:t xml:space="preserve">, O. V., &amp; </w:t>
      </w:r>
      <w:proofErr w:type="spellStart"/>
      <w:r w:rsidRPr="0000783F">
        <w:rPr>
          <w:lang w:val="en-US" w:eastAsia="en-US"/>
        </w:rPr>
        <w:t>Ajibare</w:t>
      </w:r>
      <w:proofErr w:type="spellEnd"/>
      <w:r w:rsidRPr="0000783F">
        <w:rPr>
          <w:lang w:val="en-US" w:eastAsia="en-US"/>
        </w:rPr>
        <w:t>, A. O. (2023). Sub-lethal toxicity of indigo dye (</w:t>
      </w:r>
      <w:r w:rsidRPr="0000783F">
        <w:rPr>
          <w:i/>
          <w:iCs/>
          <w:lang w:val="en-US" w:eastAsia="en-US"/>
        </w:rPr>
        <w:t>Indigofera tinctoria</w:t>
      </w:r>
      <w:r w:rsidRPr="0000783F">
        <w:rPr>
          <w:lang w:val="en-US" w:eastAsia="en-US"/>
        </w:rPr>
        <w:t xml:space="preserve">) on </w:t>
      </w:r>
      <w:r w:rsidRPr="0000783F">
        <w:rPr>
          <w:i/>
          <w:iCs/>
          <w:lang w:val="en-US" w:eastAsia="en-US"/>
        </w:rPr>
        <w:t>Oreochromis niloticus</w:t>
      </w:r>
      <w:r w:rsidRPr="0000783F">
        <w:rPr>
          <w:lang w:val="en-US" w:eastAsia="en-US"/>
        </w:rPr>
        <w:t xml:space="preserve"> juveniles. </w:t>
      </w:r>
      <w:r w:rsidRPr="0000783F">
        <w:rPr>
          <w:i/>
          <w:iCs/>
          <w:lang w:val="en-US" w:eastAsia="en-US"/>
        </w:rPr>
        <w:t>Bulletin of the National Research Centre, 47</w:t>
      </w:r>
      <w:r w:rsidRPr="0000783F">
        <w:rPr>
          <w:lang w:val="en-US" w:eastAsia="en-US"/>
        </w:rPr>
        <w:t>(1), Article 86. https://doi.org/10.1186/s42269-023-01060-7</w:t>
      </w:r>
    </w:p>
    <w:p w14:paraId="7B02C257" w14:textId="77777777" w:rsidR="0000783F" w:rsidRPr="0000783F" w:rsidRDefault="0000783F" w:rsidP="0000783F">
      <w:pPr>
        <w:spacing w:before="100" w:beforeAutospacing="1" w:after="100" w:afterAutospacing="1"/>
        <w:rPr>
          <w:lang w:val="en-US" w:eastAsia="en-US"/>
        </w:rPr>
      </w:pPr>
      <w:r w:rsidRPr="0000783F">
        <w:rPr>
          <w:lang w:val="en-US" w:eastAsia="en-US"/>
        </w:rPr>
        <w:lastRenderedPageBreak/>
        <w:t xml:space="preserve">Ayoola, S. O., Bassey, B. O., </w:t>
      </w:r>
      <w:proofErr w:type="spellStart"/>
      <w:r w:rsidRPr="0000783F">
        <w:rPr>
          <w:lang w:val="en-US" w:eastAsia="en-US"/>
        </w:rPr>
        <w:t>Alimba</w:t>
      </w:r>
      <w:proofErr w:type="spellEnd"/>
      <w:r w:rsidRPr="0000783F">
        <w:rPr>
          <w:lang w:val="en-US" w:eastAsia="en-US"/>
        </w:rPr>
        <w:t xml:space="preserve">, C. G., &amp; Ajani, E. K. (2012). Textile effluent induced genotoxic effects and oxidative stress in </w:t>
      </w:r>
      <w:r w:rsidRPr="0000783F">
        <w:rPr>
          <w:i/>
          <w:iCs/>
          <w:lang w:val="en-US" w:eastAsia="en-US"/>
        </w:rPr>
        <w:t xml:space="preserve">Clarias </w:t>
      </w:r>
      <w:proofErr w:type="spellStart"/>
      <w:r w:rsidRPr="0000783F">
        <w:rPr>
          <w:i/>
          <w:iCs/>
          <w:lang w:val="en-US" w:eastAsia="en-US"/>
        </w:rPr>
        <w:t>gariepinus</w:t>
      </w:r>
      <w:proofErr w:type="spellEnd"/>
      <w:r w:rsidRPr="0000783F">
        <w:rPr>
          <w:lang w:val="en-US" w:eastAsia="en-US"/>
        </w:rPr>
        <w:t xml:space="preserve">. </w:t>
      </w:r>
      <w:r w:rsidRPr="0000783F">
        <w:rPr>
          <w:i/>
          <w:iCs/>
          <w:lang w:val="en-US" w:eastAsia="en-US"/>
        </w:rPr>
        <w:t>Pakistan Journal of Biological Sciences, 15</w:t>
      </w:r>
      <w:r w:rsidRPr="0000783F">
        <w:rPr>
          <w:lang w:val="en-US" w:eastAsia="en-US"/>
        </w:rPr>
        <w:t>(17), 804–812. https://doi.org/10.3923/pjbs.2012.804.812</w:t>
      </w:r>
    </w:p>
    <w:p w14:paraId="33E68036" w14:textId="77777777" w:rsidR="0000783F" w:rsidRPr="0000783F" w:rsidRDefault="0000783F" w:rsidP="0000783F">
      <w:pPr>
        <w:spacing w:before="100" w:beforeAutospacing="1" w:after="100" w:afterAutospacing="1"/>
        <w:rPr>
          <w:lang w:val="en-US" w:eastAsia="en-US"/>
        </w:rPr>
      </w:pPr>
      <w:proofErr w:type="spellStart"/>
      <w:r w:rsidRPr="0000783F">
        <w:rPr>
          <w:lang w:val="en-US" w:eastAsia="en-US"/>
        </w:rPr>
        <w:t>Baethge</w:t>
      </w:r>
      <w:proofErr w:type="spellEnd"/>
      <w:r w:rsidRPr="0000783F">
        <w:rPr>
          <w:lang w:val="en-US" w:eastAsia="en-US"/>
        </w:rPr>
        <w:t xml:space="preserve">, C., Goldbeck-Wood, S., &amp; Mertens, S. (2019). SANRA: A scale for the quality assessment of narrative review articles. </w:t>
      </w:r>
      <w:r w:rsidRPr="0000783F">
        <w:rPr>
          <w:i/>
          <w:iCs/>
          <w:lang w:val="en-US" w:eastAsia="en-US"/>
        </w:rPr>
        <w:t>Research Integrity and Peer Review, 4</w:t>
      </w:r>
      <w:r w:rsidRPr="0000783F">
        <w:rPr>
          <w:lang w:val="en-US" w:eastAsia="en-US"/>
        </w:rPr>
        <w:t xml:space="preserve">(1), Article 5. </w:t>
      </w:r>
      <w:hyperlink r:id="rId8" w:tgtFrame="_new" w:history="1">
        <w:r w:rsidRPr="0000783F">
          <w:rPr>
            <w:color w:val="0000FF"/>
            <w:u w:val="single"/>
            <w:lang w:val="en-US" w:eastAsia="en-US"/>
          </w:rPr>
          <w:t>https://doi.org/10.1186/s41073-019-0064-8</w:t>
        </w:r>
      </w:hyperlink>
    </w:p>
    <w:p w14:paraId="2CD17428"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Bakshi, A., &amp; Panigrahi, A. K. (2018). A comprehensive review on chromium induced alterations in fresh water fishes. </w:t>
      </w:r>
      <w:r w:rsidRPr="0000783F">
        <w:rPr>
          <w:i/>
          <w:iCs/>
          <w:lang w:val="en-US" w:eastAsia="en-US"/>
        </w:rPr>
        <w:t>Toxicology Reports, 5</w:t>
      </w:r>
      <w:r w:rsidRPr="0000783F">
        <w:rPr>
          <w:lang w:val="en-US" w:eastAsia="en-US"/>
        </w:rPr>
        <w:t>, 440–447. https://doi.org/10.1016/j.toxrep.2018.03.007</w:t>
      </w:r>
    </w:p>
    <w:p w14:paraId="7A61E284"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Bojarski, B., &amp; </w:t>
      </w:r>
      <w:proofErr w:type="spellStart"/>
      <w:r w:rsidRPr="0000783F">
        <w:rPr>
          <w:lang w:val="en-US" w:eastAsia="en-US"/>
        </w:rPr>
        <w:t>Witeska</w:t>
      </w:r>
      <w:proofErr w:type="spellEnd"/>
      <w:r w:rsidRPr="0000783F">
        <w:rPr>
          <w:lang w:val="en-US" w:eastAsia="en-US"/>
        </w:rPr>
        <w:t xml:space="preserve">, M. (2020). Blood biomarkers of herbicide, insecticide, and fungicide toxicity to fish: A review. </w:t>
      </w:r>
      <w:r w:rsidRPr="0000783F">
        <w:rPr>
          <w:i/>
          <w:iCs/>
          <w:lang w:val="en-US" w:eastAsia="en-US"/>
        </w:rPr>
        <w:t>Environmental Science and Pollution Research, 27</w:t>
      </w:r>
      <w:r w:rsidRPr="0000783F">
        <w:rPr>
          <w:lang w:val="en-US" w:eastAsia="en-US"/>
        </w:rPr>
        <w:t>(16), 19236–19250. https://doi.org/10.1007/s11356-020-08248-8</w:t>
      </w:r>
    </w:p>
    <w:p w14:paraId="183BE6CE"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Chung, K.-T. (2000). Mutagenicity and carcinogenicity of aromatic amines metabolically produced from azo dyes. </w:t>
      </w:r>
      <w:r w:rsidRPr="0000783F">
        <w:rPr>
          <w:i/>
          <w:iCs/>
          <w:lang w:val="en-US" w:eastAsia="en-US"/>
        </w:rPr>
        <w:t>Journal of Environmental Science and Health, Part C, 18</w:t>
      </w:r>
      <w:r w:rsidRPr="0000783F">
        <w:rPr>
          <w:lang w:val="en-US" w:eastAsia="en-US"/>
        </w:rPr>
        <w:t>(1), 51–74. https://doi.org/10.1080/10590500009373515</w:t>
      </w:r>
    </w:p>
    <w:p w14:paraId="4D122242"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Colin, N., Maceda-Veiga, A., Flor-Arnau, N., Mora, J., Fortuño, P., Vieira, C., Prat, N., Cambra, J., &amp; de </w:t>
      </w:r>
      <w:proofErr w:type="spellStart"/>
      <w:r w:rsidRPr="0000783F">
        <w:rPr>
          <w:lang w:val="en-US" w:eastAsia="en-US"/>
        </w:rPr>
        <w:t>Sostoa</w:t>
      </w:r>
      <w:proofErr w:type="spellEnd"/>
      <w:r w:rsidRPr="0000783F">
        <w:rPr>
          <w:lang w:val="en-US" w:eastAsia="en-US"/>
        </w:rPr>
        <w:t xml:space="preserve">, A. (2016). Ecological impact and recovery of a Mediterranean river after receiving the effluent from a textile dyeing industry. </w:t>
      </w:r>
      <w:r w:rsidRPr="0000783F">
        <w:rPr>
          <w:i/>
          <w:iCs/>
          <w:lang w:val="en-US" w:eastAsia="en-US"/>
        </w:rPr>
        <w:t>Ecotoxicology and Environmental Safety, 132</w:t>
      </w:r>
      <w:r w:rsidRPr="0000783F">
        <w:rPr>
          <w:lang w:val="en-US" w:eastAsia="en-US"/>
        </w:rPr>
        <w:t xml:space="preserve">, 295–303. </w:t>
      </w:r>
      <w:hyperlink r:id="rId9" w:tgtFrame="_new" w:history="1">
        <w:r w:rsidRPr="0000783F">
          <w:rPr>
            <w:color w:val="0000FF"/>
            <w:u w:val="single"/>
            <w:lang w:val="en-US" w:eastAsia="en-US"/>
          </w:rPr>
          <w:t>https://doi.org/10.1016/j.ecoenv.2016.06.017</w:t>
        </w:r>
      </w:hyperlink>
    </w:p>
    <w:p w14:paraId="4BB92B5F"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da Silva, J. R. R., de Andrade, C. O., Ribeiro, A. C., Macruz, P. D., Bergamasco, R., &amp; Fernandes, C. A. (2024). </w:t>
      </w:r>
      <w:proofErr w:type="spellStart"/>
      <w:r w:rsidRPr="0000783F">
        <w:rPr>
          <w:lang w:val="en-US" w:eastAsia="en-US"/>
        </w:rPr>
        <w:t>Cyto</w:t>
      </w:r>
      <w:proofErr w:type="spellEnd"/>
      <w:r w:rsidRPr="0000783F">
        <w:rPr>
          <w:lang w:val="en-US" w:eastAsia="en-US"/>
        </w:rPr>
        <w:t xml:space="preserve"> and genotoxicity induced by acute exposure to </w:t>
      </w:r>
      <w:proofErr w:type="spellStart"/>
      <w:r w:rsidRPr="0000783F">
        <w:rPr>
          <w:lang w:val="en-US" w:eastAsia="en-US"/>
        </w:rPr>
        <w:t>Novacron</w:t>
      </w:r>
      <w:proofErr w:type="spellEnd"/>
      <w:r w:rsidRPr="0000783F">
        <w:rPr>
          <w:lang w:val="en-US" w:eastAsia="en-US"/>
        </w:rPr>
        <w:t xml:space="preserve"> Bold Deep Navy dye on </w:t>
      </w:r>
      <w:r w:rsidRPr="0000783F">
        <w:rPr>
          <w:i/>
          <w:iCs/>
          <w:lang w:val="en-US" w:eastAsia="en-US"/>
        </w:rPr>
        <w:t xml:space="preserve">Astyanax </w:t>
      </w:r>
      <w:proofErr w:type="spellStart"/>
      <w:r w:rsidRPr="0000783F">
        <w:rPr>
          <w:i/>
          <w:iCs/>
          <w:lang w:val="en-US" w:eastAsia="en-US"/>
        </w:rPr>
        <w:t>lacustris</w:t>
      </w:r>
      <w:proofErr w:type="spellEnd"/>
      <w:r w:rsidRPr="0000783F">
        <w:rPr>
          <w:lang w:val="en-US" w:eastAsia="en-US"/>
        </w:rPr>
        <w:t xml:space="preserve"> can be reduced after treatment through a vertical flow constructed wetland system. </w:t>
      </w:r>
      <w:r w:rsidRPr="0000783F">
        <w:rPr>
          <w:i/>
          <w:iCs/>
          <w:lang w:val="en-US" w:eastAsia="en-US"/>
        </w:rPr>
        <w:t>Environmental Science and Pollution Research, 31</w:t>
      </w:r>
      <w:r w:rsidRPr="0000783F">
        <w:rPr>
          <w:lang w:val="en-US" w:eastAsia="en-US"/>
        </w:rPr>
        <w:t>(59), 66630–66642. https://doi.org/10.1007/s11356-024-35687-4</w:t>
      </w:r>
    </w:p>
    <w:p w14:paraId="19C1BCD9"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da Silva, J. R. R., Gregorio, A., de Brito Portela-Castro, A. L., &amp; Fernandes, C. A. (2023). Genotoxicity and cytotoxicity of textile production effluents, before and after </w:t>
      </w:r>
      <w:r w:rsidRPr="0000783F">
        <w:rPr>
          <w:i/>
          <w:iCs/>
          <w:lang w:val="en-US" w:eastAsia="en-US"/>
        </w:rPr>
        <w:t xml:space="preserve">Bacillus </w:t>
      </w:r>
      <w:proofErr w:type="spellStart"/>
      <w:r w:rsidRPr="0000783F">
        <w:rPr>
          <w:i/>
          <w:iCs/>
          <w:lang w:val="en-US" w:eastAsia="en-US"/>
        </w:rPr>
        <w:t>subitilis</w:t>
      </w:r>
      <w:proofErr w:type="spellEnd"/>
      <w:r w:rsidRPr="0000783F">
        <w:rPr>
          <w:lang w:val="en-US" w:eastAsia="en-US"/>
        </w:rPr>
        <w:t xml:space="preserve"> bioremediation, in </w:t>
      </w:r>
      <w:r w:rsidRPr="0000783F">
        <w:rPr>
          <w:i/>
          <w:iCs/>
          <w:lang w:val="en-US" w:eastAsia="en-US"/>
        </w:rPr>
        <w:t xml:space="preserve">Astyanax </w:t>
      </w:r>
      <w:proofErr w:type="spellStart"/>
      <w:r w:rsidRPr="0000783F">
        <w:rPr>
          <w:i/>
          <w:iCs/>
          <w:lang w:val="en-US" w:eastAsia="en-US"/>
        </w:rPr>
        <w:t>lacustris</w:t>
      </w:r>
      <w:proofErr w:type="spellEnd"/>
      <w:r w:rsidRPr="0000783F">
        <w:rPr>
          <w:lang w:val="en-US" w:eastAsia="en-US"/>
        </w:rPr>
        <w:t xml:space="preserve"> (Pisces, Characidae). </w:t>
      </w:r>
      <w:r w:rsidRPr="0000783F">
        <w:rPr>
          <w:i/>
          <w:iCs/>
          <w:lang w:val="en-US" w:eastAsia="en-US"/>
        </w:rPr>
        <w:t>Mutation Research/Genetic Toxicology and Environmental Mutagenesis, 886</w:t>
      </w:r>
      <w:r w:rsidRPr="0000783F">
        <w:rPr>
          <w:lang w:val="en-US" w:eastAsia="en-US"/>
        </w:rPr>
        <w:t>, Article 503588. https://doi.org/10.1016/j.mrgentox.2023.503588</w:t>
      </w:r>
    </w:p>
    <w:p w14:paraId="3876826F"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de Arruda Leite, B., Meireles, G., Abe, F. R., Gravato, C., Dorta, D. J., &amp; de Oliveira, D. P. (2024). Do zebrafish become blind or is it too much red dye in water? Distinguishing the embryo-larval development and physiology effects of DR 60, 73, and 78. </w:t>
      </w:r>
      <w:r w:rsidRPr="0000783F">
        <w:rPr>
          <w:i/>
          <w:iCs/>
          <w:lang w:val="en-US" w:eastAsia="en-US"/>
        </w:rPr>
        <w:t>Science of the Total Environment, 908</w:t>
      </w:r>
      <w:r w:rsidRPr="0000783F">
        <w:rPr>
          <w:lang w:val="en-US" w:eastAsia="en-US"/>
        </w:rPr>
        <w:t>, Article 168062. https://doi.org/10.1016/j.scitotenv.2023.168062</w:t>
      </w:r>
    </w:p>
    <w:p w14:paraId="3576BF9B"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Oliveira de Farias, N., Rocha Rodrigues, A., </w:t>
      </w:r>
      <w:proofErr w:type="spellStart"/>
      <w:r w:rsidRPr="0000783F">
        <w:rPr>
          <w:lang w:val="en-US" w:eastAsia="en-US"/>
        </w:rPr>
        <w:t>Tenório</w:t>
      </w:r>
      <w:proofErr w:type="spellEnd"/>
      <w:r w:rsidRPr="0000783F">
        <w:rPr>
          <w:lang w:val="en-US" w:eastAsia="en-US"/>
        </w:rPr>
        <w:t xml:space="preserve"> Botelho, M., Magalhães, G. R., Räisänen, R., Freeman, H. S., &amp; de Aragão </w:t>
      </w:r>
      <w:proofErr w:type="spellStart"/>
      <w:r w:rsidRPr="0000783F">
        <w:rPr>
          <w:lang w:val="en-US" w:eastAsia="en-US"/>
        </w:rPr>
        <w:t>Umbuzeiro</w:t>
      </w:r>
      <w:proofErr w:type="spellEnd"/>
      <w:r w:rsidRPr="0000783F">
        <w:rPr>
          <w:lang w:val="en-US" w:eastAsia="en-US"/>
        </w:rPr>
        <w:t>, G. (2024). The natural anthraquinone dye emodin: Eco/</w:t>
      </w:r>
      <w:proofErr w:type="spellStart"/>
      <w:r w:rsidRPr="0000783F">
        <w:rPr>
          <w:lang w:val="en-US" w:eastAsia="en-US"/>
        </w:rPr>
        <w:t>genotoxicological</w:t>
      </w:r>
      <w:proofErr w:type="spellEnd"/>
      <w:r w:rsidRPr="0000783F">
        <w:rPr>
          <w:lang w:val="en-US" w:eastAsia="en-US"/>
        </w:rPr>
        <w:t xml:space="preserve"> characterization for aquatic organisms. </w:t>
      </w:r>
      <w:r w:rsidRPr="0000783F">
        <w:rPr>
          <w:i/>
          <w:iCs/>
          <w:lang w:val="en-US" w:eastAsia="en-US"/>
        </w:rPr>
        <w:t>Food and Chemical Toxicology, 189</w:t>
      </w:r>
      <w:r w:rsidRPr="0000783F">
        <w:rPr>
          <w:lang w:val="en-US" w:eastAsia="en-US"/>
        </w:rPr>
        <w:t>, Article 114749. https://doi.org/10.1016/j.fct.2024.114749</w:t>
      </w:r>
    </w:p>
    <w:p w14:paraId="7684B412"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de Oliveira, G. A. R., Leme, D. M., de Lapuente, J., Brito, L. B., </w:t>
      </w:r>
      <w:proofErr w:type="spellStart"/>
      <w:r w:rsidRPr="0000783F">
        <w:rPr>
          <w:lang w:val="en-US" w:eastAsia="en-US"/>
        </w:rPr>
        <w:t>Porredón</w:t>
      </w:r>
      <w:proofErr w:type="spellEnd"/>
      <w:r w:rsidRPr="0000783F">
        <w:rPr>
          <w:lang w:val="en-US" w:eastAsia="en-US"/>
        </w:rPr>
        <w:t xml:space="preserve">, C., Rodrigues, L. de B., Brull, N., Serret, J. T., </w:t>
      </w:r>
      <w:proofErr w:type="spellStart"/>
      <w:r w:rsidRPr="0000783F">
        <w:rPr>
          <w:lang w:val="en-US" w:eastAsia="en-US"/>
        </w:rPr>
        <w:t>Borràs</w:t>
      </w:r>
      <w:proofErr w:type="spellEnd"/>
      <w:r w:rsidRPr="0000783F">
        <w:rPr>
          <w:lang w:val="en-US" w:eastAsia="en-US"/>
        </w:rPr>
        <w:t xml:space="preserve">, M., Disner, G. R., Cestari, M. M., &amp; de Oliveira, D. P. </w:t>
      </w:r>
      <w:r w:rsidRPr="0000783F">
        <w:rPr>
          <w:lang w:val="en-US" w:eastAsia="en-US"/>
        </w:rPr>
        <w:lastRenderedPageBreak/>
        <w:t xml:space="preserve">(2018). A test battery for assessing the ecotoxic effects of textile dyes. </w:t>
      </w:r>
      <w:proofErr w:type="spellStart"/>
      <w:r w:rsidRPr="0000783F">
        <w:rPr>
          <w:i/>
          <w:iCs/>
          <w:lang w:val="en-US" w:eastAsia="en-US"/>
        </w:rPr>
        <w:t>Chemico</w:t>
      </w:r>
      <w:proofErr w:type="spellEnd"/>
      <w:r w:rsidRPr="0000783F">
        <w:rPr>
          <w:i/>
          <w:iCs/>
          <w:lang w:val="en-US" w:eastAsia="en-US"/>
        </w:rPr>
        <w:t>-Biological Interactions, 291</w:t>
      </w:r>
      <w:r w:rsidRPr="0000783F">
        <w:rPr>
          <w:lang w:val="en-US" w:eastAsia="en-US"/>
        </w:rPr>
        <w:t>, 171–179. https://doi.org/10.1016/j.cbi.2018.06.026</w:t>
      </w:r>
    </w:p>
    <w:p w14:paraId="5BFD13F8"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Dutta, S., Adhikary, S., Bhattacharya, S., Roy, D., Chatterjee, S., Chakraborty, A., Banerjee, D., Ganguly, A., Nanda, S., &amp; Rajak, P. (2024). Contamination of textile dyes in aquatic environment: Adverse impacts on aquatic ecosystem and human health, and its management using bioremediation. </w:t>
      </w:r>
      <w:r w:rsidRPr="0000783F">
        <w:rPr>
          <w:i/>
          <w:iCs/>
          <w:lang w:val="en-US" w:eastAsia="en-US"/>
        </w:rPr>
        <w:t>Journal of Environmental Management, 353</w:t>
      </w:r>
      <w:r w:rsidRPr="0000783F">
        <w:rPr>
          <w:lang w:val="en-US" w:eastAsia="en-US"/>
        </w:rPr>
        <w:t>, Article 120103. https://doi.org/10.1016/j.jenvman.2024.120103</w:t>
      </w:r>
    </w:p>
    <w:p w14:paraId="16F3EDA2"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Fernandes, F. H., Abe, F. R., Gomes, T. B., Santos, C. B. dos, </w:t>
      </w:r>
      <w:proofErr w:type="spellStart"/>
      <w:r w:rsidRPr="0000783F">
        <w:rPr>
          <w:lang w:val="en-US" w:eastAsia="en-US"/>
        </w:rPr>
        <w:t>Kempinas</w:t>
      </w:r>
      <w:proofErr w:type="spellEnd"/>
      <w:r w:rsidRPr="0000783F">
        <w:rPr>
          <w:lang w:val="en-US" w:eastAsia="en-US"/>
        </w:rPr>
        <w:t xml:space="preserve">, W. D. G., Leite, B. A., de Oliveira, D. P., &amp; Salvadori, D. M. F. (2024). Disperse Red 1 azo dye: Consequences of low-dose/low-concentration exposures in mice and zebrafish. </w:t>
      </w:r>
      <w:r w:rsidRPr="0000783F">
        <w:rPr>
          <w:i/>
          <w:iCs/>
          <w:lang w:val="en-US" w:eastAsia="en-US"/>
        </w:rPr>
        <w:t>Mutation Research/Genetic Toxicology and Environmental Mutagenesis, 900</w:t>
      </w:r>
      <w:r w:rsidRPr="0000783F">
        <w:rPr>
          <w:lang w:val="en-US" w:eastAsia="en-US"/>
        </w:rPr>
        <w:t>, Article 503830. https://doi.org/10.1016/j.mrgentox.2024.503830</w:t>
      </w:r>
    </w:p>
    <w:p w14:paraId="26F01FD8"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Formicki, G., Goc, Z., Bojarski, B., &amp; </w:t>
      </w:r>
      <w:proofErr w:type="spellStart"/>
      <w:r w:rsidRPr="0000783F">
        <w:rPr>
          <w:lang w:val="en-US" w:eastAsia="en-US"/>
        </w:rPr>
        <w:t>Witeska</w:t>
      </w:r>
      <w:proofErr w:type="spellEnd"/>
      <w:r w:rsidRPr="0000783F">
        <w:rPr>
          <w:lang w:val="en-US" w:eastAsia="en-US"/>
        </w:rPr>
        <w:t xml:space="preserve">, M. (2025). Oxidative stress and neurotoxicity biomarkers in fish toxicology. </w:t>
      </w:r>
      <w:r w:rsidRPr="0000783F">
        <w:rPr>
          <w:i/>
          <w:iCs/>
          <w:lang w:val="en-US" w:eastAsia="en-US"/>
        </w:rPr>
        <w:t>Antioxidants, 14</w:t>
      </w:r>
      <w:r w:rsidRPr="0000783F">
        <w:rPr>
          <w:lang w:val="en-US" w:eastAsia="en-US"/>
        </w:rPr>
        <w:t xml:space="preserve">(8), Article 939. </w:t>
      </w:r>
      <w:hyperlink r:id="rId10" w:tgtFrame="_new" w:history="1">
        <w:r w:rsidRPr="0000783F">
          <w:rPr>
            <w:color w:val="0000FF"/>
            <w:u w:val="single"/>
            <w:lang w:val="en-US" w:eastAsia="en-US"/>
          </w:rPr>
          <w:t>https://doi.org/10.3390/antiox14080939</w:t>
        </w:r>
      </w:hyperlink>
    </w:p>
    <w:p w14:paraId="65025997"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Gopi, S., </w:t>
      </w:r>
      <w:proofErr w:type="spellStart"/>
      <w:r w:rsidRPr="0000783F">
        <w:rPr>
          <w:lang w:val="en-US" w:eastAsia="en-US"/>
        </w:rPr>
        <w:t>Prethiba</w:t>
      </w:r>
      <w:proofErr w:type="spellEnd"/>
      <w:r w:rsidRPr="0000783F">
        <w:rPr>
          <w:lang w:val="en-US" w:eastAsia="en-US"/>
        </w:rPr>
        <w:t xml:space="preserve">, S., Madesh, S., Almutairi, B. O., Choi, K. C., &amp; Arockiaraj, J. (2025). Synthetic azo dye amaranth disrupts neuronal plasticity causing alpha-synuclein aggregation and cognitive disability in an in vivo zebrafish model. </w:t>
      </w:r>
      <w:r w:rsidRPr="0000783F">
        <w:rPr>
          <w:i/>
          <w:iCs/>
          <w:lang w:val="en-US" w:eastAsia="en-US"/>
        </w:rPr>
        <w:t>Food and Chemical Toxicology, 204</w:t>
      </w:r>
      <w:r w:rsidRPr="0000783F">
        <w:rPr>
          <w:lang w:val="en-US" w:eastAsia="en-US"/>
        </w:rPr>
        <w:t>, Article 115669. https://doi.org/10.1016/j.fct.2025.115669</w:t>
      </w:r>
    </w:p>
    <w:p w14:paraId="2633D192"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Grinevicius, V. M. A. S., Geremias, R., Laus, R., Bettega, K. F., </w:t>
      </w:r>
      <w:proofErr w:type="spellStart"/>
      <w:r w:rsidRPr="0000783F">
        <w:rPr>
          <w:lang w:val="en-US" w:eastAsia="en-US"/>
        </w:rPr>
        <w:t>Laranjeiras</w:t>
      </w:r>
      <w:proofErr w:type="spellEnd"/>
      <w:r w:rsidRPr="0000783F">
        <w:rPr>
          <w:lang w:val="en-US" w:eastAsia="en-US"/>
        </w:rPr>
        <w:t xml:space="preserve">, M. C. M., </w:t>
      </w:r>
      <w:proofErr w:type="spellStart"/>
      <w:r w:rsidRPr="0000783F">
        <w:rPr>
          <w:lang w:val="en-US" w:eastAsia="en-US"/>
        </w:rPr>
        <w:t>Fávere</w:t>
      </w:r>
      <w:proofErr w:type="spellEnd"/>
      <w:r w:rsidRPr="0000783F">
        <w:rPr>
          <w:lang w:val="en-US" w:eastAsia="en-US"/>
        </w:rPr>
        <w:t xml:space="preserve">, V. T., Wilhelm Filho, D., &amp; Pedrosa, R. C. (2009). Textile effluents induce biomarkers of acute toxicity, oxidative stress, and genotoxicity. </w:t>
      </w:r>
      <w:r w:rsidRPr="0000783F">
        <w:rPr>
          <w:i/>
          <w:iCs/>
          <w:lang w:val="en-US" w:eastAsia="en-US"/>
        </w:rPr>
        <w:t>Archives of Environmental Contamination and Toxicology, 57</w:t>
      </w:r>
      <w:r w:rsidRPr="0000783F">
        <w:rPr>
          <w:lang w:val="en-US" w:eastAsia="en-US"/>
        </w:rPr>
        <w:t>(2), 307–314. https://doi.org/10.1007/s00244-008-9263-x</w:t>
      </w:r>
    </w:p>
    <w:p w14:paraId="2CFB8E1B" w14:textId="77777777" w:rsidR="0000783F" w:rsidRPr="0000783F" w:rsidRDefault="0000783F" w:rsidP="0000783F">
      <w:pPr>
        <w:spacing w:before="100" w:beforeAutospacing="1" w:after="100" w:afterAutospacing="1"/>
        <w:rPr>
          <w:lang w:val="en-US" w:eastAsia="en-US"/>
        </w:rPr>
      </w:pPr>
      <w:proofErr w:type="spellStart"/>
      <w:r w:rsidRPr="0000783F">
        <w:rPr>
          <w:lang w:val="en-US" w:eastAsia="en-US"/>
        </w:rPr>
        <w:t>Haridevamuthu</w:t>
      </w:r>
      <w:proofErr w:type="spellEnd"/>
      <w:r w:rsidRPr="0000783F">
        <w:rPr>
          <w:lang w:val="en-US" w:eastAsia="en-US"/>
        </w:rPr>
        <w:t xml:space="preserve">, B., Murugan, R., Seenivasan, B., Meenatchi, R., Pachaiappan, R., Almutairi, B. O., Arokiyaraj, S., Kathiravan, M. K., &amp; Arockiaraj, J. (2024). Synthetic azo-dye, tartrazine induces neurodevelopmental toxicity via mitochondria-mediated apoptosis in zebrafish embryos. </w:t>
      </w:r>
      <w:r w:rsidRPr="0000783F">
        <w:rPr>
          <w:i/>
          <w:iCs/>
          <w:lang w:val="en-US" w:eastAsia="en-US"/>
        </w:rPr>
        <w:t>Journal of Hazardous Materials, 461</w:t>
      </w:r>
      <w:r w:rsidRPr="0000783F">
        <w:rPr>
          <w:lang w:val="en-US" w:eastAsia="en-US"/>
        </w:rPr>
        <w:t>, Article 132524. https://doi.org/10.1016/j.jhazmat.2023.132524</w:t>
      </w:r>
    </w:p>
    <w:p w14:paraId="498760E6"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Hemachandra, C. K., &amp; </w:t>
      </w:r>
      <w:proofErr w:type="spellStart"/>
      <w:r w:rsidRPr="0000783F">
        <w:rPr>
          <w:lang w:val="en-US" w:eastAsia="en-US"/>
        </w:rPr>
        <w:t>Pathiratne</w:t>
      </w:r>
      <w:proofErr w:type="spellEnd"/>
      <w:r w:rsidRPr="0000783F">
        <w:rPr>
          <w:lang w:val="en-US" w:eastAsia="en-US"/>
        </w:rPr>
        <w:t xml:space="preserve">, A. (2016). Combination of </w:t>
      </w:r>
      <w:proofErr w:type="spellStart"/>
      <w:r w:rsidRPr="0000783F">
        <w:rPr>
          <w:lang w:val="en-US" w:eastAsia="en-US"/>
        </w:rPr>
        <w:t>physico</w:t>
      </w:r>
      <w:proofErr w:type="spellEnd"/>
      <w:r w:rsidRPr="0000783F">
        <w:rPr>
          <w:lang w:val="en-US" w:eastAsia="en-US"/>
        </w:rPr>
        <w:t xml:space="preserve">-chemical analysis, </w:t>
      </w:r>
      <w:r w:rsidRPr="0000783F">
        <w:rPr>
          <w:i/>
          <w:iCs/>
          <w:lang w:val="en-US" w:eastAsia="en-US"/>
        </w:rPr>
        <w:t>Allium cepa</w:t>
      </w:r>
      <w:r w:rsidRPr="0000783F">
        <w:rPr>
          <w:lang w:val="en-US" w:eastAsia="en-US"/>
        </w:rPr>
        <w:t xml:space="preserve"> test system and </w:t>
      </w:r>
      <w:r w:rsidRPr="0000783F">
        <w:rPr>
          <w:i/>
          <w:iCs/>
          <w:lang w:val="en-US" w:eastAsia="en-US"/>
        </w:rPr>
        <w:t>Oreochromis niloticus</w:t>
      </w:r>
      <w:r w:rsidRPr="0000783F">
        <w:rPr>
          <w:lang w:val="en-US" w:eastAsia="en-US"/>
        </w:rPr>
        <w:t xml:space="preserve"> </w:t>
      </w:r>
      <w:proofErr w:type="gramStart"/>
      <w:r w:rsidRPr="0000783F">
        <w:rPr>
          <w:lang w:val="en-US" w:eastAsia="en-US"/>
        </w:rPr>
        <w:t>erythrocyte based</w:t>
      </w:r>
      <w:proofErr w:type="gramEnd"/>
      <w:r w:rsidRPr="0000783F">
        <w:rPr>
          <w:lang w:val="en-US" w:eastAsia="en-US"/>
        </w:rPr>
        <w:t xml:space="preserve"> comet assay/nuclear abnormalities tests for cyto-genotoxicity assessments of treated effluents discharged from textile industries. </w:t>
      </w:r>
      <w:r w:rsidRPr="0000783F">
        <w:rPr>
          <w:i/>
          <w:iCs/>
          <w:lang w:val="en-US" w:eastAsia="en-US"/>
        </w:rPr>
        <w:t>Ecotoxicology and Environmental Safety, 131</w:t>
      </w:r>
      <w:r w:rsidRPr="0000783F">
        <w:rPr>
          <w:lang w:val="en-US" w:eastAsia="en-US"/>
        </w:rPr>
        <w:t>, 54–64. https://doi.org/10.1016/j.ecoenv.2016.05.010</w:t>
      </w:r>
    </w:p>
    <w:p w14:paraId="699D2F25"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Hernández-Zamora, M., &amp; Martínez-Jerónimo, F. (2019a). Congo red dye diversely affects organisms of different trophic levels: A comparative study with microalgae, cladocerans, and zebrafish embryos. </w:t>
      </w:r>
      <w:r w:rsidRPr="0000783F">
        <w:rPr>
          <w:i/>
          <w:iCs/>
          <w:lang w:val="en-US" w:eastAsia="en-US"/>
        </w:rPr>
        <w:t>Environmental Science and Pollution Research, 26</w:t>
      </w:r>
      <w:r w:rsidRPr="0000783F">
        <w:rPr>
          <w:lang w:val="en-US" w:eastAsia="en-US"/>
        </w:rPr>
        <w:t>(12), 11743–11755. https://doi.org/10.1007/s11356-019-04589-1</w:t>
      </w:r>
    </w:p>
    <w:p w14:paraId="4E26853E"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Hernández-Zamora, M., &amp; Martínez-Jerónimo, F. (2019b). Exposure to the azo dye Direct Blue 15 produces toxic effects on microalgae, cladocerans, and zebrafish embryos. </w:t>
      </w:r>
      <w:r w:rsidRPr="0000783F">
        <w:rPr>
          <w:i/>
          <w:iCs/>
          <w:lang w:val="en-US" w:eastAsia="en-US"/>
        </w:rPr>
        <w:t>Ecotoxicology, 28</w:t>
      </w:r>
      <w:r w:rsidRPr="0000783F">
        <w:rPr>
          <w:lang w:val="en-US" w:eastAsia="en-US"/>
        </w:rPr>
        <w:t>(8), 890–902. https://doi.org/10.1007/s10646-019-02087-1</w:t>
      </w:r>
    </w:p>
    <w:p w14:paraId="36D27D75" w14:textId="77777777" w:rsidR="0000783F" w:rsidRPr="0000783F" w:rsidRDefault="0000783F" w:rsidP="0000783F">
      <w:pPr>
        <w:spacing w:before="100" w:beforeAutospacing="1" w:after="100" w:afterAutospacing="1"/>
        <w:rPr>
          <w:lang w:val="en-US" w:eastAsia="en-US"/>
        </w:rPr>
      </w:pPr>
      <w:r w:rsidRPr="0000783F">
        <w:rPr>
          <w:lang w:val="en-US" w:eastAsia="en-US"/>
        </w:rPr>
        <w:lastRenderedPageBreak/>
        <w:t>Hussain, B., Yaseen, H., Al-Ghanim, K., Al-</w:t>
      </w:r>
      <w:proofErr w:type="spellStart"/>
      <w:r w:rsidRPr="0000783F">
        <w:rPr>
          <w:lang w:val="en-US" w:eastAsia="en-US"/>
        </w:rPr>
        <w:t>Misned</w:t>
      </w:r>
      <w:proofErr w:type="spellEnd"/>
      <w:r w:rsidRPr="0000783F">
        <w:rPr>
          <w:lang w:val="en-US" w:eastAsia="en-US"/>
        </w:rPr>
        <w:t>, F., Qasim, M., Al-</w:t>
      </w:r>
      <w:proofErr w:type="spellStart"/>
      <w:r w:rsidRPr="0000783F">
        <w:rPr>
          <w:lang w:val="en-US" w:eastAsia="en-US"/>
        </w:rPr>
        <w:t>Mulhm</w:t>
      </w:r>
      <w:proofErr w:type="spellEnd"/>
      <w:r w:rsidRPr="0000783F">
        <w:rPr>
          <w:lang w:val="en-US" w:eastAsia="en-US"/>
        </w:rPr>
        <w:t xml:space="preserve">, N., &amp; Mahboob, S. (2021). A study on risk assessment of effect of hematoxylin dye on cytotoxicity and nephrotoxicity in freshwater fish: Food and water security prospective research. </w:t>
      </w:r>
      <w:r w:rsidRPr="0000783F">
        <w:rPr>
          <w:i/>
          <w:iCs/>
          <w:lang w:val="en-US" w:eastAsia="en-US"/>
        </w:rPr>
        <w:t>Saudi Journal of Biological Sciences, 28</w:t>
      </w:r>
      <w:r w:rsidRPr="0000783F">
        <w:rPr>
          <w:lang w:val="en-US" w:eastAsia="en-US"/>
        </w:rPr>
        <w:t>(4), 2267–2271. https://doi.org/10.1016/j.sjbs.2021.01.019</w:t>
      </w:r>
    </w:p>
    <w:p w14:paraId="4423B47D"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Islam, M. M., Aidid, A. R., </w:t>
      </w:r>
      <w:proofErr w:type="spellStart"/>
      <w:r w:rsidRPr="0000783F">
        <w:rPr>
          <w:lang w:val="en-US" w:eastAsia="en-US"/>
        </w:rPr>
        <w:t>Mohshin</w:t>
      </w:r>
      <w:proofErr w:type="spellEnd"/>
      <w:r w:rsidRPr="0000783F">
        <w:rPr>
          <w:lang w:val="en-US" w:eastAsia="en-US"/>
        </w:rPr>
        <w:t xml:space="preserve">, J. N., Mondal, H., Ganguli, S., &amp; Chakraborty, A. K. (2025). A critical review on textile dye-containing wastewater: Ecotoxicity, health risks, and remediation strategies for environmental safety. </w:t>
      </w:r>
      <w:r w:rsidRPr="0000783F">
        <w:rPr>
          <w:i/>
          <w:iCs/>
          <w:lang w:val="en-US" w:eastAsia="en-US"/>
        </w:rPr>
        <w:t>Cleaner Chemical Engineering, 11</w:t>
      </w:r>
      <w:r w:rsidRPr="0000783F">
        <w:rPr>
          <w:lang w:val="en-US" w:eastAsia="en-US"/>
        </w:rPr>
        <w:t>, Article 100165. https://doi.org/10.1016/j.clce.2025.100165</w:t>
      </w:r>
    </w:p>
    <w:p w14:paraId="28D00816" w14:textId="77777777" w:rsidR="0000783F" w:rsidRPr="0000783F" w:rsidRDefault="0000783F" w:rsidP="0000783F">
      <w:pPr>
        <w:spacing w:before="100" w:beforeAutospacing="1" w:after="100" w:afterAutospacing="1"/>
        <w:rPr>
          <w:lang w:val="en-US" w:eastAsia="en-US"/>
        </w:rPr>
      </w:pPr>
      <w:r w:rsidRPr="0000783F">
        <w:rPr>
          <w:lang w:val="en-US" w:eastAsia="en-US"/>
        </w:rPr>
        <w:t>Jang, G. H., Park, I.-S., Lee, S. H., Huh, T.-L., &amp; Lee, Y. M. (2009). Malachite green induces cardiovascular defects in developing zebrafish (</w:t>
      </w:r>
      <w:r w:rsidRPr="0000783F">
        <w:rPr>
          <w:i/>
          <w:iCs/>
          <w:lang w:val="en-US" w:eastAsia="en-US"/>
        </w:rPr>
        <w:t>Danio rerio</w:t>
      </w:r>
      <w:r w:rsidRPr="0000783F">
        <w:rPr>
          <w:lang w:val="en-US" w:eastAsia="en-US"/>
        </w:rPr>
        <w:t xml:space="preserve">) embryos by blocking VEGFR-2 </w:t>
      </w:r>
      <w:proofErr w:type="spellStart"/>
      <w:r w:rsidRPr="0000783F">
        <w:rPr>
          <w:lang w:val="en-US" w:eastAsia="en-US"/>
        </w:rPr>
        <w:t>signalling</w:t>
      </w:r>
      <w:proofErr w:type="spellEnd"/>
      <w:r w:rsidRPr="0000783F">
        <w:rPr>
          <w:lang w:val="en-US" w:eastAsia="en-US"/>
        </w:rPr>
        <w:t xml:space="preserve">. </w:t>
      </w:r>
      <w:r w:rsidRPr="0000783F">
        <w:rPr>
          <w:i/>
          <w:iCs/>
          <w:lang w:val="en-US" w:eastAsia="en-US"/>
        </w:rPr>
        <w:t>Biochemical and Biophysical Research Communications, 382</w:t>
      </w:r>
      <w:r w:rsidRPr="0000783F">
        <w:rPr>
          <w:lang w:val="en-US" w:eastAsia="en-US"/>
        </w:rPr>
        <w:t>(3), 486–491. https://doi.org/10.1016/j.bbrc.2009.01.118</w:t>
      </w:r>
    </w:p>
    <w:p w14:paraId="4FD30451"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Jiang, L.-L., Li, K., Yan, D.-L., Yang, M.-F., Ma, L., &amp; Xie, L.-Z. (2020). Toxicity assessment of 4 azo dyes in zebrafish embryos. </w:t>
      </w:r>
      <w:r w:rsidRPr="0000783F">
        <w:rPr>
          <w:i/>
          <w:iCs/>
          <w:lang w:val="en-US" w:eastAsia="en-US"/>
        </w:rPr>
        <w:t>International Journal of Toxicology, 39</w:t>
      </w:r>
      <w:r w:rsidRPr="0000783F">
        <w:rPr>
          <w:lang w:val="en-US" w:eastAsia="en-US"/>
        </w:rPr>
        <w:t>(2), 115–123. https://doi.org/10.1177/1091581819898396</w:t>
      </w:r>
    </w:p>
    <w:p w14:paraId="6D596679"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Kamila, S., Shaw, P., Islam, S., &amp; Chattopadhyay, A. (2023). Ecotoxicology of hexavalent chromium in fish: An updated review. </w:t>
      </w:r>
      <w:r w:rsidRPr="0000783F">
        <w:rPr>
          <w:i/>
          <w:iCs/>
          <w:lang w:val="en-US" w:eastAsia="en-US"/>
        </w:rPr>
        <w:t>Science of the Total Environment, 890</w:t>
      </w:r>
      <w:r w:rsidRPr="0000783F">
        <w:rPr>
          <w:lang w:val="en-US" w:eastAsia="en-US"/>
        </w:rPr>
        <w:t>, Article 164395. https://doi.org/10.1016/j.scitotenv.2023.164395</w:t>
      </w:r>
    </w:p>
    <w:p w14:paraId="19BD2200"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Kaur, S., &amp; Kaur, A. (2015). Variability in antioxidant/detoxification enzymes of </w:t>
      </w:r>
      <w:proofErr w:type="spellStart"/>
      <w:r w:rsidRPr="0000783F">
        <w:rPr>
          <w:i/>
          <w:iCs/>
          <w:lang w:val="en-US" w:eastAsia="en-US"/>
        </w:rPr>
        <w:t>Labeo</w:t>
      </w:r>
      <w:proofErr w:type="spellEnd"/>
      <w:r w:rsidRPr="0000783F">
        <w:rPr>
          <w:i/>
          <w:iCs/>
          <w:lang w:val="en-US" w:eastAsia="en-US"/>
        </w:rPr>
        <w:t xml:space="preserve"> </w:t>
      </w:r>
      <w:proofErr w:type="spellStart"/>
      <w:r w:rsidRPr="0000783F">
        <w:rPr>
          <w:i/>
          <w:iCs/>
          <w:lang w:val="en-US" w:eastAsia="en-US"/>
        </w:rPr>
        <w:t>rohita</w:t>
      </w:r>
      <w:proofErr w:type="spellEnd"/>
      <w:r w:rsidRPr="0000783F">
        <w:rPr>
          <w:lang w:val="en-US" w:eastAsia="en-US"/>
        </w:rPr>
        <w:t xml:space="preserve"> exposed to an azo dye, acid black (AB). </w:t>
      </w:r>
      <w:r w:rsidRPr="0000783F">
        <w:rPr>
          <w:i/>
          <w:iCs/>
          <w:lang w:val="en-US" w:eastAsia="en-US"/>
        </w:rPr>
        <w:t>Comparative Biochemistry and Physiology Part C: Toxicology &amp; Pharmacology, 167</w:t>
      </w:r>
      <w:r w:rsidRPr="0000783F">
        <w:rPr>
          <w:lang w:val="en-US" w:eastAsia="en-US"/>
        </w:rPr>
        <w:t>, 108–116. https://doi.org/10.1016/j.cbpc.2014.06.009</w:t>
      </w:r>
    </w:p>
    <w:p w14:paraId="07CE1F2A"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Khandelwal, D., Rana, I., Mishra, V., Ranjan, K. R., &amp; Singh, P. (2024). Unveiling the impact of dyes on aquatic ecosystems through zebrafish: A comprehensive review. </w:t>
      </w:r>
      <w:r w:rsidRPr="0000783F">
        <w:rPr>
          <w:i/>
          <w:iCs/>
          <w:lang w:val="en-US" w:eastAsia="en-US"/>
        </w:rPr>
        <w:t>Environmental Research, 261</w:t>
      </w:r>
      <w:r w:rsidRPr="0000783F">
        <w:rPr>
          <w:lang w:val="en-US" w:eastAsia="en-US"/>
        </w:rPr>
        <w:t>, Article 119684. https://doi.org/10.1016/j.envres.2024.119684</w:t>
      </w:r>
    </w:p>
    <w:p w14:paraId="098E347A" w14:textId="77777777" w:rsidR="0000783F" w:rsidRPr="0000783F" w:rsidRDefault="0000783F" w:rsidP="0000783F">
      <w:pPr>
        <w:spacing w:before="100" w:beforeAutospacing="1" w:after="100" w:afterAutospacing="1"/>
        <w:rPr>
          <w:lang w:val="en-US" w:eastAsia="en-US"/>
        </w:rPr>
      </w:pPr>
      <w:proofErr w:type="spellStart"/>
      <w:r w:rsidRPr="0000783F">
        <w:rPr>
          <w:lang w:val="en-US" w:eastAsia="en-US"/>
        </w:rPr>
        <w:t>Köktürk</w:t>
      </w:r>
      <w:proofErr w:type="spellEnd"/>
      <w:r w:rsidRPr="0000783F">
        <w:rPr>
          <w:lang w:val="en-US" w:eastAsia="en-US"/>
        </w:rPr>
        <w:t>, M. (2022). In vivo toxicity assessment of Remazol Gelb-GR (RG-GR) textile dye in zebrafish embryos/larvae (</w:t>
      </w:r>
      <w:r w:rsidRPr="0000783F">
        <w:rPr>
          <w:i/>
          <w:iCs/>
          <w:lang w:val="en-US" w:eastAsia="en-US"/>
        </w:rPr>
        <w:t>Danio rerio</w:t>
      </w:r>
      <w:r w:rsidRPr="0000783F">
        <w:rPr>
          <w:lang w:val="en-US" w:eastAsia="en-US"/>
        </w:rPr>
        <w:t xml:space="preserve">): Teratogenic effects, biochemical changes, immunohistochemical changes. </w:t>
      </w:r>
      <w:r w:rsidRPr="0000783F">
        <w:rPr>
          <w:i/>
          <w:iCs/>
          <w:lang w:val="en-US" w:eastAsia="en-US"/>
        </w:rPr>
        <w:t>Science of the Total Environment, 852</w:t>
      </w:r>
      <w:r w:rsidRPr="0000783F">
        <w:rPr>
          <w:lang w:val="en-US" w:eastAsia="en-US"/>
        </w:rPr>
        <w:t>, Article 158473. https://doi.org/10.1016/j.scitotenv.2022.158473</w:t>
      </w:r>
    </w:p>
    <w:p w14:paraId="2F7FD1DC" w14:textId="77777777" w:rsidR="0000783F" w:rsidRPr="0000783F" w:rsidRDefault="0000783F" w:rsidP="0000783F">
      <w:pPr>
        <w:spacing w:before="100" w:beforeAutospacing="1" w:after="100" w:afterAutospacing="1"/>
        <w:rPr>
          <w:lang w:val="en-US" w:eastAsia="en-US"/>
        </w:rPr>
      </w:pPr>
      <w:proofErr w:type="spellStart"/>
      <w:r w:rsidRPr="0000783F">
        <w:rPr>
          <w:lang w:val="en-US" w:eastAsia="en-US"/>
        </w:rPr>
        <w:t>Köktürk</w:t>
      </w:r>
      <w:proofErr w:type="spellEnd"/>
      <w:r w:rsidRPr="0000783F">
        <w:rPr>
          <w:lang w:val="en-US" w:eastAsia="en-US"/>
        </w:rPr>
        <w:t xml:space="preserve">, M., Altindağ, F., </w:t>
      </w:r>
      <w:proofErr w:type="spellStart"/>
      <w:r w:rsidRPr="0000783F">
        <w:rPr>
          <w:lang w:val="en-US" w:eastAsia="en-US"/>
        </w:rPr>
        <w:t>Ozhan</w:t>
      </w:r>
      <w:proofErr w:type="spellEnd"/>
      <w:r w:rsidRPr="0000783F">
        <w:rPr>
          <w:lang w:val="en-US" w:eastAsia="en-US"/>
        </w:rPr>
        <w:t xml:space="preserve">, G., </w:t>
      </w:r>
      <w:proofErr w:type="spellStart"/>
      <w:r w:rsidRPr="0000783F">
        <w:rPr>
          <w:lang w:val="en-US" w:eastAsia="en-US"/>
        </w:rPr>
        <w:t>Çalimli</w:t>
      </w:r>
      <w:proofErr w:type="spellEnd"/>
      <w:r w:rsidRPr="0000783F">
        <w:rPr>
          <w:lang w:val="en-US" w:eastAsia="en-US"/>
        </w:rPr>
        <w:t xml:space="preserve">, M. H., &amp; Nas, M. S. (2021). Textile dyes </w:t>
      </w:r>
      <w:proofErr w:type="spellStart"/>
      <w:r w:rsidRPr="0000783F">
        <w:rPr>
          <w:lang w:val="en-US" w:eastAsia="en-US"/>
        </w:rPr>
        <w:t>Maxilon</w:t>
      </w:r>
      <w:proofErr w:type="spellEnd"/>
      <w:r w:rsidRPr="0000783F">
        <w:rPr>
          <w:lang w:val="en-US" w:eastAsia="en-US"/>
        </w:rPr>
        <w:t xml:space="preserve"> Blue 5G and Reactive Blue 203 induce acute toxicity and DNA damage during embryonic development of </w:t>
      </w:r>
      <w:r w:rsidRPr="0000783F">
        <w:rPr>
          <w:i/>
          <w:iCs/>
          <w:lang w:val="en-US" w:eastAsia="en-US"/>
        </w:rPr>
        <w:t>Danio rerio</w:t>
      </w:r>
      <w:r w:rsidRPr="0000783F">
        <w:rPr>
          <w:lang w:val="en-US" w:eastAsia="en-US"/>
        </w:rPr>
        <w:t xml:space="preserve">. </w:t>
      </w:r>
      <w:r w:rsidRPr="0000783F">
        <w:rPr>
          <w:i/>
          <w:iCs/>
          <w:lang w:val="en-US" w:eastAsia="en-US"/>
        </w:rPr>
        <w:t>Comparative Biochemistry and Physiology Part C: Toxicology &amp; Pharmacology, 242</w:t>
      </w:r>
      <w:r w:rsidRPr="0000783F">
        <w:rPr>
          <w:lang w:val="en-US" w:eastAsia="en-US"/>
        </w:rPr>
        <w:t>, Article 108947. https://doi.org/10.1016/j.cbpc.2020.108947</w:t>
      </w:r>
    </w:p>
    <w:p w14:paraId="55A2BED6"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Kwan, P. P., Banerjee, S., Shariff, M., &amp; Yusoff, F. M. (2019). Residual quantification and oxidative stress induced by malachite green after subacute and sublethal exposure in red tilapia. </w:t>
      </w:r>
      <w:r w:rsidRPr="0000783F">
        <w:rPr>
          <w:i/>
          <w:iCs/>
          <w:lang w:val="en-US" w:eastAsia="en-US"/>
        </w:rPr>
        <w:t>Veterinary World, 12</w:t>
      </w:r>
      <w:r w:rsidRPr="0000783F">
        <w:rPr>
          <w:lang w:val="en-US" w:eastAsia="en-US"/>
        </w:rPr>
        <w:t>(9), 1416–1421. https://doi.org/10.14202/vetworld.2019.1416-1421</w:t>
      </w:r>
    </w:p>
    <w:p w14:paraId="5F7FF061"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Lemos, L., </w:t>
      </w:r>
      <w:proofErr w:type="spellStart"/>
      <w:r w:rsidRPr="0000783F">
        <w:rPr>
          <w:lang w:val="en-US" w:eastAsia="en-US"/>
        </w:rPr>
        <w:t>Angarica</w:t>
      </w:r>
      <w:proofErr w:type="spellEnd"/>
      <w:r w:rsidRPr="0000783F">
        <w:rPr>
          <w:lang w:val="en-US" w:eastAsia="en-US"/>
        </w:rPr>
        <w:t xml:space="preserve">, L., Hauser-Davis, R., &amp; </w:t>
      </w:r>
      <w:proofErr w:type="spellStart"/>
      <w:r w:rsidRPr="0000783F">
        <w:rPr>
          <w:lang w:val="en-US" w:eastAsia="en-US"/>
        </w:rPr>
        <w:t>Quinete</w:t>
      </w:r>
      <w:proofErr w:type="spellEnd"/>
      <w:r w:rsidRPr="0000783F">
        <w:rPr>
          <w:lang w:val="en-US" w:eastAsia="en-US"/>
        </w:rPr>
        <w:t xml:space="preserve">, N. (2023). Cortisol as a stress indicator in fish: Sampling methods, analytical techniques, and organic pollutant exposure </w:t>
      </w:r>
      <w:r w:rsidRPr="0000783F">
        <w:rPr>
          <w:lang w:val="en-US" w:eastAsia="en-US"/>
        </w:rPr>
        <w:lastRenderedPageBreak/>
        <w:t xml:space="preserve">assessments. </w:t>
      </w:r>
      <w:r w:rsidRPr="0000783F">
        <w:rPr>
          <w:i/>
          <w:iCs/>
          <w:lang w:val="en-US" w:eastAsia="en-US"/>
        </w:rPr>
        <w:t>International Journal of Environmental Research and Public Health, 20</w:t>
      </w:r>
      <w:r w:rsidRPr="0000783F">
        <w:rPr>
          <w:lang w:val="en-US" w:eastAsia="en-US"/>
        </w:rPr>
        <w:t xml:space="preserve">(13), Article 6237. </w:t>
      </w:r>
      <w:hyperlink r:id="rId11" w:tgtFrame="_new" w:history="1">
        <w:r w:rsidRPr="0000783F">
          <w:rPr>
            <w:color w:val="0000FF"/>
            <w:u w:val="single"/>
            <w:lang w:val="en-US" w:eastAsia="en-US"/>
          </w:rPr>
          <w:t>https://doi.org/10.3390/ijerph20136237</w:t>
        </w:r>
      </w:hyperlink>
    </w:p>
    <w:p w14:paraId="4A35B4DF" w14:textId="77777777" w:rsidR="0000783F" w:rsidRPr="0000783F" w:rsidRDefault="0000783F" w:rsidP="0000783F">
      <w:pPr>
        <w:spacing w:before="100" w:beforeAutospacing="1" w:after="100" w:afterAutospacing="1"/>
        <w:rPr>
          <w:lang w:val="en-US" w:eastAsia="en-US"/>
        </w:rPr>
      </w:pPr>
      <w:r w:rsidRPr="0000783F">
        <w:rPr>
          <w:lang w:val="en-US" w:eastAsia="en-US"/>
        </w:rPr>
        <w:t>Li, S., Cai, M., Wang, Q., Yuan, Z., Li, R., Wang, C., &amp; Sun, Y. (2023). Effect of long-term exposure to dyeing wastewater treatment plant effluent on growth and gut microbiota of adult zebrafish (</w:t>
      </w:r>
      <w:r w:rsidRPr="0000783F">
        <w:rPr>
          <w:i/>
          <w:iCs/>
          <w:lang w:val="en-US" w:eastAsia="en-US"/>
        </w:rPr>
        <w:t>Danio rerio</w:t>
      </w:r>
      <w:r w:rsidRPr="0000783F">
        <w:rPr>
          <w:lang w:val="en-US" w:eastAsia="en-US"/>
        </w:rPr>
        <w:t xml:space="preserve">). </w:t>
      </w:r>
      <w:r w:rsidRPr="0000783F">
        <w:rPr>
          <w:i/>
          <w:iCs/>
          <w:lang w:val="en-US" w:eastAsia="en-US"/>
        </w:rPr>
        <w:t>Environmental Science and Pollution Research, 30</w:t>
      </w:r>
      <w:r w:rsidRPr="0000783F">
        <w:rPr>
          <w:lang w:val="en-US" w:eastAsia="en-US"/>
        </w:rPr>
        <w:t>(18), 53674–53684. https://doi.org/10.1007/s11356-023-26167-2</w:t>
      </w:r>
    </w:p>
    <w:p w14:paraId="09689D9D"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MacAulay, S., Masud, N., &amp; Cable, J. (2024). Analysis of bamboo </w:t>
      </w:r>
      <w:proofErr w:type="spellStart"/>
      <w:r w:rsidRPr="0000783F">
        <w:rPr>
          <w:lang w:val="en-US" w:eastAsia="en-US"/>
        </w:rPr>
        <w:t>fibres</w:t>
      </w:r>
      <w:proofErr w:type="spellEnd"/>
      <w:r w:rsidRPr="0000783F">
        <w:rPr>
          <w:lang w:val="en-US" w:eastAsia="en-US"/>
        </w:rPr>
        <w:t xml:space="preserve"> and their associated dye on a freshwater fish host-parasite system. </w:t>
      </w:r>
      <w:r w:rsidRPr="0000783F">
        <w:rPr>
          <w:i/>
          <w:iCs/>
          <w:lang w:val="en-US" w:eastAsia="en-US"/>
        </w:rPr>
        <w:t>Environmental Science and Pollution Research, 31</w:t>
      </w:r>
      <w:r w:rsidRPr="0000783F">
        <w:rPr>
          <w:lang w:val="en-US" w:eastAsia="en-US"/>
        </w:rPr>
        <w:t xml:space="preserve">(38), 51025–51036. </w:t>
      </w:r>
      <w:hyperlink r:id="rId12" w:tgtFrame="_new" w:history="1">
        <w:r w:rsidRPr="0000783F">
          <w:rPr>
            <w:color w:val="0000FF"/>
            <w:u w:val="single"/>
            <w:lang w:val="en-US" w:eastAsia="en-US"/>
          </w:rPr>
          <w:t>https://doi.org/10.1007/s11356-024-34626-7</w:t>
        </w:r>
      </w:hyperlink>
    </w:p>
    <w:p w14:paraId="0D735845"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Mahmood, S., Khalid, A., Arshad, M., Mahmood, T., &amp; Crowley, D. E. (2016). Detoxification of azo dyes by bacterial oxidoreductase enzymes. </w:t>
      </w:r>
      <w:r w:rsidRPr="0000783F">
        <w:rPr>
          <w:i/>
          <w:iCs/>
          <w:lang w:val="en-US" w:eastAsia="en-US"/>
        </w:rPr>
        <w:t>Critical Reviews in Biotechnology, 36</w:t>
      </w:r>
      <w:r w:rsidRPr="0000783F">
        <w:rPr>
          <w:lang w:val="en-US" w:eastAsia="en-US"/>
        </w:rPr>
        <w:t>(4), 639–651. https://doi.org/10.3109/07388551.2015.1004518</w:t>
      </w:r>
    </w:p>
    <w:p w14:paraId="1D0E0671"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Majeed, S. A., Nambi, K. S. N., </w:t>
      </w:r>
      <w:proofErr w:type="spellStart"/>
      <w:r w:rsidRPr="0000783F">
        <w:rPr>
          <w:lang w:val="en-US" w:eastAsia="en-US"/>
        </w:rPr>
        <w:t>Taju</w:t>
      </w:r>
      <w:proofErr w:type="spellEnd"/>
      <w:r w:rsidRPr="0000783F">
        <w:rPr>
          <w:lang w:val="en-US" w:eastAsia="en-US"/>
        </w:rPr>
        <w:t xml:space="preserve">, G., Vimal, S., Venkatesan, C., &amp; Hameed, A. S. S. (2014). Cytotoxicity, genotoxicity and oxidative stress of malachite green on the kidney and gill cell lines of freshwater air breathing fish </w:t>
      </w:r>
      <w:r w:rsidRPr="0000783F">
        <w:rPr>
          <w:i/>
          <w:iCs/>
          <w:lang w:val="en-US" w:eastAsia="en-US"/>
        </w:rPr>
        <w:t>Channa striata</w:t>
      </w:r>
      <w:r w:rsidRPr="0000783F">
        <w:rPr>
          <w:lang w:val="en-US" w:eastAsia="en-US"/>
        </w:rPr>
        <w:t xml:space="preserve">. </w:t>
      </w:r>
      <w:r w:rsidRPr="0000783F">
        <w:rPr>
          <w:i/>
          <w:iCs/>
          <w:lang w:val="en-US" w:eastAsia="en-US"/>
        </w:rPr>
        <w:t>Environmental Science and Pollution Research, 21</w:t>
      </w:r>
      <w:r w:rsidRPr="0000783F">
        <w:rPr>
          <w:lang w:val="en-US" w:eastAsia="en-US"/>
        </w:rPr>
        <w:t>(23), 13539–13550. https://doi.org/10.1007/s11356-014-3279-8</w:t>
      </w:r>
    </w:p>
    <w:p w14:paraId="3E19D972"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Mehra, S., &amp; Chadha, P. (2020). Bioaccumulation and toxicity of 2-naphthalene sulfonate: An intermediate compound used in textile industry. </w:t>
      </w:r>
      <w:r w:rsidRPr="0000783F">
        <w:rPr>
          <w:i/>
          <w:iCs/>
          <w:lang w:val="en-US" w:eastAsia="en-US"/>
        </w:rPr>
        <w:t>Toxicology Research, 9</w:t>
      </w:r>
      <w:r w:rsidRPr="0000783F">
        <w:rPr>
          <w:lang w:val="en-US" w:eastAsia="en-US"/>
        </w:rPr>
        <w:t>(2), 127–136. https://doi.org/10.1093/toxres/tfaa008</w:t>
      </w:r>
    </w:p>
    <w:p w14:paraId="00B7AD54"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Mehra, S., &amp; Chadha, P. (2021). Naphthalene-2-sulfonate induced toxicity in blood cells of freshwater fish </w:t>
      </w:r>
      <w:r w:rsidRPr="0000783F">
        <w:rPr>
          <w:i/>
          <w:iCs/>
          <w:lang w:val="en-US" w:eastAsia="en-US"/>
        </w:rPr>
        <w:t>Channa punctatus</w:t>
      </w:r>
      <w:r w:rsidRPr="0000783F">
        <w:rPr>
          <w:lang w:val="en-US" w:eastAsia="en-US"/>
        </w:rPr>
        <w:t xml:space="preserve"> using comet assay, micronucleus assay and ATIR-FTIR approach. </w:t>
      </w:r>
      <w:r w:rsidRPr="0000783F">
        <w:rPr>
          <w:i/>
          <w:iCs/>
          <w:lang w:val="en-US" w:eastAsia="en-US"/>
        </w:rPr>
        <w:t>Chemosphere, 265</w:t>
      </w:r>
      <w:r w:rsidRPr="0000783F">
        <w:rPr>
          <w:lang w:val="en-US" w:eastAsia="en-US"/>
        </w:rPr>
        <w:t>, Article 129147. https://doi.org/10.1016/j.chemosphere.2020.129147</w:t>
      </w:r>
    </w:p>
    <w:p w14:paraId="21812ADC"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Meireles, G., Daam, M. A., Sanches, A. L. M., Zanoni, M. V. B., Soares, A. M. V. M., Gravato, C., &amp; de Oliveira, D. P. (2018). Red </w:t>
      </w:r>
      <w:proofErr w:type="gramStart"/>
      <w:r w:rsidRPr="0000783F">
        <w:rPr>
          <w:lang w:val="en-US" w:eastAsia="en-US"/>
        </w:rPr>
        <w:t>disperse</w:t>
      </w:r>
      <w:proofErr w:type="gramEnd"/>
      <w:r w:rsidRPr="0000783F">
        <w:rPr>
          <w:lang w:val="en-US" w:eastAsia="en-US"/>
        </w:rPr>
        <w:t xml:space="preserve"> dyes (DR 60, DR 73 and DR 78) at environmentally realistic concentrations impact biochemical profile of early life stages of zebrafish (</w:t>
      </w:r>
      <w:r w:rsidRPr="0000783F">
        <w:rPr>
          <w:i/>
          <w:iCs/>
          <w:lang w:val="en-US" w:eastAsia="en-US"/>
        </w:rPr>
        <w:t>Danio rerio</w:t>
      </w:r>
      <w:r w:rsidRPr="0000783F">
        <w:rPr>
          <w:lang w:val="en-US" w:eastAsia="en-US"/>
        </w:rPr>
        <w:t xml:space="preserve">). </w:t>
      </w:r>
      <w:proofErr w:type="spellStart"/>
      <w:r w:rsidRPr="0000783F">
        <w:rPr>
          <w:i/>
          <w:iCs/>
          <w:lang w:val="en-US" w:eastAsia="en-US"/>
        </w:rPr>
        <w:t>Chemico</w:t>
      </w:r>
      <w:proofErr w:type="spellEnd"/>
      <w:r w:rsidRPr="0000783F">
        <w:rPr>
          <w:i/>
          <w:iCs/>
          <w:lang w:val="en-US" w:eastAsia="en-US"/>
        </w:rPr>
        <w:t>-Biological Interactions, 292</w:t>
      </w:r>
      <w:r w:rsidRPr="0000783F">
        <w:rPr>
          <w:lang w:val="en-US" w:eastAsia="en-US"/>
        </w:rPr>
        <w:t>, 94–100. https://doi.org/10.1016/j.cbi.2018.07.007</w:t>
      </w:r>
    </w:p>
    <w:p w14:paraId="73560E5D"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Naz, H., &amp; </w:t>
      </w:r>
      <w:proofErr w:type="spellStart"/>
      <w:r w:rsidRPr="0000783F">
        <w:rPr>
          <w:lang w:val="en-US" w:eastAsia="en-US"/>
        </w:rPr>
        <w:t>Vaseem</w:t>
      </w:r>
      <w:proofErr w:type="spellEnd"/>
      <w:r w:rsidRPr="0000783F">
        <w:rPr>
          <w:lang w:val="en-US" w:eastAsia="en-US"/>
        </w:rPr>
        <w:t xml:space="preserve">, H. (2024). Alteration in oxidative stress markers, digestive physiology and gut microbiota of </w:t>
      </w:r>
      <w:proofErr w:type="spellStart"/>
      <w:r w:rsidRPr="0000783F">
        <w:rPr>
          <w:i/>
          <w:iCs/>
          <w:lang w:val="en-US" w:eastAsia="en-US"/>
        </w:rPr>
        <w:t>Heteropneustes</w:t>
      </w:r>
      <w:proofErr w:type="spellEnd"/>
      <w:r w:rsidRPr="0000783F">
        <w:rPr>
          <w:i/>
          <w:iCs/>
          <w:lang w:val="en-US" w:eastAsia="en-US"/>
        </w:rPr>
        <w:t xml:space="preserve"> </w:t>
      </w:r>
      <w:proofErr w:type="spellStart"/>
      <w:r w:rsidRPr="0000783F">
        <w:rPr>
          <w:i/>
          <w:iCs/>
          <w:lang w:val="en-US" w:eastAsia="en-US"/>
        </w:rPr>
        <w:t>fossilis</w:t>
      </w:r>
      <w:proofErr w:type="spellEnd"/>
      <w:r w:rsidRPr="0000783F">
        <w:rPr>
          <w:lang w:val="en-US" w:eastAsia="en-US"/>
        </w:rPr>
        <w:t xml:space="preserve"> and </w:t>
      </w:r>
      <w:r w:rsidRPr="0000783F">
        <w:rPr>
          <w:i/>
          <w:iCs/>
          <w:lang w:val="en-US" w:eastAsia="en-US"/>
        </w:rPr>
        <w:t xml:space="preserve">Clarias </w:t>
      </w:r>
      <w:proofErr w:type="spellStart"/>
      <w:r w:rsidRPr="0000783F">
        <w:rPr>
          <w:i/>
          <w:iCs/>
          <w:lang w:val="en-US" w:eastAsia="en-US"/>
        </w:rPr>
        <w:t>batrachus</w:t>
      </w:r>
      <w:proofErr w:type="spellEnd"/>
      <w:r w:rsidRPr="0000783F">
        <w:rPr>
          <w:lang w:val="en-US" w:eastAsia="en-US"/>
        </w:rPr>
        <w:t xml:space="preserve"> exposed to </w:t>
      </w:r>
      <w:proofErr w:type="spellStart"/>
      <w:r w:rsidRPr="0000783F">
        <w:rPr>
          <w:lang w:val="en-US" w:eastAsia="en-US"/>
        </w:rPr>
        <w:t>eriochrome</w:t>
      </w:r>
      <w:proofErr w:type="spellEnd"/>
      <w:r w:rsidRPr="0000783F">
        <w:rPr>
          <w:lang w:val="en-US" w:eastAsia="en-US"/>
        </w:rPr>
        <w:t xml:space="preserve"> black T. </w:t>
      </w:r>
      <w:r w:rsidRPr="0000783F">
        <w:rPr>
          <w:i/>
          <w:iCs/>
          <w:lang w:val="en-US" w:eastAsia="en-US"/>
        </w:rPr>
        <w:t>Chemosphere, 364</w:t>
      </w:r>
      <w:r w:rsidRPr="0000783F">
        <w:rPr>
          <w:lang w:val="en-US" w:eastAsia="en-US"/>
        </w:rPr>
        <w:t>, Article 143045. https://doi.org/10.1016/j.chemosphere.2024.143045</w:t>
      </w:r>
    </w:p>
    <w:p w14:paraId="47720653"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Naz, H., &amp; </w:t>
      </w:r>
      <w:proofErr w:type="spellStart"/>
      <w:r w:rsidRPr="0000783F">
        <w:rPr>
          <w:lang w:val="en-US" w:eastAsia="en-US"/>
        </w:rPr>
        <w:t>Vaseem</w:t>
      </w:r>
      <w:proofErr w:type="spellEnd"/>
      <w:r w:rsidRPr="0000783F">
        <w:rPr>
          <w:lang w:val="en-US" w:eastAsia="en-US"/>
        </w:rPr>
        <w:t xml:space="preserve">, H. (2025). Evaluation of hepatotoxic potential of an azo dye, </w:t>
      </w:r>
      <w:proofErr w:type="spellStart"/>
      <w:r w:rsidRPr="0000783F">
        <w:rPr>
          <w:lang w:val="en-US" w:eastAsia="en-US"/>
        </w:rPr>
        <w:t>eriochrome</w:t>
      </w:r>
      <w:proofErr w:type="spellEnd"/>
      <w:r w:rsidRPr="0000783F">
        <w:rPr>
          <w:lang w:val="en-US" w:eastAsia="en-US"/>
        </w:rPr>
        <w:t xml:space="preserve"> black </w:t>
      </w:r>
      <w:proofErr w:type="spellStart"/>
      <w:r w:rsidRPr="0000783F">
        <w:rPr>
          <w:lang w:val="en-US" w:eastAsia="en-US"/>
        </w:rPr>
        <w:t>T on</w:t>
      </w:r>
      <w:proofErr w:type="spellEnd"/>
      <w:r w:rsidRPr="0000783F">
        <w:rPr>
          <w:lang w:val="en-US" w:eastAsia="en-US"/>
        </w:rPr>
        <w:t xml:space="preserve"> freshwater catfish, </w:t>
      </w:r>
      <w:r w:rsidRPr="0000783F">
        <w:rPr>
          <w:i/>
          <w:iCs/>
          <w:lang w:val="en-US" w:eastAsia="en-US"/>
        </w:rPr>
        <w:t xml:space="preserve">Clarias </w:t>
      </w:r>
      <w:proofErr w:type="spellStart"/>
      <w:r w:rsidRPr="0000783F">
        <w:rPr>
          <w:i/>
          <w:iCs/>
          <w:lang w:val="en-US" w:eastAsia="en-US"/>
        </w:rPr>
        <w:t>batrachus</w:t>
      </w:r>
      <w:proofErr w:type="spellEnd"/>
      <w:r w:rsidRPr="0000783F">
        <w:rPr>
          <w:lang w:val="en-US" w:eastAsia="en-US"/>
        </w:rPr>
        <w:t xml:space="preserve">. </w:t>
      </w:r>
      <w:r w:rsidRPr="0000783F">
        <w:rPr>
          <w:i/>
          <w:iCs/>
          <w:lang w:val="en-US" w:eastAsia="en-US"/>
        </w:rPr>
        <w:t>Bulletin of Environmental Contamination and Toxicology, 114</w:t>
      </w:r>
      <w:r w:rsidRPr="0000783F">
        <w:rPr>
          <w:lang w:val="en-US" w:eastAsia="en-US"/>
        </w:rPr>
        <w:t>(1), Article 9. https://doi.org/10.1007/s00128-024-03987-7</w:t>
      </w:r>
    </w:p>
    <w:p w14:paraId="7C697C09"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Parrott, J. L., Bartlett, A. J., &amp; Balakrishnan, V. K. (2016). Chronic toxicity of azo and </w:t>
      </w:r>
      <w:proofErr w:type="spellStart"/>
      <w:r w:rsidRPr="0000783F">
        <w:rPr>
          <w:lang w:val="en-US" w:eastAsia="en-US"/>
        </w:rPr>
        <w:t>anthracenedione</w:t>
      </w:r>
      <w:proofErr w:type="spellEnd"/>
      <w:r w:rsidRPr="0000783F">
        <w:rPr>
          <w:lang w:val="en-US" w:eastAsia="en-US"/>
        </w:rPr>
        <w:t xml:space="preserve"> dyes to embryo-larval fathead minnow. </w:t>
      </w:r>
      <w:r w:rsidRPr="0000783F">
        <w:rPr>
          <w:i/>
          <w:iCs/>
          <w:lang w:val="en-US" w:eastAsia="en-US"/>
        </w:rPr>
        <w:t>Environmental Pollution, 210</w:t>
      </w:r>
      <w:r w:rsidRPr="0000783F">
        <w:rPr>
          <w:lang w:val="en-US" w:eastAsia="en-US"/>
        </w:rPr>
        <w:t>, 40–47. https://doi.org/10.1016/j.envpol.2015.11.037</w:t>
      </w:r>
    </w:p>
    <w:p w14:paraId="75C855F5" w14:textId="77777777" w:rsidR="0000783F" w:rsidRPr="0000783F" w:rsidRDefault="0000783F" w:rsidP="0000783F">
      <w:pPr>
        <w:spacing w:before="100" w:beforeAutospacing="1" w:after="100" w:afterAutospacing="1"/>
        <w:rPr>
          <w:lang w:val="en-US" w:eastAsia="en-US"/>
        </w:rPr>
      </w:pPr>
      <w:r w:rsidRPr="0000783F">
        <w:rPr>
          <w:lang w:val="en-US" w:eastAsia="en-US"/>
        </w:rPr>
        <w:lastRenderedPageBreak/>
        <w:t xml:space="preserve">Peng, F.-J., Li, S., You, W.-D., Wang, X.-Y., Feng, X.-J., Yang, B., &amp; Ying, G.-G. (2025). Toxicity assessment of wastewater using a battery of bioassays in two textile wastewater treatment plants from a large industrial park in Guangxi, Southwest China. </w:t>
      </w:r>
      <w:r w:rsidRPr="0000783F">
        <w:rPr>
          <w:i/>
          <w:iCs/>
          <w:lang w:val="en-US" w:eastAsia="en-US"/>
        </w:rPr>
        <w:t>Science of the Total Environment, 966</w:t>
      </w:r>
      <w:r w:rsidRPr="0000783F">
        <w:rPr>
          <w:lang w:val="en-US" w:eastAsia="en-US"/>
        </w:rPr>
        <w:t>, Article 178766. https://doi.org/10.1016/j.scitotenv.2025.178766</w:t>
      </w:r>
    </w:p>
    <w:p w14:paraId="21969F67"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Pérez, M. R., Rossi, A. S., Bacchetta, C., Elorriaga, Y., </w:t>
      </w:r>
      <w:proofErr w:type="spellStart"/>
      <w:r w:rsidRPr="0000783F">
        <w:rPr>
          <w:lang w:val="en-US" w:eastAsia="en-US"/>
        </w:rPr>
        <w:t>Carriquiriborde</w:t>
      </w:r>
      <w:proofErr w:type="spellEnd"/>
      <w:r w:rsidRPr="0000783F">
        <w:rPr>
          <w:lang w:val="en-US" w:eastAsia="en-US"/>
        </w:rPr>
        <w:t xml:space="preserve">, P., &amp; Cazenave, J. (2018). In situ evaluation of the toxicological impact of a wastewater effluent on the fish </w:t>
      </w:r>
      <w:proofErr w:type="spellStart"/>
      <w:r w:rsidRPr="0000783F">
        <w:rPr>
          <w:i/>
          <w:iCs/>
          <w:lang w:val="en-US" w:eastAsia="en-US"/>
        </w:rPr>
        <w:t>Prochilodus</w:t>
      </w:r>
      <w:proofErr w:type="spellEnd"/>
      <w:r w:rsidRPr="0000783F">
        <w:rPr>
          <w:i/>
          <w:iCs/>
          <w:lang w:val="en-US" w:eastAsia="en-US"/>
        </w:rPr>
        <w:t xml:space="preserve"> lineatus</w:t>
      </w:r>
      <w:r w:rsidRPr="0000783F">
        <w:rPr>
          <w:lang w:val="en-US" w:eastAsia="en-US"/>
        </w:rPr>
        <w:t xml:space="preserve">: Biochemical and histological assessment. </w:t>
      </w:r>
      <w:r w:rsidRPr="0000783F">
        <w:rPr>
          <w:i/>
          <w:iCs/>
          <w:lang w:val="en-US" w:eastAsia="en-US"/>
        </w:rPr>
        <w:t>Ecological Indicators, 84</w:t>
      </w:r>
      <w:r w:rsidRPr="0000783F">
        <w:rPr>
          <w:lang w:val="en-US" w:eastAsia="en-US"/>
        </w:rPr>
        <w:t>, 345–353. https://doi.org/10.1016/j.ecolind.2017.09.004</w:t>
      </w:r>
    </w:p>
    <w:p w14:paraId="2A6DEE96"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Periyasamy, A. P. (2024). Recent advances in the remediation of textile-dye-containing wastewater: Prioritizing human health and sustainable wastewater treatment. </w:t>
      </w:r>
      <w:r w:rsidRPr="0000783F">
        <w:rPr>
          <w:i/>
          <w:iCs/>
          <w:lang w:val="en-US" w:eastAsia="en-US"/>
        </w:rPr>
        <w:t>Sustainability, 16</w:t>
      </w:r>
      <w:r w:rsidRPr="0000783F">
        <w:rPr>
          <w:lang w:val="en-US" w:eastAsia="en-US"/>
        </w:rPr>
        <w:t xml:space="preserve">(2), Article 495. </w:t>
      </w:r>
      <w:hyperlink r:id="rId13" w:tgtFrame="_new" w:history="1">
        <w:r w:rsidRPr="0000783F">
          <w:rPr>
            <w:color w:val="0000FF"/>
            <w:u w:val="single"/>
            <w:lang w:val="en-US" w:eastAsia="en-US"/>
          </w:rPr>
          <w:t>https://doi.org/10.3390/su16020495</w:t>
        </w:r>
      </w:hyperlink>
    </w:p>
    <w:p w14:paraId="5666C4DC" w14:textId="77777777" w:rsidR="0000783F" w:rsidRPr="0000783F" w:rsidRDefault="0000783F" w:rsidP="0000783F">
      <w:pPr>
        <w:spacing w:before="100" w:beforeAutospacing="1" w:after="100" w:afterAutospacing="1"/>
        <w:rPr>
          <w:lang w:val="en-US" w:eastAsia="en-US"/>
        </w:rPr>
      </w:pPr>
      <w:proofErr w:type="spellStart"/>
      <w:r w:rsidRPr="0000783F">
        <w:rPr>
          <w:lang w:val="en-US" w:eastAsia="en-US"/>
        </w:rPr>
        <w:t>Poopal</w:t>
      </w:r>
      <w:proofErr w:type="spellEnd"/>
      <w:r w:rsidRPr="0000783F">
        <w:rPr>
          <w:lang w:val="en-US" w:eastAsia="en-US"/>
        </w:rPr>
        <w:t xml:space="preserve">, R.-K., Ashwini, R., Ramesh, M., Li, B., &amp; Ren, Z. (2023). Triphenylmethane dye (C52H54N4O12) is potentially a hazardous substance in edible freshwater fish at trace level: Toxicity, hematology, biochemistry, antioxidants, and molecular docking evaluation study. </w:t>
      </w:r>
      <w:r w:rsidRPr="0000783F">
        <w:rPr>
          <w:i/>
          <w:iCs/>
          <w:lang w:val="en-US" w:eastAsia="en-US"/>
        </w:rPr>
        <w:t>Environmental Science and Pollution Research, 30</w:t>
      </w:r>
      <w:r w:rsidRPr="0000783F">
        <w:rPr>
          <w:lang w:val="en-US" w:eastAsia="en-US"/>
        </w:rPr>
        <w:t>(11), 28759–28779. https://doi.org/10.1007/s11356-022-24206-y</w:t>
      </w:r>
    </w:p>
    <w:p w14:paraId="3F9B19FE"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Porkodi, M., </w:t>
      </w:r>
      <w:proofErr w:type="spellStart"/>
      <w:r w:rsidRPr="0000783F">
        <w:rPr>
          <w:lang w:val="en-US" w:eastAsia="en-US"/>
        </w:rPr>
        <w:t>Brahmane</w:t>
      </w:r>
      <w:proofErr w:type="spellEnd"/>
      <w:r w:rsidRPr="0000783F">
        <w:rPr>
          <w:lang w:val="en-US" w:eastAsia="en-US"/>
        </w:rPr>
        <w:t xml:space="preserve">, M. P., Pathan, M. A., Poojary, N., Singh, S., Harshavarthini, M., &amp; Nagpure, N. S. (2024). Indigo dyes: Toxicity, teratogenicity, and genotoxicity studies in zebrafish embryos. </w:t>
      </w:r>
      <w:r w:rsidRPr="0000783F">
        <w:rPr>
          <w:i/>
          <w:iCs/>
          <w:lang w:val="en-US" w:eastAsia="en-US"/>
        </w:rPr>
        <w:t>Mutation Research/Genetic Toxicology and Environmental Mutagenesis, 896</w:t>
      </w:r>
      <w:r w:rsidRPr="0000783F">
        <w:rPr>
          <w:lang w:val="en-US" w:eastAsia="en-US"/>
        </w:rPr>
        <w:t>, Article 503752. https://doi.org/10.1016/j.mrgentox.2024.503752</w:t>
      </w:r>
    </w:p>
    <w:p w14:paraId="3C40F898"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Priya, P. S., Pratiksha Nandhini, P., Vaishnavi, S., Pavithra, V., Almutairi, M. H., Almutairi, B. O., Arokiyaraj, S., Pachaiappan, R., &amp; Arockiaraj, J. (2024). Rhodamine B, an organic environmental pollutant induces reproductive toxicity in parental and teratogenicity in F1 generation in vivo. </w:t>
      </w:r>
      <w:r w:rsidRPr="0000783F">
        <w:rPr>
          <w:i/>
          <w:iCs/>
          <w:lang w:val="en-US" w:eastAsia="en-US"/>
        </w:rPr>
        <w:t>Comparative Biochemistry and Physiology Part C: Toxicology &amp; Pharmacology, 280</w:t>
      </w:r>
      <w:r w:rsidRPr="0000783F">
        <w:rPr>
          <w:lang w:val="en-US" w:eastAsia="en-US"/>
        </w:rPr>
        <w:t>, Article 109898. https://doi.org/10.1016/j.cbpc.2024.109898</w:t>
      </w:r>
    </w:p>
    <w:p w14:paraId="238DB876"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Ramamurthy, K., Madesh, S., Priya, P. S., Ayub, R., </w:t>
      </w:r>
      <w:proofErr w:type="spellStart"/>
      <w:r w:rsidRPr="0000783F">
        <w:rPr>
          <w:lang w:val="en-US" w:eastAsia="en-US"/>
        </w:rPr>
        <w:t>Aljawdah</w:t>
      </w:r>
      <w:proofErr w:type="spellEnd"/>
      <w:r w:rsidRPr="0000783F">
        <w:rPr>
          <w:lang w:val="en-US" w:eastAsia="en-US"/>
        </w:rPr>
        <w:t xml:space="preserve">, H. M., Arokiyaraj, S., Guru, A., &amp; Arockiaraj, J. (2024). Textile azo dye, Sudan Black B, inducing hepatotoxicity demonstrated in in vivo zebrafish larval model. </w:t>
      </w:r>
      <w:r w:rsidRPr="0000783F">
        <w:rPr>
          <w:i/>
          <w:iCs/>
          <w:lang w:val="en-US" w:eastAsia="en-US"/>
        </w:rPr>
        <w:t>Fish Physiology and Biochemistry, 50</w:t>
      </w:r>
      <w:r w:rsidRPr="0000783F">
        <w:rPr>
          <w:lang w:val="en-US" w:eastAsia="en-US"/>
        </w:rPr>
        <w:t>(4), 1811–1829. https://doi.org/10.1007/s10695-024-01371-0</w:t>
      </w:r>
    </w:p>
    <w:p w14:paraId="0EEA4729"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Ramamurthy, K., Priya, P. S., Murugan, R., &amp; Arockiaraj, J. (2024). Hues of risk: Investigating genotoxicity and environmental impacts of azo textile dyes. </w:t>
      </w:r>
      <w:r w:rsidRPr="0000783F">
        <w:rPr>
          <w:i/>
          <w:iCs/>
          <w:lang w:val="en-US" w:eastAsia="en-US"/>
        </w:rPr>
        <w:t>Environmental Science and Pollution Research, 31</w:t>
      </w:r>
      <w:r w:rsidRPr="0000783F">
        <w:rPr>
          <w:lang w:val="en-US" w:eastAsia="en-US"/>
        </w:rPr>
        <w:t>(23), 33190–33211. https://doi.org/10.1007/s11356-024-33444-1</w:t>
      </w:r>
    </w:p>
    <w:p w14:paraId="4CB89D87"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Rocha, O. P., Cesila, C. A., </w:t>
      </w:r>
      <w:proofErr w:type="spellStart"/>
      <w:r w:rsidRPr="0000783F">
        <w:rPr>
          <w:lang w:val="en-US" w:eastAsia="en-US"/>
        </w:rPr>
        <w:t>Christovam</w:t>
      </w:r>
      <w:proofErr w:type="spellEnd"/>
      <w:r w:rsidRPr="0000783F">
        <w:rPr>
          <w:lang w:val="en-US" w:eastAsia="en-US"/>
        </w:rPr>
        <w:t xml:space="preserve">, E. M., Barros, S. B. de M., Zanoni, M. V. B., &amp; de Oliveira, D. P. (2017). Ecotoxicological risk assessment of the “Acid Black 210” dye. </w:t>
      </w:r>
      <w:r w:rsidRPr="0000783F">
        <w:rPr>
          <w:i/>
          <w:iCs/>
          <w:lang w:val="en-US" w:eastAsia="en-US"/>
        </w:rPr>
        <w:t>Toxicology, 376</w:t>
      </w:r>
      <w:r w:rsidRPr="0000783F">
        <w:rPr>
          <w:lang w:val="en-US" w:eastAsia="en-US"/>
        </w:rPr>
        <w:t>, 113–119. https://doi.org/10.1016/j.tox.2016.04.002</w:t>
      </w:r>
    </w:p>
    <w:p w14:paraId="61800F45"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Rodrigues, A. R., Almeida, G. C. F., de Farias, N. O., de Albuquerque, A. F., de Oliveira, A. C., Cardoso, J. C. M., Militão, G. F. G., Cabral, I. M., Faustino, C. A., Vitorino, J. D., Botelho, M. T., Costa, P. M., &amp; </w:t>
      </w:r>
      <w:proofErr w:type="spellStart"/>
      <w:r w:rsidRPr="0000783F">
        <w:rPr>
          <w:lang w:val="en-US" w:eastAsia="en-US"/>
        </w:rPr>
        <w:t>Umbuzeiro</w:t>
      </w:r>
      <w:proofErr w:type="spellEnd"/>
      <w:r w:rsidRPr="0000783F">
        <w:rPr>
          <w:lang w:val="en-US" w:eastAsia="en-US"/>
        </w:rPr>
        <w:t xml:space="preserve">, G. de A. (2026). Alizarin dye: Toxicity, genotoxicity, and histopathological alterations in model organisms. </w:t>
      </w:r>
      <w:r w:rsidRPr="0000783F">
        <w:rPr>
          <w:i/>
          <w:iCs/>
          <w:lang w:val="en-US" w:eastAsia="en-US"/>
        </w:rPr>
        <w:t>Environmental and Molecular Mutagenesis, 67</w:t>
      </w:r>
      <w:r w:rsidRPr="0000783F">
        <w:rPr>
          <w:lang w:val="en-US" w:eastAsia="en-US"/>
        </w:rPr>
        <w:t>(3), Article e70046. https://doi.org/10.1002/em.70046</w:t>
      </w:r>
    </w:p>
    <w:p w14:paraId="08D6B1FF" w14:textId="77777777" w:rsidR="0000783F" w:rsidRPr="0000783F" w:rsidRDefault="0000783F" w:rsidP="0000783F">
      <w:pPr>
        <w:spacing w:before="100" w:beforeAutospacing="1" w:after="100" w:afterAutospacing="1"/>
        <w:rPr>
          <w:lang w:val="en-US" w:eastAsia="en-US"/>
        </w:rPr>
      </w:pPr>
      <w:r w:rsidRPr="0000783F">
        <w:rPr>
          <w:lang w:val="en-US" w:eastAsia="en-US"/>
        </w:rPr>
        <w:lastRenderedPageBreak/>
        <w:t xml:space="preserve">Sanyal, T., Kaviraj, A., &amp; Saha, S. (2015). Deposition of chromium in aquatic ecosystem from effluents of handloom textile industries in </w:t>
      </w:r>
      <w:proofErr w:type="spellStart"/>
      <w:r w:rsidRPr="0000783F">
        <w:rPr>
          <w:lang w:val="en-US" w:eastAsia="en-US"/>
        </w:rPr>
        <w:t>Ranaghat-Fulia</w:t>
      </w:r>
      <w:proofErr w:type="spellEnd"/>
      <w:r w:rsidRPr="0000783F">
        <w:rPr>
          <w:lang w:val="en-US" w:eastAsia="en-US"/>
        </w:rPr>
        <w:t xml:space="preserve"> region of West Bengal, India. </w:t>
      </w:r>
      <w:r w:rsidRPr="0000783F">
        <w:rPr>
          <w:i/>
          <w:iCs/>
          <w:lang w:val="en-US" w:eastAsia="en-US"/>
        </w:rPr>
        <w:t>Journal of Advanced Research, 6</w:t>
      </w:r>
      <w:r w:rsidRPr="0000783F">
        <w:rPr>
          <w:lang w:val="en-US" w:eastAsia="en-US"/>
        </w:rPr>
        <w:t>(6), 995–1002. https://doi.org/10.1016/j.jare.2014.12.002</w:t>
      </w:r>
    </w:p>
    <w:p w14:paraId="2F7734A4"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Sharma, J., Sharma, S., &amp; Soni, V. (2021). Classification and impact of synthetic textile dyes on aquatic flora: A review. </w:t>
      </w:r>
      <w:r w:rsidRPr="0000783F">
        <w:rPr>
          <w:i/>
          <w:iCs/>
          <w:lang w:val="en-US" w:eastAsia="en-US"/>
        </w:rPr>
        <w:t>Regional Studies in Marine Science, 45</w:t>
      </w:r>
      <w:r w:rsidRPr="0000783F">
        <w:rPr>
          <w:lang w:val="en-US" w:eastAsia="en-US"/>
        </w:rPr>
        <w:t>, Article 101802. https://doi.org/10.1016/j.rsma.2021.101802</w:t>
      </w:r>
    </w:p>
    <w:p w14:paraId="0B2B497A"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Sharma, K., </w:t>
      </w:r>
      <w:proofErr w:type="spellStart"/>
      <w:r w:rsidRPr="0000783F">
        <w:rPr>
          <w:lang w:val="en-US" w:eastAsia="en-US"/>
        </w:rPr>
        <w:t>Koundal</w:t>
      </w:r>
      <w:proofErr w:type="spellEnd"/>
      <w:r w:rsidRPr="0000783F">
        <w:rPr>
          <w:lang w:val="en-US" w:eastAsia="en-US"/>
        </w:rPr>
        <w:t xml:space="preserve">, S., Chadha, P., &amp; Saini, H. S. (2023). Assessment of textile industry effluent (untreated and microbially treated) induced genotoxic, </w:t>
      </w:r>
      <w:proofErr w:type="spellStart"/>
      <w:r w:rsidRPr="0000783F">
        <w:rPr>
          <w:lang w:val="en-US" w:eastAsia="en-US"/>
        </w:rPr>
        <w:t>haematological</w:t>
      </w:r>
      <w:proofErr w:type="spellEnd"/>
      <w:r w:rsidRPr="0000783F">
        <w:rPr>
          <w:lang w:val="en-US" w:eastAsia="en-US"/>
        </w:rPr>
        <w:t xml:space="preserve">, biochemical, histopathological and ultrastructural alterations in fresh water fish </w:t>
      </w:r>
      <w:r w:rsidRPr="0000783F">
        <w:rPr>
          <w:i/>
          <w:iCs/>
          <w:lang w:val="en-US" w:eastAsia="en-US"/>
        </w:rPr>
        <w:t>Channa punctata</w:t>
      </w:r>
      <w:r w:rsidRPr="0000783F">
        <w:rPr>
          <w:lang w:val="en-US" w:eastAsia="en-US"/>
        </w:rPr>
        <w:t xml:space="preserve">. </w:t>
      </w:r>
      <w:r w:rsidRPr="0000783F">
        <w:rPr>
          <w:i/>
          <w:iCs/>
          <w:lang w:val="en-US" w:eastAsia="en-US"/>
        </w:rPr>
        <w:t>Environmental Science and Pollution Research, 30</w:t>
      </w:r>
      <w:r w:rsidRPr="0000783F">
        <w:rPr>
          <w:lang w:val="en-US" w:eastAsia="en-US"/>
        </w:rPr>
        <w:t>(52), 112086–112103. https://doi.org/10.1007/s11356-023-30057-y</w:t>
      </w:r>
    </w:p>
    <w:p w14:paraId="16AE9541"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Sharma, K., </w:t>
      </w:r>
      <w:proofErr w:type="spellStart"/>
      <w:r w:rsidRPr="0000783F">
        <w:rPr>
          <w:lang w:val="en-US" w:eastAsia="en-US"/>
        </w:rPr>
        <w:t>Koundal</w:t>
      </w:r>
      <w:proofErr w:type="spellEnd"/>
      <w:r w:rsidRPr="0000783F">
        <w:rPr>
          <w:lang w:val="en-US" w:eastAsia="en-US"/>
        </w:rPr>
        <w:t xml:space="preserve">, S., Singh, M., Chadha, P., &amp; Saini, H. S. (2024). Impact of untreated and microbially treated equalization tank effluent of textile industry on freshwater fish </w:t>
      </w:r>
      <w:r w:rsidRPr="0000783F">
        <w:rPr>
          <w:i/>
          <w:iCs/>
          <w:lang w:val="en-US" w:eastAsia="en-US"/>
        </w:rPr>
        <w:t>Channa punctata</w:t>
      </w:r>
      <w:r w:rsidRPr="0000783F">
        <w:rPr>
          <w:lang w:val="en-US" w:eastAsia="en-US"/>
        </w:rPr>
        <w:t xml:space="preserve"> using </w:t>
      </w:r>
      <w:proofErr w:type="spellStart"/>
      <w:r w:rsidRPr="0000783F">
        <w:rPr>
          <w:lang w:val="en-US" w:eastAsia="en-US"/>
        </w:rPr>
        <w:t>haematological</w:t>
      </w:r>
      <w:proofErr w:type="spellEnd"/>
      <w:r w:rsidRPr="0000783F">
        <w:rPr>
          <w:lang w:val="en-US" w:eastAsia="en-US"/>
        </w:rPr>
        <w:t xml:space="preserve">, biochemical, histopathological and ultrastructural analysis. </w:t>
      </w:r>
      <w:r w:rsidRPr="0000783F">
        <w:rPr>
          <w:i/>
          <w:iCs/>
          <w:lang w:val="en-US" w:eastAsia="en-US"/>
        </w:rPr>
        <w:t>Toxicology Research, 13</w:t>
      </w:r>
      <w:r w:rsidRPr="0000783F">
        <w:rPr>
          <w:lang w:val="en-US" w:eastAsia="en-US"/>
        </w:rPr>
        <w:t>(1), Article tfad118. https://doi.org/10.1093/toxres/tfad118</w:t>
      </w:r>
    </w:p>
    <w:p w14:paraId="42A0A07A"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Sharma, K., Sharma, P., Dhiman, S. K., Chadha, P., &amp; Saini, H. S. (2022). Biochemical, genotoxic, histological and ultrastructural effects on liver and gills of fresh water fish </w:t>
      </w:r>
      <w:r w:rsidRPr="0000783F">
        <w:rPr>
          <w:i/>
          <w:iCs/>
          <w:lang w:val="en-US" w:eastAsia="en-US"/>
        </w:rPr>
        <w:t>Channa punctatus</w:t>
      </w:r>
      <w:r w:rsidRPr="0000783F">
        <w:rPr>
          <w:lang w:val="en-US" w:eastAsia="en-US"/>
        </w:rPr>
        <w:t xml:space="preserve"> exposed to textile industry intermediate 2 ABS. </w:t>
      </w:r>
      <w:r w:rsidRPr="0000783F">
        <w:rPr>
          <w:i/>
          <w:iCs/>
          <w:lang w:val="en-US" w:eastAsia="en-US"/>
        </w:rPr>
        <w:t>Chemosphere, 287</w:t>
      </w:r>
      <w:r w:rsidRPr="0000783F">
        <w:rPr>
          <w:lang w:val="en-US" w:eastAsia="en-US"/>
        </w:rPr>
        <w:t>, Article 132103. https://doi.org/10.1016/j.chemosphere.2021.132103</w:t>
      </w:r>
    </w:p>
    <w:p w14:paraId="27393533"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Sharma, S., Sharma, S., Singh, P. K., Swami, R. C., &amp; Sharma, K. P. (2009). Exploring fish bioassay of textile dye wastewaters and their selected constituents in terms of mortality and erythrocyte disorders. </w:t>
      </w:r>
      <w:r w:rsidRPr="0000783F">
        <w:rPr>
          <w:i/>
          <w:iCs/>
          <w:lang w:val="en-US" w:eastAsia="en-US"/>
        </w:rPr>
        <w:t>Bulletin of Environmental Contamination and Toxicology, 83</w:t>
      </w:r>
      <w:r w:rsidRPr="0000783F">
        <w:rPr>
          <w:lang w:val="en-US" w:eastAsia="en-US"/>
        </w:rPr>
        <w:t>(1), 29–34. https://doi.org/10.1007/s00128-009-9711-y</w:t>
      </w:r>
    </w:p>
    <w:p w14:paraId="58BAA6F0"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Silvestre, F. (2020). Signaling pathways of oxidative stress in aquatic organisms exposed to xenobiotics. </w:t>
      </w:r>
      <w:r w:rsidRPr="0000783F">
        <w:rPr>
          <w:i/>
          <w:iCs/>
          <w:lang w:val="en-US" w:eastAsia="en-US"/>
        </w:rPr>
        <w:t>Journal of Experimental Zoology Part A: Ecological and Integrative Physiology, 333</w:t>
      </w:r>
      <w:r w:rsidRPr="0000783F">
        <w:rPr>
          <w:lang w:val="en-US" w:eastAsia="en-US"/>
        </w:rPr>
        <w:t>(6), 436–448. https://doi.org/10.1002/jez.2356</w:t>
      </w:r>
    </w:p>
    <w:p w14:paraId="0BA334FC"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Singh, R., Singh, G., Kaur, R., Kaur, A., &amp; Kaur, S. (2026). Sublethal toxicity of Acid Black-1 (AB-1, CI: 20470) on antioxidative and detoxification enzyme responses in </w:t>
      </w:r>
      <w:proofErr w:type="spellStart"/>
      <w:r w:rsidRPr="0000783F">
        <w:rPr>
          <w:i/>
          <w:iCs/>
          <w:lang w:val="en-US" w:eastAsia="en-US"/>
        </w:rPr>
        <w:t>Labeo</w:t>
      </w:r>
      <w:proofErr w:type="spellEnd"/>
      <w:r w:rsidRPr="0000783F">
        <w:rPr>
          <w:i/>
          <w:iCs/>
          <w:lang w:val="en-US" w:eastAsia="en-US"/>
        </w:rPr>
        <w:t xml:space="preserve"> </w:t>
      </w:r>
      <w:proofErr w:type="spellStart"/>
      <w:r w:rsidRPr="0000783F">
        <w:rPr>
          <w:i/>
          <w:iCs/>
          <w:lang w:val="en-US" w:eastAsia="en-US"/>
        </w:rPr>
        <w:t>rohita</w:t>
      </w:r>
      <w:proofErr w:type="spellEnd"/>
      <w:r w:rsidRPr="0000783F">
        <w:rPr>
          <w:lang w:val="en-US" w:eastAsia="en-US"/>
        </w:rPr>
        <w:t xml:space="preserve"> (Ham.): In silico and in vivo approach. </w:t>
      </w:r>
      <w:r w:rsidRPr="0000783F">
        <w:rPr>
          <w:i/>
          <w:iCs/>
          <w:lang w:val="en-US" w:eastAsia="en-US"/>
        </w:rPr>
        <w:t>Journal of Applied Toxicology</w:t>
      </w:r>
      <w:r w:rsidRPr="0000783F">
        <w:rPr>
          <w:lang w:val="en-US" w:eastAsia="en-US"/>
        </w:rPr>
        <w:t xml:space="preserve">. Advance online publication. </w:t>
      </w:r>
      <w:hyperlink r:id="rId14" w:tgtFrame="_new" w:history="1">
        <w:r w:rsidRPr="0000783F">
          <w:rPr>
            <w:color w:val="0000FF"/>
            <w:u w:val="single"/>
            <w:lang w:val="en-US" w:eastAsia="en-US"/>
          </w:rPr>
          <w:t>https://doi.org/10.1002/jat.70239</w:t>
        </w:r>
      </w:hyperlink>
    </w:p>
    <w:p w14:paraId="0F345B53"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Sinha, R., &amp; Jindal, R. (2020). Elucidation of malachite green induced </w:t>
      </w:r>
      <w:proofErr w:type="spellStart"/>
      <w:r w:rsidRPr="0000783F">
        <w:rPr>
          <w:lang w:val="en-US" w:eastAsia="en-US"/>
        </w:rPr>
        <w:t>behavioural</w:t>
      </w:r>
      <w:proofErr w:type="spellEnd"/>
      <w:r w:rsidRPr="0000783F">
        <w:rPr>
          <w:lang w:val="en-US" w:eastAsia="en-US"/>
        </w:rPr>
        <w:t xml:space="preserve">, biochemical, and </w:t>
      </w:r>
      <w:proofErr w:type="spellStart"/>
      <w:r w:rsidRPr="0000783F">
        <w:rPr>
          <w:lang w:val="en-US" w:eastAsia="en-US"/>
        </w:rPr>
        <w:t>histo</w:t>
      </w:r>
      <w:proofErr w:type="spellEnd"/>
      <w:r w:rsidRPr="0000783F">
        <w:rPr>
          <w:lang w:val="en-US" w:eastAsia="en-US"/>
        </w:rPr>
        <w:t xml:space="preserve">-architectural defects in </w:t>
      </w:r>
      <w:r w:rsidRPr="0000783F">
        <w:rPr>
          <w:i/>
          <w:iCs/>
          <w:lang w:val="en-US" w:eastAsia="en-US"/>
        </w:rPr>
        <w:t>Cyprinus carpio</w:t>
      </w:r>
      <w:r w:rsidRPr="0000783F">
        <w:rPr>
          <w:lang w:val="en-US" w:eastAsia="en-US"/>
        </w:rPr>
        <w:t xml:space="preserve">, as piscine model. </w:t>
      </w:r>
      <w:r w:rsidRPr="0000783F">
        <w:rPr>
          <w:i/>
          <w:iCs/>
          <w:lang w:val="en-US" w:eastAsia="en-US"/>
        </w:rPr>
        <w:t>Environmental and Sustainability Indicators, 8</w:t>
      </w:r>
      <w:r w:rsidRPr="0000783F">
        <w:rPr>
          <w:lang w:val="en-US" w:eastAsia="en-US"/>
        </w:rPr>
        <w:t>, Article 100055. https://doi.org/10.1016/j.indic.2020.100055</w:t>
      </w:r>
    </w:p>
    <w:p w14:paraId="66A04655"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Sinha, R., &amp; Jindal, R. (2022). Oxidative stress and </w:t>
      </w:r>
      <w:proofErr w:type="spellStart"/>
      <w:r w:rsidRPr="0000783F">
        <w:rPr>
          <w:lang w:val="en-US" w:eastAsia="en-US"/>
        </w:rPr>
        <w:t>toxico</w:t>
      </w:r>
      <w:proofErr w:type="spellEnd"/>
      <w:r w:rsidRPr="0000783F">
        <w:rPr>
          <w:lang w:val="en-US" w:eastAsia="en-US"/>
        </w:rPr>
        <w:t xml:space="preserve">-pathic branchial lesions in </w:t>
      </w:r>
      <w:r w:rsidRPr="0000783F">
        <w:rPr>
          <w:i/>
          <w:iCs/>
          <w:lang w:val="en-US" w:eastAsia="en-US"/>
        </w:rPr>
        <w:t>Cyprinus carpio</w:t>
      </w:r>
      <w:r w:rsidRPr="0000783F">
        <w:rPr>
          <w:lang w:val="en-US" w:eastAsia="en-US"/>
        </w:rPr>
        <w:t xml:space="preserve"> exposed to malachite green. </w:t>
      </w:r>
      <w:r w:rsidRPr="0000783F">
        <w:rPr>
          <w:i/>
          <w:iCs/>
          <w:lang w:val="en-US" w:eastAsia="en-US"/>
        </w:rPr>
        <w:t>Bulletin of Environmental Contamination and Toxicology, 108</w:t>
      </w:r>
      <w:r w:rsidRPr="0000783F">
        <w:rPr>
          <w:lang w:val="en-US" w:eastAsia="en-US"/>
        </w:rPr>
        <w:t>(3), 571–578. https://doi.org/10.1007/s00128-021-03415-0</w:t>
      </w:r>
    </w:p>
    <w:p w14:paraId="2DB71A26"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Srivastava, A., Kumari, U., Nigam, A. K., Mittal, S., &amp; Mittal, A. K. (2018). Alterations in the activity of certain enzymes in the gills of a carp </w:t>
      </w:r>
      <w:proofErr w:type="spellStart"/>
      <w:r w:rsidRPr="0000783F">
        <w:rPr>
          <w:i/>
          <w:iCs/>
          <w:lang w:val="en-US" w:eastAsia="en-US"/>
        </w:rPr>
        <w:t>Labeo</w:t>
      </w:r>
      <w:proofErr w:type="spellEnd"/>
      <w:r w:rsidRPr="0000783F">
        <w:rPr>
          <w:i/>
          <w:iCs/>
          <w:lang w:val="en-US" w:eastAsia="en-US"/>
        </w:rPr>
        <w:t xml:space="preserve"> </w:t>
      </w:r>
      <w:proofErr w:type="spellStart"/>
      <w:r w:rsidRPr="0000783F">
        <w:rPr>
          <w:i/>
          <w:iCs/>
          <w:lang w:val="en-US" w:eastAsia="en-US"/>
        </w:rPr>
        <w:t>rohita</w:t>
      </w:r>
      <w:proofErr w:type="spellEnd"/>
      <w:r w:rsidRPr="0000783F">
        <w:rPr>
          <w:lang w:val="en-US" w:eastAsia="en-US"/>
        </w:rPr>
        <w:t xml:space="preserve"> exposed to an azo dye, </w:t>
      </w:r>
      <w:proofErr w:type="spellStart"/>
      <w:r w:rsidRPr="0000783F">
        <w:rPr>
          <w:lang w:val="en-US" w:eastAsia="en-US"/>
        </w:rPr>
        <w:lastRenderedPageBreak/>
        <w:t>eriochrome</w:t>
      </w:r>
      <w:proofErr w:type="spellEnd"/>
      <w:r w:rsidRPr="0000783F">
        <w:rPr>
          <w:lang w:val="en-US" w:eastAsia="en-US"/>
        </w:rPr>
        <w:t xml:space="preserve"> black T: A biochemical investigation. </w:t>
      </w:r>
      <w:r w:rsidRPr="0000783F">
        <w:rPr>
          <w:i/>
          <w:iCs/>
          <w:lang w:val="en-US" w:eastAsia="en-US"/>
        </w:rPr>
        <w:t>Fish Physiology and Biochemistry, 44</w:t>
      </w:r>
      <w:r w:rsidRPr="0000783F">
        <w:rPr>
          <w:lang w:val="en-US" w:eastAsia="en-US"/>
        </w:rPr>
        <w:t>(2), 629–637. https://doi.org/10.1007/s10695-017-0458-9</w:t>
      </w:r>
    </w:p>
    <w:p w14:paraId="6472F387"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Srivastava, A., Verma, N., Mistri, A., Ranjan, B., Nigam, A. K., Kumari, U., Mittal, S., &amp; Mittal, A. K. (2017). Alterations in the skin of </w:t>
      </w:r>
      <w:proofErr w:type="spellStart"/>
      <w:r w:rsidRPr="0000783F">
        <w:rPr>
          <w:i/>
          <w:iCs/>
          <w:lang w:val="en-US" w:eastAsia="en-US"/>
        </w:rPr>
        <w:t>Labeo</w:t>
      </w:r>
      <w:proofErr w:type="spellEnd"/>
      <w:r w:rsidRPr="0000783F">
        <w:rPr>
          <w:i/>
          <w:iCs/>
          <w:lang w:val="en-US" w:eastAsia="en-US"/>
        </w:rPr>
        <w:t xml:space="preserve"> </w:t>
      </w:r>
      <w:proofErr w:type="spellStart"/>
      <w:r w:rsidRPr="0000783F">
        <w:rPr>
          <w:i/>
          <w:iCs/>
          <w:lang w:val="en-US" w:eastAsia="en-US"/>
        </w:rPr>
        <w:t>rohita</w:t>
      </w:r>
      <w:proofErr w:type="spellEnd"/>
      <w:r w:rsidRPr="0000783F">
        <w:rPr>
          <w:lang w:val="en-US" w:eastAsia="en-US"/>
        </w:rPr>
        <w:t xml:space="preserve"> exposed to an azo dye, </w:t>
      </w:r>
      <w:proofErr w:type="spellStart"/>
      <w:r w:rsidRPr="0000783F">
        <w:rPr>
          <w:lang w:val="en-US" w:eastAsia="en-US"/>
        </w:rPr>
        <w:t>eriochrome</w:t>
      </w:r>
      <w:proofErr w:type="spellEnd"/>
      <w:r w:rsidRPr="0000783F">
        <w:rPr>
          <w:lang w:val="en-US" w:eastAsia="en-US"/>
        </w:rPr>
        <w:t xml:space="preserve"> black T: A histopathological and enzyme biochemical investigation. </w:t>
      </w:r>
      <w:r w:rsidRPr="0000783F">
        <w:rPr>
          <w:i/>
          <w:iCs/>
          <w:lang w:val="en-US" w:eastAsia="en-US"/>
        </w:rPr>
        <w:t>Environmental Science and Pollution Research, 24</w:t>
      </w:r>
      <w:r w:rsidRPr="0000783F">
        <w:rPr>
          <w:lang w:val="en-US" w:eastAsia="en-US"/>
        </w:rPr>
        <w:t>(9), 8671–8681. https://doi.org/10.1007/s11356-017-8517-4</w:t>
      </w:r>
    </w:p>
    <w:p w14:paraId="28F56613"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Sudarshan, S., Harikrishnan, S., </w:t>
      </w:r>
      <w:proofErr w:type="spellStart"/>
      <w:r w:rsidRPr="0000783F">
        <w:rPr>
          <w:lang w:val="en-US" w:eastAsia="en-US"/>
        </w:rPr>
        <w:t>RathiBhuvaneswari</w:t>
      </w:r>
      <w:proofErr w:type="spellEnd"/>
      <w:r w:rsidRPr="0000783F">
        <w:rPr>
          <w:lang w:val="en-US" w:eastAsia="en-US"/>
        </w:rPr>
        <w:t xml:space="preserve">, G., Alamelu, V., Aanand, S., Rajasekar, A., &amp; </w:t>
      </w:r>
      <w:proofErr w:type="spellStart"/>
      <w:r w:rsidRPr="0000783F">
        <w:rPr>
          <w:lang w:val="en-US" w:eastAsia="en-US"/>
        </w:rPr>
        <w:t>Govarthanan</w:t>
      </w:r>
      <w:proofErr w:type="spellEnd"/>
      <w:r w:rsidRPr="0000783F">
        <w:rPr>
          <w:lang w:val="en-US" w:eastAsia="en-US"/>
        </w:rPr>
        <w:t xml:space="preserve">, M. (2023). Impact of textile dyes on human health and bioremediation of textile industry effluent using microorganisms: Current status and future prospects. </w:t>
      </w:r>
      <w:r w:rsidRPr="0000783F">
        <w:rPr>
          <w:i/>
          <w:iCs/>
          <w:lang w:val="en-US" w:eastAsia="en-US"/>
        </w:rPr>
        <w:t>Journal of Applied Microbiology, 134</w:t>
      </w:r>
      <w:r w:rsidRPr="0000783F">
        <w:rPr>
          <w:lang w:val="en-US" w:eastAsia="en-US"/>
        </w:rPr>
        <w:t>(2), Article lxac064. https://doi.org/10.1093/jambio/lxac064</w:t>
      </w:r>
    </w:p>
    <w:p w14:paraId="6959AD2F"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Sudhakaran, G., Karthikeyan, R., Madesh, S., </w:t>
      </w:r>
      <w:proofErr w:type="spellStart"/>
      <w:r w:rsidRPr="0000783F">
        <w:rPr>
          <w:lang w:val="en-US" w:eastAsia="en-US"/>
        </w:rPr>
        <w:t>Dhaareshwar</w:t>
      </w:r>
      <w:proofErr w:type="spellEnd"/>
      <w:r w:rsidRPr="0000783F">
        <w:rPr>
          <w:lang w:val="en-US" w:eastAsia="en-US"/>
        </w:rPr>
        <w:t xml:space="preserve">, V. N., Pachaiappan, R., Rajagopal, R., </w:t>
      </w:r>
      <w:proofErr w:type="spellStart"/>
      <w:r w:rsidRPr="0000783F">
        <w:rPr>
          <w:lang w:val="en-US" w:eastAsia="en-US"/>
        </w:rPr>
        <w:t>Soundharrajan</w:t>
      </w:r>
      <w:proofErr w:type="spellEnd"/>
      <w:r w:rsidRPr="0000783F">
        <w:rPr>
          <w:lang w:val="en-US" w:eastAsia="en-US"/>
        </w:rPr>
        <w:t xml:space="preserve">, I., Karthick Raja Namasivayam, S., &amp; Arockiaraj, J. (2025). Neurotoxic effects and cognitive decline induced by Aniline Blue dye in an in vivo zebrafish model. </w:t>
      </w:r>
      <w:r w:rsidRPr="0000783F">
        <w:rPr>
          <w:i/>
          <w:iCs/>
          <w:lang w:val="en-US" w:eastAsia="en-US"/>
        </w:rPr>
        <w:t>Toxicology, 511</w:t>
      </w:r>
      <w:r w:rsidRPr="0000783F">
        <w:rPr>
          <w:lang w:val="en-US" w:eastAsia="en-US"/>
        </w:rPr>
        <w:t>, Article 154065. https://doi.org/10.1016/j.tox.2025.154065</w:t>
      </w:r>
    </w:p>
    <w:p w14:paraId="3055CC73"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Teta, C., &amp; Naik, Y. S. (2017). Vitellogenin induction and reduced fecundity in zebrafish exposed to effluents from the City of Bulawayo, Zimbabwe. </w:t>
      </w:r>
      <w:r w:rsidRPr="0000783F">
        <w:rPr>
          <w:i/>
          <w:iCs/>
          <w:lang w:val="en-US" w:eastAsia="en-US"/>
        </w:rPr>
        <w:t>Chemosphere, 167</w:t>
      </w:r>
      <w:r w:rsidRPr="0000783F">
        <w:rPr>
          <w:lang w:val="en-US" w:eastAsia="en-US"/>
        </w:rPr>
        <w:t>, 282–290. https://doi.org/10.1016/j.chemosphere.2016.10.011</w:t>
      </w:r>
    </w:p>
    <w:p w14:paraId="66913297" w14:textId="77777777" w:rsidR="0000783F" w:rsidRPr="0000783F" w:rsidRDefault="0000783F" w:rsidP="0000783F">
      <w:pPr>
        <w:spacing w:before="100" w:beforeAutospacing="1" w:after="100" w:afterAutospacing="1"/>
        <w:rPr>
          <w:lang w:val="en-US" w:eastAsia="en-US"/>
        </w:rPr>
      </w:pPr>
      <w:proofErr w:type="spellStart"/>
      <w:r w:rsidRPr="0000783F">
        <w:rPr>
          <w:lang w:val="en-US" w:eastAsia="en-US"/>
        </w:rPr>
        <w:t>Tungare</w:t>
      </w:r>
      <w:proofErr w:type="spellEnd"/>
      <w:r w:rsidRPr="0000783F">
        <w:rPr>
          <w:lang w:val="en-US" w:eastAsia="en-US"/>
        </w:rPr>
        <w:t xml:space="preserve">, K., Shahu, R., </w:t>
      </w:r>
      <w:proofErr w:type="spellStart"/>
      <w:r w:rsidRPr="0000783F">
        <w:rPr>
          <w:lang w:val="en-US" w:eastAsia="en-US"/>
        </w:rPr>
        <w:t>Zambare</w:t>
      </w:r>
      <w:proofErr w:type="spellEnd"/>
      <w:r w:rsidRPr="0000783F">
        <w:rPr>
          <w:lang w:val="en-US" w:eastAsia="en-US"/>
        </w:rPr>
        <w:t xml:space="preserve">, V., Agarwal, P., Jobby, R., Nisar, N., </w:t>
      </w:r>
      <w:proofErr w:type="spellStart"/>
      <w:r w:rsidRPr="0000783F">
        <w:rPr>
          <w:lang w:val="en-US" w:eastAsia="en-US"/>
        </w:rPr>
        <w:t>Alabdallah</w:t>
      </w:r>
      <w:proofErr w:type="spellEnd"/>
      <w:r w:rsidRPr="0000783F">
        <w:rPr>
          <w:lang w:val="en-US" w:eastAsia="en-US"/>
        </w:rPr>
        <w:t xml:space="preserve">, N. M., Al-Saeed, F. A., Johri, P., Singh, S., Saeed, M., &amp; Jha, P. (2022). Toxicity mitigation of textile dye Reactive Blue 4 by hairy roots of </w:t>
      </w:r>
      <w:r w:rsidRPr="0000783F">
        <w:rPr>
          <w:i/>
          <w:iCs/>
          <w:lang w:val="en-US" w:eastAsia="en-US"/>
        </w:rPr>
        <w:t>Helianthus annuus</w:t>
      </w:r>
      <w:r w:rsidRPr="0000783F">
        <w:rPr>
          <w:lang w:val="en-US" w:eastAsia="en-US"/>
        </w:rPr>
        <w:t xml:space="preserve"> and testing its effect in in vivo model systems. </w:t>
      </w:r>
      <w:r w:rsidRPr="0000783F">
        <w:rPr>
          <w:i/>
          <w:iCs/>
          <w:lang w:val="en-US" w:eastAsia="en-US"/>
        </w:rPr>
        <w:t>BioMed Research International, 2022</w:t>
      </w:r>
      <w:r w:rsidRPr="0000783F">
        <w:rPr>
          <w:lang w:val="en-US" w:eastAsia="en-US"/>
        </w:rPr>
        <w:t>, Article 1958939. https://doi.org/10.1155/2022/1958939</w:t>
      </w:r>
    </w:p>
    <w:p w14:paraId="6B4EAA63" w14:textId="77777777" w:rsidR="0000783F" w:rsidRPr="0000783F" w:rsidRDefault="0000783F" w:rsidP="0000783F">
      <w:pPr>
        <w:spacing w:before="100" w:beforeAutospacing="1" w:after="100" w:afterAutospacing="1"/>
        <w:rPr>
          <w:lang w:val="en-US" w:eastAsia="en-US"/>
        </w:rPr>
      </w:pPr>
      <w:proofErr w:type="spellStart"/>
      <w:r w:rsidRPr="0000783F">
        <w:rPr>
          <w:lang w:val="en-US" w:eastAsia="en-US"/>
        </w:rPr>
        <w:t>Vacchi</w:t>
      </w:r>
      <w:proofErr w:type="spellEnd"/>
      <w:r w:rsidRPr="0000783F">
        <w:rPr>
          <w:lang w:val="en-US" w:eastAsia="en-US"/>
        </w:rPr>
        <w:t xml:space="preserve">, F. I., Von der Ohe, P. C., de Albuquerque, A. F., </w:t>
      </w:r>
      <w:proofErr w:type="spellStart"/>
      <w:r w:rsidRPr="0000783F">
        <w:rPr>
          <w:lang w:val="en-US" w:eastAsia="en-US"/>
        </w:rPr>
        <w:t>Vendemiatti</w:t>
      </w:r>
      <w:proofErr w:type="spellEnd"/>
      <w:r w:rsidRPr="0000783F">
        <w:rPr>
          <w:lang w:val="en-US" w:eastAsia="en-US"/>
        </w:rPr>
        <w:t xml:space="preserve">, J. A. dos S., Azevedo, C. C. J., Honório, J. G., da Silva, B. F., Zanoni, M. V. B., Henry, T. B., Nogueira, A. J., &amp; </w:t>
      </w:r>
      <w:proofErr w:type="spellStart"/>
      <w:r w:rsidRPr="0000783F">
        <w:rPr>
          <w:lang w:val="en-US" w:eastAsia="en-US"/>
        </w:rPr>
        <w:t>Umbuzeiro</w:t>
      </w:r>
      <w:proofErr w:type="spellEnd"/>
      <w:r w:rsidRPr="0000783F">
        <w:rPr>
          <w:lang w:val="en-US" w:eastAsia="en-US"/>
        </w:rPr>
        <w:t xml:space="preserve">, G. de A. (2016). Occurrence and risk assessment of an azo dye: The case of Disperse Red 1. </w:t>
      </w:r>
      <w:r w:rsidRPr="0000783F">
        <w:rPr>
          <w:i/>
          <w:iCs/>
          <w:lang w:val="en-US" w:eastAsia="en-US"/>
        </w:rPr>
        <w:t>Chemosphere, 156</w:t>
      </w:r>
      <w:r w:rsidRPr="0000783F">
        <w:rPr>
          <w:lang w:val="en-US" w:eastAsia="en-US"/>
        </w:rPr>
        <w:t>, 95–100. https://doi.org/10.1016/j.chemosphere.2016.04.121</w:t>
      </w:r>
    </w:p>
    <w:p w14:paraId="43EB8882"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Vasconcelos, M. W., Gonçalves, S., Zimmer, D. F., </w:t>
      </w:r>
      <w:proofErr w:type="spellStart"/>
      <w:r w:rsidRPr="0000783F">
        <w:rPr>
          <w:lang w:val="en-US" w:eastAsia="en-US"/>
        </w:rPr>
        <w:t>Sguissardi</w:t>
      </w:r>
      <w:proofErr w:type="spellEnd"/>
      <w:r w:rsidRPr="0000783F">
        <w:rPr>
          <w:lang w:val="en-US" w:eastAsia="en-US"/>
        </w:rPr>
        <w:t xml:space="preserve">, J., Adami, G. T., da Silva, A. P., Rubert, S., Sado, R. Y., de Oliveira, E. C., &amp; </w:t>
      </w:r>
      <w:proofErr w:type="spellStart"/>
      <w:r w:rsidRPr="0000783F">
        <w:rPr>
          <w:lang w:val="en-US" w:eastAsia="en-US"/>
        </w:rPr>
        <w:t>Ghisi</w:t>
      </w:r>
      <w:proofErr w:type="spellEnd"/>
      <w:r w:rsidRPr="0000783F">
        <w:rPr>
          <w:lang w:val="en-US" w:eastAsia="en-US"/>
        </w:rPr>
        <w:t xml:space="preserve">, N. de C. (2025). Evaluation of the potential toxicity of effluents from the jeans manufacturing industry before and after treatment. </w:t>
      </w:r>
      <w:r w:rsidRPr="0000783F">
        <w:rPr>
          <w:i/>
          <w:iCs/>
          <w:lang w:val="en-US" w:eastAsia="en-US"/>
        </w:rPr>
        <w:t>Environmental Research, 272</w:t>
      </w:r>
      <w:r w:rsidRPr="0000783F">
        <w:rPr>
          <w:lang w:val="en-US" w:eastAsia="en-US"/>
        </w:rPr>
        <w:t>, Article 121133. https://doi.org/10.1016/j.envres.2025.121133</w:t>
      </w:r>
    </w:p>
    <w:p w14:paraId="3DE0B679" w14:textId="77777777" w:rsidR="0000783F" w:rsidRPr="0000783F" w:rsidRDefault="0000783F" w:rsidP="0000783F">
      <w:pPr>
        <w:spacing w:before="100" w:beforeAutospacing="1" w:after="100" w:afterAutospacing="1"/>
        <w:rPr>
          <w:lang w:val="en-US" w:eastAsia="en-US"/>
        </w:rPr>
      </w:pPr>
      <w:r w:rsidRPr="0000783F">
        <w:rPr>
          <w:lang w:val="en-US" w:eastAsia="en-US"/>
        </w:rPr>
        <w:t>Wang, C., Gu, W., Zhang, S., Li, L., Kong, J., Zhi, H., Liu, J., Wang, M., Miao, K., Li, Q., Yu, J., Wang, R., He, R., Zhang, S., Deng, F., Duan, S., Zhang, Q., Liu, Z., Yang, H., . . . Tang, S. (2024). Multigenerational effects of Disperse Blue 79 at environmentally relevant concentrations on zebrafish (</w:t>
      </w:r>
      <w:r w:rsidRPr="0000783F">
        <w:rPr>
          <w:i/>
          <w:iCs/>
          <w:lang w:val="en-US" w:eastAsia="en-US"/>
        </w:rPr>
        <w:t>Danio rerio</w:t>
      </w:r>
      <w:r w:rsidRPr="0000783F">
        <w:rPr>
          <w:lang w:val="en-US" w:eastAsia="en-US"/>
        </w:rPr>
        <w:t xml:space="preserve">) fecundity: An integrated approach. </w:t>
      </w:r>
      <w:r w:rsidRPr="0000783F">
        <w:rPr>
          <w:i/>
          <w:iCs/>
          <w:lang w:val="en-US" w:eastAsia="en-US"/>
        </w:rPr>
        <w:t>Journal of Hazardous Materials, 478</w:t>
      </w:r>
      <w:r w:rsidRPr="0000783F">
        <w:rPr>
          <w:lang w:val="en-US" w:eastAsia="en-US"/>
        </w:rPr>
        <w:t>, Article 135442. https://doi.org/10.1016/j.jhazmat.2024.135442</w:t>
      </w:r>
    </w:p>
    <w:p w14:paraId="70C5123A"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Wang, C., Li, R., Li, S., Yi, M., Li, J., Sun, Y., &amp; Ni, J. (2023). Dysbiosis of gut microbiota by actual long-term exposure to textile wastewater treatment plant effluents in adult zebrafish </w:t>
      </w:r>
      <w:r w:rsidRPr="0000783F">
        <w:rPr>
          <w:lang w:val="en-US" w:eastAsia="en-US"/>
        </w:rPr>
        <w:lastRenderedPageBreak/>
        <w:t>(</w:t>
      </w:r>
      <w:r w:rsidRPr="0000783F">
        <w:rPr>
          <w:i/>
          <w:iCs/>
          <w:lang w:val="en-US" w:eastAsia="en-US"/>
        </w:rPr>
        <w:t>Danio rerio</w:t>
      </w:r>
      <w:r w:rsidRPr="0000783F">
        <w:rPr>
          <w:lang w:val="en-US" w:eastAsia="en-US"/>
        </w:rPr>
        <w:t xml:space="preserve">) using aquatic microcosm systems. </w:t>
      </w:r>
      <w:r w:rsidRPr="0000783F">
        <w:rPr>
          <w:i/>
          <w:iCs/>
          <w:lang w:val="en-US" w:eastAsia="en-US"/>
        </w:rPr>
        <w:t>Journal of Water Process Engineering, 54</w:t>
      </w:r>
      <w:r w:rsidRPr="0000783F">
        <w:rPr>
          <w:lang w:val="en-US" w:eastAsia="en-US"/>
        </w:rPr>
        <w:t>, Article 104047. https://doi.org/10.1016/j.jwpe.2023.104047</w:t>
      </w:r>
    </w:p>
    <w:p w14:paraId="535925D8" w14:textId="77777777" w:rsidR="0000783F" w:rsidRPr="0000783F" w:rsidRDefault="0000783F" w:rsidP="0000783F">
      <w:pPr>
        <w:spacing w:before="100" w:beforeAutospacing="1" w:after="100" w:afterAutospacing="1"/>
        <w:rPr>
          <w:lang w:val="en-US" w:eastAsia="en-US"/>
        </w:rPr>
      </w:pPr>
      <w:r w:rsidRPr="0000783F">
        <w:rPr>
          <w:lang w:val="en-US" w:eastAsia="en-US"/>
        </w:rPr>
        <w:t>Wang, C., Yuan, Z., Sun, Y., Yao, X., Li, R., &amp; Li, S. (2021). Effect of chronic exposure to textile wastewater treatment plant effluents on growth performance, oxidative stress, and intestinal microbiota in adult zebrafish (</w:t>
      </w:r>
      <w:r w:rsidRPr="0000783F">
        <w:rPr>
          <w:i/>
          <w:iCs/>
          <w:lang w:val="en-US" w:eastAsia="en-US"/>
        </w:rPr>
        <w:t>Danio rerio</w:t>
      </w:r>
      <w:r w:rsidRPr="0000783F">
        <w:rPr>
          <w:lang w:val="en-US" w:eastAsia="en-US"/>
        </w:rPr>
        <w:t xml:space="preserve">). </w:t>
      </w:r>
      <w:r w:rsidRPr="0000783F">
        <w:rPr>
          <w:i/>
          <w:iCs/>
          <w:lang w:val="en-US" w:eastAsia="en-US"/>
        </w:rPr>
        <w:t>Frontiers in Microbiology, 12</w:t>
      </w:r>
      <w:r w:rsidRPr="0000783F">
        <w:rPr>
          <w:lang w:val="en-US" w:eastAsia="en-US"/>
        </w:rPr>
        <w:t>, Article 782611. https://doi.org/10.3389/fmicb.2021.782611</w:t>
      </w:r>
    </w:p>
    <w:p w14:paraId="1E0DA32B"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Watharkar, A. D., Khandare, R. V., Waghmare, P. R., </w:t>
      </w:r>
      <w:proofErr w:type="spellStart"/>
      <w:r w:rsidRPr="0000783F">
        <w:rPr>
          <w:lang w:val="en-US" w:eastAsia="en-US"/>
        </w:rPr>
        <w:t>Jagadale</w:t>
      </w:r>
      <w:proofErr w:type="spellEnd"/>
      <w:r w:rsidRPr="0000783F">
        <w:rPr>
          <w:lang w:val="en-US" w:eastAsia="en-US"/>
        </w:rPr>
        <w:t xml:space="preserve">, A. D., </w:t>
      </w:r>
      <w:proofErr w:type="spellStart"/>
      <w:r w:rsidRPr="0000783F">
        <w:rPr>
          <w:lang w:val="en-US" w:eastAsia="en-US"/>
        </w:rPr>
        <w:t>Govindwar</w:t>
      </w:r>
      <w:proofErr w:type="spellEnd"/>
      <w:r w:rsidRPr="0000783F">
        <w:rPr>
          <w:lang w:val="en-US" w:eastAsia="en-US"/>
        </w:rPr>
        <w:t xml:space="preserve">, S. P., &amp; Jadhav, J. P. (2015). Treatment of textile effluent in a developed </w:t>
      </w:r>
      <w:proofErr w:type="spellStart"/>
      <w:r w:rsidRPr="0000783F">
        <w:rPr>
          <w:lang w:val="en-US" w:eastAsia="en-US"/>
        </w:rPr>
        <w:t>phytoreactor</w:t>
      </w:r>
      <w:proofErr w:type="spellEnd"/>
      <w:r w:rsidRPr="0000783F">
        <w:rPr>
          <w:lang w:val="en-US" w:eastAsia="en-US"/>
        </w:rPr>
        <w:t xml:space="preserve"> with immobilized bacterial augmentation and subsequent toxicity studies on </w:t>
      </w:r>
      <w:proofErr w:type="spellStart"/>
      <w:r w:rsidRPr="0000783F">
        <w:rPr>
          <w:i/>
          <w:iCs/>
          <w:lang w:val="en-US" w:eastAsia="en-US"/>
        </w:rPr>
        <w:t>Etheostoma</w:t>
      </w:r>
      <w:proofErr w:type="spellEnd"/>
      <w:r w:rsidRPr="0000783F">
        <w:rPr>
          <w:i/>
          <w:iCs/>
          <w:lang w:val="en-US" w:eastAsia="en-US"/>
        </w:rPr>
        <w:t xml:space="preserve"> </w:t>
      </w:r>
      <w:proofErr w:type="spellStart"/>
      <w:r w:rsidRPr="0000783F">
        <w:rPr>
          <w:i/>
          <w:iCs/>
          <w:lang w:val="en-US" w:eastAsia="en-US"/>
        </w:rPr>
        <w:t>olmstedi</w:t>
      </w:r>
      <w:proofErr w:type="spellEnd"/>
      <w:r w:rsidRPr="0000783F">
        <w:rPr>
          <w:lang w:val="en-US" w:eastAsia="en-US"/>
        </w:rPr>
        <w:t xml:space="preserve"> fish. </w:t>
      </w:r>
      <w:r w:rsidRPr="0000783F">
        <w:rPr>
          <w:i/>
          <w:iCs/>
          <w:lang w:val="en-US" w:eastAsia="en-US"/>
        </w:rPr>
        <w:t>Journal of Hazardous Materials, 283</w:t>
      </w:r>
      <w:r w:rsidRPr="0000783F">
        <w:rPr>
          <w:lang w:val="en-US" w:eastAsia="en-US"/>
        </w:rPr>
        <w:t>, 698–704. https://doi.org/10.1016/j.jhazmat.2014.10.019</w:t>
      </w:r>
    </w:p>
    <w:p w14:paraId="0C3957FB"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Wu, L., </w:t>
      </w:r>
      <w:proofErr w:type="spellStart"/>
      <w:r w:rsidRPr="0000783F">
        <w:rPr>
          <w:lang w:val="en-US" w:eastAsia="en-US"/>
        </w:rPr>
        <w:t>Lv</w:t>
      </w:r>
      <w:proofErr w:type="spellEnd"/>
      <w:r w:rsidRPr="0000783F">
        <w:rPr>
          <w:lang w:val="en-US" w:eastAsia="en-US"/>
        </w:rPr>
        <w:t>, X., Zhang, Y., Xin, Q., Zou, Y., &amp; Li, X. (2021). Tartrazine exposure results in histological damage, oxidative stress, immune disorders and gut microbiota dysbiosis in juvenile crucian carp (</w:t>
      </w:r>
      <w:r w:rsidRPr="0000783F">
        <w:rPr>
          <w:i/>
          <w:iCs/>
          <w:lang w:val="en-US" w:eastAsia="en-US"/>
        </w:rPr>
        <w:t xml:space="preserve">Carassius </w:t>
      </w:r>
      <w:proofErr w:type="spellStart"/>
      <w:r w:rsidRPr="0000783F">
        <w:rPr>
          <w:i/>
          <w:iCs/>
          <w:lang w:val="en-US" w:eastAsia="en-US"/>
        </w:rPr>
        <w:t>carassius</w:t>
      </w:r>
      <w:proofErr w:type="spellEnd"/>
      <w:r w:rsidRPr="0000783F">
        <w:rPr>
          <w:lang w:val="en-US" w:eastAsia="en-US"/>
        </w:rPr>
        <w:t xml:space="preserve">). </w:t>
      </w:r>
      <w:r w:rsidRPr="0000783F">
        <w:rPr>
          <w:i/>
          <w:iCs/>
          <w:lang w:val="en-US" w:eastAsia="en-US"/>
        </w:rPr>
        <w:t>Aquatic Toxicology, 241</w:t>
      </w:r>
      <w:r w:rsidRPr="0000783F">
        <w:rPr>
          <w:lang w:val="en-US" w:eastAsia="en-US"/>
        </w:rPr>
        <w:t>, Article 105998. https://doi.org/10.1016/j.aquatox.2021.105998</w:t>
      </w:r>
    </w:p>
    <w:p w14:paraId="0EF0E3DF"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Wu, L., Xu, Y., </w:t>
      </w:r>
      <w:proofErr w:type="spellStart"/>
      <w:r w:rsidRPr="0000783F">
        <w:rPr>
          <w:lang w:val="en-US" w:eastAsia="en-US"/>
        </w:rPr>
        <w:t>Lv</w:t>
      </w:r>
      <w:proofErr w:type="spellEnd"/>
      <w:r w:rsidRPr="0000783F">
        <w:rPr>
          <w:lang w:val="en-US" w:eastAsia="en-US"/>
        </w:rPr>
        <w:t>, X., Chang, X., Ma, X., Tian, X., Shi, X., Li, X., &amp; Kong, X. (2021). Impacts of an azo food dye tartrazine uptake on intestinal barrier, oxidative stress, inflammatory response and intestinal microbiome in crucian carp (</w:t>
      </w:r>
      <w:r w:rsidRPr="0000783F">
        <w:rPr>
          <w:i/>
          <w:iCs/>
          <w:lang w:val="en-US" w:eastAsia="en-US"/>
        </w:rPr>
        <w:t>Carassius auratus</w:t>
      </w:r>
      <w:r w:rsidRPr="0000783F">
        <w:rPr>
          <w:lang w:val="en-US" w:eastAsia="en-US"/>
        </w:rPr>
        <w:t xml:space="preserve">). </w:t>
      </w:r>
      <w:r w:rsidRPr="0000783F">
        <w:rPr>
          <w:i/>
          <w:iCs/>
          <w:lang w:val="en-US" w:eastAsia="en-US"/>
        </w:rPr>
        <w:t>Ecotoxicology and Environmental Safety, 223</w:t>
      </w:r>
      <w:r w:rsidRPr="0000783F">
        <w:rPr>
          <w:lang w:val="en-US" w:eastAsia="en-US"/>
        </w:rPr>
        <w:t xml:space="preserve">, Article 112551. </w:t>
      </w:r>
      <w:hyperlink r:id="rId15" w:tgtFrame="_new" w:history="1">
        <w:r w:rsidRPr="0000783F">
          <w:rPr>
            <w:color w:val="0000FF"/>
            <w:u w:val="single"/>
            <w:lang w:val="en-US" w:eastAsia="en-US"/>
          </w:rPr>
          <w:t>https://doi.org/10.1016/j.ecoenv.2021.112551</w:t>
        </w:r>
      </w:hyperlink>
    </w:p>
    <w:p w14:paraId="4A629184"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Zhang, J., Chen, S., Zhang, Y., Quan, X., Zhao, H., &amp; Zhang, Y. (2014). Reduction of acute toxicity and genotoxicity of dye effluent using Fenton-coagulation process. </w:t>
      </w:r>
      <w:r w:rsidRPr="0000783F">
        <w:rPr>
          <w:i/>
          <w:iCs/>
          <w:lang w:val="en-US" w:eastAsia="en-US"/>
        </w:rPr>
        <w:t>Journal of Hazardous Materials, 274</w:t>
      </w:r>
      <w:r w:rsidRPr="0000783F">
        <w:rPr>
          <w:lang w:val="en-US" w:eastAsia="en-US"/>
        </w:rPr>
        <w:t>, 198–204. https://doi.org/10.1016/j.jhazmat.2014.04.022</w:t>
      </w:r>
    </w:p>
    <w:p w14:paraId="427554F0" w14:textId="77777777" w:rsidR="0000783F" w:rsidRPr="0000783F" w:rsidRDefault="0000783F" w:rsidP="0000783F">
      <w:pPr>
        <w:spacing w:before="100" w:beforeAutospacing="1" w:after="100" w:afterAutospacing="1"/>
        <w:rPr>
          <w:lang w:val="en-US" w:eastAsia="en-US"/>
        </w:rPr>
      </w:pPr>
      <w:r w:rsidRPr="0000783F">
        <w:rPr>
          <w:lang w:val="en-US" w:eastAsia="en-US"/>
        </w:rPr>
        <w:t>Zhang, J., Zhang, Y., Liu, W., Quan, X., Chen, S., Zhao, H., Jin, Y., &amp; Zhang, W. (2013). Evaluation of removal efficiency for acute toxicity and genotoxicity on zebrafish in anoxic-</w:t>
      </w:r>
      <w:proofErr w:type="spellStart"/>
      <w:r w:rsidRPr="0000783F">
        <w:rPr>
          <w:lang w:val="en-US" w:eastAsia="en-US"/>
        </w:rPr>
        <w:t>oxic</w:t>
      </w:r>
      <w:proofErr w:type="spellEnd"/>
      <w:r w:rsidRPr="0000783F">
        <w:rPr>
          <w:lang w:val="en-US" w:eastAsia="en-US"/>
        </w:rPr>
        <w:t xml:space="preserve"> process from selected municipal wastewater treatment plants. </w:t>
      </w:r>
      <w:r w:rsidRPr="0000783F">
        <w:rPr>
          <w:i/>
          <w:iCs/>
          <w:lang w:val="en-US" w:eastAsia="en-US"/>
        </w:rPr>
        <w:t>Chemosphere, 90</w:t>
      </w:r>
      <w:r w:rsidRPr="0000783F">
        <w:rPr>
          <w:lang w:val="en-US" w:eastAsia="en-US"/>
        </w:rPr>
        <w:t>(11), 2662–2666. https://doi.org/10.1016/j.chemosphere.2012.11.043</w:t>
      </w:r>
    </w:p>
    <w:p w14:paraId="2A4848D1" w14:textId="77777777" w:rsidR="0000783F" w:rsidRPr="0000783F" w:rsidRDefault="0000783F" w:rsidP="0000783F">
      <w:pPr>
        <w:spacing w:before="100" w:beforeAutospacing="1" w:after="100" w:afterAutospacing="1"/>
        <w:rPr>
          <w:lang w:val="en-US" w:eastAsia="en-US"/>
        </w:rPr>
      </w:pPr>
      <w:r w:rsidRPr="0000783F">
        <w:rPr>
          <w:lang w:val="en-US" w:eastAsia="en-US"/>
        </w:rPr>
        <w:t xml:space="preserve">Zhang, W., Liu, W., Zhang, J., Zhao, H., Zhang, Y., Quan, X., &amp; Jin, Y. (2012). </w:t>
      </w:r>
      <w:proofErr w:type="spellStart"/>
      <w:r w:rsidRPr="0000783F">
        <w:rPr>
          <w:lang w:val="en-US" w:eastAsia="en-US"/>
        </w:rPr>
        <w:t>Characterisation</w:t>
      </w:r>
      <w:proofErr w:type="spellEnd"/>
      <w:r w:rsidRPr="0000783F">
        <w:rPr>
          <w:lang w:val="en-US" w:eastAsia="en-US"/>
        </w:rPr>
        <w:t xml:space="preserve"> of acute toxicity, genotoxicity and oxidative stress posed by textile effluent on zebrafish. </w:t>
      </w:r>
      <w:r w:rsidRPr="0000783F">
        <w:rPr>
          <w:i/>
          <w:iCs/>
          <w:lang w:val="en-US" w:eastAsia="en-US"/>
        </w:rPr>
        <w:t>Journal of Environmental Sciences, 24</w:t>
      </w:r>
      <w:r w:rsidRPr="0000783F">
        <w:rPr>
          <w:lang w:val="en-US" w:eastAsia="en-US"/>
        </w:rPr>
        <w:t>(11), 2019–2027. https://doi.org/10.1016/S1001-0742(11)61030-9</w:t>
      </w:r>
    </w:p>
    <w:p w14:paraId="321E344C" w14:textId="77777777" w:rsidR="0000783F" w:rsidRPr="0000783F" w:rsidRDefault="0000783F" w:rsidP="0000783F">
      <w:pPr>
        <w:spacing w:before="100" w:beforeAutospacing="1" w:after="100" w:afterAutospacing="1"/>
        <w:rPr>
          <w:lang w:val="en-US" w:eastAsia="en-US"/>
        </w:rPr>
      </w:pPr>
      <w:proofErr w:type="spellStart"/>
      <w:r w:rsidRPr="0000783F">
        <w:rPr>
          <w:lang w:val="en-US" w:eastAsia="en-US"/>
        </w:rPr>
        <w:t>Zulqurnain</w:t>
      </w:r>
      <w:proofErr w:type="spellEnd"/>
      <w:r w:rsidRPr="0000783F">
        <w:rPr>
          <w:lang w:val="en-US" w:eastAsia="en-US"/>
        </w:rPr>
        <w:t xml:space="preserve">, Sultana, S., Sultana, T., &amp; Mahboob, S. (2024). Fatty acid profile variations after exposure to textile industry effluents in Indian major carps. </w:t>
      </w:r>
      <w:r w:rsidRPr="0000783F">
        <w:rPr>
          <w:i/>
          <w:iCs/>
          <w:lang w:val="en-US" w:eastAsia="en-US"/>
        </w:rPr>
        <w:t>Brazilian Journal of Biology, 84</w:t>
      </w:r>
      <w:r w:rsidRPr="0000783F">
        <w:rPr>
          <w:lang w:val="en-US" w:eastAsia="en-US"/>
        </w:rPr>
        <w:t>, Article e254252. https://doi.org/10.1590/1519-6984.254252</w:t>
      </w:r>
    </w:p>
    <w:p w14:paraId="5214D663" w14:textId="77777777" w:rsidR="0000783F" w:rsidRDefault="0000783F" w:rsidP="00E35ED2">
      <w:pPr>
        <w:pStyle w:val="Heading1"/>
        <w:spacing w:before="100" w:beforeAutospacing="1" w:after="100" w:afterAutospacing="1"/>
      </w:pPr>
    </w:p>
    <w:sectPr w:rsidR="0000783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7CB9D" w14:textId="77777777" w:rsidR="00886885" w:rsidRDefault="00886885" w:rsidP="00FD1C92">
      <w:r>
        <w:separator/>
      </w:r>
    </w:p>
  </w:endnote>
  <w:endnote w:type="continuationSeparator" w:id="0">
    <w:p w14:paraId="016C0882" w14:textId="77777777" w:rsidR="00886885" w:rsidRDefault="00886885" w:rsidP="00FD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1D2B" w14:textId="77777777" w:rsidR="00FD1C92" w:rsidRDefault="00FD1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69A3" w14:textId="77777777" w:rsidR="00FD1C92" w:rsidRDefault="00FD1C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C14AC" w14:textId="77777777" w:rsidR="00FD1C92" w:rsidRDefault="00FD1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3061C" w14:textId="77777777" w:rsidR="00886885" w:rsidRDefault="00886885" w:rsidP="00FD1C92">
      <w:r>
        <w:separator/>
      </w:r>
    </w:p>
  </w:footnote>
  <w:footnote w:type="continuationSeparator" w:id="0">
    <w:p w14:paraId="57240A25" w14:textId="77777777" w:rsidR="00886885" w:rsidRDefault="00886885" w:rsidP="00FD1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288CB" w14:textId="77777777" w:rsidR="00FD1C92" w:rsidRDefault="00000000">
    <w:pPr>
      <w:pStyle w:val="Header"/>
    </w:pPr>
    <w:r>
      <w:rPr>
        <w:noProof/>
      </w:rPr>
      <w:pict w14:anchorId="0605C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028938"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EE1B" w14:textId="77777777" w:rsidR="00FD1C92" w:rsidRDefault="00000000">
    <w:pPr>
      <w:pStyle w:val="Header"/>
    </w:pPr>
    <w:r>
      <w:rPr>
        <w:noProof/>
      </w:rPr>
      <w:pict w14:anchorId="00A8B4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028939"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BC27" w14:textId="77777777" w:rsidR="00FD1C92" w:rsidRDefault="00000000">
    <w:pPr>
      <w:pStyle w:val="Header"/>
    </w:pPr>
    <w:r>
      <w:rPr>
        <w:noProof/>
      </w:rPr>
      <w:pict w14:anchorId="0F4BE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028937"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96683"/>
    <w:multiLevelType w:val="hybridMultilevel"/>
    <w:tmpl w:val="0CB845FA"/>
    <w:lvl w:ilvl="0" w:tplc="EC96D0B2">
      <w:start w:val="1"/>
      <w:numFmt w:val="bullet"/>
      <w:lvlText w:val="●"/>
      <w:lvlJc w:val="left"/>
      <w:pPr>
        <w:ind w:left="720" w:hanging="360"/>
      </w:pPr>
    </w:lvl>
    <w:lvl w:ilvl="1" w:tplc="B532BD6E">
      <w:start w:val="1"/>
      <w:numFmt w:val="bullet"/>
      <w:lvlText w:val="○"/>
      <w:lvlJc w:val="left"/>
      <w:pPr>
        <w:ind w:left="1440" w:hanging="360"/>
      </w:pPr>
    </w:lvl>
    <w:lvl w:ilvl="2" w:tplc="C2B8AD5E">
      <w:start w:val="1"/>
      <w:numFmt w:val="bullet"/>
      <w:lvlText w:val="■"/>
      <w:lvlJc w:val="left"/>
      <w:pPr>
        <w:ind w:left="2160" w:hanging="360"/>
      </w:pPr>
    </w:lvl>
    <w:lvl w:ilvl="3" w:tplc="6F1E6D1A">
      <w:start w:val="1"/>
      <w:numFmt w:val="bullet"/>
      <w:lvlText w:val="●"/>
      <w:lvlJc w:val="left"/>
      <w:pPr>
        <w:ind w:left="2880" w:hanging="360"/>
      </w:pPr>
    </w:lvl>
    <w:lvl w:ilvl="4" w:tplc="05501C60">
      <w:start w:val="1"/>
      <w:numFmt w:val="bullet"/>
      <w:lvlText w:val="○"/>
      <w:lvlJc w:val="left"/>
      <w:pPr>
        <w:ind w:left="3600" w:hanging="360"/>
      </w:pPr>
    </w:lvl>
    <w:lvl w:ilvl="5" w:tplc="E9B09EF4">
      <w:start w:val="1"/>
      <w:numFmt w:val="bullet"/>
      <w:lvlText w:val="■"/>
      <w:lvlJc w:val="left"/>
      <w:pPr>
        <w:ind w:left="4320" w:hanging="360"/>
      </w:pPr>
    </w:lvl>
    <w:lvl w:ilvl="6" w:tplc="A00C7056">
      <w:start w:val="1"/>
      <w:numFmt w:val="bullet"/>
      <w:lvlText w:val="●"/>
      <w:lvlJc w:val="left"/>
      <w:pPr>
        <w:ind w:left="5040" w:hanging="360"/>
      </w:pPr>
    </w:lvl>
    <w:lvl w:ilvl="7" w:tplc="2144A04E">
      <w:start w:val="1"/>
      <w:numFmt w:val="bullet"/>
      <w:lvlText w:val="●"/>
      <w:lvlJc w:val="left"/>
      <w:pPr>
        <w:ind w:left="5760" w:hanging="360"/>
      </w:pPr>
    </w:lvl>
    <w:lvl w:ilvl="8" w:tplc="4B86B5F6">
      <w:start w:val="1"/>
      <w:numFmt w:val="bullet"/>
      <w:lvlText w:val="●"/>
      <w:lvlJc w:val="left"/>
      <w:pPr>
        <w:ind w:left="6480" w:hanging="360"/>
      </w:pPr>
    </w:lvl>
  </w:abstractNum>
  <w:num w:numId="1" w16cid:durableId="13992807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FFA"/>
    <w:rsid w:val="0000783F"/>
    <w:rsid w:val="000714A8"/>
    <w:rsid w:val="001112F5"/>
    <w:rsid w:val="001E46E8"/>
    <w:rsid w:val="002023A2"/>
    <w:rsid w:val="002E3C89"/>
    <w:rsid w:val="00310711"/>
    <w:rsid w:val="00516A6D"/>
    <w:rsid w:val="00653A41"/>
    <w:rsid w:val="00703D85"/>
    <w:rsid w:val="00706FFA"/>
    <w:rsid w:val="007D138D"/>
    <w:rsid w:val="00886885"/>
    <w:rsid w:val="00C46630"/>
    <w:rsid w:val="00E35B40"/>
    <w:rsid w:val="00E35ED2"/>
    <w:rsid w:val="00FC6422"/>
    <w:rsid w:val="00FD1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9D91D"/>
  <w15:docId w15:val="{3656DE94-2483-40A3-8D27-2AFA1E710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D1C92"/>
    <w:pPr>
      <w:tabs>
        <w:tab w:val="center" w:pos="4680"/>
        <w:tab w:val="right" w:pos="9360"/>
      </w:tabs>
    </w:pPr>
  </w:style>
  <w:style w:type="character" w:customStyle="1" w:styleId="HeaderChar">
    <w:name w:val="Header Char"/>
    <w:basedOn w:val="DefaultParagraphFont"/>
    <w:link w:val="Header"/>
    <w:uiPriority w:val="99"/>
    <w:rsid w:val="00FD1C92"/>
  </w:style>
  <w:style w:type="paragraph" w:styleId="Footer">
    <w:name w:val="footer"/>
    <w:basedOn w:val="Normal"/>
    <w:link w:val="FooterChar"/>
    <w:uiPriority w:val="99"/>
    <w:unhideWhenUsed/>
    <w:rsid w:val="00FD1C92"/>
    <w:pPr>
      <w:tabs>
        <w:tab w:val="center" w:pos="4680"/>
        <w:tab w:val="right" w:pos="9360"/>
      </w:tabs>
    </w:pPr>
  </w:style>
  <w:style w:type="character" w:customStyle="1" w:styleId="FooterChar">
    <w:name w:val="Footer Char"/>
    <w:basedOn w:val="DefaultParagraphFont"/>
    <w:link w:val="Footer"/>
    <w:uiPriority w:val="99"/>
    <w:rsid w:val="00FD1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41073-019-0064-8" TargetMode="External"/><Relationship Id="rId13" Type="http://schemas.openxmlformats.org/officeDocument/2006/relationships/hyperlink" Target="https://doi.org/10.3390/su16020495"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doi.org/10.1016/j.ecoenv.2021.113160" TargetMode="External"/><Relationship Id="rId12" Type="http://schemas.openxmlformats.org/officeDocument/2006/relationships/hyperlink" Target="https://doi.org/10.1007/s11356-024-34626-7?utm_source=chatgpt.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ijerph20136237" TargetMode="External"/><Relationship Id="rId5" Type="http://schemas.openxmlformats.org/officeDocument/2006/relationships/footnotes" Target="footnotes.xml"/><Relationship Id="rId15" Type="http://schemas.openxmlformats.org/officeDocument/2006/relationships/hyperlink" Target="https://doi.org/10.1016/j.ecoenv.2021.112551" TargetMode="External"/><Relationship Id="rId23" Type="http://schemas.openxmlformats.org/officeDocument/2006/relationships/theme" Target="theme/theme1.xml"/><Relationship Id="rId10" Type="http://schemas.openxmlformats.org/officeDocument/2006/relationships/hyperlink" Target="https://doi.org/10.3390/antiox1408093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16/j.ecoenv.2016.06.017" TargetMode="External"/><Relationship Id="rId14" Type="http://schemas.openxmlformats.org/officeDocument/2006/relationships/hyperlink" Target="https://doi.org/10.1002/jat.70239?utm_source=chatgp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37</Pages>
  <Words>19324</Words>
  <Characters>110151</Characters>
  <Application>Microsoft Office Word</Application>
  <DocSecurity>0</DocSecurity>
  <Lines>917</Lines>
  <Paragraphs>258</Paragraphs>
  <ScaleCrop>false</ScaleCrop>
  <Company>HP</Company>
  <LinksUpToDate>false</LinksUpToDate>
  <CharactersWithSpaces>129217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1087</cp:lastModifiedBy>
  <cp:revision>8</cp:revision>
  <dcterms:created xsi:type="dcterms:W3CDTF">2026-07-30T05:49:00Z</dcterms:created>
  <dcterms:modified xsi:type="dcterms:W3CDTF">2026-08-05T04:50:00Z</dcterms:modified>
</cp:coreProperties>
</file>