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78229" w14:textId="77777777" w:rsidR="000C79FC" w:rsidRPr="00DB4B2E" w:rsidRDefault="00000000">
      <w:pPr>
        <w:pStyle w:val="Author"/>
        <w:spacing w:line="240" w:lineRule="auto"/>
        <w:jc w:val="left"/>
        <w:rPr>
          <w:rFonts w:ascii="Arial" w:eastAsia="Arial" w:hAnsi="Arial" w:cs="Arial"/>
          <w:bCs/>
          <w:sz w:val="36"/>
          <w:szCs w:val="36"/>
          <w:u w:val="single"/>
        </w:rPr>
      </w:pPr>
      <w:r w:rsidRPr="00DB4B2E">
        <w:rPr>
          <w:rFonts w:ascii="Arial" w:eastAsia="Arial" w:hAnsi="Arial" w:cs="Arial"/>
          <w:bCs/>
          <w:sz w:val="36"/>
          <w:szCs w:val="36"/>
          <w:u w:val="single"/>
        </w:rPr>
        <w:t>Original Research Article</w:t>
      </w:r>
    </w:p>
    <w:p w14:paraId="0FF91286" w14:textId="77777777" w:rsidR="000C79FC" w:rsidRPr="00DB4B2E" w:rsidRDefault="000C79FC">
      <w:pPr>
        <w:pStyle w:val="Author"/>
        <w:spacing w:line="240" w:lineRule="auto"/>
        <w:rPr>
          <w:rFonts w:ascii="Arial" w:eastAsia="Arial" w:hAnsi="Arial" w:cs="Arial"/>
          <w:bCs/>
          <w:sz w:val="36"/>
          <w:szCs w:val="36"/>
        </w:rPr>
      </w:pPr>
    </w:p>
    <w:p w14:paraId="614857EC" w14:textId="77777777" w:rsidR="000C79FC" w:rsidRPr="00DB4B2E" w:rsidRDefault="00000000">
      <w:pPr>
        <w:pStyle w:val="Author"/>
        <w:spacing w:line="240" w:lineRule="auto"/>
        <w:rPr>
          <w:rFonts w:ascii="Arial" w:hAnsi="Arial" w:cs="Arial"/>
          <w:bCs/>
          <w:iCs/>
          <w:kern w:val="1"/>
          <w:sz w:val="36"/>
        </w:rPr>
      </w:pPr>
      <w:proofErr w:type="spellStart"/>
      <w:r w:rsidRPr="00DB4B2E">
        <w:rPr>
          <w:rFonts w:ascii="Arial" w:eastAsia="Arial" w:hAnsi="Arial" w:cs="Arial"/>
          <w:bCs/>
          <w:sz w:val="36"/>
          <w:szCs w:val="36"/>
        </w:rPr>
        <w:t>Nitroblue</w:t>
      </w:r>
      <w:proofErr w:type="spellEnd"/>
      <w:r w:rsidRPr="00DB4B2E">
        <w:rPr>
          <w:rFonts w:ascii="Arial" w:eastAsia="Arial" w:hAnsi="Arial" w:cs="Arial"/>
          <w:bCs/>
          <w:sz w:val="36"/>
          <w:szCs w:val="36"/>
        </w:rPr>
        <w:t xml:space="preserve"> Tetrazolium (NBT) Assay and Lysozyme Activity of Red Tilapia (</w:t>
      </w:r>
      <w:r w:rsidRPr="00DB4B2E">
        <w:rPr>
          <w:rFonts w:ascii="Arial" w:eastAsia="Arial" w:hAnsi="Arial" w:cs="Arial"/>
          <w:bCs/>
          <w:i/>
          <w:iCs/>
          <w:sz w:val="36"/>
          <w:szCs w:val="36"/>
        </w:rPr>
        <w:t>Oreochromis</w:t>
      </w:r>
      <w:r w:rsidRPr="00DB4B2E">
        <w:rPr>
          <w:rFonts w:ascii="Arial" w:eastAsia="Arial" w:hAnsi="Arial" w:cs="Arial"/>
          <w:bCs/>
          <w:iCs/>
          <w:sz w:val="36"/>
          <w:szCs w:val="36"/>
        </w:rPr>
        <w:t xml:space="preserve"> spp.) Challenged with </w:t>
      </w:r>
      <w:r w:rsidRPr="00DB4B2E">
        <w:rPr>
          <w:rFonts w:ascii="Arial" w:eastAsia="Arial" w:hAnsi="Arial" w:cs="Arial"/>
          <w:bCs/>
          <w:i/>
          <w:iCs/>
          <w:sz w:val="36"/>
          <w:szCs w:val="36"/>
        </w:rPr>
        <w:t>Streptococcus agalactiae</w:t>
      </w:r>
      <w:r w:rsidRPr="00DB4B2E">
        <w:rPr>
          <w:rFonts w:ascii="Arial" w:hAnsi="Arial" w:cs="Arial"/>
          <w:bCs/>
          <w:iCs/>
          <w:kern w:val="1"/>
          <w:sz w:val="36"/>
        </w:rPr>
        <w:t xml:space="preserve"> </w:t>
      </w:r>
    </w:p>
    <w:p w14:paraId="2F61F03F" w14:textId="77777777" w:rsidR="000C79FC" w:rsidRPr="00DB4B2E" w:rsidRDefault="000C79FC">
      <w:pPr>
        <w:pStyle w:val="Author"/>
        <w:spacing w:line="240" w:lineRule="auto"/>
        <w:rPr>
          <w:rFonts w:ascii="Arial" w:hAnsi="Arial" w:cs="Arial"/>
          <w:bCs/>
          <w:iCs/>
          <w:kern w:val="1"/>
          <w:sz w:val="36"/>
        </w:rPr>
      </w:pPr>
    </w:p>
    <w:p w14:paraId="5B4A6FDC" w14:textId="77777777" w:rsidR="000C79FC" w:rsidRPr="00DB4B2E" w:rsidRDefault="000C79FC">
      <w:pPr>
        <w:pStyle w:val="Affiliation"/>
        <w:spacing w:after="0" w:line="240" w:lineRule="auto"/>
        <w:jc w:val="both"/>
        <w:rPr>
          <w:rFonts w:ascii="Arial" w:hAnsi="Arial" w:cs="Arial"/>
        </w:rPr>
      </w:pPr>
    </w:p>
    <w:p w14:paraId="51B235FE" w14:textId="77777777" w:rsidR="000C79FC" w:rsidRPr="00DB4B2E" w:rsidRDefault="00000000">
      <w:pPr>
        <w:pStyle w:val="Copyright"/>
        <w:spacing w:after="0" w:line="240" w:lineRule="auto"/>
        <w:jc w:val="both"/>
      </w:pPr>
      <w:r>
        <w:pict w14:anchorId="400E90B9">
          <v:shapetype id="_x0000_t32" coordsize="21600,21600" o:spt="32" o:oned="t" path="m,l21600,21600e" filled="f">
            <v:path arrowok="t" fillok="f" o:connecttype="none"/>
            <o:lock v:ext="edit" shapetype="t"/>
          </v:shapetype>
          <v:shape id="Connector1" o:spid="_x0000_s2056" type="#_x0000_t32" style="width:417.6pt;height:0;visibility:visible;mso-wrap-style:square;mso-left-percent:-10001;mso-top-percent:-10001;mso-position-horizontal:absolute;mso-position-horizontal-relative:char;mso-position-vertical:absolute;mso-position-vertical-relative:line;mso-left-percent:-10001;mso-top-percent:-10001" strokeweight="1.5pt">
            <w10:anchorlock/>
          </v:shape>
        </w:pict>
      </w:r>
    </w:p>
    <w:p w14:paraId="3CCE40C4" w14:textId="77777777" w:rsidR="000C79FC" w:rsidRPr="00DB4B2E" w:rsidRDefault="000C79FC">
      <w:pPr>
        <w:pStyle w:val="Copyright"/>
        <w:spacing w:after="0" w:line="240" w:lineRule="auto"/>
        <w:jc w:val="both"/>
      </w:pPr>
    </w:p>
    <w:p w14:paraId="4F9783D5" w14:textId="77777777" w:rsidR="000C79FC" w:rsidRPr="00DB4B2E" w:rsidRDefault="000C79FC">
      <w:pPr>
        <w:pStyle w:val="Copyright"/>
        <w:spacing w:after="0" w:line="240" w:lineRule="auto"/>
        <w:jc w:val="both"/>
      </w:pPr>
    </w:p>
    <w:p w14:paraId="02A95A0D" w14:textId="77777777" w:rsidR="000C79FC" w:rsidRPr="00DB4B2E" w:rsidRDefault="000C79FC">
      <w:pPr>
        <w:pStyle w:val="Copyright"/>
        <w:spacing w:after="0" w:line="240" w:lineRule="auto"/>
        <w:jc w:val="both"/>
      </w:pPr>
    </w:p>
    <w:p w14:paraId="35F045C4" w14:textId="77777777" w:rsidR="000C79FC" w:rsidRPr="00DB4B2E" w:rsidRDefault="000C79FC">
      <w:pPr>
        <w:pStyle w:val="Copyright"/>
        <w:spacing w:after="0" w:line="240" w:lineRule="auto"/>
        <w:jc w:val="both"/>
      </w:pPr>
    </w:p>
    <w:p w14:paraId="5DB14E04" w14:textId="77777777" w:rsidR="000C79FC" w:rsidRPr="00DB4B2E" w:rsidRDefault="000C79FC">
      <w:pPr>
        <w:pStyle w:val="Copyright"/>
        <w:spacing w:after="0" w:line="240" w:lineRule="auto"/>
        <w:jc w:val="both"/>
      </w:pPr>
    </w:p>
    <w:p w14:paraId="760AC9D0" w14:textId="77777777" w:rsidR="000C79FC" w:rsidRPr="00DB4B2E" w:rsidRDefault="00000000">
      <w:pPr>
        <w:pStyle w:val="AbstHead"/>
        <w:spacing w:after="0"/>
        <w:jc w:val="both"/>
        <w:rPr>
          <w:rFonts w:ascii="Arial" w:hAnsi="Arial" w:cs="Arial"/>
        </w:rPr>
      </w:pPr>
      <w:r w:rsidRPr="00DB4B2E">
        <w:rPr>
          <w:rFonts w:ascii="Arial" w:hAnsi="Arial" w:cs="Arial"/>
        </w:rPr>
        <w:t xml:space="preserve">ABSTRACT </w:t>
      </w:r>
    </w:p>
    <w:p w14:paraId="16ED3304" w14:textId="77777777" w:rsidR="000C79FC" w:rsidRPr="00DB4B2E" w:rsidRDefault="000C79FC">
      <w:pPr>
        <w:pStyle w:val="AbstHead"/>
        <w:spacing w:after="0"/>
        <w:jc w:val="both"/>
        <w:rPr>
          <w:rFonts w:ascii="Arial" w:hAnsi="Arial" w:cs="Arial"/>
        </w:rPr>
      </w:pPr>
    </w:p>
    <w:tbl>
      <w:tblPr>
        <w:tblW w:w="8424" w:type="dxa"/>
        <w:tblLook w:val="04A0" w:firstRow="1" w:lastRow="0" w:firstColumn="1" w:lastColumn="0" w:noHBand="0" w:noVBand="1"/>
      </w:tblPr>
      <w:tblGrid>
        <w:gridCol w:w="8424"/>
      </w:tblGrid>
      <w:tr w:rsidR="000C79FC" w:rsidRPr="00DB4B2E" w14:paraId="158FD35C" w14:textId="77777777">
        <w:trPr>
          <w:trHeight w:val="3336"/>
        </w:trPr>
        <w:tc>
          <w:tcPr>
            <w:tcW w:w="8424" w:type="dxa"/>
            <w:tcBorders>
              <w:top w:val="single" w:sz="4" w:space="0" w:color="000000"/>
              <w:left w:val="single" w:sz="4" w:space="0" w:color="000000"/>
              <w:bottom w:val="single" w:sz="4" w:space="0" w:color="000000"/>
              <w:right w:val="single" w:sz="4" w:space="0" w:color="000000"/>
            </w:tcBorders>
            <w:shd w:val="solid" w:color="F2F2F2" w:fill="auto"/>
          </w:tcPr>
          <w:p w14:paraId="24CADD12" w14:textId="4073006E" w:rsidR="000C79FC" w:rsidRPr="00DB4B2E" w:rsidRDefault="00A93548">
            <w:pPr>
              <w:tabs>
                <w:tab w:val="left" w:pos="2041"/>
              </w:tabs>
              <w:rPr>
                <w:rFonts w:ascii="Arial" w:eastAsia="Arial" w:hAnsi="Arial" w:cs="Arial"/>
              </w:rPr>
            </w:pPr>
            <w:r w:rsidRPr="00A93548">
              <w:t xml:space="preserve">Aquaculture production is increasingly constrained by bacterial diseases, among which Streptococcus agalactiae is an important pathogen causing </w:t>
            </w:r>
            <w:proofErr w:type="spellStart"/>
            <w:r w:rsidRPr="00A93548">
              <w:t>streptococcosis</w:t>
            </w:r>
            <w:proofErr w:type="spellEnd"/>
            <w:r w:rsidRPr="00A93548">
              <w:t xml:space="preserve"> in tilapia. Assessment of respiratory burst and lysozyme activity provides useful insight into the innate immune response of red tilapia (Oreochromis spp.) following bacterial challenge.</w:t>
            </w:r>
            <w:r>
              <w:t xml:space="preserve"> </w:t>
            </w:r>
            <w:r w:rsidR="00346439">
              <w:t xml:space="preserve">This study evaluated respiratory burst activity, measured using the </w:t>
            </w:r>
            <w:proofErr w:type="spellStart"/>
            <w:r w:rsidR="00346439">
              <w:t>nitroblue</w:t>
            </w:r>
            <w:proofErr w:type="spellEnd"/>
            <w:r w:rsidR="00346439">
              <w:t xml:space="preserve"> tetrazolium (NBT) assay, and serum lysozyme activity in red tilapia (</w:t>
            </w:r>
            <w:r w:rsidR="00346439">
              <w:rPr>
                <w:rStyle w:val="Emphasis"/>
              </w:rPr>
              <w:t>Oreochromis</w:t>
            </w:r>
            <w:r w:rsidR="00346439">
              <w:t xml:space="preserve"> spp.) experimentally challenged with </w:t>
            </w:r>
            <w:r w:rsidR="00346439">
              <w:rPr>
                <w:rStyle w:val="Emphasis"/>
              </w:rPr>
              <w:t>Streptococcus agalactiae</w:t>
            </w:r>
            <w:r w:rsidR="00346439">
              <w:t>. Fish were assigned to a saline-injected control (T1) or intraperitoneally challenged with 10⁶ (T2), 10⁷ (T3), or 10⁸ (T4) CFU/</w:t>
            </w:r>
            <w:proofErr w:type="spellStart"/>
            <w:r w:rsidR="00346439">
              <w:t>mL.</w:t>
            </w:r>
            <w:proofErr w:type="spellEnd"/>
            <w:r w:rsidR="00346439">
              <w:t xml:space="preserve"> Clinical signs were monitored for 10 days, after which NBT absorbance at 655 nm and lysozyme activity were determined. No visible clinical signs, morbidity, or mortality were observed in the challenged groups during the observation period. Mean NBT absorbance was 0.045 ± 0.001 in T1, 0.048 ± 0.001 in T2, 0.050 ± 0.001 in T3, and 0.053 ± 0.001 in T4. Although values increased with bacterial concentration, differences among treatments were not statistically significant. Mean lysozyme activity was 9.765 ± 0.402 units/min in T1, 10.333 ± 0.654 in T2, 13.235 ± 0.742 in T3, and 13.259 ± 0.986 in T4. Lysozyme activity was significantly higher in T3 and T4 than in T1. Under the conditions of this study, red tilapia displayed measurable innate immune activation following </w:t>
            </w:r>
            <w:r w:rsidR="00346439">
              <w:rPr>
                <w:rStyle w:val="Emphasis"/>
              </w:rPr>
              <w:t>S. agalactiae</w:t>
            </w:r>
            <w:r w:rsidR="00346439">
              <w:t xml:space="preserve"> challenge despite the absence of overt clinical disease. The findings indicate that NBT reduction and lysozyme activity can provide complementary information on the early cellular and humoral immune responses of red tilapia to experimental streptococcal exposure.</w:t>
            </w:r>
          </w:p>
        </w:tc>
      </w:tr>
    </w:tbl>
    <w:p w14:paraId="49AC1F67" w14:textId="77777777" w:rsidR="000C79FC" w:rsidRPr="00DB4B2E" w:rsidRDefault="000C79FC">
      <w:pPr>
        <w:pStyle w:val="Body"/>
        <w:spacing w:after="0"/>
        <w:rPr>
          <w:rFonts w:ascii="Arial" w:hAnsi="Arial" w:cs="Arial"/>
          <w:i/>
        </w:rPr>
      </w:pPr>
    </w:p>
    <w:p w14:paraId="6B3D87FC" w14:textId="7134E9D9" w:rsidR="000C79FC" w:rsidRPr="00DB4B2E" w:rsidRDefault="00000000">
      <w:pPr>
        <w:pStyle w:val="Body"/>
        <w:spacing w:after="0"/>
        <w:rPr>
          <w:rFonts w:ascii="Times New Roman" w:hAnsi="Times New Roman"/>
          <w:sz w:val="24"/>
          <w:szCs w:val="24"/>
        </w:rPr>
      </w:pPr>
      <w:r w:rsidRPr="00DB4B2E">
        <w:rPr>
          <w:rFonts w:ascii="Arial" w:hAnsi="Arial" w:cs="Arial"/>
          <w:i/>
        </w:rPr>
        <w:t xml:space="preserve">Keywords: </w:t>
      </w:r>
      <w:r w:rsidR="00892613">
        <w:t xml:space="preserve">Red tilapia; </w:t>
      </w:r>
      <w:r w:rsidR="00892613">
        <w:rPr>
          <w:rStyle w:val="Emphasis"/>
        </w:rPr>
        <w:t>Streptococcus agalactiae</w:t>
      </w:r>
      <w:r w:rsidR="00892613">
        <w:t xml:space="preserve">; innate immunity; </w:t>
      </w:r>
      <w:proofErr w:type="spellStart"/>
      <w:r w:rsidR="00892613">
        <w:t>nitroblue</w:t>
      </w:r>
      <w:proofErr w:type="spellEnd"/>
      <w:r w:rsidR="00892613">
        <w:t xml:space="preserve"> tetrazolium assay; respiratory burst; reactive oxygen species; lysozyme activity; bacterial challenge; phagocytic activity; </w:t>
      </w:r>
      <w:proofErr w:type="spellStart"/>
      <w:r w:rsidR="00892613">
        <w:t>streptococcosis</w:t>
      </w:r>
      <w:proofErr w:type="spellEnd"/>
      <w:r w:rsidR="00892613">
        <w:t>.</w:t>
      </w:r>
    </w:p>
    <w:p w14:paraId="3296B905" w14:textId="77777777" w:rsidR="000C79FC" w:rsidRPr="00DB4B2E" w:rsidRDefault="000C79FC">
      <w:pPr>
        <w:pStyle w:val="Body"/>
        <w:spacing w:after="0"/>
        <w:rPr>
          <w:rFonts w:ascii="Arial" w:hAnsi="Arial" w:cs="Arial"/>
          <w:i/>
        </w:rPr>
      </w:pPr>
    </w:p>
    <w:p w14:paraId="5B44D300" w14:textId="77777777" w:rsidR="000C79FC" w:rsidRPr="00DB4B2E" w:rsidRDefault="00000000">
      <w:pPr>
        <w:pStyle w:val="AbstHead"/>
        <w:spacing w:after="0"/>
        <w:jc w:val="both"/>
        <w:rPr>
          <w:rFonts w:ascii="Arial" w:hAnsi="Arial" w:cs="Arial"/>
        </w:rPr>
      </w:pPr>
      <w:r w:rsidRPr="00DB4B2E">
        <w:rPr>
          <w:rFonts w:ascii="Arial" w:hAnsi="Arial" w:cs="Arial"/>
        </w:rPr>
        <w:t>1. INTRODUCTION</w:t>
      </w:r>
    </w:p>
    <w:p w14:paraId="7A5F8D33" w14:textId="77777777" w:rsidR="000C79FC" w:rsidRPr="00DB4B2E" w:rsidRDefault="00000000">
      <w:pPr>
        <w:pStyle w:val="AbstHead"/>
        <w:spacing w:after="0"/>
        <w:jc w:val="both"/>
        <w:rPr>
          <w:rFonts w:ascii="Arial" w:hAnsi="Arial" w:cs="Arial"/>
        </w:rPr>
      </w:pPr>
      <w:r w:rsidRPr="00DB4B2E">
        <w:rPr>
          <w:rFonts w:ascii="Arial" w:hAnsi="Arial" w:cs="Arial"/>
        </w:rPr>
        <w:t xml:space="preserve"> </w:t>
      </w:r>
    </w:p>
    <w:p w14:paraId="3EB8D470"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Aquaculture is one of the fastest-growing food production sectors worldwide and plays a crucial role in ensuring global food security, nutrition, and livelihoods (Food and Agriculture Organization of the United Nations, 2024). However, the sustainability and profitability of aquaculture are continually threatened by infectious diseases, which remain among the leading causes of production losses. It has been estimated that disease outbreaks account for annual economic losses ranging from US$1.05 to US$9.58 billion globally (Shinn </w:t>
      </w:r>
      <w:r w:rsidRPr="00DB4B2E">
        <w:rPr>
          <w:rFonts w:ascii="Arial" w:eastAsia="Arial" w:hAnsi="Arial" w:cs="Arial"/>
          <w:i/>
          <w:iCs/>
        </w:rPr>
        <w:t>et al.,</w:t>
      </w:r>
      <w:r w:rsidRPr="00DB4B2E">
        <w:rPr>
          <w:rFonts w:ascii="Arial" w:eastAsia="Arial" w:hAnsi="Arial" w:cs="Arial"/>
        </w:rPr>
        <w:t xml:space="preserve"> 2015). These diseases may result from infections caused by bacteria, viruses, fungi, and </w:t>
      </w:r>
      <w:r w:rsidRPr="00DB4B2E">
        <w:rPr>
          <w:rFonts w:ascii="Arial" w:eastAsia="Arial" w:hAnsi="Arial" w:cs="Arial"/>
        </w:rPr>
        <w:lastRenderedPageBreak/>
        <w:t xml:space="preserve">parasites, or from non-infectious factors such as poor nutrition, inadequate husbandry practices, and </w:t>
      </w:r>
      <w:proofErr w:type="spellStart"/>
      <w:r w:rsidRPr="00DB4B2E">
        <w:rPr>
          <w:rFonts w:ascii="Arial" w:eastAsia="Arial" w:hAnsi="Arial" w:cs="Arial"/>
        </w:rPr>
        <w:t>unfavourable</w:t>
      </w:r>
      <w:proofErr w:type="spellEnd"/>
      <w:r w:rsidRPr="00DB4B2E">
        <w:rPr>
          <w:rFonts w:ascii="Arial" w:eastAsia="Arial" w:hAnsi="Arial" w:cs="Arial"/>
        </w:rPr>
        <w:t xml:space="preserve"> environmental conditions that compromise fish health and immune competence (Talpur &amp; </w:t>
      </w:r>
      <w:proofErr w:type="spellStart"/>
      <w:r w:rsidRPr="00DB4B2E">
        <w:rPr>
          <w:rFonts w:ascii="Arial" w:eastAsia="Arial" w:hAnsi="Arial" w:cs="Arial"/>
        </w:rPr>
        <w:t>Ikhwanuddin</w:t>
      </w:r>
      <w:proofErr w:type="spellEnd"/>
      <w:r w:rsidRPr="00DB4B2E">
        <w:rPr>
          <w:rFonts w:ascii="Arial" w:eastAsia="Arial" w:hAnsi="Arial" w:cs="Arial"/>
        </w:rPr>
        <w:t xml:space="preserve">, 2012; </w:t>
      </w:r>
      <w:proofErr w:type="spellStart"/>
      <w:r w:rsidRPr="00DB4B2E">
        <w:rPr>
          <w:rFonts w:ascii="Arial" w:eastAsia="Arial" w:hAnsi="Arial" w:cs="Arial"/>
        </w:rPr>
        <w:t>Makrinos</w:t>
      </w:r>
      <w:proofErr w:type="spellEnd"/>
      <w:r w:rsidRPr="00DB4B2E">
        <w:rPr>
          <w:rFonts w:ascii="Arial" w:eastAsia="Arial" w:hAnsi="Arial" w:cs="Arial"/>
        </w:rPr>
        <w:t xml:space="preserve"> </w:t>
      </w:r>
      <w:r w:rsidRPr="00DB4B2E">
        <w:rPr>
          <w:rFonts w:ascii="Arial" w:eastAsia="Arial" w:hAnsi="Arial" w:cs="Arial"/>
          <w:i/>
          <w:iCs/>
        </w:rPr>
        <w:t>&amp; Bowden</w:t>
      </w:r>
      <w:r w:rsidRPr="00DB4B2E">
        <w:rPr>
          <w:rFonts w:ascii="Arial" w:eastAsia="Arial" w:hAnsi="Arial" w:cs="Arial"/>
        </w:rPr>
        <w:t>, 2016). Although chemotherapeutic agents and antibiotics have been widely used to control disease outbreaks, their effectiveness is often limited by the emergence of antimicrobial resistance, drug residues in aquatic products, environmental contamination, and increasing regulatory restrictions on antibiotic use (Cabello, 2006; Malheiros</w:t>
      </w:r>
      <w:r w:rsidRPr="00DB4B2E">
        <w:rPr>
          <w:rFonts w:ascii="Arial" w:eastAsia="Arial" w:hAnsi="Arial" w:cs="Arial"/>
          <w:i/>
          <w:iCs/>
        </w:rPr>
        <w:t xml:space="preserve"> et al.,</w:t>
      </w:r>
      <w:r w:rsidRPr="00DB4B2E">
        <w:rPr>
          <w:rFonts w:ascii="Arial" w:eastAsia="Arial" w:hAnsi="Arial" w:cs="Arial"/>
        </w:rPr>
        <w:t xml:space="preserve"> 2016; World Health Organization, 2023). Consequently, increasing emphasis is being placed on understanding the immune responses of cultured fish to infectious agents as a basis for developing sustainable disease prevention and management strategies.</w:t>
      </w:r>
    </w:p>
    <w:p w14:paraId="53BAB0B7" w14:textId="77777777" w:rsidR="000C79FC" w:rsidRPr="00DB4B2E" w:rsidRDefault="000C79FC">
      <w:pPr>
        <w:pBdr>
          <w:top w:val="nil"/>
          <w:left w:val="nil"/>
          <w:bottom w:val="nil"/>
          <w:right w:val="nil"/>
          <w:between w:val="nil"/>
        </w:pBdr>
        <w:jc w:val="both"/>
        <w:rPr>
          <w:rFonts w:ascii="Arial" w:eastAsia="Arial" w:hAnsi="Arial" w:cs="Arial"/>
        </w:rPr>
      </w:pPr>
    </w:p>
    <w:p w14:paraId="3C1A4921"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Among bacterial pathogens affecting aquaculture, </w:t>
      </w:r>
      <w:r w:rsidRPr="00DB4B2E">
        <w:rPr>
          <w:rFonts w:ascii="Arial" w:eastAsia="Arial" w:hAnsi="Arial" w:cs="Arial"/>
          <w:i/>
        </w:rPr>
        <w:t>Streptococcus agalactiae</w:t>
      </w:r>
      <w:r w:rsidRPr="00DB4B2E">
        <w:rPr>
          <w:rFonts w:ascii="Arial" w:eastAsia="Arial" w:hAnsi="Arial" w:cs="Arial"/>
        </w:rPr>
        <w:t xml:space="preserve"> (Group B </w:t>
      </w:r>
      <w:r w:rsidRPr="00DB4B2E">
        <w:rPr>
          <w:rFonts w:ascii="Arial" w:eastAsia="Arial" w:hAnsi="Arial" w:cs="Arial"/>
          <w:i/>
        </w:rPr>
        <w:t>Streptococcus</w:t>
      </w:r>
      <w:r w:rsidRPr="00DB4B2E">
        <w:rPr>
          <w:rFonts w:ascii="Arial" w:eastAsia="Arial" w:hAnsi="Arial" w:cs="Arial"/>
        </w:rPr>
        <w:t>) is one of the most economically important Gram-positive bacteria infecting freshwater and marine fish species. The pathogen has been isolated from both tropical and temperate regions and poses a significant threat to aquaculture as well as animal and human health because of its zoonotic potential (</w:t>
      </w:r>
      <w:proofErr w:type="spellStart"/>
      <w:r w:rsidRPr="00DB4B2E">
        <w:rPr>
          <w:rFonts w:ascii="Arial" w:eastAsia="Arial" w:hAnsi="Arial" w:cs="Arial"/>
        </w:rPr>
        <w:t>Brudeseth</w:t>
      </w:r>
      <w:proofErr w:type="spellEnd"/>
      <w:r w:rsidRPr="00DB4B2E">
        <w:rPr>
          <w:rFonts w:ascii="Arial" w:eastAsia="Arial" w:hAnsi="Arial" w:cs="Arial"/>
        </w:rPr>
        <w:t xml:space="preserv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2013; Yao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2019). In tilapia culture, </w:t>
      </w:r>
      <w:r w:rsidRPr="00DB4B2E">
        <w:rPr>
          <w:rFonts w:ascii="Arial" w:eastAsia="Arial" w:hAnsi="Arial" w:cs="Arial"/>
          <w:i/>
        </w:rPr>
        <w:t>S. agalactiae</w:t>
      </w:r>
      <w:r w:rsidRPr="00DB4B2E">
        <w:rPr>
          <w:rFonts w:ascii="Arial" w:eastAsia="Arial" w:hAnsi="Arial" w:cs="Arial"/>
        </w:rPr>
        <w:t xml:space="preserve"> is the primary causative agent of </w:t>
      </w:r>
      <w:proofErr w:type="spellStart"/>
      <w:r w:rsidRPr="00DB4B2E">
        <w:rPr>
          <w:rFonts w:ascii="Arial" w:eastAsia="Arial" w:hAnsi="Arial" w:cs="Arial"/>
        </w:rPr>
        <w:t>streptococcosis</w:t>
      </w:r>
      <w:proofErr w:type="spellEnd"/>
      <w:r w:rsidRPr="00DB4B2E">
        <w:rPr>
          <w:rFonts w:ascii="Arial" w:eastAsia="Arial" w:hAnsi="Arial" w:cs="Arial"/>
        </w:rPr>
        <w:t xml:space="preserve">, a disease </w:t>
      </w:r>
      <w:proofErr w:type="spellStart"/>
      <w:r w:rsidRPr="00DB4B2E">
        <w:rPr>
          <w:rFonts w:ascii="Arial" w:eastAsia="Arial" w:hAnsi="Arial" w:cs="Arial"/>
        </w:rPr>
        <w:t>characterised</w:t>
      </w:r>
      <w:proofErr w:type="spellEnd"/>
      <w:r w:rsidRPr="00DB4B2E">
        <w:rPr>
          <w:rFonts w:ascii="Arial" w:eastAsia="Arial" w:hAnsi="Arial" w:cs="Arial"/>
        </w:rPr>
        <w:t xml:space="preserve"> by acute </w:t>
      </w:r>
      <w:proofErr w:type="spellStart"/>
      <w:r w:rsidRPr="00DB4B2E">
        <w:rPr>
          <w:rFonts w:ascii="Arial" w:eastAsia="Arial" w:hAnsi="Arial" w:cs="Arial"/>
        </w:rPr>
        <w:t>septicaemia</w:t>
      </w:r>
      <w:proofErr w:type="spellEnd"/>
      <w:r w:rsidRPr="00DB4B2E">
        <w:rPr>
          <w:rFonts w:ascii="Arial" w:eastAsia="Arial" w:hAnsi="Arial" w:cs="Arial"/>
        </w:rPr>
        <w:t xml:space="preserve"> and meningoencephalitis that can result in severe mortality during outbreaks. Transmission occurs primarily through horizontal routes via direct contact with infected fish or exposure to contaminated water and culture facilities. Following entry into the host, the bacterium </w:t>
      </w:r>
      <w:proofErr w:type="spellStart"/>
      <w:r w:rsidRPr="00DB4B2E">
        <w:rPr>
          <w:rFonts w:ascii="Arial" w:eastAsia="Arial" w:hAnsi="Arial" w:cs="Arial"/>
        </w:rPr>
        <w:t>colonises</w:t>
      </w:r>
      <w:proofErr w:type="spellEnd"/>
      <w:r w:rsidRPr="00DB4B2E">
        <w:rPr>
          <w:rFonts w:ascii="Arial" w:eastAsia="Arial" w:hAnsi="Arial" w:cs="Arial"/>
        </w:rPr>
        <w:t xml:space="preserve"> the intestine, invades the bloodstream, and disseminates to various organs while evading both innate and adaptive immune </w:t>
      </w:r>
      <w:proofErr w:type="spellStart"/>
      <w:r w:rsidRPr="00DB4B2E">
        <w:rPr>
          <w:rFonts w:ascii="Arial" w:eastAsia="Arial" w:hAnsi="Arial" w:cs="Arial"/>
        </w:rPr>
        <w:t>defences</w:t>
      </w:r>
      <w:proofErr w:type="spellEnd"/>
      <w:r w:rsidRPr="00DB4B2E">
        <w:rPr>
          <w:rFonts w:ascii="Arial" w:eastAsia="Arial" w:hAnsi="Arial" w:cs="Arial"/>
        </w:rPr>
        <w:t xml:space="preserve"> (</w:t>
      </w:r>
      <w:proofErr w:type="spellStart"/>
      <w:r w:rsidRPr="00DB4B2E">
        <w:rPr>
          <w:rFonts w:ascii="Arial" w:eastAsia="Arial" w:hAnsi="Arial" w:cs="Arial"/>
        </w:rPr>
        <w:t>Iregui</w:t>
      </w:r>
      <w:proofErr w:type="spellEnd"/>
      <w:r w:rsidRPr="00DB4B2E">
        <w:rPr>
          <w:rFonts w:ascii="Arial" w:eastAsia="Arial" w:hAnsi="Arial" w:cs="Arial"/>
        </w:rPr>
        <w:t xml:space="preserve"> </w:t>
      </w:r>
      <w:r w:rsidRPr="00DB4B2E">
        <w:rPr>
          <w:rFonts w:ascii="Arial" w:eastAsia="Arial" w:hAnsi="Arial" w:cs="Arial"/>
          <w:i/>
        </w:rPr>
        <w:t>et al.</w:t>
      </w:r>
      <w:r w:rsidRPr="00DB4B2E">
        <w:rPr>
          <w:rFonts w:ascii="Arial" w:eastAsia="Arial" w:hAnsi="Arial" w:cs="Arial"/>
        </w:rPr>
        <w:t xml:space="preserve">, 2016). Disease outbreaks are frequently associated with intensive production systems, where environmental stressors such as elevated water temperature, high stocking density, poor water quality, low dissolved oxygen, elevated pH, and deteriorated pond bottom conditions increase fish susceptibility to infection (Reyes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2021).</w:t>
      </w:r>
      <w:r w:rsidRPr="00DB4B2E">
        <w:rPr>
          <w:rFonts w:ascii="Arial" w:hAnsi="Arial"/>
        </w:rPr>
        <w:t xml:space="preserve"> Recent evidence further indicates that immune responses to </w:t>
      </w:r>
      <w:r w:rsidRPr="00DB4B2E">
        <w:rPr>
          <w:rFonts w:ascii="Arial" w:hAnsi="Arial"/>
          <w:i/>
        </w:rPr>
        <w:t>S. agalactiae</w:t>
      </w:r>
      <w:r w:rsidRPr="00DB4B2E">
        <w:rPr>
          <w:rFonts w:ascii="Arial" w:hAnsi="Arial"/>
        </w:rPr>
        <w:t xml:space="preserve"> can vary with bacterial serotype and host resistance phenotype, supporting direct evaluation of host responses under defined challenge conditions (Appel </w:t>
      </w:r>
      <w:r w:rsidRPr="00DB4B2E">
        <w:rPr>
          <w:rFonts w:ascii="Arial" w:hAnsi="Arial"/>
          <w:i/>
        </w:rPr>
        <w:t>et al.</w:t>
      </w:r>
      <w:r w:rsidRPr="00DB4B2E">
        <w:rPr>
          <w:rFonts w:ascii="Arial" w:hAnsi="Arial"/>
        </w:rPr>
        <w:t xml:space="preserve">, 2025; Zhang </w:t>
      </w:r>
      <w:r w:rsidRPr="00DB4B2E">
        <w:rPr>
          <w:rFonts w:ascii="Arial" w:hAnsi="Arial"/>
          <w:i/>
        </w:rPr>
        <w:t>et al.</w:t>
      </w:r>
      <w:r w:rsidRPr="00DB4B2E">
        <w:rPr>
          <w:rFonts w:ascii="Arial" w:hAnsi="Arial"/>
        </w:rPr>
        <w:t>, 2024).</w:t>
      </w:r>
    </w:p>
    <w:p w14:paraId="57743900" w14:textId="77777777" w:rsidR="000C79FC" w:rsidRPr="00DB4B2E" w:rsidRDefault="000C79FC">
      <w:pPr>
        <w:pBdr>
          <w:top w:val="nil"/>
          <w:left w:val="nil"/>
          <w:bottom w:val="nil"/>
          <w:right w:val="nil"/>
          <w:between w:val="nil"/>
        </w:pBdr>
        <w:jc w:val="both"/>
        <w:rPr>
          <w:rFonts w:ascii="Arial" w:eastAsia="Arial" w:hAnsi="Arial" w:cs="Arial"/>
        </w:rPr>
      </w:pPr>
    </w:p>
    <w:p w14:paraId="20BB8FD1"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Systemic infection caused by </w:t>
      </w:r>
      <w:r w:rsidRPr="00DB4B2E">
        <w:rPr>
          <w:rFonts w:ascii="Arial" w:eastAsia="Arial" w:hAnsi="Arial" w:cs="Arial"/>
          <w:i/>
        </w:rPr>
        <w:t>S. agalactiae</w:t>
      </w:r>
      <w:r w:rsidRPr="00DB4B2E">
        <w:rPr>
          <w:rFonts w:ascii="Arial" w:eastAsia="Arial" w:hAnsi="Arial" w:cs="Arial"/>
        </w:rPr>
        <w:t xml:space="preserve"> primarily affects the brain, kidney, spleen, and intestine, resulting in tissue damage, inflammation, and cellular degeneration (</w:t>
      </w:r>
      <w:proofErr w:type="spellStart"/>
      <w:r w:rsidRPr="00DB4B2E">
        <w:rPr>
          <w:rFonts w:ascii="Arial" w:eastAsia="Arial" w:hAnsi="Arial" w:cs="Arial"/>
        </w:rPr>
        <w:t>Iregui</w:t>
      </w:r>
      <w:proofErr w:type="spellEnd"/>
      <w:r w:rsidRPr="00DB4B2E">
        <w:rPr>
          <w:rFonts w:ascii="Arial" w:eastAsia="Arial" w:hAnsi="Arial" w:cs="Arial"/>
        </w:rPr>
        <w:t xml:space="preserv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2016; Caruso, 2016; Liu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2016). Infected fish commonly exhibit anorexia, lethargy, melanosis, exophthalmia, corneal opacity, erratic or spiral swimming, loss of equilibrium, and increased mortality resulting from neurological impairment and systemic inflammatory responses (</w:t>
      </w:r>
      <w:proofErr w:type="spellStart"/>
      <w:r w:rsidRPr="00DB4B2E">
        <w:rPr>
          <w:rFonts w:ascii="Arial" w:eastAsia="Arial" w:hAnsi="Arial" w:cs="Arial"/>
        </w:rPr>
        <w:t>Iregui</w:t>
      </w:r>
      <w:proofErr w:type="spellEnd"/>
      <w:r w:rsidRPr="00DB4B2E">
        <w:rPr>
          <w:rFonts w:ascii="Arial" w:eastAsia="Arial" w:hAnsi="Arial" w:cs="Arial"/>
        </w:rPr>
        <w:t xml:space="preserv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2016). The emergence of antibiotic-resistant strains further complicates disease control. Previous studies have reported resistance of </w:t>
      </w:r>
      <w:r w:rsidRPr="00DB4B2E">
        <w:rPr>
          <w:rFonts w:ascii="Arial" w:eastAsia="Arial" w:hAnsi="Arial" w:cs="Arial"/>
          <w:i/>
        </w:rPr>
        <w:t>S. agalactiae</w:t>
      </w:r>
      <w:r w:rsidRPr="00DB4B2E">
        <w:rPr>
          <w:rFonts w:ascii="Arial" w:eastAsia="Arial" w:hAnsi="Arial" w:cs="Arial"/>
        </w:rPr>
        <w:t xml:space="preserve"> isolates to vancomycin, penicillin, amoxicillin, and ampicillin, while susceptibility has been observed to nalidixic acid, gentamicin, tetracycline, chloramphenicol, and </w:t>
      </w:r>
      <w:proofErr w:type="spellStart"/>
      <w:r w:rsidRPr="00DB4B2E">
        <w:rPr>
          <w:rFonts w:ascii="Arial" w:eastAsia="Arial" w:hAnsi="Arial" w:cs="Arial"/>
        </w:rPr>
        <w:t>oxolinic</w:t>
      </w:r>
      <w:proofErr w:type="spellEnd"/>
      <w:r w:rsidRPr="00DB4B2E">
        <w:rPr>
          <w:rFonts w:ascii="Arial" w:eastAsia="Arial" w:hAnsi="Arial" w:cs="Arial"/>
        </w:rPr>
        <w:t xml:space="preserve"> acid (Reyes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2022). These findings </w:t>
      </w:r>
      <w:proofErr w:type="spellStart"/>
      <w:r w:rsidRPr="00DB4B2E">
        <w:rPr>
          <w:rFonts w:ascii="Arial" w:eastAsia="Arial" w:hAnsi="Arial" w:cs="Arial"/>
        </w:rPr>
        <w:t>emphasise</w:t>
      </w:r>
      <w:proofErr w:type="spellEnd"/>
      <w:r w:rsidRPr="00DB4B2E">
        <w:rPr>
          <w:rFonts w:ascii="Arial" w:eastAsia="Arial" w:hAnsi="Arial" w:cs="Arial"/>
        </w:rPr>
        <w:t xml:space="preserve"> the need for alternative approaches to disease management, including the development of vaccines, immunostimulants, and immune-monitoring tools that facilitate early detection of host responses to infection.</w:t>
      </w:r>
    </w:p>
    <w:p w14:paraId="5688FE18" w14:textId="77777777" w:rsidR="000C79FC" w:rsidRPr="00DB4B2E" w:rsidRDefault="000C79FC">
      <w:pPr>
        <w:pBdr>
          <w:top w:val="nil"/>
          <w:left w:val="nil"/>
          <w:bottom w:val="nil"/>
          <w:right w:val="nil"/>
          <w:between w:val="nil"/>
        </w:pBdr>
        <w:jc w:val="both"/>
        <w:rPr>
          <w:rFonts w:ascii="Arial" w:eastAsia="Arial" w:hAnsi="Arial" w:cs="Arial"/>
        </w:rPr>
      </w:pPr>
    </w:p>
    <w:p w14:paraId="6088CF42"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Evaluation of the innate immune response provides valuable information on the health status and disease resistance of cultured fish because innate immunity serves as the first line of </w:t>
      </w:r>
      <w:proofErr w:type="spellStart"/>
      <w:r w:rsidRPr="00DB4B2E">
        <w:rPr>
          <w:rFonts w:ascii="Arial" w:eastAsia="Arial" w:hAnsi="Arial" w:cs="Arial"/>
        </w:rPr>
        <w:t>defence</w:t>
      </w:r>
      <w:proofErr w:type="spellEnd"/>
      <w:r w:rsidRPr="00DB4B2E">
        <w:rPr>
          <w:rFonts w:ascii="Arial" w:eastAsia="Arial" w:hAnsi="Arial" w:cs="Arial"/>
        </w:rPr>
        <w:t xml:space="preserve"> against invading pathogens. Unlike adaptive immunity, innate immune responses are activated immediately after pathogen invasion and involve cellular and humoral </w:t>
      </w:r>
      <w:proofErr w:type="spellStart"/>
      <w:r w:rsidRPr="00DB4B2E">
        <w:rPr>
          <w:rFonts w:ascii="Arial" w:eastAsia="Arial" w:hAnsi="Arial" w:cs="Arial"/>
        </w:rPr>
        <w:t>defence</w:t>
      </w:r>
      <w:proofErr w:type="spellEnd"/>
      <w:r w:rsidRPr="00DB4B2E">
        <w:rPr>
          <w:rFonts w:ascii="Arial" w:eastAsia="Arial" w:hAnsi="Arial" w:cs="Arial"/>
        </w:rPr>
        <w:t xml:space="preserve"> mechanisms that limit pathogen proliferation (Ellis, 1999). Common non-specific immune indicators include respiratory burst activity of phagocytic cells, lysozyme activity, complement activity, myeloperoxidase activity, </w:t>
      </w:r>
      <w:proofErr w:type="spellStart"/>
      <w:r w:rsidRPr="00DB4B2E">
        <w:rPr>
          <w:rFonts w:ascii="Arial" w:eastAsia="Arial" w:hAnsi="Arial" w:cs="Arial"/>
        </w:rPr>
        <w:t>haemagglutination</w:t>
      </w:r>
      <w:proofErr w:type="spellEnd"/>
      <w:r w:rsidRPr="00DB4B2E">
        <w:rPr>
          <w:rFonts w:ascii="Arial" w:eastAsia="Arial" w:hAnsi="Arial" w:cs="Arial"/>
        </w:rPr>
        <w:t xml:space="preserve">, </w:t>
      </w:r>
      <w:proofErr w:type="spellStart"/>
      <w:r w:rsidRPr="00DB4B2E">
        <w:rPr>
          <w:rFonts w:ascii="Arial" w:eastAsia="Arial" w:hAnsi="Arial" w:cs="Arial"/>
        </w:rPr>
        <w:t>haemolysin</w:t>
      </w:r>
      <w:proofErr w:type="spellEnd"/>
      <w:r w:rsidRPr="00DB4B2E">
        <w:rPr>
          <w:rFonts w:ascii="Arial" w:eastAsia="Arial" w:hAnsi="Arial" w:cs="Arial"/>
        </w:rPr>
        <w:t xml:space="preserve"> activity, and bacterial agglutination </w:t>
      </w:r>
      <w:proofErr w:type="spellStart"/>
      <w:r w:rsidRPr="00DB4B2E">
        <w:rPr>
          <w:rFonts w:ascii="Arial" w:eastAsia="Arial" w:hAnsi="Arial" w:cs="Arial"/>
        </w:rPr>
        <w:t>titres</w:t>
      </w:r>
      <w:proofErr w:type="spellEnd"/>
      <w:r w:rsidRPr="00DB4B2E">
        <w:rPr>
          <w:rFonts w:ascii="Arial" w:eastAsia="Arial" w:hAnsi="Arial" w:cs="Arial"/>
        </w:rPr>
        <w:t xml:space="preserve"> (Sahoo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2005). These immunological parameters have been widely employed to evaluate host immune competence, disease progression, and the effectiveness of vaccines and immunostimulatory compounds in fish.</w:t>
      </w:r>
      <w:r w:rsidRPr="00DB4B2E">
        <w:rPr>
          <w:rFonts w:ascii="Arial" w:hAnsi="Arial"/>
        </w:rPr>
        <w:t xml:space="preserve"> Recent studies have </w:t>
      </w:r>
      <w:r w:rsidRPr="00DB4B2E">
        <w:rPr>
          <w:rFonts w:ascii="Arial" w:hAnsi="Arial"/>
        </w:rPr>
        <w:lastRenderedPageBreak/>
        <w:t xml:space="preserve">also used respiratory burst and lysozyme measurements as complementary indicators of infection-related and immunostimulant-associated changes in fish innate immunity (Gutte &amp; Nalle, 2026; Monisha </w:t>
      </w:r>
      <w:r w:rsidRPr="00DB4B2E">
        <w:rPr>
          <w:rFonts w:ascii="Arial" w:hAnsi="Arial"/>
          <w:i/>
        </w:rPr>
        <w:t>et al.</w:t>
      </w:r>
      <w:r w:rsidRPr="00DB4B2E">
        <w:rPr>
          <w:rFonts w:ascii="Arial" w:hAnsi="Arial"/>
        </w:rPr>
        <w:t>, 2025).</w:t>
      </w:r>
    </w:p>
    <w:p w14:paraId="7B84106F" w14:textId="77777777" w:rsidR="000C79FC" w:rsidRPr="00DB4B2E" w:rsidRDefault="000C79FC">
      <w:pPr>
        <w:pBdr>
          <w:top w:val="nil"/>
          <w:left w:val="nil"/>
          <w:bottom w:val="nil"/>
          <w:right w:val="nil"/>
          <w:between w:val="nil"/>
        </w:pBdr>
        <w:jc w:val="both"/>
        <w:rPr>
          <w:rFonts w:ascii="Arial" w:eastAsia="Arial" w:hAnsi="Arial" w:cs="Arial"/>
        </w:rPr>
      </w:pPr>
    </w:p>
    <w:p w14:paraId="14775D06"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Among these biomarkers, the </w:t>
      </w:r>
      <w:proofErr w:type="spellStart"/>
      <w:r w:rsidRPr="00DB4B2E">
        <w:rPr>
          <w:rFonts w:ascii="Arial" w:eastAsia="Arial" w:hAnsi="Arial" w:cs="Arial"/>
        </w:rPr>
        <w:t>Nitroblue</w:t>
      </w:r>
      <w:proofErr w:type="spellEnd"/>
      <w:r w:rsidRPr="00DB4B2E">
        <w:rPr>
          <w:rFonts w:ascii="Arial" w:eastAsia="Arial" w:hAnsi="Arial" w:cs="Arial"/>
        </w:rPr>
        <w:t xml:space="preserve"> Tetrazolium (NBT) assay is one of the most widely used methods for assessing the respiratory burst activity of phagocytic cells. Initially introduced by </w:t>
      </w:r>
      <w:proofErr w:type="spellStart"/>
      <w:r w:rsidRPr="00DB4B2E">
        <w:rPr>
          <w:rFonts w:ascii="Arial" w:eastAsia="Arial" w:hAnsi="Arial" w:cs="Arial"/>
        </w:rPr>
        <w:t>Baehner</w:t>
      </w:r>
      <w:proofErr w:type="spellEnd"/>
      <w:r w:rsidRPr="00DB4B2E">
        <w:rPr>
          <w:rFonts w:ascii="Arial" w:eastAsia="Arial" w:hAnsi="Arial" w:cs="Arial"/>
        </w:rPr>
        <w:t xml:space="preserve"> and Nathan (1968) for diagnosing chronic granulomatous disease in humans, the assay has since become an important technique in immunological and cell biology studies involving both mammals and aquatic organisms (Berridge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2005). The assay quantifies the reduction of the yellow, soluble NBT dye into insoluble blue formazan crystals through activation of NADPH oxidase during the oxidative burst of neutrophils and macrophages. This reaction reflects the generation of reactive oxygen species (ROS), which are essential for intracellular killing of invading pathogens (Muñiz-Junqueira &amp; de Paula-Coelho, 2008). Because the assay is simple, rapid, inexpensive, and suitable for high-throughput spectrophotometric analysis, it has become a standard indicator of phagocytic activity in fish immunology (</w:t>
      </w:r>
      <w:proofErr w:type="spellStart"/>
      <w:r w:rsidRPr="00DB4B2E">
        <w:rPr>
          <w:rFonts w:ascii="Arial" w:eastAsia="Arial" w:hAnsi="Arial" w:cs="Arial"/>
        </w:rPr>
        <w:t>Secombes</w:t>
      </w:r>
      <w:proofErr w:type="spellEnd"/>
      <w:r w:rsidRPr="00DB4B2E">
        <w:rPr>
          <w:rFonts w:ascii="Arial" w:eastAsia="Arial" w:hAnsi="Arial" w:cs="Arial"/>
        </w:rPr>
        <w:t>, 1990).</w:t>
      </w:r>
    </w:p>
    <w:p w14:paraId="42387BD5" w14:textId="77777777" w:rsidR="000C79FC" w:rsidRPr="00DB4B2E" w:rsidRDefault="000C79FC">
      <w:pPr>
        <w:pBdr>
          <w:top w:val="nil"/>
          <w:left w:val="nil"/>
          <w:bottom w:val="nil"/>
          <w:right w:val="nil"/>
          <w:between w:val="nil"/>
        </w:pBdr>
        <w:jc w:val="both"/>
        <w:rPr>
          <w:rFonts w:ascii="Arial" w:eastAsia="Arial" w:hAnsi="Arial" w:cs="Arial"/>
        </w:rPr>
      </w:pPr>
    </w:p>
    <w:p w14:paraId="0BF36D41"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Another important indicator of innate immunity is lysozyme, an antimicrobial enzyme capable of </w:t>
      </w:r>
      <w:proofErr w:type="spellStart"/>
      <w:r w:rsidRPr="00DB4B2E">
        <w:rPr>
          <w:rFonts w:ascii="Arial" w:eastAsia="Arial" w:hAnsi="Arial" w:cs="Arial"/>
        </w:rPr>
        <w:t>hydrolysing</w:t>
      </w:r>
      <w:proofErr w:type="spellEnd"/>
      <w:r w:rsidRPr="00DB4B2E">
        <w:rPr>
          <w:rFonts w:ascii="Arial" w:eastAsia="Arial" w:hAnsi="Arial" w:cs="Arial"/>
        </w:rPr>
        <w:t xml:space="preserve"> the peptidoglycan layer of bacterial cell walls, thereby inhibiting bacterial growth and facilitating pathogen elimination. In fish, lysozyme also interacts with the complement system and enhances phagocytic activity, making it an important component of non-specific immune </w:t>
      </w:r>
      <w:proofErr w:type="spellStart"/>
      <w:r w:rsidRPr="00DB4B2E">
        <w:rPr>
          <w:rFonts w:ascii="Arial" w:eastAsia="Arial" w:hAnsi="Arial" w:cs="Arial"/>
        </w:rPr>
        <w:t>defence</w:t>
      </w:r>
      <w:proofErr w:type="spellEnd"/>
      <w:r w:rsidRPr="00DB4B2E">
        <w:rPr>
          <w:rFonts w:ascii="Arial" w:eastAsia="Arial" w:hAnsi="Arial" w:cs="Arial"/>
        </w:rPr>
        <w:t xml:space="preserve"> (Yano, 1992; Holland &amp; </w:t>
      </w:r>
      <w:proofErr w:type="spellStart"/>
      <w:r w:rsidRPr="00DB4B2E">
        <w:rPr>
          <w:rFonts w:ascii="Arial" w:eastAsia="Arial" w:hAnsi="Arial" w:cs="Arial"/>
        </w:rPr>
        <w:t>Lambris</w:t>
      </w:r>
      <w:proofErr w:type="spellEnd"/>
      <w:r w:rsidRPr="00DB4B2E">
        <w:rPr>
          <w:rFonts w:ascii="Arial" w:eastAsia="Arial" w:hAnsi="Arial" w:cs="Arial"/>
        </w:rPr>
        <w:t>, 2002). Lysozyme activity has been extensively used as a biomarker of immune status because its production changes rapidly in response to pathogen exposure, stress, vaccination, and immunostimulant administration. However, lysozyme responses may vary considerably among fish species and according to the intensity and duration of infection (Anderson &amp; Siwicki, 1995).</w:t>
      </w:r>
      <w:r w:rsidRPr="00DB4B2E">
        <w:rPr>
          <w:rFonts w:ascii="Arial" w:hAnsi="Arial"/>
        </w:rPr>
        <w:t xml:space="preserve"> A recent vaccination study in Nile tilapia likewise included lysozyme among the innate immune indicators used to evaluate responses to </w:t>
      </w:r>
      <w:r w:rsidRPr="00DB4B2E">
        <w:rPr>
          <w:rFonts w:ascii="Arial" w:hAnsi="Arial"/>
          <w:i/>
        </w:rPr>
        <w:t>S. agalactiae</w:t>
      </w:r>
      <w:r w:rsidRPr="00DB4B2E">
        <w:rPr>
          <w:rFonts w:ascii="Arial" w:hAnsi="Arial"/>
        </w:rPr>
        <w:t xml:space="preserve"> </w:t>
      </w:r>
      <w:proofErr w:type="spellStart"/>
      <w:r w:rsidRPr="00DB4B2E">
        <w:rPr>
          <w:rFonts w:ascii="Arial" w:hAnsi="Arial"/>
        </w:rPr>
        <w:t>immunisation</w:t>
      </w:r>
      <w:proofErr w:type="spellEnd"/>
      <w:r w:rsidRPr="00DB4B2E">
        <w:rPr>
          <w:rFonts w:ascii="Arial" w:hAnsi="Arial"/>
        </w:rPr>
        <w:t xml:space="preserve"> and challenge (Guha </w:t>
      </w:r>
      <w:r w:rsidRPr="00DB4B2E">
        <w:rPr>
          <w:rFonts w:ascii="Arial" w:hAnsi="Arial"/>
          <w:i/>
        </w:rPr>
        <w:t>et al.</w:t>
      </w:r>
      <w:r w:rsidRPr="00DB4B2E">
        <w:rPr>
          <w:rFonts w:ascii="Arial" w:hAnsi="Arial"/>
        </w:rPr>
        <w:t>, 2025).</w:t>
      </w:r>
    </w:p>
    <w:p w14:paraId="14B3060C" w14:textId="77777777" w:rsidR="000C79FC" w:rsidRPr="00DB4B2E" w:rsidRDefault="000C79FC">
      <w:pPr>
        <w:pBdr>
          <w:top w:val="nil"/>
          <w:left w:val="nil"/>
          <w:bottom w:val="nil"/>
          <w:right w:val="nil"/>
          <w:between w:val="nil"/>
        </w:pBdr>
        <w:jc w:val="both"/>
        <w:rPr>
          <w:rFonts w:ascii="Arial" w:eastAsia="Arial" w:hAnsi="Arial" w:cs="Arial"/>
        </w:rPr>
      </w:pPr>
    </w:p>
    <w:p w14:paraId="32FBAD03"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Although several studies have described the pathology and epidemiology of </w:t>
      </w:r>
      <w:proofErr w:type="spellStart"/>
      <w:r w:rsidRPr="00DB4B2E">
        <w:rPr>
          <w:rFonts w:ascii="Arial" w:eastAsia="Arial" w:hAnsi="Arial" w:cs="Arial"/>
        </w:rPr>
        <w:t>streptococcosis</w:t>
      </w:r>
      <w:proofErr w:type="spellEnd"/>
      <w:r w:rsidRPr="00DB4B2E">
        <w:rPr>
          <w:rFonts w:ascii="Arial" w:eastAsia="Arial" w:hAnsi="Arial" w:cs="Arial"/>
        </w:rPr>
        <w:t xml:space="preserve"> in tilapia, information regarding the innate immune responses of red tilapia following exposure to different concentrations of </w:t>
      </w:r>
      <w:r w:rsidRPr="00DB4B2E">
        <w:rPr>
          <w:rFonts w:ascii="Arial" w:eastAsia="Arial" w:hAnsi="Arial" w:cs="Arial"/>
          <w:i/>
        </w:rPr>
        <w:t>S. agalactiae</w:t>
      </w:r>
      <w:r w:rsidRPr="00DB4B2E">
        <w:rPr>
          <w:rFonts w:ascii="Arial" w:eastAsia="Arial" w:hAnsi="Arial" w:cs="Arial"/>
        </w:rPr>
        <w:t xml:space="preserve"> remains limited. </w:t>
      </w:r>
      <w:proofErr w:type="spellStart"/>
      <w:r w:rsidRPr="00DB4B2E">
        <w:rPr>
          <w:rFonts w:ascii="Arial" w:eastAsia="Arial" w:hAnsi="Arial" w:cs="Arial"/>
        </w:rPr>
        <w:t>Characterising</w:t>
      </w:r>
      <w:proofErr w:type="spellEnd"/>
      <w:r w:rsidRPr="00DB4B2E">
        <w:rPr>
          <w:rFonts w:ascii="Arial" w:eastAsia="Arial" w:hAnsi="Arial" w:cs="Arial"/>
        </w:rPr>
        <w:t xml:space="preserve"> changes in respiratory burst activity and lysozyme production following experimental infection can provide valuable insights into host-pathogen interactions and contribute to the development of improved disease management strategies for tilapia aquaculture.</w:t>
      </w:r>
    </w:p>
    <w:p w14:paraId="7C291DD5" w14:textId="77777777" w:rsidR="000C79FC" w:rsidRPr="00DB4B2E" w:rsidRDefault="000C79FC">
      <w:pPr>
        <w:pBdr>
          <w:top w:val="nil"/>
          <w:left w:val="nil"/>
          <w:bottom w:val="nil"/>
          <w:right w:val="nil"/>
          <w:between w:val="nil"/>
        </w:pBdr>
        <w:jc w:val="both"/>
        <w:rPr>
          <w:rFonts w:ascii="Arial" w:eastAsia="Arial" w:hAnsi="Arial" w:cs="Arial"/>
        </w:rPr>
      </w:pPr>
    </w:p>
    <w:p w14:paraId="506A7B19"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Therefore, this study evaluated the NBT assay response and lysozyme activity of red tilapia (</w:t>
      </w:r>
      <w:r w:rsidRPr="00DB4B2E">
        <w:rPr>
          <w:rFonts w:ascii="Arial" w:eastAsia="Arial" w:hAnsi="Arial" w:cs="Arial"/>
          <w:i/>
        </w:rPr>
        <w:t>Oreochromis spp.</w:t>
      </w:r>
      <w:r w:rsidRPr="00DB4B2E">
        <w:rPr>
          <w:rFonts w:ascii="Arial" w:eastAsia="Arial" w:hAnsi="Arial" w:cs="Arial"/>
        </w:rPr>
        <w:t xml:space="preserve">) experimentally challenged by intraperitoneal injection with varying concentrations of </w:t>
      </w:r>
      <w:r w:rsidRPr="00DB4B2E">
        <w:rPr>
          <w:rFonts w:ascii="Arial" w:eastAsia="Arial" w:hAnsi="Arial" w:cs="Arial"/>
          <w:i/>
        </w:rPr>
        <w:t>Streptococcus agalactiae</w:t>
      </w:r>
      <w:r w:rsidRPr="00DB4B2E">
        <w:rPr>
          <w:rFonts w:ascii="Arial" w:eastAsia="Arial" w:hAnsi="Arial" w:cs="Arial"/>
        </w:rPr>
        <w:t>. The findings of this study are expected to enhance understanding of innate immune responses during streptococcal infection and provide baseline information for future studies on disease diagnosis, vaccine evaluation, and immunological assessment in tilapia.</w:t>
      </w:r>
    </w:p>
    <w:p w14:paraId="20015EB4" w14:textId="77777777" w:rsidR="000C79FC" w:rsidRPr="00DB4B2E" w:rsidRDefault="000C79FC">
      <w:pPr>
        <w:pBdr>
          <w:top w:val="nil"/>
          <w:left w:val="nil"/>
          <w:bottom w:val="nil"/>
          <w:right w:val="nil"/>
          <w:between w:val="nil"/>
        </w:pBdr>
        <w:jc w:val="both"/>
        <w:rPr>
          <w:rFonts w:ascii="Arial" w:eastAsia="Arial" w:hAnsi="Arial" w:cs="Arial"/>
        </w:rPr>
      </w:pPr>
    </w:p>
    <w:p w14:paraId="6F9AD317" w14:textId="77777777" w:rsidR="000C79FC" w:rsidRPr="00DB4B2E" w:rsidRDefault="00000000">
      <w:pPr>
        <w:pStyle w:val="AbstHead"/>
        <w:spacing w:after="0"/>
        <w:jc w:val="both"/>
        <w:rPr>
          <w:rFonts w:ascii="Arial" w:hAnsi="Arial" w:cs="Arial"/>
        </w:rPr>
      </w:pPr>
      <w:r w:rsidRPr="00DB4B2E">
        <w:rPr>
          <w:rFonts w:ascii="Arial" w:hAnsi="Arial" w:cs="Arial"/>
        </w:rPr>
        <w:t>2. MATERIAL AND METHODS</w:t>
      </w:r>
    </w:p>
    <w:p w14:paraId="21A0FFEF" w14:textId="77777777" w:rsidR="000C79FC" w:rsidRPr="00DB4B2E" w:rsidRDefault="00000000">
      <w:pPr>
        <w:pStyle w:val="Heading3"/>
        <w:pBdr>
          <w:top w:val="nil"/>
          <w:left w:val="nil"/>
          <w:bottom w:val="nil"/>
          <w:right w:val="nil"/>
          <w:between w:val="nil"/>
        </w:pBdr>
        <w:rPr>
          <w:rFonts w:eastAsia="Arial"/>
          <w:sz w:val="20"/>
          <w:szCs w:val="20"/>
        </w:rPr>
      </w:pPr>
      <w:r w:rsidRPr="00DB4B2E">
        <w:rPr>
          <w:rFonts w:eastAsia="Arial"/>
          <w:sz w:val="20"/>
          <w:szCs w:val="20"/>
        </w:rPr>
        <w:t>2.1 Experimental Layout</w:t>
      </w:r>
    </w:p>
    <w:p w14:paraId="388740ED" w14:textId="77777777" w:rsidR="000C79FC" w:rsidRPr="00DB4B2E" w:rsidRDefault="000C79FC"/>
    <w:p w14:paraId="37D29A6A" w14:textId="77777777" w:rsidR="000C79FC" w:rsidRPr="00DB4B2E" w:rsidRDefault="00000000">
      <w:pPr>
        <w:keepNext/>
        <w:keepLines/>
        <w:pBdr>
          <w:top w:val="nil"/>
          <w:left w:val="nil"/>
          <w:bottom w:val="nil"/>
          <w:right w:val="nil"/>
          <w:between w:val="nil"/>
        </w:pBdr>
        <w:rPr>
          <w:rFonts w:ascii="Arial" w:eastAsia="Arial" w:hAnsi="Arial" w:cs="Arial"/>
          <w:bCs/>
        </w:rPr>
      </w:pPr>
      <w:r w:rsidRPr="00DB4B2E">
        <w:rPr>
          <w:rFonts w:ascii="Arial" w:eastAsia="Arial" w:hAnsi="Arial" w:cs="Arial"/>
          <w:bCs/>
        </w:rPr>
        <w:t xml:space="preserve">A completely </w:t>
      </w:r>
      <w:proofErr w:type="spellStart"/>
      <w:r w:rsidRPr="00DB4B2E">
        <w:rPr>
          <w:rFonts w:ascii="Arial" w:eastAsia="Arial" w:hAnsi="Arial" w:cs="Arial"/>
          <w:bCs/>
        </w:rPr>
        <w:t>randomised</w:t>
      </w:r>
      <w:proofErr w:type="spellEnd"/>
      <w:r w:rsidRPr="00DB4B2E">
        <w:rPr>
          <w:rFonts w:ascii="Arial" w:eastAsia="Arial" w:hAnsi="Arial" w:cs="Arial"/>
          <w:bCs/>
        </w:rPr>
        <w:t xml:space="preserve"> design (CRD) consisting of four treatment groups was employed in the study. Preconditioned red tilapia were randomly assigned to the following treatments:</w:t>
      </w:r>
    </w:p>
    <w:p w14:paraId="257AB7F1" w14:textId="77777777" w:rsidR="000C79FC" w:rsidRPr="00DB4B2E" w:rsidRDefault="000C79FC">
      <w:pPr>
        <w:keepNext/>
        <w:keepLines/>
        <w:pBdr>
          <w:top w:val="nil"/>
          <w:left w:val="nil"/>
          <w:bottom w:val="nil"/>
          <w:right w:val="nil"/>
          <w:between w:val="nil"/>
        </w:pBdr>
        <w:rPr>
          <w:rFonts w:ascii="Arial" w:eastAsia="Arial" w:hAnsi="Arial" w:cs="Arial"/>
          <w:bCs/>
        </w:rPr>
      </w:pPr>
    </w:p>
    <w:p w14:paraId="6FEF4D73" w14:textId="77777777" w:rsidR="000C79FC" w:rsidRPr="00DB4B2E" w:rsidRDefault="00000000">
      <w:pPr>
        <w:pBdr>
          <w:top w:val="nil"/>
          <w:left w:val="nil"/>
          <w:bottom w:val="nil"/>
          <w:right w:val="nil"/>
          <w:between w:val="nil"/>
        </w:pBdr>
        <w:jc w:val="center"/>
        <w:rPr>
          <w:b/>
          <w:bCs/>
        </w:rPr>
      </w:pPr>
      <w:r w:rsidRPr="00DB4B2E">
        <w:rPr>
          <w:b/>
          <w:bCs/>
        </w:rPr>
        <w:t xml:space="preserve">Table 1. Experimental design and treatment allocation for red tilapia challenged with </w:t>
      </w:r>
      <w:r w:rsidRPr="00DB4B2E">
        <w:rPr>
          <w:b/>
          <w:bCs/>
          <w:i/>
        </w:rPr>
        <w:t>Streptococcus agalactiae</w:t>
      </w:r>
      <w:r w:rsidRPr="00DB4B2E">
        <w:rPr>
          <w:b/>
          <w:bCs/>
        </w:rPr>
        <w:t>.</w:t>
      </w:r>
    </w:p>
    <w:tbl>
      <w:tblPr>
        <w:tblW w:w="8522" w:type="dxa"/>
        <w:tblInd w:w="-108" w:type="dxa"/>
        <w:tblLook w:val="04A0" w:firstRow="1" w:lastRow="0" w:firstColumn="1" w:lastColumn="0" w:noHBand="0" w:noVBand="1"/>
      </w:tblPr>
      <w:tblGrid>
        <w:gridCol w:w="2251"/>
        <w:gridCol w:w="3430"/>
        <w:gridCol w:w="2841"/>
      </w:tblGrid>
      <w:tr w:rsidR="000C79FC" w:rsidRPr="00DB4B2E" w14:paraId="62DE9750" w14:textId="77777777">
        <w:tc>
          <w:tcPr>
            <w:tcW w:w="2251" w:type="dxa"/>
            <w:tcBorders>
              <w:top w:val="single" w:sz="4" w:space="0" w:color="000000"/>
              <w:left w:val="nil"/>
              <w:bottom w:val="single" w:sz="4" w:space="0" w:color="000000"/>
              <w:right w:val="nil"/>
              <w:tl2br w:val="nil"/>
              <w:tr2bl w:val="nil"/>
            </w:tcBorders>
            <w:shd w:val="solid" w:color="FFFFFF" w:fill="auto"/>
            <w:tcMar>
              <w:top w:w="0" w:type="dxa"/>
              <w:left w:w="108" w:type="dxa"/>
              <w:bottom w:w="0" w:type="dxa"/>
              <w:right w:w="108" w:type="dxa"/>
            </w:tcMar>
          </w:tcPr>
          <w:p w14:paraId="4A7B17C2" w14:textId="77777777" w:rsidR="000C79FC" w:rsidRPr="00DB4B2E" w:rsidRDefault="00000000">
            <w:pPr>
              <w:pStyle w:val="tm19"/>
              <w:widowControl w:val="0"/>
              <w:suppressAutoHyphens/>
              <w:ind w:left="-108"/>
              <w:rPr>
                <w:kern w:val="0"/>
              </w:rPr>
            </w:pPr>
            <w:r w:rsidRPr="00DB4B2E">
              <w:rPr>
                <w:rStyle w:val="tm201"/>
                <w:rFonts w:ascii="Arial" w:hAnsi="Arial" w:cs="Arial"/>
                <w:b/>
                <w:bCs/>
              </w:rPr>
              <w:lastRenderedPageBreak/>
              <w:t>Treatment</w:t>
            </w:r>
          </w:p>
        </w:tc>
        <w:tc>
          <w:tcPr>
            <w:tcW w:w="3430" w:type="dxa"/>
            <w:tcBorders>
              <w:top w:val="single" w:sz="4" w:space="0" w:color="000000"/>
              <w:left w:val="nil"/>
              <w:bottom w:val="single" w:sz="4" w:space="0" w:color="000000"/>
              <w:right w:val="nil"/>
              <w:tl2br w:val="nil"/>
              <w:tr2bl w:val="nil"/>
            </w:tcBorders>
            <w:shd w:val="solid" w:color="FFFFFF" w:fill="auto"/>
            <w:tcMar>
              <w:top w:w="0" w:type="dxa"/>
              <w:left w:w="108" w:type="dxa"/>
              <w:bottom w:w="0" w:type="dxa"/>
              <w:right w:w="108" w:type="dxa"/>
            </w:tcMar>
          </w:tcPr>
          <w:p w14:paraId="6F4B455D" w14:textId="77777777" w:rsidR="000C79FC" w:rsidRPr="00DB4B2E" w:rsidRDefault="00000000">
            <w:pPr>
              <w:pStyle w:val="tm19"/>
              <w:rPr>
                <w:kern w:val="0"/>
              </w:rPr>
            </w:pPr>
            <w:r w:rsidRPr="00DB4B2E">
              <w:rPr>
                <w:rFonts w:ascii="Arial" w:hAnsi="Arial" w:cs="Arial"/>
                <w:b/>
                <w:bCs/>
              </w:rPr>
              <w:t>Injection</w:t>
            </w:r>
          </w:p>
        </w:tc>
        <w:tc>
          <w:tcPr>
            <w:tcW w:w="2841" w:type="dxa"/>
            <w:tcBorders>
              <w:top w:val="single" w:sz="4" w:space="0" w:color="000000"/>
              <w:left w:val="nil"/>
              <w:bottom w:val="single" w:sz="4" w:space="0" w:color="000000"/>
              <w:right w:val="nil"/>
              <w:tl2br w:val="nil"/>
              <w:tr2bl w:val="nil"/>
            </w:tcBorders>
            <w:shd w:val="solid" w:color="FFFFFF" w:fill="auto"/>
            <w:tcMar>
              <w:top w:w="0" w:type="dxa"/>
              <w:left w:w="108" w:type="dxa"/>
              <w:bottom w:w="0" w:type="dxa"/>
              <w:right w:w="108" w:type="dxa"/>
            </w:tcMar>
          </w:tcPr>
          <w:p w14:paraId="35B10376" w14:textId="77777777" w:rsidR="000C79FC" w:rsidRPr="00DB4B2E" w:rsidRDefault="00000000">
            <w:pPr>
              <w:pStyle w:val="tm19"/>
              <w:rPr>
                <w:kern w:val="0"/>
              </w:rPr>
            </w:pPr>
            <w:r w:rsidRPr="00DB4B2E">
              <w:rPr>
                <w:rFonts w:ascii="Arial" w:hAnsi="Arial" w:cs="Arial"/>
                <w:b/>
                <w:bCs/>
              </w:rPr>
              <w:t>Description</w:t>
            </w:r>
          </w:p>
        </w:tc>
      </w:tr>
      <w:tr w:rsidR="000C79FC" w:rsidRPr="00DB4B2E" w14:paraId="4D184B24" w14:textId="77777777">
        <w:tc>
          <w:tcPr>
            <w:tcW w:w="2251" w:type="dxa"/>
            <w:tcBorders>
              <w:top w:val="single" w:sz="4" w:space="0" w:color="000000"/>
              <w:left w:val="nil"/>
              <w:bottom w:val="nil"/>
              <w:right w:val="nil"/>
              <w:tl2br w:val="nil"/>
              <w:tr2bl w:val="nil"/>
            </w:tcBorders>
            <w:shd w:val="solid" w:color="FFFFFF" w:fill="auto"/>
            <w:tcMar>
              <w:top w:w="0" w:type="dxa"/>
              <w:left w:w="108" w:type="dxa"/>
              <w:bottom w:w="0" w:type="dxa"/>
              <w:right w:w="108" w:type="dxa"/>
            </w:tcMar>
          </w:tcPr>
          <w:p w14:paraId="105FC2EA" w14:textId="77777777" w:rsidR="000C79FC" w:rsidRPr="00DB4B2E" w:rsidRDefault="00000000">
            <w:pPr>
              <w:pStyle w:val="tm6"/>
              <w:rPr>
                <w:kern w:val="0"/>
              </w:rPr>
            </w:pPr>
            <w:r w:rsidRPr="00DB4B2E">
              <w:rPr>
                <w:rStyle w:val="tm71"/>
                <w:rFonts w:ascii="Arial" w:hAnsi="Arial" w:cs="Arial"/>
              </w:rPr>
              <w:t>T1 (Control)</w:t>
            </w:r>
          </w:p>
        </w:tc>
        <w:tc>
          <w:tcPr>
            <w:tcW w:w="3430" w:type="dxa"/>
            <w:tcBorders>
              <w:top w:val="single" w:sz="4" w:space="0" w:color="000000"/>
              <w:left w:val="nil"/>
              <w:bottom w:val="nil"/>
              <w:right w:val="nil"/>
              <w:tl2br w:val="nil"/>
              <w:tr2bl w:val="nil"/>
            </w:tcBorders>
            <w:shd w:val="solid" w:color="FFFFFF" w:fill="auto"/>
            <w:tcMar>
              <w:top w:w="0" w:type="dxa"/>
              <w:left w:w="108" w:type="dxa"/>
              <w:bottom w:w="0" w:type="dxa"/>
              <w:right w:w="108" w:type="dxa"/>
            </w:tcMar>
          </w:tcPr>
          <w:p w14:paraId="44C53F3C" w14:textId="77777777" w:rsidR="000C79FC" w:rsidRPr="00DB4B2E" w:rsidRDefault="00000000">
            <w:pPr>
              <w:pStyle w:val="tm6"/>
              <w:rPr>
                <w:kern w:val="0"/>
              </w:rPr>
            </w:pPr>
            <w:r w:rsidRPr="00DB4B2E">
              <w:rPr>
                <w:rFonts w:ascii="Arial" w:hAnsi="Arial" w:cs="Arial"/>
              </w:rPr>
              <w:t>0.5 mL of 0.85% NaCl solution</w:t>
            </w:r>
          </w:p>
        </w:tc>
        <w:tc>
          <w:tcPr>
            <w:tcW w:w="2841" w:type="dxa"/>
            <w:tcBorders>
              <w:top w:val="single" w:sz="4" w:space="0" w:color="000000"/>
              <w:left w:val="nil"/>
              <w:bottom w:val="nil"/>
              <w:right w:val="nil"/>
              <w:tl2br w:val="nil"/>
              <w:tr2bl w:val="nil"/>
            </w:tcBorders>
            <w:shd w:val="solid" w:color="FFFFFF" w:fill="auto"/>
            <w:tcMar>
              <w:top w:w="0" w:type="dxa"/>
              <w:left w:w="108" w:type="dxa"/>
              <w:bottom w:w="0" w:type="dxa"/>
              <w:right w:w="108" w:type="dxa"/>
            </w:tcMar>
          </w:tcPr>
          <w:p w14:paraId="5E17AB6D" w14:textId="77777777" w:rsidR="000C79FC" w:rsidRPr="00DB4B2E" w:rsidRDefault="00000000">
            <w:pPr>
              <w:pStyle w:val="tm6"/>
              <w:rPr>
                <w:kern w:val="0"/>
              </w:rPr>
            </w:pPr>
            <w:r w:rsidRPr="00DB4B2E">
              <w:rPr>
                <w:rFonts w:ascii="Arial" w:hAnsi="Arial" w:cs="Arial"/>
              </w:rPr>
              <w:t>Negative control</w:t>
            </w:r>
          </w:p>
        </w:tc>
      </w:tr>
      <w:tr w:rsidR="000C79FC" w:rsidRPr="00DB4B2E" w14:paraId="3B1663E6" w14:textId="77777777">
        <w:tc>
          <w:tcPr>
            <w:tcW w:w="2251" w:type="dxa"/>
            <w:tcBorders>
              <w:top w:val="nil"/>
              <w:left w:val="nil"/>
              <w:bottom w:val="nil"/>
              <w:right w:val="nil"/>
              <w:tl2br w:val="nil"/>
              <w:tr2bl w:val="nil"/>
            </w:tcBorders>
            <w:shd w:val="solid" w:color="FFFFFF" w:fill="auto"/>
            <w:tcMar>
              <w:top w:w="0" w:type="dxa"/>
              <w:left w:w="108" w:type="dxa"/>
              <w:bottom w:w="0" w:type="dxa"/>
              <w:right w:w="108" w:type="dxa"/>
            </w:tcMar>
          </w:tcPr>
          <w:p w14:paraId="3807760D" w14:textId="77777777" w:rsidR="000C79FC" w:rsidRPr="00DB4B2E" w:rsidRDefault="00000000">
            <w:pPr>
              <w:pStyle w:val="tm6"/>
              <w:rPr>
                <w:kern w:val="0"/>
              </w:rPr>
            </w:pPr>
            <w:r w:rsidRPr="00DB4B2E">
              <w:rPr>
                <w:rFonts w:ascii="Arial" w:hAnsi="Arial" w:cs="Arial"/>
              </w:rPr>
              <w:t>T2</w:t>
            </w:r>
          </w:p>
        </w:tc>
        <w:tc>
          <w:tcPr>
            <w:tcW w:w="3430" w:type="dxa"/>
            <w:tcBorders>
              <w:top w:val="nil"/>
              <w:left w:val="nil"/>
              <w:bottom w:val="nil"/>
              <w:right w:val="nil"/>
              <w:tl2br w:val="nil"/>
              <w:tr2bl w:val="nil"/>
            </w:tcBorders>
            <w:shd w:val="solid" w:color="FFFFFF" w:fill="auto"/>
            <w:tcMar>
              <w:top w:w="0" w:type="dxa"/>
              <w:left w:w="108" w:type="dxa"/>
              <w:bottom w:w="0" w:type="dxa"/>
              <w:right w:w="108" w:type="dxa"/>
            </w:tcMar>
          </w:tcPr>
          <w:p w14:paraId="11489FA0" w14:textId="77777777" w:rsidR="000C79FC" w:rsidRPr="00DB4B2E" w:rsidRDefault="00000000">
            <w:pPr>
              <w:pStyle w:val="tm6"/>
              <w:rPr>
                <w:kern w:val="0"/>
              </w:rPr>
            </w:pPr>
            <w:r w:rsidRPr="00DB4B2E">
              <w:rPr>
                <w:rFonts w:ascii="Arial" w:hAnsi="Arial" w:cs="Arial"/>
              </w:rPr>
              <w:t xml:space="preserve">0.5 mL of </w:t>
            </w:r>
            <w:r w:rsidRPr="00DB4B2E">
              <w:rPr>
                <w:rFonts w:ascii="Arial" w:eastAsia="Arial" w:hAnsi="Arial" w:cs="Arial"/>
                <w:i/>
                <w:iCs/>
                <w:color w:val="auto"/>
                <w:kern w:val="0"/>
                <w:lang w:eastAsia="en-US"/>
              </w:rPr>
              <w:t>Streptococcus agalactiae</w:t>
            </w:r>
            <w:r w:rsidRPr="00DB4B2E">
              <w:rPr>
                <w:rFonts w:ascii="Arial" w:eastAsia="Arial" w:hAnsi="Arial" w:cs="Arial"/>
                <w:i/>
                <w:iCs/>
              </w:rPr>
              <w:t xml:space="preserve"> </w:t>
            </w:r>
            <w:r w:rsidRPr="00DB4B2E">
              <w:rPr>
                <w:rFonts w:ascii="Arial" w:hAnsi="Arial" w:cs="Arial"/>
              </w:rPr>
              <w:t>suspension (1 × 10</w:t>
            </w:r>
            <w:r w:rsidRPr="00DB4B2E">
              <w:rPr>
                <w:rFonts w:ascii="Arial" w:hAnsi="Arial" w:cs="Arial"/>
                <w:vertAlign w:val="superscript"/>
              </w:rPr>
              <w:t>6</w:t>
            </w:r>
            <w:r w:rsidRPr="00DB4B2E">
              <w:rPr>
                <w:rFonts w:ascii="Arial" w:hAnsi="Arial" w:cs="Arial"/>
              </w:rPr>
              <w:t xml:space="preserve"> CFU/mL)</w:t>
            </w:r>
          </w:p>
        </w:tc>
        <w:tc>
          <w:tcPr>
            <w:tcW w:w="2841" w:type="dxa"/>
            <w:tcBorders>
              <w:top w:val="nil"/>
              <w:left w:val="nil"/>
              <w:bottom w:val="nil"/>
              <w:right w:val="nil"/>
              <w:tl2br w:val="nil"/>
              <w:tr2bl w:val="nil"/>
            </w:tcBorders>
            <w:shd w:val="solid" w:color="FFFFFF" w:fill="auto"/>
            <w:tcMar>
              <w:top w:w="0" w:type="dxa"/>
              <w:left w:w="108" w:type="dxa"/>
              <w:bottom w:w="0" w:type="dxa"/>
              <w:right w:w="108" w:type="dxa"/>
            </w:tcMar>
          </w:tcPr>
          <w:p w14:paraId="2A207ADE" w14:textId="77777777" w:rsidR="000C79FC" w:rsidRPr="00DB4B2E" w:rsidRDefault="00000000">
            <w:pPr>
              <w:pStyle w:val="tm6"/>
              <w:rPr>
                <w:kern w:val="0"/>
              </w:rPr>
            </w:pPr>
            <w:r w:rsidRPr="00DB4B2E">
              <w:rPr>
                <w:rFonts w:ascii="Arial" w:hAnsi="Arial" w:cs="Arial"/>
              </w:rPr>
              <w:t>Low bacterial challenge</w:t>
            </w:r>
          </w:p>
        </w:tc>
      </w:tr>
      <w:tr w:rsidR="000C79FC" w:rsidRPr="00DB4B2E" w14:paraId="117B19C3" w14:textId="77777777">
        <w:tc>
          <w:tcPr>
            <w:tcW w:w="2251" w:type="dxa"/>
            <w:tcBorders>
              <w:top w:val="nil"/>
              <w:left w:val="nil"/>
              <w:bottom w:val="nil"/>
              <w:right w:val="nil"/>
              <w:tl2br w:val="nil"/>
              <w:tr2bl w:val="nil"/>
            </w:tcBorders>
            <w:shd w:val="solid" w:color="FFFFFF" w:fill="auto"/>
            <w:tcMar>
              <w:top w:w="0" w:type="dxa"/>
              <w:left w:w="108" w:type="dxa"/>
              <w:bottom w:w="0" w:type="dxa"/>
              <w:right w:w="108" w:type="dxa"/>
            </w:tcMar>
          </w:tcPr>
          <w:p w14:paraId="650352CF" w14:textId="77777777" w:rsidR="000C79FC" w:rsidRPr="00DB4B2E" w:rsidRDefault="00000000">
            <w:pPr>
              <w:pStyle w:val="tm6"/>
              <w:rPr>
                <w:kern w:val="0"/>
              </w:rPr>
            </w:pPr>
            <w:r w:rsidRPr="00DB4B2E">
              <w:rPr>
                <w:rFonts w:ascii="Arial" w:hAnsi="Arial" w:cs="Arial"/>
              </w:rPr>
              <w:t>T3</w:t>
            </w:r>
          </w:p>
        </w:tc>
        <w:tc>
          <w:tcPr>
            <w:tcW w:w="3430" w:type="dxa"/>
            <w:tcBorders>
              <w:top w:val="nil"/>
              <w:left w:val="nil"/>
              <w:bottom w:val="nil"/>
              <w:right w:val="nil"/>
              <w:tl2br w:val="nil"/>
              <w:tr2bl w:val="nil"/>
            </w:tcBorders>
            <w:shd w:val="solid" w:color="FFFFFF" w:fill="auto"/>
            <w:tcMar>
              <w:top w:w="0" w:type="dxa"/>
              <w:left w:w="108" w:type="dxa"/>
              <w:bottom w:w="0" w:type="dxa"/>
              <w:right w:w="108" w:type="dxa"/>
            </w:tcMar>
          </w:tcPr>
          <w:p w14:paraId="4B8CAA63" w14:textId="77777777" w:rsidR="000C79FC" w:rsidRPr="00DB4B2E" w:rsidRDefault="00000000">
            <w:pPr>
              <w:pStyle w:val="tm6"/>
              <w:rPr>
                <w:kern w:val="0"/>
              </w:rPr>
            </w:pPr>
            <w:r w:rsidRPr="00DB4B2E">
              <w:rPr>
                <w:rFonts w:ascii="Arial" w:hAnsi="Arial" w:cs="Arial"/>
              </w:rPr>
              <w:t xml:space="preserve">0.5 mL of </w:t>
            </w:r>
            <w:r w:rsidRPr="00DB4B2E">
              <w:rPr>
                <w:rFonts w:ascii="Arial" w:eastAsia="Arial" w:hAnsi="Arial" w:cs="Arial"/>
                <w:i/>
                <w:iCs/>
                <w:color w:val="auto"/>
                <w:kern w:val="0"/>
                <w:lang w:eastAsia="en-US"/>
              </w:rPr>
              <w:t>Streptococcus agalactiae</w:t>
            </w:r>
            <w:r w:rsidRPr="00DB4B2E">
              <w:rPr>
                <w:rFonts w:ascii="Arial" w:hAnsi="Arial" w:cs="Arial"/>
              </w:rPr>
              <w:t xml:space="preserve"> suspension (1 × 10</w:t>
            </w:r>
            <w:r w:rsidRPr="00DB4B2E">
              <w:rPr>
                <w:rFonts w:ascii="Arial" w:hAnsi="Arial" w:cs="Arial"/>
                <w:vertAlign w:val="superscript"/>
              </w:rPr>
              <w:t>7</w:t>
            </w:r>
            <w:r w:rsidRPr="00DB4B2E">
              <w:rPr>
                <w:rFonts w:ascii="Arial" w:hAnsi="Arial" w:cs="Arial"/>
              </w:rPr>
              <w:t xml:space="preserve"> CFU/mL)</w:t>
            </w:r>
          </w:p>
        </w:tc>
        <w:tc>
          <w:tcPr>
            <w:tcW w:w="2841" w:type="dxa"/>
            <w:tcBorders>
              <w:top w:val="nil"/>
              <w:left w:val="nil"/>
              <w:bottom w:val="nil"/>
              <w:right w:val="nil"/>
              <w:tl2br w:val="nil"/>
              <w:tr2bl w:val="nil"/>
            </w:tcBorders>
            <w:shd w:val="solid" w:color="FFFFFF" w:fill="auto"/>
            <w:tcMar>
              <w:top w:w="0" w:type="dxa"/>
              <w:left w:w="108" w:type="dxa"/>
              <w:bottom w:w="0" w:type="dxa"/>
              <w:right w:w="108" w:type="dxa"/>
            </w:tcMar>
          </w:tcPr>
          <w:p w14:paraId="6E7173F9" w14:textId="77777777" w:rsidR="000C79FC" w:rsidRPr="00DB4B2E" w:rsidRDefault="00000000">
            <w:pPr>
              <w:pStyle w:val="tm6"/>
              <w:rPr>
                <w:kern w:val="0"/>
              </w:rPr>
            </w:pPr>
            <w:r w:rsidRPr="00DB4B2E">
              <w:rPr>
                <w:rFonts w:ascii="Arial" w:hAnsi="Arial" w:cs="Arial"/>
              </w:rPr>
              <w:t>Moderate bacterial challenge</w:t>
            </w:r>
          </w:p>
        </w:tc>
      </w:tr>
      <w:tr w:rsidR="000C79FC" w:rsidRPr="00DB4B2E" w14:paraId="4ADB7D48" w14:textId="77777777">
        <w:tc>
          <w:tcPr>
            <w:tcW w:w="2251" w:type="dxa"/>
            <w:tcBorders>
              <w:top w:val="nil"/>
              <w:left w:val="nil"/>
              <w:bottom w:val="single" w:sz="4" w:space="0" w:color="000000"/>
              <w:right w:val="nil"/>
              <w:tl2br w:val="nil"/>
              <w:tr2bl w:val="nil"/>
            </w:tcBorders>
            <w:shd w:val="solid" w:color="FFFFFF" w:fill="auto"/>
            <w:tcMar>
              <w:top w:w="0" w:type="dxa"/>
              <w:left w:w="108" w:type="dxa"/>
              <w:bottom w:w="0" w:type="dxa"/>
              <w:right w:w="108" w:type="dxa"/>
            </w:tcMar>
          </w:tcPr>
          <w:p w14:paraId="3A97FC85" w14:textId="77777777" w:rsidR="000C79FC" w:rsidRPr="00DB4B2E" w:rsidRDefault="00000000">
            <w:pPr>
              <w:pStyle w:val="tm6"/>
              <w:rPr>
                <w:kern w:val="0"/>
              </w:rPr>
            </w:pPr>
            <w:r w:rsidRPr="00DB4B2E">
              <w:rPr>
                <w:rFonts w:ascii="Arial" w:hAnsi="Arial" w:cs="Arial"/>
              </w:rPr>
              <w:t>T4</w:t>
            </w:r>
          </w:p>
        </w:tc>
        <w:tc>
          <w:tcPr>
            <w:tcW w:w="3430" w:type="dxa"/>
            <w:tcBorders>
              <w:top w:val="nil"/>
              <w:left w:val="nil"/>
              <w:bottom w:val="single" w:sz="4" w:space="0" w:color="000000"/>
              <w:right w:val="nil"/>
              <w:tl2br w:val="nil"/>
              <w:tr2bl w:val="nil"/>
            </w:tcBorders>
            <w:shd w:val="solid" w:color="FFFFFF" w:fill="auto"/>
            <w:tcMar>
              <w:top w:w="0" w:type="dxa"/>
              <w:left w:w="108" w:type="dxa"/>
              <w:bottom w:w="0" w:type="dxa"/>
              <w:right w:w="108" w:type="dxa"/>
            </w:tcMar>
          </w:tcPr>
          <w:p w14:paraId="73BF5A5F" w14:textId="77777777" w:rsidR="000C79FC" w:rsidRPr="00DB4B2E" w:rsidRDefault="00000000">
            <w:pPr>
              <w:pStyle w:val="tm6"/>
              <w:rPr>
                <w:kern w:val="0"/>
              </w:rPr>
            </w:pPr>
            <w:r w:rsidRPr="00DB4B2E">
              <w:rPr>
                <w:rFonts w:ascii="Arial" w:hAnsi="Arial" w:cs="Arial"/>
              </w:rPr>
              <w:t xml:space="preserve">0.5 mL of </w:t>
            </w:r>
            <w:r w:rsidRPr="00DB4B2E">
              <w:rPr>
                <w:rFonts w:ascii="Arial" w:eastAsia="Arial" w:hAnsi="Arial" w:cs="Arial"/>
                <w:i/>
                <w:iCs/>
                <w:color w:val="auto"/>
                <w:kern w:val="0"/>
                <w:lang w:eastAsia="en-US"/>
              </w:rPr>
              <w:t>Streptococcus agalactiae</w:t>
            </w:r>
            <w:r w:rsidRPr="00DB4B2E">
              <w:rPr>
                <w:rFonts w:ascii="Arial" w:eastAsia="Arial" w:hAnsi="Arial" w:cs="Arial"/>
                <w:i/>
                <w:iCs/>
              </w:rPr>
              <w:t xml:space="preserve"> </w:t>
            </w:r>
            <w:r w:rsidRPr="00DB4B2E">
              <w:rPr>
                <w:rFonts w:ascii="Arial" w:hAnsi="Arial" w:cs="Arial"/>
              </w:rPr>
              <w:t>suspension (1 × 10</w:t>
            </w:r>
            <w:r w:rsidRPr="00DB4B2E">
              <w:rPr>
                <w:rFonts w:ascii="Arial" w:hAnsi="Arial" w:cs="Arial"/>
                <w:vertAlign w:val="superscript"/>
              </w:rPr>
              <w:t xml:space="preserve">8 </w:t>
            </w:r>
            <w:r w:rsidRPr="00DB4B2E">
              <w:rPr>
                <w:rFonts w:ascii="Arial" w:hAnsi="Arial" w:cs="Arial"/>
              </w:rPr>
              <w:t>CFU/mL)</w:t>
            </w:r>
          </w:p>
        </w:tc>
        <w:tc>
          <w:tcPr>
            <w:tcW w:w="2841" w:type="dxa"/>
            <w:tcBorders>
              <w:top w:val="nil"/>
              <w:left w:val="nil"/>
              <w:bottom w:val="single" w:sz="4" w:space="0" w:color="000000"/>
              <w:right w:val="nil"/>
              <w:tl2br w:val="nil"/>
              <w:tr2bl w:val="nil"/>
            </w:tcBorders>
            <w:shd w:val="solid" w:color="FFFFFF" w:fill="auto"/>
            <w:tcMar>
              <w:top w:w="0" w:type="dxa"/>
              <w:left w:w="108" w:type="dxa"/>
              <w:bottom w:w="0" w:type="dxa"/>
              <w:right w:w="108" w:type="dxa"/>
            </w:tcMar>
          </w:tcPr>
          <w:p w14:paraId="0EFAE979" w14:textId="77777777" w:rsidR="000C79FC" w:rsidRPr="00DB4B2E" w:rsidRDefault="00000000">
            <w:pPr>
              <w:pStyle w:val="tm6"/>
              <w:rPr>
                <w:kern w:val="0"/>
              </w:rPr>
            </w:pPr>
            <w:r w:rsidRPr="00DB4B2E">
              <w:rPr>
                <w:rFonts w:ascii="Arial" w:hAnsi="Arial" w:cs="Arial"/>
              </w:rPr>
              <w:t>High bacterial challenge</w:t>
            </w:r>
          </w:p>
        </w:tc>
      </w:tr>
    </w:tbl>
    <w:p w14:paraId="61620114" w14:textId="77777777" w:rsidR="000C79FC" w:rsidRPr="00DB4B2E" w:rsidRDefault="00000000">
      <w:pPr>
        <w:keepNext/>
        <w:keepLines/>
        <w:pBdr>
          <w:top w:val="nil"/>
          <w:left w:val="nil"/>
          <w:bottom w:val="nil"/>
          <w:right w:val="nil"/>
          <w:between w:val="nil"/>
        </w:pBdr>
        <w:jc w:val="both"/>
      </w:pPr>
      <w:r w:rsidRPr="00DB4B2E">
        <w:rPr>
          <w:rFonts w:ascii="Arial" w:eastAsia="Arial" w:hAnsi="Arial" w:cs="Arial"/>
          <w:bCs/>
        </w:rPr>
        <w:t xml:space="preserve">Each treatment was replicated three times and consisted of 20 red </w:t>
      </w:r>
      <w:proofErr w:type="gramStart"/>
      <w:r w:rsidRPr="00DB4B2E">
        <w:rPr>
          <w:rFonts w:ascii="Arial" w:eastAsia="Arial" w:hAnsi="Arial" w:cs="Arial"/>
          <w:bCs/>
        </w:rPr>
        <w:t>tilapia</w:t>
      </w:r>
      <w:proofErr w:type="gramEnd"/>
      <w:r w:rsidRPr="00DB4B2E">
        <w:rPr>
          <w:rFonts w:ascii="Arial" w:eastAsia="Arial" w:hAnsi="Arial" w:cs="Arial"/>
          <w:bCs/>
        </w:rPr>
        <w:t xml:space="preserve"> maintained in a glass aquarium (60 × 30 × 38 cm). The bacterial suspensions and control solution were administered via intraperitoneal injection. Four days after the bacterial challenge, the water level in each aquarium was reduced by approximately 50% and maintained until the completion of the 10-day observation period. </w:t>
      </w:r>
      <w:r w:rsidRPr="00DB4B2E">
        <w:t>Water quality parameters were not monitored throughout the experiment. During the experimental period, the fish were provided with a maintenance ration equivalent to approximately 1% of their body weight per day.</w:t>
      </w:r>
    </w:p>
    <w:p w14:paraId="07D058E0" w14:textId="77777777" w:rsidR="000C79FC" w:rsidRPr="00DB4B2E" w:rsidRDefault="000C79FC">
      <w:pPr>
        <w:keepNext/>
        <w:keepLines/>
        <w:pBdr>
          <w:top w:val="nil"/>
          <w:left w:val="nil"/>
          <w:bottom w:val="nil"/>
          <w:right w:val="nil"/>
          <w:between w:val="nil"/>
        </w:pBdr>
        <w:jc w:val="both"/>
        <w:rPr>
          <w:rFonts w:ascii="Arial" w:eastAsia="Arial" w:hAnsi="Arial" w:cs="Arial"/>
          <w:bCs/>
        </w:rPr>
      </w:pPr>
    </w:p>
    <w:p w14:paraId="5EEE3F79" w14:textId="77777777" w:rsidR="000C79FC" w:rsidRPr="00DB4B2E" w:rsidRDefault="00000000">
      <w:pPr>
        <w:pStyle w:val="NoSpacing"/>
        <w:jc w:val="both"/>
        <w:rPr>
          <w:rFonts w:ascii="Arial" w:eastAsia="Arial" w:hAnsi="Arial" w:cs="Arial"/>
          <w:b/>
          <w:bCs/>
        </w:rPr>
      </w:pPr>
      <w:r w:rsidRPr="00DB4B2E">
        <w:rPr>
          <w:rFonts w:ascii="Arial" w:eastAsia="Arial" w:hAnsi="Arial" w:cs="Arial"/>
          <w:b/>
          <w:bCs/>
        </w:rPr>
        <w:t xml:space="preserve">2.2 Preparation of </w:t>
      </w:r>
      <w:r w:rsidRPr="00DB4B2E">
        <w:rPr>
          <w:rFonts w:ascii="Arial" w:eastAsia="Arial" w:hAnsi="Arial" w:cs="Arial"/>
          <w:b/>
          <w:bCs/>
          <w:i/>
          <w:iCs/>
        </w:rPr>
        <w:t>Streptococcus agalactiae</w:t>
      </w:r>
    </w:p>
    <w:p w14:paraId="7505E456" w14:textId="77777777" w:rsidR="000C79FC" w:rsidRPr="00DB4B2E" w:rsidRDefault="000C79FC">
      <w:pPr>
        <w:pStyle w:val="NoSpacing"/>
        <w:ind w:firstLine="720"/>
        <w:jc w:val="both"/>
        <w:rPr>
          <w:rFonts w:ascii="Arial" w:eastAsia="Arial" w:hAnsi="Arial" w:cs="Arial"/>
        </w:rPr>
      </w:pPr>
    </w:p>
    <w:p w14:paraId="7E15C035" w14:textId="77777777" w:rsidR="000C79FC" w:rsidRPr="00DB4B2E" w:rsidRDefault="00000000">
      <w:pPr>
        <w:pStyle w:val="NoSpacing"/>
        <w:jc w:val="both"/>
        <w:rPr>
          <w:rFonts w:ascii="Arial" w:eastAsia="Arial" w:hAnsi="Arial" w:cs="Arial"/>
        </w:rPr>
      </w:pPr>
      <w:r w:rsidRPr="00DB4B2E">
        <w:rPr>
          <w:rFonts w:ascii="Arial" w:eastAsia="Arial" w:hAnsi="Arial" w:cs="Arial"/>
        </w:rPr>
        <w:t xml:space="preserve">A pure culture of </w:t>
      </w:r>
      <w:r w:rsidRPr="00DB4B2E">
        <w:rPr>
          <w:rFonts w:ascii="Arial" w:eastAsia="Arial" w:hAnsi="Arial" w:cs="Arial"/>
          <w:i/>
          <w:iCs/>
        </w:rPr>
        <w:t xml:space="preserve">S. agalactiae, </w:t>
      </w:r>
      <w:r w:rsidRPr="00DB4B2E">
        <w:rPr>
          <w:rFonts w:ascii="Arial" w:eastAsia="Arial" w:hAnsi="Arial" w:cs="Arial"/>
        </w:rPr>
        <w:t>previously isolated from fish,</w:t>
      </w:r>
      <w:r w:rsidRPr="00DB4B2E">
        <w:rPr>
          <w:rFonts w:ascii="Arial" w:eastAsia="Arial" w:hAnsi="Arial" w:cs="Arial"/>
          <w:i/>
          <w:iCs/>
        </w:rPr>
        <w:t xml:space="preserve"> </w:t>
      </w:r>
      <w:r w:rsidRPr="00DB4B2E">
        <w:rPr>
          <w:rFonts w:ascii="Arial" w:eastAsia="Arial" w:hAnsi="Arial" w:cs="Arial"/>
        </w:rPr>
        <w:t>was inoculated into Trypticase Soy Broth (TSB) and placed in a shaker for 12 hours to obtain log-phase growth. The inoculum was streaked onto a Trypticase Soy Agar (TSA) plate and incubated for 18 to 24 hours. To confirm the identity of the bacterium, it was subjected to Gram staining following standard procedures. The bacterial suspension in TSB was adjusted to concentrations of 10</w:t>
      </w:r>
      <w:r w:rsidRPr="00DB4B2E">
        <w:rPr>
          <w:rFonts w:ascii="Arial" w:eastAsia="Arial" w:hAnsi="Arial" w:cs="Arial"/>
          <w:vertAlign w:val="superscript"/>
        </w:rPr>
        <w:t>6</w:t>
      </w:r>
      <w:r w:rsidRPr="00DB4B2E">
        <w:rPr>
          <w:rFonts w:ascii="Arial" w:eastAsia="Arial" w:hAnsi="Arial" w:cs="Arial"/>
        </w:rPr>
        <w:t>, 10</w:t>
      </w:r>
      <w:r w:rsidRPr="00DB4B2E">
        <w:rPr>
          <w:rFonts w:ascii="Arial" w:eastAsia="Arial" w:hAnsi="Arial" w:cs="Arial"/>
          <w:vertAlign w:val="superscript"/>
        </w:rPr>
        <w:t>7</w:t>
      </w:r>
      <w:r w:rsidRPr="00DB4B2E">
        <w:rPr>
          <w:rFonts w:ascii="Arial" w:eastAsia="Arial" w:hAnsi="Arial" w:cs="Arial"/>
        </w:rPr>
        <w:t>, and 10</w:t>
      </w:r>
      <w:r w:rsidRPr="00DB4B2E">
        <w:rPr>
          <w:rFonts w:ascii="Arial" w:eastAsia="Arial" w:hAnsi="Arial" w:cs="Arial"/>
          <w:vertAlign w:val="superscript"/>
        </w:rPr>
        <w:t>8</w:t>
      </w:r>
      <w:r w:rsidRPr="00DB4B2E">
        <w:rPr>
          <w:rFonts w:ascii="Arial" w:eastAsia="Arial" w:hAnsi="Arial" w:cs="Arial"/>
        </w:rPr>
        <w:t xml:space="preserve"> CFU/mL using spectrophotometry (Reyes</w:t>
      </w:r>
      <w:r w:rsidRPr="00DB4B2E">
        <w:rPr>
          <w:rFonts w:ascii="Arial" w:eastAsia="Arial" w:hAnsi="Arial" w:cs="Arial"/>
          <w:i/>
          <w:iCs/>
        </w:rPr>
        <w:t xml:space="preserve"> et al.,</w:t>
      </w:r>
      <w:r w:rsidRPr="00DB4B2E">
        <w:rPr>
          <w:rFonts w:ascii="Arial" w:eastAsia="Arial" w:hAnsi="Arial" w:cs="Arial"/>
        </w:rPr>
        <w:t xml:space="preserve"> 2021, 2022).</w:t>
      </w:r>
    </w:p>
    <w:p w14:paraId="237BB2F5" w14:textId="77777777" w:rsidR="000C79FC" w:rsidRPr="00DB4B2E" w:rsidRDefault="000C79FC">
      <w:pPr>
        <w:pStyle w:val="NoSpacing"/>
        <w:jc w:val="both"/>
        <w:rPr>
          <w:rFonts w:ascii="Arial" w:eastAsia="Arial" w:hAnsi="Arial" w:cs="Arial"/>
          <w:b/>
          <w:bCs/>
        </w:rPr>
      </w:pPr>
    </w:p>
    <w:p w14:paraId="5B8D24AA" w14:textId="77777777" w:rsidR="000C79FC" w:rsidRPr="00DB4B2E" w:rsidRDefault="00000000">
      <w:pPr>
        <w:pStyle w:val="NoSpacing"/>
        <w:jc w:val="both"/>
        <w:rPr>
          <w:rFonts w:ascii="Arial" w:eastAsia="Arial" w:hAnsi="Arial" w:cs="Arial"/>
          <w:b/>
          <w:bCs/>
        </w:rPr>
      </w:pPr>
      <w:r w:rsidRPr="00DB4B2E">
        <w:rPr>
          <w:rFonts w:ascii="Arial" w:eastAsia="Arial" w:hAnsi="Arial" w:cs="Arial"/>
          <w:b/>
          <w:bCs/>
        </w:rPr>
        <w:t xml:space="preserve">2.3 Experimental Injection of </w:t>
      </w:r>
      <w:r w:rsidRPr="00DB4B2E">
        <w:rPr>
          <w:rFonts w:ascii="Arial" w:eastAsia="Arial" w:hAnsi="Arial" w:cs="Arial"/>
          <w:b/>
          <w:bCs/>
          <w:i/>
          <w:iCs/>
        </w:rPr>
        <w:t xml:space="preserve">Streptococcus agalactiae </w:t>
      </w:r>
      <w:r w:rsidRPr="00DB4B2E">
        <w:rPr>
          <w:rFonts w:ascii="Arial" w:eastAsia="Arial" w:hAnsi="Arial" w:cs="Arial"/>
          <w:b/>
          <w:bCs/>
        </w:rPr>
        <w:t>into Red Tilapia</w:t>
      </w:r>
    </w:p>
    <w:p w14:paraId="50C4686C" w14:textId="77777777" w:rsidR="000C79FC" w:rsidRPr="00DB4B2E" w:rsidRDefault="000C79FC">
      <w:pPr>
        <w:pStyle w:val="NoSpacing"/>
        <w:jc w:val="both"/>
        <w:rPr>
          <w:rFonts w:ascii="Arial" w:eastAsia="Arial" w:hAnsi="Arial" w:cs="Arial"/>
          <w:b/>
          <w:bCs/>
        </w:rPr>
      </w:pPr>
    </w:p>
    <w:p w14:paraId="19E6C8D5" w14:textId="77777777" w:rsidR="000C79FC" w:rsidRPr="00DB4B2E" w:rsidRDefault="00000000">
      <w:pPr>
        <w:pStyle w:val="NoSpacing"/>
        <w:jc w:val="both"/>
        <w:rPr>
          <w:rFonts w:ascii="Arial" w:eastAsia="Arial" w:hAnsi="Arial" w:cs="Arial"/>
        </w:rPr>
      </w:pPr>
      <w:r w:rsidRPr="00DB4B2E">
        <w:t xml:space="preserve">The </w:t>
      </w:r>
      <w:r w:rsidRPr="00DB4B2E">
        <w:rPr>
          <w:i/>
        </w:rPr>
        <w:t>S. agalactiae</w:t>
      </w:r>
      <w:r w:rsidRPr="00DB4B2E">
        <w:t xml:space="preserve"> isolate used in this study had a median lethal dose (LD50) of 5.4 × 10</w:t>
      </w:r>
      <w:r w:rsidRPr="00DB4B2E">
        <w:rPr>
          <w:vertAlign w:val="superscript"/>
        </w:rPr>
        <w:t>6</w:t>
      </w:r>
      <w:r w:rsidRPr="00DB4B2E">
        <w:t xml:space="preserve"> CFU/mL for red tilapia, as previously determined by the author. </w:t>
      </w:r>
      <w:r w:rsidRPr="00DB4B2E">
        <w:rPr>
          <w:rFonts w:ascii="Arial" w:eastAsia="Arial" w:hAnsi="Arial" w:cs="Arial"/>
        </w:rPr>
        <w:t xml:space="preserve">Red tilapia </w:t>
      </w:r>
      <w:proofErr w:type="gramStart"/>
      <w:r w:rsidRPr="00DB4B2E">
        <w:rPr>
          <w:rFonts w:ascii="Arial" w:eastAsia="Arial" w:hAnsi="Arial" w:cs="Arial"/>
        </w:rPr>
        <w:t>were</w:t>
      </w:r>
      <w:proofErr w:type="gramEnd"/>
      <w:r w:rsidRPr="00DB4B2E">
        <w:rPr>
          <w:rFonts w:ascii="Arial" w:eastAsia="Arial" w:hAnsi="Arial" w:cs="Arial"/>
        </w:rPr>
        <w:t xml:space="preserve"> intraperitoneally injected with 0.5 mL of 0.85% NaCl solution (T1) or 0.5 mL of </w:t>
      </w:r>
      <w:r w:rsidRPr="00DB4B2E">
        <w:rPr>
          <w:rFonts w:ascii="Arial" w:eastAsia="Arial" w:hAnsi="Arial" w:cs="Arial"/>
          <w:i/>
          <w:iCs/>
        </w:rPr>
        <w:t>S. agalactiae</w:t>
      </w:r>
      <w:r w:rsidRPr="00DB4B2E">
        <w:rPr>
          <w:rFonts w:ascii="Arial" w:eastAsia="Arial" w:hAnsi="Arial" w:cs="Arial"/>
        </w:rPr>
        <w:t xml:space="preserve"> suspension at 10</w:t>
      </w:r>
      <w:r w:rsidRPr="00DB4B2E">
        <w:rPr>
          <w:rFonts w:ascii="Arial" w:eastAsia="Arial" w:hAnsi="Arial" w:cs="Arial"/>
          <w:vertAlign w:val="superscript"/>
        </w:rPr>
        <w:t>6</w:t>
      </w:r>
      <w:r w:rsidRPr="00DB4B2E">
        <w:rPr>
          <w:rFonts w:ascii="Arial" w:eastAsia="Arial" w:hAnsi="Arial" w:cs="Arial"/>
        </w:rPr>
        <w:t xml:space="preserve"> (T2), 10</w:t>
      </w:r>
      <w:r w:rsidRPr="00DB4B2E">
        <w:rPr>
          <w:rFonts w:ascii="Arial" w:eastAsia="Arial" w:hAnsi="Arial" w:cs="Arial"/>
          <w:vertAlign w:val="superscript"/>
        </w:rPr>
        <w:t>7</w:t>
      </w:r>
      <w:r w:rsidRPr="00DB4B2E">
        <w:rPr>
          <w:rFonts w:ascii="Arial" w:eastAsia="Arial" w:hAnsi="Arial" w:cs="Arial"/>
        </w:rPr>
        <w:t xml:space="preserve"> (T3), and 10</w:t>
      </w:r>
      <w:r w:rsidRPr="00DB4B2E">
        <w:rPr>
          <w:rFonts w:ascii="Arial" w:eastAsia="Arial" w:hAnsi="Arial" w:cs="Arial"/>
          <w:vertAlign w:val="superscript"/>
        </w:rPr>
        <w:t>8</w:t>
      </w:r>
      <w:r w:rsidRPr="00DB4B2E">
        <w:rPr>
          <w:rFonts w:ascii="Arial" w:eastAsia="Arial" w:hAnsi="Arial" w:cs="Arial"/>
        </w:rPr>
        <w:t xml:space="preserve"> (T4) CFU/</w:t>
      </w:r>
      <w:proofErr w:type="spellStart"/>
      <w:r w:rsidRPr="00DB4B2E">
        <w:rPr>
          <w:rFonts w:ascii="Arial" w:eastAsia="Arial" w:hAnsi="Arial" w:cs="Arial"/>
        </w:rPr>
        <w:t>mL.</w:t>
      </w:r>
      <w:proofErr w:type="spellEnd"/>
    </w:p>
    <w:p w14:paraId="45B365CD" w14:textId="77777777" w:rsidR="000C79FC" w:rsidRPr="00DB4B2E" w:rsidRDefault="000C79FC">
      <w:pPr>
        <w:pStyle w:val="NoSpacing"/>
        <w:jc w:val="both"/>
        <w:rPr>
          <w:rFonts w:ascii="Arial" w:eastAsia="Arial" w:hAnsi="Arial" w:cs="Arial"/>
        </w:rPr>
      </w:pPr>
    </w:p>
    <w:p w14:paraId="0E553BD2" w14:textId="77777777" w:rsidR="000C79FC" w:rsidRPr="00DB4B2E" w:rsidRDefault="00000000">
      <w:pPr>
        <w:pBdr>
          <w:top w:val="nil"/>
          <w:left w:val="nil"/>
          <w:bottom w:val="nil"/>
          <w:right w:val="nil"/>
          <w:between w:val="nil"/>
        </w:pBdr>
        <w:rPr>
          <w:b/>
          <w:bCs/>
        </w:rPr>
      </w:pPr>
      <w:r w:rsidRPr="00DB4B2E">
        <w:rPr>
          <w:b/>
          <w:bCs/>
        </w:rPr>
        <w:t>2.4 Observation of Clinical Signs Following Infection</w:t>
      </w:r>
    </w:p>
    <w:p w14:paraId="76E4B2AA" w14:textId="77777777" w:rsidR="000C79FC" w:rsidRPr="00DB4B2E" w:rsidRDefault="000C79FC">
      <w:pPr>
        <w:pBdr>
          <w:top w:val="nil"/>
          <w:left w:val="nil"/>
          <w:bottom w:val="nil"/>
          <w:right w:val="nil"/>
          <w:between w:val="nil"/>
        </w:pBdr>
      </w:pPr>
    </w:p>
    <w:p w14:paraId="3EA7199F" w14:textId="77777777" w:rsidR="000C79FC" w:rsidRPr="00DB4B2E" w:rsidRDefault="00000000">
      <w:pPr>
        <w:pBdr>
          <w:top w:val="nil"/>
          <w:left w:val="nil"/>
          <w:bottom w:val="nil"/>
          <w:right w:val="nil"/>
          <w:between w:val="nil"/>
        </w:pBdr>
        <w:jc w:val="both"/>
      </w:pPr>
      <w:r w:rsidRPr="00DB4B2E">
        <w:t xml:space="preserve">The fish were monitored daily for 10 days following bacterial challenge to assess the progression of infection. Clinical signs associated with </w:t>
      </w:r>
      <w:r w:rsidRPr="00DB4B2E">
        <w:rPr>
          <w:i/>
        </w:rPr>
        <w:t>S. agalactiae</w:t>
      </w:r>
      <w:r w:rsidRPr="00DB4B2E">
        <w:t xml:space="preserve"> infection, including lethargy, reduced feed intake, erratic or spiral swimming, loss of equilibrium, darkened body </w:t>
      </w:r>
      <w:proofErr w:type="spellStart"/>
      <w:r w:rsidRPr="00DB4B2E">
        <w:t>colouration</w:t>
      </w:r>
      <w:proofErr w:type="spellEnd"/>
      <w:r w:rsidRPr="00DB4B2E">
        <w:t xml:space="preserve">, exophthalmia (pop-eye), corneal opacity, skin </w:t>
      </w:r>
      <w:proofErr w:type="spellStart"/>
      <w:r w:rsidRPr="00DB4B2E">
        <w:t>haemorrhages</w:t>
      </w:r>
      <w:proofErr w:type="spellEnd"/>
      <w:r w:rsidRPr="00DB4B2E">
        <w:t>, fin erosion, abdominal distension, and/or ulcerative lesions, were carefully observed and recorded.</w:t>
      </w:r>
    </w:p>
    <w:p w14:paraId="2B8EB7F6" w14:textId="77777777" w:rsidR="000C79FC" w:rsidRPr="00DB4B2E" w:rsidRDefault="000C79FC">
      <w:pPr>
        <w:pBdr>
          <w:top w:val="nil"/>
          <w:left w:val="nil"/>
          <w:bottom w:val="nil"/>
          <w:right w:val="nil"/>
          <w:between w:val="nil"/>
        </w:pBdr>
        <w:jc w:val="both"/>
      </w:pPr>
    </w:p>
    <w:p w14:paraId="1D3431FC" w14:textId="77777777" w:rsidR="000C79FC" w:rsidRPr="00DB4B2E" w:rsidRDefault="00000000">
      <w:pPr>
        <w:pStyle w:val="NoSpacing"/>
        <w:jc w:val="both"/>
        <w:rPr>
          <w:rFonts w:ascii="Arial" w:eastAsia="Arial" w:hAnsi="Arial" w:cs="Arial"/>
          <w:b/>
          <w:bCs/>
        </w:rPr>
      </w:pPr>
      <w:r w:rsidRPr="00DB4B2E">
        <w:rPr>
          <w:rFonts w:ascii="Arial" w:eastAsia="Arial" w:hAnsi="Arial" w:cs="Arial"/>
          <w:b/>
          <w:bCs/>
        </w:rPr>
        <w:t xml:space="preserve">2.5 </w:t>
      </w:r>
      <w:proofErr w:type="spellStart"/>
      <w:r w:rsidRPr="00DB4B2E">
        <w:rPr>
          <w:rFonts w:ascii="Arial" w:eastAsia="Arial" w:hAnsi="Arial" w:cs="Arial"/>
          <w:b/>
          <w:bCs/>
        </w:rPr>
        <w:t>Nitroblue</w:t>
      </w:r>
      <w:proofErr w:type="spellEnd"/>
      <w:r w:rsidRPr="00DB4B2E">
        <w:rPr>
          <w:rFonts w:ascii="Arial" w:eastAsia="Arial" w:hAnsi="Arial" w:cs="Arial"/>
          <w:b/>
          <w:bCs/>
        </w:rPr>
        <w:t xml:space="preserve"> Tetrazolium (NBT) Assay</w:t>
      </w:r>
    </w:p>
    <w:p w14:paraId="766E4D50" w14:textId="77777777" w:rsidR="000C79FC" w:rsidRPr="00DB4B2E" w:rsidRDefault="000C79FC">
      <w:pPr>
        <w:pStyle w:val="NoSpacing"/>
        <w:ind w:firstLine="720"/>
        <w:jc w:val="both"/>
        <w:rPr>
          <w:rFonts w:ascii="Arial" w:eastAsia="Arial" w:hAnsi="Arial" w:cs="Arial"/>
        </w:rPr>
      </w:pPr>
    </w:p>
    <w:p w14:paraId="0098DBD2" w14:textId="77777777" w:rsidR="000C79FC" w:rsidRPr="00DB4B2E" w:rsidRDefault="00000000">
      <w:pPr>
        <w:pStyle w:val="NoSpacing"/>
        <w:jc w:val="both"/>
        <w:rPr>
          <w:rFonts w:ascii="Arial" w:eastAsia="Arial" w:hAnsi="Arial" w:cs="Arial"/>
          <w:b/>
          <w:bCs/>
        </w:rPr>
      </w:pPr>
      <w:r w:rsidRPr="00DB4B2E">
        <w:rPr>
          <w:rFonts w:ascii="Arial" w:eastAsia="Arial" w:hAnsi="Arial" w:cs="Arial"/>
        </w:rPr>
        <w:t>Blood was collected from representative fish in each replicate after 10 days prior to experimental injection of the bacterium. Fish leukocytes (up to 6 × 10</w:t>
      </w:r>
      <w:r w:rsidRPr="00DB4B2E">
        <w:rPr>
          <w:rFonts w:ascii="Arial" w:eastAsia="Arial" w:hAnsi="Arial" w:cs="Arial"/>
          <w:vertAlign w:val="superscript"/>
        </w:rPr>
        <w:t>6</w:t>
      </w:r>
      <w:r w:rsidRPr="00DB4B2E">
        <w:rPr>
          <w:rFonts w:ascii="Arial" w:eastAsia="Arial" w:hAnsi="Arial" w:cs="Arial"/>
        </w:rPr>
        <w:t xml:space="preserve"> cells/mL) were prepared and placed in a 96-well plate (175 µL/well); each leukocyte sample was </w:t>
      </w:r>
      <w:proofErr w:type="spellStart"/>
      <w:r w:rsidRPr="00DB4B2E">
        <w:rPr>
          <w:rFonts w:ascii="Arial" w:eastAsia="Arial" w:hAnsi="Arial" w:cs="Arial"/>
        </w:rPr>
        <w:t>analysed</w:t>
      </w:r>
      <w:proofErr w:type="spellEnd"/>
      <w:r w:rsidRPr="00DB4B2E">
        <w:rPr>
          <w:rFonts w:ascii="Arial" w:eastAsia="Arial" w:hAnsi="Arial" w:cs="Arial"/>
        </w:rPr>
        <w:t xml:space="preserve"> in triplicate. NBT (25 µL/well) was added, and the plate was incubated at 25 °C for 2 hours. The supernatant was carefully removed before 100% methanol (125 µL/well) was added. After 5 minutes, each well was washed twice with 70% methanol (125 µL/well), after which all solution was carefully removed. The </w:t>
      </w:r>
      <w:proofErr w:type="spellStart"/>
      <w:r w:rsidRPr="00DB4B2E">
        <w:rPr>
          <w:rFonts w:ascii="Arial" w:eastAsia="Arial" w:hAnsi="Arial" w:cs="Arial"/>
        </w:rPr>
        <w:t>microtitre</w:t>
      </w:r>
      <w:proofErr w:type="spellEnd"/>
      <w:r w:rsidRPr="00DB4B2E">
        <w:rPr>
          <w:rFonts w:ascii="Arial" w:eastAsia="Arial" w:hAnsi="Arial" w:cs="Arial"/>
        </w:rPr>
        <w:t xml:space="preserve"> plate was allowed to dry at room temperature before 2 N KOH (125 µL/well) and DMSO (150 µL/well) were added. The supernatant was removed from each well. The absorbance of each sample was quantified at 655 nm.</w:t>
      </w:r>
    </w:p>
    <w:p w14:paraId="0335AE2E" w14:textId="77777777" w:rsidR="000C79FC" w:rsidRPr="00DB4B2E" w:rsidRDefault="000C79FC">
      <w:pPr>
        <w:pStyle w:val="NoSpacing"/>
        <w:jc w:val="both"/>
        <w:rPr>
          <w:rFonts w:ascii="Arial" w:eastAsia="Arial" w:hAnsi="Arial" w:cs="Arial"/>
          <w:b/>
          <w:bCs/>
        </w:rPr>
      </w:pPr>
    </w:p>
    <w:p w14:paraId="3D67D89A" w14:textId="77777777" w:rsidR="000C79FC" w:rsidRPr="00DB4B2E" w:rsidRDefault="00000000">
      <w:pPr>
        <w:pStyle w:val="NoSpacing"/>
        <w:jc w:val="both"/>
        <w:rPr>
          <w:rFonts w:ascii="Arial" w:eastAsia="Arial" w:hAnsi="Arial" w:cs="Arial"/>
          <w:b/>
          <w:bCs/>
        </w:rPr>
      </w:pPr>
      <w:r w:rsidRPr="00DB4B2E">
        <w:rPr>
          <w:rFonts w:ascii="Arial" w:eastAsia="Arial" w:hAnsi="Arial" w:cs="Arial"/>
          <w:b/>
          <w:bCs/>
        </w:rPr>
        <w:t>2.6 Lysozyme Activity</w:t>
      </w:r>
    </w:p>
    <w:p w14:paraId="53ED72A2" w14:textId="77777777" w:rsidR="000C79FC" w:rsidRPr="00DB4B2E" w:rsidRDefault="000C79FC">
      <w:pPr>
        <w:pStyle w:val="NoSpacing"/>
        <w:jc w:val="both"/>
        <w:rPr>
          <w:rFonts w:ascii="Arial" w:eastAsia="Arial" w:hAnsi="Arial" w:cs="Arial"/>
        </w:rPr>
      </w:pPr>
    </w:p>
    <w:p w14:paraId="5753848C" w14:textId="77777777" w:rsidR="000C79FC" w:rsidRPr="00DB4B2E" w:rsidRDefault="00000000">
      <w:pPr>
        <w:pStyle w:val="NoSpacing"/>
        <w:jc w:val="both"/>
        <w:rPr>
          <w:rFonts w:ascii="Arial" w:eastAsia="Arial" w:hAnsi="Arial" w:cs="Arial"/>
        </w:rPr>
      </w:pPr>
      <w:r w:rsidRPr="00DB4B2E">
        <w:rPr>
          <w:rFonts w:ascii="Arial" w:eastAsia="Arial" w:hAnsi="Arial" w:cs="Arial"/>
        </w:rPr>
        <w:t xml:space="preserve">A fish blood sample (0.5 mL) from representative fish in each replicate was placed in a microtube and allowed to clot at room temperature for approximately 4 hours. The blood sample was centrifuged at approximately 10,000 rpm for 5 minutes. The clear serum was aspirated from the top and stored at −20 °C. For the analysis of lysozyme activity, serum (25 µL) was added in duplicate to a 96-well </w:t>
      </w:r>
      <w:proofErr w:type="spellStart"/>
      <w:r w:rsidRPr="00DB4B2E">
        <w:rPr>
          <w:rFonts w:ascii="Arial" w:eastAsia="Arial" w:hAnsi="Arial" w:cs="Arial"/>
        </w:rPr>
        <w:t>microtitre</w:t>
      </w:r>
      <w:proofErr w:type="spellEnd"/>
      <w:r w:rsidRPr="00DB4B2E">
        <w:rPr>
          <w:rFonts w:ascii="Arial" w:eastAsia="Arial" w:hAnsi="Arial" w:cs="Arial"/>
        </w:rPr>
        <w:t xml:space="preserve"> plate, after which a bacterial suspension of </w:t>
      </w:r>
      <w:r w:rsidRPr="00DB4B2E">
        <w:rPr>
          <w:rFonts w:ascii="Arial" w:eastAsia="Arial" w:hAnsi="Arial" w:cs="Arial"/>
          <w:i/>
          <w:iCs/>
        </w:rPr>
        <w:t xml:space="preserve">Micrococcus </w:t>
      </w:r>
      <w:proofErr w:type="spellStart"/>
      <w:r w:rsidRPr="00DB4B2E">
        <w:rPr>
          <w:rFonts w:ascii="Arial" w:eastAsia="Arial" w:hAnsi="Arial" w:cs="Arial"/>
          <w:i/>
          <w:iCs/>
        </w:rPr>
        <w:t>lysodeikticus</w:t>
      </w:r>
      <w:proofErr w:type="spellEnd"/>
      <w:r w:rsidRPr="00DB4B2E">
        <w:rPr>
          <w:rFonts w:ascii="Arial" w:eastAsia="Arial" w:hAnsi="Arial" w:cs="Arial"/>
        </w:rPr>
        <w:t xml:space="preserve"> (100 µL) at a concentration of 3 mg/mL was added. The suspension was mixed thoroughly. Lysozyme activity (units per minute) was measured as the reduction in bacterial-cell turbidity per minute at a wavelength of 450 nm using a microplate reader. One unit of lysozyme activity was defined as a reduction of 0.001 in the turbidity of the suspension within 1 minute.</w:t>
      </w:r>
    </w:p>
    <w:p w14:paraId="3A10C494" w14:textId="77777777" w:rsidR="000C79FC" w:rsidRPr="00DB4B2E" w:rsidRDefault="000C79FC">
      <w:pPr>
        <w:pStyle w:val="NoSpacing"/>
        <w:jc w:val="both"/>
        <w:rPr>
          <w:rFonts w:ascii="Arial" w:eastAsia="Arial" w:hAnsi="Arial" w:cs="Arial"/>
        </w:rPr>
      </w:pPr>
    </w:p>
    <w:p w14:paraId="305233D0" w14:textId="77777777" w:rsidR="000C79FC" w:rsidRPr="00DB4B2E" w:rsidRDefault="00000000">
      <w:pPr>
        <w:pStyle w:val="NoSpacing"/>
        <w:jc w:val="both"/>
        <w:rPr>
          <w:rFonts w:ascii="Arial" w:eastAsia="Arial" w:hAnsi="Arial" w:cs="Arial"/>
          <w:b/>
          <w:bCs/>
        </w:rPr>
      </w:pPr>
      <w:r w:rsidRPr="00DB4B2E">
        <w:rPr>
          <w:rFonts w:ascii="Arial" w:eastAsia="Arial" w:hAnsi="Arial" w:cs="Arial"/>
          <w:b/>
          <w:bCs/>
        </w:rPr>
        <w:t>2.7 Statistical Analysis</w:t>
      </w:r>
    </w:p>
    <w:p w14:paraId="5C9A886E" w14:textId="77777777" w:rsidR="000C79FC" w:rsidRPr="00DB4B2E" w:rsidRDefault="000C79FC">
      <w:pPr>
        <w:pStyle w:val="NoSpacing"/>
        <w:jc w:val="both"/>
        <w:rPr>
          <w:rFonts w:ascii="Arial" w:eastAsia="Arial" w:hAnsi="Arial" w:cs="Arial"/>
          <w:b/>
          <w:bCs/>
        </w:rPr>
      </w:pPr>
    </w:p>
    <w:p w14:paraId="2F70C3F2" w14:textId="77777777" w:rsidR="000C79FC" w:rsidRPr="00DB4B2E" w:rsidRDefault="00000000">
      <w:pPr>
        <w:pBdr>
          <w:top w:val="nil"/>
          <w:left w:val="nil"/>
          <w:bottom w:val="nil"/>
          <w:right w:val="nil"/>
          <w:between w:val="nil"/>
        </w:pBdr>
        <w:jc w:val="both"/>
      </w:pPr>
      <w:r w:rsidRPr="00DB4B2E">
        <w:t xml:space="preserve">Data obtained from the NBT assay and lysozyme activity were expressed as the mean ± standard deviation (SD). Prior to statistical analysis, the data were examined for normality using the Shapiro–Wilk test and for homogeneity of variances using Levene's test. Differences among treatment means were </w:t>
      </w:r>
      <w:proofErr w:type="spellStart"/>
      <w:r w:rsidRPr="00DB4B2E">
        <w:t>analysed</w:t>
      </w:r>
      <w:proofErr w:type="spellEnd"/>
      <w:r w:rsidRPr="00DB4B2E">
        <w:t xml:space="preserve"> using one-way analysis of variance (ANOVA). When significant differences were detected (</w:t>
      </w:r>
      <w:r w:rsidRPr="00DB4B2E">
        <w:rPr>
          <w:i/>
          <w:iCs/>
        </w:rPr>
        <w:t>P</w:t>
      </w:r>
      <w:r w:rsidRPr="00DB4B2E">
        <w:t xml:space="preserve"> &lt; 0.05), Tukey's honestly significant difference (HSD) test was performed for pairwise comparisons of treatment means. Statistical analyses were conducted using IBM SPSS Statistics version 29.0 (IBM Corp., Armonk, NY, USA), and differences were considered statistically significant at </w:t>
      </w:r>
      <w:r w:rsidRPr="00DB4B2E">
        <w:rPr>
          <w:i/>
          <w:iCs/>
        </w:rPr>
        <w:t>P</w:t>
      </w:r>
      <w:r w:rsidRPr="00DB4B2E">
        <w:t xml:space="preserve"> &lt; 0.05.</w:t>
      </w:r>
    </w:p>
    <w:p w14:paraId="1419E88B" w14:textId="77777777" w:rsidR="000C79FC" w:rsidRPr="00DB4B2E" w:rsidRDefault="000C79FC">
      <w:pPr>
        <w:pStyle w:val="Body"/>
        <w:spacing w:after="0"/>
        <w:rPr>
          <w:rFonts w:ascii="Arial" w:hAnsi="Arial" w:cs="Arial"/>
        </w:rPr>
      </w:pPr>
    </w:p>
    <w:p w14:paraId="40FAD6DE" w14:textId="77777777" w:rsidR="000C79FC" w:rsidRPr="00DB4B2E" w:rsidRDefault="00000000">
      <w:pPr>
        <w:pStyle w:val="Head1"/>
        <w:spacing w:after="0"/>
        <w:jc w:val="both"/>
        <w:rPr>
          <w:rFonts w:ascii="Arial" w:hAnsi="Arial" w:cs="Arial"/>
        </w:rPr>
      </w:pPr>
      <w:r w:rsidRPr="00DB4B2E">
        <w:rPr>
          <w:rFonts w:ascii="Arial" w:hAnsi="Arial" w:cs="Arial"/>
        </w:rPr>
        <w:t>3. RESULTS AND DISCUSSION</w:t>
      </w:r>
    </w:p>
    <w:p w14:paraId="7211C93A" w14:textId="77777777" w:rsidR="000C79FC" w:rsidRPr="00DB4B2E" w:rsidRDefault="000C79FC">
      <w:pPr>
        <w:pStyle w:val="Head1"/>
        <w:spacing w:after="0"/>
        <w:jc w:val="both"/>
        <w:rPr>
          <w:rFonts w:ascii="Arial" w:hAnsi="Arial" w:cs="Arial"/>
        </w:rPr>
      </w:pPr>
    </w:p>
    <w:p w14:paraId="2F61BA52" w14:textId="77777777" w:rsidR="000C79FC" w:rsidRPr="00DB4B2E" w:rsidRDefault="00000000">
      <w:pPr>
        <w:pStyle w:val="NoSpacing"/>
        <w:jc w:val="both"/>
        <w:rPr>
          <w:rFonts w:ascii="Arial" w:eastAsia="Arial" w:hAnsi="Arial" w:cs="Arial"/>
          <w:b/>
          <w:bCs/>
        </w:rPr>
      </w:pPr>
      <w:r w:rsidRPr="00DB4B2E">
        <w:rPr>
          <w:rFonts w:ascii="Arial" w:eastAsia="Arial" w:hAnsi="Arial" w:cs="Arial"/>
          <w:b/>
          <w:bCs/>
        </w:rPr>
        <w:t>3.1 Clinical Signs of Infection</w:t>
      </w:r>
    </w:p>
    <w:p w14:paraId="5335A631" w14:textId="77777777" w:rsidR="000C79FC" w:rsidRPr="00DB4B2E" w:rsidRDefault="000C79FC">
      <w:pPr>
        <w:pStyle w:val="NoSpacing"/>
        <w:jc w:val="both"/>
        <w:rPr>
          <w:rFonts w:ascii="Arial" w:eastAsia="Arial" w:hAnsi="Arial" w:cs="Arial"/>
          <w:b/>
          <w:bCs/>
        </w:rPr>
      </w:pPr>
    </w:p>
    <w:p w14:paraId="4C358DCD" w14:textId="77777777" w:rsidR="000C79FC" w:rsidRPr="00DB4B2E" w:rsidRDefault="00000000">
      <w:pPr>
        <w:pStyle w:val="NoSpacing"/>
        <w:jc w:val="both"/>
        <w:rPr>
          <w:rFonts w:ascii="Arial" w:eastAsia="Arial" w:hAnsi="Arial" w:cs="Arial"/>
          <w:lang w:eastAsia="en-PH"/>
        </w:rPr>
      </w:pPr>
      <w:r w:rsidRPr="00DB4B2E">
        <w:rPr>
          <w:rFonts w:ascii="Arial" w:eastAsia="Arial" w:hAnsi="Arial" w:cs="Arial"/>
          <w:shd w:val="clear" w:color="auto" w:fill="FFFFFF"/>
        </w:rPr>
        <w:t>In the present study, no evident clinical signs of infection were observed in red tilapia groups that received injections of 10</w:t>
      </w:r>
      <w:r w:rsidRPr="00DB4B2E">
        <w:rPr>
          <w:rFonts w:ascii="Arial" w:eastAsia="Arial" w:hAnsi="Arial" w:cs="Arial"/>
          <w:shd w:val="clear" w:color="auto" w:fill="FFFFFF"/>
          <w:vertAlign w:val="superscript"/>
        </w:rPr>
        <w:t>6</w:t>
      </w:r>
      <w:r w:rsidRPr="00DB4B2E">
        <w:rPr>
          <w:rFonts w:ascii="Arial" w:eastAsia="Arial" w:hAnsi="Arial" w:cs="Arial"/>
          <w:shd w:val="clear" w:color="auto" w:fill="FFFFFF"/>
        </w:rPr>
        <w:t>, 10</w:t>
      </w:r>
      <w:r w:rsidRPr="00DB4B2E">
        <w:rPr>
          <w:rFonts w:ascii="Arial" w:eastAsia="Arial" w:hAnsi="Arial" w:cs="Arial"/>
          <w:shd w:val="clear" w:color="auto" w:fill="FFFFFF"/>
          <w:vertAlign w:val="superscript"/>
        </w:rPr>
        <w:t>7</w:t>
      </w:r>
      <w:r w:rsidRPr="00DB4B2E">
        <w:rPr>
          <w:rFonts w:ascii="Arial" w:eastAsia="Arial" w:hAnsi="Arial" w:cs="Arial"/>
          <w:shd w:val="clear" w:color="auto" w:fill="FFFFFF"/>
        </w:rPr>
        <w:t>, and 10</w:t>
      </w:r>
      <w:r w:rsidRPr="00DB4B2E">
        <w:rPr>
          <w:rFonts w:ascii="Arial" w:eastAsia="Arial" w:hAnsi="Arial" w:cs="Arial"/>
          <w:shd w:val="clear" w:color="auto" w:fill="FFFFFF"/>
          <w:vertAlign w:val="superscript"/>
        </w:rPr>
        <w:t>8</w:t>
      </w:r>
      <w:r w:rsidRPr="00DB4B2E">
        <w:rPr>
          <w:rFonts w:ascii="Arial" w:eastAsia="Arial" w:hAnsi="Arial" w:cs="Arial"/>
          <w:shd w:val="clear" w:color="auto" w:fill="FFFFFF"/>
        </w:rPr>
        <w:t xml:space="preserve"> </w:t>
      </w:r>
      <w:r w:rsidRPr="00DB4B2E">
        <w:rPr>
          <w:rFonts w:ascii="Arial" w:eastAsia="Arial" w:hAnsi="Arial" w:cs="Arial"/>
        </w:rPr>
        <w:t>CFU/mL</w:t>
      </w:r>
      <w:r w:rsidRPr="00DB4B2E">
        <w:rPr>
          <w:rFonts w:ascii="Arial" w:eastAsia="Arial" w:hAnsi="Arial" w:cs="Arial"/>
          <w:shd w:val="clear" w:color="auto" w:fill="FFFFFF"/>
        </w:rPr>
        <w:t xml:space="preserve"> of </w:t>
      </w:r>
      <w:r w:rsidRPr="00DB4B2E">
        <w:rPr>
          <w:rStyle w:val="Emphasis"/>
          <w:rFonts w:ascii="Arial" w:eastAsia="Arial" w:hAnsi="Arial" w:cs="Arial"/>
          <w:shd w:val="clear" w:color="auto" w:fill="FFFFFF"/>
        </w:rPr>
        <w:t>S. agalactiae</w:t>
      </w:r>
      <w:r w:rsidRPr="00DB4B2E">
        <w:rPr>
          <w:rFonts w:ascii="Arial" w:eastAsia="Arial" w:hAnsi="Arial" w:cs="Arial"/>
          <w:shd w:val="clear" w:color="auto" w:fill="FFFFFF"/>
        </w:rPr>
        <w:t xml:space="preserve">. This may have been due to a loss of virulence in the isolate or the lower temperature during the experiment. </w:t>
      </w:r>
      <w:r w:rsidRPr="00DB4B2E">
        <w:rPr>
          <w:rFonts w:ascii="Arial" w:eastAsia="Arial" w:hAnsi="Arial" w:cs="Arial"/>
          <w:szCs w:val="22"/>
        </w:rPr>
        <w:t>Differences</w:t>
      </w:r>
      <w:r w:rsidRPr="00DB4B2E">
        <w:rPr>
          <w:rFonts w:ascii="Arial" w:eastAsia="Arial" w:hAnsi="Arial" w:cs="Arial"/>
          <w:spacing w:val="-2"/>
          <w:szCs w:val="22"/>
        </w:rPr>
        <w:t xml:space="preserve"> </w:t>
      </w:r>
      <w:r w:rsidRPr="00DB4B2E">
        <w:rPr>
          <w:rFonts w:ascii="Arial" w:eastAsia="Arial" w:hAnsi="Arial" w:cs="Arial"/>
          <w:szCs w:val="22"/>
        </w:rPr>
        <w:t xml:space="preserve">in disease manifestation following </w:t>
      </w:r>
      <w:r w:rsidRPr="00DB4B2E">
        <w:rPr>
          <w:rFonts w:ascii="Arial" w:eastAsia="Arial" w:hAnsi="Arial" w:cs="Arial"/>
          <w:i/>
          <w:iCs/>
          <w:szCs w:val="22"/>
        </w:rPr>
        <w:t>S. agalactiae</w:t>
      </w:r>
      <w:r w:rsidRPr="00DB4B2E">
        <w:rPr>
          <w:rFonts w:ascii="Arial" w:eastAsia="Arial" w:hAnsi="Arial" w:cs="Arial"/>
          <w:szCs w:val="22"/>
        </w:rPr>
        <w:t xml:space="preserve"> challenge may also depend on bacterial strain characteristics, host condition, environmental factors, and dietary status. Recent</w:t>
      </w:r>
      <w:r w:rsidRPr="00DB4B2E">
        <w:rPr>
          <w:rFonts w:ascii="Arial" w:eastAsia="Arial" w:hAnsi="Arial" w:cs="Arial"/>
          <w:spacing w:val="-4"/>
          <w:szCs w:val="22"/>
        </w:rPr>
        <w:t xml:space="preserve"> </w:t>
      </w:r>
      <w:r w:rsidRPr="00DB4B2E">
        <w:rPr>
          <w:rFonts w:ascii="Arial" w:eastAsia="Arial" w:hAnsi="Arial" w:cs="Arial"/>
          <w:szCs w:val="22"/>
        </w:rPr>
        <w:t>investigations</w:t>
      </w:r>
      <w:r w:rsidRPr="00DB4B2E">
        <w:rPr>
          <w:rFonts w:ascii="Arial" w:eastAsia="Arial" w:hAnsi="Arial" w:cs="Arial"/>
          <w:spacing w:val="-4"/>
          <w:szCs w:val="22"/>
        </w:rPr>
        <w:t xml:space="preserve"> </w:t>
      </w:r>
      <w:r w:rsidRPr="00DB4B2E">
        <w:rPr>
          <w:rFonts w:ascii="Arial" w:eastAsia="Arial" w:hAnsi="Arial" w:cs="Arial"/>
          <w:szCs w:val="22"/>
        </w:rPr>
        <w:t>in</w:t>
      </w:r>
      <w:r w:rsidRPr="00DB4B2E">
        <w:rPr>
          <w:rFonts w:ascii="Arial" w:eastAsia="Arial" w:hAnsi="Arial" w:cs="Arial"/>
          <w:spacing w:val="-2"/>
          <w:szCs w:val="22"/>
        </w:rPr>
        <w:t xml:space="preserve"> </w:t>
      </w:r>
      <w:r w:rsidRPr="00DB4B2E">
        <w:rPr>
          <w:rFonts w:ascii="Arial" w:eastAsia="Arial" w:hAnsi="Arial" w:cs="Arial"/>
          <w:szCs w:val="22"/>
        </w:rPr>
        <w:t>red</w:t>
      </w:r>
      <w:r w:rsidRPr="00DB4B2E">
        <w:rPr>
          <w:rFonts w:ascii="Arial" w:eastAsia="Arial" w:hAnsi="Arial" w:cs="Arial"/>
          <w:spacing w:val="-2"/>
          <w:szCs w:val="22"/>
        </w:rPr>
        <w:t xml:space="preserve"> </w:t>
      </w:r>
      <w:r w:rsidRPr="00DB4B2E">
        <w:rPr>
          <w:rFonts w:ascii="Arial" w:eastAsia="Arial" w:hAnsi="Arial" w:cs="Arial"/>
          <w:szCs w:val="22"/>
        </w:rPr>
        <w:t>tilapia</w:t>
      </w:r>
      <w:r w:rsidRPr="00DB4B2E">
        <w:rPr>
          <w:rFonts w:ascii="Arial" w:eastAsia="Arial" w:hAnsi="Arial" w:cs="Arial"/>
          <w:spacing w:val="-4"/>
          <w:szCs w:val="22"/>
        </w:rPr>
        <w:t xml:space="preserve"> </w:t>
      </w:r>
      <w:r w:rsidRPr="00DB4B2E">
        <w:rPr>
          <w:rFonts w:ascii="Arial" w:eastAsia="Arial" w:hAnsi="Arial" w:cs="Arial"/>
          <w:szCs w:val="22"/>
        </w:rPr>
        <w:t>have</w:t>
      </w:r>
      <w:r w:rsidRPr="00DB4B2E">
        <w:rPr>
          <w:rFonts w:ascii="Arial" w:eastAsia="Arial" w:hAnsi="Arial" w:cs="Arial"/>
          <w:spacing w:val="-5"/>
          <w:szCs w:val="22"/>
        </w:rPr>
        <w:t xml:space="preserve"> </w:t>
      </w:r>
      <w:r w:rsidRPr="00DB4B2E">
        <w:rPr>
          <w:rFonts w:ascii="Arial" w:eastAsia="Arial" w:hAnsi="Arial" w:cs="Arial"/>
          <w:szCs w:val="22"/>
        </w:rPr>
        <w:t>demonstrated</w:t>
      </w:r>
      <w:r w:rsidRPr="00DB4B2E">
        <w:rPr>
          <w:rFonts w:ascii="Arial" w:eastAsia="Arial" w:hAnsi="Arial" w:cs="Arial"/>
          <w:spacing w:val="-2"/>
          <w:szCs w:val="22"/>
        </w:rPr>
        <w:t xml:space="preserve"> </w:t>
      </w:r>
      <w:r w:rsidRPr="00DB4B2E">
        <w:rPr>
          <w:rFonts w:ascii="Arial" w:eastAsia="Arial" w:hAnsi="Arial" w:cs="Arial"/>
          <w:szCs w:val="22"/>
        </w:rPr>
        <w:t>that</w:t>
      </w:r>
      <w:r w:rsidRPr="00DB4B2E">
        <w:rPr>
          <w:rFonts w:ascii="Arial" w:eastAsia="Arial" w:hAnsi="Arial" w:cs="Arial"/>
          <w:spacing w:val="-4"/>
          <w:szCs w:val="22"/>
        </w:rPr>
        <w:t xml:space="preserve"> </w:t>
      </w:r>
      <w:r w:rsidRPr="00DB4B2E">
        <w:rPr>
          <w:rFonts w:ascii="Arial" w:eastAsia="Arial" w:hAnsi="Arial" w:cs="Arial"/>
          <w:szCs w:val="22"/>
        </w:rPr>
        <w:t>nutritional</w:t>
      </w:r>
      <w:r w:rsidRPr="00DB4B2E">
        <w:rPr>
          <w:rFonts w:ascii="Arial" w:eastAsia="Arial" w:hAnsi="Arial" w:cs="Arial"/>
          <w:spacing w:val="-4"/>
          <w:szCs w:val="22"/>
        </w:rPr>
        <w:t xml:space="preserve"> </w:t>
      </w:r>
      <w:r w:rsidRPr="00DB4B2E">
        <w:rPr>
          <w:rFonts w:ascii="Arial" w:eastAsia="Arial" w:hAnsi="Arial" w:cs="Arial"/>
          <w:szCs w:val="22"/>
        </w:rPr>
        <w:t>interventions</w:t>
      </w:r>
      <w:r w:rsidRPr="00DB4B2E">
        <w:rPr>
          <w:rFonts w:ascii="Arial" w:eastAsia="Arial" w:hAnsi="Arial" w:cs="Arial"/>
          <w:spacing w:val="-4"/>
          <w:szCs w:val="22"/>
        </w:rPr>
        <w:t xml:space="preserve"> </w:t>
      </w:r>
      <w:r w:rsidRPr="00DB4B2E">
        <w:rPr>
          <w:rFonts w:ascii="Arial" w:eastAsia="Arial" w:hAnsi="Arial" w:cs="Arial"/>
          <w:szCs w:val="22"/>
        </w:rPr>
        <w:t>can</w:t>
      </w:r>
      <w:r w:rsidRPr="00DB4B2E">
        <w:rPr>
          <w:rFonts w:ascii="Arial" w:eastAsia="Arial" w:hAnsi="Arial" w:cs="Arial"/>
          <w:spacing w:val="-2"/>
          <w:szCs w:val="22"/>
        </w:rPr>
        <w:t xml:space="preserve"> </w:t>
      </w:r>
      <w:r w:rsidRPr="00DB4B2E">
        <w:rPr>
          <w:rFonts w:ascii="Arial" w:eastAsia="Arial" w:hAnsi="Arial" w:cs="Arial"/>
          <w:szCs w:val="22"/>
        </w:rPr>
        <w:t>influence</w:t>
      </w:r>
      <w:r w:rsidRPr="00DB4B2E">
        <w:rPr>
          <w:rFonts w:ascii="Arial" w:eastAsia="Arial" w:hAnsi="Arial" w:cs="Arial"/>
          <w:spacing w:val="-4"/>
          <w:szCs w:val="22"/>
        </w:rPr>
        <w:t xml:space="preserve"> </w:t>
      </w:r>
      <w:r w:rsidRPr="00DB4B2E">
        <w:rPr>
          <w:rFonts w:ascii="Arial" w:eastAsia="Arial" w:hAnsi="Arial" w:cs="Arial"/>
          <w:szCs w:val="22"/>
        </w:rPr>
        <w:t>resistance</w:t>
      </w:r>
      <w:r w:rsidRPr="00DB4B2E">
        <w:rPr>
          <w:rFonts w:ascii="Arial" w:eastAsia="Arial" w:hAnsi="Arial" w:cs="Arial"/>
          <w:spacing w:val="-4"/>
          <w:szCs w:val="22"/>
        </w:rPr>
        <w:t xml:space="preserve"> </w:t>
      </w:r>
      <w:r w:rsidRPr="00DB4B2E">
        <w:rPr>
          <w:rFonts w:ascii="Arial" w:eastAsia="Arial" w:hAnsi="Arial" w:cs="Arial"/>
          <w:szCs w:val="22"/>
        </w:rPr>
        <w:t>t</w:t>
      </w:r>
      <w:r w:rsidRPr="00DB4B2E">
        <w:rPr>
          <w:rFonts w:ascii="Arial" w:eastAsia="Arial" w:hAnsi="Arial" w:cs="Arial"/>
          <w:spacing w:val="-4"/>
          <w:szCs w:val="22"/>
        </w:rPr>
        <w:t xml:space="preserve">o </w:t>
      </w:r>
      <w:r w:rsidRPr="00DB4B2E">
        <w:rPr>
          <w:rFonts w:ascii="Arial" w:eastAsia="Arial" w:hAnsi="Arial" w:cs="Arial"/>
          <w:i/>
          <w:iCs/>
          <w:szCs w:val="22"/>
        </w:rPr>
        <w:t>S.</w:t>
      </w:r>
      <w:r w:rsidRPr="00DB4B2E">
        <w:rPr>
          <w:rFonts w:ascii="Arial" w:eastAsia="Arial" w:hAnsi="Arial" w:cs="Arial"/>
          <w:i/>
          <w:iCs/>
          <w:spacing w:val="-4"/>
          <w:szCs w:val="22"/>
        </w:rPr>
        <w:t xml:space="preserve"> </w:t>
      </w:r>
      <w:r w:rsidRPr="00DB4B2E">
        <w:rPr>
          <w:rFonts w:ascii="Arial" w:eastAsia="Arial" w:hAnsi="Arial" w:cs="Arial"/>
          <w:i/>
          <w:iCs/>
          <w:szCs w:val="22"/>
        </w:rPr>
        <w:t>agalactiae</w:t>
      </w:r>
      <w:r w:rsidRPr="00DB4B2E">
        <w:rPr>
          <w:rFonts w:ascii="Arial" w:eastAsia="Arial" w:hAnsi="Arial" w:cs="Arial"/>
          <w:szCs w:val="22"/>
        </w:rPr>
        <w:t>-associated</w:t>
      </w:r>
      <w:r w:rsidRPr="00DB4B2E">
        <w:rPr>
          <w:rFonts w:ascii="Arial" w:eastAsia="Arial" w:hAnsi="Arial" w:cs="Arial"/>
          <w:spacing w:val="-2"/>
          <w:szCs w:val="22"/>
        </w:rPr>
        <w:t xml:space="preserve"> </w:t>
      </w:r>
      <w:r w:rsidRPr="00DB4B2E">
        <w:rPr>
          <w:rFonts w:ascii="Arial" w:eastAsia="Arial" w:hAnsi="Arial" w:cs="Arial"/>
          <w:szCs w:val="22"/>
        </w:rPr>
        <w:t>disease (</w:t>
      </w:r>
      <w:proofErr w:type="spellStart"/>
      <w:r w:rsidRPr="00DB4B2E">
        <w:rPr>
          <w:rFonts w:ascii="Arial" w:eastAsia="Arial" w:hAnsi="Arial" w:cs="Arial"/>
        </w:rPr>
        <w:t>Karaket</w:t>
      </w:r>
      <w:proofErr w:type="spellEnd"/>
      <w:r w:rsidRPr="00DB4B2E">
        <w:rPr>
          <w:rFonts w:ascii="Arial" w:eastAsia="Arial" w:hAnsi="Arial" w:cs="Arial"/>
          <w:i/>
          <w:iCs/>
        </w:rPr>
        <w:t xml:space="preserve"> et al.,</w:t>
      </w:r>
      <w:r w:rsidRPr="00DB4B2E">
        <w:rPr>
          <w:rFonts w:ascii="Arial" w:eastAsia="Arial" w:hAnsi="Arial" w:cs="Arial"/>
        </w:rPr>
        <w:t xml:space="preserve"> 2025). </w:t>
      </w:r>
      <w:r w:rsidRPr="00DB4B2E">
        <w:rPr>
          <w:rFonts w:ascii="Arial" w:eastAsia="Arial" w:hAnsi="Arial" w:cs="Arial"/>
          <w:shd w:val="clear" w:color="auto" w:fill="FFFFFF"/>
        </w:rPr>
        <w:t xml:space="preserve">In addition, </w:t>
      </w:r>
      <w:r w:rsidRPr="00DB4B2E">
        <w:rPr>
          <w:rFonts w:ascii="Arial" w:eastAsia="Arial" w:hAnsi="Arial" w:cs="Arial"/>
          <w:szCs w:val="22"/>
        </w:rPr>
        <w:t>differences</w:t>
      </w:r>
      <w:r w:rsidRPr="00DB4B2E">
        <w:rPr>
          <w:rFonts w:ascii="Arial" w:eastAsia="Arial" w:hAnsi="Arial" w:cs="Arial"/>
          <w:spacing w:val="-2"/>
          <w:szCs w:val="22"/>
        </w:rPr>
        <w:t xml:space="preserve"> </w:t>
      </w:r>
      <w:r w:rsidRPr="00DB4B2E">
        <w:rPr>
          <w:rFonts w:ascii="Arial" w:eastAsia="Arial" w:hAnsi="Arial" w:cs="Arial"/>
          <w:szCs w:val="22"/>
        </w:rPr>
        <w:t xml:space="preserve">in disease manifestation following </w:t>
      </w:r>
      <w:r w:rsidRPr="00DB4B2E">
        <w:rPr>
          <w:rFonts w:ascii="Arial" w:eastAsia="Arial" w:hAnsi="Arial" w:cs="Arial"/>
          <w:i/>
          <w:szCs w:val="22"/>
        </w:rPr>
        <w:t>S. agalactiae</w:t>
      </w:r>
      <w:r w:rsidRPr="00DB4B2E">
        <w:rPr>
          <w:rFonts w:ascii="Arial" w:eastAsia="Arial" w:hAnsi="Arial" w:cs="Arial"/>
          <w:szCs w:val="22"/>
        </w:rPr>
        <w:t xml:space="preserve"> challenge may be associated with variations in bacterial virulence traits, including adhesion, </w:t>
      </w:r>
      <w:proofErr w:type="spellStart"/>
      <w:r w:rsidRPr="00DB4B2E">
        <w:rPr>
          <w:rFonts w:ascii="Arial" w:eastAsia="Arial" w:hAnsi="Arial" w:cs="Arial"/>
          <w:szCs w:val="22"/>
        </w:rPr>
        <w:t>haemolysis</w:t>
      </w:r>
      <w:proofErr w:type="spellEnd"/>
      <w:r w:rsidRPr="00DB4B2E">
        <w:rPr>
          <w:rFonts w:ascii="Arial" w:eastAsia="Arial" w:hAnsi="Arial" w:cs="Arial"/>
          <w:szCs w:val="22"/>
        </w:rPr>
        <w:t>, host invasion capacity, and survival mechanisms within the host</w:t>
      </w:r>
      <w:r w:rsidRPr="00DB4B2E">
        <w:rPr>
          <w:rFonts w:ascii="Arial" w:eastAsia="Arial" w:hAnsi="Arial" w:cs="Arial"/>
          <w:shd w:val="clear" w:color="auto" w:fill="FFFFFF"/>
        </w:rPr>
        <w:t xml:space="preserve"> (Ma </w:t>
      </w:r>
      <w:r w:rsidRPr="00DB4B2E">
        <w:rPr>
          <w:rFonts w:ascii="Arial" w:eastAsia="Arial" w:hAnsi="Arial" w:cs="Arial"/>
          <w:i/>
          <w:iCs/>
          <w:shd w:val="clear" w:color="auto" w:fill="FFFFFF"/>
        </w:rPr>
        <w:t>et al.,</w:t>
      </w:r>
      <w:r w:rsidRPr="00DB4B2E">
        <w:rPr>
          <w:rFonts w:ascii="Arial" w:eastAsia="Arial" w:hAnsi="Arial" w:cs="Arial"/>
          <w:shd w:val="clear" w:color="auto" w:fill="FFFFFF"/>
        </w:rPr>
        <w:t xml:space="preserve"> 2026). </w:t>
      </w:r>
      <w:r w:rsidRPr="00DB4B2E">
        <w:rPr>
          <w:rFonts w:ascii="Arial" w:eastAsia="Arial" w:hAnsi="Arial" w:cs="Arial"/>
          <w:szCs w:val="22"/>
        </w:rPr>
        <w:t>Similar observations</w:t>
      </w:r>
      <w:r w:rsidRPr="00DB4B2E">
        <w:rPr>
          <w:rFonts w:ascii="Arial" w:eastAsia="Arial" w:hAnsi="Arial" w:cs="Arial"/>
          <w:spacing w:val="-4"/>
          <w:szCs w:val="22"/>
        </w:rPr>
        <w:t xml:space="preserve"> </w:t>
      </w:r>
      <w:r w:rsidRPr="00DB4B2E">
        <w:rPr>
          <w:rFonts w:ascii="Arial" w:eastAsia="Arial" w:hAnsi="Arial" w:cs="Arial"/>
          <w:szCs w:val="22"/>
        </w:rPr>
        <w:t>have</w:t>
      </w:r>
      <w:r w:rsidRPr="00DB4B2E">
        <w:rPr>
          <w:rFonts w:ascii="Arial" w:eastAsia="Arial" w:hAnsi="Arial" w:cs="Arial"/>
          <w:spacing w:val="-4"/>
          <w:szCs w:val="22"/>
        </w:rPr>
        <w:t xml:space="preserve"> </w:t>
      </w:r>
      <w:r w:rsidRPr="00DB4B2E">
        <w:rPr>
          <w:rFonts w:ascii="Arial" w:eastAsia="Arial" w:hAnsi="Arial" w:cs="Arial"/>
          <w:szCs w:val="22"/>
        </w:rPr>
        <w:t>been</w:t>
      </w:r>
      <w:r w:rsidRPr="00DB4B2E">
        <w:rPr>
          <w:rFonts w:ascii="Arial" w:eastAsia="Arial" w:hAnsi="Arial" w:cs="Arial"/>
          <w:spacing w:val="-4"/>
          <w:szCs w:val="22"/>
        </w:rPr>
        <w:t xml:space="preserve"> </w:t>
      </w:r>
      <w:r w:rsidRPr="00DB4B2E">
        <w:rPr>
          <w:rFonts w:ascii="Arial" w:eastAsia="Arial" w:hAnsi="Arial" w:cs="Arial"/>
          <w:szCs w:val="22"/>
        </w:rPr>
        <w:t>reported</w:t>
      </w:r>
      <w:r w:rsidRPr="00DB4B2E">
        <w:rPr>
          <w:rFonts w:ascii="Arial" w:eastAsia="Arial" w:hAnsi="Arial" w:cs="Arial"/>
          <w:spacing w:val="-2"/>
          <w:szCs w:val="22"/>
        </w:rPr>
        <w:t xml:space="preserve"> </w:t>
      </w:r>
      <w:r w:rsidRPr="00DB4B2E">
        <w:rPr>
          <w:rFonts w:ascii="Arial" w:eastAsia="Arial" w:hAnsi="Arial" w:cs="Arial"/>
          <w:szCs w:val="22"/>
        </w:rPr>
        <w:t>in</w:t>
      </w:r>
      <w:r w:rsidRPr="00DB4B2E">
        <w:rPr>
          <w:rFonts w:ascii="Arial" w:eastAsia="Arial" w:hAnsi="Arial" w:cs="Arial"/>
          <w:spacing w:val="-2"/>
          <w:szCs w:val="22"/>
        </w:rPr>
        <w:t xml:space="preserve"> </w:t>
      </w:r>
      <w:r w:rsidRPr="00DB4B2E">
        <w:rPr>
          <w:rFonts w:ascii="Arial" w:eastAsia="Arial" w:hAnsi="Arial" w:cs="Arial"/>
          <w:szCs w:val="22"/>
        </w:rPr>
        <w:t>Nile</w:t>
      </w:r>
      <w:r w:rsidRPr="00DB4B2E">
        <w:rPr>
          <w:rFonts w:ascii="Arial" w:eastAsia="Arial" w:hAnsi="Arial" w:cs="Arial"/>
          <w:spacing w:val="-4"/>
          <w:szCs w:val="22"/>
        </w:rPr>
        <w:t xml:space="preserve"> </w:t>
      </w:r>
      <w:r w:rsidRPr="00DB4B2E">
        <w:rPr>
          <w:rFonts w:ascii="Arial" w:eastAsia="Arial" w:hAnsi="Arial" w:cs="Arial"/>
          <w:szCs w:val="22"/>
        </w:rPr>
        <w:t>tilapia,</w:t>
      </w:r>
      <w:r w:rsidRPr="00DB4B2E">
        <w:rPr>
          <w:rFonts w:ascii="Arial" w:eastAsia="Arial" w:hAnsi="Arial" w:cs="Arial"/>
          <w:spacing w:val="-4"/>
          <w:szCs w:val="22"/>
        </w:rPr>
        <w:t xml:space="preserve"> </w:t>
      </w:r>
      <w:r w:rsidRPr="00DB4B2E">
        <w:rPr>
          <w:rFonts w:ascii="Arial" w:eastAsia="Arial" w:hAnsi="Arial" w:cs="Arial"/>
          <w:szCs w:val="22"/>
        </w:rPr>
        <w:t>in which</w:t>
      </w:r>
      <w:r w:rsidRPr="00DB4B2E">
        <w:rPr>
          <w:rFonts w:ascii="Arial" w:eastAsia="Arial" w:hAnsi="Arial" w:cs="Arial"/>
          <w:spacing w:val="-4"/>
          <w:szCs w:val="22"/>
        </w:rPr>
        <w:t xml:space="preserve"> </w:t>
      </w:r>
      <w:r w:rsidRPr="00DB4B2E">
        <w:rPr>
          <w:rFonts w:ascii="Arial" w:eastAsia="Arial" w:hAnsi="Arial" w:cs="Arial"/>
          <w:szCs w:val="22"/>
        </w:rPr>
        <w:t>dietary</w:t>
      </w:r>
      <w:r w:rsidRPr="00DB4B2E">
        <w:rPr>
          <w:rFonts w:ascii="Arial" w:eastAsia="Arial" w:hAnsi="Arial" w:cs="Arial"/>
          <w:spacing w:val="-2"/>
          <w:szCs w:val="22"/>
        </w:rPr>
        <w:t xml:space="preserve"> </w:t>
      </w:r>
      <w:r w:rsidRPr="00DB4B2E">
        <w:rPr>
          <w:rFonts w:ascii="Arial" w:eastAsia="Arial" w:hAnsi="Arial" w:cs="Arial"/>
          <w:szCs w:val="22"/>
        </w:rPr>
        <w:t>interventions</w:t>
      </w:r>
      <w:r w:rsidRPr="00DB4B2E">
        <w:rPr>
          <w:rFonts w:ascii="Arial" w:eastAsia="Arial" w:hAnsi="Arial" w:cs="Arial"/>
          <w:spacing w:val="-4"/>
          <w:szCs w:val="22"/>
        </w:rPr>
        <w:t xml:space="preserve"> </w:t>
      </w:r>
      <w:r w:rsidRPr="00DB4B2E">
        <w:rPr>
          <w:rFonts w:ascii="Arial" w:eastAsia="Arial" w:hAnsi="Arial" w:cs="Arial"/>
          <w:szCs w:val="22"/>
        </w:rPr>
        <w:t>enhanced</w:t>
      </w:r>
      <w:r w:rsidRPr="00DB4B2E">
        <w:rPr>
          <w:rFonts w:ascii="Arial" w:eastAsia="Arial" w:hAnsi="Arial" w:cs="Arial"/>
          <w:spacing w:val="-2"/>
          <w:szCs w:val="22"/>
        </w:rPr>
        <w:t xml:space="preserve"> </w:t>
      </w:r>
      <w:r w:rsidRPr="00DB4B2E">
        <w:rPr>
          <w:rFonts w:ascii="Arial" w:eastAsia="Arial" w:hAnsi="Arial" w:cs="Arial"/>
          <w:szCs w:val="22"/>
        </w:rPr>
        <w:t>innate</w:t>
      </w:r>
      <w:r w:rsidRPr="00DB4B2E">
        <w:rPr>
          <w:rFonts w:ascii="Arial" w:eastAsia="Arial" w:hAnsi="Arial" w:cs="Arial"/>
          <w:spacing w:val="-4"/>
          <w:szCs w:val="22"/>
        </w:rPr>
        <w:t xml:space="preserve"> </w:t>
      </w:r>
      <w:r w:rsidRPr="00DB4B2E">
        <w:rPr>
          <w:rFonts w:ascii="Arial" w:eastAsia="Arial" w:hAnsi="Arial" w:cs="Arial"/>
          <w:szCs w:val="22"/>
        </w:rPr>
        <w:t>immune</w:t>
      </w:r>
      <w:r w:rsidRPr="00DB4B2E">
        <w:rPr>
          <w:rFonts w:ascii="Arial" w:eastAsia="Arial" w:hAnsi="Arial" w:cs="Arial"/>
          <w:spacing w:val="-4"/>
          <w:szCs w:val="22"/>
        </w:rPr>
        <w:t xml:space="preserve"> </w:t>
      </w:r>
      <w:r w:rsidRPr="00DB4B2E">
        <w:rPr>
          <w:rFonts w:ascii="Arial" w:eastAsia="Arial" w:hAnsi="Arial" w:cs="Arial"/>
          <w:szCs w:val="22"/>
        </w:rPr>
        <w:t>indicators</w:t>
      </w:r>
      <w:r w:rsidRPr="00DB4B2E">
        <w:rPr>
          <w:rFonts w:ascii="Arial" w:eastAsia="Arial" w:hAnsi="Arial" w:cs="Arial"/>
          <w:spacing w:val="-4"/>
          <w:szCs w:val="22"/>
        </w:rPr>
        <w:t xml:space="preserve">, </w:t>
      </w:r>
      <w:r w:rsidRPr="00DB4B2E">
        <w:rPr>
          <w:rFonts w:ascii="Arial" w:eastAsia="Arial" w:hAnsi="Arial" w:cs="Arial"/>
          <w:szCs w:val="22"/>
        </w:rPr>
        <w:t>including</w:t>
      </w:r>
      <w:r w:rsidRPr="00DB4B2E">
        <w:rPr>
          <w:rFonts w:ascii="Arial" w:eastAsia="Arial" w:hAnsi="Arial" w:cs="Arial"/>
          <w:spacing w:val="-4"/>
          <w:szCs w:val="22"/>
        </w:rPr>
        <w:t xml:space="preserve"> </w:t>
      </w:r>
      <w:r w:rsidRPr="00DB4B2E">
        <w:rPr>
          <w:rFonts w:ascii="Arial" w:eastAsia="Arial" w:hAnsi="Arial" w:cs="Arial"/>
          <w:szCs w:val="22"/>
        </w:rPr>
        <w:t>NBT activity</w:t>
      </w:r>
      <w:r w:rsidRPr="00DB4B2E">
        <w:rPr>
          <w:rFonts w:ascii="Arial" w:eastAsia="Arial" w:hAnsi="Arial" w:cs="Arial"/>
          <w:spacing w:val="-4"/>
          <w:szCs w:val="22"/>
        </w:rPr>
        <w:t xml:space="preserve"> </w:t>
      </w:r>
      <w:r w:rsidRPr="00DB4B2E">
        <w:rPr>
          <w:rFonts w:ascii="Arial" w:eastAsia="Arial" w:hAnsi="Arial" w:cs="Arial"/>
          <w:szCs w:val="22"/>
        </w:rPr>
        <w:t>and</w:t>
      </w:r>
      <w:r w:rsidRPr="00DB4B2E">
        <w:rPr>
          <w:rFonts w:ascii="Arial" w:eastAsia="Arial" w:hAnsi="Arial" w:cs="Arial"/>
          <w:spacing w:val="-2"/>
          <w:szCs w:val="22"/>
        </w:rPr>
        <w:t xml:space="preserve"> </w:t>
      </w:r>
      <w:r w:rsidRPr="00DB4B2E">
        <w:rPr>
          <w:rFonts w:ascii="Arial" w:eastAsia="Arial" w:hAnsi="Arial" w:cs="Arial"/>
          <w:szCs w:val="22"/>
        </w:rPr>
        <w:t>antioxidant</w:t>
      </w:r>
      <w:r w:rsidRPr="00DB4B2E">
        <w:rPr>
          <w:rFonts w:ascii="Arial" w:eastAsia="Arial" w:hAnsi="Arial" w:cs="Arial"/>
          <w:spacing w:val="-6"/>
          <w:szCs w:val="22"/>
        </w:rPr>
        <w:t xml:space="preserve"> </w:t>
      </w:r>
      <w:r w:rsidRPr="00DB4B2E">
        <w:rPr>
          <w:rFonts w:ascii="Arial" w:eastAsia="Arial" w:hAnsi="Arial" w:cs="Arial"/>
          <w:szCs w:val="22"/>
        </w:rPr>
        <w:t>responses (</w:t>
      </w:r>
      <w:r w:rsidRPr="00DB4B2E">
        <w:rPr>
          <w:rFonts w:ascii="Arial" w:eastAsia="Arial" w:hAnsi="Arial" w:cs="Arial"/>
        </w:rPr>
        <w:t xml:space="preserve">Abd Allah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2025). </w:t>
      </w:r>
      <w:r w:rsidRPr="00DB4B2E">
        <w:rPr>
          <w:rFonts w:ascii="Arial" w:eastAsia="Arial" w:hAnsi="Arial" w:cs="Arial"/>
          <w:i/>
          <w:shd w:val="clear" w:color="auto" w:fill="FFFFFF"/>
        </w:rPr>
        <w:t>According to Evans et al. (2002), S. agalactiae</w:t>
      </w:r>
      <w:r w:rsidRPr="00DB4B2E">
        <w:rPr>
          <w:rFonts w:ascii="Arial" w:eastAsia="Arial" w:hAnsi="Arial" w:cs="Arial"/>
          <w:shd w:val="clear" w:color="auto" w:fill="FFFFFF"/>
        </w:rPr>
        <w:t xml:space="preserve"> possesses genes responsible for </w:t>
      </w:r>
      <w:proofErr w:type="spellStart"/>
      <w:r w:rsidRPr="00DB4B2E">
        <w:rPr>
          <w:rFonts w:ascii="Arial" w:eastAsia="Arial" w:hAnsi="Arial" w:cs="Arial"/>
          <w:shd w:val="clear" w:color="auto" w:fill="FFFFFF"/>
        </w:rPr>
        <w:t>haemolysis</w:t>
      </w:r>
      <w:proofErr w:type="spellEnd"/>
      <w:r w:rsidRPr="00DB4B2E">
        <w:rPr>
          <w:rFonts w:ascii="Arial" w:eastAsia="Arial" w:hAnsi="Arial" w:cs="Arial"/>
          <w:shd w:val="clear" w:color="auto" w:fill="FFFFFF"/>
        </w:rPr>
        <w:t xml:space="preserve">, adhesion, and capsule formation, which contribute to its pathogenicity and virulence. The loss of virulence in pathogenic bacteria is often linked to genetic mutations, horizontal gene transfer, evolutionary trade-offs, immune pressure, environmental changes, metabolic costs, and disruption of quorum sensing. Reyes </w:t>
      </w:r>
      <w:r w:rsidRPr="00DB4B2E">
        <w:rPr>
          <w:rFonts w:ascii="Arial" w:eastAsia="Arial" w:hAnsi="Arial" w:cs="Arial"/>
          <w:i/>
          <w:shd w:val="clear" w:color="auto" w:fill="FFFFFF"/>
        </w:rPr>
        <w:t>et al.</w:t>
      </w:r>
      <w:r w:rsidRPr="00DB4B2E">
        <w:rPr>
          <w:rFonts w:ascii="Arial" w:eastAsia="Arial" w:hAnsi="Arial" w:cs="Arial"/>
          <w:shd w:val="clear" w:color="auto" w:fill="FFFFFF"/>
        </w:rPr>
        <w:t xml:space="preserve"> (2021) indicated that temperatures exceeding 33 °C are considered a risk factor for the occurrence of </w:t>
      </w:r>
      <w:proofErr w:type="spellStart"/>
      <w:r w:rsidRPr="00DB4B2E">
        <w:rPr>
          <w:rFonts w:ascii="Arial" w:eastAsia="Arial" w:hAnsi="Arial" w:cs="Arial"/>
          <w:shd w:val="clear" w:color="auto" w:fill="FFFFFF"/>
        </w:rPr>
        <w:t>streptococcosis</w:t>
      </w:r>
      <w:proofErr w:type="spellEnd"/>
      <w:r w:rsidRPr="00DB4B2E">
        <w:rPr>
          <w:rFonts w:ascii="Arial" w:eastAsia="Arial" w:hAnsi="Arial" w:cs="Arial"/>
          <w:shd w:val="clear" w:color="auto" w:fill="FFFFFF"/>
        </w:rPr>
        <w:t xml:space="preserve"> in farmed Nile tilapia. Numerous studies have demonstrated the ability of </w:t>
      </w:r>
      <w:r w:rsidRPr="00DB4B2E">
        <w:rPr>
          <w:rStyle w:val="Emphasis"/>
          <w:rFonts w:ascii="Arial" w:eastAsia="Arial" w:hAnsi="Arial" w:cs="Arial"/>
          <w:shd w:val="clear" w:color="auto" w:fill="FFFFFF"/>
        </w:rPr>
        <w:t>S. agalactiae</w:t>
      </w:r>
      <w:r w:rsidRPr="00DB4B2E">
        <w:rPr>
          <w:rFonts w:ascii="Arial" w:eastAsia="Arial" w:hAnsi="Arial" w:cs="Arial"/>
          <w:shd w:val="clear" w:color="auto" w:fill="FFFFFF"/>
        </w:rPr>
        <w:t xml:space="preserve"> to induce disease in aquatic organisms. </w:t>
      </w:r>
      <w:r w:rsidRPr="00DB4B2E">
        <w:rPr>
          <w:rFonts w:ascii="Arial" w:eastAsia="Arial" w:hAnsi="Arial" w:cs="Arial"/>
        </w:rPr>
        <w:t>Recent</w:t>
      </w:r>
      <w:r w:rsidRPr="00DB4B2E">
        <w:rPr>
          <w:rFonts w:ascii="Arial" w:eastAsia="Arial" w:hAnsi="Arial" w:cs="Arial"/>
          <w:spacing w:val="-4"/>
        </w:rPr>
        <w:t xml:space="preserve"> </w:t>
      </w:r>
      <w:r w:rsidRPr="00DB4B2E">
        <w:rPr>
          <w:rFonts w:ascii="Arial" w:eastAsia="Arial" w:hAnsi="Arial" w:cs="Arial"/>
        </w:rPr>
        <w:t>studies</w:t>
      </w:r>
      <w:r w:rsidRPr="00DB4B2E">
        <w:rPr>
          <w:rFonts w:ascii="Arial" w:eastAsia="Arial" w:hAnsi="Arial" w:cs="Arial"/>
          <w:spacing w:val="-4"/>
        </w:rPr>
        <w:t xml:space="preserve"> </w:t>
      </w:r>
      <w:r w:rsidRPr="00DB4B2E">
        <w:rPr>
          <w:rFonts w:ascii="Arial" w:eastAsia="Arial" w:hAnsi="Arial" w:cs="Arial"/>
        </w:rPr>
        <w:t>on</w:t>
      </w:r>
      <w:r w:rsidRPr="00DB4B2E">
        <w:rPr>
          <w:rFonts w:ascii="Arial" w:eastAsia="Arial" w:hAnsi="Arial" w:cs="Arial"/>
          <w:spacing w:val="-1"/>
        </w:rPr>
        <w:t xml:space="preserve"> </w:t>
      </w:r>
      <w:r w:rsidRPr="00DB4B2E">
        <w:rPr>
          <w:rFonts w:ascii="Arial" w:eastAsia="Arial" w:hAnsi="Arial" w:cs="Arial"/>
        </w:rPr>
        <w:t>red</w:t>
      </w:r>
      <w:r w:rsidRPr="00DB4B2E">
        <w:rPr>
          <w:rFonts w:ascii="Arial" w:eastAsia="Arial" w:hAnsi="Arial" w:cs="Arial"/>
          <w:spacing w:val="-1"/>
        </w:rPr>
        <w:t xml:space="preserve"> </w:t>
      </w:r>
      <w:r w:rsidRPr="00DB4B2E">
        <w:rPr>
          <w:rFonts w:ascii="Arial" w:eastAsia="Arial" w:hAnsi="Arial" w:cs="Arial"/>
        </w:rPr>
        <w:t>tilapia</w:t>
      </w:r>
      <w:r w:rsidRPr="00DB4B2E">
        <w:rPr>
          <w:rFonts w:ascii="Arial" w:eastAsia="Arial" w:hAnsi="Arial" w:cs="Arial"/>
          <w:spacing w:val="-2"/>
        </w:rPr>
        <w:t xml:space="preserve"> </w:t>
      </w:r>
      <w:r w:rsidRPr="00DB4B2E">
        <w:rPr>
          <w:rFonts w:ascii="Arial" w:eastAsia="Arial" w:hAnsi="Arial" w:cs="Arial"/>
        </w:rPr>
        <w:t>have</w:t>
      </w:r>
      <w:r w:rsidRPr="00DB4B2E">
        <w:rPr>
          <w:rFonts w:ascii="Arial" w:eastAsia="Arial" w:hAnsi="Arial" w:cs="Arial"/>
          <w:spacing w:val="-2"/>
        </w:rPr>
        <w:t xml:space="preserve"> </w:t>
      </w:r>
      <w:r w:rsidRPr="00DB4B2E">
        <w:rPr>
          <w:rFonts w:ascii="Arial" w:eastAsia="Arial" w:hAnsi="Arial" w:cs="Arial"/>
        </w:rPr>
        <w:t>also</w:t>
      </w:r>
      <w:r w:rsidRPr="00DB4B2E">
        <w:rPr>
          <w:rFonts w:ascii="Arial" w:eastAsia="Arial" w:hAnsi="Arial" w:cs="Arial"/>
          <w:spacing w:val="-2"/>
        </w:rPr>
        <w:t xml:space="preserve"> </w:t>
      </w:r>
      <w:proofErr w:type="spellStart"/>
      <w:r w:rsidRPr="00DB4B2E">
        <w:rPr>
          <w:rFonts w:ascii="Arial" w:eastAsia="Arial" w:hAnsi="Arial" w:cs="Arial"/>
        </w:rPr>
        <w:t>emphasised</w:t>
      </w:r>
      <w:proofErr w:type="spellEnd"/>
      <w:r w:rsidRPr="00DB4B2E">
        <w:rPr>
          <w:rFonts w:ascii="Arial" w:eastAsia="Arial" w:hAnsi="Arial" w:cs="Arial"/>
          <w:spacing w:val="-1"/>
        </w:rPr>
        <w:t xml:space="preserve"> </w:t>
      </w:r>
      <w:r w:rsidRPr="00DB4B2E">
        <w:rPr>
          <w:rFonts w:ascii="Arial" w:eastAsia="Arial" w:hAnsi="Arial" w:cs="Arial"/>
        </w:rPr>
        <w:t>the</w:t>
      </w:r>
      <w:r w:rsidRPr="00DB4B2E">
        <w:rPr>
          <w:rFonts w:ascii="Arial" w:eastAsia="Arial" w:hAnsi="Arial" w:cs="Arial"/>
          <w:spacing w:val="-4"/>
        </w:rPr>
        <w:t xml:space="preserve"> </w:t>
      </w:r>
      <w:r w:rsidRPr="00DB4B2E">
        <w:rPr>
          <w:rFonts w:ascii="Arial" w:eastAsia="Arial" w:hAnsi="Arial" w:cs="Arial"/>
        </w:rPr>
        <w:t>importance</w:t>
      </w:r>
      <w:r w:rsidRPr="00DB4B2E">
        <w:rPr>
          <w:rFonts w:ascii="Arial" w:eastAsia="Arial" w:hAnsi="Arial" w:cs="Arial"/>
          <w:spacing w:val="-2"/>
        </w:rPr>
        <w:t xml:space="preserve"> </w:t>
      </w:r>
      <w:r w:rsidRPr="00DB4B2E">
        <w:rPr>
          <w:rFonts w:ascii="Arial" w:eastAsia="Arial" w:hAnsi="Arial" w:cs="Arial"/>
        </w:rPr>
        <w:t>of</w:t>
      </w:r>
      <w:r w:rsidRPr="00DB4B2E">
        <w:rPr>
          <w:rFonts w:ascii="Arial" w:eastAsia="Arial" w:hAnsi="Arial" w:cs="Arial"/>
          <w:spacing w:val="-4"/>
        </w:rPr>
        <w:t xml:space="preserve"> </w:t>
      </w:r>
      <w:r w:rsidRPr="00DB4B2E">
        <w:rPr>
          <w:rFonts w:ascii="Arial" w:eastAsia="Arial" w:hAnsi="Arial" w:cs="Arial"/>
        </w:rPr>
        <w:t>preventive</w:t>
      </w:r>
      <w:r w:rsidRPr="00DB4B2E">
        <w:rPr>
          <w:rFonts w:ascii="Arial" w:eastAsia="Arial" w:hAnsi="Arial" w:cs="Arial"/>
          <w:spacing w:val="-2"/>
        </w:rPr>
        <w:t xml:space="preserve"> </w:t>
      </w:r>
      <w:r w:rsidRPr="00DB4B2E">
        <w:rPr>
          <w:rFonts w:ascii="Arial" w:eastAsia="Arial" w:hAnsi="Arial" w:cs="Arial"/>
        </w:rPr>
        <w:t>strategies</w:t>
      </w:r>
      <w:r w:rsidRPr="00DB4B2E">
        <w:rPr>
          <w:rFonts w:ascii="Arial" w:eastAsia="Arial" w:hAnsi="Arial" w:cs="Arial"/>
          <w:spacing w:val="-4"/>
        </w:rPr>
        <w:t xml:space="preserve"> </w:t>
      </w:r>
      <w:r w:rsidRPr="00DB4B2E">
        <w:rPr>
          <w:rFonts w:ascii="Arial" w:eastAsia="Arial" w:hAnsi="Arial" w:cs="Arial"/>
        </w:rPr>
        <w:t>against</w:t>
      </w:r>
      <w:r w:rsidRPr="00DB4B2E">
        <w:rPr>
          <w:rFonts w:ascii="Arial" w:eastAsia="Arial" w:hAnsi="Arial" w:cs="Arial"/>
          <w:spacing w:val="-4"/>
        </w:rPr>
        <w:t xml:space="preserve"> </w:t>
      </w:r>
      <w:r w:rsidRPr="00DB4B2E">
        <w:rPr>
          <w:rFonts w:ascii="Arial" w:eastAsia="Arial" w:hAnsi="Arial" w:cs="Arial"/>
          <w:i/>
        </w:rPr>
        <w:t>S.</w:t>
      </w:r>
      <w:r w:rsidRPr="00DB4B2E">
        <w:rPr>
          <w:rFonts w:ascii="Arial" w:eastAsia="Arial" w:hAnsi="Arial" w:cs="Arial"/>
          <w:i/>
          <w:spacing w:val="-2"/>
        </w:rPr>
        <w:t xml:space="preserve"> </w:t>
      </w:r>
      <w:r w:rsidRPr="00DB4B2E">
        <w:rPr>
          <w:rFonts w:ascii="Arial" w:eastAsia="Arial" w:hAnsi="Arial" w:cs="Arial"/>
          <w:i/>
        </w:rPr>
        <w:t>agalactiae</w:t>
      </w:r>
      <w:r w:rsidRPr="00DB4B2E">
        <w:rPr>
          <w:rFonts w:ascii="Arial" w:eastAsia="Arial" w:hAnsi="Arial" w:cs="Arial"/>
          <w:spacing w:val="-2"/>
        </w:rPr>
        <w:t xml:space="preserve"> </w:t>
      </w:r>
      <w:r w:rsidRPr="00DB4B2E">
        <w:rPr>
          <w:rFonts w:ascii="Arial" w:eastAsia="Arial" w:hAnsi="Arial" w:cs="Arial"/>
        </w:rPr>
        <w:t>infection,</w:t>
      </w:r>
      <w:r w:rsidRPr="00DB4B2E">
        <w:rPr>
          <w:rFonts w:ascii="Arial" w:eastAsia="Arial" w:hAnsi="Arial" w:cs="Arial"/>
          <w:spacing w:val="-4"/>
        </w:rPr>
        <w:t xml:space="preserve"> </w:t>
      </w:r>
      <w:r w:rsidRPr="00DB4B2E">
        <w:rPr>
          <w:rFonts w:ascii="Arial" w:eastAsia="Arial" w:hAnsi="Arial" w:cs="Arial"/>
        </w:rPr>
        <w:t>including</w:t>
      </w:r>
      <w:r w:rsidRPr="00DB4B2E">
        <w:rPr>
          <w:rFonts w:ascii="Arial" w:eastAsia="Arial" w:hAnsi="Arial" w:cs="Arial"/>
          <w:spacing w:val="-4"/>
        </w:rPr>
        <w:t xml:space="preserve"> </w:t>
      </w:r>
      <w:r w:rsidRPr="00DB4B2E">
        <w:rPr>
          <w:rFonts w:ascii="Arial" w:eastAsia="Arial" w:hAnsi="Arial" w:cs="Arial"/>
        </w:rPr>
        <w:t>vaccination</w:t>
      </w:r>
      <w:r w:rsidRPr="00DB4B2E">
        <w:rPr>
          <w:rFonts w:ascii="Arial" w:eastAsia="Arial" w:hAnsi="Arial" w:cs="Arial"/>
          <w:spacing w:val="-4"/>
        </w:rPr>
        <w:t xml:space="preserve"> </w:t>
      </w:r>
      <w:r w:rsidRPr="00DB4B2E">
        <w:rPr>
          <w:rFonts w:ascii="Arial" w:eastAsia="Arial" w:hAnsi="Arial" w:cs="Arial"/>
        </w:rPr>
        <w:t>approaches</w:t>
      </w:r>
      <w:r w:rsidRPr="00DB4B2E">
        <w:rPr>
          <w:rFonts w:ascii="Arial" w:eastAsia="Arial" w:hAnsi="Arial" w:cs="Arial"/>
          <w:spacing w:val="-4"/>
        </w:rPr>
        <w:t xml:space="preserve"> </w:t>
      </w:r>
      <w:r w:rsidRPr="00DB4B2E">
        <w:rPr>
          <w:rFonts w:ascii="Arial" w:eastAsia="Arial" w:hAnsi="Arial" w:cs="Arial"/>
        </w:rPr>
        <w:t>that</w:t>
      </w:r>
      <w:r w:rsidRPr="00DB4B2E">
        <w:rPr>
          <w:rFonts w:ascii="Arial" w:eastAsia="Arial" w:hAnsi="Arial" w:cs="Arial"/>
          <w:spacing w:val="-2"/>
        </w:rPr>
        <w:t xml:space="preserve"> </w:t>
      </w:r>
      <w:r w:rsidRPr="00DB4B2E">
        <w:rPr>
          <w:rFonts w:ascii="Arial" w:eastAsia="Arial" w:hAnsi="Arial" w:cs="Arial"/>
        </w:rPr>
        <w:t>enhance immune protection and disease resistance (</w:t>
      </w:r>
      <w:proofErr w:type="spellStart"/>
      <w:r w:rsidRPr="00DB4B2E">
        <w:t>Ridzuan</w:t>
      </w:r>
      <w:proofErr w:type="spellEnd"/>
      <w:r w:rsidRPr="00DB4B2E">
        <w:t xml:space="preserve"> </w:t>
      </w:r>
      <w:r w:rsidRPr="00DB4B2E">
        <w:rPr>
          <w:i/>
          <w:iCs/>
        </w:rPr>
        <w:t>et al.,</w:t>
      </w:r>
      <w:r w:rsidRPr="00DB4B2E">
        <w:t xml:space="preserve"> 2025). </w:t>
      </w:r>
      <w:r w:rsidRPr="00DB4B2E">
        <w:rPr>
          <w:rFonts w:ascii="Arial" w:eastAsia="Arial" w:hAnsi="Arial" w:cs="Arial"/>
          <w:shd w:val="clear" w:color="auto" w:fill="FFFFFF"/>
        </w:rPr>
        <w:t xml:space="preserve">Reyes </w:t>
      </w:r>
      <w:r w:rsidRPr="00DB4B2E">
        <w:rPr>
          <w:rFonts w:ascii="Arial" w:eastAsia="Arial" w:hAnsi="Arial" w:cs="Arial"/>
          <w:i/>
          <w:iCs/>
          <w:shd w:val="clear" w:color="auto" w:fill="FFFFFF"/>
        </w:rPr>
        <w:t>et al.</w:t>
      </w:r>
      <w:r w:rsidRPr="00DB4B2E">
        <w:rPr>
          <w:rFonts w:ascii="Arial" w:eastAsia="Arial" w:hAnsi="Arial" w:cs="Arial"/>
          <w:shd w:val="clear" w:color="auto" w:fill="FFFFFF"/>
        </w:rPr>
        <w:t xml:space="preserve"> (2021) reported that Nile tilapia experimentally injected with </w:t>
      </w:r>
      <w:r w:rsidRPr="00DB4B2E">
        <w:rPr>
          <w:rFonts w:ascii="Arial" w:eastAsia="Arial" w:hAnsi="Arial" w:cs="Arial"/>
          <w:i/>
          <w:shd w:val="clear" w:color="auto" w:fill="FFFFFF"/>
        </w:rPr>
        <w:t>S. agalactiae</w:t>
      </w:r>
      <w:r w:rsidRPr="00DB4B2E">
        <w:rPr>
          <w:rFonts w:ascii="Arial" w:eastAsia="Arial" w:hAnsi="Arial" w:cs="Arial"/>
          <w:shd w:val="clear" w:color="auto" w:fill="FFFFFF"/>
        </w:rPr>
        <w:t xml:space="preserve"> showed clinical </w:t>
      </w:r>
      <w:r w:rsidRPr="00DB4B2E">
        <w:rPr>
          <w:rFonts w:ascii="Arial" w:eastAsia="Arial" w:hAnsi="Arial" w:cs="Arial"/>
          <w:shd w:val="clear" w:color="auto" w:fill="FFFFFF"/>
        </w:rPr>
        <w:lastRenderedPageBreak/>
        <w:t xml:space="preserve">signs of infection, such as scale loss, exophthalmia, and body </w:t>
      </w:r>
      <w:proofErr w:type="spellStart"/>
      <w:r w:rsidRPr="00DB4B2E">
        <w:rPr>
          <w:rFonts w:ascii="Arial" w:eastAsia="Arial" w:hAnsi="Arial" w:cs="Arial"/>
          <w:shd w:val="clear" w:color="auto" w:fill="FFFFFF"/>
        </w:rPr>
        <w:t>discolouration</w:t>
      </w:r>
      <w:proofErr w:type="spellEnd"/>
      <w:r w:rsidRPr="00DB4B2E">
        <w:rPr>
          <w:rFonts w:ascii="Arial" w:eastAsia="Arial" w:hAnsi="Arial" w:cs="Arial"/>
          <w:shd w:val="clear" w:color="auto" w:fill="FFFFFF"/>
        </w:rPr>
        <w:t xml:space="preserve">, at </w:t>
      </w:r>
      <w:proofErr w:type="gramStart"/>
      <w:r w:rsidRPr="00DB4B2E">
        <w:rPr>
          <w:rFonts w:ascii="Arial" w:eastAsia="Arial" w:hAnsi="Arial" w:cs="Arial"/>
          <w:shd w:val="clear" w:color="auto" w:fill="FFFFFF"/>
        </w:rPr>
        <w:t>1 day</w:t>
      </w:r>
      <w:proofErr w:type="gramEnd"/>
      <w:r w:rsidRPr="00DB4B2E">
        <w:rPr>
          <w:rFonts w:ascii="Arial" w:eastAsia="Arial" w:hAnsi="Arial" w:cs="Arial"/>
          <w:shd w:val="clear" w:color="auto" w:fill="FFFFFF"/>
        </w:rPr>
        <w:t xml:space="preserve"> post-inoculation (PI). These findings align with those of Evans </w:t>
      </w:r>
      <w:r w:rsidRPr="00DB4B2E">
        <w:rPr>
          <w:rFonts w:ascii="Arial" w:eastAsia="Arial" w:hAnsi="Arial" w:cs="Arial"/>
          <w:i/>
          <w:iCs/>
          <w:shd w:val="clear" w:color="auto" w:fill="FFFFFF"/>
        </w:rPr>
        <w:t>et al.</w:t>
      </w:r>
      <w:r w:rsidRPr="00DB4B2E">
        <w:rPr>
          <w:rFonts w:ascii="Arial" w:eastAsia="Arial" w:hAnsi="Arial" w:cs="Arial"/>
          <w:shd w:val="clear" w:color="auto" w:fill="FFFFFF"/>
        </w:rPr>
        <w:t xml:space="preserve"> (2002), who observed the onset of clinical signs within 24 hours PI.</w:t>
      </w:r>
      <w:r w:rsidRPr="00DB4B2E">
        <w:rPr>
          <w:rFonts w:ascii="Arial" w:eastAsia="Arial" w:hAnsi="Arial" w:cs="Arial"/>
          <w:lang w:eastAsia="en-PH"/>
        </w:rPr>
        <w:t xml:space="preserve"> Post-mortem examination of dead fish revealed liquefied internal organs, enlargement of the spleen and liver, and </w:t>
      </w:r>
      <w:proofErr w:type="spellStart"/>
      <w:r w:rsidRPr="00DB4B2E">
        <w:rPr>
          <w:rFonts w:ascii="Arial" w:eastAsia="Arial" w:hAnsi="Arial" w:cs="Arial"/>
          <w:lang w:eastAsia="en-PH"/>
        </w:rPr>
        <w:t>haemorrhages</w:t>
      </w:r>
      <w:proofErr w:type="spellEnd"/>
      <w:r w:rsidRPr="00DB4B2E">
        <w:rPr>
          <w:rFonts w:ascii="Arial" w:eastAsia="Arial" w:hAnsi="Arial" w:cs="Arial"/>
          <w:lang w:eastAsia="en-PH"/>
        </w:rPr>
        <w:t xml:space="preserve"> in the liver and brain tissues (Reyes </w:t>
      </w:r>
      <w:r w:rsidRPr="00DB4B2E">
        <w:rPr>
          <w:rFonts w:ascii="Arial" w:eastAsia="Arial" w:hAnsi="Arial" w:cs="Arial"/>
          <w:i/>
          <w:iCs/>
          <w:lang w:eastAsia="en-PH"/>
        </w:rPr>
        <w:t>et al.,</w:t>
      </w:r>
      <w:r w:rsidRPr="00DB4B2E">
        <w:rPr>
          <w:rFonts w:ascii="Arial" w:eastAsia="Arial" w:hAnsi="Arial" w:cs="Arial"/>
          <w:lang w:eastAsia="en-PH"/>
        </w:rPr>
        <w:t xml:space="preserve"> 2021), which were similarly documented by </w:t>
      </w:r>
      <w:proofErr w:type="spellStart"/>
      <w:r w:rsidRPr="00DB4B2E">
        <w:rPr>
          <w:rFonts w:ascii="Arial" w:eastAsia="Arial" w:hAnsi="Arial" w:cs="Arial"/>
          <w:lang w:eastAsia="en-PH"/>
        </w:rPr>
        <w:t>Rodkhum</w:t>
      </w:r>
      <w:proofErr w:type="spellEnd"/>
      <w:r w:rsidRPr="00DB4B2E">
        <w:rPr>
          <w:rFonts w:ascii="Arial" w:eastAsia="Arial" w:hAnsi="Arial" w:cs="Arial"/>
          <w:lang w:eastAsia="en-PH"/>
        </w:rPr>
        <w:t xml:space="preserve"> </w:t>
      </w:r>
      <w:r w:rsidRPr="00DB4B2E">
        <w:rPr>
          <w:rFonts w:ascii="Arial" w:eastAsia="Arial" w:hAnsi="Arial" w:cs="Arial"/>
          <w:i/>
          <w:iCs/>
          <w:lang w:eastAsia="en-PH"/>
        </w:rPr>
        <w:t>et al.</w:t>
      </w:r>
      <w:r w:rsidRPr="00DB4B2E">
        <w:rPr>
          <w:rFonts w:ascii="Arial" w:eastAsia="Arial" w:hAnsi="Arial" w:cs="Arial"/>
          <w:lang w:eastAsia="en-PH"/>
        </w:rPr>
        <w:t xml:space="preserve"> (2011). In the same study, </w:t>
      </w:r>
      <w:proofErr w:type="spellStart"/>
      <w:r w:rsidRPr="00DB4B2E">
        <w:rPr>
          <w:rFonts w:ascii="Arial" w:eastAsia="Arial" w:hAnsi="Arial" w:cs="Arial"/>
          <w:lang w:eastAsia="en-PH"/>
        </w:rPr>
        <w:t>Rodkhum</w:t>
      </w:r>
      <w:proofErr w:type="spellEnd"/>
      <w:r w:rsidRPr="00DB4B2E">
        <w:rPr>
          <w:rFonts w:ascii="Arial" w:eastAsia="Arial" w:hAnsi="Arial" w:cs="Arial"/>
          <w:lang w:eastAsia="en-PH"/>
        </w:rPr>
        <w:t xml:space="preserve"> </w:t>
      </w:r>
      <w:r w:rsidRPr="00DB4B2E">
        <w:rPr>
          <w:rFonts w:ascii="Arial" w:eastAsia="Arial" w:hAnsi="Arial" w:cs="Arial"/>
          <w:i/>
          <w:iCs/>
          <w:lang w:eastAsia="en-PH"/>
        </w:rPr>
        <w:t xml:space="preserve">et al. </w:t>
      </w:r>
      <w:r w:rsidRPr="00DB4B2E">
        <w:rPr>
          <w:rFonts w:ascii="Arial" w:eastAsia="Arial" w:hAnsi="Arial" w:cs="Arial"/>
          <w:lang w:eastAsia="en-PH"/>
        </w:rPr>
        <w:t xml:space="preserve">(2011) further observed a 100% mortality rate in </w:t>
      </w:r>
      <w:r w:rsidRPr="00DB4B2E">
        <w:rPr>
          <w:rFonts w:ascii="Arial" w:eastAsia="Arial" w:hAnsi="Arial" w:cs="Arial"/>
          <w:i/>
          <w:lang w:eastAsia="en-PH"/>
        </w:rPr>
        <w:t>S. agalactiae</w:t>
      </w:r>
      <w:r w:rsidRPr="00DB4B2E">
        <w:rPr>
          <w:rFonts w:ascii="Arial" w:eastAsia="Arial" w:hAnsi="Arial" w:cs="Arial"/>
          <w:lang w:eastAsia="en-PH"/>
        </w:rPr>
        <w:t>-infected tilapia at 2 days PI at a dose of 10</w:t>
      </w:r>
      <w:r w:rsidRPr="00DB4B2E">
        <w:rPr>
          <w:rFonts w:ascii="Arial" w:eastAsia="Arial" w:hAnsi="Arial" w:cs="Arial"/>
          <w:vertAlign w:val="superscript"/>
          <w:lang w:eastAsia="en-PH"/>
        </w:rPr>
        <w:t>8</w:t>
      </w:r>
      <w:r w:rsidRPr="00DB4B2E">
        <w:rPr>
          <w:rFonts w:ascii="Arial" w:eastAsia="Arial" w:hAnsi="Arial" w:cs="Arial"/>
          <w:lang w:eastAsia="en-PH"/>
        </w:rPr>
        <w:t xml:space="preserve"> CFU/mL, increasing to 40% by 7 days PI. By comparison, Evans </w:t>
      </w:r>
      <w:r w:rsidRPr="00DB4B2E">
        <w:rPr>
          <w:rFonts w:ascii="Arial" w:eastAsia="Arial" w:hAnsi="Arial" w:cs="Arial"/>
          <w:i/>
          <w:iCs/>
          <w:lang w:eastAsia="en-PH"/>
        </w:rPr>
        <w:t xml:space="preserve">et al. </w:t>
      </w:r>
      <w:r w:rsidRPr="00DB4B2E">
        <w:rPr>
          <w:rFonts w:ascii="Arial" w:eastAsia="Arial" w:hAnsi="Arial" w:cs="Arial"/>
          <w:lang w:eastAsia="en-PH"/>
        </w:rPr>
        <w:t>(2002) reported a 30% mortality rate within 24 hours PI using a dose of 1.1 × 10</w:t>
      </w:r>
      <w:r w:rsidRPr="00DB4B2E">
        <w:rPr>
          <w:rFonts w:ascii="Arial" w:eastAsia="Arial" w:hAnsi="Arial" w:cs="Arial"/>
          <w:vertAlign w:val="superscript"/>
          <w:lang w:eastAsia="en-PH"/>
        </w:rPr>
        <w:t>5</w:t>
      </w:r>
      <w:r w:rsidRPr="00DB4B2E">
        <w:rPr>
          <w:rFonts w:ascii="Arial" w:eastAsia="Arial" w:hAnsi="Arial" w:cs="Arial"/>
          <w:lang w:eastAsia="en-PH"/>
        </w:rPr>
        <w:t xml:space="preserve"> CFU/</w:t>
      </w:r>
      <w:proofErr w:type="spellStart"/>
      <w:r w:rsidRPr="00DB4B2E">
        <w:rPr>
          <w:rFonts w:ascii="Arial" w:eastAsia="Arial" w:hAnsi="Arial" w:cs="Arial"/>
          <w:lang w:eastAsia="en-PH"/>
        </w:rPr>
        <w:t>mL.</w:t>
      </w:r>
      <w:proofErr w:type="spellEnd"/>
      <w:r w:rsidRPr="00DB4B2E">
        <w:rPr>
          <w:rFonts w:ascii="Arial" w:eastAsia="Arial" w:hAnsi="Arial" w:cs="Arial"/>
          <w:lang w:eastAsia="en-PH"/>
        </w:rPr>
        <w:t xml:space="preserve"> Other studies have documented mortality rates of 48% (9 × 10</w:t>
      </w:r>
      <w:r w:rsidRPr="00DB4B2E">
        <w:rPr>
          <w:rFonts w:ascii="Arial" w:eastAsia="Arial" w:hAnsi="Arial" w:cs="Arial"/>
          <w:vertAlign w:val="superscript"/>
          <w:lang w:eastAsia="en-PH"/>
        </w:rPr>
        <w:t>8</w:t>
      </w:r>
      <w:r w:rsidRPr="00DB4B2E">
        <w:rPr>
          <w:rFonts w:ascii="Arial" w:eastAsia="Arial" w:hAnsi="Arial" w:cs="Arial"/>
          <w:lang w:eastAsia="en-PH"/>
        </w:rPr>
        <w:t xml:space="preserve"> CFU/mL) and 90% (1.5 × 10</w:t>
      </w:r>
      <w:r w:rsidRPr="00DB4B2E">
        <w:rPr>
          <w:rFonts w:ascii="Arial" w:eastAsia="Arial" w:hAnsi="Arial" w:cs="Arial"/>
          <w:vertAlign w:val="superscript"/>
          <w:lang w:eastAsia="en-PH"/>
        </w:rPr>
        <w:t>8</w:t>
      </w:r>
      <w:r w:rsidRPr="00DB4B2E">
        <w:rPr>
          <w:rFonts w:ascii="Arial" w:eastAsia="Arial" w:hAnsi="Arial" w:cs="Arial"/>
          <w:lang w:eastAsia="en-PH"/>
        </w:rPr>
        <w:t xml:space="preserve"> CFU/mL) after 7 days PI (Pretto-Giordano </w:t>
      </w:r>
      <w:r w:rsidRPr="00DB4B2E">
        <w:rPr>
          <w:rFonts w:ascii="Arial" w:eastAsia="Arial" w:hAnsi="Arial" w:cs="Arial"/>
          <w:i/>
          <w:iCs/>
          <w:lang w:eastAsia="en-PH"/>
        </w:rPr>
        <w:t>et al.,</w:t>
      </w:r>
      <w:r w:rsidRPr="00DB4B2E">
        <w:rPr>
          <w:rFonts w:ascii="Arial" w:eastAsia="Arial" w:hAnsi="Arial" w:cs="Arial"/>
          <w:lang w:eastAsia="en-PH"/>
        </w:rPr>
        <w:t xml:space="preserve"> 2010).</w:t>
      </w:r>
    </w:p>
    <w:p w14:paraId="3D8DCFCF" w14:textId="77777777" w:rsidR="000C79FC" w:rsidRPr="00DB4B2E" w:rsidRDefault="000C79FC">
      <w:pPr>
        <w:pStyle w:val="NoSpacing"/>
        <w:jc w:val="both"/>
        <w:rPr>
          <w:rFonts w:ascii="Arial" w:eastAsia="Arial" w:hAnsi="Arial" w:cs="Arial"/>
          <w:shd w:val="clear" w:color="auto" w:fill="FFFFFF"/>
        </w:rPr>
      </w:pPr>
    </w:p>
    <w:p w14:paraId="046A05FB" w14:textId="77777777" w:rsidR="000C79FC" w:rsidRPr="00DB4B2E" w:rsidRDefault="00000000">
      <w:pPr>
        <w:pStyle w:val="NoSpacing"/>
        <w:jc w:val="both"/>
        <w:rPr>
          <w:rFonts w:ascii="Arial" w:eastAsia="Arial" w:hAnsi="Arial" w:cs="Arial"/>
          <w:b/>
          <w:bCs/>
        </w:rPr>
      </w:pPr>
      <w:r w:rsidRPr="00DB4B2E">
        <w:rPr>
          <w:rFonts w:ascii="Arial" w:eastAsia="Arial" w:hAnsi="Arial" w:cs="Arial"/>
          <w:b/>
          <w:bCs/>
        </w:rPr>
        <w:t xml:space="preserve">3.2 </w:t>
      </w:r>
      <w:proofErr w:type="spellStart"/>
      <w:r w:rsidRPr="00DB4B2E">
        <w:rPr>
          <w:rFonts w:ascii="Arial" w:eastAsia="Arial" w:hAnsi="Arial" w:cs="Arial"/>
          <w:b/>
          <w:bCs/>
        </w:rPr>
        <w:t>Nitroblue</w:t>
      </w:r>
      <w:proofErr w:type="spellEnd"/>
      <w:r w:rsidRPr="00DB4B2E">
        <w:rPr>
          <w:rFonts w:ascii="Arial" w:eastAsia="Arial" w:hAnsi="Arial" w:cs="Arial"/>
          <w:b/>
          <w:bCs/>
        </w:rPr>
        <w:t xml:space="preserve"> Tetrazolium (NBT) Assay</w:t>
      </w:r>
    </w:p>
    <w:p w14:paraId="72741020" w14:textId="77777777" w:rsidR="000C79FC" w:rsidRPr="00DB4B2E" w:rsidRDefault="000C79FC">
      <w:pPr>
        <w:pStyle w:val="NoSpacing"/>
        <w:jc w:val="both"/>
        <w:rPr>
          <w:rFonts w:ascii="Arial" w:eastAsia="Arial" w:hAnsi="Arial" w:cs="Arial"/>
        </w:rPr>
      </w:pPr>
    </w:p>
    <w:p w14:paraId="699B8054" w14:textId="77777777" w:rsidR="000C79FC" w:rsidRPr="00DB4B2E" w:rsidRDefault="00000000">
      <w:pPr>
        <w:pBdr>
          <w:top w:val="nil"/>
          <w:left w:val="nil"/>
          <w:bottom w:val="nil"/>
          <w:right w:val="nil"/>
          <w:between w:val="nil"/>
        </w:pBdr>
        <w:jc w:val="both"/>
      </w:pPr>
      <w:r w:rsidRPr="00DB4B2E">
        <w:t xml:space="preserve">The experimentally challenged red tilapia (T2, T3, and T4) exhibited higher NBT values than the control group (T1), indicating enhanced respiratory burst activity and increased production of reactive oxygen species (ROS) by phagocytic cells. This response reflects the activation of innate immune </w:t>
      </w:r>
      <w:proofErr w:type="spellStart"/>
      <w:r w:rsidRPr="00DB4B2E">
        <w:t>defences</w:t>
      </w:r>
      <w:proofErr w:type="spellEnd"/>
      <w:r w:rsidRPr="00DB4B2E">
        <w:t xml:space="preserve"> following bacterial challenge and represents one of the earliest cellular responses against invading pathogens. The respiratory burst, also known as the oxidative burst, is </w:t>
      </w:r>
      <w:proofErr w:type="spellStart"/>
      <w:r w:rsidRPr="00DB4B2E">
        <w:t>characterised</w:t>
      </w:r>
      <w:proofErr w:type="spellEnd"/>
      <w:r w:rsidRPr="00DB4B2E">
        <w:t xml:space="preserve"> by a rapid increase in ROS production by neutrophils, macrophages, and other professional phagocytes following microbial stimulation (Dalmo </w:t>
      </w:r>
      <w:r w:rsidRPr="00DB4B2E">
        <w:rPr>
          <w:i/>
          <w:iCs/>
        </w:rPr>
        <w:t xml:space="preserve">et al., </w:t>
      </w:r>
      <w:r w:rsidRPr="00DB4B2E">
        <w:t xml:space="preserve">1997; Neumann </w:t>
      </w:r>
      <w:r w:rsidRPr="00DB4B2E">
        <w:rPr>
          <w:i/>
          <w:iCs/>
        </w:rPr>
        <w:t xml:space="preserve">et al., </w:t>
      </w:r>
      <w:r w:rsidRPr="00DB4B2E">
        <w:t xml:space="preserve">2001; Rieger &amp; Barreda, 2011; Uribe </w:t>
      </w:r>
      <w:r w:rsidRPr="00DB4B2E">
        <w:rPr>
          <w:i/>
          <w:iCs/>
        </w:rPr>
        <w:t>et al.,</w:t>
      </w:r>
      <w:r w:rsidRPr="00DB4B2E">
        <w:t xml:space="preserve"> 2011; Esteban, 2023). These ROS play a crucial role in intracellular killing and degradation of microorganisms during phagocytosis by damaging bacterial membranes, proteins, and nucleic acids (Johnston </w:t>
      </w:r>
      <w:r w:rsidRPr="00DB4B2E">
        <w:rPr>
          <w:i/>
        </w:rPr>
        <w:t>et al.</w:t>
      </w:r>
      <w:r w:rsidRPr="00DB4B2E">
        <w:t xml:space="preserve">, 1978; Magnadóttir, 2006). During this process, NADPH oxidase transfers electrons to molecular oxygen, producing superoxide anions that are subsequently converted into hydrogen peroxide, hydroxyl radicals, and other reactive intermediates with potent antimicrobial activity (Esteban, 2023). Consequently, the reduction of </w:t>
      </w:r>
      <w:proofErr w:type="spellStart"/>
      <w:r w:rsidRPr="00DB4B2E">
        <w:t>Nitroblue</w:t>
      </w:r>
      <w:proofErr w:type="spellEnd"/>
      <w:r w:rsidRPr="00DB4B2E">
        <w:t xml:space="preserve"> Tetrazolium (NBT) to insoluble formazan remains a reliable indicator of respiratory burst activity and innate immune competence in fish (Anderson </w:t>
      </w:r>
      <w:r w:rsidRPr="00DB4B2E">
        <w:rPr>
          <w:i/>
          <w:iCs/>
        </w:rPr>
        <w:t xml:space="preserve">et al., </w:t>
      </w:r>
      <w:r w:rsidRPr="00DB4B2E">
        <w:t xml:space="preserve">1992; Uribe </w:t>
      </w:r>
      <w:r w:rsidRPr="00DB4B2E">
        <w:rPr>
          <w:i/>
          <w:iCs/>
        </w:rPr>
        <w:t>et al.,</w:t>
      </w:r>
      <w:r w:rsidRPr="00DB4B2E">
        <w:t xml:space="preserve"> 2011).</w:t>
      </w:r>
    </w:p>
    <w:p w14:paraId="0D96F527" w14:textId="77777777" w:rsidR="000C79FC" w:rsidRPr="00DB4B2E" w:rsidRDefault="000C79FC">
      <w:pPr>
        <w:pBdr>
          <w:top w:val="nil"/>
          <w:left w:val="nil"/>
          <w:bottom w:val="nil"/>
          <w:right w:val="nil"/>
          <w:between w:val="nil"/>
        </w:pBdr>
        <w:jc w:val="both"/>
      </w:pPr>
    </w:p>
    <w:p w14:paraId="73479C73" w14:textId="77777777" w:rsidR="000C79FC" w:rsidRPr="00DB4B2E" w:rsidRDefault="00000000">
      <w:pPr>
        <w:pBdr>
          <w:top w:val="nil"/>
          <w:left w:val="nil"/>
          <w:bottom w:val="nil"/>
          <w:right w:val="nil"/>
          <w:between w:val="nil"/>
        </w:pBdr>
        <w:jc w:val="both"/>
      </w:pPr>
      <w:r w:rsidRPr="00DB4B2E">
        <w:t>Compared with chemiluminescence assays, the NBT assay is less sensitive because it primarily detects intracellular ROS production (</w:t>
      </w:r>
      <w:proofErr w:type="spellStart"/>
      <w:r w:rsidRPr="00DB4B2E">
        <w:t>DeChatelet</w:t>
      </w:r>
      <w:proofErr w:type="spellEnd"/>
      <w:r w:rsidRPr="00DB4B2E">
        <w:rPr>
          <w:i/>
          <w:iCs/>
        </w:rPr>
        <w:t xml:space="preserve"> et al.,</w:t>
      </w:r>
      <w:r w:rsidRPr="00DB4B2E">
        <w:t xml:space="preserve"> 1982). Nevertheless, the method remains widely used because it is simple, rapid, inexpensive, and suitable for high-throughput microplate analysis. The assay permits the simultaneous evaluation of numerous samples while providing both qualitative and quantitative measurements through spectrophotometric determination of </w:t>
      </w:r>
      <w:proofErr w:type="spellStart"/>
      <w:r w:rsidRPr="00DB4B2E">
        <w:t>solubilised</w:t>
      </w:r>
      <w:proofErr w:type="spellEnd"/>
      <w:r w:rsidRPr="00DB4B2E">
        <w:t xml:space="preserve"> formazan crystals (</w:t>
      </w:r>
      <w:proofErr w:type="spellStart"/>
      <w:r w:rsidRPr="00DB4B2E">
        <w:t>Secombes</w:t>
      </w:r>
      <w:proofErr w:type="spellEnd"/>
      <w:r w:rsidRPr="00DB4B2E">
        <w:t>, 1990). These practical advantages continue to make the NBT assay one of the standard techniques for evaluating phagocytic activity and innate immune responses in fish immunological studies (Esteban, 2023).</w:t>
      </w:r>
    </w:p>
    <w:p w14:paraId="1D49EC54" w14:textId="77777777" w:rsidR="000C79FC" w:rsidRPr="00DB4B2E" w:rsidRDefault="000C79FC">
      <w:pPr>
        <w:pBdr>
          <w:top w:val="nil"/>
          <w:left w:val="nil"/>
          <w:bottom w:val="nil"/>
          <w:right w:val="nil"/>
          <w:between w:val="nil"/>
        </w:pBdr>
        <w:jc w:val="both"/>
      </w:pPr>
    </w:p>
    <w:p w14:paraId="37FC126E" w14:textId="77777777" w:rsidR="000C79FC" w:rsidRPr="00DB4B2E" w:rsidRDefault="00000000">
      <w:pPr>
        <w:pBdr>
          <w:top w:val="nil"/>
          <w:left w:val="nil"/>
          <w:bottom w:val="nil"/>
          <w:right w:val="nil"/>
          <w:between w:val="nil"/>
        </w:pBdr>
        <w:jc w:val="both"/>
      </w:pPr>
      <w:r w:rsidRPr="00DB4B2E">
        <w:t>In polymorphonuclear leukocytes, NBT reduction occurs at the plasma membrane through the action of membrane-bound NADPH oxidase (</w:t>
      </w:r>
      <w:proofErr w:type="spellStart"/>
      <w:r w:rsidRPr="00DB4B2E">
        <w:t>Baehner</w:t>
      </w:r>
      <w:proofErr w:type="spellEnd"/>
      <w:r w:rsidRPr="00DB4B2E">
        <w:t xml:space="preserve">, 1975; Briggs </w:t>
      </w:r>
      <w:r w:rsidRPr="00DB4B2E">
        <w:rPr>
          <w:i/>
          <w:iCs/>
        </w:rPr>
        <w:t xml:space="preserve">et al., </w:t>
      </w:r>
      <w:r w:rsidRPr="00DB4B2E">
        <w:t xml:space="preserve">1975). Similar membrane-associated electron transport systems occur in bacteria, where oxidative phosphorylation enzymes are </w:t>
      </w:r>
      <w:proofErr w:type="spellStart"/>
      <w:r w:rsidRPr="00DB4B2E">
        <w:t>localised</w:t>
      </w:r>
      <w:proofErr w:type="spellEnd"/>
      <w:r w:rsidRPr="00DB4B2E">
        <w:t xml:space="preserve"> within the cytoplasmic membrane. Because NBT competes with oxygen for electrons derived from NADPH or NADH, membrane permeability influences the reduction reaction (Baehner, 1975; Briggs </w:t>
      </w:r>
      <w:r w:rsidRPr="00DB4B2E">
        <w:rPr>
          <w:i/>
          <w:iCs/>
        </w:rPr>
        <w:t xml:space="preserve">et al., </w:t>
      </w:r>
      <w:r w:rsidRPr="00DB4B2E">
        <w:t>1975). The activation of membrane-bound oxidase during bacterial infection ultimately increases ROS production, thereby enhancing microbial killing (Uribe</w:t>
      </w:r>
      <w:r w:rsidRPr="00DB4B2E">
        <w:rPr>
          <w:i/>
          <w:iCs/>
        </w:rPr>
        <w:t xml:space="preserve"> et al.,</w:t>
      </w:r>
      <w:r w:rsidRPr="00DB4B2E">
        <w:t xml:space="preserve"> 2011; Esteban, 2023).</w:t>
      </w:r>
    </w:p>
    <w:p w14:paraId="5C5BDD7A" w14:textId="77777777" w:rsidR="000C79FC" w:rsidRPr="00DB4B2E" w:rsidRDefault="000C79FC">
      <w:pPr>
        <w:pBdr>
          <w:top w:val="nil"/>
          <w:left w:val="nil"/>
          <w:bottom w:val="nil"/>
          <w:right w:val="nil"/>
          <w:between w:val="nil"/>
        </w:pBdr>
        <w:jc w:val="both"/>
      </w:pPr>
    </w:p>
    <w:p w14:paraId="4B4C7127" w14:textId="77777777" w:rsidR="000C79FC" w:rsidRPr="00DB4B2E" w:rsidRDefault="00000000">
      <w:pPr>
        <w:pBdr>
          <w:top w:val="nil"/>
          <w:left w:val="nil"/>
          <w:bottom w:val="nil"/>
          <w:right w:val="nil"/>
          <w:between w:val="nil"/>
        </w:pBdr>
        <w:jc w:val="both"/>
      </w:pPr>
      <w:r w:rsidRPr="00DB4B2E">
        <w:t xml:space="preserve">The increased respiratory burst activity observed in the present study agrees with previous investigations demonstrating enhanced NBT activity following bacterial infection in teleost fish. Sahoo </w:t>
      </w:r>
      <w:r w:rsidRPr="00DB4B2E">
        <w:rPr>
          <w:i/>
          <w:iCs/>
        </w:rPr>
        <w:t xml:space="preserve">et al. </w:t>
      </w:r>
      <w:r w:rsidRPr="00DB4B2E">
        <w:t xml:space="preserve">(2005) reported elevated ROS production in phagocytes of Indian major carps, while Shariff </w:t>
      </w:r>
      <w:r w:rsidRPr="00DB4B2E">
        <w:rPr>
          <w:i/>
          <w:iCs/>
        </w:rPr>
        <w:t>et al.</w:t>
      </w:r>
      <w:r w:rsidRPr="00DB4B2E">
        <w:t xml:space="preserve"> </w:t>
      </w:r>
      <w:r w:rsidRPr="00DB4B2E">
        <w:rPr>
          <w:lang w:val="es-US"/>
        </w:rPr>
        <w:t xml:space="preserve">(2001), </w:t>
      </w:r>
      <w:proofErr w:type="spellStart"/>
      <w:r w:rsidRPr="00DB4B2E">
        <w:rPr>
          <w:lang w:val="es-US"/>
        </w:rPr>
        <w:t>Garcia</w:t>
      </w:r>
      <w:proofErr w:type="spellEnd"/>
      <w:r w:rsidRPr="00DB4B2E">
        <w:rPr>
          <w:lang w:val="es-US"/>
        </w:rPr>
        <w:t xml:space="preserve"> </w:t>
      </w:r>
      <w:r w:rsidRPr="00DB4B2E">
        <w:rPr>
          <w:i/>
          <w:iCs/>
          <w:lang w:val="es-US"/>
        </w:rPr>
        <w:t xml:space="preserve">et al. </w:t>
      </w:r>
      <w:r w:rsidRPr="00DB4B2E">
        <w:rPr>
          <w:lang w:val="es-US"/>
        </w:rPr>
        <w:t xml:space="preserve">(2007), Biller-Takahashi </w:t>
      </w:r>
      <w:r w:rsidRPr="00DB4B2E">
        <w:rPr>
          <w:i/>
          <w:iCs/>
          <w:lang w:val="es-US"/>
        </w:rPr>
        <w:t xml:space="preserve">et al. </w:t>
      </w:r>
      <w:r w:rsidRPr="00DB4B2E">
        <w:rPr>
          <w:lang w:val="es-US"/>
        </w:rPr>
        <w:t>(2013), Abdel-</w:t>
      </w:r>
      <w:r w:rsidRPr="00DB4B2E">
        <w:rPr>
          <w:lang w:val="es-US"/>
        </w:rPr>
        <w:lastRenderedPageBreak/>
        <w:t xml:space="preserve">Tawwab </w:t>
      </w:r>
      <w:r w:rsidRPr="00DB4B2E">
        <w:rPr>
          <w:i/>
          <w:lang w:val="es-US"/>
        </w:rPr>
        <w:t>et al.</w:t>
      </w:r>
      <w:r w:rsidRPr="00DB4B2E">
        <w:rPr>
          <w:lang w:val="es-US"/>
        </w:rPr>
        <w:t xml:space="preserve"> </w:t>
      </w:r>
      <w:r w:rsidRPr="002D3EC6">
        <w:rPr>
          <w:lang w:val="nl-BE"/>
        </w:rPr>
        <w:t xml:space="preserve">(2008), Aly </w:t>
      </w:r>
      <w:r w:rsidRPr="002D3EC6">
        <w:rPr>
          <w:i/>
          <w:iCs/>
          <w:lang w:val="nl-BE"/>
        </w:rPr>
        <w:t>et al.</w:t>
      </w:r>
      <w:r w:rsidRPr="002D3EC6">
        <w:rPr>
          <w:lang w:val="nl-BE"/>
        </w:rPr>
        <w:t xml:space="preserve"> (2015), Hardie </w:t>
      </w:r>
      <w:r w:rsidRPr="002D3EC6">
        <w:rPr>
          <w:i/>
          <w:iCs/>
          <w:lang w:val="nl-BE"/>
        </w:rPr>
        <w:t>et al.</w:t>
      </w:r>
      <w:r w:rsidRPr="002D3EC6">
        <w:rPr>
          <w:lang w:val="nl-BE"/>
        </w:rPr>
        <w:t xml:space="preserve"> (1996), and Roy </w:t>
      </w:r>
      <w:r w:rsidRPr="002D3EC6">
        <w:rPr>
          <w:i/>
          <w:iCs/>
          <w:lang w:val="nl-BE"/>
        </w:rPr>
        <w:t>et al.</w:t>
      </w:r>
      <w:r w:rsidRPr="002D3EC6">
        <w:rPr>
          <w:lang w:val="nl-BE"/>
        </w:rPr>
        <w:t xml:space="preserve"> </w:t>
      </w:r>
      <w:r w:rsidRPr="00DB4B2E">
        <w:t xml:space="preserve">(2019) likewise documented increased respiratory burst following bacterial challenge or vaccination. Similar responses have been </w:t>
      </w:r>
      <w:proofErr w:type="spellStart"/>
      <w:r w:rsidRPr="00DB4B2E">
        <w:t>recognised</w:t>
      </w:r>
      <w:proofErr w:type="spellEnd"/>
      <w:r w:rsidRPr="00DB4B2E">
        <w:t xml:space="preserve"> as characteristic features of innate immune activation during streptococcal infection in tilapia, where phagocyte activation and oxidative burst constitute essential mechanisms for limiting bacterial proliferation (Amal &amp; Zamri-Saad, 2011). These findings further support the present results, demonstrating that experimental infection with </w:t>
      </w:r>
      <w:r w:rsidRPr="00DB4B2E">
        <w:rPr>
          <w:i/>
        </w:rPr>
        <w:t>S. agalactiae</w:t>
      </w:r>
      <w:r w:rsidRPr="00DB4B2E">
        <w:t xml:space="preserve"> stimulates ROS production in red tilapia.</w:t>
      </w:r>
    </w:p>
    <w:p w14:paraId="4E9DCB38" w14:textId="77777777" w:rsidR="000C79FC" w:rsidRPr="00DB4B2E" w:rsidRDefault="000C79FC">
      <w:pPr>
        <w:pBdr>
          <w:top w:val="nil"/>
          <w:left w:val="nil"/>
          <w:bottom w:val="nil"/>
          <w:right w:val="nil"/>
          <w:between w:val="nil"/>
        </w:pBdr>
        <w:jc w:val="both"/>
      </w:pPr>
    </w:p>
    <w:p w14:paraId="168A0C52" w14:textId="77777777" w:rsidR="000C79FC" w:rsidRPr="00DB4B2E" w:rsidRDefault="00000000">
      <w:pPr>
        <w:pBdr>
          <w:top w:val="nil"/>
          <w:left w:val="nil"/>
          <w:bottom w:val="nil"/>
          <w:right w:val="nil"/>
          <w:between w:val="nil"/>
        </w:pBdr>
        <w:jc w:val="both"/>
      </w:pPr>
      <w:r w:rsidRPr="00DB4B2E">
        <w:t xml:space="preserve">The increase in NBT activity observed after bacterial challenge also reflects enhanced phagocytic function. During phagocytosis, leukocytes </w:t>
      </w:r>
      <w:proofErr w:type="spellStart"/>
      <w:r w:rsidRPr="00DB4B2E">
        <w:t>internalise</w:t>
      </w:r>
      <w:proofErr w:type="spellEnd"/>
      <w:r w:rsidRPr="00DB4B2E">
        <w:t xml:space="preserve"> invading microorganisms and generate ROS through the respiratory burst to destroy engulfed pathogens (MacArthur &amp; Fletcher, 1985). The increased oxidative metabolism reported in infected </w:t>
      </w:r>
      <w:proofErr w:type="spellStart"/>
      <w:r w:rsidRPr="00DB4B2E">
        <w:rPr>
          <w:i/>
        </w:rPr>
        <w:t>Labeo</w:t>
      </w:r>
      <w:proofErr w:type="spellEnd"/>
      <w:r w:rsidRPr="00DB4B2E">
        <w:rPr>
          <w:i/>
        </w:rPr>
        <w:t xml:space="preserve"> </w:t>
      </w:r>
      <w:proofErr w:type="spellStart"/>
      <w:r w:rsidRPr="00DB4B2E">
        <w:rPr>
          <w:i/>
        </w:rPr>
        <w:t>rohita</w:t>
      </w:r>
      <w:proofErr w:type="spellEnd"/>
      <w:r w:rsidRPr="00DB4B2E">
        <w:t xml:space="preserve"> by Roy </w:t>
      </w:r>
      <w:r w:rsidRPr="00DB4B2E">
        <w:rPr>
          <w:i/>
          <w:iCs/>
        </w:rPr>
        <w:t xml:space="preserve">et al. </w:t>
      </w:r>
      <w:r w:rsidRPr="00DB4B2E">
        <w:t xml:space="preserve">(2019) similarly corresponded with elevated antioxidant enzyme activity, indicating coordinated regulation of oxidative stress and host </w:t>
      </w:r>
      <w:proofErr w:type="spellStart"/>
      <w:r w:rsidRPr="00DB4B2E">
        <w:t>defence</w:t>
      </w:r>
      <w:proofErr w:type="spellEnd"/>
      <w:r w:rsidRPr="00DB4B2E">
        <w:t xml:space="preserve">. Recent reviews likewise </w:t>
      </w:r>
      <w:proofErr w:type="spellStart"/>
      <w:r w:rsidRPr="00DB4B2E">
        <w:t>emphasise</w:t>
      </w:r>
      <w:proofErr w:type="spellEnd"/>
      <w:r w:rsidRPr="00DB4B2E">
        <w:t xml:space="preserve"> that respiratory burst remains one of the most reliable biomarkers of innate immune activation and disease resistance in teleost fish (Uribe </w:t>
      </w:r>
      <w:r w:rsidRPr="00DB4B2E">
        <w:rPr>
          <w:i/>
          <w:iCs/>
        </w:rPr>
        <w:t>et al.,</w:t>
      </w:r>
      <w:r w:rsidRPr="00DB4B2E">
        <w:t xml:space="preserve"> 2011; Esteban, 2023; Magnadóttir, 2006).</w:t>
      </w:r>
    </w:p>
    <w:p w14:paraId="49076B9F" w14:textId="77777777" w:rsidR="000C79FC" w:rsidRPr="00DB4B2E" w:rsidRDefault="000C79FC">
      <w:pPr>
        <w:pBdr>
          <w:top w:val="nil"/>
          <w:left w:val="nil"/>
          <w:bottom w:val="nil"/>
          <w:right w:val="nil"/>
          <w:between w:val="nil"/>
        </w:pBdr>
        <w:jc w:val="both"/>
      </w:pPr>
    </w:p>
    <w:p w14:paraId="3CB897B1" w14:textId="27034ED7" w:rsidR="000C79FC" w:rsidRPr="00DB4B2E" w:rsidRDefault="00000000">
      <w:pPr>
        <w:pBdr>
          <w:top w:val="nil"/>
          <w:left w:val="nil"/>
          <w:bottom w:val="nil"/>
          <w:right w:val="nil"/>
          <w:between w:val="nil"/>
        </w:pBdr>
        <w:jc w:val="both"/>
      </w:pPr>
      <w:r w:rsidRPr="00DB4B2E">
        <w:t xml:space="preserve">Numerous studies have demonstrated that nutritional immunostimulants enhance respiratory burst activity in fish. Abu-Zahra </w:t>
      </w:r>
      <w:r w:rsidRPr="00DB4B2E">
        <w:rPr>
          <w:i/>
          <w:iCs/>
        </w:rPr>
        <w:t xml:space="preserve">et al. </w:t>
      </w:r>
      <w:r w:rsidRPr="00DB4B2E">
        <w:t>(2024) reported that dietary supplementation with ascorbic acid alone or in combination with oxytetracycline significantly increased NBT activity in Nile tilapia. Similar improvements in respiratory burst have been reported following supplementation with</w:t>
      </w:r>
      <w:r w:rsidRPr="00DB4B2E">
        <w:rPr>
          <w:i/>
          <w:iCs/>
        </w:rPr>
        <w:t xml:space="preserve"> Spirulina</w:t>
      </w:r>
      <w:r w:rsidRPr="00DB4B2E">
        <w:t xml:space="preserve">, cinnamon nanoparticles, thyme, peppermint, pink </w:t>
      </w:r>
      <w:proofErr w:type="spellStart"/>
      <w:r w:rsidRPr="00DB4B2E">
        <w:t>mempat</w:t>
      </w:r>
      <w:proofErr w:type="spellEnd"/>
      <w:r w:rsidRPr="00DB4B2E">
        <w:t xml:space="preserve">, β-glucans, probiotics, nucleotides, marine yeasts, and plant-derived immunostimulants (Abdel-Tawwab </w:t>
      </w:r>
      <w:r w:rsidRPr="00DB4B2E">
        <w:rPr>
          <w:i/>
          <w:iCs/>
        </w:rPr>
        <w:t>et al.,</w:t>
      </w:r>
      <w:r w:rsidRPr="00DB4B2E">
        <w:t xml:space="preserve"> 2018; Hassan </w:t>
      </w:r>
      <w:r w:rsidRPr="00DB4B2E">
        <w:rPr>
          <w:i/>
          <w:iCs/>
        </w:rPr>
        <w:t>et al.,</w:t>
      </w:r>
      <w:r w:rsidRPr="00DB4B2E">
        <w:t xml:space="preserve"> 2018; Harikrishnan </w:t>
      </w:r>
      <w:r w:rsidRPr="00DB4B2E">
        <w:rPr>
          <w:i/>
          <w:iCs/>
        </w:rPr>
        <w:t xml:space="preserve">et al., </w:t>
      </w:r>
      <w:r w:rsidRPr="00DB4B2E">
        <w:t>2010a, 2010b; Adel</w:t>
      </w:r>
      <w:r w:rsidRPr="00DB4B2E">
        <w:rPr>
          <w:i/>
          <w:iCs/>
        </w:rPr>
        <w:t xml:space="preserve"> et al.,</w:t>
      </w:r>
      <w:r w:rsidRPr="00DB4B2E">
        <w:t xml:space="preserve"> 2015; </w:t>
      </w:r>
      <w:proofErr w:type="spellStart"/>
      <w:r w:rsidRPr="00DB4B2E">
        <w:t>Rattanachaikunsopon</w:t>
      </w:r>
      <w:proofErr w:type="spellEnd"/>
      <w:r w:rsidRPr="00DB4B2E">
        <w:t xml:space="preserve"> &amp; </w:t>
      </w:r>
      <w:proofErr w:type="spellStart"/>
      <w:r w:rsidRPr="00DB4B2E">
        <w:t>Phumkhachorn</w:t>
      </w:r>
      <w:proofErr w:type="spellEnd"/>
      <w:r w:rsidRPr="00DB4B2E">
        <w:t xml:space="preserve">, 2010; Bilen </w:t>
      </w:r>
      <w:r w:rsidRPr="00DB4B2E">
        <w:rPr>
          <w:i/>
          <w:iCs/>
        </w:rPr>
        <w:t xml:space="preserve">et al., </w:t>
      </w:r>
      <w:r w:rsidRPr="00DB4B2E">
        <w:t xml:space="preserve">2013; Sakai </w:t>
      </w:r>
      <w:r w:rsidRPr="00DB4B2E">
        <w:rPr>
          <w:i/>
          <w:iCs/>
        </w:rPr>
        <w:t>et al.,</w:t>
      </w:r>
      <w:r w:rsidRPr="00DB4B2E">
        <w:t xml:space="preserve"> 1995, 2001; </w:t>
      </w:r>
      <w:r w:rsidR="002D3EC6" w:rsidRPr="002D3EC6">
        <w:t>Chang</w:t>
      </w:r>
      <w:r w:rsidRPr="00DB4B2E">
        <w:t xml:space="preserve"> </w:t>
      </w:r>
      <w:r w:rsidRPr="00DB4B2E">
        <w:rPr>
          <w:i/>
          <w:iCs/>
        </w:rPr>
        <w:t xml:space="preserve">et al., </w:t>
      </w:r>
      <w:r w:rsidRPr="00DB4B2E">
        <w:t xml:space="preserve">2003). More recently, comprehensive reviews have confirmed that phytogenic feed additives, probiotics, prebiotics, and β-glucans consistently enhance respiratory burst activity, phagocytosis, and resistance against bacterial diseases in cultured fish (Dawood </w:t>
      </w:r>
      <w:r w:rsidRPr="00DB4B2E">
        <w:rPr>
          <w:i/>
          <w:iCs/>
        </w:rPr>
        <w:t xml:space="preserve">et al., </w:t>
      </w:r>
      <w:r w:rsidRPr="00DB4B2E">
        <w:t>20</w:t>
      </w:r>
      <w:r w:rsidR="002D3EC6">
        <w:t>18</w:t>
      </w:r>
      <w:r w:rsidRPr="00DB4B2E">
        <w:t>). These observations support the concept that enhancement of NBT activity represents an effective indicator of improved innate immune responsiveness.</w:t>
      </w:r>
    </w:p>
    <w:p w14:paraId="10A02E7B" w14:textId="77777777" w:rsidR="000C79FC" w:rsidRPr="00DB4B2E" w:rsidRDefault="000C79FC">
      <w:pPr>
        <w:pBdr>
          <w:top w:val="nil"/>
          <w:left w:val="nil"/>
          <w:bottom w:val="nil"/>
          <w:right w:val="nil"/>
          <w:between w:val="nil"/>
        </w:pBdr>
        <w:jc w:val="both"/>
      </w:pPr>
    </w:p>
    <w:p w14:paraId="6C23DB9B" w14:textId="77777777" w:rsidR="000C79FC" w:rsidRPr="00DB4B2E" w:rsidRDefault="00000000">
      <w:pPr>
        <w:pBdr>
          <w:top w:val="nil"/>
          <w:left w:val="nil"/>
          <w:bottom w:val="nil"/>
          <w:right w:val="nil"/>
          <w:between w:val="nil"/>
        </w:pBdr>
        <w:jc w:val="both"/>
      </w:pPr>
      <w:r w:rsidRPr="00DB4B2E">
        <w:t>The NBT reduction assay may also be influenced by physiological condition, immune status, pathogen virulence, and bacterial cell-wall characteristics. Earlier studies suggested that interspecific differences in NBT reduction are largely attributable to differences in bacterial cell-wall architecture affecting NBT penetration rather than intrinsic oxidative metabolism (</w:t>
      </w:r>
      <w:proofErr w:type="spellStart"/>
      <w:r w:rsidRPr="00DB4B2E">
        <w:t>Fromtling</w:t>
      </w:r>
      <w:proofErr w:type="spellEnd"/>
      <w:r w:rsidRPr="00DB4B2E">
        <w:t xml:space="preserve"> &amp; Abruzzo, 1985; Morvan </w:t>
      </w:r>
      <w:r w:rsidRPr="00DB4B2E">
        <w:rPr>
          <w:i/>
          <w:iCs/>
        </w:rPr>
        <w:t>et al.,</w:t>
      </w:r>
      <w:r w:rsidRPr="00DB4B2E">
        <w:t xml:space="preserve"> 1994). Likewise, bacterial growth phase influences NBT reduction, with the highest activity generally occurring during the early logarithmic phase (Urban &amp; </w:t>
      </w:r>
      <w:proofErr w:type="spellStart"/>
      <w:r w:rsidRPr="00DB4B2E">
        <w:t>Järstrand</w:t>
      </w:r>
      <w:proofErr w:type="spellEnd"/>
      <w:r w:rsidRPr="00DB4B2E">
        <w:t xml:space="preserve">, 1979). Despite these variables, respiratory burst activity measured by the NBT assay remains one of the most informative and widely accepted biomarkers for evaluating innate immune activation in fish following bacterial infection (Uribe </w:t>
      </w:r>
      <w:r w:rsidRPr="00DB4B2E">
        <w:rPr>
          <w:i/>
          <w:iCs/>
        </w:rPr>
        <w:t xml:space="preserve">et al., </w:t>
      </w:r>
      <w:r w:rsidRPr="00DB4B2E">
        <w:t>2011; Esteban, 2023).</w:t>
      </w:r>
    </w:p>
    <w:p w14:paraId="36ACA89E" w14:textId="77777777" w:rsidR="000C79FC" w:rsidRPr="00DB4B2E" w:rsidRDefault="000C79FC">
      <w:pPr>
        <w:pStyle w:val="ql-align-justify"/>
        <w:pBdr>
          <w:top w:val="nil"/>
          <w:left w:val="nil"/>
          <w:bottom w:val="nil"/>
          <w:right w:val="nil"/>
          <w:between w:val="nil"/>
        </w:pBdr>
        <w:shd w:val="solid" w:color="FFFFFF" w:fill="auto"/>
        <w:spacing w:before="0" w:beforeAutospacing="0" w:after="0" w:afterAutospacing="0"/>
        <w:ind w:firstLine="12"/>
        <w:jc w:val="both"/>
        <w:rPr>
          <w:rFonts w:ascii="Arial" w:eastAsia="Arial" w:hAnsi="Arial" w:cs="Arial"/>
          <w:color w:val="000000"/>
          <w:sz w:val="20"/>
          <w:szCs w:val="20"/>
          <w:lang w:val="en-US"/>
        </w:rPr>
      </w:pPr>
    </w:p>
    <w:p w14:paraId="18CD910A" w14:textId="77777777" w:rsidR="000C79FC" w:rsidRPr="00DB4B2E" w:rsidRDefault="00000000">
      <w:pPr>
        <w:pStyle w:val="NoSpacing"/>
        <w:jc w:val="center"/>
        <w:rPr>
          <w:rFonts w:ascii="Arial" w:eastAsia="Arial" w:hAnsi="Arial" w:cs="Arial"/>
          <w:b/>
          <w:bCs/>
        </w:rPr>
      </w:pPr>
      <w:r>
        <w:rPr>
          <w:noProof/>
        </w:rPr>
        <w:lastRenderedPageBreak/>
        <w:pict w14:anchorId="483645FF">
          <v:shapetype id="_x0000_t202" coordsize="21600,21600" o:spt="202" path="m,l,21600r21600,l21600,xe">
            <v:stroke joinstyle="miter"/>
            <v:path gradientshapeok="t" o:connecttype="rect"/>
          </v:shapetype>
          <v:shape id="Textbox1" o:spid="_x0000_s2055" type="#_x0000_t202" style="position:absolute;left:0;text-align:left;margin-left:100.95pt;margin-top:203.75pt;width:264.9pt;height:20.2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" o:allowincell="f" filled="f" stroked="f" strokeweight="1pt">
            <v:textbox>
              <w:txbxContent>
                <w:p w14:paraId="4779660D" w14:textId="77777777" w:rsidR="000C79FC" w:rsidRDefault="00000000">
                  <w:pPr>
                    <w:spacing w:after="160" w:line="257" w:lineRule="auto"/>
                    <w:rPr>
                      <w:rFonts w:ascii="Times New Roman" w:eastAsia="Calibri" w:hAnsi="Times New Roman"/>
                      <w:color w:val="000000"/>
                    </w:rPr>
                  </w:pPr>
                  <w:r>
                    <w:rPr>
                      <w:rFonts w:ascii="Times New Roman" w:eastAsia="Calibri" w:hAnsi="Times New Roman"/>
                      <w:color w:val="000000"/>
                    </w:rPr>
                    <w:t>T1                         T2                         T3                         T4</w:t>
                  </w:r>
                </w:p>
              </w:txbxContent>
            </v:textbox>
          </v:shape>
        </w:pict>
      </w:r>
      <w:r w:rsidR="0070381D" w:rsidRPr="00DB4B2E">
        <w:rPr>
          <w:noProof/>
        </w:rPr>
        <w:drawing>
          <wp:inline distT="0" distB="0" distL="0" distR="0" wp14:anchorId="70745808" wp14:editId="3A62262A">
            <wp:extent cx="4587240" cy="2758440"/>
            <wp:effectExtent l="0" t="0" r="0" b="0"/>
            <wp:docPr id="2" name="Picture1"/>
            <wp:cNvGraphicFramePr/>
            <a:graphic xmlns:a="http://schemas.openxmlformats.org/drawingml/2006/main">
              <a:graphicData uri="http://schemas.openxmlformats.org/drawingml/2006/picture">
                <pic:pic xmlns:pic="http://schemas.openxmlformats.org/drawingml/2006/picture">
                  <pic:nvPicPr>
                    <pic:cNvPr id="2" name="Picture1"/>
                    <pic:cNvPicPr>
                      <a:extLst>
                        <a:ext uri="sm">
                          <sm:smNativeData xmlns="" xmlns:o="urn:schemas-microsoft-com:office:office" xmlns:v="urn:schemas-microsoft-com:vml" xmlns:w10="urn:schemas-microsoft-com:office:word" xmlns:w="http://schemas.openxmlformats.org/wordprocessingml/2006/main" xmlns:sm="sm" val="SMDATA_16_2whr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EAAAAB6AAAAAAAAAAAAAAAAAAAAAAAAAAAAAAAAAAAAAAAAAAAAAAOBwAAPgQAAAAAAAAAAAAAAAAAAAoAAAACAAAAAEAAAABAAAA"/>
                        </a:ext>
                      </a:extLst>
                    </pic:cNvPicPr>
                  </pic:nvPicPr>
                  <pic:blipFill>
                    <a:blip r:embed="rId7"/>
                    <a:stretch>
                      <a:fillRect/>
                    </a:stretch>
                  </pic:blipFill>
                  <pic:spPr>
                    <a:xfrm>
                      <a:off x="0" y="0"/>
                      <a:ext cx="4587240" cy="2758440"/>
                    </a:xfrm>
                    <a:prstGeom prst="rect">
                      <a:avLst/>
                    </a:prstGeom>
                    <a:noFill/>
                    <a:ln w="12700">
                      <a:noFill/>
                    </a:ln>
                  </pic:spPr>
                </pic:pic>
              </a:graphicData>
            </a:graphic>
          </wp:inline>
        </w:drawing>
      </w:r>
      <w:r w:rsidR="0070381D" w:rsidRPr="00DB4B2E">
        <w:rPr>
          <w:rFonts w:ascii="Arial" w:eastAsia="Arial" w:hAnsi="Arial" w:cs="Arial"/>
          <w:b/>
          <w:bCs/>
        </w:rPr>
        <w:t xml:space="preserve"> </w:t>
      </w:r>
    </w:p>
    <w:p w14:paraId="2141E5BB" w14:textId="77777777" w:rsidR="000C79FC" w:rsidRPr="00DB4B2E" w:rsidRDefault="00000000">
      <w:pPr>
        <w:pStyle w:val="NoSpacing"/>
        <w:ind w:left="414" w:right="441"/>
        <w:jc w:val="center"/>
        <w:rPr>
          <w:rFonts w:ascii="Arial" w:eastAsia="Arial" w:hAnsi="Arial" w:cs="Arial"/>
          <w:b/>
          <w:bCs/>
        </w:rPr>
      </w:pPr>
      <w:r w:rsidRPr="00DB4B2E">
        <w:rPr>
          <w:rFonts w:ascii="Arial" w:eastAsia="Arial" w:hAnsi="Arial" w:cs="Arial"/>
          <w:b/>
          <w:bCs/>
        </w:rPr>
        <w:t xml:space="preserve">Fig. 1. The results of NBT assay of red tilapia intraperitoneally injected with </w:t>
      </w:r>
      <w:r w:rsidRPr="00DB4B2E">
        <w:rPr>
          <w:rFonts w:ascii="Arial" w:eastAsia="Arial" w:hAnsi="Arial" w:cs="Arial"/>
          <w:b/>
          <w:bCs/>
          <w:i/>
          <w:iCs/>
        </w:rPr>
        <w:t>Streptococcus agalactiae</w:t>
      </w:r>
      <w:r w:rsidRPr="00DB4B2E">
        <w:rPr>
          <w:rFonts w:ascii="Arial" w:eastAsia="Arial" w:hAnsi="Arial" w:cs="Arial"/>
          <w:b/>
          <w:bCs/>
        </w:rPr>
        <w:t xml:space="preserve"> (T1 = control; 0.85% NaCl solution); T2 = 10</w:t>
      </w:r>
      <w:r w:rsidRPr="00DB4B2E">
        <w:rPr>
          <w:rFonts w:ascii="Arial" w:eastAsia="Arial" w:hAnsi="Arial" w:cs="Arial"/>
          <w:b/>
          <w:bCs/>
          <w:vertAlign w:val="superscript"/>
        </w:rPr>
        <w:t>6</w:t>
      </w:r>
      <w:r w:rsidRPr="00DB4B2E">
        <w:rPr>
          <w:rFonts w:ascii="Arial" w:eastAsia="Arial" w:hAnsi="Arial" w:cs="Arial"/>
          <w:b/>
          <w:bCs/>
        </w:rPr>
        <w:t xml:space="preserve"> CFU/mL</w:t>
      </w:r>
      <w:r w:rsidRPr="00DB4B2E">
        <w:rPr>
          <w:rFonts w:ascii="Arial" w:eastAsia="Arial" w:hAnsi="Arial" w:cs="Arial"/>
          <w:b/>
          <w:bCs/>
          <w:i/>
          <w:iCs/>
        </w:rPr>
        <w:t xml:space="preserve"> S. agalactiae</w:t>
      </w:r>
      <w:r w:rsidRPr="00DB4B2E">
        <w:rPr>
          <w:rFonts w:ascii="Arial" w:eastAsia="Arial" w:hAnsi="Arial" w:cs="Arial"/>
          <w:b/>
          <w:bCs/>
        </w:rPr>
        <w:t>; T3 = 10</w:t>
      </w:r>
      <w:r w:rsidRPr="00DB4B2E">
        <w:rPr>
          <w:rFonts w:ascii="Arial" w:eastAsia="Arial" w:hAnsi="Arial" w:cs="Arial"/>
          <w:b/>
          <w:bCs/>
          <w:vertAlign w:val="superscript"/>
        </w:rPr>
        <w:t>7</w:t>
      </w:r>
      <w:r w:rsidRPr="00DB4B2E">
        <w:rPr>
          <w:rFonts w:ascii="Arial" w:eastAsia="Arial" w:hAnsi="Arial" w:cs="Arial"/>
          <w:b/>
          <w:bCs/>
        </w:rPr>
        <w:t xml:space="preserve"> CFU/mL</w:t>
      </w:r>
      <w:r w:rsidRPr="00DB4B2E">
        <w:rPr>
          <w:rFonts w:ascii="Arial" w:eastAsia="Arial" w:hAnsi="Arial" w:cs="Arial"/>
          <w:b/>
          <w:bCs/>
          <w:i/>
          <w:iCs/>
        </w:rPr>
        <w:t xml:space="preserve"> S. agalactiae</w:t>
      </w:r>
      <w:r w:rsidRPr="00DB4B2E">
        <w:rPr>
          <w:rFonts w:ascii="Arial" w:eastAsia="Arial" w:hAnsi="Arial" w:cs="Arial"/>
          <w:b/>
          <w:bCs/>
        </w:rPr>
        <w:t>; T4 = 10</w:t>
      </w:r>
      <w:r w:rsidRPr="00DB4B2E">
        <w:rPr>
          <w:rFonts w:ascii="Arial" w:eastAsia="Arial" w:hAnsi="Arial" w:cs="Arial"/>
          <w:b/>
          <w:bCs/>
          <w:vertAlign w:val="superscript"/>
        </w:rPr>
        <w:t>8</w:t>
      </w:r>
      <w:r w:rsidRPr="00DB4B2E">
        <w:rPr>
          <w:rFonts w:ascii="Arial" w:eastAsia="Arial" w:hAnsi="Arial" w:cs="Arial"/>
          <w:b/>
          <w:bCs/>
        </w:rPr>
        <w:t xml:space="preserve"> CFU/mL</w:t>
      </w:r>
      <w:r w:rsidRPr="00DB4B2E">
        <w:rPr>
          <w:rFonts w:ascii="Arial" w:eastAsia="Arial" w:hAnsi="Arial" w:cs="Arial"/>
          <w:b/>
          <w:bCs/>
          <w:i/>
          <w:iCs/>
        </w:rPr>
        <w:t xml:space="preserve"> S. agalactiae</w:t>
      </w:r>
      <w:r w:rsidRPr="00DB4B2E">
        <w:rPr>
          <w:rFonts w:ascii="Arial" w:eastAsia="Arial" w:hAnsi="Arial" w:cs="Arial"/>
          <w:b/>
          <w:bCs/>
        </w:rPr>
        <w:t xml:space="preserve">); the same superscript not statistically significant at </w:t>
      </w:r>
      <w:r w:rsidRPr="00DB4B2E">
        <w:rPr>
          <w:rFonts w:ascii="Arial" w:eastAsia="Arial" w:hAnsi="Arial" w:cs="Arial"/>
          <w:b/>
          <w:bCs/>
          <w:i/>
          <w:iCs/>
        </w:rPr>
        <w:t>P</w:t>
      </w:r>
      <w:r w:rsidRPr="00DB4B2E">
        <w:rPr>
          <w:rFonts w:ascii="Arial" w:eastAsia="Arial" w:hAnsi="Arial" w:cs="Arial"/>
          <w:b/>
          <w:bCs/>
        </w:rPr>
        <w:t xml:space="preserve"> &gt; 0.05).</w:t>
      </w:r>
    </w:p>
    <w:p w14:paraId="7816FA24" w14:textId="77777777" w:rsidR="000C79FC" w:rsidRPr="00DB4B2E" w:rsidRDefault="000C79FC">
      <w:pPr>
        <w:pStyle w:val="NoSpacing"/>
        <w:jc w:val="both"/>
        <w:rPr>
          <w:rFonts w:ascii="Arial" w:eastAsia="Arial" w:hAnsi="Arial" w:cs="Arial"/>
          <w:b/>
          <w:bCs/>
        </w:rPr>
      </w:pPr>
    </w:p>
    <w:p w14:paraId="248734A9" w14:textId="77777777" w:rsidR="000C79FC" w:rsidRPr="00DB4B2E" w:rsidRDefault="00000000">
      <w:pPr>
        <w:pStyle w:val="NoSpacing"/>
        <w:jc w:val="both"/>
        <w:rPr>
          <w:rFonts w:ascii="Arial" w:eastAsia="Arial" w:hAnsi="Arial" w:cs="Arial"/>
          <w:b/>
          <w:bCs/>
        </w:rPr>
      </w:pPr>
      <w:r w:rsidRPr="00DB4B2E">
        <w:rPr>
          <w:rFonts w:ascii="Arial" w:eastAsia="Arial" w:hAnsi="Arial" w:cs="Arial"/>
          <w:b/>
          <w:bCs/>
        </w:rPr>
        <w:t>Lysozyme Activity</w:t>
      </w:r>
    </w:p>
    <w:p w14:paraId="71FBFB5A" w14:textId="77777777" w:rsidR="000C79FC" w:rsidRPr="00DB4B2E" w:rsidRDefault="000C79FC">
      <w:pPr>
        <w:pStyle w:val="NoSpacing"/>
        <w:jc w:val="both"/>
        <w:rPr>
          <w:rFonts w:ascii="Arial" w:eastAsia="Arial" w:hAnsi="Arial" w:cs="Arial"/>
          <w:b/>
          <w:bCs/>
        </w:rPr>
      </w:pPr>
    </w:p>
    <w:p w14:paraId="6AE6A23B" w14:textId="6B147D59"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The first line of </w:t>
      </w:r>
      <w:proofErr w:type="spellStart"/>
      <w:r w:rsidRPr="00DB4B2E">
        <w:rPr>
          <w:rFonts w:ascii="Arial" w:eastAsia="Arial" w:hAnsi="Arial" w:cs="Arial"/>
        </w:rPr>
        <w:t>defence</w:t>
      </w:r>
      <w:proofErr w:type="spellEnd"/>
      <w:r w:rsidRPr="00DB4B2E">
        <w:rPr>
          <w:rFonts w:ascii="Arial" w:eastAsia="Arial" w:hAnsi="Arial" w:cs="Arial"/>
        </w:rPr>
        <w:t xml:space="preserve"> in fish against infectious diseases is represented by antimicrobial peptides, lysozymes, antibodies, complement proteins, and other humoral factors that inhibit the adhesion, </w:t>
      </w:r>
      <w:proofErr w:type="spellStart"/>
      <w:r w:rsidRPr="00DB4B2E">
        <w:rPr>
          <w:rFonts w:ascii="Arial" w:eastAsia="Arial" w:hAnsi="Arial" w:cs="Arial"/>
        </w:rPr>
        <w:t>colonisation</w:t>
      </w:r>
      <w:proofErr w:type="spellEnd"/>
      <w:r w:rsidRPr="00DB4B2E">
        <w:rPr>
          <w:rFonts w:ascii="Arial" w:eastAsia="Arial" w:hAnsi="Arial" w:cs="Arial"/>
        </w:rPr>
        <w:t xml:space="preserve">, and proliferation of invading microorganisms (Jha </w:t>
      </w:r>
      <w:r w:rsidRPr="00DB4B2E">
        <w:rPr>
          <w:rFonts w:ascii="Arial" w:eastAsia="Arial" w:hAnsi="Arial" w:cs="Arial"/>
          <w:i/>
        </w:rPr>
        <w:t>et al.</w:t>
      </w:r>
      <w:r w:rsidRPr="00DB4B2E">
        <w:rPr>
          <w:rFonts w:ascii="Arial" w:eastAsia="Arial" w:hAnsi="Arial" w:cs="Arial"/>
        </w:rPr>
        <w:t xml:space="preserve">, 2007; Uribe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2011; Esteban, 2023). Lysozyme, together with neutrophils, monocytes, and macrophages present in marine and freshwater fish species, contributes to innate immunity by </w:t>
      </w:r>
      <w:proofErr w:type="spellStart"/>
      <w:r w:rsidRPr="00DB4B2E">
        <w:rPr>
          <w:rFonts w:ascii="Arial" w:eastAsia="Arial" w:hAnsi="Arial" w:cs="Arial"/>
        </w:rPr>
        <w:t>hydrolysing</w:t>
      </w:r>
      <w:proofErr w:type="spellEnd"/>
      <w:r w:rsidRPr="00DB4B2E">
        <w:rPr>
          <w:rFonts w:ascii="Arial" w:eastAsia="Arial" w:hAnsi="Arial" w:cs="Arial"/>
        </w:rPr>
        <w:t xml:space="preserve"> the peptidoglycan layer of bacterial cell walls, thereby promoting bacterial lysis and facilitating phagocytosis (Lie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1989; Saurabh &amp; Sahoo, 2008; Abreu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2009; Esteban, 2023). In addition to its direct bacteriolytic activity, lysozyme acts synergistically with the complement system and other innate immune components to enhance pathogen clearance (Uribe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2011; Esteban, 2023). Lysozyme levels vary depending on the tissue </w:t>
      </w:r>
      <w:proofErr w:type="spellStart"/>
      <w:r w:rsidRPr="00DB4B2E">
        <w:rPr>
          <w:rFonts w:ascii="Arial" w:eastAsia="Arial" w:hAnsi="Arial" w:cs="Arial"/>
        </w:rPr>
        <w:t>analysed</w:t>
      </w:r>
      <w:proofErr w:type="spellEnd"/>
      <w:r w:rsidRPr="00DB4B2E">
        <w:rPr>
          <w:rFonts w:ascii="Arial" w:eastAsia="Arial" w:hAnsi="Arial" w:cs="Arial"/>
        </w:rPr>
        <w:t xml:space="preserve"> in fish (Tort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2003), with renal tissue exhibiting relatively higher concentrations because of its abundance of leukocytes and </w:t>
      </w:r>
      <w:proofErr w:type="spellStart"/>
      <w:r w:rsidRPr="00DB4B2E">
        <w:rPr>
          <w:rFonts w:ascii="Arial" w:eastAsia="Arial" w:hAnsi="Arial" w:cs="Arial"/>
        </w:rPr>
        <w:t>haematopoietic</w:t>
      </w:r>
      <w:proofErr w:type="spellEnd"/>
      <w:r w:rsidRPr="00DB4B2E">
        <w:rPr>
          <w:rFonts w:ascii="Arial" w:eastAsia="Arial" w:hAnsi="Arial" w:cs="Arial"/>
        </w:rPr>
        <w:t xml:space="preserve"> cells (Lie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1989; </w:t>
      </w:r>
      <w:proofErr w:type="spellStart"/>
      <w:r w:rsidRPr="00DB4B2E">
        <w:rPr>
          <w:rFonts w:ascii="Arial" w:eastAsia="Arial" w:hAnsi="Arial" w:cs="Arial"/>
        </w:rPr>
        <w:t>Balfry</w:t>
      </w:r>
      <w:proofErr w:type="spellEnd"/>
      <w:r w:rsidRPr="00DB4B2E">
        <w:rPr>
          <w:rFonts w:ascii="Arial" w:eastAsia="Arial" w:hAnsi="Arial" w:cs="Arial"/>
        </w:rPr>
        <w:t xml:space="preserve"> &amp; Iwama, 2004). Furthermore, lysozyme is an important component of the mucosal immune system of </w:t>
      </w:r>
      <w:proofErr w:type="spellStart"/>
      <w:r w:rsidRPr="00DB4B2E">
        <w:rPr>
          <w:rFonts w:ascii="Arial" w:eastAsia="Arial" w:hAnsi="Arial" w:cs="Arial"/>
        </w:rPr>
        <w:t>teleosts</w:t>
      </w:r>
      <w:proofErr w:type="spellEnd"/>
      <w:r w:rsidRPr="00DB4B2E">
        <w:rPr>
          <w:rFonts w:ascii="Arial" w:eastAsia="Arial" w:hAnsi="Arial" w:cs="Arial"/>
        </w:rPr>
        <w:t>, providing protection at the skin, gills, and gastrointestinal tract, which constitute the primary interfaces between fish and the aquatic environment (Xu</w:t>
      </w:r>
      <w:r w:rsidRPr="00DB4B2E">
        <w:rPr>
          <w:rFonts w:ascii="Arial" w:eastAsia="Arial" w:hAnsi="Arial" w:cs="Arial"/>
          <w:i/>
          <w:iCs/>
        </w:rPr>
        <w:t xml:space="preserve"> et al</w:t>
      </w:r>
      <w:r w:rsidRPr="00DB4B2E">
        <w:rPr>
          <w:rFonts w:ascii="Arial" w:eastAsia="Arial" w:hAnsi="Arial" w:cs="Arial"/>
          <w:i/>
        </w:rPr>
        <w:t>.</w:t>
      </w:r>
      <w:r w:rsidRPr="00DB4B2E">
        <w:rPr>
          <w:rFonts w:ascii="Arial" w:eastAsia="Arial" w:hAnsi="Arial" w:cs="Arial"/>
        </w:rPr>
        <w:t>, 202</w:t>
      </w:r>
      <w:r w:rsidR="002D3EC6">
        <w:rPr>
          <w:rFonts w:ascii="Arial" w:eastAsia="Arial" w:hAnsi="Arial" w:cs="Arial"/>
        </w:rPr>
        <w:t>1</w:t>
      </w:r>
      <w:r w:rsidRPr="00DB4B2E">
        <w:rPr>
          <w:rFonts w:ascii="Arial" w:eastAsia="Arial" w:hAnsi="Arial" w:cs="Arial"/>
        </w:rPr>
        <w:t>).</w:t>
      </w:r>
    </w:p>
    <w:p w14:paraId="2CEA9910" w14:textId="77777777" w:rsidR="000C79FC" w:rsidRPr="00DB4B2E" w:rsidRDefault="000C79FC">
      <w:pPr>
        <w:pBdr>
          <w:top w:val="nil"/>
          <w:left w:val="nil"/>
          <w:bottom w:val="nil"/>
          <w:right w:val="nil"/>
          <w:between w:val="nil"/>
        </w:pBdr>
        <w:jc w:val="both"/>
        <w:rPr>
          <w:rFonts w:ascii="Arial" w:eastAsia="Arial" w:hAnsi="Arial" w:cs="Arial"/>
        </w:rPr>
      </w:pPr>
    </w:p>
    <w:p w14:paraId="3EFEB662"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In the current study, red tilapia exposed to </w:t>
      </w:r>
      <w:r w:rsidRPr="00DB4B2E">
        <w:rPr>
          <w:rFonts w:ascii="Arial" w:eastAsia="Arial" w:hAnsi="Arial" w:cs="Arial"/>
          <w:i/>
        </w:rPr>
        <w:t>Streptococcus agalactiae</w:t>
      </w:r>
      <w:r w:rsidRPr="00DB4B2E">
        <w:rPr>
          <w:rFonts w:ascii="Arial" w:eastAsia="Arial" w:hAnsi="Arial" w:cs="Arial"/>
        </w:rPr>
        <w:t xml:space="preserve">, particularly in treatment groups T3 and T4, exhibited increased blood lysozyme activity, indicating activation of the innate immune response following bacterial challenge. </w:t>
      </w:r>
      <w:r w:rsidRPr="00DB4B2E">
        <w:rPr>
          <w:rFonts w:ascii="Arial" w:eastAsia="Arial" w:hAnsi="Arial" w:cs="Arial"/>
          <w:szCs w:val="22"/>
        </w:rPr>
        <w:t>Similar increases in lysozyme activity and humoral immune parameters have recently been reported in tilapia receiving immunomodulatory dietary treatments and under bacterial challenge conditions (</w:t>
      </w:r>
      <w:proofErr w:type="spellStart"/>
      <w:r w:rsidRPr="00DB4B2E">
        <w:t>Meachasompop</w:t>
      </w:r>
      <w:proofErr w:type="spellEnd"/>
      <w:r w:rsidRPr="00DB4B2E">
        <w:t xml:space="preserve"> </w:t>
      </w:r>
      <w:r w:rsidRPr="00DB4B2E">
        <w:rPr>
          <w:i/>
          <w:iCs/>
        </w:rPr>
        <w:t>et al.,</w:t>
      </w:r>
      <w:r w:rsidRPr="00DB4B2E">
        <w:t xml:space="preserve"> 2026). </w:t>
      </w:r>
      <w:r w:rsidRPr="00DB4B2E">
        <w:rPr>
          <w:rFonts w:ascii="Arial" w:eastAsia="Arial" w:hAnsi="Arial" w:cs="Arial"/>
        </w:rPr>
        <w:t xml:space="preserve">Increased lysozyme activity represents a rapid </w:t>
      </w:r>
      <w:proofErr w:type="spellStart"/>
      <w:r w:rsidRPr="00DB4B2E">
        <w:rPr>
          <w:rFonts w:ascii="Arial" w:eastAsia="Arial" w:hAnsi="Arial" w:cs="Arial"/>
        </w:rPr>
        <w:t>defence</w:t>
      </w:r>
      <w:proofErr w:type="spellEnd"/>
      <w:r w:rsidRPr="00DB4B2E">
        <w:rPr>
          <w:rFonts w:ascii="Arial" w:eastAsia="Arial" w:hAnsi="Arial" w:cs="Arial"/>
        </w:rPr>
        <w:t xml:space="preserve"> mechanism against bacterial invasion and is one of the earliest indicators of immune activation in teleost fish (Uribe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2011; Esteban, 2023). Tort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(2003) likewise reported that elevated lysozyme concentrations play an important role in the natural </w:t>
      </w:r>
      <w:proofErr w:type="spellStart"/>
      <w:r w:rsidRPr="00DB4B2E">
        <w:rPr>
          <w:rFonts w:ascii="Arial" w:eastAsia="Arial" w:hAnsi="Arial" w:cs="Arial"/>
        </w:rPr>
        <w:t>defence</w:t>
      </w:r>
      <w:proofErr w:type="spellEnd"/>
      <w:r w:rsidRPr="00DB4B2E">
        <w:rPr>
          <w:rFonts w:ascii="Arial" w:eastAsia="Arial" w:hAnsi="Arial" w:cs="Arial"/>
        </w:rPr>
        <w:t xml:space="preserve"> mechanisms of fish. Serum lysozyme is believed to originate primarily from leukocytes (Lie </w:t>
      </w:r>
      <w:r w:rsidRPr="00DB4B2E">
        <w:rPr>
          <w:rFonts w:ascii="Arial" w:eastAsia="Arial" w:hAnsi="Arial" w:cs="Arial"/>
          <w:i/>
          <w:iCs/>
        </w:rPr>
        <w:lastRenderedPageBreak/>
        <w:t>et al</w:t>
      </w:r>
      <w:r w:rsidRPr="00DB4B2E">
        <w:rPr>
          <w:rFonts w:ascii="Arial" w:eastAsia="Arial" w:hAnsi="Arial" w:cs="Arial"/>
          <w:i/>
        </w:rPr>
        <w:t>.</w:t>
      </w:r>
      <w:r w:rsidRPr="00DB4B2E">
        <w:rPr>
          <w:rFonts w:ascii="Arial" w:eastAsia="Arial" w:hAnsi="Arial" w:cs="Arial"/>
        </w:rPr>
        <w:t>, 1989), and its activity has been associated with increased leukocyte counts (Fletcher, 1973) and antibody production (Vladimirov, 1968). The observed increase in lysozyme activity following experimental infection agrees with previous reports by Xie</w:t>
      </w:r>
      <w:r w:rsidRPr="00DB4B2E">
        <w:rPr>
          <w:rFonts w:ascii="Arial" w:eastAsia="Arial" w:hAnsi="Arial" w:cs="Arial"/>
          <w:i/>
          <w:iCs/>
        </w:rPr>
        <w:t xml:space="preserve"> et al</w:t>
      </w:r>
      <w:r w:rsidRPr="00DB4B2E">
        <w:rPr>
          <w:rFonts w:ascii="Arial" w:eastAsia="Arial" w:hAnsi="Arial" w:cs="Arial"/>
          <w:i/>
        </w:rPr>
        <w:t>.</w:t>
      </w:r>
      <w:r w:rsidRPr="00DB4B2E">
        <w:rPr>
          <w:rFonts w:ascii="Arial" w:eastAsia="Arial" w:hAnsi="Arial" w:cs="Arial"/>
        </w:rPr>
        <w:t xml:space="preserve"> (2008), Jian and Wu (2002), and Bilen</w:t>
      </w:r>
      <w:r w:rsidRPr="00DB4B2E">
        <w:rPr>
          <w:rFonts w:ascii="Arial" w:eastAsia="Arial" w:hAnsi="Arial" w:cs="Arial"/>
          <w:i/>
          <w:iCs/>
        </w:rPr>
        <w:t xml:space="preserve"> et al</w:t>
      </w:r>
      <w:r w:rsidRPr="00DB4B2E">
        <w:rPr>
          <w:rFonts w:ascii="Arial" w:eastAsia="Arial" w:hAnsi="Arial" w:cs="Arial"/>
          <w:i/>
        </w:rPr>
        <w:t>.</w:t>
      </w:r>
      <w:r w:rsidRPr="00DB4B2E">
        <w:rPr>
          <w:rFonts w:ascii="Arial" w:eastAsia="Arial" w:hAnsi="Arial" w:cs="Arial"/>
        </w:rPr>
        <w:t xml:space="preserve"> (2011), demonstrating that bacterial infection stimulates the production of antimicrobial enzymes as part of the host's non-specific immune response. Similar immune activation has been described during </w:t>
      </w:r>
      <w:proofErr w:type="spellStart"/>
      <w:r w:rsidRPr="00DB4B2E">
        <w:rPr>
          <w:rFonts w:ascii="Arial" w:eastAsia="Arial" w:hAnsi="Arial" w:cs="Arial"/>
        </w:rPr>
        <w:t>streptococcosis</w:t>
      </w:r>
      <w:proofErr w:type="spellEnd"/>
      <w:r w:rsidRPr="00DB4B2E">
        <w:rPr>
          <w:rFonts w:ascii="Arial" w:eastAsia="Arial" w:hAnsi="Arial" w:cs="Arial"/>
        </w:rPr>
        <w:t xml:space="preserve"> in tilapia, where </w:t>
      </w:r>
      <w:r w:rsidRPr="00DB4B2E">
        <w:rPr>
          <w:rFonts w:ascii="Arial" w:eastAsia="Arial" w:hAnsi="Arial" w:cs="Arial"/>
          <w:i/>
        </w:rPr>
        <w:t>S. agalactiae</w:t>
      </w:r>
      <w:r w:rsidRPr="00DB4B2E">
        <w:rPr>
          <w:rFonts w:ascii="Arial" w:eastAsia="Arial" w:hAnsi="Arial" w:cs="Arial"/>
        </w:rPr>
        <w:t xml:space="preserve"> infection induces phagocyte activation and enhanced antimicrobial </w:t>
      </w:r>
      <w:proofErr w:type="spellStart"/>
      <w:r w:rsidRPr="00DB4B2E">
        <w:rPr>
          <w:rFonts w:ascii="Arial" w:eastAsia="Arial" w:hAnsi="Arial" w:cs="Arial"/>
        </w:rPr>
        <w:t>defence</w:t>
      </w:r>
      <w:proofErr w:type="spellEnd"/>
      <w:r w:rsidRPr="00DB4B2E">
        <w:rPr>
          <w:rFonts w:ascii="Arial" w:eastAsia="Arial" w:hAnsi="Arial" w:cs="Arial"/>
        </w:rPr>
        <w:t xml:space="preserve"> mechanisms during the early stages of infection (Amal &amp; Zamri-Saad, 2011).</w:t>
      </w:r>
    </w:p>
    <w:p w14:paraId="4CA79096" w14:textId="77777777" w:rsidR="000C79FC" w:rsidRPr="00DB4B2E" w:rsidRDefault="000C79FC">
      <w:pPr>
        <w:pBdr>
          <w:top w:val="nil"/>
          <w:left w:val="nil"/>
          <w:bottom w:val="nil"/>
          <w:right w:val="nil"/>
          <w:between w:val="nil"/>
        </w:pBdr>
        <w:jc w:val="both"/>
        <w:rPr>
          <w:rFonts w:ascii="Arial" w:eastAsia="Arial" w:hAnsi="Arial" w:cs="Arial"/>
        </w:rPr>
      </w:pPr>
    </w:p>
    <w:p w14:paraId="5362B32B" w14:textId="50EA328E"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The enhancement of lysozyme activity observed in the present study is also consistent with numerous investigations demonstrating that dietary immunostimulants can augment innate immune responses in fish. Van Doan </w:t>
      </w:r>
      <w:r w:rsidRPr="00DB4B2E">
        <w:rPr>
          <w:rFonts w:ascii="Arial" w:eastAsia="Arial" w:hAnsi="Arial" w:cs="Arial"/>
          <w:i/>
          <w:iCs/>
        </w:rPr>
        <w:t>et al.</w:t>
      </w:r>
      <w:r w:rsidRPr="00DB4B2E">
        <w:rPr>
          <w:rFonts w:ascii="Arial" w:eastAsia="Arial" w:hAnsi="Arial" w:cs="Arial"/>
        </w:rPr>
        <w:t xml:space="preserve"> (2020) reported that berberine supplementation significantly increased skin-mucus lysozyme activity in Nile tilapia, likely through its immunomodulatory properties. Likewise, herbal-derived compounds positively influence gut-, skin-, and gill-associated lymphoid tissues, thereby enhancing mucosal immunity and disease resistance (</w:t>
      </w:r>
      <w:proofErr w:type="spellStart"/>
      <w:r w:rsidRPr="00DB4B2E">
        <w:rPr>
          <w:rFonts w:ascii="Arial" w:eastAsia="Arial" w:hAnsi="Arial" w:cs="Arial"/>
        </w:rPr>
        <w:t>Caipang</w:t>
      </w:r>
      <w:proofErr w:type="spellEnd"/>
      <w:r w:rsidRPr="00DB4B2E">
        <w:rPr>
          <w:rFonts w:ascii="Arial" w:eastAsia="Arial" w:hAnsi="Arial" w:cs="Arial"/>
        </w:rPr>
        <w:t xml:space="preserve">, 2015; Martin &amp; Krol, 2017; Vallejos-Vidal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2016; Xu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202</w:t>
      </w:r>
      <w:r w:rsidR="002D3EC6">
        <w:rPr>
          <w:rFonts w:ascii="Arial" w:eastAsia="Arial" w:hAnsi="Arial" w:cs="Arial"/>
        </w:rPr>
        <w:t>1</w:t>
      </w:r>
      <w:r w:rsidRPr="00DB4B2E">
        <w:rPr>
          <w:rFonts w:ascii="Arial" w:eastAsia="Arial" w:hAnsi="Arial" w:cs="Arial"/>
        </w:rPr>
        <w:t xml:space="preserve">). More recently, comprehensive reviews have highlighted that phytogenic feed additives, probiotics, prebiotics, and other natural immunostimulants consistently improve lysozyme activity, respiratory burst activity, and disease resistance in cultured fish (Dawood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w:t>
      </w:r>
      <w:r w:rsidR="002D3EC6" w:rsidRPr="002D3EC6">
        <w:rPr>
          <w:rFonts w:ascii="Arial" w:eastAsia="Arial" w:hAnsi="Arial" w:cs="Arial"/>
        </w:rPr>
        <w:t>2018</w:t>
      </w:r>
      <w:r w:rsidRPr="00DB4B2E">
        <w:rPr>
          <w:rFonts w:ascii="Arial" w:eastAsia="Arial" w:hAnsi="Arial" w:cs="Arial"/>
        </w:rPr>
        <w:t>).</w:t>
      </w:r>
    </w:p>
    <w:p w14:paraId="0C8048F3" w14:textId="77777777" w:rsidR="000C79FC" w:rsidRPr="00DB4B2E" w:rsidRDefault="000C79FC">
      <w:pPr>
        <w:pBdr>
          <w:top w:val="nil"/>
          <w:left w:val="nil"/>
          <w:bottom w:val="nil"/>
          <w:right w:val="nil"/>
          <w:between w:val="nil"/>
        </w:pBdr>
        <w:jc w:val="both"/>
        <w:rPr>
          <w:rFonts w:ascii="Arial" w:eastAsia="Arial" w:hAnsi="Arial" w:cs="Arial"/>
        </w:rPr>
      </w:pPr>
    </w:p>
    <w:p w14:paraId="307B3AF7" w14:textId="3C600BF2"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Similarly, Aly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(2024) and </w:t>
      </w:r>
      <w:proofErr w:type="spellStart"/>
      <w:r w:rsidRPr="00DB4B2E">
        <w:rPr>
          <w:rFonts w:ascii="Arial" w:eastAsia="Arial" w:hAnsi="Arial" w:cs="Arial"/>
        </w:rPr>
        <w:t>Dorucu</w:t>
      </w:r>
      <w:proofErr w:type="spellEnd"/>
      <w:r w:rsidRPr="00DB4B2E">
        <w:rPr>
          <w:rFonts w:ascii="Arial" w:eastAsia="Arial" w:hAnsi="Arial" w:cs="Arial"/>
        </w:rPr>
        <w:t xml:space="preserv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(2009) demonstrated that black cumin (</w:t>
      </w:r>
      <w:r w:rsidRPr="00DB4B2E">
        <w:rPr>
          <w:rFonts w:ascii="Arial" w:eastAsia="Arial" w:hAnsi="Arial" w:cs="Arial"/>
          <w:i/>
        </w:rPr>
        <w:t>Nigella sativa</w:t>
      </w:r>
      <w:r w:rsidRPr="00DB4B2E">
        <w:rPr>
          <w:rFonts w:ascii="Arial" w:eastAsia="Arial" w:hAnsi="Arial" w:cs="Arial"/>
        </w:rPr>
        <w:t xml:space="preserve">) enhances fish immunity by increasing lysozyme activity and serum bactericidal capacity. Maqsood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(2009) reported that dietary levamisole significantly increased lysozyme activity in common carp (</w:t>
      </w:r>
      <w:r w:rsidRPr="00DB4B2E">
        <w:rPr>
          <w:rFonts w:ascii="Arial" w:eastAsia="Arial" w:hAnsi="Arial" w:cs="Arial"/>
          <w:i/>
        </w:rPr>
        <w:t>Cyprinus carpio</w:t>
      </w:r>
      <w:r w:rsidRPr="00DB4B2E">
        <w:rPr>
          <w:rFonts w:ascii="Arial" w:eastAsia="Arial" w:hAnsi="Arial" w:cs="Arial"/>
        </w:rPr>
        <w:t xml:space="preserve">), while </w:t>
      </w:r>
      <w:proofErr w:type="spellStart"/>
      <w:r w:rsidRPr="00DB4B2E">
        <w:rPr>
          <w:rFonts w:ascii="Arial" w:eastAsia="Arial" w:hAnsi="Arial" w:cs="Arial"/>
        </w:rPr>
        <w:t>Gopalakannan</w:t>
      </w:r>
      <w:proofErr w:type="spellEnd"/>
      <w:r w:rsidRPr="00DB4B2E">
        <w:rPr>
          <w:rFonts w:ascii="Arial" w:eastAsia="Arial" w:hAnsi="Arial" w:cs="Arial"/>
        </w:rPr>
        <w:t xml:space="preserve"> and Venkatesan (2006) likewise observed elevated lysozyme levels in fish receiving levamisole supplementation. Administration of β-glucans has also been shown to stimulate lysozyme activity in Atlantic salmon (</w:t>
      </w:r>
      <w:r w:rsidRPr="00DB4B2E">
        <w:rPr>
          <w:rFonts w:ascii="Arial" w:eastAsia="Arial" w:hAnsi="Arial" w:cs="Arial"/>
          <w:i/>
        </w:rPr>
        <w:t xml:space="preserve">Salmo </w:t>
      </w:r>
      <w:proofErr w:type="spellStart"/>
      <w:r w:rsidRPr="00DB4B2E">
        <w:rPr>
          <w:rFonts w:ascii="Arial" w:eastAsia="Arial" w:hAnsi="Arial" w:cs="Arial"/>
          <w:i/>
        </w:rPr>
        <w:t>salar</w:t>
      </w:r>
      <w:proofErr w:type="spellEnd"/>
      <w:r w:rsidRPr="00DB4B2E">
        <w:rPr>
          <w:rFonts w:ascii="Arial" w:eastAsia="Arial" w:hAnsi="Arial" w:cs="Arial"/>
        </w:rPr>
        <w:t>) and turbot (</w:t>
      </w:r>
      <w:r w:rsidRPr="00DB4B2E">
        <w:rPr>
          <w:rFonts w:ascii="Arial" w:eastAsia="Arial" w:hAnsi="Arial" w:cs="Arial"/>
          <w:i/>
        </w:rPr>
        <w:t>Scophthalmus maximus</w:t>
      </w:r>
      <w:r w:rsidRPr="00DB4B2E">
        <w:rPr>
          <w:rFonts w:ascii="Arial" w:eastAsia="Arial" w:hAnsi="Arial" w:cs="Arial"/>
        </w:rPr>
        <w:t xml:space="preserve">) (Engstad </w:t>
      </w:r>
      <w:r w:rsidRPr="00DB4B2E">
        <w:rPr>
          <w:rFonts w:ascii="Arial" w:eastAsia="Arial" w:hAnsi="Arial" w:cs="Arial"/>
          <w:i/>
          <w:iCs/>
        </w:rPr>
        <w:t>et a</w:t>
      </w:r>
      <w:r w:rsidRPr="00DB4B2E">
        <w:rPr>
          <w:rFonts w:ascii="Arial" w:eastAsia="Arial" w:hAnsi="Arial" w:cs="Arial"/>
          <w:i/>
        </w:rPr>
        <w:t>l.</w:t>
      </w:r>
      <w:r w:rsidRPr="00DB4B2E">
        <w:rPr>
          <w:rFonts w:ascii="Arial" w:eastAsia="Arial" w:hAnsi="Arial" w:cs="Arial"/>
        </w:rPr>
        <w:t xml:space="preserve">, 1992; Jørgensen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1993). Recent reviews further confirm that natural immunostimulants, including medicinal plants, probiotics, β-glucans, and prebiotics, consistently enhance lysozyme production and improve resistance against bacterial pathogens in tilapia and other cultured fish species (Dawood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w:t>
      </w:r>
      <w:r w:rsidR="002D3EC6" w:rsidRPr="002D3EC6">
        <w:rPr>
          <w:rFonts w:ascii="Arial" w:eastAsia="Arial" w:hAnsi="Arial" w:cs="Arial"/>
        </w:rPr>
        <w:t>2018</w:t>
      </w:r>
      <w:r w:rsidRPr="00DB4B2E">
        <w:rPr>
          <w:rFonts w:ascii="Arial" w:eastAsia="Arial" w:hAnsi="Arial" w:cs="Arial"/>
        </w:rPr>
        <w:t>).</w:t>
      </w:r>
    </w:p>
    <w:p w14:paraId="0291E16A" w14:textId="77777777" w:rsidR="000C79FC" w:rsidRPr="00DB4B2E" w:rsidRDefault="000C79FC">
      <w:pPr>
        <w:pBdr>
          <w:top w:val="nil"/>
          <w:left w:val="nil"/>
          <w:bottom w:val="nil"/>
          <w:right w:val="nil"/>
          <w:between w:val="nil"/>
        </w:pBdr>
        <w:jc w:val="both"/>
        <w:rPr>
          <w:rFonts w:ascii="Arial" w:eastAsia="Arial" w:hAnsi="Arial" w:cs="Arial"/>
        </w:rPr>
      </w:pPr>
    </w:p>
    <w:p w14:paraId="31813E28" w14:textId="77777777" w:rsidR="000C79FC" w:rsidRPr="00DB4B2E" w:rsidRDefault="00000000">
      <w:pPr>
        <w:pBdr>
          <w:top w:val="nil"/>
          <w:left w:val="nil"/>
          <w:bottom w:val="nil"/>
          <w:right w:val="nil"/>
          <w:between w:val="nil"/>
        </w:pBdr>
        <w:jc w:val="both"/>
        <w:rPr>
          <w:rFonts w:ascii="Arial" w:eastAsia="Arial" w:hAnsi="Arial" w:cs="Arial"/>
        </w:rPr>
      </w:pPr>
      <w:r w:rsidRPr="00DB4B2E">
        <w:rPr>
          <w:rFonts w:ascii="Arial" w:eastAsia="Arial" w:hAnsi="Arial" w:cs="Arial"/>
        </w:rPr>
        <w:t xml:space="preserve">The relationship between elevated serum lysozyme activity and enhanced disease resistance has also been demonstrated in several fish species. Robertsen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(1994) associated increased lysozyme activity with improved phagocytic and bactericidal activities of head-kidney leukocytes. Similarly, higher lysozyme activity has been reported in goldfish (</w:t>
      </w:r>
      <w:r w:rsidRPr="00DB4B2E">
        <w:rPr>
          <w:rFonts w:ascii="Arial" w:eastAsia="Arial" w:hAnsi="Arial" w:cs="Arial"/>
          <w:i/>
        </w:rPr>
        <w:t>Carassius auratus</w:t>
      </w:r>
      <w:r w:rsidRPr="00DB4B2E">
        <w:rPr>
          <w:rFonts w:ascii="Arial" w:eastAsia="Arial" w:hAnsi="Arial" w:cs="Arial"/>
        </w:rPr>
        <w:t xml:space="preserve">) infested with </w:t>
      </w:r>
      <w:r w:rsidRPr="00DB4B2E">
        <w:rPr>
          <w:rFonts w:ascii="Arial" w:eastAsia="Arial" w:hAnsi="Arial" w:cs="Arial"/>
          <w:i/>
        </w:rPr>
        <w:t>Argulus</w:t>
      </w:r>
      <w:r w:rsidRPr="00DB4B2E">
        <w:rPr>
          <w:rFonts w:ascii="Arial" w:eastAsia="Arial" w:hAnsi="Arial" w:cs="Arial"/>
        </w:rPr>
        <w:t xml:space="preserve"> spp. and in fish infected with </w:t>
      </w:r>
      <w:proofErr w:type="spellStart"/>
      <w:r w:rsidRPr="00DB4B2E">
        <w:rPr>
          <w:rFonts w:ascii="Arial" w:eastAsia="Arial" w:hAnsi="Arial" w:cs="Arial"/>
          <w:i/>
        </w:rPr>
        <w:t>Ceratomyxa</w:t>
      </w:r>
      <w:proofErr w:type="spellEnd"/>
      <w:r w:rsidRPr="00DB4B2E">
        <w:rPr>
          <w:rFonts w:ascii="Arial" w:eastAsia="Arial" w:hAnsi="Arial" w:cs="Arial"/>
          <w:i/>
        </w:rPr>
        <w:t xml:space="preserve"> </w:t>
      </w:r>
      <w:proofErr w:type="spellStart"/>
      <w:r w:rsidRPr="00DB4B2E">
        <w:rPr>
          <w:rFonts w:ascii="Arial" w:eastAsia="Arial" w:hAnsi="Arial" w:cs="Arial"/>
          <w:i/>
        </w:rPr>
        <w:t>shasta</w:t>
      </w:r>
      <w:proofErr w:type="spellEnd"/>
      <w:r w:rsidRPr="00DB4B2E">
        <w:rPr>
          <w:rFonts w:ascii="Arial" w:eastAsia="Arial" w:hAnsi="Arial" w:cs="Arial"/>
        </w:rPr>
        <w:t xml:space="preserve"> (</w:t>
      </w:r>
      <w:proofErr w:type="spellStart"/>
      <w:r w:rsidRPr="00DB4B2E">
        <w:rPr>
          <w:rFonts w:ascii="Arial" w:eastAsia="Arial" w:hAnsi="Arial" w:cs="Arial"/>
        </w:rPr>
        <w:t>Foott</w:t>
      </w:r>
      <w:proofErr w:type="spellEnd"/>
      <w:r w:rsidRPr="00DB4B2E">
        <w:rPr>
          <w:rFonts w:ascii="Arial" w:eastAsia="Arial" w:hAnsi="Arial" w:cs="Arial"/>
        </w:rPr>
        <w:t xml:space="preserv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2004) and </w:t>
      </w:r>
      <w:proofErr w:type="spellStart"/>
      <w:r w:rsidRPr="00DB4B2E">
        <w:rPr>
          <w:rFonts w:ascii="Arial" w:eastAsia="Arial" w:hAnsi="Arial" w:cs="Arial"/>
          <w:i/>
        </w:rPr>
        <w:t>Sphaerospora</w:t>
      </w:r>
      <w:proofErr w:type="spellEnd"/>
      <w:r w:rsidRPr="00DB4B2E">
        <w:rPr>
          <w:rFonts w:ascii="Arial" w:eastAsia="Arial" w:hAnsi="Arial" w:cs="Arial"/>
          <w:i/>
        </w:rPr>
        <w:t xml:space="preserve"> </w:t>
      </w:r>
      <w:proofErr w:type="spellStart"/>
      <w:r w:rsidRPr="00DB4B2E">
        <w:rPr>
          <w:rFonts w:ascii="Arial" w:eastAsia="Arial" w:hAnsi="Arial" w:cs="Arial"/>
          <w:i/>
        </w:rPr>
        <w:t>dicentrarchi</w:t>
      </w:r>
      <w:proofErr w:type="spellEnd"/>
      <w:r w:rsidRPr="00DB4B2E">
        <w:rPr>
          <w:rFonts w:ascii="Arial" w:eastAsia="Arial" w:hAnsi="Arial" w:cs="Arial"/>
        </w:rPr>
        <w:t xml:space="preserve"> (Muñoz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xml:space="preserve">, 2000), suggesting that lysozyme production represents a </w:t>
      </w:r>
      <w:proofErr w:type="spellStart"/>
      <w:r w:rsidRPr="00DB4B2E">
        <w:rPr>
          <w:rFonts w:ascii="Arial" w:eastAsia="Arial" w:hAnsi="Arial" w:cs="Arial"/>
        </w:rPr>
        <w:t>generalised</w:t>
      </w:r>
      <w:proofErr w:type="spellEnd"/>
      <w:r w:rsidRPr="00DB4B2E">
        <w:rPr>
          <w:rFonts w:ascii="Arial" w:eastAsia="Arial" w:hAnsi="Arial" w:cs="Arial"/>
        </w:rPr>
        <w:t xml:space="preserve"> innate immune response against diverse pathogens. In Nile tilapia, dietary supplementation with 1% aqueous extract of pink </w:t>
      </w:r>
      <w:proofErr w:type="spellStart"/>
      <w:r w:rsidRPr="00DB4B2E">
        <w:rPr>
          <w:rFonts w:ascii="Arial" w:eastAsia="Arial" w:hAnsi="Arial" w:cs="Arial"/>
        </w:rPr>
        <w:t>mempat</w:t>
      </w:r>
      <w:proofErr w:type="spellEnd"/>
      <w:r w:rsidRPr="00DB4B2E">
        <w:rPr>
          <w:rFonts w:ascii="Arial" w:eastAsia="Arial" w:hAnsi="Arial" w:cs="Arial"/>
        </w:rPr>
        <w:t xml:space="preserve"> (</w:t>
      </w:r>
      <w:r w:rsidRPr="00DB4B2E">
        <w:rPr>
          <w:rFonts w:ascii="Arial" w:eastAsia="Arial" w:hAnsi="Arial" w:cs="Arial"/>
          <w:i/>
        </w:rPr>
        <w:t xml:space="preserve">Cratoxylum </w:t>
      </w:r>
      <w:proofErr w:type="spellStart"/>
      <w:r w:rsidRPr="00DB4B2E">
        <w:rPr>
          <w:rFonts w:ascii="Arial" w:eastAsia="Arial" w:hAnsi="Arial" w:cs="Arial"/>
          <w:i/>
        </w:rPr>
        <w:t>formosum</w:t>
      </w:r>
      <w:proofErr w:type="spellEnd"/>
      <w:r w:rsidRPr="00DB4B2E">
        <w:rPr>
          <w:rFonts w:ascii="Arial" w:eastAsia="Arial" w:hAnsi="Arial" w:cs="Arial"/>
        </w:rPr>
        <w:t xml:space="preserve">) significantly enhanced lysozyme activity following </w:t>
      </w:r>
      <w:r w:rsidRPr="00DB4B2E">
        <w:rPr>
          <w:rFonts w:ascii="Arial" w:eastAsia="Arial" w:hAnsi="Arial" w:cs="Arial"/>
          <w:i/>
        </w:rPr>
        <w:t>S. agalactiae</w:t>
      </w:r>
      <w:r w:rsidRPr="00DB4B2E">
        <w:rPr>
          <w:rFonts w:ascii="Arial" w:eastAsia="Arial" w:hAnsi="Arial" w:cs="Arial"/>
        </w:rPr>
        <w:t xml:space="preserve"> infection (</w:t>
      </w:r>
      <w:proofErr w:type="spellStart"/>
      <w:r w:rsidRPr="00DB4B2E">
        <w:rPr>
          <w:rFonts w:ascii="Arial" w:eastAsia="Arial" w:hAnsi="Arial" w:cs="Arial"/>
        </w:rPr>
        <w:t>Rattanachaikunsopon</w:t>
      </w:r>
      <w:proofErr w:type="spellEnd"/>
      <w:r w:rsidRPr="00DB4B2E">
        <w:rPr>
          <w:rFonts w:ascii="Arial" w:eastAsia="Arial" w:hAnsi="Arial" w:cs="Arial"/>
        </w:rPr>
        <w:t xml:space="preserve"> &amp; </w:t>
      </w:r>
      <w:proofErr w:type="spellStart"/>
      <w:r w:rsidRPr="00DB4B2E">
        <w:rPr>
          <w:rFonts w:ascii="Arial" w:eastAsia="Arial" w:hAnsi="Arial" w:cs="Arial"/>
        </w:rPr>
        <w:t>Phumkhachorn</w:t>
      </w:r>
      <w:proofErr w:type="spellEnd"/>
      <w:r w:rsidRPr="00DB4B2E">
        <w:rPr>
          <w:rFonts w:ascii="Arial" w:eastAsia="Arial" w:hAnsi="Arial" w:cs="Arial"/>
        </w:rPr>
        <w:t>, 2010). Likewise, rainbow trout (</w:t>
      </w:r>
      <w:r w:rsidRPr="00DB4B2E">
        <w:rPr>
          <w:rFonts w:ascii="Arial" w:eastAsia="Arial" w:hAnsi="Arial" w:cs="Arial"/>
          <w:i/>
        </w:rPr>
        <w:t>Oncorhynchus mykiss</w:t>
      </w:r>
      <w:r w:rsidRPr="00DB4B2E">
        <w:rPr>
          <w:rFonts w:ascii="Arial" w:eastAsia="Arial" w:hAnsi="Arial" w:cs="Arial"/>
        </w:rPr>
        <w:t>) challenged with a bacterial pathogen exhibited elevated lysozyme activity compared with untreated fish (Irianto &amp; Aust</w:t>
      </w:r>
      <w:r w:rsidRPr="00DB4B2E">
        <w:rPr>
          <w:rFonts w:ascii="Arial" w:eastAsia="Arial" w:hAnsi="Arial" w:cs="Arial"/>
          <w:i/>
          <w:iCs/>
        </w:rPr>
        <w:t>in</w:t>
      </w:r>
      <w:r w:rsidRPr="00DB4B2E">
        <w:rPr>
          <w:rFonts w:ascii="Arial" w:eastAsia="Arial" w:hAnsi="Arial" w:cs="Arial"/>
        </w:rPr>
        <w:t xml:space="preserve">, 2002). These findings collectively support the results of the present study and reinforce the importance of lysozyme as a reliable biomarker of innate immune activation and disease resistance in teleost fish (Uribe </w:t>
      </w:r>
      <w:r w:rsidRPr="00DB4B2E">
        <w:rPr>
          <w:rFonts w:ascii="Arial" w:eastAsia="Arial" w:hAnsi="Arial" w:cs="Arial"/>
          <w:i/>
          <w:iCs/>
        </w:rPr>
        <w:t>et al</w:t>
      </w:r>
      <w:r w:rsidRPr="00DB4B2E">
        <w:rPr>
          <w:rFonts w:ascii="Arial" w:eastAsia="Arial" w:hAnsi="Arial" w:cs="Arial"/>
          <w:i/>
        </w:rPr>
        <w:t>.</w:t>
      </w:r>
      <w:r w:rsidRPr="00DB4B2E">
        <w:rPr>
          <w:rFonts w:ascii="Arial" w:eastAsia="Arial" w:hAnsi="Arial" w:cs="Arial"/>
        </w:rPr>
        <w:t>, 2011; Esteban, 2023).</w:t>
      </w:r>
    </w:p>
    <w:p w14:paraId="463A432C" w14:textId="77777777" w:rsidR="000C79FC" w:rsidRPr="00DB4B2E" w:rsidRDefault="000C79FC">
      <w:pPr>
        <w:spacing w:before="100" w:beforeAutospacing="1" w:after="100" w:afterAutospacing="1"/>
        <w:contextualSpacing/>
        <w:jc w:val="both"/>
        <w:rPr>
          <w:rFonts w:ascii="Arial" w:eastAsia="Arial" w:hAnsi="Arial" w:cs="Arial"/>
          <w:lang w:eastAsia="en-PH"/>
        </w:rPr>
      </w:pPr>
    </w:p>
    <w:p w14:paraId="442FDA22" w14:textId="77777777" w:rsidR="000C79FC" w:rsidRPr="00DB4B2E" w:rsidRDefault="00000000">
      <w:pPr>
        <w:pStyle w:val="NoSpacing"/>
        <w:jc w:val="center"/>
        <w:rPr>
          <w:rFonts w:ascii="Arial" w:eastAsia="Arial" w:hAnsi="Arial" w:cs="Arial"/>
          <w:b/>
          <w:bCs/>
        </w:rPr>
      </w:pPr>
      <w:r>
        <w:rPr>
          <w:noProof/>
        </w:rPr>
        <w:lastRenderedPageBreak/>
        <w:pict w14:anchorId="12FAE0D7">
          <v:shape id="Textbox2" o:spid="_x0000_s2054" type="#_x0000_t202" style="position:absolute;left:0;text-align:left;margin-left:321.8pt;margin-top:12.7pt;width:30.75pt;height:25.7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" o:allowincell="f" filled="f" stroked="f" strokeweight="1pt">
            <v:textbox>
              <w:txbxContent>
                <w:p w14:paraId="7C9A1EC3" w14:textId="77777777" w:rsidR="000C79FC" w:rsidRDefault="00000000">
                  <w:pP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b</w:t>
                  </w:r>
                </w:p>
              </w:txbxContent>
            </v:textbox>
          </v:shape>
        </w:pict>
      </w:r>
      <w:r>
        <w:rPr>
          <w:noProof/>
        </w:rPr>
        <w:pict w14:anchorId="34123044">
          <v:shape id="Textbox3" o:spid="_x0000_s2053" type="#_x0000_t202" style="position:absolute;left:0;text-align:left;margin-left:243.8pt;margin-top:8.25pt;width:30.7pt;height:25.8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" o:allowincell="f" filled="f" stroked="f" strokeweight="1pt">
            <v:textbox>
              <w:txbxContent>
                <w:p w14:paraId="3D3F17F4" w14:textId="77777777" w:rsidR="000C79FC" w:rsidRDefault="00000000">
                  <w:pP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b</w:t>
                  </w:r>
                </w:p>
              </w:txbxContent>
            </v:textbox>
          </v:shape>
        </w:pict>
      </w:r>
      <w:r>
        <w:rPr>
          <w:noProof/>
        </w:rPr>
        <w:pict w14:anchorId="0CA5DB5F">
          <v:shape id="Textbox4" o:spid="_x0000_s2052" type="#_x0000_t202" style="position:absolute;left:0;text-align:left;margin-left:167.5pt;margin-top:42.25pt;width:30.75pt;height:25.7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" o:allowincell="f" filled="f" stroked="f" strokeweight="1pt">
            <v:textbox>
              <w:txbxContent>
                <w:p w14:paraId="23C90313" w14:textId="77777777" w:rsidR="000C79FC" w:rsidRDefault="00000000">
                  <w:pP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a</w:t>
                  </w:r>
                </w:p>
              </w:txbxContent>
            </v:textbox>
          </v:shape>
        </w:pict>
      </w:r>
      <w:r>
        <w:rPr>
          <w:noProof/>
        </w:rPr>
        <w:pict w14:anchorId="50CDFCA8">
          <v:shape id="Textbox5" o:spid="_x0000_s2051" type="#_x0000_t202" style="position:absolute;left:0;text-align:left;margin-left:93.2pt;margin-top:198.3pt;width:264.9pt;height:20.2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" o:allowincell="f" filled="f" stroked="f" strokeweight="1pt">
            <v:textbox>
              <w:txbxContent>
                <w:p w14:paraId="7FA14338" w14:textId="77777777" w:rsidR="000C79FC" w:rsidRDefault="00000000">
                  <w:pPr>
                    <w:spacing w:after="160" w:line="257" w:lineRule="auto"/>
                    <w:rPr>
                      <w:rFonts w:ascii="Times New Roman" w:eastAsia="Calibri" w:hAnsi="Times New Roman"/>
                      <w:color w:val="000000"/>
                    </w:rPr>
                  </w:pPr>
                  <w:r>
                    <w:rPr>
                      <w:rFonts w:ascii="Times New Roman" w:eastAsia="Calibri" w:hAnsi="Times New Roman"/>
                      <w:color w:val="000000"/>
                    </w:rPr>
                    <w:t>T1                          T2                          T3                           T4</w:t>
                  </w:r>
                </w:p>
              </w:txbxContent>
            </v:textbox>
          </v:shape>
        </w:pict>
      </w:r>
      <w:r>
        <w:rPr>
          <w:noProof/>
        </w:rPr>
        <w:pict w14:anchorId="792B8B08">
          <v:shape id="Textbox6" o:spid="_x0000_s2050" type="#_x0000_t202" style="position:absolute;left:0;text-align:left;margin-left:91.65pt;margin-top:43.4pt;width:30.75pt;height:27.8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" o:allowincell="f" filled="f" stroked="f" strokeweight="1pt">
            <v:textbox>
              <w:txbxContent>
                <w:p w14:paraId="610A2DA3" w14:textId="77777777" w:rsidR="000C79FC" w:rsidRDefault="00000000">
                  <w:pPr>
                    <w:spacing w:after="160" w:line="257" w:lineRule="auto"/>
                    <w:jc w:val="center"/>
                    <w:rPr>
                      <w:rFonts w:ascii="Calibri" w:eastAsia="Calibri" w:hAnsi="Calibri" w:cs="Arial"/>
                      <w:kern w:val="1"/>
                      <w:sz w:val="24"/>
                      <w:szCs w:val="24"/>
                      <w:lang w:val="en-PH"/>
                    </w:rPr>
                  </w:pPr>
                  <w:r>
                    <w:rPr>
                      <w:rFonts w:ascii="Calibri" w:eastAsia="Calibri" w:hAnsi="Calibri" w:cs="Arial"/>
                      <w:color w:val="000000"/>
                      <w:kern w:val="1"/>
                      <w:sz w:val="28"/>
                      <w:szCs w:val="28"/>
                    </w:rPr>
                    <w:t>a</w:t>
                  </w:r>
                </w:p>
              </w:txbxContent>
            </v:textbox>
          </v:shape>
        </w:pict>
      </w:r>
      <w:r w:rsidR="0070381D" w:rsidRPr="00DB4B2E">
        <w:rPr>
          <w:noProof/>
        </w:rPr>
        <w:drawing>
          <wp:inline distT="0" distB="0" distL="0" distR="0" wp14:anchorId="38C7F163" wp14:editId="69844066">
            <wp:extent cx="4602480" cy="2712720"/>
            <wp:effectExtent l="0" t="0" r="0" b="0"/>
            <wp:docPr id="3" name="Picture2"/>
            <wp:cNvGraphicFramePr/>
            <a:graphic xmlns:a="http://schemas.openxmlformats.org/drawingml/2006/main">
              <a:graphicData uri="http://schemas.openxmlformats.org/drawingml/2006/picture">
                <pic:pic xmlns:pic="http://schemas.openxmlformats.org/drawingml/2006/picture">
                  <pic:nvPicPr>
                    <pic:cNvPr id="3" name="Picture2"/>
                    <pic:cNvPicPr>
                      <a:extLst>
                        <a:ext uri="sm">
                          <sm:smNativeData xmlns="" xmlns:o="urn:schemas-microsoft-com:office:office" xmlns:v="urn:schemas-microsoft-com:vml" xmlns:w10="urn:schemas-microsoft-com:office:word" xmlns:w="http://schemas.openxmlformats.org/wordprocessingml/2006/main" xmlns:sm="sm" val="SMDATA_16_2whr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OAAAAB6AAAAAAAAAAAAAAAAAAAAAAAAAAAAAAAAAAAAAAAAAAAAAAUBwAALAQAAAAAAAAAAAAAAAAAAAoAAAACAAAAAEAAAABAAAA"/>
                        </a:ext>
                      </a:extLst>
                    </pic:cNvPicPr>
                  </pic:nvPicPr>
                  <pic:blipFill>
                    <a:blip r:embed="rId8">
                      <a:clrChange>
                        <a:clrFrom>
                          <a:srgbClr val="FFFFFF"/>
                        </a:clrFrom>
                        <a:clrTo>
                          <a:srgbClr val="FFFFFF">
                            <a:alpha val="0"/>
                          </a:srgbClr>
                        </a:clrTo>
                      </a:clrChange>
                    </a:blip>
                    <a:stretch>
                      <a:fillRect/>
                    </a:stretch>
                  </pic:blipFill>
                  <pic:spPr>
                    <a:xfrm>
                      <a:off x="0" y="0"/>
                      <a:ext cx="4602480" cy="2712720"/>
                    </a:xfrm>
                    <a:prstGeom prst="rect">
                      <a:avLst/>
                    </a:prstGeom>
                    <a:noFill/>
                    <a:ln w="12700">
                      <a:noFill/>
                    </a:ln>
                  </pic:spPr>
                </pic:pic>
              </a:graphicData>
            </a:graphic>
          </wp:inline>
        </w:drawing>
      </w:r>
    </w:p>
    <w:p w14:paraId="7AD01A72" w14:textId="77777777" w:rsidR="000C79FC" w:rsidRPr="00DB4B2E" w:rsidRDefault="00000000">
      <w:pPr>
        <w:pStyle w:val="NoSpacing"/>
        <w:ind w:left="414" w:right="441"/>
        <w:jc w:val="center"/>
        <w:rPr>
          <w:rFonts w:ascii="Arial" w:eastAsia="Arial" w:hAnsi="Arial" w:cs="Arial"/>
          <w:b/>
          <w:bCs/>
        </w:rPr>
      </w:pPr>
      <w:r w:rsidRPr="00DB4B2E">
        <w:rPr>
          <w:rFonts w:ascii="Arial" w:eastAsia="Arial" w:hAnsi="Arial" w:cs="Arial"/>
          <w:b/>
          <w:bCs/>
        </w:rPr>
        <w:t xml:space="preserve">Fig. 2. The result of lysozyme activity of red tilapia intraperitoneally injected with </w:t>
      </w:r>
      <w:r w:rsidRPr="00DB4B2E">
        <w:rPr>
          <w:rFonts w:ascii="Arial" w:eastAsia="Arial" w:hAnsi="Arial" w:cs="Arial"/>
          <w:b/>
          <w:bCs/>
          <w:i/>
          <w:iCs/>
        </w:rPr>
        <w:t>Streptococcus agalactiae</w:t>
      </w:r>
      <w:r w:rsidRPr="00DB4B2E">
        <w:rPr>
          <w:rFonts w:ascii="Arial" w:eastAsia="Arial" w:hAnsi="Arial" w:cs="Arial"/>
          <w:b/>
          <w:bCs/>
        </w:rPr>
        <w:t xml:space="preserve"> (T1 = control; 0.85% NaCl solution); T2 = 10</w:t>
      </w:r>
      <w:r w:rsidRPr="00DB4B2E">
        <w:rPr>
          <w:rFonts w:ascii="Arial" w:eastAsia="Arial" w:hAnsi="Arial" w:cs="Arial"/>
          <w:b/>
          <w:bCs/>
          <w:vertAlign w:val="superscript"/>
        </w:rPr>
        <w:t>6</w:t>
      </w:r>
      <w:r w:rsidRPr="00DB4B2E">
        <w:rPr>
          <w:rFonts w:ascii="Arial" w:eastAsia="Arial" w:hAnsi="Arial" w:cs="Arial"/>
          <w:b/>
          <w:bCs/>
        </w:rPr>
        <w:t xml:space="preserve"> CFU/mL</w:t>
      </w:r>
      <w:r w:rsidRPr="00DB4B2E">
        <w:rPr>
          <w:rFonts w:ascii="Arial" w:eastAsia="Arial" w:hAnsi="Arial" w:cs="Arial"/>
          <w:b/>
          <w:bCs/>
          <w:i/>
          <w:iCs/>
        </w:rPr>
        <w:t xml:space="preserve"> S. agalactiae</w:t>
      </w:r>
      <w:r w:rsidRPr="00DB4B2E">
        <w:rPr>
          <w:rFonts w:ascii="Arial" w:eastAsia="Arial" w:hAnsi="Arial" w:cs="Arial"/>
          <w:b/>
          <w:bCs/>
        </w:rPr>
        <w:t>; T3 = 10</w:t>
      </w:r>
      <w:r w:rsidRPr="00DB4B2E">
        <w:rPr>
          <w:rFonts w:ascii="Arial" w:eastAsia="Arial" w:hAnsi="Arial" w:cs="Arial"/>
          <w:b/>
          <w:bCs/>
          <w:vertAlign w:val="superscript"/>
        </w:rPr>
        <w:t>7</w:t>
      </w:r>
      <w:r w:rsidRPr="00DB4B2E">
        <w:rPr>
          <w:rFonts w:ascii="Arial" w:eastAsia="Arial" w:hAnsi="Arial" w:cs="Arial"/>
          <w:b/>
          <w:bCs/>
        </w:rPr>
        <w:t xml:space="preserve"> CFU/mL</w:t>
      </w:r>
      <w:r w:rsidRPr="00DB4B2E">
        <w:rPr>
          <w:rFonts w:ascii="Arial" w:eastAsia="Arial" w:hAnsi="Arial" w:cs="Arial"/>
          <w:b/>
          <w:bCs/>
          <w:i/>
          <w:iCs/>
        </w:rPr>
        <w:t xml:space="preserve"> S. agalactiae</w:t>
      </w:r>
      <w:r w:rsidRPr="00DB4B2E">
        <w:rPr>
          <w:rFonts w:ascii="Arial" w:eastAsia="Arial" w:hAnsi="Arial" w:cs="Arial"/>
          <w:b/>
          <w:bCs/>
        </w:rPr>
        <w:t>; T4 = CFU/mL 10</w:t>
      </w:r>
      <w:r w:rsidRPr="00DB4B2E">
        <w:rPr>
          <w:rFonts w:ascii="Arial" w:eastAsia="Arial" w:hAnsi="Arial" w:cs="Arial"/>
          <w:b/>
          <w:bCs/>
          <w:vertAlign w:val="superscript"/>
        </w:rPr>
        <w:t>8</w:t>
      </w:r>
      <w:r w:rsidRPr="00DB4B2E">
        <w:rPr>
          <w:rFonts w:ascii="Arial" w:eastAsia="Arial" w:hAnsi="Arial" w:cs="Arial"/>
          <w:b/>
          <w:bCs/>
        </w:rPr>
        <w:t xml:space="preserve"> </w:t>
      </w:r>
      <w:r w:rsidRPr="00DB4B2E">
        <w:rPr>
          <w:rFonts w:ascii="Arial" w:eastAsia="Arial" w:hAnsi="Arial" w:cs="Arial"/>
          <w:b/>
          <w:bCs/>
          <w:i/>
          <w:iCs/>
        </w:rPr>
        <w:t>S. agalactiae</w:t>
      </w:r>
      <w:r w:rsidRPr="00DB4B2E">
        <w:rPr>
          <w:rFonts w:ascii="Arial" w:eastAsia="Arial" w:hAnsi="Arial" w:cs="Arial"/>
          <w:b/>
          <w:bCs/>
        </w:rPr>
        <w:t xml:space="preserve">); different superscript statistically significant at </w:t>
      </w:r>
      <w:r w:rsidRPr="00DB4B2E">
        <w:rPr>
          <w:rFonts w:ascii="Arial" w:eastAsia="Arial" w:hAnsi="Arial" w:cs="Arial"/>
          <w:b/>
          <w:bCs/>
          <w:i/>
          <w:iCs/>
        </w:rPr>
        <w:t>P</w:t>
      </w:r>
      <w:r w:rsidRPr="00DB4B2E">
        <w:rPr>
          <w:rFonts w:ascii="Arial" w:eastAsia="Arial" w:hAnsi="Arial" w:cs="Arial"/>
          <w:b/>
          <w:bCs/>
        </w:rPr>
        <w:t xml:space="preserve"> &lt; 0.05).</w:t>
      </w:r>
    </w:p>
    <w:p w14:paraId="1C938E4A" w14:textId="77777777" w:rsidR="000C79FC" w:rsidRPr="00DB4B2E" w:rsidRDefault="000C79FC">
      <w:pPr>
        <w:pStyle w:val="NoSpacing"/>
        <w:ind w:left="414" w:right="1138"/>
        <w:jc w:val="both"/>
        <w:rPr>
          <w:rFonts w:ascii="Arial" w:eastAsia="Arial" w:hAnsi="Arial" w:cs="Arial"/>
        </w:rPr>
      </w:pPr>
    </w:p>
    <w:p w14:paraId="63C65E8F" w14:textId="77777777" w:rsidR="000C79FC" w:rsidRPr="00DB4B2E" w:rsidRDefault="00000000">
      <w:pPr>
        <w:pStyle w:val="ConcHead"/>
        <w:spacing w:after="0"/>
        <w:jc w:val="both"/>
        <w:rPr>
          <w:rFonts w:ascii="Arial" w:hAnsi="Arial" w:cs="Arial"/>
        </w:rPr>
      </w:pPr>
      <w:r w:rsidRPr="00DB4B2E">
        <w:rPr>
          <w:rFonts w:ascii="Arial" w:hAnsi="Arial" w:cs="Arial"/>
        </w:rPr>
        <w:t>4. CONCLUSION</w:t>
      </w:r>
    </w:p>
    <w:p w14:paraId="4C267E32" w14:textId="77777777" w:rsidR="000C79FC" w:rsidRPr="00DB4B2E" w:rsidRDefault="000C79FC">
      <w:pPr>
        <w:pStyle w:val="ConcHead"/>
        <w:spacing w:after="0"/>
        <w:jc w:val="both"/>
        <w:rPr>
          <w:rFonts w:ascii="Arial" w:hAnsi="Arial" w:cs="Arial"/>
        </w:rPr>
      </w:pPr>
    </w:p>
    <w:p w14:paraId="31017888" w14:textId="53FA91CE" w:rsidR="000C79FC" w:rsidRDefault="00214BA2">
      <w:pPr>
        <w:pStyle w:val="ReferHead"/>
        <w:spacing w:after="0"/>
        <w:jc w:val="both"/>
        <w:rPr>
          <w:rFonts w:ascii="Arial" w:eastAsia="Arial" w:hAnsi="Arial" w:cs="Arial"/>
          <w:b w:val="0"/>
          <w:caps w:val="0"/>
          <w:sz w:val="20"/>
        </w:rPr>
      </w:pPr>
      <w:r w:rsidRPr="00214BA2">
        <w:rPr>
          <w:rFonts w:ascii="Arial" w:eastAsia="Arial" w:hAnsi="Arial" w:cs="Arial"/>
          <w:b w:val="0"/>
          <w:caps w:val="0"/>
          <w:sz w:val="20"/>
        </w:rPr>
        <w:t xml:space="preserve">This study demonstrated that red tilapia developed measurable innate immune responses following intraperitoneal challenge with Streptococcus agalactiae, despite the absence of visible clinical signs, morbidity, or mortality during the 10-day observation period. Respiratory burst activity, assessed using the </w:t>
      </w:r>
      <w:proofErr w:type="spellStart"/>
      <w:r w:rsidRPr="00214BA2">
        <w:rPr>
          <w:rFonts w:ascii="Arial" w:eastAsia="Arial" w:hAnsi="Arial" w:cs="Arial"/>
          <w:b w:val="0"/>
          <w:caps w:val="0"/>
          <w:sz w:val="20"/>
        </w:rPr>
        <w:t>nitroblue</w:t>
      </w:r>
      <w:proofErr w:type="spellEnd"/>
      <w:r w:rsidRPr="00214BA2">
        <w:rPr>
          <w:rFonts w:ascii="Arial" w:eastAsia="Arial" w:hAnsi="Arial" w:cs="Arial"/>
          <w:b w:val="0"/>
          <w:caps w:val="0"/>
          <w:sz w:val="20"/>
        </w:rPr>
        <w:t xml:space="preserve"> tetrazolium assay, increased progressively across the bacterial challenge concentrations; however, the differences among treatments were not statistically significant. In contrast, serum lysozyme activity was significantly higher in fish challenged with 10⁷ and 10⁸ CFU/mL than in the control group, indicating a stronger humoral response at the higher bacterial concentrations. Taken together, these results suggest that the challenged fish activated both cellular and humoral components of innate immunity under the experimental conditions, although the lysozyme response was more clearly differentiated among treatments. The findings support the use of NBT reduction and lysozyme activity as complementary indicators for assessing early immune responses in red tilapia after experimental exposure to S. agalactiae. Further studies should include longer observation periods, water-quality monitoring, additional immune and pathological measurements, and alternative challenge routes to clarify the relationship between immune activation and clinical disease.</w:t>
      </w:r>
    </w:p>
    <w:p w14:paraId="107C93CA" w14:textId="77777777" w:rsidR="006D2CBC" w:rsidRDefault="006D2CBC">
      <w:pPr>
        <w:pStyle w:val="ReferHead"/>
        <w:spacing w:after="0"/>
        <w:jc w:val="both"/>
        <w:rPr>
          <w:rFonts w:ascii="Arial" w:hAnsi="Arial" w:cs="Arial"/>
        </w:rPr>
      </w:pPr>
    </w:p>
    <w:p w14:paraId="2DA6952D" w14:textId="77777777" w:rsidR="002F511D" w:rsidRPr="002F511D" w:rsidRDefault="002F511D" w:rsidP="002F511D">
      <w:pPr>
        <w:spacing w:before="100" w:beforeAutospacing="1" w:after="100" w:afterAutospacing="1"/>
        <w:outlineLvl w:val="1"/>
        <w:rPr>
          <w:rFonts w:ascii="Times New Roman" w:hAnsi="Times New Roman"/>
          <w:b/>
          <w:bCs/>
          <w:sz w:val="28"/>
          <w:szCs w:val="28"/>
        </w:rPr>
      </w:pPr>
      <w:r w:rsidRPr="002F511D">
        <w:rPr>
          <w:rFonts w:ascii="Times New Roman" w:hAnsi="Times New Roman"/>
          <w:b/>
          <w:bCs/>
          <w:sz w:val="28"/>
          <w:szCs w:val="28"/>
        </w:rPr>
        <w:t>Limitations</w:t>
      </w:r>
    </w:p>
    <w:p w14:paraId="6AB5BA15" w14:textId="77777777" w:rsidR="002F511D" w:rsidRPr="00165C95" w:rsidRDefault="002F511D" w:rsidP="002F511D">
      <w:pPr>
        <w:spacing w:before="100" w:beforeAutospacing="1" w:after="100" w:afterAutospacing="1"/>
        <w:rPr>
          <w:rFonts w:ascii="Arial" w:hAnsi="Arial" w:cs="Arial"/>
        </w:rPr>
      </w:pPr>
      <w:r w:rsidRPr="00165C95">
        <w:rPr>
          <w:rFonts w:ascii="Arial" w:hAnsi="Arial" w:cs="Arial"/>
        </w:rPr>
        <w:t xml:space="preserve">This study was limited to a 10-day observation period and did not monitor water-quality parameters. The challenge used one bacterial isolate and an intraperitoneal route, which may not fully represent natural exposure. Immune assessment was restricted to NBT reduction and serum lysozyme activity, and no bacterial-load, </w:t>
      </w:r>
      <w:proofErr w:type="spellStart"/>
      <w:r w:rsidRPr="00165C95">
        <w:rPr>
          <w:rFonts w:ascii="Arial" w:hAnsi="Arial" w:cs="Arial"/>
        </w:rPr>
        <w:t>reisolation</w:t>
      </w:r>
      <w:proofErr w:type="spellEnd"/>
      <w:r w:rsidRPr="00165C95">
        <w:rPr>
          <w:rFonts w:ascii="Arial" w:hAnsi="Arial" w:cs="Arial"/>
        </w:rPr>
        <w:t>, histopathological, or broader immunological measurements were reported. The absence of clinical signs, morbidity, and mortality should therefore be interpreted only within the experimental conditions and challenge design used.</w:t>
      </w:r>
    </w:p>
    <w:p w14:paraId="7C12AB8D" w14:textId="77777777" w:rsidR="002F511D" w:rsidRPr="00DB4B2E" w:rsidRDefault="002F511D">
      <w:pPr>
        <w:pStyle w:val="ReferHead"/>
        <w:spacing w:after="0"/>
        <w:jc w:val="both"/>
        <w:rPr>
          <w:rFonts w:ascii="Arial" w:hAnsi="Arial" w:cs="Arial"/>
        </w:rPr>
      </w:pPr>
    </w:p>
    <w:p w14:paraId="2079CCF4" w14:textId="77777777" w:rsidR="000C79FC" w:rsidRPr="00DB4B2E" w:rsidRDefault="00000000">
      <w:pPr>
        <w:rPr>
          <w:rFonts w:ascii="Arial" w:eastAsia="Arial" w:hAnsi="Arial" w:cs="Arial"/>
          <w:b/>
        </w:rPr>
      </w:pPr>
      <w:r w:rsidRPr="00DB4B2E">
        <w:rPr>
          <w:rFonts w:ascii="Arial" w:eastAsia="Arial" w:hAnsi="Arial" w:cs="Arial"/>
          <w:b/>
        </w:rPr>
        <w:t>Declaration of AI Use</w:t>
      </w:r>
    </w:p>
    <w:p w14:paraId="7BB8746B" w14:textId="77777777" w:rsidR="000C79FC" w:rsidRPr="00DB4B2E" w:rsidRDefault="000C79FC">
      <w:pPr>
        <w:rPr>
          <w:rFonts w:ascii="Arial" w:eastAsia="Arial" w:hAnsi="Arial" w:cs="Arial"/>
        </w:rPr>
      </w:pPr>
    </w:p>
    <w:p w14:paraId="6E572D85" w14:textId="77777777" w:rsidR="000C79FC" w:rsidRPr="00DB4B2E" w:rsidRDefault="00000000">
      <w:pPr>
        <w:jc w:val="both"/>
        <w:rPr>
          <w:rFonts w:ascii="Arial" w:eastAsia="Arial" w:hAnsi="Arial" w:cs="Arial"/>
        </w:rPr>
      </w:pPr>
      <w:r w:rsidRPr="00DB4B2E">
        <w:rPr>
          <w:rFonts w:ascii="Arial" w:eastAsia="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17A42E0" w14:textId="77777777" w:rsidR="000C79FC" w:rsidRPr="00DB4B2E" w:rsidRDefault="000C79FC">
      <w:pPr>
        <w:jc w:val="both"/>
        <w:rPr>
          <w:rFonts w:ascii="Arial" w:eastAsia="Arial" w:hAnsi="Arial" w:cs="Arial"/>
        </w:rPr>
      </w:pPr>
    </w:p>
    <w:p w14:paraId="6A645314" w14:textId="77777777" w:rsidR="000C79FC" w:rsidRPr="00DB4B2E" w:rsidRDefault="00000000">
      <w:pPr>
        <w:jc w:val="both"/>
        <w:rPr>
          <w:rFonts w:ascii="Arial" w:eastAsia="Arial" w:hAnsi="Arial" w:cs="Arial"/>
          <w:b/>
          <w:bCs/>
        </w:rPr>
      </w:pPr>
      <w:r w:rsidRPr="00DB4B2E">
        <w:rPr>
          <w:rFonts w:ascii="Arial" w:eastAsia="Arial" w:hAnsi="Arial" w:cs="Arial"/>
          <w:b/>
          <w:bCs/>
        </w:rPr>
        <w:t>Ethical Approval</w:t>
      </w:r>
    </w:p>
    <w:p w14:paraId="25D41FF3" w14:textId="77777777" w:rsidR="000C79FC" w:rsidRPr="00DB4B2E" w:rsidRDefault="00000000">
      <w:pPr>
        <w:pBdr>
          <w:top w:val="nil"/>
          <w:left w:val="nil"/>
          <w:bottom w:val="nil"/>
          <w:right w:val="nil"/>
          <w:between w:val="nil"/>
        </w:pBdr>
        <w:spacing w:before="240"/>
        <w:jc w:val="both"/>
        <w:rPr>
          <w:rFonts w:ascii="Arial" w:eastAsia="Arial" w:hAnsi="Arial" w:cs="Arial"/>
          <w:color w:val="000000"/>
        </w:rPr>
      </w:pPr>
      <w:r w:rsidRPr="00DB4B2E">
        <w:rPr>
          <w:rFonts w:ascii="Arial" w:eastAsia="Arial" w:hAnsi="Arial" w:cs="Arial"/>
          <w:color w:val="000000"/>
        </w:rPr>
        <w:t>This study was conducted in accordance with the guidelines and regulations of the Institutional Animal Care and Use Committee (IACUC) of the University. The experimental protocol for animal care and use was reviewed and approved by the committee, and a certificate of protocol review was issued.</w:t>
      </w:r>
    </w:p>
    <w:p w14:paraId="55DA8684" w14:textId="77777777" w:rsidR="000C79FC" w:rsidRPr="00DB4B2E" w:rsidRDefault="000C79FC">
      <w:pPr>
        <w:pBdr>
          <w:top w:val="nil"/>
          <w:left w:val="nil"/>
          <w:bottom w:val="nil"/>
          <w:right w:val="nil"/>
          <w:between w:val="nil"/>
        </w:pBdr>
        <w:rPr>
          <w:rFonts w:ascii="Arial" w:eastAsia="Arial" w:hAnsi="Arial" w:cs="Arial"/>
        </w:rPr>
      </w:pPr>
    </w:p>
    <w:p w14:paraId="3B675C9B" w14:textId="5B1E3B7D" w:rsidR="000C79FC" w:rsidRPr="00DB4B2E" w:rsidRDefault="00000000">
      <w:pPr>
        <w:spacing w:after="200" w:line="276" w:lineRule="auto"/>
        <w:rPr>
          <w:rFonts w:ascii="Arial" w:eastAsia="Arial" w:hAnsi="Arial" w:cs="Arial"/>
          <w:b/>
          <w:bCs/>
          <w:lang w:val="en-GB" w:eastAsia="en-GB"/>
        </w:rPr>
      </w:pPr>
      <w:r w:rsidRPr="00DB4B2E">
        <w:rPr>
          <w:rFonts w:ascii="Arial" w:eastAsia="Arial" w:hAnsi="Arial" w:cs="Arial"/>
          <w:b/>
          <w:bCs/>
          <w:lang w:val="en-GB" w:eastAsia="en-GB"/>
        </w:rPr>
        <w:t xml:space="preserve">Competing Interest </w:t>
      </w:r>
    </w:p>
    <w:p w14:paraId="07587A4F" w14:textId="77777777" w:rsidR="000C79FC" w:rsidRPr="00DB4B2E" w:rsidRDefault="00000000">
      <w:pPr>
        <w:spacing w:after="200" w:line="276" w:lineRule="auto"/>
        <w:jc w:val="both"/>
        <w:rPr>
          <w:rFonts w:ascii="Arial" w:eastAsia="Arial" w:hAnsi="Arial" w:cs="Arial"/>
          <w:lang w:val="en-GB" w:eastAsia="en-GB"/>
        </w:rPr>
      </w:pPr>
      <w:r w:rsidRPr="00DB4B2E">
        <w:rPr>
          <w:rFonts w:ascii="Arial" w:eastAsia="Arial" w:hAnsi="Arial" w:cs="Arial"/>
          <w:lang w:val="en-GB" w:eastAsia="en-GB"/>
        </w:rPr>
        <w:t>Authors have declared that they have no known competing financial interests OR non-financial interests OR personal relationships that could have appeared to influence the work reported in this paper.</w:t>
      </w:r>
    </w:p>
    <w:p w14:paraId="6858CD90" w14:textId="77777777" w:rsidR="000C79FC" w:rsidRPr="00DB4B2E" w:rsidRDefault="00000000">
      <w:pPr>
        <w:pStyle w:val="ReferHead"/>
        <w:spacing w:after="0"/>
        <w:jc w:val="both"/>
        <w:rPr>
          <w:rFonts w:ascii="Arial" w:hAnsi="Arial" w:cs="Arial"/>
        </w:rPr>
      </w:pPr>
      <w:r w:rsidRPr="00DB4B2E">
        <w:rPr>
          <w:rFonts w:ascii="Arial" w:hAnsi="Arial" w:cs="Arial"/>
        </w:rPr>
        <w:t>References</w:t>
      </w:r>
    </w:p>
    <w:p w14:paraId="28416BBB"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Abd Allah, E., Abd El Haliem, S. A., </w:t>
      </w:r>
      <w:proofErr w:type="spellStart"/>
      <w:r w:rsidRPr="002D3EC6">
        <w:rPr>
          <w:rFonts w:ascii="Times New Roman" w:hAnsi="Times New Roman"/>
          <w:sz w:val="24"/>
          <w:szCs w:val="24"/>
        </w:rPr>
        <w:t>Kishawy</w:t>
      </w:r>
      <w:proofErr w:type="spellEnd"/>
      <w:r w:rsidRPr="002D3EC6">
        <w:rPr>
          <w:rFonts w:ascii="Times New Roman" w:hAnsi="Times New Roman"/>
          <w:sz w:val="24"/>
          <w:szCs w:val="24"/>
        </w:rPr>
        <w:t xml:space="preserve">, A. T. Y., &amp; Hassanin, E. S. (2025). Influence of dietary </w:t>
      </w:r>
      <w:r w:rsidRPr="002D3EC6">
        <w:rPr>
          <w:rFonts w:ascii="Times New Roman" w:hAnsi="Times New Roman"/>
          <w:i/>
          <w:iCs/>
          <w:sz w:val="24"/>
          <w:szCs w:val="24"/>
        </w:rPr>
        <w:t>Bacillus subtilis</w:t>
      </w:r>
      <w:r w:rsidRPr="002D3EC6">
        <w:rPr>
          <w:rFonts w:ascii="Times New Roman" w:hAnsi="Times New Roman"/>
          <w:sz w:val="24"/>
          <w:szCs w:val="24"/>
        </w:rPr>
        <w:t xml:space="preserve"> and acidifiers on Nile tilapia’s growth performance, immune functions, and antioxidant capacity. </w:t>
      </w:r>
      <w:r w:rsidRPr="002D3EC6">
        <w:rPr>
          <w:rFonts w:ascii="Times New Roman" w:hAnsi="Times New Roman"/>
          <w:i/>
          <w:iCs/>
          <w:sz w:val="24"/>
          <w:szCs w:val="24"/>
        </w:rPr>
        <w:t>Aquaculture Studies, 25</w:t>
      </w:r>
      <w:r w:rsidRPr="002D3EC6">
        <w:rPr>
          <w:rFonts w:ascii="Times New Roman" w:hAnsi="Times New Roman"/>
          <w:sz w:val="24"/>
          <w:szCs w:val="24"/>
        </w:rPr>
        <w:t xml:space="preserve">(6), 299–311. </w:t>
      </w:r>
      <w:hyperlink r:id="rId9" w:history="1">
        <w:r w:rsidRPr="002D3EC6">
          <w:rPr>
            <w:rFonts w:ascii="Times New Roman" w:hAnsi="Times New Roman"/>
            <w:color w:val="0000FF"/>
            <w:sz w:val="24"/>
            <w:szCs w:val="24"/>
            <w:u w:val="single"/>
          </w:rPr>
          <w:t>https://doi.org/10.4194/AQUAST2464</w:t>
        </w:r>
      </w:hyperlink>
    </w:p>
    <w:p w14:paraId="70CEA931" w14:textId="635BC074"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Abdel-Tawwab, M., Ahmad, M. H., Abdel-Hadi, Y. M., &amp; Seden, M. E. A. (2008). Use of </w:t>
      </w:r>
      <w:r w:rsidRPr="002D3EC6">
        <w:rPr>
          <w:rFonts w:ascii="Times New Roman" w:hAnsi="Times New Roman"/>
          <w:i/>
          <w:iCs/>
          <w:sz w:val="24"/>
          <w:szCs w:val="24"/>
        </w:rPr>
        <w:t>Spirulina</w:t>
      </w:r>
      <w:r w:rsidRPr="002D3EC6">
        <w:rPr>
          <w:rFonts w:ascii="Times New Roman" w:hAnsi="Times New Roman"/>
          <w:sz w:val="24"/>
          <w:szCs w:val="24"/>
        </w:rPr>
        <w:t xml:space="preserve"> (</w:t>
      </w:r>
      <w:proofErr w:type="spellStart"/>
      <w:r w:rsidRPr="002D3EC6">
        <w:rPr>
          <w:rFonts w:ascii="Times New Roman" w:hAnsi="Times New Roman"/>
          <w:i/>
          <w:iCs/>
          <w:sz w:val="24"/>
          <w:szCs w:val="24"/>
        </w:rPr>
        <w:t>Arthrospira</w:t>
      </w:r>
      <w:proofErr w:type="spellEnd"/>
      <w:r w:rsidRPr="002D3EC6">
        <w:rPr>
          <w:rFonts w:ascii="Times New Roman" w:hAnsi="Times New Roman"/>
          <w:i/>
          <w:iCs/>
          <w:sz w:val="24"/>
          <w:szCs w:val="24"/>
        </w:rPr>
        <w:t xml:space="preserve"> platensis</w:t>
      </w:r>
      <w:r w:rsidRPr="002D3EC6">
        <w:rPr>
          <w:rFonts w:ascii="Times New Roman" w:hAnsi="Times New Roman"/>
          <w:sz w:val="24"/>
          <w:szCs w:val="24"/>
        </w:rPr>
        <w:t>) as a growth and immunity promoter for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fry challenged with pathogenic </w:t>
      </w:r>
      <w:r w:rsidRPr="002D3EC6">
        <w:rPr>
          <w:rFonts w:ascii="Times New Roman" w:hAnsi="Times New Roman"/>
          <w:i/>
          <w:iCs/>
          <w:sz w:val="24"/>
          <w:szCs w:val="24"/>
        </w:rPr>
        <w:t xml:space="preserve">Aeromonas </w:t>
      </w:r>
      <w:proofErr w:type="spellStart"/>
      <w:r w:rsidRPr="002D3EC6">
        <w:rPr>
          <w:rFonts w:ascii="Times New Roman" w:hAnsi="Times New Roman"/>
          <w:i/>
          <w:iCs/>
          <w:sz w:val="24"/>
          <w:szCs w:val="24"/>
        </w:rPr>
        <w:t>hydrophila</w:t>
      </w:r>
      <w:proofErr w:type="spellEnd"/>
      <w:r w:rsidRPr="002D3EC6">
        <w:rPr>
          <w:rFonts w:ascii="Times New Roman" w:hAnsi="Times New Roman"/>
          <w:sz w:val="24"/>
          <w:szCs w:val="24"/>
        </w:rPr>
        <w:t xml:space="preserve">. In </w:t>
      </w:r>
      <w:r w:rsidRPr="002D3EC6">
        <w:rPr>
          <w:rFonts w:ascii="Times New Roman" w:hAnsi="Times New Roman"/>
          <w:i/>
          <w:iCs/>
          <w:sz w:val="24"/>
          <w:szCs w:val="24"/>
        </w:rPr>
        <w:t>Proceedings of the 8th International Symposium on Tilapia in Aquaculture</w:t>
      </w:r>
      <w:r w:rsidRPr="002D3EC6">
        <w:rPr>
          <w:rFonts w:ascii="Times New Roman" w:hAnsi="Times New Roman"/>
          <w:sz w:val="24"/>
          <w:szCs w:val="24"/>
        </w:rPr>
        <w:t xml:space="preserve"> (pp. 1015–1032). </w:t>
      </w:r>
    </w:p>
    <w:p w14:paraId="433DA8D9"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Abdel-Tawwab, M., Samir, F., Abd El-Naby, A. S., &amp; Monier, M. N. (2018). Antioxidative and immunostimulatory effect of dietary cinnamon nanoparticles on the performance of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(L.), and its susceptibility to hypoxia stress and </w:t>
      </w:r>
      <w:r w:rsidRPr="002D3EC6">
        <w:rPr>
          <w:rFonts w:ascii="Times New Roman" w:hAnsi="Times New Roman"/>
          <w:i/>
          <w:iCs/>
          <w:sz w:val="24"/>
          <w:szCs w:val="24"/>
        </w:rPr>
        <w:t xml:space="preserve">Aeromonas </w:t>
      </w:r>
      <w:proofErr w:type="spellStart"/>
      <w:r w:rsidRPr="002D3EC6">
        <w:rPr>
          <w:rFonts w:ascii="Times New Roman" w:hAnsi="Times New Roman"/>
          <w:i/>
          <w:iCs/>
          <w:sz w:val="24"/>
          <w:szCs w:val="24"/>
        </w:rPr>
        <w:t>hydrophila</w:t>
      </w:r>
      <w:proofErr w:type="spellEnd"/>
      <w:r w:rsidRPr="002D3EC6">
        <w:rPr>
          <w:rFonts w:ascii="Times New Roman" w:hAnsi="Times New Roman"/>
          <w:sz w:val="24"/>
          <w:szCs w:val="24"/>
        </w:rPr>
        <w:t xml:space="preserve"> infection. </w:t>
      </w:r>
      <w:r w:rsidRPr="002D3EC6">
        <w:rPr>
          <w:rFonts w:ascii="Times New Roman" w:hAnsi="Times New Roman"/>
          <w:i/>
          <w:iCs/>
          <w:sz w:val="24"/>
          <w:szCs w:val="24"/>
        </w:rPr>
        <w:t>Fish &amp; Shellfish Immunology, 74</w:t>
      </w:r>
      <w:r w:rsidRPr="002D3EC6">
        <w:rPr>
          <w:rFonts w:ascii="Times New Roman" w:hAnsi="Times New Roman"/>
          <w:sz w:val="24"/>
          <w:szCs w:val="24"/>
        </w:rPr>
        <w:t xml:space="preserve">, 19–25. </w:t>
      </w:r>
      <w:hyperlink r:id="rId10" w:history="1">
        <w:r w:rsidRPr="002D3EC6">
          <w:rPr>
            <w:rFonts w:ascii="Times New Roman" w:hAnsi="Times New Roman"/>
            <w:color w:val="0000FF"/>
            <w:sz w:val="24"/>
            <w:szCs w:val="24"/>
            <w:u w:val="single"/>
          </w:rPr>
          <w:t>https://doi.org/10.1016/j.fsi.2017.12.033</w:t>
        </w:r>
      </w:hyperlink>
    </w:p>
    <w:p w14:paraId="2F8363FA"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Abreu, J. S., Marzocchi-Machado, C. M., </w:t>
      </w:r>
      <w:proofErr w:type="spellStart"/>
      <w:r w:rsidRPr="002D3EC6">
        <w:rPr>
          <w:rFonts w:ascii="Times New Roman" w:hAnsi="Times New Roman"/>
          <w:sz w:val="24"/>
          <w:szCs w:val="24"/>
        </w:rPr>
        <w:t>Urbaczek</w:t>
      </w:r>
      <w:proofErr w:type="spellEnd"/>
      <w:r w:rsidRPr="002D3EC6">
        <w:rPr>
          <w:rFonts w:ascii="Times New Roman" w:hAnsi="Times New Roman"/>
          <w:sz w:val="24"/>
          <w:szCs w:val="24"/>
        </w:rPr>
        <w:t xml:space="preserve">, A. C., Fonseca, L. M., &amp; Urbinati, E. C. (2009). Leukocytes respiratory burst and lysozyme level in pacu </w:t>
      </w:r>
      <w:r w:rsidRPr="002D3EC6">
        <w:rPr>
          <w:rFonts w:ascii="Times New Roman" w:hAnsi="Times New Roman"/>
          <w:sz w:val="24"/>
          <w:szCs w:val="24"/>
        </w:rPr>
        <w:lastRenderedPageBreak/>
        <w:t>(</w:t>
      </w:r>
      <w:proofErr w:type="spellStart"/>
      <w:r w:rsidRPr="002D3EC6">
        <w:rPr>
          <w:rFonts w:ascii="Times New Roman" w:hAnsi="Times New Roman"/>
          <w:i/>
          <w:iCs/>
          <w:sz w:val="24"/>
          <w:szCs w:val="24"/>
        </w:rPr>
        <w:t>Piaractus</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mesopotamicus</w:t>
      </w:r>
      <w:proofErr w:type="spellEnd"/>
      <w:r w:rsidRPr="002D3EC6">
        <w:rPr>
          <w:rFonts w:ascii="Times New Roman" w:hAnsi="Times New Roman"/>
          <w:sz w:val="24"/>
          <w:szCs w:val="24"/>
        </w:rPr>
        <w:t xml:space="preserve"> Holmberg, 1887). </w:t>
      </w:r>
      <w:r w:rsidRPr="002D3EC6">
        <w:rPr>
          <w:rFonts w:ascii="Times New Roman" w:hAnsi="Times New Roman"/>
          <w:i/>
          <w:iCs/>
          <w:sz w:val="24"/>
          <w:szCs w:val="24"/>
        </w:rPr>
        <w:t>Brazilian Journal of Biology, 69</w:t>
      </w:r>
      <w:r w:rsidRPr="002D3EC6">
        <w:rPr>
          <w:rFonts w:ascii="Times New Roman" w:hAnsi="Times New Roman"/>
          <w:sz w:val="24"/>
          <w:szCs w:val="24"/>
        </w:rPr>
        <w:t xml:space="preserve">(4), 1133–1139. </w:t>
      </w:r>
      <w:hyperlink r:id="rId11" w:history="1">
        <w:r w:rsidRPr="002D3EC6">
          <w:rPr>
            <w:rFonts w:ascii="Times New Roman" w:hAnsi="Times New Roman"/>
            <w:color w:val="0000FF"/>
            <w:sz w:val="24"/>
            <w:szCs w:val="24"/>
            <w:u w:val="single"/>
          </w:rPr>
          <w:t>https://doi.org/10.1590/S1519-69842009000500018</w:t>
        </w:r>
      </w:hyperlink>
    </w:p>
    <w:p w14:paraId="5E9F2ACF"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Abu-Zahra, N. I. S., Atia, A. A., </w:t>
      </w:r>
      <w:proofErr w:type="spellStart"/>
      <w:r w:rsidRPr="002D3EC6">
        <w:rPr>
          <w:rFonts w:ascii="Times New Roman" w:hAnsi="Times New Roman"/>
          <w:sz w:val="24"/>
          <w:szCs w:val="24"/>
        </w:rPr>
        <w:t>Elseify</w:t>
      </w:r>
      <w:proofErr w:type="spellEnd"/>
      <w:r w:rsidRPr="002D3EC6">
        <w:rPr>
          <w:rFonts w:ascii="Times New Roman" w:hAnsi="Times New Roman"/>
          <w:sz w:val="24"/>
          <w:szCs w:val="24"/>
        </w:rPr>
        <w:t xml:space="preserve">, M. M., &amp; Soliman, S. (2024). Biological and histological changes and DNA damage in </w:t>
      </w:r>
      <w:r w:rsidRPr="002D3EC6">
        <w:rPr>
          <w:rFonts w:ascii="Times New Roman" w:hAnsi="Times New Roman"/>
          <w:i/>
          <w:iCs/>
          <w:sz w:val="24"/>
          <w:szCs w:val="24"/>
        </w:rPr>
        <w:t>Oreochromis niloticus</w:t>
      </w:r>
      <w:r w:rsidRPr="002D3EC6">
        <w:rPr>
          <w:rFonts w:ascii="Times New Roman" w:hAnsi="Times New Roman"/>
          <w:sz w:val="24"/>
          <w:szCs w:val="24"/>
        </w:rPr>
        <w:t xml:space="preserve"> exposed to oxytetracycline: A potential amelioratory role of ascorbic acid. </w:t>
      </w:r>
      <w:r w:rsidRPr="002D3EC6">
        <w:rPr>
          <w:rFonts w:ascii="Times New Roman" w:hAnsi="Times New Roman"/>
          <w:i/>
          <w:iCs/>
          <w:sz w:val="24"/>
          <w:szCs w:val="24"/>
        </w:rPr>
        <w:t>Aquaculture International, 32</w:t>
      </w:r>
      <w:r w:rsidRPr="002D3EC6">
        <w:rPr>
          <w:rFonts w:ascii="Times New Roman" w:hAnsi="Times New Roman"/>
          <w:sz w:val="24"/>
          <w:szCs w:val="24"/>
        </w:rPr>
        <w:t xml:space="preserve">, 3889–3916. </w:t>
      </w:r>
      <w:hyperlink r:id="rId12" w:history="1">
        <w:r w:rsidRPr="002D3EC6">
          <w:rPr>
            <w:rFonts w:ascii="Times New Roman" w:hAnsi="Times New Roman"/>
            <w:color w:val="0000FF"/>
            <w:sz w:val="24"/>
            <w:szCs w:val="24"/>
            <w:u w:val="single"/>
          </w:rPr>
          <w:t>https://doi.org/10.1007/s10499-023-01356-5</w:t>
        </w:r>
      </w:hyperlink>
    </w:p>
    <w:p w14:paraId="1B3A41D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Adel, M., Abedian Amiri, A., </w:t>
      </w:r>
      <w:proofErr w:type="spellStart"/>
      <w:r w:rsidRPr="002D3EC6">
        <w:rPr>
          <w:rFonts w:ascii="Times New Roman" w:hAnsi="Times New Roman"/>
          <w:sz w:val="24"/>
          <w:szCs w:val="24"/>
        </w:rPr>
        <w:t>Zorriehzahra</w:t>
      </w:r>
      <w:proofErr w:type="spellEnd"/>
      <w:r w:rsidRPr="002D3EC6">
        <w:rPr>
          <w:rFonts w:ascii="Times New Roman" w:hAnsi="Times New Roman"/>
          <w:sz w:val="24"/>
          <w:szCs w:val="24"/>
        </w:rPr>
        <w:t xml:space="preserve">, J., </w:t>
      </w:r>
      <w:proofErr w:type="spellStart"/>
      <w:r w:rsidRPr="002D3EC6">
        <w:rPr>
          <w:rFonts w:ascii="Times New Roman" w:hAnsi="Times New Roman"/>
          <w:sz w:val="24"/>
          <w:szCs w:val="24"/>
        </w:rPr>
        <w:t>Nematolahi</w:t>
      </w:r>
      <w:proofErr w:type="spellEnd"/>
      <w:r w:rsidRPr="002D3EC6">
        <w:rPr>
          <w:rFonts w:ascii="Times New Roman" w:hAnsi="Times New Roman"/>
          <w:sz w:val="24"/>
          <w:szCs w:val="24"/>
        </w:rPr>
        <w:t>, A., &amp; Esteban, M. Á. (2015). Effects of dietary peppermint (</w:t>
      </w:r>
      <w:r w:rsidRPr="002D3EC6">
        <w:rPr>
          <w:rFonts w:ascii="Times New Roman" w:hAnsi="Times New Roman"/>
          <w:i/>
          <w:iCs/>
          <w:sz w:val="24"/>
          <w:szCs w:val="24"/>
        </w:rPr>
        <w:t>Mentha piperita</w:t>
      </w:r>
      <w:r w:rsidRPr="002D3EC6">
        <w:rPr>
          <w:rFonts w:ascii="Times New Roman" w:hAnsi="Times New Roman"/>
          <w:sz w:val="24"/>
          <w:szCs w:val="24"/>
        </w:rPr>
        <w:t>) on growth performance, chemical body composition, and hematological and immune parameters of Caspian white fish (</w:t>
      </w:r>
      <w:r w:rsidRPr="002D3EC6">
        <w:rPr>
          <w:rFonts w:ascii="Times New Roman" w:hAnsi="Times New Roman"/>
          <w:i/>
          <w:iCs/>
          <w:sz w:val="24"/>
          <w:szCs w:val="24"/>
        </w:rPr>
        <w:t xml:space="preserve">Rutilus </w:t>
      </w:r>
      <w:proofErr w:type="spellStart"/>
      <w:r w:rsidRPr="002D3EC6">
        <w:rPr>
          <w:rFonts w:ascii="Times New Roman" w:hAnsi="Times New Roman"/>
          <w:i/>
          <w:iCs/>
          <w:sz w:val="24"/>
          <w:szCs w:val="24"/>
        </w:rPr>
        <w:t>frisii</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kutum</w:t>
      </w:r>
      <w:proofErr w:type="spellEnd"/>
      <w:r w:rsidRPr="002D3EC6">
        <w:rPr>
          <w:rFonts w:ascii="Times New Roman" w:hAnsi="Times New Roman"/>
          <w:sz w:val="24"/>
          <w:szCs w:val="24"/>
        </w:rPr>
        <w:t xml:space="preserve">) fry. </w:t>
      </w:r>
      <w:r w:rsidRPr="002D3EC6">
        <w:rPr>
          <w:rFonts w:ascii="Times New Roman" w:hAnsi="Times New Roman"/>
          <w:i/>
          <w:iCs/>
          <w:sz w:val="24"/>
          <w:szCs w:val="24"/>
        </w:rPr>
        <w:t>Fish &amp; Shellfish Immunology, 45</w:t>
      </w:r>
      <w:r w:rsidRPr="002D3EC6">
        <w:rPr>
          <w:rFonts w:ascii="Times New Roman" w:hAnsi="Times New Roman"/>
          <w:sz w:val="24"/>
          <w:szCs w:val="24"/>
        </w:rPr>
        <w:t xml:space="preserve">(2), 841–847. </w:t>
      </w:r>
      <w:hyperlink r:id="rId13" w:history="1">
        <w:r w:rsidRPr="002D3EC6">
          <w:rPr>
            <w:rFonts w:ascii="Times New Roman" w:hAnsi="Times New Roman"/>
            <w:color w:val="0000FF"/>
            <w:sz w:val="24"/>
            <w:szCs w:val="24"/>
            <w:u w:val="single"/>
          </w:rPr>
          <w:t>https://doi.org/10.1016/j.fsi.2015.06.010</w:t>
        </w:r>
      </w:hyperlink>
    </w:p>
    <w:p w14:paraId="24FD55A9"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Aly, S. M., Albutti, A. S., Rahmani, A. H., &amp; Atti, N. M. A. (2015). The response of new-season Nile tilapia to </w:t>
      </w:r>
      <w:r w:rsidRPr="002D3EC6">
        <w:rPr>
          <w:rFonts w:ascii="Times New Roman" w:hAnsi="Times New Roman"/>
          <w:i/>
          <w:iCs/>
          <w:sz w:val="24"/>
          <w:szCs w:val="24"/>
        </w:rPr>
        <w:t xml:space="preserve">Aeromonas </w:t>
      </w:r>
      <w:proofErr w:type="spellStart"/>
      <w:r w:rsidRPr="002D3EC6">
        <w:rPr>
          <w:rFonts w:ascii="Times New Roman" w:hAnsi="Times New Roman"/>
          <w:i/>
          <w:iCs/>
          <w:sz w:val="24"/>
          <w:szCs w:val="24"/>
        </w:rPr>
        <w:t>hydrophila</w:t>
      </w:r>
      <w:proofErr w:type="spellEnd"/>
      <w:r w:rsidRPr="002D3EC6">
        <w:rPr>
          <w:rFonts w:ascii="Times New Roman" w:hAnsi="Times New Roman"/>
          <w:sz w:val="24"/>
          <w:szCs w:val="24"/>
        </w:rPr>
        <w:t xml:space="preserve"> vaccine. </w:t>
      </w:r>
      <w:r w:rsidRPr="002D3EC6">
        <w:rPr>
          <w:rFonts w:ascii="Times New Roman" w:hAnsi="Times New Roman"/>
          <w:i/>
          <w:iCs/>
          <w:sz w:val="24"/>
          <w:szCs w:val="24"/>
        </w:rPr>
        <w:t>International Journal of Clinical and Experimental Medicine, 8</w:t>
      </w:r>
      <w:r w:rsidRPr="002D3EC6">
        <w:rPr>
          <w:rFonts w:ascii="Times New Roman" w:hAnsi="Times New Roman"/>
          <w:sz w:val="24"/>
          <w:szCs w:val="24"/>
        </w:rPr>
        <w:t xml:space="preserve">(3), 4508–4514. </w:t>
      </w:r>
      <w:hyperlink r:id="rId14" w:history="1">
        <w:r w:rsidRPr="002D3EC6">
          <w:rPr>
            <w:rFonts w:ascii="Times New Roman" w:hAnsi="Times New Roman"/>
            <w:color w:val="0000FF"/>
            <w:sz w:val="24"/>
            <w:szCs w:val="24"/>
            <w:u w:val="single"/>
          </w:rPr>
          <w:t>https://pmc.ncbi.nlm.nih.gov/articles/PMC4443210/</w:t>
        </w:r>
      </w:hyperlink>
    </w:p>
    <w:p w14:paraId="25CC0BD6"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Aly, S. M., </w:t>
      </w:r>
      <w:proofErr w:type="spellStart"/>
      <w:r w:rsidRPr="002D3EC6">
        <w:rPr>
          <w:rFonts w:ascii="Times New Roman" w:hAnsi="Times New Roman"/>
          <w:sz w:val="24"/>
          <w:szCs w:val="24"/>
        </w:rPr>
        <w:t>ElBanna</w:t>
      </w:r>
      <w:proofErr w:type="spellEnd"/>
      <w:r w:rsidRPr="002D3EC6">
        <w:rPr>
          <w:rFonts w:ascii="Times New Roman" w:hAnsi="Times New Roman"/>
          <w:sz w:val="24"/>
          <w:szCs w:val="24"/>
        </w:rPr>
        <w:t xml:space="preserve">, N. I., </w:t>
      </w:r>
      <w:proofErr w:type="spellStart"/>
      <w:r w:rsidRPr="002D3EC6">
        <w:rPr>
          <w:rFonts w:ascii="Times New Roman" w:hAnsi="Times New Roman"/>
          <w:sz w:val="24"/>
          <w:szCs w:val="24"/>
        </w:rPr>
        <w:t>Elatta</w:t>
      </w:r>
      <w:proofErr w:type="spellEnd"/>
      <w:r w:rsidRPr="002D3EC6">
        <w:rPr>
          <w:rFonts w:ascii="Times New Roman" w:hAnsi="Times New Roman"/>
          <w:sz w:val="24"/>
          <w:szCs w:val="24"/>
        </w:rPr>
        <w:t>, M. A., Hegazy, M., &amp; Fathi, M. (2024). Effects of natural and synthetic immunostimulants on growth, feed utilization, immune status, and disease resistance against vibriosis in sea bream (</w:t>
      </w:r>
      <w:r w:rsidRPr="002D3EC6">
        <w:rPr>
          <w:rFonts w:ascii="Times New Roman" w:hAnsi="Times New Roman"/>
          <w:i/>
          <w:iCs/>
          <w:sz w:val="24"/>
          <w:szCs w:val="24"/>
        </w:rPr>
        <w:t>Sparus aurata</w:t>
      </w:r>
      <w:r w:rsidRPr="002D3EC6">
        <w:rPr>
          <w:rFonts w:ascii="Times New Roman" w:hAnsi="Times New Roman"/>
          <w:sz w:val="24"/>
          <w:szCs w:val="24"/>
        </w:rPr>
        <w:t xml:space="preserve">). </w:t>
      </w:r>
      <w:r w:rsidRPr="002D3EC6">
        <w:rPr>
          <w:rFonts w:ascii="Times New Roman" w:hAnsi="Times New Roman"/>
          <w:i/>
          <w:iCs/>
          <w:sz w:val="24"/>
          <w:szCs w:val="24"/>
        </w:rPr>
        <w:t>Aquaculture International, 32</w:t>
      </w:r>
      <w:r w:rsidRPr="002D3EC6">
        <w:rPr>
          <w:rFonts w:ascii="Times New Roman" w:hAnsi="Times New Roman"/>
          <w:sz w:val="24"/>
          <w:szCs w:val="24"/>
        </w:rPr>
        <w:t xml:space="preserve">, 2739–2756. </w:t>
      </w:r>
      <w:hyperlink r:id="rId15" w:history="1">
        <w:r w:rsidRPr="002D3EC6">
          <w:rPr>
            <w:rFonts w:ascii="Times New Roman" w:hAnsi="Times New Roman"/>
            <w:color w:val="0000FF"/>
            <w:sz w:val="24"/>
            <w:szCs w:val="24"/>
            <w:u w:val="single"/>
          </w:rPr>
          <w:t>https://doi.org/10.1007/s10499-023-01294-2</w:t>
        </w:r>
      </w:hyperlink>
    </w:p>
    <w:p w14:paraId="1FEEE99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Amal, M. N. A., &amp; Zamri-Saad, M. (2011). </w:t>
      </w:r>
      <w:proofErr w:type="spellStart"/>
      <w:r w:rsidRPr="002D3EC6">
        <w:rPr>
          <w:rFonts w:ascii="Times New Roman" w:hAnsi="Times New Roman"/>
          <w:sz w:val="24"/>
          <w:szCs w:val="24"/>
        </w:rPr>
        <w:t>Streptococcosis</w:t>
      </w:r>
      <w:proofErr w:type="spellEnd"/>
      <w:r w:rsidRPr="002D3EC6">
        <w:rPr>
          <w:rFonts w:ascii="Times New Roman" w:hAnsi="Times New Roman"/>
          <w:sz w:val="24"/>
          <w:szCs w:val="24"/>
        </w:rPr>
        <w:t xml:space="preserve"> in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A review. </w:t>
      </w:r>
      <w:proofErr w:type="spellStart"/>
      <w:r w:rsidRPr="002D3EC6">
        <w:rPr>
          <w:rFonts w:ascii="Times New Roman" w:hAnsi="Times New Roman"/>
          <w:i/>
          <w:iCs/>
          <w:sz w:val="24"/>
          <w:szCs w:val="24"/>
        </w:rPr>
        <w:t>Pertanika</w:t>
      </w:r>
      <w:proofErr w:type="spellEnd"/>
      <w:r w:rsidRPr="002D3EC6">
        <w:rPr>
          <w:rFonts w:ascii="Times New Roman" w:hAnsi="Times New Roman"/>
          <w:i/>
          <w:iCs/>
          <w:sz w:val="24"/>
          <w:szCs w:val="24"/>
        </w:rPr>
        <w:t xml:space="preserve"> Journal of Tropical Agricultural Science, 34</w:t>
      </w:r>
      <w:r w:rsidRPr="002D3EC6">
        <w:rPr>
          <w:rFonts w:ascii="Times New Roman" w:hAnsi="Times New Roman"/>
          <w:sz w:val="24"/>
          <w:szCs w:val="24"/>
        </w:rPr>
        <w:t xml:space="preserve">(2), 195–206. </w:t>
      </w:r>
      <w:hyperlink r:id="rId16" w:history="1">
        <w:r w:rsidRPr="002D3EC6">
          <w:rPr>
            <w:rFonts w:ascii="Times New Roman" w:hAnsi="Times New Roman"/>
            <w:color w:val="0000FF"/>
            <w:sz w:val="24"/>
            <w:szCs w:val="24"/>
            <w:u w:val="single"/>
          </w:rPr>
          <w:t>https://www.pertanika.upm.edu.my/pjtas/browse/regular-issue?article=JTAS-0146-2009</w:t>
        </w:r>
      </w:hyperlink>
    </w:p>
    <w:p w14:paraId="2B84C97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Anderson, D. P., &amp; Siwicki, A. K. (1995). Basic </w:t>
      </w:r>
      <w:proofErr w:type="spellStart"/>
      <w:r w:rsidRPr="002D3EC6">
        <w:rPr>
          <w:rFonts w:ascii="Times New Roman" w:hAnsi="Times New Roman"/>
          <w:sz w:val="24"/>
          <w:szCs w:val="24"/>
        </w:rPr>
        <w:t>haematology</w:t>
      </w:r>
      <w:proofErr w:type="spellEnd"/>
      <w:r w:rsidRPr="002D3EC6">
        <w:rPr>
          <w:rFonts w:ascii="Times New Roman" w:hAnsi="Times New Roman"/>
          <w:sz w:val="24"/>
          <w:szCs w:val="24"/>
        </w:rPr>
        <w:t xml:space="preserve"> and serology for fish health programs. In M. Shariff, J. R. Arthur, &amp; R. P. Subasinghe (Eds.), </w:t>
      </w:r>
      <w:r w:rsidRPr="002D3EC6">
        <w:rPr>
          <w:rFonts w:ascii="Times New Roman" w:hAnsi="Times New Roman"/>
          <w:i/>
          <w:iCs/>
          <w:sz w:val="24"/>
          <w:szCs w:val="24"/>
        </w:rPr>
        <w:t>Diseases in Asian aquaculture II</w:t>
      </w:r>
      <w:r w:rsidRPr="002D3EC6">
        <w:rPr>
          <w:rFonts w:ascii="Times New Roman" w:hAnsi="Times New Roman"/>
          <w:sz w:val="24"/>
          <w:szCs w:val="24"/>
        </w:rPr>
        <w:t xml:space="preserve"> (pp. 185–202). Asian Fisheries Society. </w:t>
      </w:r>
      <w:hyperlink r:id="rId17" w:history="1">
        <w:r w:rsidRPr="002D3EC6">
          <w:rPr>
            <w:rFonts w:ascii="Times New Roman" w:hAnsi="Times New Roman"/>
            <w:color w:val="0000FF"/>
            <w:sz w:val="24"/>
            <w:szCs w:val="24"/>
            <w:u w:val="single"/>
          </w:rPr>
          <w:t>https://www.usgs.gov/publications/basic-hematology-and-serology-fish-health-programs</w:t>
        </w:r>
      </w:hyperlink>
    </w:p>
    <w:p w14:paraId="20325C49"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Anderson, D. P., </w:t>
      </w:r>
      <w:proofErr w:type="spellStart"/>
      <w:r w:rsidRPr="002D3EC6">
        <w:rPr>
          <w:rFonts w:ascii="Times New Roman" w:hAnsi="Times New Roman"/>
          <w:sz w:val="24"/>
          <w:szCs w:val="24"/>
        </w:rPr>
        <w:t>Moritomo</w:t>
      </w:r>
      <w:proofErr w:type="spellEnd"/>
      <w:r w:rsidRPr="002D3EC6">
        <w:rPr>
          <w:rFonts w:ascii="Times New Roman" w:hAnsi="Times New Roman"/>
          <w:sz w:val="24"/>
          <w:szCs w:val="24"/>
        </w:rPr>
        <w:t xml:space="preserve">, T., &amp; de </w:t>
      </w:r>
      <w:proofErr w:type="spellStart"/>
      <w:r w:rsidRPr="002D3EC6">
        <w:rPr>
          <w:rFonts w:ascii="Times New Roman" w:hAnsi="Times New Roman"/>
          <w:sz w:val="24"/>
          <w:szCs w:val="24"/>
        </w:rPr>
        <w:t>Grooth</w:t>
      </w:r>
      <w:proofErr w:type="spellEnd"/>
      <w:r w:rsidRPr="002D3EC6">
        <w:rPr>
          <w:rFonts w:ascii="Times New Roman" w:hAnsi="Times New Roman"/>
          <w:sz w:val="24"/>
          <w:szCs w:val="24"/>
        </w:rPr>
        <w:t xml:space="preserve">, R. (1992). Neutrophil glass-adherent </w:t>
      </w:r>
      <w:proofErr w:type="spellStart"/>
      <w:r w:rsidRPr="002D3EC6">
        <w:rPr>
          <w:rFonts w:ascii="Times New Roman" w:hAnsi="Times New Roman"/>
          <w:sz w:val="24"/>
          <w:szCs w:val="24"/>
        </w:rPr>
        <w:t>nitroblue</w:t>
      </w:r>
      <w:proofErr w:type="spellEnd"/>
      <w:r w:rsidRPr="002D3EC6">
        <w:rPr>
          <w:rFonts w:ascii="Times New Roman" w:hAnsi="Times New Roman"/>
          <w:sz w:val="24"/>
          <w:szCs w:val="24"/>
        </w:rPr>
        <w:t xml:space="preserve"> tetrazolium assay gives an early indication of immunization effectiveness in rainbow trout. </w:t>
      </w:r>
      <w:r w:rsidRPr="002D3EC6">
        <w:rPr>
          <w:rFonts w:ascii="Times New Roman" w:hAnsi="Times New Roman"/>
          <w:i/>
          <w:iCs/>
          <w:sz w:val="24"/>
          <w:szCs w:val="24"/>
        </w:rPr>
        <w:t>Veterinary Immunology and Immunopathology, 30</w:t>
      </w:r>
      <w:r w:rsidRPr="002D3EC6">
        <w:rPr>
          <w:rFonts w:ascii="Times New Roman" w:hAnsi="Times New Roman"/>
          <w:sz w:val="24"/>
          <w:szCs w:val="24"/>
        </w:rPr>
        <w:t xml:space="preserve">(4), 419–429. </w:t>
      </w:r>
      <w:hyperlink r:id="rId18" w:history="1">
        <w:r w:rsidRPr="002D3EC6">
          <w:rPr>
            <w:rFonts w:ascii="Times New Roman" w:hAnsi="Times New Roman"/>
            <w:color w:val="0000FF"/>
            <w:sz w:val="24"/>
            <w:szCs w:val="24"/>
            <w:u w:val="single"/>
          </w:rPr>
          <w:t>https://doi.org/10.1016/0165-2427(92)90110-C</w:t>
        </w:r>
      </w:hyperlink>
    </w:p>
    <w:p w14:paraId="470B25E0"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Appel, R. J. C., Siqueira, K. N., Konstantinidis, I., Martins, M. I. M., Joshi, R., Pretto-Giordano, L. G., Vilas-Boas, L. A., &amp; Fernandes, J. M. de O. (2025). Comparative transcriptome analysis reveals a serotype-specific immune </w:t>
      </w:r>
      <w:r w:rsidRPr="002D3EC6">
        <w:rPr>
          <w:rFonts w:ascii="Times New Roman" w:hAnsi="Times New Roman"/>
          <w:sz w:val="24"/>
          <w:szCs w:val="24"/>
        </w:rPr>
        <w:lastRenderedPageBreak/>
        <w:t>response in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infected with </w:t>
      </w:r>
      <w:r w:rsidRPr="002D3EC6">
        <w:rPr>
          <w:rFonts w:ascii="Times New Roman" w:hAnsi="Times New Roman"/>
          <w:i/>
          <w:iCs/>
          <w:sz w:val="24"/>
          <w:szCs w:val="24"/>
        </w:rPr>
        <w:t>Streptococcus agalactiae</w:t>
      </w:r>
      <w:r w:rsidRPr="002D3EC6">
        <w:rPr>
          <w:rFonts w:ascii="Times New Roman" w:hAnsi="Times New Roman"/>
          <w:sz w:val="24"/>
          <w:szCs w:val="24"/>
        </w:rPr>
        <w:t xml:space="preserve">. </w:t>
      </w:r>
      <w:r w:rsidRPr="002D3EC6">
        <w:rPr>
          <w:rFonts w:ascii="Times New Roman" w:hAnsi="Times New Roman"/>
          <w:i/>
          <w:iCs/>
          <w:sz w:val="24"/>
          <w:szCs w:val="24"/>
        </w:rPr>
        <w:t>Frontiers in Immunology, 15</w:t>
      </w:r>
      <w:r w:rsidRPr="002D3EC6">
        <w:rPr>
          <w:rFonts w:ascii="Times New Roman" w:hAnsi="Times New Roman"/>
          <w:sz w:val="24"/>
          <w:szCs w:val="24"/>
        </w:rPr>
        <w:t xml:space="preserve">, Article 1528721. </w:t>
      </w:r>
      <w:hyperlink r:id="rId19" w:history="1">
        <w:r w:rsidRPr="002D3EC6">
          <w:rPr>
            <w:rFonts w:ascii="Times New Roman" w:hAnsi="Times New Roman"/>
            <w:color w:val="0000FF"/>
            <w:sz w:val="24"/>
            <w:szCs w:val="24"/>
            <w:u w:val="single"/>
          </w:rPr>
          <w:t>https://doi.org/10.3389/fimmu.2024.1528721</w:t>
        </w:r>
      </w:hyperlink>
    </w:p>
    <w:p w14:paraId="11B8D58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Baehner, R. L. (1975). Subcellular distribution of </w:t>
      </w:r>
      <w:proofErr w:type="spellStart"/>
      <w:r w:rsidRPr="002D3EC6">
        <w:rPr>
          <w:rFonts w:ascii="Times New Roman" w:hAnsi="Times New Roman"/>
          <w:sz w:val="24"/>
          <w:szCs w:val="24"/>
        </w:rPr>
        <w:t>nitroblue</w:t>
      </w:r>
      <w:proofErr w:type="spellEnd"/>
      <w:r w:rsidRPr="002D3EC6">
        <w:rPr>
          <w:rFonts w:ascii="Times New Roman" w:hAnsi="Times New Roman"/>
          <w:sz w:val="24"/>
          <w:szCs w:val="24"/>
        </w:rPr>
        <w:t xml:space="preserve"> tetrazolium reductase (NBT-R) in human polymorphonuclear leukocytes. </w:t>
      </w:r>
      <w:r w:rsidRPr="002D3EC6">
        <w:rPr>
          <w:rFonts w:ascii="Times New Roman" w:hAnsi="Times New Roman"/>
          <w:i/>
          <w:iCs/>
          <w:sz w:val="24"/>
          <w:szCs w:val="24"/>
        </w:rPr>
        <w:t>Journal of Laboratory and Clinical Medicine, 86</w:t>
      </w:r>
      <w:r w:rsidRPr="002D3EC6">
        <w:rPr>
          <w:rFonts w:ascii="Times New Roman" w:hAnsi="Times New Roman"/>
          <w:sz w:val="24"/>
          <w:szCs w:val="24"/>
        </w:rPr>
        <w:t xml:space="preserve">(5), 785–792. </w:t>
      </w:r>
      <w:hyperlink r:id="rId20" w:history="1">
        <w:r w:rsidRPr="002D3EC6">
          <w:rPr>
            <w:rFonts w:ascii="Times New Roman" w:hAnsi="Times New Roman"/>
            <w:color w:val="0000FF"/>
            <w:sz w:val="24"/>
            <w:szCs w:val="24"/>
            <w:u w:val="single"/>
          </w:rPr>
          <w:t>https://doi.org/10.1016/0022-2143(75)90098-0</w:t>
        </w:r>
      </w:hyperlink>
    </w:p>
    <w:p w14:paraId="7AE52729"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Baehner, R. L., &amp; Nathan, D. G. (1968). Quantitative </w:t>
      </w:r>
      <w:proofErr w:type="spellStart"/>
      <w:r w:rsidRPr="002D3EC6">
        <w:rPr>
          <w:rFonts w:ascii="Times New Roman" w:hAnsi="Times New Roman"/>
          <w:sz w:val="24"/>
          <w:szCs w:val="24"/>
        </w:rPr>
        <w:t>nitroblue</w:t>
      </w:r>
      <w:proofErr w:type="spellEnd"/>
      <w:r w:rsidRPr="002D3EC6">
        <w:rPr>
          <w:rFonts w:ascii="Times New Roman" w:hAnsi="Times New Roman"/>
          <w:sz w:val="24"/>
          <w:szCs w:val="24"/>
        </w:rPr>
        <w:t xml:space="preserve"> tetrazolium test in chronic granulomatous disease. </w:t>
      </w:r>
      <w:r w:rsidRPr="002D3EC6">
        <w:rPr>
          <w:rFonts w:ascii="Times New Roman" w:hAnsi="Times New Roman"/>
          <w:i/>
          <w:iCs/>
          <w:sz w:val="24"/>
          <w:szCs w:val="24"/>
        </w:rPr>
        <w:t>The New England Journal of Medicine, 278</w:t>
      </w:r>
      <w:r w:rsidRPr="002D3EC6">
        <w:rPr>
          <w:rFonts w:ascii="Times New Roman" w:hAnsi="Times New Roman"/>
          <w:sz w:val="24"/>
          <w:szCs w:val="24"/>
        </w:rPr>
        <w:t xml:space="preserve">(18), 971–976. </w:t>
      </w:r>
      <w:hyperlink r:id="rId21" w:history="1">
        <w:r w:rsidRPr="002D3EC6">
          <w:rPr>
            <w:rFonts w:ascii="Times New Roman" w:hAnsi="Times New Roman"/>
            <w:color w:val="0000FF"/>
            <w:sz w:val="24"/>
            <w:szCs w:val="24"/>
            <w:u w:val="single"/>
          </w:rPr>
          <w:t>https://doi.org/10.1056/NEJM196805022781801</w:t>
        </w:r>
      </w:hyperlink>
    </w:p>
    <w:p w14:paraId="441C3ECA"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Balfry</w:t>
      </w:r>
      <w:proofErr w:type="spellEnd"/>
      <w:r w:rsidRPr="002D3EC6">
        <w:rPr>
          <w:rFonts w:ascii="Times New Roman" w:hAnsi="Times New Roman"/>
          <w:sz w:val="24"/>
          <w:szCs w:val="24"/>
        </w:rPr>
        <w:t>, S. K., &amp; Iwama, G. K. (2004). Observations on the inherent variability of measuring lysozyme activity in coho salmon (</w:t>
      </w:r>
      <w:r w:rsidRPr="002D3EC6">
        <w:rPr>
          <w:rFonts w:ascii="Times New Roman" w:hAnsi="Times New Roman"/>
          <w:i/>
          <w:iCs/>
          <w:sz w:val="24"/>
          <w:szCs w:val="24"/>
        </w:rPr>
        <w:t>Oncorhynchus kisutch</w:t>
      </w:r>
      <w:r w:rsidRPr="002D3EC6">
        <w:rPr>
          <w:rFonts w:ascii="Times New Roman" w:hAnsi="Times New Roman"/>
          <w:sz w:val="24"/>
          <w:szCs w:val="24"/>
        </w:rPr>
        <w:t xml:space="preserve">). </w:t>
      </w:r>
      <w:r w:rsidRPr="002D3EC6">
        <w:rPr>
          <w:rFonts w:ascii="Times New Roman" w:hAnsi="Times New Roman"/>
          <w:i/>
          <w:iCs/>
          <w:sz w:val="24"/>
          <w:szCs w:val="24"/>
        </w:rPr>
        <w:t>Comparative Biochemistry and Physiology Part B: Biochemistry and Molecular Biology, 138</w:t>
      </w:r>
      <w:r w:rsidRPr="002D3EC6">
        <w:rPr>
          <w:rFonts w:ascii="Times New Roman" w:hAnsi="Times New Roman"/>
          <w:sz w:val="24"/>
          <w:szCs w:val="24"/>
        </w:rPr>
        <w:t xml:space="preserve">(2), 207–211. </w:t>
      </w:r>
      <w:hyperlink r:id="rId22" w:history="1">
        <w:r w:rsidRPr="002D3EC6">
          <w:rPr>
            <w:rFonts w:ascii="Times New Roman" w:hAnsi="Times New Roman"/>
            <w:color w:val="0000FF"/>
            <w:sz w:val="24"/>
            <w:szCs w:val="24"/>
            <w:u w:val="single"/>
          </w:rPr>
          <w:t>https://doi.org/10.1016/j.cbpc.2003.12.010</w:t>
        </w:r>
      </w:hyperlink>
    </w:p>
    <w:p w14:paraId="0AA19EA2"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Berridge, M. V., Herst, P. M., &amp; Tan, A. S. (2005). Tetrazolium dyes as tools in cell biology: New insights into their cellular reduction. </w:t>
      </w:r>
      <w:r w:rsidRPr="002D3EC6">
        <w:rPr>
          <w:rFonts w:ascii="Times New Roman" w:hAnsi="Times New Roman"/>
          <w:i/>
          <w:iCs/>
          <w:sz w:val="24"/>
          <w:szCs w:val="24"/>
        </w:rPr>
        <w:t>Biotechnology Annual Review, 11</w:t>
      </w:r>
      <w:r w:rsidRPr="002D3EC6">
        <w:rPr>
          <w:rFonts w:ascii="Times New Roman" w:hAnsi="Times New Roman"/>
          <w:sz w:val="24"/>
          <w:szCs w:val="24"/>
        </w:rPr>
        <w:t xml:space="preserve">, 127–152. </w:t>
      </w:r>
      <w:hyperlink r:id="rId23" w:history="1">
        <w:r w:rsidRPr="002D3EC6">
          <w:rPr>
            <w:rFonts w:ascii="Times New Roman" w:hAnsi="Times New Roman"/>
            <w:color w:val="0000FF"/>
            <w:sz w:val="24"/>
            <w:szCs w:val="24"/>
            <w:u w:val="single"/>
          </w:rPr>
          <w:t>https://doi.org/10.1016/S1387-2656(05)11004-7</w:t>
        </w:r>
      </w:hyperlink>
    </w:p>
    <w:p w14:paraId="754F58C2"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Bilen, S., Bulut, M., &amp; Bilen, A. M. (2011). Immunostimulant effects of </w:t>
      </w:r>
      <w:r w:rsidRPr="002D3EC6">
        <w:rPr>
          <w:rFonts w:ascii="Times New Roman" w:hAnsi="Times New Roman"/>
          <w:i/>
          <w:iCs/>
          <w:sz w:val="24"/>
          <w:szCs w:val="24"/>
        </w:rPr>
        <w:t xml:space="preserve">Cotinus </w:t>
      </w:r>
      <w:proofErr w:type="spellStart"/>
      <w:r w:rsidRPr="002D3EC6">
        <w:rPr>
          <w:rFonts w:ascii="Times New Roman" w:hAnsi="Times New Roman"/>
          <w:i/>
          <w:iCs/>
          <w:sz w:val="24"/>
          <w:szCs w:val="24"/>
        </w:rPr>
        <w:t>coggyria</w:t>
      </w:r>
      <w:proofErr w:type="spellEnd"/>
      <w:r w:rsidRPr="002D3EC6">
        <w:rPr>
          <w:rFonts w:ascii="Times New Roman" w:hAnsi="Times New Roman"/>
          <w:sz w:val="24"/>
          <w:szCs w:val="24"/>
        </w:rPr>
        <w:t xml:space="preserve"> on rainbow trout (</w:t>
      </w:r>
      <w:r w:rsidRPr="002D3EC6">
        <w:rPr>
          <w:rFonts w:ascii="Times New Roman" w:hAnsi="Times New Roman"/>
          <w:i/>
          <w:iCs/>
          <w:sz w:val="24"/>
          <w:szCs w:val="24"/>
        </w:rPr>
        <w:t>Oncorhynchus mykiss</w:t>
      </w:r>
      <w:r w:rsidRPr="002D3EC6">
        <w:rPr>
          <w:rFonts w:ascii="Times New Roman" w:hAnsi="Times New Roman"/>
          <w:sz w:val="24"/>
          <w:szCs w:val="24"/>
        </w:rPr>
        <w:t xml:space="preserve">). </w:t>
      </w:r>
      <w:r w:rsidRPr="002D3EC6">
        <w:rPr>
          <w:rFonts w:ascii="Times New Roman" w:hAnsi="Times New Roman"/>
          <w:i/>
          <w:iCs/>
          <w:sz w:val="24"/>
          <w:szCs w:val="24"/>
        </w:rPr>
        <w:t>Fish &amp; Shellfish Immunology, 30</w:t>
      </w:r>
      <w:r w:rsidRPr="002D3EC6">
        <w:rPr>
          <w:rFonts w:ascii="Times New Roman" w:hAnsi="Times New Roman"/>
          <w:sz w:val="24"/>
          <w:szCs w:val="24"/>
        </w:rPr>
        <w:t xml:space="preserve">(2), 451–455. </w:t>
      </w:r>
      <w:hyperlink r:id="rId24" w:history="1">
        <w:r w:rsidRPr="002D3EC6">
          <w:rPr>
            <w:rFonts w:ascii="Times New Roman" w:hAnsi="Times New Roman"/>
            <w:color w:val="0000FF"/>
            <w:sz w:val="24"/>
            <w:szCs w:val="24"/>
            <w:u w:val="single"/>
          </w:rPr>
          <w:t>https://doi.org/10.1016/j.fsi.2010.12.013</w:t>
        </w:r>
      </w:hyperlink>
    </w:p>
    <w:p w14:paraId="000CF541"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Bilen, S., Yılmaz, S., &amp; Bilen, A. M. (2013). Influence of tetra (</w:t>
      </w:r>
      <w:r w:rsidRPr="002D3EC6">
        <w:rPr>
          <w:rFonts w:ascii="Times New Roman" w:hAnsi="Times New Roman"/>
          <w:i/>
          <w:iCs/>
          <w:sz w:val="24"/>
          <w:szCs w:val="24"/>
        </w:rPr>
        <w:t xml:space="preserve">Cotinus </w:t>
      </w:r>
      <w:proofErr w:type="spellStart"/>
      <w:r w:rsidRPr="002D3EC6">
        <w:rPr>
          <w:rFonts w:ascii="Times New Roman" w:hAnsi="Times New Roman"/>
          <w:i/>
          <w:iCs/>
          <w:sz w:val="24"/>
          <w:szCs w:val="24"/>
        </w:rPr>
        <w:t>coggygria</w:t>
      </w:r>
      <w:proofErr w:type="spellEnd"/>
      <w:r w:rsidRPr="002D3EC6">
        <w:rPr>
          <w:rFonts w:ascii="Times New Roman" w:hAnsi="Times New Roman"/>
          <w:sz w:val="24"/>
          <w:szCs w:val="24"/>
        </w:rPr>
        <w:t xml:space="preserve">) extract against </w:t>
      </w:r>
      <w:r w:rsidRPr="002D3EC6">
        <w:rPr>
          <w:rFonts w:ascii="Times New Roman" w:hAnsi="Times New Roman"/>
          <w:i/>
          <w:iCs/>
          <w:sz w:val="24"/>
          <w:szCs w:val="24"/>
        </w:rPr>
        <w:t xml:space="preserve">Vibrio </w:t>
      </w:r>
      <w:proofErr w:type="spellStart"/>
      <w:r w:rsidRPr="002D3EC6">
        <w:rPr>
          <w:rFonts w:ascii="Times New Roman" w:hAnsi="Times New Roman"/>
          <w:i/>
          <w:iCs/>
          <w:sz w:val="24"/>
          <w:szCs w:val="24"/>
        </w:rPr>
        <w:t>anguillarum</w:t>
      </w:r>
      <w:proofErr w:type="spellEnd"/>
      <w:r w:rsidRPr="002D3EC6">
        <w:rPr>
          <w:rFonts w:ascii="Times New Roman" w:hAnsi="Times New Roman"/>
          <w:sz w:val="24"/>
          <w:szCs w:val="24"/>
        </w:rPr>
        <w:t xml:space="preserve"> infection in koi carp, </w:t>
      </w:r>
      <w:r w:rsidRPr="002D3EC6">
        <w:rPr>
          <w:rFonts w:ascii="Times New Roman" w:hAnsi="Times New Roman"/>
          <w:i/>
          <w:iCs/>
          <w:sz w:val="24"/>
          <w:szCs w:val="24"/>
        </w:rPr>
        <w:t>Cyprinus carpio</w:t>
      </w:r>
      <w:r w:rsidRPr="002D3EC6">
        <w:rPr>
          <w:rFonts w:ascii="Times New Roman" w:hAnsi="Times New Roman"/>
          <w:sz w:val="24"/>
          <w:szCs w:val="24"/>
        </w:rPr>
        <w:t xml:space="preserve">, with reference to </w:t>
      </w:r>
      <w:proofErr w:type="spellStart"/>
      <w:r w:rsidRPr="002D3EC6">
        <w:rPr>
          <w:rFonts w:ascii="Times New Roman" w:hAnsi="Times New Roman"/>
          <w:sz w:val="24"/>
          <w:szCs w:val="24"/>
        </w:rPr>
        <w:t>haematological</w:t>
      </w:r>
      <w:proofErr w:type="spellEnd"/>
      <w:r w:rsidRPr="002D3EC6">
        <w:rPr>
          <w:rFonts w:ascii="Times New Roman" w:hAnsi="Times New Roman"/>
          <w:sz w:val="24"/>
          <w:szCs w:val="24"/>
        </w:rPr>
        <w:t xml:space="preserve"> and immunological changes. </w:t>
      </w:r>
      <w:r w:rsidRPr="002D3EC6">
        <w:rPr>
          <w:rFonts w:ascii="Times New Roman" w:hAnsi="Times New Roman"/>
          <w:i/>
          <w:iCs/>
          <w:sz w:val="24"/>
          <w:szCs w:val="24"/>
        </w:rPr>
        <w:t>Turkish Journal of Fisheries and Aquatic Sciences, 13</w:t>
      </w:r>
      <w:r w:rsidRPr="002D3EC6">
        <w:rPr>
          <w:rFonts w:ascii="Times New Roman" w:hAnsi="Times New Roman"/>
          <w:sz w:val="24"/>
          <w:szCs w:val="24"/>
        </w:rPr>
        <w:t xml:space="preserve">, 517–522. </w:t>
      </w:r>
      <w:hyperlink r:id="rId25" w:history="1">
        <w:r w:rsidRPr="002D3EC6">
          <w:rPr>
            <w:rFonts w:ascii="Times New Roman" w:hAnsi="Times New Roman"/>
            <w:color w:val="0000FF"/>
            <w:sz w:val="24"/>
            <w:szCs w:val="24"/>
            <w:u w:val="single"/>
          </w:rPr>
          <w:t>https://doi.org/10.4194/1303-2712-v13_3_16</w:t>
        </w:r>
      </w:hyperlink>
    </w:p>
    <w:p w14:paraId="0C296BF3"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Biller-Takahashi, J. D., Takahashi, L. S., Saita, M. V., Gimbo, R. Y., &amp; Urbinati, E. C. (2013). Leukocytes respiratory burst activity as an indicator of innate immunity of pacu, </w:t>
      </w:r>
      <w:proofErr w:type="spellStart"/>
      <w:r w:rsidRPr="002D3EC6">
        <w:rPr>
          <w:rFonts w:ascii="Times New Roman" w:hAnsi="Times New Roman"/>
          <w:i/>
          <w:iCs/>
          <w:sz w:val="24"/>
          <w:szCs w:val="24"/>
        </w:rPr>
        <w:t>Piaractus</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mesopotamicus</w:t>
      </w:r>
      <w:proofErr w:type="spellEnd"/>
      <w:r w:rsidRPr="002D3EC6">
        <w:rPr>
          <w:rFonts w:ascii="Times New Roman" w:hAnsi="Times New Roman"/>
          <w:sz w:val="24"/>
          <w:szCs w:val="24"/>
        </w:rPr>
        <w:t xml:space="preserve">. </w:t>
      </w:r>
      <w:r w:rsidRPr="002D3EC6">
        <w:rPr>
          <w:rFonts w:ascii="Times New Roman" w:hAnsi="Times New Roman"/>
          <w:i/>
          <w:iCs/>
          <w:sz w:val="24"/>
          <w:szCs w:val="24"/>
        </w:rPr>
        <w:t>Brazilian Journal of Biology, 73</w:t>
      </w:r>
      <w:r w:rsidRPr="002D3EC6">
        <w:rPr>
          <w:rFonts w:ascii="Times New Roman" w:hAnsi="Times New Roman"/>
          <w:sz w:val="24"/>
          <w:szCs w:val="24"/>
        </w:rPr>
        <w:t xml:space="preserve">(2), 425–429. </w:t>
      </w:r>
      <w:hyperlink r:id="rId26" w:history="1">
        <w:r w:rsidRPr="002D3EC6">
          <w:rPr>
            <w:rFonts w:ascii="Times New Roman" w:hAnsi="Times New Roman"/>
            <w:color w:val="0000FF"/>
            <w:sz w:val="24"/>
            <w:szCs w:val="24"/>
            <w:u w:val="single"/>
          </w:rPr>
          <w:t>https://doi.org/10.1590/S1519-69842013000200026</w:t>
        </w:r>
      </w:hyperlink>
    </w:p>
    <w:p w14:paraId="2C1EF8A3"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Briggs, R. T., Drath, D. B., Karnovsky, M. L., &amp; Karnovsky, M. J. (1975). Localization of NADH oxidase on the surface of human polymorphonuclear leukocytes by a new cytochemical method. </w:t>
      </w:r>
      <w:r w:rsidRPr="002D3EC6">
        <w:rPr>
          <w:rFonts w:ascii="Times New Roman" w:hAnsi="Times New Roman"/>
          <w:i/>
          <w:iCs/>
          <w:sz w:val="24"/>
          <w:szCs w:val="24"/>
        </w:rPr>
        <w:t>Journal of Cell Biology, 67</w:t>
      </w:r>
      <w:r w:rsidRPr="002D3EC6">
        <w:rPr>
          <w:rFonts w:ascii="Times New Roman" w:hAnsi="Times New Roman"/>
          <w:sz w:val="24"/>
          <w:szCs w:val="24"/>
        </w:rPr>
        <w:t xml:space="preserve">(3), 566–586. </w:t>
      </w:r>
      <w:hyperlink r:id="rId27" w:history="1">
        <w:r w:rsidRPr="002D3EC6">
          <w:rPr>
            <w:rFonts w:ascii="Times New Roman" w:hAnsi="Times New Roman"/>
            <w:color w:val="0000FF"/>
            <w:sz w:val="24"/>
            <w:szCs w:val="24"/>
            <w:u w:val="single"/>
          </w:rPr>
          <w:t>https://doi.org/10.1083/jcb.67.3.566</w:t>
        </w:r>
      </w:hyperlink>
    </w:p>
    <w:p w14:paraId="3B353E8E"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lastRenderedPageBreak/>
        <w:t xml:space="preserve">Brudeseth, B. E., </w:t>
      </w:r>
      <w:proofErr w:type="spellStart"/>
      <w:r w:rsidRPr="002D3EC6">
        <w:rPr>
          <w:rFonts w:ascii="Times New Roman" w:hAnsi="Times New Roman"/>
          <w:sz w:val="24"/>
          <w:szCs w:val="24"/>
        </w:rPr>
        <w:t>Wiulsrød</w:t>
      </w:r>
      <w:proofErr w:type="spellEnd"/>
      <w:r w:rsidRPr="002D3EC6">
        <w:rPr>
          <w:rFonts w:ascii="Times New Roman" w:hAnsi="Times New Roman"/>
          <w:sz w:val="24"/>
          <w:szCs w:val="24"/>
        </w:rPr>
        <w:t xml:space="preserve">, R., Fredriksen, B. N., </w:t>
      </w:r>
      <w:proofErr w:type="spellStart"/>
      <w:r w:rsidRPr="002D3EC6">
        <w:rPr>
          <w:rFonts w:ascii="Times New Roman" w:hAnsi="Times New Roman"/>
          <w:sz w:val="24"/>
          <w:szCs w:val="24"/>
        </w:rPr>
        <w:t>Lindmo</w:t>
      </w:r>
      <w:proofErr w:type="spellEnd"/>
      <w:r w:rsidRPr="002D3EC6">
        <w:rPr>
          <w:rFonts w:ascii="Times New Roman" w:hAnsi="Times New Roman"/>
          <w:sz w:val="24"/>
          <w:szCs w:val="24"/>
        </w:rPr>
        <w:t xml:space="preserve">, K., </w:t>
      </w:r>
      <w:proofErr w:type="spellStart"/>
      <w:r w:rsidRPr="002D3EC6">
        <w:rPr>
          <w:rFonts w:ascii="Times New Roman" w:hAnsi="Times New Roman"/>
          <w:sz w:val="24"/>
          <w:szCs w:val="24"/>
        </w:rPr>
        <w:t>Løkling</w:t>
      </w:r>
      <w:proofErr w:type="spellEnd"/>
      <w:r w:rsidRPr="002D3EC6">
        <w:rPr>
          <w:rFonts w:ascii="Times New Roman" w:hAnsi="Times New Roman"/>
          <w:sz w:val="24"/>
          <w:szCs w:val="24"/>
        </w:rPr>
        <w:t xml:space="preserve">, K. E., </w:t>
      </w:r>
      <w:proofErr w:type="spellStart"/>
      <w:r w:rsidRPr="002D3EC6">
        <w:rPr>
          <w:rFonts w:ascii="Times New Roman" w:hAnsi="Times New Roman"/>
          <w:sz w:val="24"/>
          <w:szCs w:val="24"/>
        </w:rPr>
        <w:t>Bordevik</w:t>
      </w:r>
      <w:proofErr w:type="spellEnd"/>
      <w:r w:rsidRPr="002D3EC6">
        <w:rPr>
          <w:rFonts w:ascii="Times New Roman" w:hAnsi="Times New Roman"/>
          <w:sz w:val="24"/>
          <w:szCs w:val="24"/>
        </w:rPr>
        <w:t xml:space="preserve">, M., Steine, N., Klevan, A., &amp; </w:t>
      </w:r>
      <w:proofErr w:type="spellStart"/>
      <w:r w:rsidRPr="002D3EC6">
        <w:rPr>
          <w:rFonts w:ascii="Times New Roman" w:hAnsi="Times New Roman"/>
          <w:sz w:val="24"/>
          <w:szCs w:val="24"/>
        </w:rPr>
        <w:t>Gravningen</w:t>
      </w:r>
      <w:proofErr w:type="spellEnd"/>
      <w:r w:rsidRPr="002D3EC6">
        <w:rPr>
          <w:rFonts w:ascii="Times New Roman" w:hAnsi="Times New Roman"/>
          <w:sz w:val="24"/>
          <w:szCs w:val="24"/>
        </w:rPr>
        <w:t xml:space="preserve">, K. (2013). Status and future perspectives of vaccines for </w:t>
      </w:r>
      <w:proofErr w:type="spellStart"/>
      <w:r w:rsidRPr="002D3EC6">
        <w:rPr>
          <w:rFonts w:ascii="Times New Roman" w:hAnsi="Times New Roman"/>
          <w:sz w:val="24"/>
          <w:szCs w:val="24"/>
        </w:rPr>
        <w:t>industrialised</w:t>
      </w:r>
      <w:proofErr w:type="spellEnd"/>
      <w:r w:rsidRPr="002D3EC6">
        <w:rPr>
          <w:rFonts w:ascii="Times New Roman" w:hAnsi="Times New Roman"/>
          <w:sz w:val="24"/>
          <w:szCs w:val="24"/>
        </w:rPr>
        <w:t xml:space="preserve"> fin-fish farming. </w:t>
      </w:r>
      <w:r w:rsidRPr="002D3EC6">
        <w:rPr>
          <w:rFonts w:ascii="Times New Roman" w:hAnsi="Times New Roman"/>
          <w:i/>
          <w:iCs/>
          <w:sz w:val="24"/>
          <w:szCs w:val="24"/>
        </w:rPr>
        <w:t>Fish &amp; Shellfish Immunology, 35</w:t>
      </w:r>
      <w:r w:rsidRPr="002D3EC6">
        <w:rPr>
          <w:rFonts w:ascii="Times New Roman" w:hAnsi="Times New Roman"/>
          <w:sz w:val="24"/>
          <w:szCs w:val="24"/>
        </w:rPr>
        <w:t xml:space="preserve">(6), 1759–1768. </w:t>
      </w:r>
      <w:hyperlink r:id="rId28" w:history="1">
        <w:r w:rsidRPr="002D3EC6">
          <w:rPr>
            <w:rFonts w:ascii="Times New Roman" w:hAnsi="Times New Roman"/>
            <w:color w:val="0000FF"/>
            <w:sz w:val="24"/>
            <w:szCs w:val="24"/>
            <w:u w:val="single"/>
          </w:rPr>
          <w:t>https://doi.org/10.1016/j.fsi.2013.05.029</w:t>
        </w:r>
      </w:hyperlink>
    </w:p>
    <w:p w14:paraId="04AD9DD7"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Cabello, F. C. (2006). Heavy use of prophylactic antibiotics in aquaculture: A growing problem for human and animal health and for the environment. </w:t>
      </w:r>
      <w:r w:rsidRPr="002D3EC6">
        <w:rPr>
          <w:rFonts w:ascii="Times New Roman" w:hAnsi="Times New Roman"/>
          <w:i/>
          <w:iCs/>
          <w:sz w:val="24"/>
          <w:szCs w:val="24"/>
        </w:rPr>
        <w:t>Environmental Microbiology, 8</w:t>
      </w:r>
      <w:r w:rsidRPr="002D3EC6">
        <w:rPr>
          <w:rFonts w:ascii="Times New Roman" w:hAnsi="Times New Roman"/>
          <w:sz w:val="24"/>
          <w:szCs w:val="24"/>
        </w:rPr>
        <w:t xml:space="preserve">(7), 1137–1144. </w:t>
      </w:r>
      <w:hyperlink r:id="rId29" w:history="1">
        <w:r w:rsidRPr="002D3EC6">
          <w:rPr>
            <w:rFonts w:ascii="Times New Roman" w:hAnsi="Times New Roman"/>
            <w:color w:val="0000FF"/>
            <w:sz w:val="24"/>
            <w:szCs w:val="24"/>
            <w:u w:val="single"/>
          </w:rPr>
          <w:t>https://doi.org/10.1111/j.1462-2920.2006.01054.x</w:t>
        </w:r>
      </w:hyperlink>
    </w:p>
    <w:p w14:paraId="138CE2D4"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Caipang</w:t>
      </w:r>
      <w:proofErr w:type="spellEnd"/>
      <w:r w:rsidRPr="002D3EC6">
        <w:rPr>
          <w:rFonts w:ascii="Times New Roman" w:hAnsi="Times New Roman"/>
          <w:sz w:val="24"/>
          <w:szCs w:val="24"/>
        </w:rPr>
        <w:t xml:space="preserve">, C. M. A., &amp; </w:t>
      </w:r>
      <w:proofErr w:type="spellStart"/>
      <w:r w:rsidRPr="002D3EC6">
        <w:rPr>
          <w:rFonts w:ascii="Times New Roman" w:hAnsi="Times New Roman"/>
          <w:sz w:val="24"/>
          <w:szCs w:val="24"/>
        </w:rPr>
        <w:t>Lazado</w:t>
      </w:r>
      <w:proofErr w:type="spellEnd"/>
      <w:r w:rsidRPr="002D3EC6">
        <w:rPr>
          <w:rFonts w:ascii="Times New Roman" w:hAnsi="Times New Roman"/>
          <w:sz w:val="24"/>
          <w:szCs w:val="24"/>
        </w:rPr>
        <w:t xml:space="preserve">, C. C. (2015). Nutritional impacts on fish mucosa: Immunostimulants, pre- and probiotics. In B. H. Beck &amp; E. Peatman (Eds.), </w:t>
      </w:r>
      <w:r w:rsidRPr="002D3EC6">
        <w:rPr>
          <w:rFonts w:ascii="Times New Roman" w:hAnsi="Times New Roman"/>
          <w:i/>
          <w:iCs/>
          <w:sz w:val="24"/>
          <w:szCs w:val="24"/>
        </w:rPr>
        <w:t>Mucosal health in aquaculture</w:t>
      </w:r>
      <w:r w:rsidRPr="002D3EC6">
        <w:rPr>
          <w:rFonts w:ascii="Times New Roman" w:hAnsi="Times New Roman"/>
          <w:sz w:val="24"/>
          <w:szCs w:val="24"/>
        </w:rPr>
        <w:t xml:space="preserve"> (pp. 211–272). Academic Press. </w:t>
      </w:r>
      <w:hyperlink r:id="rId30" w:history="1">
        <w:r w:rsidRPr="002D3EC6">
          <w:rPr>
            <w:rFonts w:ascii="Times New Roman" w:hAnsi="Times New Roman"/>
            <w:color w:val="0000FF"/>
            <w:sz w:val="24"/>
            <w:szCs w:val="24"/>
            <w:u w:val="single"/>
          </w:rPr>
          <w:t>https://doi.org/10.1016/B978-0-12-417186-2.00009-1</w:t>
        </w:r>
      </w:hyperlink>
    </w:p>
    <w:p w14:paraId="1EE68874" w14:textId="51F30A11"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Caruso, G. (2016). Antibiotic resistance in fish farming environments: A global concern. </w:t>
      </w:r>
      <w:r w:rsidRPr="002D3EC6">
        <w:rPr>
          <w:rFonts w:ascii="Times New Roman" w:hAnsi="Times New Roman"/>
          <w:i/>
          <w:iCs/>
          <w:sz w:val="24"/>
          <w:szCs w:val="24"/>
        </w:rPr>
        <w:t>Journal of FisheriesSciences.com, 10</w:t>
      </w:r>
      <w:r w:rsidRPr="002D3EC6">
        <w:rPr>
          <w:rFonts w:ascii="Times New Roman" w:hAnsi="Times New Roman"/>
          <w:sz w:val="24"/>
          <w:szCs w:val="24"/>
        </w:rPr>
        <w:t xml:space="preserve">(4), 9–13. </w:t>
      </w:r>
    </w:p>
    <w:p w14:paraId="0D0D8EC7" w14:textId="6F127E71"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Chang, C.-F., Su, M.-S., Chen, H.-Y., &amp; Liao, I.-C. (2003). Dietary β-1,3-glucan effectively improves immunity and survival of </w:t>
      </w:r>
      <w:r w:rsidRPr="002D3EC6">
        <w:rPr>
          <w:rFonts w:ascii="Times New Roman" w:hAnsi="Times New Roman"/>
          <w:i/>
          <w:iCs/>
          <w:sz w:val="24"/>
          <w:szCs w:val="24"/>
        </w:rPr>
        <w:t>Penaeus monodon</w:t>
      </w:r>
      <w:r w:rsidRPr="002D3EC6">
        <w:rPr>
          <w:rFonts w:ascii="Times New Roman" w:hAnsi="Times New Roman"/>
          <w:sz w:val="24"/>
          <w:szCs w:val="24"/>
        </w:rPr>
        <w:t xml:space="preserve"> challenged with white spot syndrome virus. </w:t>
      </w:r>
      <w:r w:rsidRPr="002D3EC6">
        <w:rPr>
          <w:rFonts w:ascii="Times New Roman" w:hAnsi="Times New Roman"/>
          <w:i/>
          <w:iCs/>
          <w:sz w:val="24"/>
          <w:szCs w:val="24"/>
        </w:rPr>
        <w:t>Fish &amp; Shellfish Immunology, 15</w:t>
      </w:r>
      <w:r w:rsidRPr="002D3EC6">
        <w:rPr>
          <w:rFonts w:ascii="Times New Roman" w:hAnsi="Times New Roman"/>
          <w:sz w:val="24"/>
          <w:szCs w:val="24"/>
        </w:rPr>
        <w:t xml:space="preserve">(4), 297–310. </w:t>
      </w:r>
      <w:hyperlink r:id="rId31" w:history="1">
        <w:r w:rsidRPr="002D3EC6">
          <w:rPr>
            <w:rFonts w:ascii="Times New Roman" w:hAnsi="Times New Roman"/>
            <w:color w:val="0000FF"/>
            <w:sz w:val="24"/>
            <w:szCs w:val="24"/>
            <w:u w:val="single"/>
          </w:rPr>
          <w:t>https://doi.org/10.1016/S1050-4648(02)00167-5</w:t>
        </w:r>
      </w:hyperlink>
    </w:p>
    <w:p w14:paraId="5C2B2A74"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lang w:val="nl-BE"/>
        </w:rPr>
        <w:t xml:space="preserve">Dalmo, R. A., Ingebrigtsen, K., &amp; Bøgwald, J. (1997). </w:t>
      </w:r>
      <w:r w:rsidRPr="002D3EC6">
        <w:rPr>
          <w:rFonts w:ascii="Times New Roman" w:hAnsi="Times New Roman"/>
          <w:sz w:val="24"/>
          <w:szCs w:val="24"/>
        </w:rPr>
        <w:t xml:space="preserve">Nonspecific </w:t>
      </w:r>
      <w:proofErr w:type="spellStart"/>
      <w:r w:rsidRPr="002D3EC6">
        <w:rPr>
          <w:rFonts w:ascii="Times New Roman" w:hAnsi="Times New Roman"/>
          <w:sz w:val="24"/>
          <w:szCs w:val="24"/>
        </w:rPr>
        <w:t>defence</w:t>
      </w:r>
      <w:proofErr w:type="spellEnd"/>
      <w:r w:rsidRPr="002D3EC6">
        <w:rPr>
          <w:rFonts w:ascii="Times New Roman" w:hAnsi="Times New Roman"/>
          <w:sz w:val="24"/>
          <w:szCs w:val="24"/>
        </w:rPr>
        <w:t xml:space="preserve"> mechanisms in fish, with particular reference to the reticuloendothelial system (RES). </w:t>
      </w:r>
      <w:r w:rsidRPr="002D3EC6">
        <w:rPr>
          <w:rFonts w:ascii="Times New Roman" w:hAnsi="Times New Roman"/>
          <w:i/>
          <w:iCs/>
          <w:sz w:val="24"/>
          <w:szCs w:val="24"/>
        </w:rPr>
        <w:t>Journal of Fish Diseases, 20</w:t>
      </w:r>
      <w:r w:rsidRPr="002D3EC6">
        <w:rPr>
          <w:rFonts w:ascii="Times New Roman" w:hAnsi="Times New Roman"/>
          <w:sz w:val="24"/>
          <w:szCs w:val="24"/>
        </w:rPr>
        <w:t xml:space="preserve">(4), 241–273. </w:t>
      </w:r>
      <w:hyperlink r:id="rId32" w:history="1">
        <w:r w:rsidRPr="002D3EC6">
          <w:rPr>
            <w:rFonts w:ascii="Times New Roman" w:hAnsi="Times New Roman"/>
            <w:color w:val="0000FF"/>
            <w:sz w:val="24"/>
            <w:szCs w:val="24"/>
            <w:u w:val="single"/>
          </w:rPr>
          <w:t>https://doi.org/10.1046/j.1365-2761.1997.00302.x</w:t>
        </w:r>
      </w:hyperlink>
    </w:p>
    <w:p w14:paraId="7F088CE3" w14:textId="497DF94E"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Dawood, M. A. O., Koshio, S., &amp; Esteban, M. Á. (2018). Beneficial roles of feed additives as immunostimulants in aquaculture: A review. </w:t>
      </w:r>
      <w:r w:rsidRPr="002D3EC6">
        <w:rPr>
          <w:rFonts w:ascii="Times New Roman" w:hAnsi="Times New Roman"/>
          <w:i/>
          <w:iCs/>
          <w:sz w:val="24"/>
          <w:szCs w:val="24"/>
        </w:rPr>
        <w:t>Reviews in Aquaculture, 10</w:t>
      </w:r>
      <w:r w:rsidRPr="002D3EC6">
        <w:rPr>
          <w:rFonts w:ascii="Times New Roman" w:hAnsi="Times New Roman"/>
          <w:sz w:val="24"/>
          <w:szCs w:val="24"/>
        </w:rPr>
        <w:t xml:space="preserve">(4), 950–974. </w:t>
      </w:r>
      <w:hyperlink r:id="rId33" w:history="1">
        <w:r w:rsidRPr="002D3EC6">
          <w:rPr>
            <w:rFonts w:ascii="Times New Roman" w:hAnsi="Times New Roman"/>
            <w:color w:val="0000FF"/>
            <w:sz w:val="24"/>
            <w:szCs w:val="24"/>
            <w:u w:val="single"/>
          </w:rPr>
          <w:t>https://doi.org/10.1111/raq.12209</w:t>
        </w:r>
      </w:hyperlink>
    </w:p>
    <w:p w14:paraId="0611DE20"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DeChatelet, L. R., Long, G. D., Shirley, P. S., Bass, D. A., Thomas, M. J., Henderson, F. W., &amp; Cohen, M. S. (1982). Mechanism of the luminol-dependent chemiluminescence of human neutrophils. </w:t>
      </w:r>
      <w:r w:rsidRPr="002D3EC6">
        <w:rPr>
          <w:rFonts w:ascii="Times New Roman" w:hAnsi="Times New Roman"/>
          <w:i/>
          <w:iCs/>
          <w:sz w:val="24"/>
          <w:szCs w:val="24"/>
        </w:rPr>
        <w:t>Journal of Immunology, 129</w:t>
      </w:r>
      <w:r w:rsidRPr="002D3EC6">
        <w:rPr>
          <w:rFonts w:ascii="Times New Roman" w:hAnsi="Times New Roman"/>
          <w:sz w:val="24"/>
          <w:szCs w:val="24"/>
        </w:rPr>
        <w:t xml:space="preserve">(4), 1589–1593. </w:t>
      </w:r>
      <w:hyperlink r:id="rId34" w:history="1">
        <w:r w:rsidRPr="002D3EC6">
          <w:rPr>
            <w:rFonts w:ascii="Times New Roman" w:hAnsi="Times New Roman"/>
            <w:color w:val="0000FF"/>
            <w:sz w:val="24"/>
            <w:szCs w:val="24"/>
            <w:u w:val="single"/>
          </w:rPr>
          <w:t>https://doi.org/10.4049/jimmunol.129.4.1589</w:t>
        </w:r>
      </w:hyperlink>
    </w:p>
    <w:p w14:paraId="76831643"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Dorucu, M., </w:t>
      </w:r>
      <w:proofErr w:type="spellStart"/>
      <w:r w:rsidRPr="002D3EC6">
        <w:rPr>
          <w:rFonts w:ascii="Times New Roman" w:hAnsi="Times New Roman"/>
          <w:sz w:val="24"/>
          <w:szCs w:val="24"/>
        </w:rPr>
        <w:t>Ispir</w:t>
      </w:r>
      <w:proofErr w:type="spellEnd"/>
      <w:r w:rsidRPr="002D3EC6">
        <w:rPr>
          <w:rFonts w:ascii="Times New Roman" w:hAnsi="Times New Roman"/>
          <w:sz w:val="24"/>
          <w:szCs w:val="24"/>
        </w:rPr>
        <w:t xml:space="preserve">, U., Colak, S., </w:t>
      </w:r>
      <w:proofErr w:type="spellStart"/>
      <w:r w:rsidRPr="002D3EC6">
        <w:rPr>
          <w:rFonts w:ascii="Times New Roman" w:hAnsi="Times New Roman"/>
          <w:sz w:val="24"/>
          <w:szCs w:val="24"/>
        </w:rPr>
        <w:t>Altinterim</w:t>
      </w:r>
      <w:proofErr w:type="spellEnd"/>
      <w:r w:rsidRPr="002D3EC6">
        <w:rPr>
          <w:rFonts w:ascii="Times New Roman" w:hAnsi="Times New Roman"/>
          <w:sz w:val="24"/>
          <w:szCs w:val="24"/>
        </w:rPr>
        <w:t xml:space="preserve">, B., &amp; </w:t>
      </w:r>
      <w:proofErr w:type="spellStart"/>
      <w:r w:rsidRPr="002D3EC6">
        <w:rPr>
          <w:rFonts w:ascii="Times New Roman" w:hAnsi="Times New Roman"/>
          <w:sz w:val="24"/>
          <w:szCs w:val="24"/>
        </w:rPr>
        <w:t>Celayir</w:t>
      </w:r>
      <w:proofErr w:type="spellEnd"/>
      <w:r w:rsidRPr="002D3EC6">
        <w:rPr>
          <w:rFonts w:ascii="Times New Roman" w:hAnsi="Times New Roman"/>
          <w:sz w:val="24"/>
          <w:szCs w:val="24"/>
        </w:rPr>
        <w:t>, Y. (2009). The effect of black cumin seeds (</w:t>
      </w:r>
      <w:r w:rsidRPr="002D3EC6">
        <w:rPr>
          <w:rFonts w:ascii="Times New Roman" w:hAnsi="Times New Roman"/>
          <w:i/>
          <w:iCs/>
          <w:sz w:val="24"/>
          <w:szCs w:val="24"/>
        </w:rPr>
        <w:t>Nigella sativa</w:t>
      </w:r>
      <w:r w:rsidRPr="002D3EC6">
        <w:rPr>
          <w:rFonts w:ascii="Times New Roman" w:hAnsi="Times New Roman"/>
          <w:sz w:val="24"/>
          <w:szCs w:val="24"/>
        </w:rPr>
        <w:t>) on the immune response of rainbow trout (</w:t>
      </w:r>
      <w:r w:rsidRPr="002D3EC6">
        <w:rPr>
          <w:rFonts w:ascii="Times New Roman" w:hAnsi="Times New Roman"/>
          <w:i/>
          <w:iCs/>
          <w:sz w:val="24"/>
          <w:szCs w:val="24"/>
        </w:rPr>
        <w:t>Oncorhynchus mykiss</w:t>
      </w:r>
      <w:r w:rsidRPr="002D3EC6">
        <w:rPr>
          <w:rFonts w:ascii="Times New Roman" w:hAnsi="Times New Roman"/>
          <w:sz w:val="24"/>
          <w:szCs w:val="24"/>
        </w:rPr>
        <w:t xml:space="preserve">). </w:t>
      </w:r>
      <w:r w:rsidRPr="002D3EC6">
        <w:rPr>
          <w:rFonts w:ascii="Times New Roman" w:hAnsi="Times New Roman"/>
          <w:i/>
          <w:iCs/>
          <w:sz w:val="24"/>
          <w:szCs w:val="24"/>
        </w:rPr>
        <w:t>Mediterranean Aquaculture Journal, 2</w:t>
      </w:r>
      <w:r w:rsidRPr="002D3EC6">
        <w:rPr>
          <w:rFonts w:ascii="Times New Roman" w:hAnsi="Times New Roman"/>
          <w:sz w:val="24"/>
          <w:szCs w:val="24"/>
        </w:rPr>
        <w:t xml:space="preserve">(1), 27–33. </w:t>
      </w:r>
      <w:hyperlink r:id="rId35" w:history="1">
        <w:r w:rsidRPr="002D3EC6">
          <w:rPr>
            <w:rFonts w:ascii="Times New Roman" w:hAnsi="Times New Roman"/>
            <w:color w:val="0000FF"/>
            <w:sz w:val="24"/>
            <w:szCs w:val="24"/>
            <w:u w:val="single"/>
          </w:rPr>
          <w:t>https://doi.org/10.21608/MAJ.2009.2667</w:t>
        </w:r>
      </w:hyperlink>
    </w:p>
    <w:p w14:paraId="1DFA01BA"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lastRenderedPageBreak/>
        <w:t xml:space="preserve">Ellis, A. E. (1999). Immunity to bacteria in fish. </w:t>
      </w:r>
      <w:r w:rsidRPr="002D3EC6">
        <w:rPr>
          <w:rFonts w:ascii="Times New Roman" w:hAnsi="Times New Roman"/>
          <w:i/>
          <w:iCs/>
          <w:sz w:val="24"/>
          <w:szCs w:val="24"/>
        </w:rPr>
        <w:t>Fish &amp; Shellfish Immunology, 9</w:t>
      </w:r>
      <w:r w:rsidRPr="002D3EC6">
        <w:rPr>
          <w:rFonts w:ascii="Times New Roman" w:hAnsi="Times New Roman"/>
          <w:sz w:val="24"/>
          <w:szCs w:val="24"/>
        </w:rPr>
        <w:t xml:space="preserve">(4), 291–308. </w:t>
      </w:r>
      <w:hyperlink r:id="rId36" w:history="1">
        <w:r w:rsidRPr="002D3EC6">
          <w:rPr>
            <w:rFonts w:ascii="Times New Roman" w:hAnsi="Times New Roman"/>
            <w:color w:val="0000FF"/>
            <w:sz w:val="24"/>
            <w:szCs w:val="24"/>
            <w:u w:val="single"/>
          </w:rPr>
          <w:t>https://doi.org/10.1006/fsim.1998.0192</w:t>
        </w:r>
      </w:hyperlink>
    </w:p>
    <w:p w14:paraId="1B20F9F0"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lang w:val="nl-BE"/>
        </w:rPr>
        <w:t xml:space="preserve">Engstad, R. E., Robertsen, B., &amp; Frivold, E. (1992). </w:t>
      </w:r>
      <w:r w:rsidRPr="002D3EC6">
        <w:rPr>
          <w:rFonts w:ascii="Times New Roman" w:hAnsi="Times New Roman"/>
          <w:sz w:val="24"/>
          <w:szCs w:val="24"/>
        </w:rPr>
        <w:t xml:space="preserve">Yeast glucan induces increase in lysozyme and complement-mediated </w:t>
      </w:r>
      <w:proofErr w:type="spellStart"/>
      <w:r w:rsidRPr="002D3EC6">
        <w:rPr>
          <w:rFonts w:ascii="Times New Roman" w:hAnsi="Times New Roman"/>
          <w:sz w:val="24"/>
          <w:szCs w:val="24"/>
        </w:rPr>
        <w:t>haemolytic</w:t>
      </w:r>
      <w:proofErr w:type="spellEnd"/>
      <w:r w:rsidRPr="002D3EC6">
        <w:rPr>
          <w:rFonts w:ascii="Times New Roman" w:hAnsi="Times New Roman"/>
          <w:sz w:val="24"/>
          <w:szCs w:val="24"/>
        </w:rPr>
        <w:t xml:space="preserve"> activity in Atlantic salmon blood. </w:t>
      </w:r>
      <w:r w:rsidRPr="002D3EC6">
        <w:rPr>
          <w:rFonts w:ascii="Times New Roman" w:hAnsi="Times New Roman"/>
          <w:i/>
          <w:iCs/>
          <w:sz w:val="24"/>
          <w:szCs w:val="24"/>
        </w:rPr>
        <w:t>Fish &amp; Shellfish Immunology, 2</w:t>
      </w:r>
      <w:r w:rsidRPr="002D3EC6">
        <w:rPr>
          <w:rFonts w:ascii="Times New Roman" w:hAnsi="Times New Roman"/>
          <w:sz w:val="24"/>
          <w:szCs w:val="24"/>
        </w:rPr>
        <w:t xml:space="preserve">(4), 287–297. </w:t>
      </w:r>
      <w:hyperlink r:id="rId37" w:history="1">
        <w:r w:rsidRPr="002D3EC6">
          <w:rPr>
            <w:rFonts w:ascii="Times New Roman" w:hAnsi="Times New Roman"/>
            <w:color w:val="0000FF"/>
            <w:sz w:val="24"/>
            <w:szCs w:val="24"/>
            <w:u w:val="single"/>
          </w:rPr>
          <w:t>https://doi.org/10.1016/S1050-4648(06)80033-1</w:t>
        </w:r>
      </w:hyperlink>
    </w:p>
    <w:p w14:paraId="5B213CF5"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lang w:val="nl-BE"/>
        </w:rPr>
      </w:pPr>
      <w:r w:rsidRPr="002D3EC6">
        <w:rPr>
          <w:rFonts w:ascii="Times New Roman" w:hAnsi="Times New Roman"/>
          <w:sz w:val="24"/>
          <w:szCs w:val="24"/>
        </w:rPr>
        <w:t xml:space="preserve">Esteban, M. Á. (2023). Fish innate immunity: Current understanding and future perspectives. </w:t>
      </w:r>
      <w:r w:rsidRPr="002D3EC6">
        <w:rPr>
          <w:rFonts w:ascii="Times New Roman" w:hAnsi="Times New Roman"/>
          <w:i/>
          <w:iCs/>
          <w:sz w:val="24"/>
          <w:szCs w:val="24"/>
          <w:lang w:val="nl-BE"/>
        </w:rPr>
        <w:t>Fish &amp; Shellfish Immunology, 137</w:t>
      </w:r>
      <w:r w:rsidRPr="002D3EC6">
        <w:rPr>
          <w:rFonts w:ascii="Times New Roman" w:hAnsi="Times New Roman"/>
          <w:sz w:val="24"/>
          <w:szCs w:val="24"/>
          <w:lang w:val="nl-BE"/>
        </w:rPr>
        <w:t xml:space="preserve">, Article 108787. </w:t>
      </w:r>
      <w:hyperlink r:id="rId38" w:history="1">
        <w:r w:rsidRPr="002D3EC6">
          <w:rPr>
            <w:rFonts w:ascii="Times New Roman" w:hAnsi="Times New Roman"/>
            <w:color w:val="0000FF"/>
            <w:sz w:val="24"/>
            <w:szCs w:val="24"/>
            <w:u w:val="single"/>
            <w:lang w:val="nl-BE"/>
          </w:rPr>
          <w:t>https://doi.org/10.1016/j.fsi.2023.108787</w:t>
        </w:r>
      </w:hyperlink>
    </w:p>
    <w:p w14:paraId="252C7BDD"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lang w:val="nl-BE"/>
        </w:rPr>
        <w:t xml:space="preserve">Evans, J. J., Klesius, P. H., Glibert, P. M., Shoemaker, C. A., Al-Sarawi, M. A., Landsberg, J., Duremdez, R., Al-Marzouk, A., &amp; Al-Zenki, S. (2002). </w:t>
      </w:r>
      <w:r w:rsidRPr="002D3EC6">
        <w:rPr>
          <w:rFonts w:ascii="Times New Roman" w:hAnsi="Times New Roman"/>
          <w:sz w:val="24"/>
          <w:szCs w:val="24"/>
        </w:rPr>
        <w:t>Characterization of β-</w:t>
      </w:r>
      <w:proofErr w:type="spellStart"/>
      <w:r w:rsidRPr="002D3EC6">
        <w:rPr>
          <w:rFonts w:ascii="Times New Roman" w:hAnsi="Times New Roman"/>
          <w:sz w:val="24"/>
          <w:szCs w:val="24"/>
        </w:rPr>
        <w:t>haemolytic</w:t>
      </w:r>
      <w:proofErr w:type="spellEnd"/>
      <w:r w:rsidRPr="002D3EC6">
        <w:rPr>
          <w:rFonts w:ascii="Times New Roman" w:hAnsi="Times New Roman"/>
          <w:sz w:val="24"/>
          <w:szCs w:val="24"/>
        </w:rPr>
        <w:t xml:space="preserve"> group B </w:t>
      </w:r>
      <w:r w:rsidRPr="002D3EC6">
        <w:rPr>
          <w:rFonts w:ascii="Times New Roman" w:hAnsi="Times New Roman"/>
          <w:i/>
          <w:iCs/>
          <w:sz w:val="24"/>
          <w:szCs w:val="24"/>
        </w:rPr>
        <w:t>Streptococcus agalactiae</w:t>
      </w:r>
      <w:r w:rsidRPr="002D3EC6">
        <w:rPr>
          <w:rFonts w:ascii="Times New Roman" w:hAnsi="Times New Roman"/>
          <w:sz w:val="24"/>
          <w:szCs w:val="24"/>
        </w:rPr>
        <w:t xml:space="preserve"> in cultured seabream, </w:t>
      </w:r>
      <w:r w:rsidRPr="002D3EC6">
        <w:rPr>
          <w:rFonts w:ascii="Times New Roman" w:hAnsi="Times New Roman"/>
          <w:i/>
          <w:iCs/>
          <w:sz w:val="24"/>
          <w:szCs w:val="24"/>
        </w:rPr>
        <w:t>Sparus auratus</w:t>
      </w:r>
      <w:r w:rsidRPr="002D3EC6">
        <w:rPr>
          <w:rFonts w:ascii="Times New Roman" w:hAnsi="Times New Roman"/>
          <w:sz w:val="24"/>
          <w:szCs w:val="24"/>
        </w:rPr>
        <w:t xml:space="preserve"> L., and wild mullet, </w:t>
      </w:r>
      <w:r w:rsidRPr="002D3EC6">
        <w:rPr>
          <w:rFonts w:ascii="Times New Roman" w:hAnsi="Times New Roman"/>
          <w:i/>
          <w:iCs/>
          <w:sz w:val="24"/>
          <w:szCs w:val="24"/>
        </w:rPr>
        <w:t xml:space="preserve">Liza </w:t>
      </w:r>
      <w:proofErr w:type="spellStart"/>
      <w:r w:rsidRPr="002D3EC6">
        <w:rPr>
          <w:rFonts w:ascii="Times New Roman" w:hAnsi="Times New Roman"/>
          <w:i/>
          <w:iCs/>
          <w:sz w:val="24"/>
          <w:szCs w:val="24"/>
        </w:rPr>
        <w:t>klunzingeri</w:t>
      </w:r>
      <w:proofErr w:type="spellEnd"/>
      <w:r w:rsidRPr="002D3EC6">
        <w:rPr>
          <w:rFonts w:ascii="Times New Roman" w:hAnsi="Times New Roman"/>
          <w:sz w:val="24"/>
          <w:szCs w:val="24"/>
        </w:rPr>
        <w:t xml:space="preserve"> (Day), in Kuwait. </w:t>
      </w:r>
      <w:r w:rsidRPr="002D3EC6">
        <w:rPr>
          <w:rFonts w:ascii="Times New Roman" w:hAnsi="Times New Roman"/>
          <w:i/>
          <w:iCs/>
          <w:sz w:val="24"/>
          <w:szCs w:val="24"/>
        </w:rPr>
        <w:t>Journal of Fish Diseases, 25</w:t>
      </w:r>
      <w:r w:rsidRPr="002D3EC6">
        <w:rPr>
          <w:rFonts w:ascii="Times New Roman" w:hAnsi="Times New Roman"/>
          <w:sz w:val="24"/>
          <w:szCs w:val="24"/>
        </w:rPr>
        <w:t xml:space="preserve">(9), 505–513. </w:t>
      </w:r>
      <w:hyperlink r:id="rId39" w:history="1">
        <w:r w:rsidRPr="002D3EC6">
          <w:rPr>
            <w:rFonts w:ascii="Times New Roman" w:hAnsi="Times New Roman"/>
            <w:color w:val="0000FF"/>
            <w:sz w:val="24"/>
            <w:szCs w:val="24"/>
            <w:u w:val="single"/>
          </w:rPr>
          <w:t>https://doi.org/10.1046/j.1365-2761.2002.00392.x</w:t>
        </w:r>
      </w:hyperlink>
    </w:p>
    <w:p w14:paraId="3698A69A" w14:textId="40521B80"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Fletcher, T. C. (1973). </w:t>
      </w:r>
      <w:proofErr w:type="spellStart"/>
      <w:r w:rsidRPr="002D3EC6">
        <w:rPr>
          <w:rFonts w:ascii="Times New Roman" w:hAnsi="Times New Roman"/>
          <w:sz w:val="24"/>
          <w:szCs w:val="24"/>
        </w:rPr>
        <w:t>Defence</w:t>
      </w:r>
      <w:proofErr w:type="spellEnd"/>
      <w:r w:rsidRPr="002D3EC6">
        <w:rPr>
          <w:rFonts w:ascii="Times New Roman" w:hAnsi="Times New Roman"/>
          <w:sz w:val="24"/>
          <w:szCs w:val="24"/>
        </w:rPr>
        <w:t xml:space="preserve"> mechanisms in fish. In D. C. Malins &amp; J. R. Sargent (Eds.), </w:t>
      </w:r>
      <w:r w:rsidRPr="002D3EC6">
        <w:rPr>
          <w:rFonts w:ascii="Times New Roman" w:hAnsi="Times New Roman"/>
          <w:i/>
          <w:iCs/>
          <w:sz w:val="24"/>
          <w:szCs w:val="24"/>
        </w:rPr>
        <w:t>Biochemical and biophysical perspectives in marine biology</w:t>
      </w:r>
      <w:r w:rsidRPr="002D3EC6">
        <w:rPr>
          <w:rFonts w:ascii="Times New Roman" w:hAnsi="Times New Roman"/>
          <w:sz w:val="24"/>
          <w:szCs w:val="24"/>
        </w:rPr>
        <w:t xml:space="preserve"> (pp. 189–222). Academic Press. </w:t>
      </w:r>
    </w:p>
    <w:p w14:paraId="193C2934"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Food and Agriculture Organization of the United Nations. (2024). </w:t>
      </w:r>
      <w:r w:rsidRPr="002D3EC6">
        <w:rPr>
          <w:rFonts w:ascii="Times New Roman" w:hAnsi="Times New Roman"/>
          <w:i/>
          <w:iCs/>
          <w:sz w:val="24"/>
          <w:szCs w:val="24"/>
        </w:rPr>
        <w:t>The state of world fisheries and aquaculture 2024: Blue transformation in action</w:t>
      </w:r>
      <w:r w:rsidRPr="002D3EC6">
        <w:rPr>
          <w:rFonts w:ascii="Times New Roman" w:hAnsi="Times New Roman"/>
          <w:sz w:val="24"/>
          <w:szCs w:val="24"/>
        </w:rPr>
        <w:t xml:space="preserve">. </w:t>
      </w:r>
      <w:hyperlink r:id="rId40" w:history="1">
        <w:r w:rsidRPr="002D3EC6">
          <w:rPr>
            <w:rFonts w:ascii="Times New Roman" w:hAnsi="Times New Roman"/>
            <w:color w:val="0000FF"/>
            <w:sz w:val="24"/>
            <w:szCs w:val="24"/>
            <w:u w:val="single"/>
          </w:rPr>
          <w:t>https://doi.org/10.4060/cd0683en</w:t>
        </w:r>
      </w:hyperlink>
    </w:p>
    <w:p w14:paraId="34057FC4" w14:textId="28F5DACA"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Foott</w:t>
      </w:r>
      <w:proofErr w:type="spellEnd"/>
      <w:r w:rsidRPr="002D3EC6">
        <w:rPr>
          <w:rFonts w:ascii="Times New Roman" w:hAnsi="Times New Roman"/>
          <w:sz w:val="24"/>
          <w:szCs w:val="24"/>
        </w:rPr>
        <w:t xml:space="preserve">, J. S., Harmon, R., &amp; Stone, R. (2004). Effect of water temperature on nonspecific immune function and </w:t>
      </w:r>
      <w:proofErr w:type="spellStart"/>
      <w:r w:rsidRPr="002D3EC6">
        <w:rPr>
          <w:rFonts w:ascii="Times New Roman" w:hAnsi="Times New Roman"/>
          <w:sz w:val="24"/>
          <w:szCs w:val="24"/>
        </w:rPr>
        <w:t>ceratomyxosis</w:t>
      </w:r>
      <w:proofErr w:type="spellEnd"/>
      <w:r w:rsidRPr="002D3EC6">
        <w:rPr>
          <w:rFonts w:ascii="Times New Roman" w:hAnsi="Times New Roman"/>
          <w:sz w:val="24"/>
          <w:szCs w:val="24"/>
        </w:rPr>
        <w:t xml:space="preserve"> in juvenile Chinook salmon and steelhead from the Klamath River. </w:t>
      </w:r>
      <w:r w:rsidRPr="002D3EC6">
        <w:rPr>
          <w:rFonts w:ascii="Times New Roman" w:hAnsi="Times New Roman"/>
          <w:i/>
          <w:iCs/>
          <w:sz w:val="24"/>
          <w:szCs w:val="24"/>
        </w:rPr>
        <w:t>California Fish and Game, 90</w:t>
      </w:r>
      <w:r w:rsidRPr="002D3EC6">
        <w:rPr>
          <w:rFonts w:ascii="Times New Roman" w:hAnsi="Times New Roman"/>
          <w:sz w:val="24"/>
          <w:szCs w:val="24"/>
        </w:rPr>
        <w:t xml:space="preserve">, 71–84. </w:t>
      </w:r>
    </w:p>
    <w:p w14:paraId="52034DCE"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Fromtling</w:t>
      </w:r>
      <w:proofErr w:type="spellEnd"/>
      <w:r w:rsidRPr="002D3EC6">
        <w:rPr>
          <w:rFonts w:ascii="Times New Roman" w:hAnsi="Times New Roman"/>
          <w:sz w:val="24"/>
          <w:szCs w:val="24"/>
        </w:rPr>
        <w:t xml:space="preserve">, R. A., &amp; Abruzzo, G. K. (1985). Chemiluminescence as a tool for the evaluation of antimicrobial agents: A review. </w:t>
      </w:r>
      <w:r w:rsidRPr="002D3EC6">
        <w:rPr>
          <w:rFonts w:ascii="Times New Roman" w:hAnsi="Times New Roman"/>
          <w:i/>
          <w:iCs/>
          <w:sz w:val="24"/>
          <w:szCs w:val="24"/>
        </w:rPr>
        <w:t>Methods and Findings in Experimental and Clinical Pharmacology, 7</w:t>
      </w:r>
      <w:r w:rsidRPr="002D3EC6">
        <w:rPr>
          <w:rFonts w:ascii="Times New Roman" w:hAnsi="Times New Roman"/>
          <w:sz w:val="24"/>
          <w:szCs w:val="24"/>
        </w:rPr>
        <w:t xml:space="preserve">(8), 493–500. </w:t>
      </w:r>
      <w:hyperlink r:id="rId41" w:history="1">
        <w:r w:rsidRPr="002D3EC6">
          <w:rPr>
            <w:rFonts w:ascii="Times New Roman" w:hAnsi="Times New Roman"/>
            <w:color w:val="0000FF"/>
            <w:sz w:val="24"/>
            <w:szCs w:val="24"/>
            <w:u w:val="single"/>
          </w:rPr>
          <w:t>https://pubmed.ncbi.nlm.nih.gov/3908855/</w:t>
        </w:r>
      </w:hyperlink>
    </w:p>
    <w:p w14:paraId="63CCBC3D"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Garcia, F., Pilarski, F., Onaka, E. M., Moraes, F. R., &amp; Martins, M. L. (2007). Hematology of </w:t>
      </w:r>
      <w:proofErr w:type="spellStart"/>
      <w:r w:rsidRPr="002D3EC6">
        <w:rPr>
          <w:rFonts w:ascii="Times New Roman" w:hAnsi="Times New Roman"/>
          <w:i/>
          <w:iCs/>
          <w:sz w:val="24"/>
          <w:szCs w:val="24"/>
        </w:rPr>
        <w:t>Piaractus</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mesopotamicus</w:t>
      </w:r>
      <w:proofErr w:type="spellEnd"/>
      <w:r w:rsidRPr="002D3EC6">
        <w:rPr>
          <w:rFonts w:ascii="Times New Roman" w:hAnsi="Times New Roman"/>
          <w:sz w:val="24"/>
          <w:szCs w:val="24"/>
        </w:rPr>
        <w:t xml:space="preserve"> fed diets supplemented with vitamins C and E and challenged with </w:t>
      </w:r>
      <w:r w:rsidRPr="002D3EC6">
        <w:rPr>
          <w:rFonts w:ascii="Times New Roman" w:hAnsi="Times New Roman"/>
          <w:i/>
          <w:iCs/>
          <w:sz w:val="24"/>
          <w:szCs w:val="24"/>
        </w:rPr>
        <w:t xml:space="preserve">Aeromonas </w:t>
      </w:r>
      <w:proofErr w:type="spellStart"/>
      <w:r w:rsidRPr="002D3EC6">
        <w:rPr>
          <w:rFonts w:ascii="Times New Roman" w:hAnsi="Times New Roman"/>
          <w:i/>
          <w:iCs/>
          <w:sz w:val="24"/>
          <w:szCs w:val="24"/>
        </w:rPr>
        <w:t>hydrophila</w:t>
      </w:r>
      <w:proofErr w:type="spellEnd"/>
      <w:r w:rsidRPr="002D3EC6">
        <w:rPr>
          <w:rFonts w:ascii="Times New Roman" w:hAnsi="Times New Roman"/>
          <w:sz w:val="24"/>
          <w:szCs w:val="24"/>
        </w:rPr>
        <w:t xml:space="preserve">. </w:t>
      </w:r>
      <w:r w:rsidRPr="002D3EC6">
        <w:rPr>
          <w:rFonts w:ascii="Times New Roman" w:hAnsi="Times New Roman"/>
          <w:i/>
          <w:iCs/>
          <w:sz w:val="24"/>
          <w:szCs w:val="24"/>
        </w:rPr>
        <w:t>Aquaculture, 271</w:t>
      </w:r>
      <w:r w:rsidRPr="002D3EC6">
        <w:rPr>
          <w:rFonts w:ascii="Times New Roman" w:hAnsi="Times New Roman"/>
          <w:sz w:val="24"/>
          <w:szCs w:val="24"/>
        </w:rPr>
        <w:t xml:space="preserve">(1–4), 39–46. </w:t>
      </w:r>
      <w:hyperlink r:id="rId42" w:history="1">
        <w:r w:rsidRPr="002D3EC6">
          <w:rPr>
            <w:rFonts w:ascii="Times New Roman" w:hAnsi="Times New Roman"/>
            <w:color w:val="0000FF"/>
            <w:sz w:val="24"/>
            <w:szCs w:val="24"/>
            <w:u w:val="single"/>
          </w:rPr>
          <w:t>https://doi.org/10.1016/j.aquaculture.2007.06.021</w:t>
        </w:r>
      </w:hyperlink>
    </w:p>
    <w:p w14:paraId="405E5949"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Gopalakannan</w:t>
      </w:r>
      <w:proofErr w:type="spellEnd"/>
      <w:r w:rsidRPr="002D3EC6">
        <w:rPr>
          <w:rFonts w:ascii="Times New Roman" w:hAnsi="Times New Roman"/>
          <w:sz w:val="24"/>
          <w:szCs w:val="24"/>
        </w:rPr>
        <w:t xml:space="preserve">, A., &amp; Arul, V. (2006). Immunomodulatory effects of dietary intake of chitin, chitosan, and levamisole on the immune system of </w:t>
      </w:r>
      <w:r w:rsidRPr="002D3EC6">
        <w:rPr>
          <w:rFonts w:ascii="Times New Roman" w:hAnsi="Times New Roman"/>
          <w:i/>
          <w:iCs/>
          <w:sz w:val="24"/>
          <w:szCs w:val="24"/>
        </w:rPr>
        <w:t>Cyprinus carpio</w:t>
      </w:r>
      <w:r w:rsidRPr="002D3EC6">
        <w:rPr>
          <w:rFonts w:ascii="Times New Roman" w:hAnsi="Times New Roman"/>
          <w:sz w:val="24"/>
          <w:szCs w:val="24"/>
        </w:rPr>
        <w:t xml:space="preserve"> </w:t>
      </w:r>
      <w:r w:rsidRPr="002D3EC6">
        <w:rPr>
          <w:rFonts w:ascii="Times New Roman" w:hAnsi="Times New Roman"/>
          <w:sz w:val="24"/>
          <w:szCs w:val="24"/>
        </w:rPr>
        <w:lastRenderedPageBreak/>
        <w:t xml:space="preserve">and control of </w:t>
      </w:r>
      <w:r w:rsidRPr="002D3EC6">
        <w:rPr>
          <w:rFonts w:ascii="Times New Roman" w:hAnsi="Times New Roman"/>
          <w:i/>
          <w:iCs/>
          <w:sz w:val="24"/>
          <w:szCs w:val="24"/>
        </w:rPr>
        <w:t xml:space="preserve">Aeromonas </w:t>
      </w:r>
      <w:proofErr w:type="spellStart"/>
      <w:r w:rsidRPr="002D3EC6">
        <w:rPr>
          <w:rFonts w:ascii="Times New Roman" w:hAnsi="Times New Roman"/>
          <w:i/>
          <w:iCs/>
          <w:sz w:val="24"/>
          <w:szCs w:val="24"/>
        </w:rPr>
        <w:t>hydrophila</w:t>
      </w:r>
      <w:proofErr w:type="spellEnd"/>
      <w:r w:rsidRPr="002D3EC6">
        <w:rPr>
          <w:rFonts w:ascii="Times New Roman" w:hAnsi="Times New Roman"/>
          <w:sz w:val="24"/>
          <w:szCs w:val="24"/>
        </w:rPr>
        <w:t xml:space="preserve"> infection. </w:t>
      </w:r>
      <w:r w:rsidRPr="002D3EC6">
        <w:rPr>
          <w:rFonts w:ascii="Times New Roman" w:hAnsi="Times New Roman"/>
          <w:i/>
          <w:iCs/>
          <w:sz w:val="24"/>
          <w:szCs w:val="24"/>
        </w:rPr>
        <w:t>Aquaculture, 255</w:t>
      </w:r>
      <w:r w:rsidRPr="002D3EC6">
        <w:rPr>
          <w:rFonts w:ascii="Times New Roman" w:hAnsi="Times New Roman"/>
          <w:sz w:val="24"/>
          <w:szCs w:val="24"/>
        </w:rPr>
        <w:t xml:space="preserve">(1–4), 179–187. </w:t>
      </w:r>
      <w:hyperlink r:id="rId43" w:history="1">
        <w:r w:rsidRPr="002D3EC6">
          <w:rPr>
            <w:rFonts w:ascii="Times New Roman" w:hAnsi="Times New Roman"/>
            <w:color w:val="0000FF"/>
            <w:sz w:val="24"/>
            <w:szCs w:val="24"/>
            <w:u w:val="single"/>
          </w:rPr>
          <w:t>https://doi.org/10.1016/j.aquaculture.2006.01.012</w:t>
        </w:r>
      </w:hyperlink>
    </w:p>
    <w:p w14:paraId="7E941949"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Guha, R., Nandhakumar, K., </w:t>
      </w:r>
      <w:proofErr w:type="spellStart"/>
      <w:r w:rsidRPr="002D3EC6">
        <w:rPr>
          <w:rFonts w:ascii="Times New Roman" w:hAnsi="Times New Roman"/>
          <w:sz w:val="24"/>
          <w:szCs w:val="24"/>
        </w:rPr>
        <w:t>Byadgi</w:t>
      </w:r>
      <w:proofErr w:type="spellEnd"/>
      <w:r w:rsidRPr="002D3EC6">
        <w:rPr>
          <w:rFonts w:ascii="Times New Roman" w:hAnsi="Times New Roman"/>
          <w:sz w:val="24"/>
          <w:szCs w:val="24"/>
        </w:rPr>
        <w:t xml:space="preserve">, O. V., Chen, S.-C., &amp; Elumalai, P. (2025). Immune response and protective efficacy of β-glucan and </w:t>
      </w:r>
      <w:proofErr w:type="spellStart"/>
      <w:r w:rsidRPr="002D3EC6">
        <w:rPr>
          <w:rFonts w:ascii="Times New Roman" w:hAnsi="Times New Roman"/>
          <w:sz w:val="24"/>
          <w:szCs w:val="24"/>
        </w:rPr>
        <w:t>alkoxyglycerol</w:t>
      </w:r>
      <w:proofErr w:type="spellEnd"/>
      <w:r w:rsidRPr="002D3EC6">
        <w:rPr>
          <w:rFonts w:ascii="Times New Roman" w:hAnsi="Times New Roman"/>
          <w:sz w:val="24"/>
          <w:szCs w:val="24"/>
        </w:rPr>
        <w:t xml:space="preserve"> as adjuvant in </w:t>
      </w:r>
      <w:r w:rsidRPr="002D3EC6">
        <w:rPr>
          <w:rFonts w:ascii="Times New Roman" w:hAnsi="Times New Roman"/>
          <w:i/>
          <w:iCs/>
          <w:sz w:val="24"/>
          <w:szCs w:val="24"/>
        </w:rPr>
        <w:t>Streptococcus agalactiae</w:t>
      </w:r>
      <w:r w:rsidRPr="002D3EC6">
        <w:rPr>
          <w:rFonts w:ascii="Times New Roman" w:hAnsi="Times New Roman"/>
          <w:sz w:val="24"/>
          <w:szCs w:val="24"/>
        </w:rPr>
        <w:t xml:space="preserve"> formalin-inactivated vaccine in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w:t>
      </w:r>
      <w:r w:rsidRPr="002D3EC6">
        <w:rPr>
          <w:rFonts w:ascii="Times New Roman" w:hAnsi="Times New Roman"/>
          <w:i/>
          <w:iCs/>
          <w:sz w:val="24"/>
          <w:szCs w:val="24"/>
        </w:rPr>
        <w:t>Journal of Fish Diseases, 48</w:t>
      </w:r>
      <w:r w:rsidRPr="002D3EC6">
        <w:rPr>
          <w:rFonts w:ascii="Times New Roman" w:hAnsi="Times New Roman"/>
          <w:sz w:val="24"/>
          <w:szCs w:val="24"/>
        </w:rPr>
        <w:t xml:space="preserve">(11), Article e14141. </w:t>
      </w:r>
      <w:hyperlink r:id="rId44" w:history="1">
        <w:r w:rsidRPr="002D3EC6">
          <w:rPr>
            <w:rFonts w:ascii="Times New Roman" w:hAnsi="Times New Roman"/>
            <w:color w:val="0000FF"/>
            <w:sz w:val="24"/>
            <w:szCs w:val="24"/>
            <w:u w:val="single"/>
          </w:rPr>
          <w:t>https://doi.org/10.1111/jfd.14141</w:t>
        </w:r>
      </w:hyperlink>
    </w:p>
    <w:p w14:paraId="129B0892"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Gutte, S. M., &amp; Nalle, D. A. (2026). Impact of helminth infection on physiological, hematological, biochemical, and immune parameters of ornamental fishes from Latur District, Maharashtra, India. </w:t>
      </w:r>
      <w:r w:rsidRPr="002D3EC6">
        <w:rPr>
          <w:rFonts w:ascii="Times New Roman" w:hAnsi="Times New Roman"/>
          <w:i/>
          <w:iCs/>
          <w:sz w:val="24"/>
          <w:szCs w:val="24"/>
        </w:rPr>
        <w:t>Asian Journal of Fisheries and Aquatic Research, 28</w:t>
      </w:r>
      <w:r w:rsidRPr="002D3EC6">
        <w:rPr>
          <w:rFonts w:ascii="Times New Roman" w:hAnsi="Times New Roman"/>
          <w:sz w:val="24"/>
          <w:szCs w:val="24"/>
        </w:rPr>
        <w:t xml:space="preserve">(8), 8–24. </w:t>
      </w:r>
      <w:hyperlink r:id="rId45" w:history="1">
        <w:r w:rsidRPr="002D3EC6">
          <w:rPr>
            <w:rFonts w:ascii="Times New Roman" w:hAnsi="Times New Roman"/>
            <w:color w:val="0000FF"/>
            <w:sz w:val="24"/>
            <w:szCs w:val="24"/>
            <w:u w:val="single"/>
          </w:rPr>
          <w:t>https://doi.org/10.9734/ajfar/2026/v28i81120</w:t>
        </w:r>
      </w:hyperlink>
    </w:p>
    <w:p w14:paraId="60A4970A"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Hardie, L. J., Ellis, A. E., &amp; </w:t>
      </w:r>
      <w:proofErr w:type="spellStart"/>
      <w:r w:rsidRPr="002D3EC6">
        <w:rPr>
          <w:rFonts w:ascii="Times New Roman" w:hAnsi="Times New Roman"/>
          <w:sz w:val="24"/>
          <w:szCs w:val="24"/>
        </w:rPr>
        <w:t>Secombes</w:t>
      </w:r>
      <w:proofErr w:type="spellEnd"/>
      <w:r w:rsidRPr="002D3EC6">
        <w:rPr>
          <w:rFonts w:ascii="Times New Roman" w:hAnsi="Times New Roman"/>
          <w:sz w:val="24"/>
          <w:szCs w:val="24"/>
        </w:rPr>
        <w:t xml:space="preserve">, C. J. (1996). In vitro activation of rainbow trout macrophages stimulates inhibition of </w:t>
      </w:r>
      <w:proofErr w:type="spellStart"/>
      <w:r w:rsidRPr="002D3EC6">
        <w:rPr>
          <w:rFonts w:ascii="Times New Roman" w:hAnsi="Times New Roman"/>
          <w:i/>
          <w:iCs/>
          <w:sz w:val="24"/>
          <w:szCs w:val="24"/>
        </w:rPr>
        <w:t>Renibacterium</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salmoninarum</w:t>
      </w:r>
      <w:proofErr w:type="spellEnd"/>
      <w:r w:rsidRPr="002D3EC6">
        <w:rPr>
          <w:rFonts w:ascii="Times New Roman" w:hAnsi="Times New Roman"/>
          <w:sz w:val="24"/>
          <w:szCs w:val="24"/>
        </w:rPr>
        <w:t xml:space="preserve"> growth concomitant with augmented generation of respiratory burst products. </w:t>
      </w:r>
      <w:r w:rsidRPr="002D3EC6">
        <w:rPr>
          <w:rFonts w:ascii="Times New Roman" w:hAnsi="Times New Roman"/>
          <w:i/>
          <w:iCs/>
          <w:sz w:val="24"/>
          <w:szCs w:val="24"/>
        </w:rPr>
        <w:t>Diseases of Aquatic Organisms, 25</w:t>
      </w:r>
      <w:r w:rsidRPr="002D3EC6">
        <w:rPr>
          <w:rFonts w:ascii="Times New Roman" w:hAnsi="Times New Roman"/>
          <w:sz w:val="24"/>
          <w:szCs w:val="24"/>
        </w:rPr>
        <w:t xml:space="preserve">, 175–183. </w:t>
      </w:r>
      <w:hyperlink r:id="rId46" w:history="1">
        <w:r w:rsidRPr="002D3EC6">
          <w:rPr>
            <w:rFonts w:ascii="Times New Roman" w:hAnsi="Times New Roman"/>
            <w:color w:val="0000FF"/>
            <w:sz w:val="24"/>
            <w:szCs w:val="24"/>
            <w:u w:val="single"/>
          </w:rPr>
          <w:t>https://doi.org/10.3354/dao025175</w:t>
        </w:r>
      </w:hyperlink>
    </w:p>
    <w:p w14:paraId="254337D8"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Harikrishnan, R., Balasundaram, C., &amp; Heo, M. S. (2010a). Herbal supplementation diets on hematology and innate immunity in goldfish against </w:t>
      </w:r>
      <w:r w:rsidRPr="002D3EC6">
        <w:rPr>
          <w:rFonts w:ascii="Times New Roman" w:hAnsi="Times New Roman"/>
          <w:i/>
          <w:iCs/>
          <w:sz w:val="24"/>
          <w:szCs w:val="24"/>
        </w:rPr>
        <w:t xml:space="preserve">Aeromonas </w:t>
      </w:r>
      <w:proofErr w:type="spellStart"/>
      <w:r w:rsidRPr="002D3EC6">
        <w:rPr>
          <w:rFonts w:ascii="Times New Roman" w:hAnsi="Times New Roman"/>
          <w:i/>
          <w:iCs/>
          <w:sz w:val="24"/>
          <w:szCs w:val="24"/>
        </w:rPr>
        <w:t>hydrophila</w:t>
      </w:r>
      <w:proofErr w:type="spellEnd"/>
      <w:r w:rsidRPr="002D3EC6">
        <w:rPr>
          <w:rFonts w:ascii="Times New Roman" w:hAnsi="Times New Roman"/>
          <w:sz w:val="24"/>
          <w:szCs w:val="24"/>
        </w:rPr>
        <w:t xml:space="preserve">. </w:t>
      </w:r>
      <w:r w:rsidRPr="002D3EC6">
        <w:rPr>
          <w:rFonts w:ascii="Times New Roman" w:hAnsi="Times New Roman"/>
          <w:i/>
          <w:iCs/>
          <w:sz w:val="24"/>
          <w:szCs w:val="24"/>
        </w:rPr>
        <w:t>Fish &amp; Shellfish Immunology, 28</w:t>
      </w:r>
      <w:r w:rsidRPr="002D3EC6">
        <w:rPr>
          <w:rFonts w:ascii="Times New Roman" w:hAnsi="Times New Roman"/>
          <w:sz w:val="24"/>
          <w:szCs w:val="24"/>
        </w:rPr>
        <w:t xml:space="preserve">(2), 354–361. </w:t>
      </w:r>
      <w:hyperlink r:id="rId47" w:history="1">
        <w:r w:rsidRPr="002D3EC6">
          <w:rPr>
            <w:rFonts w:ascii="Times New Roman" w:hAnsi="Times New Roman"/>
            <w:color w:val="0000FF"/>
            <w:sz w:val="24"/>
            <w:szCs w:val="24"/>
            <w:u w:val="single"/>
          </w:rPr>
          <w:t>https://doi.org/10.1016/j.fsi.2009.11.013</w:t>
        </w:r>
      </w:hyperlink>
    </w:p>
    <w:p w14:paraId="1EC231D0"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Harikrishnan, R., Heo, J., Balasundaram, C., Kim, M. C., Kim, J. S., Han, Y. J., &amp; Heo, M. S. (2010b). Effect of traditional Korean medicinal </w:t>
      </w:r>
      <w:proofErr w:type="spellStart"/>
      <w:r w:rsidRPr="002D3EC6">
        <w:rPr>
          <w:rFonts w:ascii="Times New Roman" w:hAnsi="Times New Roman"/>
          <w:sz w:val="24"/>
          <w:szCs w:val="24"/>
        </w:rPr>
        <w:t>triherbal</w:t>
      </w:r>
      <w:proofErr w:type="spellEnd"/>
      <w:r w:rsidRPr="002D3EC6">
        <w:rPr>
          <w:rFonts w:ascii="Times New Roman" w:hAnsi="Times New Roman"/>
          <w:sz w:val="24"/>
          <w:szCs w:val="24"/>
        </w:rPr>
        <w:t xml:space="preserve"> extract on the innate immune system and disease resistance in olive flounder, </w:t>
      </w:r>
      <w:proofErr w:type="spellStart"/>
      <w:r w:rsidRPr="002D3EC6">
        <w:rPr>
          <w:rFonts w:ascii="Times New Roman" w:hAnsi="Times New Roman"/>
          <w:i/>
          <w:iCs/>
          <w:sz w:val="24"/>
          <w:szCs w:val="24"/>
        </w:rPr>
        <w:t>Paralichthys</w:t>
      </w:r>
      <w:proofErr w:type="spellEnd"/>
      <w:r w:rsidRPr="002D3EC6">
        <w:rPr>
          <w:rFonts w:ascii="Times New Roman" w:hAnsi="Times New Roman"/>
          <w:i/>
          <w:iCs/>
          <w:sz w:val="24"/>
          <w:szCs w:val="24"/>
        </w:rPr>
        <w:t xml:space="preserve"> olivaceus</w:t>
      </w:r>
      <w:r w:rsidRPr="002D3EC6">
        <w:rPr>
          <w:rFonts w:ascii="Times New Roman" w:hAnsi="Times New Roman"/>
          <w:sz w:val="24"/>
          <w:szCs w:val="24"/>
        </w:rPr>
        <w:t xml:space="preserve">, against </w:t>
      </w:r>
      <w:proofErr w:type="spellStart"/>
      <w:r w:rsidRPr="002D3EC6">
        <w:rPr>
          <w:rFonts w:ascii="Times New Roman" w:hAnsi="Times New Roman"/>
          <w:i/>
          <w:iCs/>
          <w:sz w:val="24"/>
          <w:szCs w:val="24"/>
        </w:rPr>
        <w:t>Uronema</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marinum</w:t>
      </w:r>
      <w:proofErr w:type="spellEnd"/>
      <w:r w:rsidRPr="002D3EC6">
        <w:rPr>
          <w:rFonts w:ascii="Times New Roman" w:hAnsi="Times New Roman"/>
          <w:sz w:val="24"/>
          <w:szCs w:val="24"/>
        </w:rPr>
        <w:t xml:space="preserve">. </w:t>
      </w:r>
      <w:r w:rsidRPr="002D3EC6">
        <w:rPr>
          <w:rFonts w:ascii="Times New Roman" w:hAnsi="Times New Roman"/>
          <w:i/>
          <w:iCs/>
          <w:sz w:val="24"/>
          <w:szCs w:val="24"/>
        </w:rPr>
        <w:t>Veterinary Parasitology, 170</w:t>
      </w:r>
      <w:r w:rsidRPr="002D3EC6">
        <w:rPr>
          <w:rFonts w:ascii="Times New Roman" w:hAnsi="Times New Roman"/>
          <w:sz w:val="24"/>
          <w:szCs w:val="24"/>
        </w:rPr>
        <w:t xml:space="preserve">(1–2), 1–7. </w:t>
      </w:r>
      <w:hyperlink r:id="rId48" w:history="1">
        <w:r w:rsidRPr="002D3EC6">
          <w:rPr>
            <w:rFonts w:ascii="Times New Roman" w:hAnsi="Times New Roman"/>
            <w:color w:val="0000FF"/>
            <w:sz w:val="24"/>
            <w:szCs w:val="24"/>
            <w:u w:val="single"/>
          </w:rPr>
          <w:t>https://doi.org/10.1016/j.vetpar.2010.01.046</w:t>
        </w:r>
      </w:hyperlink>
    </w:p>
    <w:p w14:paraId="1AFDB1F6"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Hassan, A. A. M., </w:t>
      </w:r>
      <w:proofErr w:type="spellStart"/>
      <w:r w:rsidRPr="002D3EC6">
        <w:rPr>
          <w:rFonts w:ascii="Times New Roman" w:hAnsi="Times New Roman"/>
          <w:sz w:val="24"/>
          <w:szCs w:val="24"/>
        </w:rPr>
        <w:t>Yacout</w:t>
      </w:r>
      <w:proofErr w:type="spellEnd"/>
      <w:r w:rsidRPr="002D3EC6">
        <w:rPr>
          <w:rFonts w:ascii="Times New Roman" w:hAnsi="Times New Roman"/>
          <w:sz w:val="24"/>
          <w:szCs w:val="24"/>
        </w:rPr>
        <w:t xml:space="preserve">, M. H., Khalel, M. S., Abu Hafsa, S. H., Ibrahim, M. A. R., </w:t>
      </w:r>
      <w:proofErr w:type="spellStart"/>
      <w:r w:rsidRPr="002D3EC6">
        <w:rPr>
          <w:rFonts w:ascii="Times New Roman" w:hAnsi="Times New Roman"/>
          <w:sz w:val="24"/>
          <w:szCs w:val="24"/>
        </w:rPr>
        <w:t>Mocuta</w:t>
      </w:r>
      <w:proofErr w:type="spellEnd"/>
      <w:r w:rsidRPr="002D3EC6">
        <w:rPr>
          <w:rFonts w:ascii="Times New Roman" w:hAnsi="Times New Roman"/>
          <w:sz w:val="24"/>
          <w:szCs w:val="24"/>
        </w:rPr>
        <w:t>, D. N., Turek Rahoveanu, A., &amp; Dediu, L. (2018). Effects of some herbal plant supplements on growth performance and the immune response in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w:t>
      </w:r>
      <w:r w:rsidRPr="002D3EC6">
        <w:rPr>
          <w:rFonts w:ascii="Times New Roman" w:hAnsi="Times New Roman"/>
          <w:i/>
          <w:iCs/>
          <w:sz w:val="24"/>
          <w:szCs w:val="24"/>
        </w:rPr>
        <w:t>“Agriculture for Life, Life for Agriculture” Conference Proceedings, 1</w:t>
      </w:r>
      <w:r w:rsidRPr="002D3EC6">
        <w:rPr>
          <w:rFonts w:ascii="Times New Roman" w:hAnsi="Times New Roman"/>
          <w:sz w:val="24"/>
          <w:szCs w:val="24"/>
        </w:rPr>
        <w:t xml:space="preserve">(1), 134–141. </w:t>
      </w:r>
      <w:hyperlink r:id="rId49" w:history="1">
        <w:r w:rsidRPr="002D3EC6">
          <w:rPr>
            <w:rFonts w:ascii="Times New Roman" w:hAnsi="Times New Roman"/>
            <w:color w:val="0000FF"/>
            <w:sz w:val="24"/>
            <w:szCs w:val="24"/>
            <w:u w:val="single"/>
          </w:rPr>
          <w:t>https://doi.org/10.2478/alife-2018-0020</w:t>
        </w:r>
      </w:hyperlink>
    </w:p>
    <w:p w14:paraId="11A0E317"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Holland, M. C. H., &amp; </w:t>
      </w:r>
      <w:proofErr w:type="spellStart"/>
      <w:r w:rsidRPr="002D3EC6">
        <w:rPr>
          <w:rFonts w:ascii="Times New Roman" w:hAnsi="Times New Roman"/>
          <w:sz w:val="24"/>
          <w:szCs w:val="24"/>
        </w:rPr>
        <w:t>Lambris</w:t>
      </w:r>
      <w:proofErr w:type="spellEnd"/>
      <w:r w:rsidRPr="002D3EC6">
        <w:rPr>
          <w:rFonts w:ascii="Times New Roman" w:hAnsi="Times New Roman"/>
          <w:sz w:val="24"/>
          <w:szCs w:val="24"/>
        </w:rPr>
        <w:t xml:space="preserve">, J. D. (2002). The complement system in </w:t>
      </w:r>
      <w:proofErr w:type="spellStart"/>
      <w:r w:rsidRPr="002D3EC6">
        <w:rPr>
          <w:rFonts w:ascii="Times New Roman" w:hAnsi="Times New Roman"/>
          <w:sz w:val="24"/>
          <w:szCs w:val="24"/>
        </w:rPr>
        <w:t>teleosts</w:t>
      </w:r>
      <w:proofErr w:type="spellEnd"/>
      <w:r w:rsidRPr="002D3EC6">
        <w:rPr>
          <w:rFonts w:ascii="Times New Roman" w:hAnsi="Times New Roman"/>
          <w:sz w:val="24"/>
          <w:szCs w:val="24"/>
        </w:rPr>
        <w:t xml:space="preserve">. </w:t>
      </w:r>
      <w:r w:rsidRPr="002D3EC6">
        <w:rPr>
          <w:rFonts w:ascii="Times New Roman" w:hAnsi="Times New Roman"/>
          <w:i/>
          <w:iCs/>
          <w:sz w:val="24"/>
          <w:szCs w:val="24"/>
        </w:rPr>
        <w:t>Fish &amp; Shellfish Immunology, 12</w:t>
      </w:r>
      <w:r w:rsidRPr="002D3EC6">
        <w:rPr>
          <w:rFonts w:ascii="Times New Roman" w:hAnsi="Times New Roman"/>
          <w:sz w:val="24"/>
          <w:szCs w:val="24"/>
        </w:rPr>
        <w:t xml:space="preserve">(5), 399–420. </w:t>
      </w:r>
      <w:hyperlink r:id="rId50" w:history="1">
        <w:r w:rsidRPr="002D3EC6">
          <w:rPr>
            <w:rFonts w:ascii="Times New Roman" w:hAnsi="Times New Roman"/>
            <w:color w:val="0000FF"/>
            <w:sz w:val="24"/>
            <w:szCs w:val="24"/>
            <w:u w:val="single"/>
          </w:rPr>
          <w:t>https://doi.org/10.1006/fsim.2001.0408</w:t>
        </w:r>
      </w:hyperlink>
    </w:p>
    <w:p w14:paraId="6434B016"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Iregui</w:t>
      </w:r>
      <w:proofErr w:type="spellEnd"/>
      <w:r w:rsidRPr="002D3EC6">
        <w:rPr>
          <w:rFonts w:ascii="Times New Roman" w:hAnsi="Times New Roman"/>
          <w:sz w:val="24"/>
          <w:szCs w:val="24"/>
        </w:rPr>
        <w:t xml:space="preserve">, C. A., Comas, J., Vásquez, G. M., &amp; </w:t>
      </w:r>
      <w:proofErr w:type="spellStart"/>
      <w:r w:rsidRPr="002D3EC6">
        <w:rPr>
          <w:rFonts w:ascii="Times New Roman" w:hAnsi="Times New Roman"/>
          <w:sz w:val="24"/>
          <w:szCs w:val="24"/>
        </w:rPr>
        <w:t>Verján</w:t>
      </w:r>
      <w:proofErr w:type="spellEnd"/>
      <w:r w:rsidRPr="002D3EC6">
        <w:rPr>
          <w:rFonts w:ascii="Times New Roman" w:hAnsi="Times New Roman"/>
          <w:sz w:val="24"/>
          <w:szCs w:val="24"/>
        </w:rPr>
        <w:t xml:space="preserve">, N. (2016). Experimental early pathogenesis of </w:t>
      </w:r>
      <w:r w:rsidRPr="002D3EC6">
        <w:rPr>
          <w:rFonts w:ascii="Times New Roman" w:hAnsi="Times New Roman"/>
          <w:i/>
          <w:iCs/>
          <w:sz w:val="24"/>
          <w:szCs w:val="24"/>
        </w:rPr>
        <w:t>Streptococcus agalactiae</w:t>
      </w:r>
      <w:r w:rsidRPr="002D3EC6">
        <w:rPr>
          <w:rFonts w:ascii="Times New Roman" w:hAnsi="Times New Roman"/>
          <w:sz w:val="24"/>
          <w:szCs w:val="24"/>
        </w:rPr>
        <w:t xml:space="preserve"> infection in red tilapia, </w:t>
      </w:r>
      <w:r w:rsidRPr="002D3EC6">
        <w:rPr>
          <w:rFonts w:ascii="Times New Roman" w:hAnsi="Times New Roman"/>
          <w:i/>
          <w:iCs/>
          <w:sz w:val="24"/>
          <w:szCs w:val="24"/>
        </w:rPr>
        <w:t>Oreochromis</w:t>
      </w:r>
      <w:r w:rsidRPr="002D3EC6">
        <w:rPr>
          <w:rFonts w:ascii="Times New Roman" w:hAnsi="Times New Roman"/>
          <w:sz w:val="24"/>
          <w:szCs w:val="24"/>
        </w:rPr>
        <w:t xml:space="preserve"> </w:t>
      </w:r>
      <w:r w:rsidRPr="002D3EC6">
        <w:rPr>
          <w:rFonts w:ascii="Times New Roman" w:hAnsi="Times New Roman"/>
          <w:sz w:val="24"/>
          <w:szCs w:val="24"/>
        </w:rPr>
        <w:lastRenderedPageBreak/>
        <w:t xml:space="preserve">spp. </w:t>
      </w:r>
      <w:r w:rsidRPr="002D3EC6">
        <w:rPr>
          <w:rFonts w:ascii="Times New Roman" w:hAnsi="Times New Roman"/>
          <w:i/>
          <w:iCs/>
          <w:sz w:val="24"/>
          <w:szCs w:val="24"/>
        </w:rPr>
        <w:t>Journal of Fish Diseases, 39</w:t>
      </w:r>
      <w:r w:rsidRPr="002D3EC6">
        <w:rPr>
          <w:rFonts w:ascii="Times New Roman" w:hAnsi="Times New Roman"/>
          <w:sz w:val="24"/>
          <w:szCs w:val="24"/>
        </w:rPr>
        <w:t xml:space="preserve">(2), 205–215. </w:t>
      </w:r>
      <w:hyperlink r:id="rId51" w:history="1">
        <w:r w:rsidRPr="002D3EC6">
          <w:rPr>
            <w:rFonts w:ascii="Times New Roman" w:hAnsi="Times New Roman"/>
            <w:color w:val="0000FF"/>
            <w:sz w:val="24"/>
            <w:szCs w:val="24"/>
            <w:u w:val="single"/>
          </w:rPr>
          <w:t>https://doi.org/10.1111/jfd.12347</w:t>
        </w:r>
      </w:hyperlink>
    </w:p>
    <w:p w14:paraId="545427D0"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Irianto, A., &amp; Austin, B. (2002). Use of probiotics to control furunculosis in rainbow trout, </w:t>
      </w:r>
      <w:r w:rsidRPr="002D3EC6">
        <w:rPr>
          <w:rFonts w:ascii="Times New Roman" w:hAnsi="Times New Roman"/>
          <w:i/>
          <w:iCs/>
          <w:sz w:val="24"/>
          <w:szCs w:val="24"/>
        </w:rPr>
        <w:t>Oncorhynchus mykiss</w:t>
      </w:r>
      <w:r w:rsidRPr="002D3EC6">
        <w:rPr>
          <w:rFonts w:ascii="Times New Roman" w:hAnsi="Times New Roman"/>
          <w:sz w:val="24"/>
          <w:szCs w:val="24"/>
        </w:rPr>
        <w:t xml:space="preserve"> (Walbaum). </w:t>
      </w:r>
      <w:r w:rsidRPr="002D3EC6">
        <w:rPr>
          <w:rFonts w:ascii="Times New Roman" w:hAnsi="Times New Roman"/>
          <w:i/>
          <w:iCs/>
          <w:sz w:val="24"/>
          <w:szCs w:val="24"/>
        </w:rPr>
        <w:t>Journal of Fish Diseases, 25</w:t>
      </w:r>
      <w:r w:rsidRPr="002D3EC6">
        <w:rPr>
          <w:rFonts w:ascii="Times New Roman" w:hAnsi="Times New Roman"/>
          <w:sz w:val="24"/>
          <w:szCs w:val="24"/>
        </w:rPr>
        <w:t xml:space="preserve">(6), 333–342. </w:t>
      </w:r>
      <w:hyperlink r:id="rId52" w:history="1">
        <w:r w:rsidRPr="002D3EC6">
          <w:rPr>
            <w:rFonts w:ascii="Times New Roman" w:hAnsi="Times New Roman"/>
            <w:color w:val="0000FF"/>
            <w:sz w:val="24"/>
            <w:szCs w:val="24"/>
            <w:u w:val="single"/>
          </w:rPr>
          <w:t>https://doi.org/10.1046/j.1365-2761.2002.00375.x</w:t>
        </w:r>
      </w:hyperlink>
    </w:p>
    <w:p w14:paraId="3B883F03"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Jha, A. K., Pal, A. K., Sahu, N. P., Kumar, S., &amp; Mukherjee, S. C. (2007). Haemato-immunological responses to dietary yeast RNA, ω-3 fatty acid, and β-carotene in </w:t>
      </w:r>
      <w:proofErr w:type="spellStart"/>
      <w:r w:rsidRPr="002D3EC6">
        <w:rPr>
          <w:rFonts w:ascii="Times New Roman" w:hAnsi="Times New Roman"/>
          <w:i/>
          <w:iCs/>
          <w:sz w:val="24"/>
          <w:szCs w:val="24"/>
        </w:rPr>
        <w:t>Catla</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catla</w:t>
      </w:r>
      <w:proofErr w:type="spellEnd"/>
      <w:r w:rsidRPr="002D3EC6">
        <w:rPr>
          <w:rFonts w:ascii="Times New Roman" w:hAnsi="Times New Roman"/>
          <w:sz w:val="24"/>
          <w:szCs w:val="24"/>
        </w:rPr>
        <w:t xml:space="preserve"> juveniles. </w:t>
      </w:r>
      <w:r w:rsidRPr="002D3EC6">
        <w:rPr>
          <w:rFonts w:ascii="Times New Roman" w:hAnsi="Times New Roman"/>
          <w:i/>
          <w:iCs/>
          <w:sz w:val="24"/>
          <w:szCs w:val="24"/>
        </w:rPr>
        <w:t>Fish &amp; Shellfish Immunology, 23</w:t>
      </w:r>
      <w:r w:rsidRPr="002D3EC6">
        <w:rPr>
          <w:rFonts w:ascii="Times New Roman" w:hAnsi="Times New Roman"/>
          <w:sz w:val="24"/>
          <w:szCs w:val="24"/>
        </w:rPr>
        <w:t xml:space="preserve">(5), 917–927. </w:t>
      </w:r>
      <w:hyperlink r:id="rId53" w:history="1">
        <w:r w:rsidRPr="002D3EC6">
          <w:rPr>
            <w:rFonts w:ascii="Times New Roman" w:hAnsi="Times New Roman"/>
            <w:color w:val="0000FF"/>
            <w:sz w:val="24"/>
            <w:szCs w:val="24"/>
            <w:u w:val="single"/>
          </w:rPr>
          <w:t>https://doi.org/10.1016/j.fsi.2007.01.011</w:t>
        </w:r>
      </w:hyperlink>
    </w:p>
    <w:p w14:paraId="74E637DE"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Jian, J., &amp; Wu, Z. (2002). Effects of Chinese herbal medicine on non-specific immunity of Jian common carp (</w:t>
      </w:r>
      <w:r w:rsidRPr="002D3EC6">
        <w:rPr>
          <w:rFonts w:ascii="Times New Roman" w:hAnsi="Times New Roman"/>
          <w:i/>
          <w:iCs/>
          <w:sz w:val="24"/>
          <w:szCs w:val="24"/>
        </w:rPr>
        <w:t>Cyprinus carpio</w:t>
      </w:r>
      <w:r w:rsidRPr="002D3EC6">
        <w:rPr>
          <w:rFonts w:ascii="Times New Roman" w:hAnsi="Times New Roman"/>
          <w:sz w:val="24"/>
          <w:szCs w:val="24"/>
        </w:rPr>
        <w:t xml:space="preserve"> var. Jian). </w:t>
      </w:r>
      <w:r w:rsidRPr="002D3EC6">
        <w:rPr>
          <w:rFonts w:ascii="Times New Roman" w:hAnsi="Times New Roman"/>
          <w:i/>
          <w:iCs/>
          <w:sz w:val="24"/>
          <w:szCs w:val="24"/>
        </w:rPr>
        <w:t>Journal of Dalian Fisheries University, 17</w:t>
      </w:r>
      <w:r w:rsidRPr="002D3EC6">
        <w:rPr>
          <w:rFonts w:ascii="Times New Roman" w:hAnsi="Times New Roman"/>
          <w:sz w:val="24"/>
          <w:szCs w:val="24"/>
        </w:rPr>
        <w:t xml:space="preserve">(2), 114–119. </w:t>
      </w:r>
      <w:hyperlink r:id="rId54" w:history="1">
        <w:r w:rsidRPr="002D3EC6">
          <w:rPr>
            <w:rFonts w:ascii="Times New Roman" w:hAnsi="Times New Roman"/>
            <w:color w:val="0000FF"/>
            <w:sz w:val="24"/>
            <w:szCs w:val="24"/>
            <w:u w:val="single"/>
          </w:rPr>
          <w:t>https://doi.org/10.3969/j.issn.1000-9957.2002.02.007</w:t>
        </w:r>
      </w:hyperlink>
    </w:p>
    <w:p w14:paraId="3EFA416D"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Johnston, R. B., Jr., Godzik, C. A., &amp; Cohn, Z. A. (1978). Increased superoxide anion production by immunologically activated and chemically elicited macrophages. </w:t>
      </w:r>
      <w:r w:rsidRPr="002D3EC6">
        <w:rPr>
          <w:rFonts w:ascii="Times New Roman" w:hAnsi="Times New Roman"/>
          <w:i/>
          <w:iCs/>
          <w:sz w:val="24"/>
          <w:szCs w:val="24"/>
        </w:rPr>
        <w:t>Journal of Experimental Medicine, 148</w:t>
      </w:r>
      <w:r w:rsidRPr="002D3EC6">
        <w:rPr>
          <w:rFonts w:ascii="Times New Roman" w:hAnsi="Times New Roman"/>
          <w:sz w:val="24"/>
          <w:szCs w:val="24"/>
        </w:rPr>
        <w:t xml:space="preserve">(1), 115–127. </w:t>
      </w:r>
      <w:hyperlink r:id="rId55" w:history="1">
        <w:r w:rsidRPr="002D3EC6">
          <w:rPr>
            <w:rFonts w:ascii="Times New Roman" w:hAnsi="Times New Roman"/>
            <w:color w:val="0000FF"/>
            <w:sz w:val="24"/>
            <w:szCs w:val="24"/>
            <w:u w:val="single"/>
          </w:rPr>
          <w:t>https://doi.org/10.1084/jem.148.1.115</w:t>
        </w:r>
      </w:hyperlink>
    </w:p>
    <w:p w14:paraId="21ACBD27" w14:textId="7AD73053"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Jørgensen, J. B., Lunde, H., &amp; Robertsen, B. (1993). Peritoneal and head kidney cell response to intraperitoneally injected yeast glucan in Atlantic salmon, </w:t>
      </w:r>
      <w:r w:rsidRPr="002D3EC6">
        <w:rPr>
          <w:rFonts w:ascii="Times New Roman" w:hAnsi="Times New Roman"/>
          <w:i/>
          <w:iCs/>
          <w:sz w:val="24"/>
          <w:szCs w:val="24"/>
        </w:rPr>
        <w:t xml:space="preserve">Salmo </w:t>
      </w:r>
      <w:proofErr w:type="spellStart"/>
      <w:r w:rsidRPr="002D3EC6">
        <w:rPr>
          <w:rFonts w:ascii="Times New Roman" w:hAnsi="Times New Roman"/>
          <w:i/>
          <w:iCs/>
          <w:sz w:val="24"/>
          <w:szCs w:val="24"/>
        </w:rPr>
        <w:t>salar</w:t>
      </w:r>
      <w:proofErr w:type="spellEnd"/>
      <w:r w:rsidRPr="002D3EC6">
        <w:rPr>
          <w:rFonts w:ascii="Times New Roman" w:hAnsi="Times New Roman"/>
          <w:sz w:val="24"/>
          <w:szCs w:val="24"/>
        </w:rPr>
        <w:t xml:space="preserve"> L. </w:t>
      </w:r>
      <w:r w:rsidRPr="002D3EC6">
        <w:rPr>
          <w:rFonts w:ascii="Times New Roman" w:hAnsi="Times New Roman"/>
          <w:i/>
          <w:iCs/>
          <w:sz w:val="24"/>
          <w:szCs w:val="24"/>
        </w:rPr>
        <w:t>Journal of Fish Diseases, 16</w:t>
      </w:r>
      <w:r w:rsidRPr="002D3EC6">
        <w:rPr>
          <w:rFonts w:ascii="Times New Roman" w:hAnsi="Times New Roman"/>
          <w:sz w:val="24"/>
          <w:szCs w:val="24"/>
        </w:rPr>
        <w:t xml:space="preserve">(4), 313–325. </w:t>
      </w:r>
    </w:p>
    <w:p w14:paraId="7AE150BD"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Karaket</w:t>
      </w:r>
      <w:proofErr w:type="spellEnd"/>
      <w:r w:rsidRPr="002D3EC6">
        <w:rPr>
          <w:rFonts w:ascii="Times New Roman" w:hAnsi="Times New Roman"/>
          <w:sz w:val="24"/>
          <w:szCs w:val="24"/>
        </w:rPr>
        <w:t xml:space="preserve">, T., </w:t>
      </w:r>
      <w:proofErr w:type="spellStart"/>
      <w:r w:rsidRPr="002D3EC6">
        <w:rPr>
          <w:rFonts w:ascii="Times New Roman" w:hAnsi="Times New Roman"/>
          <w:sz w:val="24"/>
          <w:szCs w:val="24"/>
        </w:rPr>
        <w:t>Larnjun</w:t>
      </w:r>
      <w:proofErr w:type="spellEnd"/>
      <w:r w:rsidRPr="002D3EC6">
        <w:rPr>
          <w:rFonts w:ascii="Times New Roman" w:hAnsi="Times New Roman"/>
          <w:sz w:val="24"/>
          <w:szCs w:val="24"/>
        </w:rPr>
        <w:t xml:space="preserve">, J., </w:t>
      </w:r>
      <w:proofErr w:type="spellStart"/>
      <w:r w:rsidRPr="002D3EC6">
        <w:rPr>
          <w:rFonts w:ascii="Times New Roman" w:hAnsi="Times New Roman"/>
          <w:sz w:val="24"/>
          <w:szCs w:val="24"/>
        </w:rPr>
        <w:t>Suksumpan</w:t>
      </w:r>
      <w:proofErr w:type="spellEnd"/>
      <w:r w:rsidRPr="002D3EC6">
        <w:rPr>
          <w:rFonts w:ascii="Times New Roman" w:hAnsi="Times New Roman"/>
          <w:sz w:val="24"/>
          <w:szCs w:val="24"/>
        </w:rPr>
        <w:t xml:space="preserve">, P., Ponza, P., </w:t>
      </w:r>
      <w:proofErr w:type="spellStart"/>
      <w:r w:rsidRPr="002D3EC6">
        <w:rPr>
          <w:rFonts w:ascii="Times New Roman" w:hAnsi="Times New Roman"/>
          <w:sz w:val="24"/>
          <w:szCs w:val="24"/>
        </w:rPr>
        <w:t>Areechon</w:t>
      </w:r>
      <w:proofErr w:type="spellEnd"/>
      <w:r w:rsidRPr="002D3EC6">
        <w:rPr>
          <w:rFonts w:ascii="Times New Roman" w:hAnsi="Times New Roman"/>
          <w:sz w:val="24"/>
          <w:szCs w:val="24"/>
        </w:rPr>
        <w:t>, N., &amp; Seel-</w:t>
      </w:r>
      <w:proofErr w:type="spellStart"/>
      <w:r w:rsidRPr="002D3EC6">
        <w:rPr>
          <w:rFonts w:ascii="Times New Roman" w:hAnsi="Times New Roman"/>
          <w:sz w:val="24"/>
          <w:szCs w:val="24"/>
        </w:rPr>
        <w:t>audom</w:t>
      </w:r>
      <w:proofErr w:type="spellEnd"/>
      <w:r w:rsidRPr="002D3EC6">
        <w:rPr>
          <w:rFonts w:ascii="Times New Roman" w:hAnsi="Times New Roman"/>
          <w:sz w:val="24"/>
          <w:szCs w:val="24"/>
        </w:rPr>
        <w:t>, M. (2025). Effect of traditional fish bio-extracts feeding regimen on growth, feed utilization, and disease resistance of red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 </w:t>
      </w:r>
      <w:r w:rsidRPr="002D3EC6">
        <w:rPr>
          <w:rFonts w:ascii="Times New Roman" w:hAnsi="Times New Roman"/>
          <w:i/>
          <w:iCs/>
          <w:sz w:val="24"/>
          <w:szCs w:val="24"/>
        </w:rPr>
        <w:t xml:space="preserve">O. </w:t>
      </w:r>
      <w:proofErr w:type="spellStart"/>
      <w:r w:rsidRPr="002D3EC6">
        <w:rPr>
          <w:rFonts w:ascii="Times New Roman" w:hAnsi="Times New Roman"/>
          <w:i/>
          <w:iCs/>
          <w:sz w:val="24"/>
          <w:szCs w:val="24"/>
        </w:rPr>
        <w:t>mossambicus</w:t>
      </w:r>
      <w:proofErr w:type="spellEnd"/>
      <w:r w:rsidRPr="002D3EC6">
        <w:rPr>
          <w:rFonts w:ascii="Times New Roman" w:hAnsi="Times New Roman"/>
          <w:sz w:val="24"/>
          <w:szCs w:val="24"/>
        </w:rPr>
        <w:t xml:space="preserve">) against </w:t>
      </w:r>
      <w:r w:rsidRPr="002D3EC6">
        <w:rPr>
          <w:rFonts w:ascii="Times New Roman" w:hAnsi="Times New Roman"/>
          <w:i/>
          <w:iCs/>
          <w:sz w:val="24"/>
          <w:szCs w:val="24"/>
        </w:rPr>
        <w:t>Streptococcus agalactiae</w:t>
      </w:r>
      <w:r w:rsidRPr="002D3EC6">
        <w:rPr>
          <w:rFonts w:ascii="Times New Roman" w:hAnsi="Times New Roman"/>
          <w:sz w:val="24"/>
          <w:szCs w:val="24"/>
        </w:rPr>
        <w:t xml:space="preserve">. </w:t>
      </w:r>
      <w:r w:rsidRPr="002D3EC6">
        <w:rPr>
          <w:rFonts w:ascii="Times New Roman" w:hAnsi="Times New Roman"/>
          <w:i/>
          <w:iCs/>
          <w:sz w:val="24"/>
          <w:szCs w:val="24"/>
        </w:rPr>
        <w:t>Aquaculture Studies, 25</w:t>
      </w:r>
      <w:r w:rsidRPr="002D3EC6">
        <w:rPr>
          <w:rFonts w:ascii="Times New Roman" w:hAnsi="Times New Roman"/>
          <w:sz w:val="24"/>
          <w:szCs w:val="24"/>
        </w:rPr>
        <w:t xml:space="preserve">(2), Article AQUAST2201. </w:t>
      </w:r>
      <w:hyperlink r:id="rId56" w:history="1">
        <w:r w:rsidRPr="002D3EC6">
          <w:rPr>
            <w:rFonts w:ascii="Times New Roman" w:hAnsi="Times New Roman"/>
            <w:color w:val="0000FF"/>
            <w:sz w:val="24"/>
            <w:szCs w:val="24"/>
            <w:u w:val="single"/>
          </w:rPr>
          <w:t>https://doi.org/10.4194/AQUAST2201</w:t>
        </w:r>
      </w:hyperlink>
    </w:p>
    <w:p w14:paraId="30E35F1E"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Lie, Ø., Evensen, O., Sørensen, A., &amp; </w:t>
      </w:r>
      <w:proofErr w:type="spellStart"/>
      <w:r w:rsidRPr="002D3EC6">
        <w:rPr>
          <w:rFonts w:ascii="Times New Roman" w:hAnsi="Times New Roman"/>
          <w:sz w:val="24"/>
          <w:szCs w:val="24"/>
        </w:rPr>
        <w:t>Frøysadal</w:t>
      </w:r>
      <w:proofErr w:type="spellEnd"/>
      <w:r w:rsidRPr="002D3EC6">
        <w:rPr>
          <w:rFonts w:ascii="Times New Roman" w:hAnsi="Times New Roman"/>
          <w:sz w:val="24"/>
          <w:szCs w:val="24"/>
        </w:rPr>
        <w:t xml:space="preserve">, E. (1989). Study on lysozyme activity in some fish species. </w:t>
      </w:r>
      <w:r w:rsidRPr="002D3EC6">
        <w:rPr>
          <w:rFonts w:ascii="Times New Roman" w:hAnsi="Times New Roman"/>
          <w:i/>
          <w:iCs/>
          <w:sz w:val="24"/>
          <w:szCs w:val="24"/>
        </w:rPr>
        <w:t>Diseases of Aquatic Organisms, 6</w:t>
      </w:r>
      <w:r w:rsidRPr="002D3EC6">
        <w:rPr>
          <w:rFonts w:ascii="Times New Roman" w:hAnsi="Times New Roman"/>
          <w:sz w:val="24"/>
          <w:szCs w:val="24"/>
        </w:rPr>
        <w:t xml:space="preserve">, 1–5. </w:t>
      </w:r>
      <w:hyperlink r:id="rId57" w:history="1">
        <w:r w:rsidRPr="002D3EC6">
          <w:rPr>
            <w:rFonts w:ascii="Times New Roman" w:hAnsi="Times New Roman"/>
            <w:color w:val="0000FF"/>
            <w:sz w:val="24"/>
            <w:szCs w:val="24"/>
            <w:u w:val="single"/>
          </w:rPr>
          <w:t>https://doi.org/10.3354/dao006001</w:t>
        </w:r>
      </w:hyperlink>
    </w:p>
    <w:p w14:paraId="1DC4D080"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Liu, G., Zhu, J., Chen, K., Gao, T., Yao, H., Liu, Y., Zhang, W., &amp; Lu, C. (2016). Development of </w:t>
      </w:r>
      <w:r w:rsidRPr="002D3EC6">
        <w:rPr>
          <w:rFonts w:ascii="Times New Roman" w:hAnsi="Times New Roman"/>
          <w:i/>
          <w:iCs/>
          <w:sz w:val="24"/>
          <w:szCs w:val="24"/>
        </w:rPr>
        <w:t>Streptococcus agalactiae</w:t>
      </w:r>
      <w:r w:rsidRPr="002D3EC6">
        <w:rPr>
          <w:rFonts w:ascii="Times New Roman" w:hAnsi="Times New Roman"/>
          <w:sz w:val="24"/>
          <w:szCs w:val="24"/>
        </w:rPr>
        <w:t xml:space="preserve"> vaccines for tilapia. </w:t>
      </w:r>
      <w:r w:rsidRPr="002D3EC6">
        <w:rPr>
          <w:rFonts w:ascii="Times New Roman" w:hAnsi="Times New Roman"/>
          <w:i/>
          <w:iCs/>
          <w:sz w:val="24"/>
          <w:szCs w:val="24"/>
        </w:rPr>
        <w:t>Diseases of Aquatic Organisms, 122</w:t>
      </w:r>
      <w:r w:rsidRPr="002D3EC6">
        <w:rPr>
          <w:rFonts w:ascii="Times New Roman" w:hAnsi="Times New Roman"/>
          <w:sz w:val="24"/>
          <w:szCs w:val="24"/>
        </w:rPr>
        <w:t xml:space="preserve">(2), 163–170. </w:t>
      </w:r>
      <w:hyperlink r:id="rId58" w:history="1">
        <w:r w:rsidRPr="002D3EC6">
          <w:rPr>
            <w:rFonts w:ascii="Times New Roman" w:hAnsi="Times New Roman"/>
            <w:color w:val="0000FF"/>
            <w:sz w:val="24"/>
            <w:szCs w:val="24"/>
            <w:u w:val="single"/>
          </w:rPr>
          <w:t>https://doi.org/10.3354/dao03084</w:t>
        </w:r>
      </w:hyperlink>
    </w:p>
    <w:p w14:paraId="227F86B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lang w:val="nl-BE"/>
        </w:rPr>
        <w:t xml:space="preserve">Ma, T.-Y., Li, F.-Y., Wu, C.-S., Lin, J.-H., Chen, M., Zhang, Y.-A., &amp; Zeng, H. (2026). </w:t>
      </w:r>
      <w:r w:rsidRPr="002D3EC6">
        <w:rPr>
          <w:rFonts w:ascii="Times New Roman" w:hAnsi="Times New Roman"/>
          <w:sz w:val="24"/>
          <w:szCs w:val="24"/>
        </w:rPr>
        <w:t xml:space="preserve">Evaluation of </w:t>
      </w:r>
      <w:proofErr w:type="spellStart"/>
      <w:r w:rsidRPr="002D3EC6">
        <w:rPr>
          <w:rFonts w:ascii="Times New Roman" w:hAnsi="Times New Roman"/>
          <w:sz w:val="24"/>
          <w:szCs w:val="24"/>
        </w:rPr>
        <w:t>MarR</w:t>
      </w:r>
      <w:proofErr w:type="spellEnd"/>
      <w:r w:rsidRPr="002D3EC6">
        <w:rPr>
          <w:rFonts w:ascii="Times New Roman" w:hAnsi="Times New Roman"/>
          <w:sz w:val="24"/>
          <w:szCs w:val="24"/>
        </w:rPr>
        <w:t xml:space="preserve">-deleted </w:t>
      </w:r>
      <w:r w:rsidRPr="002D3EC6">
        <w:rPr>
          <w:rFonts w:ascii="Times New Roman" w:hAnsi="Times New Roman"/>
          <w:i/>
          <w:iCs/>
          <w:sz w:val="24"/>
          <w:szCs w:val="24"/>
        </w:rPr>
        <w:t>Streptococcus agalactiae</w:t>
      </w:r>
      <w:r w:rsidRPr="002D3EC6">
        <w:rPr>
          <w:rFonts w:ascii="Times New Roman" w:hAnsi="Times New Roman"/>
          <w:sz w:val="24"/>
          <w:szCs w:val="24"/>
        </w:rPr>
        <w:t xml:space="preserve"> as a live-attenuated vaccine candidate for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w:t>
      </w:r>
      <w:r w:rsidRPr="002D3EC6">
        <w:rPr>
          <w:rFonts w:ascii="Times New Roman" w:hAnsi="Times New Roman"/>
          <w:i/>
          <w:iCs/>
          <w:sz w:val="24"/>
          <w:szCs w:val="24"/>
        </w:rPr>
        <w:lastRenderedPageBreak/>
        <w:t>Aquaculture, 612</w:t>
      </w:r>
      <w:r w:rsidRPr="002D3EC6">
        <w:rPr>
          <w:rFonts w:ascii="Times New Roman" w:hAnsi="Times New Roman"/>
          <w:sz w:val="24"/>
          <w:szCs w:val="24"/>
        </w:rPr>
        <w:t xml:space="preserve">, Article 743195. </w:t>
      </w:r>
      <w:hyperlink r:id="rId59" w:history="1">
        <w:r w:rsidRPr="002D3EC6">
          <w:rPr>
            <w:rFonts w:ascii="Times New Roman" w:hAnsi="Times New Roman"/>
            <w:color w:val="0000FF"/>
            <w:sz w:val="24"/>
            <w:szCs w:val="24"/>
            <w:u w:val="single"/>
          </w:rPr>
          <w:t>https://doi.org/10.1016/j.aquaculture.2025.743195</w:t>
        </w:r>
      </w:hyperlink>
    </w:p>
    <w:p w14:paraId="116091A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MacArthur, J. I., &amp; Fletcher, T. C. (1985). Phagocytosis in fish. In M. J. Manning &amp; M. F. </w:t>
      </w:r>
      <w:proofErr w:type="spellStart"/>
      <w:r w:rsidRPr="002D3EC6">
        <w:rPr>
          <w:rFonts w:ascii="Times New Roman" w:hAnsi="Times New Roman"/>
          <w:sz w:val="24"/>
          <w:szCs w:val="24"/>
        </w:rPr>
        <w:t>Tatner</w:t>
      </w:r>
      <w:proofErr w:type="spellEnd"/>
      <w:r w:rsidRPr="002D3EC6">
        <w:rPr>
          <w:rFonts w:ascii="Times New Roman" w:hAnsi="Times New Roman"/>
          <w:sz w:val="24"/>
          <w:szCs w:val="24"/>
        </w:rPr>
        <w:t xml:space="preserve"> (Eds.), </w:t>
      </w:r>
      <w:r w:rsidRPr="002D3EC6">
        <w:rPr>
          <w:rFonts w:ascii="Times New Roman" w:hAnsi="Times New Roman"/>
          <w:i/>
          <w:iCs/>
          <w:sz w:val="24"/>
          <w:szCs w:val="24"/>
        </w:rPr>
        <w:t>Fish immunology</w:t>
      </w:r>
      <w:r w:rsidRPr="002D3EC6">
        <w:rPr>
          <w:rFonts w:ascii="Times New Roman" w:hAnsi="Times New Roman"/>
          <w:sz w:val="24"/>
          <w:szCs w:val="24"/>
        </w:rPr>
        <w:t xml:space="preserve"> (pp. 29–46). Academic Press. </w:t>
      </w:r>
      <w:hyperlink r:id="rId60" w:history="1">
        <w:r w:rsidRPr="002D3EC6">
          <w:rPr>
            <w:rFonts w:ascii="Times New Roman" w:hAnsi="Times New Roman"/>
            <w:color w:val="0000FF"/>
            <w:sz w:val="24"/>
            <w:szCs w:val="24"/>
            <w:u w:val="single"/>
          </w:rPr>
          <w:t>https://doi.org/10.1016/B978-0-12-469230-5.50007-6</w:t>
        </w:r>
      </w:hyperlink>
    </w:p>
    <w:p w14:paraId="40C12FE0"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Magnadóttir, B. (2006). Innate immunity of fish (overview). </w:t>
      </w:r>
      <w:r w:rsidRPr="002D3EC6">
        <w:rPr>
          <w:rFonts w:ascii="Times New Roman" w:hAnsi="Times New Roman"/>
          <w:i/>
          <w:iCs/>
          <w:sz w:val="24"/>
          <w:szCs w:val="24"/>
        </w:rPr>
        <w:t>Fish &amp; Shellfish Immunology, 20</w:t>
      </w:r>
      <w:r w:rsidRPr="002D3EC6">
        <w:rPr>
          <w:rFonts w:ascii="Times New Roman" w:hAnsi="Times New Roman"/>
          <w:sz w:val="24"/>
          <w:szCs w:val="24"/>
        </w:rPr>
        <w:t xml:space="preserve">(2), 137–151. </w:t>
      </w:r>
      <w:hyperlink r:id="rId61" w:history="1">
        <w:r w:rsidRPr="002D3EC6">
          <w:rPr>
            <w:rFonts w:ascii="Times New Roman" w:hAnsi="Times New Roman"/>
            <w:color w:val="0000FF"/>
            <w:sz w:val="24"/>
            <w:szCs w:val="24"/>
            <w:u w:val="single"/>
          </w:rPr>
          <w:t>https://doi.org/10.1016/j.fsi.2004.09.006</w:t>
        </w:r>
      </w:hyperlink>
    </w:p>
    <w:p w14:paraId="4E568DA6"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lang w:val="nl-BE"/>
        </w:rPr>
        <w:t xml:space="preserve">Makrinos, D. L., &amp; Bowden, T. J. (2016). </w:t>
      </w:r>
      <w:r w:rsidRPr="002D3EC6">
        <w:rPr>
          <w:rFonts w:ascii="Times New Roman" w:hAnsi="Times New Roman"/>
          <w:sz w:val="24"/>
          <w:szCs w:val="24"/>
        </w:rPr>
        <w:t xml:space="preserve">Natural environmental impacts on teleost immune function. </w:t>
      </w:r>
      <w:r w:rsidRPr="002D3EC6">
        <w:rPr>
          <w:rFonts w:ascii="Times New Roman" w:hAnsi="Times New Roman"/>
          <w:i/>
          <w:iCs/>
          <w:sz w:val="24"/>
          <w:szCs w:val="24"/>
        </w:rPr>
        <w:t>Fish &amp; Shellfish Immunology, 53</w:t>
      </w:r>
      <w:r w:rsidRPr="002D3EC6">
        <w:rPr>
          <w:rFonts w:ascii="Times New Roman" w:hAnsi="Times New Roman"/>
          <w:sz w:val="24"/>
          <w:szCs w:val="24"/>
        </w:rPr>
        <w:t xml:space="preserve">, 50–57. </w:t>
      </w:r>
      <w:hyperlink r:id="rId62" w:history="1">
        <w:r w:rsidRPr="002D3EC6">
          <w:rPr>
            <w:rFonts w:ascii="Times New Roman" w:hAnsi="Times New Roman"/>
            <w:color w:val="0000FF"/>
            <w:sz w:val="24"/>
            <w:szCs w:val="24"/>
            <w:u w:val="single"/>
          </w:rPr>
          <w:t>https://doi.org/10.1016/j.fsi.2016.03.008</w:t>
        </w:r>
      </w:hyperlink>
    </w:p>
    <w:p w14:paraId="6984FB02"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Malheiros, D. F., Maciel, P. O., </w:t>
      </w:r>
      <w:proofErr w:type="spellStart"/>
      <w:r w:rsidRPr="002D3EC6">
        <w:rPr>
          <w:rFonts w:ascii="Times New Roman" w:hAnsi="Times New Roman"/>
          <w:sz w:val="24"/>
          <w:szCs w:val="24"/>
        </w:rPr>
        <w:t>Videira</w:t>
      </w:r>
      <w:proofErr w:type="spellEnd"/>
      <w:r w:rsidRPr="002D3EC6">
        <w:rPr>
          <w:rFonts w:ascii="Times New Roman" w:hAnsi="Times New Roman"/>
          <w:sz w:val="24"/>
          <w:szCs w:val="24"/>
        </w:rPr>
        <w:t xml:space="preserve">, M. N., &amp; Tavares-Dias, M. (2016). Toxicity of the essential oil of </w:t>
      </w:r>
      <w:r w:rsidRPr="002D3EC6">
        <w:rPr>
          <w:rFonts w:ascii="Times New Roman" w:hAnsi="Times New Roman"/>
          <w:i/>
          <w:iCs/>
          <w:sz w:val="24"/>
          <w:szCs w:val="24"/>
        </w:rPr>
        <w:t>Mentha piperita</w:t>
      </w:r>
      <w:r w:rsidRPr="002D3EC6">
        <w:rPr>
          <w:rFonts w:ascii="Times New Roman" w:hAnsi="Times New Roman"/>
          <w:sz w:val="24"/>
          <w:szCs w:val="24"/>
        </w:rPr>
        <w:t xml:space="preserve"> in </w:t>
      </w:r>
      <w:r w:rsidRPr="002D3EC6">
        <w:rPr>
          <w:rFonts w:ascii="Times New Roman" w:hAnsi="Times New Roman"/>
          <w:i/>
          <w:iCs/>
          <w:sz w:val="24"/>
          <w:szCs w:val="24"/>
        </w:rPr>
        <w:t>Arapaima gigas</w:t>
      </w:r>
      <w:r w:rsidRPr="002D3EC6">
        <w:rPr>
          <w:rFonts w:ascii="Times New Roman" w:hAnsi="Times New Roman"/>
          <w:sz w:val="24"/>
          <w:szCs w:val="24"/>
        </w:rPr>
        <w:t xml:space="preserve"> (pirarucu) and antiparasitic effects on </w:t>
      </w:r>
      <w:proofErr w:type="spellStart"/>
      <w:r w:rsidRPr="002D3EC6">
        <w:rPr>
          <w:rFonts w:ascii="Times New Roman" w:hAnsi="Times New Roman"/>
          <w:i/>
          <w:iCs/>
          <w:sz w:val="24"/>
          <w:szCs w:val="24"/>
        </w:rPr>
        <w:t>Dawestrema</w:t>
      </w:r>
      <w:proofErr w:type="spellEnd"/>
      <w:r w:rsidRPr="002D3EC6">
        <w:rPr>
          <w:rFonts w:ascii="Times New Roman" w:hAnsi="Times New Roman"/>
          <w:sz w:val="24"/>
          <w:szCs w:val="24"/>
        </w:rPr>
        <w:t xml:space="preserve"> spp. (Monogenea). </w:t>
      </w:r>
      <w:r w:rsidRPr="002D3EC6">
        <w:rPr>
          <w:rFonts w:ascii="Times New Roman" w:hAnsi="Times New Roman"/>
          <w:i/>
          <w:iCs/>
          <w:sz w:val="24"/>
          <w:szCs w:val="24"/>
        </w:rPr>
        <w:t>Aquaculture, 455</w:t>
      </w:r>
      <w:r w:rsidRPr="002D3EC6">
        <w:rPr>
          <w:rFonts w:ascii="Times New Roman" w:hAnsi="Times New Roman"/>
          <w:sz w:val="24"/>
          <w:szCs w:val="24"/>
        </w:rPr>
        <w:t xml:space="preserve">, 81–86. </w:t>
      </w:r>
      <w:hyperlink r:id="rId63" w:history="1">
        <w:r w:rsidRPr="002D3EC6">
          <w:rPr>
            <w:rFonts w:ascii="Times New Roman" w:hAnsi="Times New Roman"/>
            <w:color w:val="0000FF"/>
            <w:sz w:val="24"/>
            <w:szCs w:val="24"/>
            <w:u w:val="single"/>
          </w:rPr>
          <w:t>https://doi.org/10.1016/j.aquaculture.2016.01.018</w:t>
        </w:r>
      </w:hyperlink>
    </w:p>
    <w:p w14:paraId="2D9E7689"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Maqsood, S., Samoon, M. H., &amp; Singh, P. (2009). Immunomodulatory and growth-promoting effect of dietary levamisole in </w:t>
      </w:r>
      <w:r w:rsidRPr="002D3EC6">
        <w:rPr>
          <w:rFonts w:ascii="Times New Roman" w:hAnsi="Times New Roman"/>
          <w:i/>
          <w:iCs/>
          <w:sz w:val="24"/>
          <w:szCs w:val="24"/>
        </w:rPr>
        <w:t>Cyprinus carpio</w:t>
      </w:r>
      <w:r w:rsidRPr="002D3EC6">
        <w:rPr>
          <w:rFonts w:ascii="Times New Roman" w:hAnsi="Times New Roman"/>
          <w:sz w:val="24"/>
          <w:szCs w:val="24"/>
        </w:rPr>
        <w:t xml:space="preserve"> fingerlings against the challenge of </w:t>
      </w:r>
      <w:r w:rsidRPr="002D3EC6">
        <w:rPr>
          <w:rFonts w:ascii="Times New Roman" w:hAnsi="Times New Roman"/>
          <w:i/>
          <w:iCs/>
          <w:sz w:val="24"/>
          <w:szCs w:val="24"/>
        </w:rPr>
        <w:t xml:space="preserve">Aeromonas </w:t>
      </w:r>
      <w:proofErr w:type="spellStart"/>
      <w:r w:rsidRPr="002D3EC6">
        <w:rPr>
          <w:rFonts w:ascii="Times New Roman" w:hAnsi="Times New Roman"/>
          <w:i/>
          <w:iCs/>
          <w:sz w:val="24"/>
          <w:szCs w:val="24"/>
        </w:rPr>
        <w:t>hydrophila</w:t>
      </w:r>
      <w:proofErr w:type="spellEnd"/>
      <w:r w:rsidRPr="002D3EC6">
        <w:rPr>
          <w:rFonts w:ascii="Times New Roman" w:hAnsi="Times New Roman"/>
          <w:sz w:val="24"/>
          <w:szCs w:val="24"/>
        </w:rPr>
        <w:t xml:space="preserve">. </w:t>
      </w:r>
      <w:r w:rsidRPr="002D3EC6">
        <w:rPr>
          <w:rFonts w:ascii="Times New Roman" w:hAnsi="Times New Roman"/>
          <w:i/>
          <w:iCs/>
          <w:sz w:val="24"/>
          <w:szCs w:val="24"/>
        </w:rPr>
        <w:t>Turkish Journal of Fisheries and Aquatic Sciences, 9</w:t>
      </w:r>
      <w:r w:rsidRPr="002D3EC6">
        <w:rPr>
          <w:rFonts w:ascii="Times New Roman" w:hAnsi="Times New Roman"/>
          <w:sz w:val="24"/>
          <w:szCs w:val="24"/>
        </w:rPr>
        <w:t xml:space="preserve">(1), 111–120. </w:t>
      </w:r>
      <w:hyperlink r:id="rId64" w:history="1">
        <w:r w:rsidRPr="002D3EC6">
          <w:rPr>
            <w:rFonts w:ascii="Times New Roman" w:hAnsi="Times New Roman"/>
            <w:color w:val="0000FF"/>
            <w:sz w:val="24"/>
            <w:szCs w:val="24"/>
            <w:u w:val="single"/>
          </w:rPr>
          <w:t>https://dergipark.org.tr/en/pub/trjfas-ayrildi/issue/13280/160487</w:t>
        </w:r>
      </w:hyperlink>
    </w:p>
    <w:p w14:paraId="33363472"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Martin, S. A. M., &amp; Krol, E. (2017). Nutrigenomics and immune function in fish: New insights from omics technologies. </w:t>
      </w:r>
      <w:r w:rsidRPr="002D3EC6">
        <w:rPr>
          <w:rFonts w:ascii="Times New Roman" w:hAnsi="Times New Roman"/>
          <w:i/>
          <w:iCs/>
          <w:sz w:val="24"/>
          <w:szCs w:val="24"/>
        </w:rPr>
        <w:t>Developmental &amp; Comparative Immunology, 75</w:t>
      </w:r>
      <w:r w:rsidRPr="002D3EC6">
        <w:rPr>
          <w:rFonts w:ascii="Times New Roman" w:hAnsi="Times New Roman"/>
          <w:sz w:val="24"/>
          <w:szCs w:val="24"/>
        </w:rPr>
        <w:t xml:space="preserve">, 86–89. </w:t>
      </w:r>
      <w:hyperlink r:id="rId65" w:history="1">
        <w:r w:rsidRPr="002D3EC6">
          <w:rPr>
            <w:rFonts w:ascii="Times New Roman" w:hAnsi="Times New Roman"/>
            <w:color w:val="0000FF"/>
            <w:sz w:val="24"/>
            <w:szCs w:val="24"/>
            <w:u w:val="single"/>
          </w:rPr>
          <w:t>https://doi.org/10.1016/j.dci.2017.02.024</w:t>
        </w:r>
      </w:hyperlink>
    </w:p>
    <w:p w14:paraId="4186C89D"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Meachasompop</w:t>
      </w:r>
      <w:proofErr w:type="spellEnd"/>
      <w:r w:rsidRPr="002D3EC6">
        <w:rPr>
          <w:rFonts w:ascii="Times New Roman" w:hAnsi="Times New Roman"/>
          <w:sz w:val="24"/>
          <w:szCs w:val="24"/>
        </w:rPr>
        <w:t xml:space="preserve">, P., </w:t>
      </w:r>
      <w:proofErr w:type="spellStart"/>
      <w:r w:rsidRPr="002D3EC6">
        <w:rPr>
          <w:rFonts w:ascii="Times New Roman" w:hAnsi="Times New Roman"/>
          <w:sz w:val="24"/>
          <w:szCs w:val="24"/>
        </w:rPr>
        <w:t>Chokmangmeepisarn</w:t>
      </w:r>
      <w:proofErr w:type="spellEnd"/>
      <w:r w:rsidRPr="002D3EC6">
        <w:rPr>
          <w:rFonts w:ascii="Times New Roman" w:hAnsi="Times New Roman"/>
          <w:sz w:val="24"/>
          <w:szCs w:val="24"/>
        </w:rPr>
        <w:t xml:space="preserve">, P., </w:t>
      </w:r>
      <w:proofErr w:type="spellStart"/>
      <w:r w:rsidRPr="002D3EC6">
        <w:rPr>
          <w:rFonts w:ascii="Times New Roman" w:hAnsi="Times New Roman"/>
          <w:sz w:val="24"/>
          <w:szCs w:val="24"/>
        </w:rPr>
        <w:t>Kumwan</w:t>
      </w:r>
      <w:proofErr w:type="spellEnd"/>
      <w:r w:rsidRPr="002D3EC6">
        <w:rPr>
          <w:rFonts w:ascii="Times New Roman" w:hAnsi="Times New Roman"/>
          <w:sz w:val="24"/>
          <w:szCs w:val="24"/>
        </w:rPr>
        <w:t xml:space="preserve">, B., </w:t>
      </w:r>
      <w:proofErr w:type="spellStart"/>
      <w:r w:rsidRPr="002D3EC6">
        <w:rPr>
          <w:rFonts w:ascii="Times New Roman" w:hAnsi="Times New Roman"/>
          <w:sz w:val="24"/>
          <w:szCs w:val="24"/>
        </w:rPr>
        <w:t>Phrompanya</w:t>
      </w:r>
      <w:proofErr w:type="spellEnd"/>
      <w:r w:rsidRPr="002D3EC6">
        <w:rPr>
          <w:rFonts w:ascii="Times New Roman" w:hAnsi="Times New Roman"/>
          <w:sz w:val="24"/>
          <w:szCs w:val="24"/>
        </w:rPr>
        <w:t xml:space="preserve">, P., </w:t>
      </w:r>
      <w:proofErr w:type="spellStart"/>
      <w:r w:rsidRPr="002D3EC6">
        <w:rPr>
          <w:rFonts w:ascii="Times New Roman" w:hAnsi="Times New Roman"/>
          <w:sz w:val="24"/>
          <w:szCs w:val="24"/>
        </w:rPr>
        <w:t>Thangsunan</w:t>
      </w:r>
      <w:proofErr w:type="spellEnd"/>
      <w:r w:rsidRPr="002D3EC6">
        <w:rPr>
          <w:rFonts w:ascii="Times New Roman" w:hAnsi="Times New Roman"/>
          <w:sz w:val="24"/>
          <w:szCs w:val="24"/>
        </w:rPr>
        <w:t xml:space="preserve">, P., </w:t>
      </w:r>
      <w:proofErr w:type="spellStart"/>
      <w:r w:rsidRPr="002D3EC6">
        <w:rPr>
          <w:rFonts w:ascii="Times New Roman" w:hAnsi="Times New Roman"/>
          <w:sz w:val="24"/>
          <w:szCs w:val="24"/>
        </w:rPr>
        <w:t>Srisapoome</w:t>
      </w:r>
      <w:proofErr w:type="spellEnd"/>
      <w:r w:rsidRPr="002D3EC6">
        <w:rPr>
          <w:rFonts w:ascii="Times New Roman" w:hAnsi="Times New Roman"/>
          <w:sz w:val="24"/>
          <w:szCs w:val="24"/>
        </w:rPr>
        <w:t xml:space="preserve">, P., </w:t>
      </w:r>
      <w:proofErr w:type="spellStart"/>
      <w:r w:rsidRPr="002D3EC6">
        <w:rPr>
          <w:rFonts w:ascii="Times New Roman" w:hAnsi="Times New Roman"/>
          <w:sz w:val="24"/>
          <w:szCs w:val="24"/>
        </w:rPr>
        <w:t>Thangsunan</w:t>
      </w:r>
      <w:proofErr w:type="spellEnd"/>
      <w:r w:rsidRPr="002D3EC6">
        <w:rPr>
          <w:rFonts w:ascii="Times New Roman" w:hAnsi="Times New Roman"/>
          <w:sz w:val="24"/>
          <w:szCs w:val="24"/>
        </w:rPr>
        <w:t xml:space="preserve">, P., Saenphet, K., </w:t>
      </w:r>
      <w:proofErr w:type="spellStart"/>
      <w:r w:rsidRPr="002D3EC6">
        <w:rPr>
          <w:rFonts w:ascii="Times New Roman" w:hAnsi="Times New Roman"/>
          <w:sz w:val="24"/>
          <w:szCs w:val="24"/>
        </w:rPr>
        <w:t>Saenphet</w:t>
      </w:r>
      <w:proofErr w:type="spellEnd"/>
      <w:r w:rsidRPr="002D3EC6">
        <w:rPr>
          <w:rFonts w:ascii="Times New Roman" w:hAnsi="Times New Roman"/>
          <w:sz w:val="24"/>
          <w:szCs w:val="24"/>
        </w:rPr>
        <w:t xml:space="preserve">, S., Paankhao, N., </w:t>
      </w:r>
      <w:proofErr w:type="spellStart"/>
      <w:r w:rsidRPr="002D3EC6">
        <w:rPr>
          <w:rFonts w:ascii="Times New Roman" w:hAnsi="Times New Roman"/>
          <w:sz w:val="24"/>
          <w:szCs w:val="24"/>
        </w:rPr>
        <w:t>Buncharoen</w:t>
      </w:r>
      <w:proofErr w:type="spellEnd"/>
      <w:r w:rsidRPr="002D3EC6">
        <w:rPr>
          <w:rFonts w:ascii="Times New Roman" w:hAnsi="Times New Roman"/>
          <w:sz w:val="24"/>
          <w:szCs w:val="24"/>
        </w:rPr>
        <w:t xml:space="preserve">, W., &amp; </w:t>
      </w:r>
      <w:proofErr w:type="spellStart"/>
      <w:r w:rsidRPr="002D3EC6">
        <w:rPr>
          <w:rFonts w:ascii="Times New Roman" w:hAnsi="Times New Roman"/>
          <w:sz w:val="24"/>
          <w:szCs w:val="24"/>
        </w:rPr>
        <w:t>Uchuwittayakul</w:t>
      </w:r>
      <w:proofErr w:type="spellEnd"/>
      <w:r w:rsidRPr="002D3EC6">
        <w:rPr>
          <w:rFonts w:ascii="Times New Roman" w:hAnsi="Times New Roman"/>
          <w:sz w:val="24"/>
          <w:szCs w:val="24"/>
        </w:rPr>
        <w:t xml:space="preserve">, A. (2026). Functional evaluation of </w:t>
      </w:r>
      <w:proofErr w:type="spellStart"/>
      <w:r w:rsidRPr="002D3EC6">
        <w:rPr>
          <w:rFonts w:ascii="Times New Roman" w:hAnsi="Times New Roman"/>
          <w:i/>
          <w:iCs/>
          <w:sz w:val="24"/>
          <w:szCs w:val="24"/>
        </w:rPr>
        <w:t>Lacticaseibacillus</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paracasei</w:t>
      </w:r>
      <w:proofErr w:type="spellEnd"/>
      <w:r w:rsidRPr="002D3EC6">
        <w:rPr>
          <w:rFonts w:ascii="Times New Roman" w:hAnsi="Times New Roman"/>
          <w:sz w:val="24"/>
          <w:szCs w:val="24"/>
        </w:rPr>
        <w:t xml:space="preserve"> AAHM-LP2301 on immunity, growth, antioxidant defense, and resistance to </w:t>
      </w:r>
      <w:proofErr w:type="spellStart"/>
      <w:r w:rsidRPr="002D3EC6">
        <w:rPr>
          <w:rFonts w:ascii="Times New Roman" w:hAnsi="Times New Roman"/>
          <w:i/>
          <w:iCs/>
          <w:sz w:val="24"/>
          <w:szCs w:val="24"/>
        </w:rPr>
        <w:t>Edwardsiella</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tarda</w:t>
      </w:r>
      <w:proofErr w:type="spellEnd"/>
      <w:r w:rsidRPr="002D3EC6">
        <w:rPr>
          <w:rFonts w:ascii="Times New Roman" w:hAnsi="Times New Roman"/>
          <w:sz w:val="24"/>
          <w:szCs w:val="24"/>
        </w:rPr>
        <w:t xml:space="preserve"> infection in tilapia. </w:t>
      </w:r>
      <w:r w:rsidRPr="002D3EC6">
        <w:rPr>
          <w:rFonts w:ascii="Times New Roman" w:hAnsi="Times New Roman"/>
          <w:i/>
          <w:iCs/>
          <w:sz w:val="24"/>
          <w:szCs w:val="24"/>
        </w:rPr>
        <w:t>Aquaculture Reports, 47</w:t>
      </w:r>
      <w:r w:rsidRPr="002D3EC6">
        <w:rPr>
          <w:rFonts w:ascii="Times New Roman" w:hAnsi="Times New Roman"/>
          <w:sz w:val="24"/>
          <w:szCs w:val="24"/>
        </w:rPr>
        <w:t xml:space="preserve">, Article 103407. </w:t>
      </w:r>
      <w:hyperlink r:id="rId66" w:history="1">
        <w:r w:rsidRPr="002D3EC6">
          <w:rPr>
            <w:rFonts w:ascii="Times New Roman" w:hAnsi="Times New Roman"/>
            <w:color w:val="0000FF"/>
            <w:sz w:val="24"/>
            <w:szCs w:val="24"/>
            <w:u w:val="single"/>
          </w:rPr>
          <w:t>https://doi.org/10.1016/j.aqrep.2026.103407</w:t>
        </w:r>
      </w:hyperlink>
    </w:p>
    <w:p w14:paraId="6ACB08A6"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Monisha, Y. H., Ganapathi Naik, M., Ramesha, T. J., Suresh, T., </w:t>
      </w:r>
      <w:proofErr w:type="spellStart"/>
      <w:r w:rsidRPr="002D3EC6">
        <w:rPr>
          <w:rFonts w:ascii="Times New Roman" w:hAnsi="Times New Roman"/>
          <w:sz w:val="24"/>
          <w:szCs w:val="24"/>
        </w:rPr>
        <w:t>Annappaswamy</w:t>
      </w:r>
      <w:proofErr w:type="spellEnd"/>
      <w:r w:rsidRPr="002D3EC6">
        <w:rPr>
          <w:rFonts w:ascii="Times New Roman" w:hAnsi="Times New Roman"/>
          <w:sz w:val="24"/>
          <w:szCs w:val="24"/>
        </w:rPr>
        <w:t xml:space="preserve">, T. S., Patil, R., &amp; Rakesh, K. (2025). Effect of </w:t>
      </w:r>
      <w:proofErr w:type="spellStart"/>
      <w:r w:rsidRPr="002D3EC6">
        <w:rPr>
          <w:rFonts w:ascii="Times New Roman" w:hAnsi="Times New Roman"/>
          <w:sz w:val="24"/>
          <w:szCs w:val="24"/>
        </w:rPr>
        <w:t>gotu</w:t>
      </w:r>
      <w:proofErr w:type="spellEnd"/>
      <w:r w:rsidRPr="002D3EC6">
        <w:rPr>
          <w:rFonts w:ascii="Times New Roman" w:hAnsi="Times New Roman"/>
          <w:sz w:val="24"/>
          <w:szCs w:val="24"/>
        </w:rPr>
        <w:t xml:space="preserve"> kola (</w:t>
      </w:r>
      <w:r w:rsidRPr="002D3EC6">
        <w:rPr>
          <w:rFonts w:ascii="Times New Roman" w:hAnsi="Times New Roman"/>
          <w:i/>
          <w:iCs/>
          <w:sz w:val="24"/>
          <w:szCs w:val="24"/>
        </w:rPr>
        <w:t>Centella asiatica</w:t>
      </w:r>
      <w:r w:rsidRPr="002D3EC6">
        <w:rPr>
          <w:rFonts w:ascii="Times New Roman" w:hAnsi="Times New Roman"/>
          <w:sz w:val="24"/>
          <w:szCs w:val="24"/>
        </w:rPr>
        <w:t xml:space="preserve">) on </w:t>
      </w:r>
      <w:proofErr w:type="spellStart"/>
      <w:r w:rsidRPr="002D3EC6">
        <w:rPr>
          <w:rFonts w:ascii="Times New Roman" w:hAnsi="Times New Roman"/>
          <w:sz w:val="24"/>
          <w:szCs w:val="24"/>
        </w:rPr>
        <w:t>haematology</w:t>
      </w:r>
      <w:proofErr w:type="spellEnd"/>
      <w:r w:rsidRPr="002D3EC6">
        <w:rPr>
          <w:rFonts w:ascii="Times New Roman" w:hAnsi="Times New Roman"/>
          <w:sz w:val="24"/>
          <w:szCs w:val="24"/>
        </w:rPr>
        <w:t>, immune response and disease resistance of common carp (</w:t>
      </w:r>
      <w:r w:rsidRPr="002D3EC6">
        <w:rPr>
          <w:rFonts w:ascii="Times New Roman" w:hAnsi="Times New Roman"/>
          <w:i/>
          <w:iCs/>
          <w:sz w:val="24"/>
          <w:szCs w:val="24"/>
        </w:rPr>
        <w:t>Cyprinus carpio</w:t>
      </w:r>
      <w:r w:rsidRPr="002D3EC6">
        <w:rPr>
          <w:rFonts w:ascii="Times New Roman" w:hAnsi="Times New Roman"/>
          <w:sz w:val="24"/>
          <w:szCs w:val="24"/>
        </w:rPr>
        <w:t xml:space="preserve">). </w:t>
      </w:r>
      <w:r w:rsidRPr="002D3EC6">
        <w:rPr>
          <w:rFonts w:ascii="Times New Roman" w:hAnsi="Times New Roman"/>
          <w:i/>
          <w:iCs/>
          <w:sz w:val="24"/>
          <w:szCs w:val="24"/>
        </w:rPr>
        <w:t>Journal of Biology and Nature, 17</w:t>
      </w:r>
      <w:r w:rsidRPr="002D3EC6">
        <w:rPr>
          <w:rFonts w:ascii="Times New Roman" w:hAnsi="Times New Roman"/>
          <w:sz w:val="24"/>
          <w:szCs w:val="24"/>
        </w:rPr>
        <w:t xml:space="preserve">(2), 655–671. </w:t>
      </w:r>
      <w:hyperlink r:id="rId67" w:history="1">
        <w:r w:rsidRPr="002D3EC6">
          <w:rPr>
            <w:rFonts w:ascii="Times New Roman" w:hAnsi="Times New Roman"/>
            <w:color w:val="0000FF"/>
            <w:sz w:val="24"/>
            <w:szCs w:val="24"/>
            <w:u w:val="single"/>
          </w:rPr>
          <w:t>https://doi.org/10.56557/joban/2025/v17i29897</w:t>
        </w:r>
      </w:hyperlink>
    </w:p>
    <w:p w14:paraId="0A17AB70" w14:textId="2C65E228"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lastRenderedPageBreak/>
        <w:t xml:space="preserve">Morvan, A., </w:t>
      </w:r>
      <w:proofErr w:type="spellStart"/>
      <w:r w:rsidRPr="002D3EC6">
        <w:rPr>
          <w:rFonts w:ascii="Times New Roman" w:hAnsi="Times New Roman"/>
          <w:sz w:val="24"/>
          <w:szCs w:val="24"/>
        </w:rPr>
        <w:t>Bachère</w:t>
      </w:r>
      <w:proofErr w:type="spellEnd"/>
      <w:r w:rsidRPr="002D3EC6">
        <w:rPr>
          <w:rFonts w:ascii="Times New Roman" w:hAnsi="Times New Roman"/>
          <w:sz w:val="24"/>
          <w:szCs w:val="24"/>
        </w:rPr>
        <w:t xml:space="preserve">, E., Pinto da Silva, P., Pimenta, P., &amp; </w:t>
      </w:r>
      <w:proofErr w:type="spellStart"/>
      <w:r w:rsidRPr="002D3EC6">
        <w:rPr>
          <w:rFonts w:ascii="Times New Roman" w:hAnsi="Times New Roman"/>
          <w:sz w:val="24"/>
          <w:szCs w:val="24"/>
        </w:rPr>
        <w:t>Mialhe</w:t>
      </w:r>
      <w:proofErr w:type="spellEnd"/>
      <w:r w:rsidRPr="002D3EC6">
        <w:rPr>
          <w:rFonts w:ascii="Times New Roman" w:hAnsi="Times New Roman"/>
          <w:sz w:val="24"/>
          <w:szCs w:val="24"/>
        </w:rPr>
        <w:t xml:space="preserve">, E. (1994). In vitro activity of the antimicrobial peptide magainin 1 against </w:t>
      </w:r>
      <w:proofErr w:type="spellStart"/>
      <w:r w:rsidRPr="002D3EC6">
        <w:rPr>
          <w:rFonts w:ascii="Times New Roman" w:hAnsi="Times New Roman"/>
          <w:i/>
          <w:iCs/>
          <w:sz w:val="24"/>
          <w:szCs w:val="24"/>
        </w:rPr>
        <w:t>Bonamia</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ostreae</w:t>
      </w:r>
      <w:proofErr w:type="spellEnd"/>
      <w:r w:rsidRPr="002D3EC6">
        <w:rPr>
          <w:rFonts w:ascii="Times New Roman" w:hAnsi="Times New Roman"/>
          <w:sz w:val="24"/>
          <w:szCs w:val="24"/>
        </w:rPr>
        <w:t xml:space="preserve">, the </w:t>
      </w:r>
      <w:proofErr w:type="spellStart"/>
      <w:r w:rsidRPr="002D3EC6">
        <w:rPr>
          <w:rFonts w:ascii="Times New Roman" w:hAnsi="Times New Roman"/>
          <w:sz w:val="24"/>
          <w:szCs w:val="24"/>
        </w:rPr>
        <w:t>intrahemocytic</w:t>
      </w:r>
      <w:proofErr w:type="spellEnd"/>
      <w:r w:rsidRPr="002D3EC6">
        <w:rPr>
          <w:rFonts w:ascii="Times New Roman" w:hAnsi="Times New Roman"/>
          <w:sz w:val="24"/>
          <w:szCs w:val="24"/>
        </w:rPr>
        <w:t xml:space="preserve"> parasite of the flat oyster (</w:t>
      </w:r>
      <w:r w:rsidRPr="002D3EC6">
        <w:rPr>
          <w:rFonts w:ascii="Times New Roman" w:hAnsi="Times New Roman"/>
          <w:i/>
          <w:iCs/>
          <w:sz w:val="24"/>
          <w:szCs w:val="24"/>
        </w:rPr>
        <w:t>Ostrea edulis</w:t>
      </w:r>
      <w:r w:rsidRPr="002D3EC6">
        <w:rPr>
          <w:rFonts w:ascii="Times New Roman" w:hAnsi="Times New Roman"/>
          <w:sz w:val="24"/>
          <w:szCs w:val="24"/>
        </w:rPr>
        <w:t xml:space="preserve">). </w:t>
      </w:r>
      <w:r w:rsidRPr="002D3EC6">
        <w:rPr>
          <w:rFonts w:ascii="Times New Roman" w:hAnsi="Times New Roman"/>
          <w:i/>
          <w:iCs/>
          <w:sz w:val="24"/>
          <w:szCs w:val="24"/>
        </w:rPr>
        <w:t>Molecular Marine Biology and Biotechnology, 3</w:t>
      </w:r>
      <w:r w:rsidRPr="002D3EC6">
        <w:rPr>
          <w:rFonts w:ascii="Times New Roman" w:hAnsi="Times New Roman"/>
          <w:sz w:val="24"/>
          <w:szCs w:val="24"/>
        </w:rPr>
        <w:t xml:space="preserve">(6), 327–333. </w:t>
      </w:r>
    </w:p>
    <w:p w14:paraId="4918A727"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lang w:val="nl-BE"/>
        </w:rPr>
        <w:t xml:space="preserve">Muñiz-Junqueira, M. I., &amp; de Paula-Coelho, V. N. (2008). </w:t>
      </w:r>
      <w:r w:rsidRPr="002D3EC6">
        <w:rPr>
          <w:rFonts w:ascii="Times New Roman" w:hAnsi="Times New Roman"/>
          <w:sz w:val="24"/>
          <w:szCs w:val="24"/>
        </w:rPr>
        <w:t xml:space="preserve">Meglumine antimonate directly increases phagocytosis, superoxide anion and TNF-α production, but only via TNF-α it indirectly increases nitric oxide production by phagocytes of healthy individuals, in vitro. </w:t>
      </w:r>
      <w:r w:rsidRPr="002D3EC6">
        <w:rPr>
          <w:rFonts w:ascii="Times New Roman" w:hAnsi="Times New Roman"/>
          <w:i/>
          <w:iCs/>
          <w:sz w:val="24"/>
          <w:szCs w:val="24"/>
        </w:rPr>
        <w:t>International Immunopharmacology, 8</w:t>
      </w:r>
      <w:r w:rsidRPr="002D3EC6">
        <w:rPr>
          <w:rFonts w:ascii="Times New Roman" w:hAnsi="Times New Roman"/>
          <w:sz w:val="24"/>
          <w:szCs w:val="24"/>
        </w:rPr>
        <w:t xml:space="preserve">(12), 1633–1638. </w:t>
      </w:r>
      <w:hyperlink r:id="rId68" w:history="1">
        <w:r w:rsidRPr="002D3EC6">
          <w:rPr>
            <w:rFonts w:ascii="Times New Roman" w:hAnsi="Times New Roman"/>
            <w:color w:val="0000FF"/>
            <w:sz w:val="24"/>
            <w:szCs w:val="24"/>
            <w:u w:val="single"/>
          </w:rPr>
          <w:t>https://doi.org/10.1016/j.intimp.2008.07.011</w:t>
        </w:r>
      </w:hyperlink>
    </w:p>
    <w:p w14:paraId="51D1573D"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Muñoz, P., </w:t>
      </w:r>
      <w:proofErr w:type="spellStart"/>
      <w:r w:rsidRPr="002D3EC6">
        <w:rPr>
          <w:rFonts w:ascii="Times New Roman" w:hAnsi="Times New Roman"/>
          <w:sz w:val="24"/>
          <w:szCs w:val="24"/>
        </w:rPr>
        <w:t>Sitjà</w:t>
      </w:r>
      <w:proofErr w:type="spellEnd"/>
      <w:r w:rsidRPr="002D3EC6">
        <w:rPr>
          <w:rFonts w:ascii="Times New Roman" w:hAnsi="Times New Roman"/>
          <w:sz w:val="24"/>
          <w:szCs w:val="24"/>
        </w:rPr>
        <w:t>-Bobadilla, A., &amp; Álvarez-Pellitero, P. (2000). Cellular and humoral immune response of European sea bass (</w:t>
      </w:r>
      <w:proofErr w:type="spellStart"/>
      <w:r w:rsidRPr="002D3EC6">
        <w:rPr>
          <w:rFonts w:ascii="Times New Roman" w:hAnsi="Times New Roman"/>
          <w:i/>
          <w:iCs/>
          <w:sz w:val="24"/>
          <w:szCs w:val="24"/>
        </w:rPr>
        <w:t>Dicentrarchus</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labrax</w:t>
      </w:r>
      <w:proofErr w:type="spellEnd"/>
      <w:r w:rsidRPr="002D3EC6">
        <w:rPr>
          <w:rFonts w:ascii="Times New Roman" w:hAnsi="Times New Roman"/>
          <w:sz w:val="24"/>
          <w:szCs w:val="24"/>
        </w:rPr>
        <w:t xml:space="preserve"> L.) (Teleostei: Serranidae) immunized with </w:t>
      </w:r>
      <w:proofErr w:type="spellStart"/>
      <w:r w:rsidRPr="002D3EC6">
        <w:rPr>
          <w:rFonts w:ascii="Times New Roman" w:hAnsi="Times New Roman"/>
          <w:i/>
          <w:iCs/>
          <w:sz w:val="24"/>
          <w:szCs w:val="24"/>
        </w:rPr>
        <w:t>Sphaerospora</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dicentrarchi</w:t>
      </w:r>
      <w:proofErr w:type="spellEnd"/>
      <w:r w:rsidRPr="002D3EC6">
        <w:rPr>
          <w:rFonts w:ascii="Times New Roman" w:hAnsi="Times New Roman"/>
          <w:sz w:val="24"/>
          <w:szCs w:val="24"/>
        </w:rPr>
        <w:t xml:space="preserve"> (</w:t>
      </w:r>
      <w:proofErr w:type="spellStart"/>
      <w:r w:rsidRPr="002D3EC6">
        <w:rPr>
          <w:rFonts w:ascii="Times New Roman" w:hAnsi="Times New Roman"/>
          <w:sz w:val="24"/>
          <w:szCs w:val="24"/>
        </w:rPr>
        <w:t>Myxosporea</w:t>
      </w:r>
      <w:proofErr w:type="spellEnd"/>
      <w:r w:rsidRPr="002D3EC6">
        <w:rPr>
          <w:rFonts w:ascii="Times New Roman" w:hAnsi="Times New Roman"/>
          <w:sz w:val="24"/>
          <w:szCs w:val="24"/>
        </w:rPr>
        <w:t xml:space="preserve">: </w:t>
      </w:r>
      <w:proofErr w:type="spellStart"/>
      <w:r w:rsidRPr="002D3EC6">
        <w:rPr>
          <w:rFonts w:ascii="Times New Roman" w:hAnsi="Times New Roman"/>
          <w:sz w:val="24"/>
          <w:szCs w:val="24"/>
        </w:rPr>
        <w:t>Bivalvulida</w:t>
      </w:r>
      <w:proofErr w:type="spellEnd"/>
      <w:r w:rsidRPr="002D3EC6">
        <w:rPr>
          <w:rFonts w:ascii="Times New Roman" w:hAnsi="Times New Roman"/>
          <w:sz w:val="24"/>
          <w:szCs w:val="24"/>
        </w:rPr>
        <w:t xml:space="preserve">). </w:t>
      </w:r>
      <w:r w:rsidRPr="002D3EC6">
        <w:rPr>
          <w:rFonts w:ascii="Times New Roman" w:hAnsi="Times New Roman"/>
          <w:i/>
          <w:iCs/>
          <w:sz w:val="24"/>
          <w:szCs w:val="24"/>
        </w:rPr>
        <w:t>Parasitology, 120</w:t>
      </w:r>
      <w:r w:rsidRPr="002D3EC6">
        <w:rPr>
          <w:rFonts w:ascii="Times New Roman" w:hAnsi="Times New Roman"/>
          <w:sz w:val="24"/>
          <w:szCs w:val="24"/>
        </w:rPr>
        <w:t xml:space="preserve">(5), 465–477. </w:t>
      </w:r>
      <w:hyperlink r:id="rId69" w:history="1">
        <w:r w:rsidRPr="002D3EC6">
          <w:rPr>
            <w:rFonts w:ascii="Times New Roman" w:hAnsi="Times New Roman"/>
            <w:color w:val="0000FF"/>
            <w:sz w:val="24"/>
            <w:szCs w:val="24"/>
            <w:u w:val="single"/>
          </w:rPr>
          <w:t>https://doi.org/10.1017/S0031182099005855</w:t>
        </w:r>
      </w:hyperlink>
    </w:p>
    <w:p w14:paraId="670C915B"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Neumann, N. F., Stafford, J. L., Barreda, D., Ainsworth, A. J., &amp; </w:t>
      </w:r>
      <w:proofErr w:type="spellStart"/>
      <w:r w:rsidRPr="002D3EC6">
        <w:rPr>
          <w:rFonts w:ascii="Times New Roman" w:hAnsi="Times New Roman"/>
          <w:sz w:val="24"/>
          <w:szCs w:val="24"/>
        </w:rPr>
        <w:t>Belosevic</w:t>
      </w:r>
      <w:proofErr w:type="spellEnd"/>
      <w:r w:rsidRPr="002D3EC6">
        <w:rPr>
          <w:rFonts w:ascii="Times New Roman" w:hAnsi="Times New Roman"/>
          <w:sz w:val="24"/>
          <w:szCs w:val="24"/>
        </w:rPr>
        <w:t xml:space="preserve">, M. (2001). Antimicrobial mechanisms of fish phagocytes and their role in host defense. </w:t>
      </w:r>
      <w:r w:rsidRPr="002D3EC6">
        <w:rPr>
          <w:rFonts w:ascii="Times New Roman" w:hAnsi="Times New Roman"/>
          <w:i/>
          <w:iCs/>
          <w:sz w:val="24"/>
          <w:szCs w:val="24"/>
        </w:rPr>
        <w:t>Developmental &amp; Comparative Immunology, 25</w:t>
      </w:r>
      <w:r w:rsidRPr="002D3EC6">
        <w:rPr>
          <w:rFonts w:ascii="Times New Roman" w:hAnsi="Times New Roman"/>
          <w:sz w:val="24"/>
          <w:szCs w:val="24"/>
        </w:rPr>
        <w:t xml:space="preserve">(8–9), 807–825. </w:t>
      </w:r>
      <w:hyperlink r:id="rId70" w:history="1">
        <w:r w:rsidRPr="002D3EC6">
          <w:rPr>
            <w:rFonts w:ascii="Times New Roman" w:hAnsi="Times New Roman"/>
            <w:color w:val="0000FF"/>
            <w:sz w:val="24"/>
            <w:szCs w:val="24"/>
            <w:u w:val="single"/>
          </w:rPr>
          <w:t>https://doi.org/10.1016/S0145-305X(01)00037-4</w:t>
        </w:r>
      </w:hyperlink>
    </w:p>
    <w:p w14:paraId="683133D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Pretto-Giordano, L. G., Müller, E. E., de Freitas, J. C., &amp; da Silva, V. G. (2010). Evaluation on the pathogenesis of </w:t>
      </w:r>
      <w:r w:rsidRPr="002D3EC6">
        <w:rPr>
          <w:rFonts w:ascii="Times New Roman" w:hAnsi="Times New Roman"/>
          <w:i/>
          <w:iCs/>
          <w:sz w:val="24"/>
          <w:szCs w:val="24"/>
        </w:rPr>
        <w:t>Streptococcus agalactiae</w:t>
      </w:r>
      <w:r w:rsidRPr="002D3EC6">
        <w:rPr>
          <w:rFonts w:ascii="Times New Roman" w:hAnsi="Times New Roman"/>
          <w:sz w:val="24"/>
          <w:szCs w:val="24"/>
        </w:rPr>
        <w:t xml:space="preserve"> in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w:t>
      </w:r>
      <w:r w:rsidRPr="002D3EC6">
        <w:rPr>
          <w:rFonts w:ascii="Times New Roman" w:hAnsi="Times New Roman"/>
          <w:i/>
          <w:iCs/>
          <w:sz w:val="24"/>
          <w:szCs w:val="24"/>
        </w:rPr>
        <w:t>Brazilian Archives of Biology and Technology, 53</w:t>
      </w:r>
      <w:r w:rsidRPr="002D3EC6">
        <w:rPr>
          <w:rFonts w:ascii="Times New Roman" w:hAnsi="Times New Roman"/>
          <w:sz w:val="24"/>
          <w:szCs w:val="24"/>
        </w:rPr>
        <w:t xml:space="preserve">(1), 87–92. </w:t>
      </w:r>
      <w:hyperlink r:id="rId71" w:history="1">
        <w:r w:rsidRPr="002D3EC6">
          <w:rPr>
            <w:rFonts w:ascii="Times New Roman" w:hAnsi="Times New Roman"/>
            <w:color w:val="0000FF"/>
            <w:sz w:val="24"/>
            <w:szCs w:val="24"/>
            <w:u w:val="single"/>
          </w:rPr>
          <w:t>https://doi.org/10.1590/S1516-89132010000100011</w:t>
        </w:r>
      </w:hyperlink>
    </w:p>
    <w:p w14:paraId="429F7D07"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Rattanachaikunsopon</w:t>
      </w:r>
      <w:proofErr w:type="spellEnd"/>
      <w:r w:rsidRPr="002D3EC6">
        <w:rPr>
          <w:rFonts w:ascii="Times New Roman" w:hAnsi="Times New Roman"/>
          <w:sz w:val="24"/>
          <w:szCs w:val="24"/>
        </w:rPr>
        <w:t xml:space="preserve">, P., &amp; </w:t>
      </w:r>
      <w:proofErr w:type="spellStart"/>
      <w:r w:rsidRPr="002D3EC6">
        <w:rPr>
          <w:rFonts w:ascii="Times New Roman" w:hAnsi="Times New Roman"/>
          <w:sz w:val="24"/>
          <w:szCs w:val="24"/>
        </w:rPr>
        <w:t>Phumkhachorn</w:t>
      </w:r>
      <w:proofErr w:type="spellEnd"/>
      <w:r w:rsidRPr="002D3EC6">
        <w:rPr>
          <w:rFonts w:ascii="Times New Roman" w:hAnsi="Times New Roman"/>
          <w:sz w:val="24"/>
          <w:szCs w:val="24"/>
        </w:rPr>
        <w:t xml:space="preserve">, P. (2010). Effect of </w:t>
      </w:r>
      <w:r w:rsidRPr="002D3EC6">
        <w:rPr>
          <w:rFonts w:ascii="Times New Roman" w:hAnsi="Times New Roman"/>
          <w:i/>
          <w:iCs/>
          <w:sz w:val="24"/>
          <w:szCs w:val="24"/>
        </w:rPr>
        <w:t xml:space="preserve">Cratoxylum </w:t>
      </w:r>
      <w:proofErr w:type="spellStart"/>
      <w:r w:rsidRPr="002D3EC6">
        <w:rPr>
          <w:rFonts w:ascii="Times New Roman" w:hAnsi="Times New Roman"/>
          <w:i/>
          <w:iCs/>
          <w:sz w:val="24"/>
          <w:szCs w:val="24"/>
        </w:rPr>
        <w:t>formosum</w:t>
      </w:r>
      <w:proofErr w:type="spellEnd"/>
      <w:r w:rsidRPr="002D3EC6">
        <w:rPr>
          <w:rFonts w:ascii="Times New Roman" w:hAnsi="Times New Roman"/>
          <w:sz w:val="24"/>
          <w:szCs w:val="24"/>
        </w:rPr>
        <w:t xml:space="preserve"> on innate immune response and disease resistance against </w:t>
      </w:r>
      <w:r w:rsidRPr="002D3EC6">
        <w:rPr>
          <w:rFonts w:ascii="Times New Roman" w:hAnsi="Times New Roman"/>
          <w:i/>
          <w:iCs/>
          <w:sz w:val="24"/>
          <w:szCs w:val="24"/>
        </w:rPr>
        <w:t>Streptococcus agalactiae</w:t>
      </w:r>
      <w:r w:rsidRPr="002D3EC6">
        <w:rPr>
          <w:rFonts w:ascii="Times New Roman" w:hAnsi="Times New Roman"/>
          <w:sz w:val="24"/>
          <w:szCs w:val="24"/>
        </w:rPr>
        <w:t xml:space="preserve"> in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w:t>
      </w:r>
      <w:r w:rsidRPr="002D3EC6">
        <w:rPr>
          <w:rFonts w:ascii="Times New Roman" w:hAnsi="Times New Roman"/>
          <w:i/>
          <w:iCs/>
          <w:sz w:val="24"/>
          <w:szCs w:val="24"/>
        </w:rPr>
        <w:t>Fisheries Science, 76</w:t>
      </w:r>
      <w:r w:rsidRPr="002D3EC6">
        <w:rPr>
          <w:rFonts w:ascii="Times New Roman" w:hAnsi="Times New Roman"/>
          <w:sz w:val="24"/>
          <w:szCs w:val="24"/>
        </w:rPr>
        <w:t xml:space="preserve">(4), 653–659. </w:t>
      </w:r>
      <w:hyperlink r:id="rId72" w:history="1">
        <w:r w:rsidRPr="002D3EC6">
          <w:rPr>
            <w:rFonts w:ascii="Times New Roman" w:hAnsi="Times New Roman"/>
            <w:color w:val="0000FF"/>
            <w:sz w:val="24"/>
            <w:szCs w:val="24"/>
            <w:u w:val="single"/>
          </w:rPr>
          <w:t>https://doi.org/10.1007/s12562-010-0242-6</w:t>
        </w:r>
      </w:hyperlink>
    </w:p>
    <w:p w14:paraId="7B8C43EA" w14:textId="5BA1D1B3"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Reyes, A. T., Raymundo, A. K., </w:t>
      </w:r>
      <w:proofErr w:type="spellStart"/>
      <w:r w:rsidRPr="002D3EC6">
        <w:rPr>
          <w:rFonts w:ascii="Times New Roman" w:hAnsi="Times New Roman"/>
          <w:sz w:val="24"/>
          <w:szCs w:val="24"/>
        </w:rPr>
        <w:t>Baldrias</w:t>
      </w:r>
      <w:proofErr w:type="spellEnd"/>
      <w:r w:rsidRPr="002D3EC6">
        <w:rPr>
          <w:rFonts w:ascii="Times New Roman" w:hAnsi="Times New Roman"/>
          <w:sz w:val="24"/>
          <w:szCs w:val="24"/>
        </w:rPr>
        <w:t xml:space="preserve">, L. R., Paller, V. G., &amp; Dalmacio, I. F. (2021). Occurrence of </w:t>
      </w:r>
      <w:r w:rsidRPr="002D3EC6">
        <w:rPr>
          <w:rFonts w:ascii="Times New Roman" w:hAnsi="Times New Roman"/>
          <w:i/>
          <w:iCs/>
          <w:sz w:val="24"/>
          <w:szCs w:val="24"/>
        </w:rPr>
        <w:t>Streptococcus</w:t>
      </w:r>
      <w:r w:rsidRPr="002D3EC6">
        <w:rPr>
          <w:rFonts w:ascii="Times New Roman" w:hAnsi="Times New Roman"/>
          <w:sz w:val="24"/>
          <w:szCs w:val="24"/>
        </w:rPr>
        <w:t xml:space="preserve"> spp. in farmed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in </w:t>
      </w:r>
      <w:proofErr w:type="spellStart"/>
      <w:r w:rsidRPr="002D3EC6">
        <w:rPr>
          <w:rFonts w:ascii="Times New Roman" w:hAnsi="Times New Roman"/>
          <w:sz w:val="24"/>
          <w:szCs w:val="24"/>
        </w:rPr>
        <w:t>Lubao</w:t>
      </w:r>
      <w:proofErr w:type="spellEnd"/>
      <w:r w:rsidRPr="002D3EC6">
        <w:rPr>
          <w:rFonts w:ascii="Times New Roman" w:hAnsi="Times New Roman"/>
          <w:sz w:val="24"/>
          <w:szCs w:val="24"/>
        </w:rPr>
        <w:t xml:space="preserve">, Pampanga, Philippines. </w:t>
      </w:r>
      <w:r w:rsidRPr="002D3EC6">
        <w:rPr>
          <w:rFonts w:ascii="Times New Roman" w:hAnsi="Times New Roman"/>
          <w:i/>
          <w:iCs/>
          <w:sz w:val="24"/>
          <w:szCs w:val="24"/>
        </w:rPr>
        <w:t>International Journal of Agricultural Technology, 17</w:t>
      </w:r>
      <w:r w:rsidRPr="002D3EC6">
        <w:rPr>
          <w:rFonts w:ascii="Times New Roman" w:hAnsi="Times New Roman"/>
          <w:sz w:val="24"/>
          <w:szCs w:val="24"/>
        </w:rPr>
        <w:t xml:space="preserve">(3), 1041–1060. </w:t>
      </w:r>
    </w:p>
    <w:p w14:paraId="4F16680F" w14:textId="69F6B091"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Reyes, A. T., Raymundo, A. K., </w:t>
      </w:r>
      <w:proofErr w:type="spellStart"/>
      <w:r w:rsidRPr="002D3EC6">
        <w:rPr>
          <w:rFonts w:ascii="Times New Roman" w:hAnsi="Times New Roman"/>
          <w:sz w:val="24"/>
          <w:szCs w:val="24"/>
        </w:rPr>
        <w:t>Baldrias</w:t>
      </w:r>
      <w:proofErr w:type="spellEnd"/>
      <w:r w:rsidRPr="002D3EC6">
        <w:rPr>
          <w:rFonts w:ascii="Times New Roman" w:hAnsi="Times New Roman"/>
          <w:sz w:val="24"/>
          <w:szCs w:val="24"/>
        </w:rPr>
        <w:t xml:space="preserve">, L. R., Paller, V. G., &amp; Dalmacio, I. F. (2022). Antibiotic susceptibility and pathogenicity of </w:t>
      </w:r>
      <w:r w:rsidRPr="002D3EC6">
        <w:rPr>
          <w:rFonts w:ascii="Times New Roman" w:hAnsi="Times New Roman"/>
          <w:i/>
          <w:iCs/>
          <w:sz w:val="24"/>
          <w:szCs w:val="24"/>
        </w:rPr>
        <w:t>Streptococcus</w:t>
      </w:r>
      <w:r w:rsidRPr="002D3EC6">
        <w:rPr>
          <w:rFonts w:ascii="Times New Roman" w:hAnsi="Times New Roman"/>
          <w:sz w:val="24"/>
          <w:szCs w:val="24"/>
        </w:rPr>
        <w:t xml:space="preserve"> spp. isolated from tilapia grow-out farms in </w:t>
      </w:r>
      <w:proofErr w:type="spellStart"/>
      <w:r w:rsidRPr="002D3EC6">
        <w:rPr>
          <w:rFonts w:ascii="Times New Roman" w:hAnsi="Times New Roman"/>
          <w:sz w:val="24"/>
          <w:szCs w:val="24"/>
        </w:rPr>
        <w:t>Lubao</w:t>
      </w:r>
      <w:proofErr w:type="spellEnd"/>
      <w:r w:rsidRPr="002D3EC6">
        <w:rPr>
          <w:rFonts w:ascii="Times New Roman" w:hAnsi="Times New Roman"/>
          <w:sz w:val="24"/>
          <w:szCs w:val="24"/>
        </w:rPr>
        <w:t xml:space="preserve">, Pampanga, Philippines. </w:t>
      </w:r>
      <w:r w:rsidRPr="002D3EC6">
        <w:rPr>
          <w:rFonts w:ascii="Times New Roman" w:hAnsi="Times New Roman"/>
          <w:i/>
          <w:iCs/>
          <w:sz w:val="24"/>
          <w:szCs w:val="24"/>
        </w:rPr>
        <w:t xml:space="preserve">AACL </w:t>
      </w:r>
      <w:proofErr w:type="spellStart"/>
      <w:r w:rsidRPr="002D3EC6">
        <w:rPr>
          <w:rFonts w:ascii="Times New Roman" w:hAnsi="Times New Roman"/>
          <w:i/>
          <w:iCs/>
          <w:sz w:val="24"/>
          <w:szCs w:val="24"/>
        </w:rPr>
        <w:t>Bioflux</w:t>
      </w:r>
      <w:proofErr w:type="spellEnd"/>
      <w:r w:rsidRPr="002D3EC6">
        <w:rPr>
          <w:rFonts w:ascii="Times New Roman" w:hAnsi="Times New Roman"/>
          <w:i/>
          <w:iCs/>
          <w:sz w:val="24"/>
          <w:szCs w:val="24"/>
        </w:rPr>
        <w:t>, 15</w:t>
      </w:r>
      <w:r w:rsidRPr="002D3EC6">
        <w:rPr>
          <w:rFonts w:ascii="Times New Roman" w:hAnsi="Times New Roman"/>
          <w:sz w:val="24"/>
          <w:szCs w:val="24"/>
        </w:rPr>
        <w:t xml:space="preserve">(3), 1389–1402. </w:t>
      </w:r>
    </w:p>
    <w:p w14:paraId="29A2F1A0"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Ridzuan</w:t>
      </w:r>
      <w:proofErr w:type="spellEnd"/>
      <w:r w:rsidRPr="002D3EC6">
        <w:rPr>
          <w:rFonts w:ascii="Times New Roman" w:hAnsi="Times New Roman"/>
          <w:sz w:val="24"/>
          <w:szCs w:val="24"/>
        </w:rPr>
        <w:t xml:space="preserve">, M. S. M., Abdullah, A., Mansor, N. N., Ramli, N., &amp; Nawi, M. F. (2025). Formulation and field evaluation of palm oil adjuvanted feed-based </w:t>
      </w:r>
      <w:proofErr w:type="spellStart"/>
      <w:r w:rsidRPr="002D3EC6">
        <w:rPr>
          <w:rFonts w:ascii="Times New Roman" w:hAnsi="Times New Roman"/>
          <w:sz w:val="24"/>
          <w:szCs w:val="24"/>
        </w:rPr>
        <w:lastRenderedPageBreak/>
        <w:t>streptococcosis</w:t>
      </w:r>
      <w:proofErr w:type="spellEnd"/>
      <w:r w:rsidRPr="002D3EC6">
        <w:rPr>
          <w:rFonts w:ascii="Times New Roman" w:hAnsi="Times New Roman"/>
          <w:sz w:val="24"/>
          <w:szCs w:val="24"/>
        </w:rPr>
        <w:t xml:space="preserve"> vaccine in cage-cultured red hybrid tilapia. </w:t>
      </w:r>
      <w:r w:rsidRPr="002D3EC6">
        <w:rPr>
          <w:rFonts w:ascii="Times New Roman" w:hAnsi="Times New Roman"/>
          <w:i/>
          <w:iCs/>
          <w:sz w:val="24"/>
          <w:szCs w:val="24"/>
        </w:rPr>
        <w:t>Aquaculture Studies, 25</w:t>
      </w:r>
      <w:r w:rsidRPr="002D3EC6">
        <w:rPr>
          <w:rFonts w:ascii="Times New Roman" w:hAnsi="Times New Roman"/>
          <w:sz w:val="24"/>
          <w:szCs w:val="24"/>
        </w:rPr>
        <w:t xml:space="preserve">(2), Article AQUAST2188. </w:t>
      </w:r>
      <w:hyperlink r:id="rId73" w:history="1">
        <w:r w:rsidRPr="002D3EC6">
          <w:rPr>
            <w:rFonts w:ascii="Times New Roman" w:hAnsi="Times New Roman"/>
            <w:color w:val="0000FF"/>
            <w:sz w:val="24"/>
            <w:szCs w:val="24"/>
            <w:u w:val="single"/>
          </w:rPr>
          <w:t>https://doi.org/10.4194/AQUAST2188</w:t>
        </w:r>
      </w:hyperlink>
    </w:p>
    <w:p w14:paraId="6B1C495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lang w:val="nl-BE"/>
        </w:rPr>
        <w:t xml:space="preserve">Rieger, A. M., &amp; Barreda, D. R. (2011). </w:t>
      </w:r>
      <w:r w:rsidRPr="002D3EC6">
        <w:rPr>
          <w:rFonts w:ascii="Times New Roman" w:hAnsi="Times New Roman"/>
          <w:sz w:val="24"/>
          <w:szCs w:val="24"/>
        </w:rPr>
        <w:t xml:space="preserve">Antimicrobial mechanisms of fish leukocytes. </w:t>
      </w:r>
      <w:r w:rsidRPr="002D3EC6">
        <w:rPr>
          <w:rFonts w:ascii="Times New Roman" w:hAnsi="Times New Roman"/>
          <w:i/>
          <w:iCs/>
          <w:sz w:val="24"/>
          <w:szCs w:val="24"/>
        </w:rPr>
        <w:t>Developmental &amp; Comparative Immunology, 35</w:t>
      </w:r>
      <w:r w:rsidRPr="002D3EC6">
        <w:rPr>
          <w:rFonts w:ascii="Times New Roman" w:hAnsi="Times New Roman"/>
          <w:sz w:val="24"/>
          <w:szCs w:val="24"/>
        </w:rPr>
        <w:t xml:space="preserve">(12), 1238–1245. </w:t>
      </w:r>
      <w:hyperlink r:id="rId74" w:history="1">
        <w:r w:rsidRPr="002D3EC6">
          <w:rPr>
            <w:rFonts w:ascii="Times New Roman" w:hAnsi="Times New Roman"/>
            <w:color w:val="0000FF"/>
            <w:sz w:val="24"/>
            <w:szCs w:val="24"/>
            <w:u w:val="single"/>
          </w:rPr>
          <w:t>https://doi.org/10.1016/j.dci.2011.03.009</w:t>
        </w:r>
      </w:hyperlink>
    </w:p>
    <w:p w14:paraId="37373E24" w14:textId="37E0A423"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Robertsen, B., Engstad, R. E., &amp; Jørgensen, J. B. (1994). Beta-glucan as an immunostimulant in fish. In J. S. Stolen &amp; T. C. Fletcher (Eds.), </w:t>
      </w:r>
      <w:r w:rsidRPr="002D3EC6">
        <w:rPr>
          <w:rFonts w:ascii="Times New Roman" w:hAnsi="Times New Roman"/>
          <w:i/>
          <w:iCs/>
          <w:sz w:val="24"/>
          <w:szCs w:val="24"/>
        </w:rPr>
        <w:t xml:space="preserve">Modulators of fish immune responses: Models for environmental toxicology, biomarkers, and </w:t>
      </w:r>
      <w:proofErr w:type="spellStart"/>
      <w:r w:rsidRPr="002D3EC6">
        <w:rPr>
          <w:rFonts w:ascii="Times New Roman" w:hAnsi="Times New Roman"/>
          <w:i/>
          <w:iCs/>
          <w:sz w:val="24"/>
          <w:szCs w:val="24"/>
        </w:rPr>
        <w:t>immunostimulators</w:t>
      </w:r>
      <w:proofErr w:type="spellEnd"/>
      <w:r w:rsidRPr="002D3EC6">
        <w:rPr>
          <w:rFonts w:ascii="Times New Roman" w:hAnsi="Times New Roman"/>
          <w:sz w:val="24"/>
          <w:szCs w:val="24"/>
        </w:rPr>
        <w:t xml:space="preserve"> (pp. 83–99). SOS Publications. </w:t>
      </w:r>
    </w:p>
    <w:p w14:paraId="5D57BE52" w14:textId="4005970D"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lang w:val="nl-BE"/>
        </w:rPr>
        <w:t xml:space="preserve">Rodkhum, C., Kayansamruaj, P., &amp; Pirarat, N. (2011). </w:t>
      </w:r>
      <w:r w:rsidRPr="002D3EC6">
        <w:rPr>
          <w:rFonts w:ascii="Times New Roman" w:hAnsi="Times New Roman"/>
          <w:sz w:val="24"/>
          <w:szCs w:val="24"/>
        </w:rPr>
        <w:t xml:space="preserve">Effect of water temperature on susceptibility to </w:t>
      </w:r>
      <w:r w:rsidRPr="002D3EC6">
        <w:rPr>
          <w:rFonts w:ascii="Times New Roman" w:hAnsi="Times New Roman"/>
          <w:i/>
          <w:iCs/>
          <w:sz w:val="24"/>
          <w:szCs w:val="24"/>
        </w:rPr>
        <w:t>Streptococcus agalactiae</w:t>
      </w:r>
      <w:r w:rsidRPr="002D3EC6">
        <w:rPr>
          <w:rFonts w:ascii="Times New Roman" w:hAnsi="Times New Roman"/>
          <w:sz w:val="24"/>
          <w:szCs w:val="24"/>
        </w:rPr>
        <w:t xml:space="preserve"> serotype Ia infection in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w:t>
      </w:r>
      <w:r w:rsidRPr="002D3EC6">
        <w:rPr>
          <w:rFonts w:ascii="Times New Roman" w:hAnsi="Times New Roman"/>
          <w:i/>
          <w:iCs/>
          <w:sz w:val="24"/>
          <w:szCs w:val="24"/>
        </w:rPr>
        <w:t>Thai Journal of Veterinary Medicine, 41</w:t>
      </w:r>
      <w:r w:rsidRPr="002D3EC6">
        <w:rPr>
          <w:rFonts w:ascii="Times New Roman" w:hAnsi="Times New Roman"/>
          <w:sz w:val="24"/>
          <w:szCs w:val="24"/>
        </w:rPr>
        <w:t xml:space="preserve">(3), 309–314. </w:t>
      </w:r>
    </w:p>
    <w:p w14:paraId="0A2D486D" w14:textId="31809A60"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Roy, D., Pal, S., Ray, S. D., &amp; Chaudhari, S. M. (2019). Experimental analysis of selected fish biomarkers following concomitant infection with indigenous and exotic </w:t>
      </w:r>
      <w:r w:rsidRPr="002D3EC6">
        <w:rPr>
          <w:rFonts w:ascii="Times New Roman" w:hAnsi="Times New Roman"/>
          <w:i/>
          <w:iCs/>
          <w:sz w:val="24"/>
          <w:szCs w:val="24"/>
        </w:rPr>
        <w:t>Aeromonas</w:t>
      </w:r>
      <w:r w:rsidRPr="002D3EC6">
        <w:rPr>
          <w:rFonts w:ascii="Times New Roman" w:hAnsi="Times New Roman"/>
          <w:sz w:val="24"/>
          <w:szCs w:val="24"/>
        </w:rPr>
        <w:t xml:space="preserve"> species in </w:t>
      </w:r>
      <w:proofErr w:type="spellStart"/>
      <w:r w:rsidRPr="002D3EC6">
        <w:rPr>
          <w:rFonts w:ascii="Times New Roman" w:hAnsi="Times New Roman"/>
          <w:i/>
          <w:iCs/>
          <w:sz w:val="24"/>
          <w:szCs w:val="24"/>
        </w:rPr>
        <w:t>Labeo</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rohita</w:t>
      </w:r>
      <w:proofErr w:type="spellEnd"/>
      <w:r w:rsidRPr="002D3EC6">
        <w:rPr>
          <w:rFonts w:ascii="Times New Roman" w:hAnsi="Times New Roman"/>
          <w:sz w:val="24"/>
          <w:szCs w:val="24"/>
        </w:rPr>
        <w:t xml:space="preserve">. </w:t>
      </w:r>
      <w:r w:rsidRPr="002D3EC6">
        <w:rPr>
          <w:rFonts w:ascii="Times New Roman" w:hAnsi="Times New Roman"/>
          <w:i/>
          <w:iCs/>
          <w:sz w:val="24"/>
          <w:szCs w:val="24"/>
        </w:rPr>
        <w:t>International Journal of Fisheries and Aquatic Studies, 7</w:t>
      </w:r>
      <w:r w:rsidRPr="002D3EC6">
        <w:rPr>
          <w:rFonts w:ascii="Times New Roman" w:hAnsi="Times New Roman"/>
          <w:sz w:val="24"/>
          <w:szCs w:val="24"/>
        </w:rPr>
        <w:t xml:space="preserve">(6), 322–329. </w:t>
      </w:r>
    </w:p>
    <w:p w14:paraId="06404203"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Sahoo, P. K., Kumari, J., &amp; Mishra, B. K. (2005). Non-specific immune responses in juveniles of Indian major carps. </w:t>
      </w:r>
      <w:r w:rsidRPr="002D3EC6">
        <w:rPr>
          <w:rFonts w:ascii="Times New Roman" w:hAnsi="Times New Roman"/>
          <w:i/>
          <w:iCs/>
          <w:sz w:val="24"/>
          <w:szCs w:val="24"/>
        </w:rPr>
        <w:t>Journal of Applied Ichthyology, 21</w:t>
      </w:r>
      <w:r w:rsidRPr="002D3EC6">
        <w:rPr>
          <w:rFonts w:ascii="Times New Roman" w:hAnsi="Times New Roman"/>
          <w:sz w:val="24"/>
          <w:szCs w:val="24"/>
        </w:rPr>
        <w:t xml:space="preserve">(2), 151–155. </w:t>
      </w:r>
      <w:hyperlink r:id="rId75" w:history="1">
        <w:r w:rsidRPr="002D3EC6">
          <w:rPr>
            <w:rFonts w:ascii="Times New Roman" w:hAnsi="Times New Roman"/>
            <w:color w:val="0000FF"/>
            <w:sz w:val="24"/>
            <w:szCs w:val="24"/>
            <w:u w:val="single"/>
          </w:rPr>
          <w:t>https://doi.org/10.1111/j.1439-0426.2004.00606.x</w:t>
        </w:r>
      </w:hyperlink>
    </w:p>
    <w:p w14:paraId="6A311A58"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Sakai, M., Taniguchi, K., </w:t>
      </w:r>
      <w:proofErr w:type="spellStart"/>
      <w:r w:rsidRPr="002D3EC6">
        <w:rPr>
          <w:rFonts w:ascii="Times New Roman" w:hAnsi="Times New Roman"/>
          <w:sz w:val="24"/>
          <w:szCs w:val="24"/>
        </w:rPr>
        <w:t>Mamoto</w:t>
      </w:r>
      <w:proofErr w:type="spellEnd"/>
      <w:r w:rsidRPr="002D3EC6">
        <w:rPr>
          <w:rFonts w:ascii="Times New Roman" w:hAnsi="Times New Roman"/>
          <w:sz w:val="24"/>
          <w:szCs w:val="24"/>
        </w:rPr>
        <w:t xml:space="preserve">, K., Ogawa, H., &amp; Tabata, M. (2001). Immunostimulant effects of nucleotide isolated from yeast RNA on carp, </w:t>
      </w:r>
      <w:r w:rsidRPr="002D3EC6">
        <w:rPr>
          <w:rFonts w:ascii="Times New Roman" w:hAnsi="Times New Roman"/>
          <w:i/>
          <w:iCs/>
          <w:sz w:val="24"/>
          <w:szCs w:val="24"/>
        </w:rPr>
        <w:t>Cyprinus carpio</w:t>
      </w:r>
      <w:r w:rsidRPr="002D3EC6">
        <w:rPr>
          <w:rFonts w:ascii="Times New Roman" w:hAnsi="Times New Roman"/>
          <w:sz w:val="24"/>
          <w:szCs w:val="24"/>
        </w:rPr>
        <w:t xml:space="preserve"> L. </w:t>
      </w:r>
      <w:r w:rsidRPr="002D3EC6">
        <w:rPr>
          <w:rFonts w:ascii="Times New Roman" w:hAnsi="Times New Roman"/>
          <w:i/>
          <w:iCs/>
          <w:sz w:val="24"/>
          <w:szCs w:val="24"/>
        </w:rPr>
        <w:t>Journal of Fish Diseases, 24</w:t>
      </w:r>
      <w:r w:rsidRPr="002D3EC6">
        <w:rPr>
          <w:rFonts w:ascii="Times New Roman" w:hAnsi="Times New Roman"/>
          <w:sz w:val="24"/>
          <w:szCs w:val="24"/>
        </w:rPr>
        <w:t xml:space="preserve">(8), 433–438. </w:t>
      </w:r>
      <w:hyperlink r:id="rId76" w:history="1">
        <w:r w:rsidRPr="002D3EC6">
          <w:rPr>
            <w:rFonts w:ascii="Times New Roman" w:hAnsi="Times New Roman"/>
            <w:color w:val="0000FF"/>
            <w:sz w:val="24"/>
            <w:szCs w:val="24"/>
            <w:u w:val="single"/>
          </w:rPr>
          <w:t>https://doi.org/10.1046/j.1365-2761.2001.00314.x</w:t>
        </w:r>
      </w:hyperlink>
    </w:p>
    <w:p w14:paraId="78CC9714"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Sakai, M., Yoshida, T., &amp; Kobayashi, M. (1995). Influence of the immunostimulant, EF203, on the immune responses of rainbow trout (</w:t>
      </w:r>
      <w:r w:rsidRPr="002D3EC6">
        <w:rPr>
          <w:rFonts w:ascii="Times New Roman" w:hAnsi="Times New Roman"/>
          <w:i/>
          <w:iCs/>
          <w:sz w:val="24"/>
          <w:szCs w:val="24"/>
        </w:rPr>
        <w:t>Oncorhynchus mykiss</w:t>
      </w:r>
      <w:r w:rsidRPr="002D3EC6">
        <w:rPr>
          <w:rFonts w:ascii="Times New Roman" w:hAnsi="Times New Roman"/>
          <w:sz w:val="24"/>
          <w:szCs w:val="24"/>
        </w:rPr>
        <w:t xml:space="preserve">) to </w:t>
      </w:r>
      <w:proofErr w:type="spellStart"/>
      <w:r w:rsidRPr="002D3EC6">
        <w:rPr>
          <w:rFonts w:ascii="Times New Roman" w:hAnsi="Times New Roman"/>
          <w:i/>
          <w:iCs/>
          <w:sz w:val="24"/>
          <w:szCs w:val="24"/>
        </w:rPr>
        <w:t>Renibacterium</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salmoninarum</w:t>
      </w:r>
      <w:proofErr w:type="spellEnd"/>
      <w:r w:rsidRPr="002D3EC6">
        <w:rPr>
          <w:rFonts w:ascii="Times New Roman" w:hAnsi="Times New Roman"/>
          <w:sz w:val="24"/>
          <w:szCs w:val="24"/>
        </w:rPr>
        <w:t xml:space="preserve">. </w:t>
      </w:r>
      <w:r w:rsidRPr="002D3EC6">
        <w:rPr>
          <w:rFonts w:ascii="Times New Roman" w:hAnsi="Times New Roman"/>
          <w:i/>
          <w:iCs/>
          <w:sz w:val="24"/>
          <w:szCs w:val="24"/>
        </w:rPr>
        <w:t>Aquaculture, 138</w:t>
      </w:r>
      <w:r w:rsidRPr="002D3EC6">
        <w:rPr>
          <w:rFonts w:ascii="Times New Roman" w:hAnsi="Times New Roman"/>
          <w:sz w:val="24"/>
          <w:szCs w:val="24"/>
        </w:rPr>
        <w:t xml:space="preserve">(1–4), 61–67. </w:t>
      </w:r>
      <w:hyperlink r:id="rId77" w:history="1">
        <w:r w:rsidRPr="002D3EC6">
          <w:rPr>
            <w:rFonts w:ascii="Times New Roman" w:hAnsi="Times New Roman"/>
            <w:color w:val="0000FF"/>
            <w:sz w:val="24"/>
            <w:szCs w:val="24"/>
            <w:u w:val="single"/>
          </w:rPr>
          <w:t>https://doi.org/10.1016/0044-8486(95)01084-X</w:t>
        </w:r>
      </w:hyperlink>
    </w:p>
    <w:p w14:paraId="5BCCD6C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Saurabh, S., &amp; Sahoo, P. K. (2008). Lysozyme: An important </w:t>
      </w:r>
      <w:proofErr w:type="spellStart"/>
      <w:r w:rsidRPr="002D3EC6">
        <w:rPr>
          <w:rFonts w:ascii="Times New Roman" w:hAnsi="Times New Roman"/>
          <w:sz w:val="24"/>
          <w:szCs w:val="24"/>
        </w:rPr>
        <w:t>defence</w:t>
      </w:r>
      <w:proofErr w:type="spellEnd"/>
      <w:r w:rsidRPr="002D3EC6">
        <w:rPr>
          <w:rFonts w:ascii="Times New Roman" w:hAnsi="Times New Roman"/>
          <w:sz w:val="24"/>
          <w:szCs w:val="24"/>
        </w:rPr>
        <w:t xml:space="preserve"> molecule of fish innate immune system. </w:t>
      </w:r>
      <w:r w:rsidRPr="002D3EC6">
        <w:rPr>
          <w:rFonts w:ascii="Times New Roman" w:hAnsi="Times New Roman"/>
          <w:i/>
          <w:iCs/>
          <w:sz w:val="24"/>
          <w:szCs w:val="24"/>
        </w:rPr>
        <w:t>Aquaculture Research, 39</w:t>
      </w:r>
      <w:r w:rsidRPr="002D3EC6">
        <w:rPr>
          <w:rFonts w:ascii="Times New Roman" w:hAnsi="Times New Roman"/>
          <w:sz w:val="24"/>
          <w:szCs w:val="24"/>
        </w:rPr>
        <w:t xml:space="preserve">(3), 223–239. </w:t>
      </w:r>
      <w:hyperlink r:id="rId78" w:history="1">
        <w:r w:rsidRPr="002D3EC6">
          <w:rPr>
            <w:rFonts w:ascii="Times New Roman" w:hAnsi="Times New Roman"/>
            <w:color w:val="0000FF"/>
            <w:sz w:val="24"/>
            <w:szCs w:val="24"/>
            <w:u w:val="single"/>
          </w:rPr>
          <w:t>https://doi.org/10.1111/j.1365-2109.2007.01883.x</w:t>
        </w:r>
      </w:hyperlink>
    </w:p>
    <w:p w14:paraId="5C5925C0" w14:textId="2DAF27BF" w:rsidR="002D3EC6" w:rsidRPr="002D3EC6" w:rsidRDefault="002D3EC6" w:rsidP="002D3EC6">
      <w:pPr>
        <w:spacing w:before="100" w:beforeAutospacing="1" w:after="100" w:afterAutospacing="1"/>
        <w:ind w:left="540" w:hanging="540"/>
        <w:jc w:val="both"/>
        <w:rPr>
          <w:rFonts w:ascii="Times New Roman" w:hAnsi="Times New Roman"/>
          <w:sz w:val="24"/>
          <w:szCs w:val="24"/>
        </w:rPr>
      </w:pPr>
      <w:proofErr w:type="spellStart"/>
      <w:r w:rsidRPr="002D3EC6">
        <w:rPr>
          <w:rFonts w:ascii="Times New Roman" w:hAnsi="Times New Roman"/>
          <w:sz w:val="24"/>
          <w:szCs w:val="24"/>
        </w:rPr>
        <w:t>Secombes</w:t>
      </w:r>
      <w:proofErr w:type="spellEnd"/>
      <w:r w:rsidRPr="002D3EC6">
        <w:rPr>
          <w:rFonts w:ascii="Times New Roman" w:hAnsi="Times New Roman"/>
          <w:sz w:val="24"/>
          <w:szCs w:val="24"/>
        </w:rPr>
        <w:t xml:space="preserve">, C. J. (1990). Isolation of salmonid macrophages and analysis of their killing activity. In J. S. Stolen, T. C. Fletcher, D. P. Anderson, B. S. Roberson, &amp; W. B. van </w:t>
      </w:r>
      <w:proofErr w:type="spellStart"/>
      <w:r w:rsidRPr="002D3EC6">
        <w:rPr>
          <w:rFonts w:ascii="Times New Roman" w:hAnsi="Times New Roman"/>
          <w:sz w:val="24"/>
          <w:szCs w:val="24"/>
        </w:rPr>
        <w:t>Muiswinkel</w:t>
      </w:r>
      <w:proofErr w:type="spellEnd"/>
      <w:r w:rsidRPr="002D3EC6">
        <w:rPr>
          <w:rFonts w:ascii="Times New Roman" w:hAnsi="Times New Roman"/>
          <w:sz w:val="24"/>
          <w:szCs w:val="24"/>
        </w:rPr>
        <w:t xml:space="preserve"> (Eds.), </w:t>
      </w:r>
      <w:r w:rsidRPr="002D3EC6">
        <w:rPr>
          <w:rFonts w:ascii="Times New Roman" w:hAnsi="Times New Roman"/>
          <w:i/>
          <w:iCs/>
          <w:sz w:val="24"/>
          <w:szCs w:val="24"/>
        </w:rPr>
        <w:t>Techniques in fish immunology</w:t>
      </w:r>
      <w:r w:rsidRPr="002D3EC6">
        <w:rPr>
          <w:rFonts w:ascii="Times New Roman" w:hAnsi="Times New Roman"/>
          <w:sz w:val="24"/>
          <w:szCs w:val="24"/>
        </w:rPr>
        <w:t xml:space="preserve"> (Vol. 1, pp. 137–154). SOS Publications. </w:t>
      </w:r>
    </w:p>
    <w:p w14:paraId="630A2831"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lastRenderedPageBreak/>
        <w:t xml:space="preserve">Shariff, M., Jayawardena, P. A. H. L., Yusoff, F. M., &amp; Subasinghe, R. P. (2001). Immunological parameters of Javanese carp, </w:t>
      </w:r>
      <w:r w:rsidRPr="002D3EC6">
        <w:rPr>
          <w:rFonts w:ascii="Times New Roman" w:hAnsi="Times New Roman"/>
          <w:i/>
          <w:iCs/>
          <w:sz w:val="24"/>
          <w:szCs w:val="24"/>
        </w:rPr>
        <w:t xml:space="preserve">Puntius </w:t>
      </w:r>
      <w:proofErr w:type="spellStart"/>
      <w:r w:rsidRPr="002D3EC6">
        <w:rPr>
          <w:rFonts w:ascii="Times New Roman" w:hAnsi="Times New Roman"/>
          <w:i/>
          <w:iCs/>
          <w:sz w:val="24"/>
          <w:szCs w:val="24"/>
        </w:rPr>
        <w:t>gonionotus</w:t>
      </w:r>
      <w:proofErr w:type="spellEnd"/>
      <w:r w:rsidRPr="002D3EC6">
        <w:rPr>
          <w:rFonts w:ascii="Times New Roman" w:hAnsi="Times New Roman"/>
          <w:sz w:val="24"/>
          <w:szCs w:val="24"/>
        </w:rPr>
        <w:t xml:space="preserve"> (Bleeker), exposed to copper and challenged with </w:t>
      </w:r>
      <w:r w:rsidRPr="002D3EC6">
        <w:rPr>
          <w:rFonts w:ascii="Times New Roman" w:hAnsi="Times New Roman"/>
          <w:i/>
          <w:iCs/>
          <w:sz w:val="24"/>
          <w:szCs w:val="24"/>
        </w:rPr>
        <w:t xml:space="preserve">Aeromonas </w:t>
      </w:r>
      <w:proofErr w:type="spellStart"/>
      <w:r w:rsidRPr="002D3EC6">
        <w:rPr>
          <w:rFonts w:ascii="Times New Roman" w:hAnsi="Times New Roman"/>
          <w:i/>
          <w:iCs/>
          <w:sz w:val="24"/>
          <w:szCs w:val="24"/>
        </w:rPr>
        <w:t>hydrophila</w:t>
      </w:r>
      <w:proofErr w:type="spellEnd"/>
      <w:r w:rsidRPr="002D3EC6">
        <w:rPr>
          <w:rFonts w:ascii="Times New Roman" w:hAnsi="Times New Roman"/>
          <w:sz w:val="24"/>
          <w:szCs w:val="24"/>
        </w:rPr>
        <w:t xml:space="preserve">. </w:t>
      </w:r>
      <w:r w:rsidRPr="002D3EC6">
        <w:rPr>
          <w:rFonts w:ascii="Times New Roman" w:hAnsi="Times New Roman"/>
          <w:i/>
          <w:iCs/>
          <w:sz w:val="24"/>
          <w:szCs w:val="24"/>
        </w:rPr>
        <w:t>Fish &amp; Shellfish Immunology, 11</w:t>
      </w:r>
      <w:r w:rsidRPr="002D3EC6">
        <w:rPr>
          <w:rFonts w:ascii="Times New Roman" w:hAnsi="Times New Roman"/>
          <w:sz w:val="24"/>
          <w:szCs w:val="24"/>
        </w:rPr>
        <w:t xml:space="preserve">(4), 281–291. </w:t>
      </w:r>
      <w:hyperlink r:id="rId79" w:history="1">
        <w:r w:rsidRPr="002D3EC6">
          <w:rPr>
            <w:rFonts w:ascii="Times New Roman" w:hAnsi="Times New Roman"/>
            <w:color w:val="0000FF"/>
            <w:sz w:val="24"/>
            <w:szCs w:val="24"/>
            <w:u w:val="single"/>
          </w:rPr>
          <w:t>https://doi.org/10.1006/fsim.2000.0309</w:t>
        </w:r>
      </w:hyperlink>
    </w:p>
    <w:p w14:paraId="17B4B9CB" w14:textId="3394A02E"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Shinn, A. P., </w:t>
      </w:r>
      <w:proofErr w:type="spellStart"/>
      <w:r w:rsidRPr="002D3EC6">
        <w:rPr>
          <w:rFonts w:ascii="Times New Roman" w:hAnsi="Times New Roman"/>
          <w:sz w:val="24"/>
          <w:szCs w:val="24"/>
        </w:rPr>
        <w:t>Pratoomyot</w:t>
      </w:r>
      <w:proofErr w:type="spellEnd"/>
      <w:r w:rsidRPr="002D3EC6">
        <w:rPr>
          <w:rFonts w:ascii="Times New Roman" w:hAnsi="Times New Roman"/>
          <w:sz w:val="24"/>
          <w:szCs w:val="24"/>
        </w:rPr>
        <w:t xml:space="preserve">, J., Bron, J. E., Paladini, G., Brooker, E. E., &amp; Brooker, A. J. (2015). Economic impacts of aquatic parasites on global finfish production. </w:t>
      </w:r>
      <w:r w:rsidRPr="002D3EC6">
        <w:rPr>
          <w:rFonts w:ascii="Times New Roman" w:hAnsi="Times New Roman"/>
          <w:i/>
          <w:iCs/>
          <w:sz w:val="24"/>
          <w:szCs w:val="24"/>
        </w:rPr>
        <w:t>Global Aquaculture Advocate</w:t>
      </w:r>
      <w:r w:rsidRPr="002D3EC6">
        <w:rPr>
          <w:rFonts w:ascii="Times New Roman" w:hAnsi="Times New Roman"/>
          <w:sz w:val="24"/>
          <w:szCs w:val="24"/>
        </w:rPr>
        <w:t xml:space="preserve">, 58–61. </w:t>
      </w:r>
    </w:p>
    <w:p w14:paraId="0B4859FF"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Talpur, A. D., &amp; </w:t>
      </w:r>
      <w:proofErr w:type="spellStart"/>
      <w:r w:rsidRPr="002D3EC6">
        <w:rPr>
          <w:rFonts w:ascii="Times New Roman" w:hAnsi="Times New Roman"/>
          <w:sz w:val="24"/>
          <w:szCs w:val="24"/>
        </w:rPr>
        <w:t>Ikhwanuddin</w:t>
      </w:r>
      <w:proofErr w:type="spellEnd"/>
      <w:r w:rsidRPr="002D3EC6">
        <w:rPr>
          <w:rFonts w:ascii="Times New Roman" w:hAnsi="Times New Roman"/>
          <w:sz w:val="24"/>
          <w:szCs w:val="24"/>
        </w:rPr>
        <w:t>, M. (2012). Dietary effects of garlic (</w:t>
      </w:r>
      <w:r w:rsidRPr="002D3EC6">
        <w:rPr>
          <w:rFonts w:ascii="Times New Roman" w:hAnsi="Times New Roman"/>
          <w:i/>
          <w:iCs/>
          <w:sz w:val="24"/>
          <w:szCs w:val="24"/>
        </w:rPr>
        <w:t>Allium sativum</w:t>
      </w:r>
      <w:r w:rsidRPr="002D3EC6">
        <w:rPr>
          <w:rFonts w:ascii="Times New Roman" w:hAnsi="Times New Roman"/>
          <w:sz w:val="24"/>
          <w:szCs w:val="24"/>
        </w:rPr>
        <w:t xml:space="preserve">) on haemato-immunological parameters, survival, growth, and disease resistance against </w:t>
      </w:r>
      <w:r w:rsidRPr="002D3EC6">
        <w:rPr>
          <w:rFonts w:ascii="Times New Roman" w:hAnsi="Times New Roman"/>
          <w:i/>
          <w:iCs/>
          <w:sz w:val="24"/>
          <w:szCs w:val="24"/>
        </w:rPr>
        <w:t xml:space="preserve">Vibrio </w:t>
      </w:r>
      <w:proofErr w:type="spellStart"/>
      <w:r w:rsidRPr="002D3EC6">
        <w:rPr>
          <w:rFonts w:ascii="Times New Roman" w:hAnsi="Times New Roman"/>
          <w:i/>
          <w:iCs/>
          <w:sz w:val="24"/>
          <w:szCs w:val="24"/>
        </w:rPr>
        <w:t>harveyi</w:t>
      </w:r>
      <w:proofErr w:type="spellEnd"/>
      <w:r w:rsidRPr="002D3EC6">
        <w:rPr>
          <w:rFonts w:ascii="Times New Roman" w:hAnsi="Times New Roman"/>
          <w:sz w:val="24"/>
          <w:szCs w:val="24"/>
        </w:rPr>
        <w:t xml:space="preserve"> infection in Asian sea bass, </w:t>
      </w:r>
      <w:r w:rsidRPr="002D3EC6">
        <w:rPr>
          <w:rFonts w:ascii="Times New Roman" w:hAnsi="Times New Roman"/>
          <w:i/>
          <w:iCs/>
          <w:sz w:val="24"/>
          <w:szCs w:val="24"/>
        </w:rPr>
        <w:t>Lates calcarifer</w:t>
      </w:r>
      <w:r w:rsidRPr="002D3EC6">
        <w:rPr>
          <w:rFonts w:ascii="Times New Roman" w:hAnsi="Times New Roman"/>
          <w:sz w:val="24"/>
          <w:szCs w:val="24"/>
        </w:rPr>
        <w:t xml:space="preserve"> (Bloch). </w:t>
      </w:r>
      <w:r w:rsidRPr="002D3EC6">
        <w:rPr>
          <w:rFonts w:ascii="Times New Roman" w:hAnsi="Times New Roman"/>
          <w:i/>
          <w:iCs/>
          <w:sz w:val="24"/>
          <w:szCs w:val="24"/>
        </w:rPr>
        <w:t>Aquaculture, 364–365</w:t>
      </w:r>
      <w:r w:rsidRPr="002D3EC6">
        <w:rPr>
          <w:rFonts w:ascii="Times New Roman" w:hAnsi="Times New Roman"/>
          <w:sz w:val="24"/>
          <w:szCs w:val="24"/>
        </w:rPr>
        <w:t xml:space="preserve">, 6–12. </w:t>
      </w:r>
      <w:hyperlink r:id="rId80" w:history="1">
        <w:r w:rsidRPr="002D3EC6">
          <w:rPr>
            <w:rFonts w:ascii="Times New Roman" w:hAnsi="Times New Roman"/>
            <w:color w:val="0000FF"/>
            <w:sz w:val="24"/>
            <w:szCs w:val="24"/>
            <w:u w:val="single"/>
          </w:rPr>
          <w:t>https://doi.org/10.1016/j.aquaculture.2012.07.035</w:t>
        </w:r>
      </w:hyperlink>
    </w:p>
    <w:p w14:paraId="71B1366B" w14:textId="67D1DDB9"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Tort, L., </w:t>
      </w:r>
      <w:proofErr w:type="spellStart"/>
      <w:r w:rsidRPr="002D3EC6">
        <w:rPr>
          <w:rFonts w:ascii="Times New Roman" w:hAnsi="Times New Roman"/>
          <w:sz w:val="24"/>
          <w:szCs w:val="24"/>
        </w:rPr>
        <w:t>Balasch</w:t>
      </w:r>
      <w:proofErr w:type="spellEnd"/>
      <w:r w:rsidRPr="002D3EC6">
        <w:rPr>
          <w:rFonts w:ascii="Times New Roman" w:hAnsi="Times New Roman"/>
          <w:sz w:val="24"/>
          <w:szCs w:val="24"/>
        </w:rPr>
        <w:t xml:space="preserve">, J. C., &amp; Mackenzie, S. (2003). Fish immune system: A crossroads between innate and adaptive responses. </w:t>
      </w:r>
      <w:proofErr w:type="spellStart"/>
      <w:r w:rsidRPr="002D3EC6">
        <w:rPr>
          <w:rFonts w:ascii="Times New Roman" w:hAnsi="Times New Roman"/>
          <w:i/>
          <w:iCs/>
          <w:sz w:val="24"/>
          <w:szCs w:val="24"/>
        </w:rPr>
        <w:t>Immunología</w:t>
      </w:r>
      <w:proofErr w:type="spellEnd"/>
      <w:r w:rsidRPr="002D3EC6">
        <w:rPr>
          <w:rFonts w:ascii="Times New Roman" w:hAnsi="Times New Roman"/>
          <w:i/>
          <w:iCs/>
          <w:sz w:val="24"/>
          <w:szCs w:val="24"/>
        </w:rPr>
        <w:t>, 22</w:t>
      </w:r>
      <w:r w:rsidRPr="002D3EC6">
        <w:rPr>
          <w:rFonts w:ascii="Times New Roman" w:hAnsi="Times New Roman"/>
          <w:sz w:val="24"/>
          <w:szCs w:val="24"/>
        </w:rPr>
        <w:t xml:space="preserve">(3), 277–286. </w:t>
      </w:r>
    </w:p>
    <w:p w14:paraId="36819C36"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Urban, T., &amp; </w:t>
      </w:r>
      <w:proofErr w:type="spellStart"/>
      <w:r w:rsidRPr="002D3EC6">
        <w:rPr>
          <w:rFonts w:ascii="Times New Roman" w:hAnsi="Times New Roman"/>
          <w:sz w:val="24"/>
          <w:szCs w:val="24"/>
        </w:rPr>
        <w:t>Järstrand</w:t>
      </w:r>
      <w:proofErr w:type="spellEnd"/>
      <w:r w:rsidRPr="002D3EC6">
        <w:rPr>
          <w:rFonts w:ascii="Times New Roman" w:hAnsi="Times New Roman"/>
          <w:sz w:val="24"/>
          <w:szCs w:val="24"/>
        </w:rPr>
        <w:t xml:space="preserve">, C. (1979). </w:t>
      </w:r>
      <w:proofErr w:type="spellStart"/>
      <w:r w:rsidRPr="002D3EC6">
        <w:rPr>
          <w:rFonts w:ascii="Times New Roman" w:hAnsi="Times New Roman"/>
          <w:sz w:val="24"/>
          <w:szCs w:val="24"/>
        </w:rPr>
        <w:t>Nitroblue</w:t>
      </w:r>
      <w:proofErr w:type="spellEnd"/>
      <w:r w:rsidRPr="002D3EC6">
        <w:rPr>
          <w:rFonts w:ascii="Times New Roman" w:hAnsi="Times New Roman"/>
          <w:sz w:val="24"/>
          <w:szCs w:val="24"/>
        </w:rPr>
        <w:t xml:space="preserve"> tetrazolium (NBT) reduction by bacteria: Some properties of the reaction and its possible use. </w:t>
      </w:r>
      <w:r w:rsidRPr="002D3EC6">
        <w:rPr>
          <w:rFonts w:ascii="Times New Roman" w:hAnsi="Times New Roman"/>
          <w:i/>
          <w:iCs/>
          <w:sz w:val="24"/>
          <w:szCs w:val="24"/>
        </w:rPr>
        <w:t xml:space="preserve">Acta </w:t>
      </w:r>
      <w:proofErr w:type="spellStart"/>
      <w:r w:rsidRPr="002D3EC6">
        <w:rPr>
          <w:rFonts w:ascii="Times New Roman" w:hAnsi="Times New Roman"/>
          <w:i/>
          <w:iCs/>
          <w:sz w:val="24"/>
          <w:szCs w:val="24"/>
        </w:rPr>
        <w:t>Pathologica</w:t>
      </w:r>
      <w:proofErr w:type="spellEnd"/>
      <w:r w:rsidRPr="002D3EC6">
        <w:rPr>
          <w:rFonts w:ascii="Times New Roman" w:hAnsi="Times New Roman"/>
          <w:i/>
          <w:iCs/>
          <w:sz w:val="24"/>
          <w:szCs w:val="24"/>
        </w:rPr>
        <w:t xml:space="preserve"> et </w:t>
      </w:r>
      <w:proofErr w:type="spellStart"/>
      <w:r w:rsidRPr="002D3EC6">
        <w:rPr>
          <w:rFonts w:ascii="Times New Roman" w:hAnsi="Times New Roman"/>
          <w:i/>
          <w:iCs/>
          <w:sz w:val="24"/>
          <w:szCs w:val="24"/>
        </w:rPr>
        <w:t>Microbiologica</w:t>
      </w:r>
      <w:proofErr w:type="spellEnd"/>
      <w:r w:rsidRPr="002D3EC6">
        <w:rPr>
          <w:rFonts w:ascii="Times New Roman" w:hAnsi="Times New Roman"/>
          <w:i/>
          <w:iCs/>
          <w:sz w:val="24"/>
          <w:szCs w:val="24"/>
        </w:rPr>
        <w:t xml:space="preserve"> Scandinavica Section B, 87</w:t>
      </w:r>
      <w:r w:rsidRPr="002D3EC6">
        <w:rPr>
          <w:rFonts w:ascii="Times New Roman" w:hAnsi="Times New Roman"/>
          <w:sz w:val="24"/>
          <w:szCs w:val="24"/>
        </w:rPr>
        <w:t xml:space="preserve">(4), 227–233. </w:t>
      </w:r>
      <w:hyperlink r:id="rId81" w:history="1">
        <w:r w:rsidRPr="002D3EC6">
          <w:rPr>
            <w:rFonts w:ascii="Times New Roman" w:hAnsi="Times New Roman"/>
            <w:color w:val="0000FF"/>
            <w:sz w:val="24"/>
            <w:szCs w:val="24"/>
            <w:u w:val="single"/>
          </w:rPr>
          <w:t>https://doi.org/10.1111/j.1699-0463.1979.tb02431.x</w:t>
        </w:r>
      </w:hyperlink>
    </w:p>
    <w:p w14:paraId="2552887A"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Uribe, C., Folch, H., Enríquez, R., &amp; Morán, G. (2011). Innate and adaptive immunity in teleost fish: A review. </w:t>
      </w:r>
      <w:proofErr w:type="spellStart"/>
      <w:r w:rsidRPr="002D3EC6">
        <w:rPr>
          <w:rFonts w:ascii="Times New Roman" w:hAnsi="Times New Roman"/>
          <w:i/>
          <w:iCs/>
          <w:sz w:val="24"/>
          <w:szCs w:val="24"/>
        </w:rPr>
        <w:t>Veterinární</w:t>
      </w:r>
      <w:proofErr w:type="spellEnd"/>
      <w:r w:rsidRPr="002D3EC6">
        <w:rPr>
          <w:rFonts w:ascii="Times New Roman" w:hAnsi="Times New Roman"/>
          <w:i/>
          <w:iCs/>
          <w:sz w:val="24"/>
          <w:szCs w:val="24"/>
        </w:rPr>
        <w:t xml:space="preserve"> </w:t>
      </w:r>
      <w:proofErr w:type="spellStart"/>
      <w:r w:rsidRPr="002D3EC6">
        <w:rPr>
          <w:rFonts w:ascii="Times New Roman" w:hAnsi="Times New Roman"/>
          <w:i/>
          <w:iCs/>
          <w:sz w:val="24"/>
          <w:szCs w:val="24"/>
        </w:rPr>
        <w:t>Medicína</w:t>
      </w:r>
      <w:proofErr w:type="spellEnd"/>
      <w:r w:rsidRPr="002D3EC6">
        <w:rPr>
          <w:rFonts w:ascii="Times New Roman" w:hAnsi="Times New Roman"/>
          <w:i/>
          <w:iCs/>
          <w:sz w:val="24"/>
          <w:szCs w:val="24"/>
        </w:rPr>
        <w:t>, 56</w:t>
      </w:r>
      <w:r w:rsidRPr="002D3EC6">
        <w:rPr>
          <w:rFonts w:ascii="Times New Roman" w:hAnsi="Times New Roman"/>
          <w:sz w:val="24"/>
          <w:szCs w:val="24"/>
        </w:rPr>
        <w:t xml:space="preserve">(10), 486–503. </w:t>
      </w:r>
      <w:hyperlink r:id="rId82" w:history="1">
        <w:r w:rsidRPr="002D3EC6">
          <w:rPr>
            <w:rFonts w:ascii="Times New Roman" w:hAnsi="Times New Roman"/>
            <w:color w:val="0000FF"/>
            <w:sz w:val="24"/>
            <w:szCs w:val="24"/>
            <w:u w:val="single"/>
          </w:rPr>
          <w:t>https://doi.org/10.17221/3294-VETMED</w:t>
        </w:r>
      </w:hyperlink>
    </w:p>
    <w:p w14:paraId="6A4A8762"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Vallejos-Vidal, E., Reyes-López, F., Teles, M., &amp; MacKenzie, S. (2016). The response of fish to immunostimulant diets. </w:t>
      </w:r>
      <w:r w:rsidRPr="002D3EC6">
        <w:rPr>
          <w:rFonts w:ascii="Times New Roman" w:hAnsi="Times New Roman"/>
          <w:i/>
          <w:iCs/>
          <w:sz w:val="24"/>
          <w:szCs w:val="24"/>
        </w:rPr>
        <w:t>Fish &amp; Shellfish Immunology, 56</w:t>
      </w:r>
      <w:r w:rsidRPr="002D3EC6">
        <w:rPr>
          <w:rFonts w:ascii="Times New Roman" w:hAnsi="Times New Roman"/>
          <w:sz w:val="24"/>
          <w:szCs w:val="24"/>
        </w:rPr>
        <w:t xml:space="preserve">, 34–69. </w:t>
      </w:r>
      <w:hyperlink r:id="rId83" w:history="1">
        <w:r w:rsidRPr="002D3EC6">
          <w:rPr>
            <w:rFonts w:ascii="Times New Roman" w:hAnsi="Times New Roman"/>
            <w:color w:val="0000FF"/>
            <w:sz w:val="24"/>
            <w:szCs w:val="24"/>
            <w:u w:val="single"/>
          </w:rPr>
          <w:t>https://doi.org/10.1016/j.fsi.2016.06.028</w:t>
        </w:r>
      </w:hyperlink>
    </w:p>
    <w:p w14:paraId="4838BD5A"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Van Doan, H., </w:t>
      </w:r>
      <w:proofErr w:type="spellStart"/>
      <w:r w:rsidRPr="002D3EC6">
        <w:rPr>
          <w:rFonts w:ascii="Times New Roman" w:hAnsi="Times New Roman"/>
          <w:sz w:val="24"/>
          <w:szCs w:val="24"/>
        </w:rPr>
        <w:t>Hoseinifar</w:t>
      </w:r>
      <w:proofErr w:type="spellEnd"/>
      <w:r w:rsidRPr="002D3EC6">
        <w:rPr>
          <w:rFonts w:ascii="Times New Roman" w:hAnsi="Times New Roman"/>
          <w:sz w:val="24"/>
          <w:szCs w:val="24"/>
        </w:rPr>
        <w:t xml:space="preserve">, S. H., </w:t>
      </w:r>
      <w:proofErr w:type="spellStart"/>
      <w:r w:rsidRPr="002D3EC6">
        <w:rPr>
          <w:rFonts w:ascii="Times New Roman" w:hAnsi="Times New Roman"/>
          <w:sz w:val="24"/>
          <w:szCs w:val="24"/>
        </w:rPr>
        <w:t>Jaturasitha</w:t>
      </w:r>
      <w:proofErr w:type="spellEnd"/>
      <w:r w:rsidRPr="002D3EC6">
        <w:rPr>
          <w:rFonts w:ascii="Times New Roman" w:hAnsi="Times New Roman"/>
          <w:sz w:val="24"/>
          <w:szCs w:val="24"/>
        </w:rPr>
        <w:t>, S., Dawood, M. A. O., &amp; Harikrishnan, R. (2020). The effects of berberine powder supplementation on growth performance, skin mucus immune response, serum immunity, and disease resistance of Nile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fingerlings. </w:t>
      </w:r>
      <w:r w:rsidRPr="002D3EC6">
        <w:rPr>
          <w:rFonts w:ascii="Times New Roman" w:hAnsi="Times New Roman"/>
          <w:i/>
          <w:iCs/>
          <w:sz w:val="24"/>
          <w:szCs w:val="24"/>
        </w:rPr>
        <w:t>Aquaculture, 520</w:t>
      </w:r>
      <w:r w:rsidRPr="002D3EC6">
        <w:rPr>
          <w:rFonts w:ascii="Times New Roman" w:hAnsi="Times New Roman"/>
          <w:sz w:val="24"/>
          <w:szCs w:val="24"/>
        </w:rPr>
        <w:t xml:space="preserve">, Article 734927. </w:t>
      </w:r>
      <w:hyperlink r:id="rId84" w:history="1">
        <w:r w:rsidRPr="002D3EC6">
          <w:rPr>
            <w:rFonts w:ascii="Times New Roman" w:hAnsi="Times New Roman"/>
            <w:color w:val="0000FF"/>
            <w:sz w:val="24"/>
            <w:szCs w:val="24"/>
            <w:u w:val="single"/>
          </w:rPr>
          <w:t>https://doi.org/10.1016/j.aquaculture.2020.734927</w:t>
        </w:r>
      </w:hyperlink>
    </w:p>
    <w:p w14:paraId="43C4FE1C"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Vladimirov, V. L. (1968). Immunity in fish. </w:t>
      </w:r>
      <w:r w:rsidRPr="002D3EC6">
        <w:rPr>
          <w:rFonts w:ascii="Times New Roman" w:hAnsi="Times New Roman"/>
          <w:i/>
          <w:iCs/>
          <w:sz w:val="24"/>
          <w:szCs w:val="24"/>
        </w:rPr>
        <w:t xml:space="preserve">Bulletin de </w:t>
      </w:r>
      <w:proofErr w:type="spellStart"/>
      <w:r w:rsidRPr="002D3EC6">
        <w:rPr>
          <w:rFonts w:ascii="Times New Roman" w:hAnsi="Times New Roman"/>
          <w:i/>
          <w:iCs/>
          <w:sz w:val="24"/>
          <w:szCs w:val="24"/>
        </w:rPr>
        <w:t>l’Office</w:t>
      </w:r>
      <w:proofErr w:type="spellEnd"/>
      <w:r w:rsidRPr="002D3EC6">
        <w:rPr>
          <w:rFonts w:ascii="Times New Roman" w:hAnsi="Times New Roman"/>
          <w:i/>
          <w:iCs/>
          <w:sz w:val="24"/>
          <w:szCs w:val="24"/>
        </w:rPr>
        <w:t xml:space="preserve"> International des </w:t>
      </w:r>
      <w:proofErr w:type="spellStart"/>
      <w:r w:rsidRPr="002D3EC6">
        <w:rPr>
          <w:rFonts w:ascii="Times New Roman" w:hAnsi="Times New Roman"/>
          <w:i/>
          <w:iCs/>
          <w:sz w:val="24"/>
          <w:szCs w:val="24"/>
        </w:rPr>
        <w:t>Épizooties</w:t>
      </w:r>
      <w:proofErr w:type="spellEnd"/>
      <w:r w:rsidRPr="002D3EC6">
        <w:rPr>
          <w:rFonts w:ascii="Times New Roman" w:hAnsi="Times New Roman"/>
          <w:i/>
          <w:iCs/>
          <w:sz w:val="24"/>
          <w:szCs w:val="24"/>
        </w:rPr>
        <w:t>, 69</w:t>
      </w:r>
      <w:r w:rsidRPr="002D3EC6">
        <w:rPr>
          <w:rFonts w:ascii="Times New Roman" w:hAnsi="Times New Roman"/>
          <w:sz w:val="24"/>
          <w:szCs w:val="24"/>
        </w:rPr>
        <w:t xml:space="preserve">(9), 1365–1372. </w:t>
      </w:r>
      <w:hyperlink r:id="rId85" w:history="1">
        <w:r w:rsidRPr="002D3EC6">
          <w:rPr>
            <w:rFonts w:ascii="Times New Roman" w:hAnsi="Times New Roman"/>
            <w:color w:val="0000FF"/>
            <w:sz w:val="24"/>
            <w:szCs w:val="24"/>
            <w:u w:val="single"/>
          </w:rPr>
          <w:t>https://pubmed.ncbi.nlm.nih.gov/5757711/</w:t>
        </w:r>
      </w:hyperlink>
    </w:p>
    <w:p w14:paraId="77555EE5"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World Health Organization. (2023). </w:t>
      </w:r>
      <w:r w:rsidRPr="002D3EC6">
        <w:rPr>
          <w:rFonts w:ascii="Times New Roman" w:hAnsi="Times New Roman"/>
          <w:i/>
          <w:iCs/>
          <w:sz w:val="24"/>
          <w:szCs w:val="24"/>
        </w:rPr>
        <w:t>Antimicrobial resistance</w:t>
      </w:r>
      <w:r w:rsidRPr="002D3EC6">
        <w:rPr>
          <w:rFonts w:ascii="Times New Roman" w:hAnsi="Times New Roman"/>
          <w:sz w:val="24"/>
          <w:szCs w:val="24"/>
        </w:rPr>
        <w:t xml:space="preserve">. </w:t>
      </w:r>
      <w:hyperlink r:id="rId86" w:history="1">
        <w:r w:rsidRPr="002D3EC6">
          <w:rPr>
            <w:rFonts w:ascii="Times New Roman" w:hAnsi="Times New Roman"/>
            <w:color w:val="0000FF"/>
            <w:sz w:val="24"/>
            <w:szCs w:val="24"/>
            <w:u w:val="single"/>
          </w:rPr>
          <w:t>https://www.who.int/news-room/fact-sheets/detail/antimicrobial-resistance</w:t>
        </w:r>
      </w:hyperlink>
    </w:p>
    <w:p w14:paraId="21267885"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lastRenderedPageBreak/>
        <w:t xml:space="preserve">Xie, J., Liu, B., Zhou, Q. L., Su, Y. T., He, Y. J., &amp; Pan, L. K. (2008). Effects of anthraquinone extract from rhubarb, </w:t>
      </w:r>
      <w:r w:rsidRPr="002D3EC6">
        <w:rPr>
          <w:rFonts w:ascii="Times New Roman" w:hAnsi="Times New Roman"/>
          <w:i/>
          <w:iCs/>
          <w:sz w:val="24"/>
          <w:szCs w:val="24"/>
        </w:rPr>
        <w:t>Rheum officinale</w:t>
      </w:r>
      <w:r w:rsidRPr="002D3EC6">
        <w:rPr>
          <w:rFonts w:ascii="Times New Roman" w:hAnsi="Times New Roman"/>
          <w:sz w:val="24"/>
          <w:szCs w:val="24"/>
        </w:rPr>
        <w:t xml:space="preserve"> Bail, on the crowding stress response and growth of common carp, </w:t>
      </w:r>
      <w:r w:rsidRPr="002D3EC6">
        <w:rPr>
          <w:rFonts w:ascii="Times New Roman" w:hAnsi="Times New Roman"/>
          <w:i/>
          <w:iCs/>
          <w:sz w:val="24"/>
          <w:szCs w:val="24"/>
        </w:rPr>
        <w:t>Cyprinus carpio</w:t>
      </w:r>
      <w:r w:rsidRPr="002D3EC6">
        <w:rPr>
          <w:rFonts w:ascii="Times New Roman" w:hAnsi="Times New Roman"/>
          <w:sz w:val="24"/>
          <w:szCs w:val="24"/>
        </w:rPr>
        <w:t xml:space="preserve"> var. Jian. </w:t>
      </w:r>
      <w:r w:rsidRPr="002D3EC6">
        <w:rPr>
          <w:rFonts w:ascii="Times New Roman" w:hAnsi="Times New Roman"/>
          <w:i/>
          <w:iCs/>
          <w:sz w:val="24"/>
          <w:szCs w:val="24"/>
        </w:rPr>
        <w:t>Aquaculture, 281</w:t>
      </w:r>
      <w:r w:rsidRPr="002D3EC6">
        <w:rPr>
          <w:rFonts w:ascii="Times New Roman" w:hAnsi="Times New Roman"/>
          <w:sz w:val="24"/>
          <w:szCs w:val="24"/>
        </w:rPr>
        <w:t xml:space="preserve">(1–4), 5–11. </w:t>
      </w:r>
      <w:hyperlink r:id="rId87" w:history="1">
        <w:r w:rsidRPr="002D3EC6">
          <w:rPr>
            <w:rFonts w:ascii="Times New Roman" w:hAnsi="Times New Roman"/>
            <w:color w:val="0000FF"/>
            <w:sz w:val="24"/>
            <w:szCs w:val="24"/>
            <w:u w:val="single"/>
          </w:rPr>
          <w:t>https://doi.org/10.1016/j.aquaculture.2008.03.038</w:t>
        </w:r>
      </w:hyperlink>
    </w:p>
    <w:p w14:paraId="5BEA4D92" w14:textId="46426E9A"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Xu, Z., Parra, D., Gómez, D., Salinas, I., Zhang, Y.-A., von Gersdorff Jørgensen, L., Heinecke, R. D., Buchmann, K., LaPatra, S., &amp; </w:t>
      </w:r>
      <w:proofErr w:type="spellStart"/>
      <w:r w:rsidRPr="002D3EC6">
        <w:rPr>
          <w:rFonts w:ascii="Times New Roman" w:hAnsi="Times New Roman"/>
          <w:sz w:val="24"/>
          <w:szCs w:val="24"/>
        </w:rPr>
        <w:t>Sunyer</w:t>
      </w:r>
      <w:proofErr w:type="spellEnd"/>
      <w:r w:rsidRPr="002D3EC6">
        <w:rPr>
          <w:rFonts w:ascii="Times New Roman" w:hAnsi="Times New Roman"/>
          <w:sz w:val="24"/>
          <w:szCs w:val="24"/>
        </w:rPr>
        <w:t xml:space="preserve">, J. O. (2021). Teleost skin, gill, and gut mucosal immune systems: Evolution, structure, and function. </w:t>
      </w:r>
      <w:r w:rsidRPr="002D3EC6">
        <w:rPr>
          <w:rFonts w:ascii="Times New Roman" w:hAnsi="Times New Roman"/>
          <w:i/>
          <w:iCs/>
          <w:sz w:val="24"/>
          <w:szCs w:val="24"/>
        </w:rPr>
        <w:t>Developmental &amp; Comparative Immunology, 116</w:t>
      </w:r>
      <w:r w:rsidRPr="002D3EC6">
        <w:rPr>
          <w:rFonts w:ascii="Times New Roman" w:hAnsi="Times New Roman"/>
          <w:sz w:val="24"/>
          <w:szCs w:val="24"/>
        </w:rPr>
        <w:t xml:space="preserve">, Article 103919. </w:t>
      </w:r>
      <w:hyperlink r:id="rId88" w:history="1">
        <w:r w:rsidRPr="002D3EC6">
          <w:rPr>
            <w:rFonts w:ascii="Times New Roman" w:hAnsi="Times New Roman"/>
            <w:color w:val="0000FF"/>
            <w:sz w:val="24"/>
            <w:szCs w:val="24"/>
            <w:u w:val="single"/>
          </w:rPr>
          <w:t>https://doi.org/10.1016/j.dci.2020.103919</w:t>
        </w:r>
      </w:hyperlink>
    </w:p>
    <w:p w14:paraId="46AED047" w14:textId="7933FA50"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Yano, T. (1992). Assays of </w:t>
      </w:r>
      <w:proofErr w:type="spellStart"/>
      <w:r w:rsidRPr="002D3EC6">
        <w:rPr>
          <w:rFonts w:ascii="Times New Roman" w:hAnsi="Times New Roman"/>
          <w:sz w:val="24"/>
          <w:szCs w:val="24"/>
        </w:rPr>
        <w:t>haemolytic</w:t>
      </w:r>
      <w:proofErr w:type="spellEnd"/>
      <w:r w:rsidRPr="002D3EC6">
        <w:rPr>
          <w:rFonts w:ascii="Times New Roman" w:hAnsi="Times New Roman"/>
          <w:sz w:val="24"/>
          <w:szCs w:val="24"/>
        </w:rPr>
        <w:t xml:space="preserve"> complement activity. In J. S. Stolen, T. C. Fletcher, D. P. Anderson, S. L. </w:t>
      </w:r>
      <w:proofErr w:type="spellStart"/>
      <w:r w:rsidRPr="002D3EC6">
        <w:rPr>
          <w:rFonts w:ascii="Times New Roman" w:hAnsi="Times New Roman"/>
          <w:sz w:val="24"/>
          <w:szCs w:val="24"/>
        </w:rPr>
        <w:t>Kaattari</w:t>
      </w:r>
      <w:proofErr w:type="spellEnd"/>
      <w:r w:rsidRPr="002D3EC6">
        <w:rPr>
          <w:rFonts w:ascii="Times New Roman" w:hAnsi="Times New Roman"/>
          <w:sz w:val="24"/>
          <w:szCs w:val="24"/>
        </w:rPr>
        <w:t xml:space="preserve">, &amp; A. F. Rowley (Eds.), </w:t>
      </w:r>
      <w:r w:rsidRPr="002D3EC6">
        <w:rPr>
          <w:rFonts w:ascii="Times New Roman" w:hAnsi="Times New Roman"/>
          <w:i/>
          <w:iCs/>
          <w:sz w:val="24"/>
          <w:szCs w:val="24"/>
        </w:rPr>
        <w:t>Techniques in fish immunology</w:t>
      </w:r>
      <w:r w:rsidRPr="002D3EC6">
        <w:rPr>
          <w:rFonts w:ascii="Times New Roman" w:hAnsi="Times New Roman"/>
          <w:sz w:val="24"/>
          <w:szCs w:val="24"/>
        </w:rPr>
        <w:t xml:space="preserve"> (pp. 131–141). SOS Publications. </w:t>
      </w:r>
    </w:p>
    <w:p w14:paraId="3B78FF65"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lang w:val="nl-BE"/>
        </w:rPr>
        <w:t xml:space="preserve">Yao, Y.-Y., Chen, D.-D., Cui, Z.-W., Zhang, X.-Y., Zhou, Y.-Y., Guo, X., Li, A.-H., &amp; Zhang, Y.-A. (2019). </w:t>
      </w:r>
      <w:r w:rsidRPr="002D3EC6">
        <w:rPr>
          <w:rFonts w:ascii="Times New Roman" w:hAnsi="Times New Roman"/>
          <w:sz w:val="24"/>
          <w:szCs w:val="24"/>
        </w:rPr>
        <w:t xml:space="preserve">Oral vaccination of tilapia against </w:t>
      </w:r>
      <w:r w:rsidRPr="002D3EC6">
        <w:rPr>
          <w:rFonts w:ascii="Times New Roman" w:hAnsi="Times New Roman"/>
          <w:i/>
          <w:iCs/>
          <w:sz w:val="24"/>
          <w:szCs w:val="24"/>
        </w:rPr>
        <w:t>Streptococcus agalactiae</w:t>
      </w:r>
      <w:r w:rsidRPr="002D3EC6">
        <w:rPr>
          <w:rFonts w:ascii="Times New Roman" w:hAnsi="Times New Roman"/>
          <w:sz w:val="24"/>
          <w:szCs w:val="24"/>
        </w:rPr>
        <w:t xml:space="preserve"> using </w:t>
      </w:r>
      <w:r w:rsidRPr="002D3EC6">
        <w:rPr>
          <w:rFonts w:ascii="Times New Roman" w:hAnsi="Times New Roman"/>
          <w:i/>
          <w:iCs/>
          <w:sz w:val="24"/>
          <w:szCs w:val="24"/>
        </w:rPr>
        <w:t>Bacillus subtilis</w:t>
      </w:r>
      <w:r w:rsidRPr="002D3EC6">
        <w:rPr>
          <w:rFonts w:ascii="Times New Roman" w:hAnsi="Times New Roman"/>
          <w:sz w:val="24"/>
          <w:szCs w:val="24"/>
        </w:rPr>
        <w:t xml:space="preserve"> spores expressing Sip. </w:t>
      </w:r>
      <w:r w:rsidRPr="002D3EC6">
        <w:rPr>
          <w:rFonts w:ascii="Times New Roman" w:hAnsi="Times New Roman"/>
          <w:i/>
          <w:iCs/>
          <w:sz w:val="24"/>
          <w:szCs w:val="24"/>
        </w:rPr>
        <w:t>Fish &amp; Shellfish Immunology, 86</w:t>
      </w:r>
      <w:r w:rsidRPr="002D3EC6">
        <w:rPr>
          <w:rFonts w:ascii="Times New Roman" w:hAnsi="Times New Roman"/>
          <w:sz w:val="24"/>
          <w:szCs w:val="24"/>
        </w:rPr>
        <w:t xml:space="preserve">, 999–1008. </w:t>
      </w:r>
      <w:hyperlink r:id="rId89" w:history="1">
        <w:r w:rsidRPr="002D3EC6">
          <w:rPr>
            <w:rFonts w:ascii="Times New Roman" w:hAnsi="Times New Roman"/>
            <w:color w:val="0000FF"/>
            <w:sz w:val="24"/>
            <w:szCs w:val="24"/>
            <w:u w:val="single"/>
          </w:rPr>
          <w:t>https://doi.org/10.1016/j.fsi.2018.12.060</w:t>
        </w:r>
      </w:hyperlink>
    </w:p>
    <w:p w14:paraId="2BEAAA19" w14:textId="77777777" w:rsidR="002D3EC6" w:rsidRPr="002D3EC6" w:rsidRDefault="002D3EC6" w:rsidP="002D3EC6">
      <w:pPr>
        <w:spacing w:before="100" w:beforeAutospacing="1" w:after="100" w:afterAutospacing="1"/>
        <w:ind w:left="540" w:hanging="540"/>
        <w:jc w:val="both"/>
        <w:rPr>
          <w:rFonts w:ascii="Times New Roman" w:hAnsi="Times New Roman"/>
          <w:sz w:val="24"/>
          <w:szCs w:val="24"/>
        </w:rPr>
      </w:pPr>
      <w:r w:rsidRPr="002D3EC6">
        <w:rPr>
          <w:rFonts w:ascii="Times New Roman" w:hAnsi="Times New Roman"/>
          <w:sz w:val="24"/>
          <w:szCs w:val="24"/>
        </w:rPr>
        <w:t xml:space="preserve">Zhang, J., Geng, M., Xiao, J., Chen, L., Cao, Y., Li, K., Yang, J., &amp; Wei, X. (2024). Comparative analysis of T-cell immunity between </w:t>
      </w:r>
      <w:r w:rsidRPr="002D3EC6">
        <w:rPr>
          <w:rFonts w:ascii="Times New Roman" w:hAnsi="Times New Roman"/>
          <w:i/>
          <w:iCs/>
          <w:sz w:val="24"/>
          <w:szCs w:val="24"/>
        </w:rPr>
        <w:t>Streptococcus agalactiae</w:t>
      </w:r>
      <w:r w:rsidRPr="002D3EC6">
        <w:rPr>
          <w:rFonts w:ascii="Times New Roman" w:hAnsi="Times New Roman"/>
          <w:sz w:val="24"/>
          <w:szCs w:val="24"/>
        </w:rPr>
        <w:t>-susceptible and -resistant tilapia (</w:t>
      </w:r>
      <w:r w:rsidRPr="002D3EC6">
        <w:rPr>
          <w:rFonts w:ascii="Times New Roman" w:hAnsi="Times New Roman"/>
          <w:i/>
          <w:iCs/>
          <w:sz w:val="24"/>
          <w:szCs w:val="24"/>
        </w:rPr>
        <w:t>Oreochromis niloticus</w:t>
      </w:r>
      <w:r w:rsidRPr="002D3EC6">
        <w:rPr>
          <w:rFonts w:ascii="Times New Roman" w:hAnsi="Times New Roman"/>
          <w:sz w:val="24"/>
          <w:szCs w:val="24"/>
        </w:rPr>
        <w:t xml:space="preserve">). </w:t>
      </w:r>
      <w:r w:rsidRPr="002D3EC6">
        <w:rPr>
          <w:rFonts w:ascii="Times New Roman" w:hAnsi="Times New Roman"/>
          <w:i/>
          <w:iCs/>
          <w:sz w:val="24"/>
          <w:szCs w:val="24"/>
        </w:rPr>
        <w:t>Fish &amp; Shellfish Immunology, 154</w:t>
      </w:r>
      <w:r w:rsidRPr="002D3EC6">
        <w:rPr>
          <w:rFonts w:ascii="Times New Roman" w:hAnsi="Times New Roman"/>
          <w:sz w:val="24"/>
          <w:szCs w:val="24"/>
        </w:rPr>
        <w:t xml:space="preserve">, Article 109967. </w:t>
      </w:r>
      <w:hyperlink r:id="rId90" w:history="1">
        <w:r w:rsidRPr="002D3EC6">
          <w:rPr>
            <w:rFonts w:ascii="Times New Roman" w:hAnsi="Times New Roman"/>
            <w:color w:val="0000FF"/>
            <w:sz w:val="24"/>
            <w:szCs w:val="24"/>
            <w:u w:val="single"/>
          </w:rPr>
          <w:t>https://doi.org/10.1016/j.fsi.2024.109967</w:t>
        </w:r>
      </w:hyperlink>
    </w:p>
    <w:p w14:paraId="3DAB3456" w14:textId="77777777" w:rsidR="000C79FC" w:rsidRPr="0070381D" w:rsidRDefault="000C79FC">
      <w:pPr>
        <w:keepNext/>
        <w:keepLines/>
        <w:rPr>
          <w:rFonts w:cs="Arial"/>
          <w:bCs/>
          <w:szCs w:val="28"/>
        </w:rPr>
      </w:pPr>
    </w:p>
    <w:sectPr w:rsidR="000C79FC" w:rsidRPr="0070381D">
      <w:headerReference w:type="default" r:id="rId91"/>
      <w:footerReference w:type="default" r:id="rId92"/>
      <w:pgSz w:w="12240" w:h="15840"/>
      <w:pgMar w:top="1440" w:right="2016" w:bottom="2016" w:left="2016" w:header="720" w:footer="11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81254" w14:textId="77777777" w:rsidR="000A6C0F" w:rsidRDefault="000A6C0F">
      <w:r>
        <w:separator/>
      </w:r>
    </w:p>
  </w:endnote>
  <w:endnote w:type="continuationSeparator" w:id="0">
    <w:p w14:paraId="0A31B3AB" w14:textId="77777777" w:rsidR="000A6C0F" w:rsidRDefault="000A6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43CCF" w14:textId="77777777" w:rsidR="000C79FC" w:rsidRDefault="000C7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8CCAD" w14:textId="77777777" w:rsidR="000A6C0F" w:rsidRDefault="000A6C0F">
      <w:r>
        <w:separator/>
      </w:r>
    </w:p>
  </w:footnote>
  <w:footnote w:type="continuationSeparator" w:id="0">
    <w:p w14:paraId="00435A19" w14:textId="77777777" w:rsidR="000A6C0F" w:rsidRDefault="000A6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E46A" w14:textId="77777777" w:rsidR="000C79FC" w:rsidRDefault="00000000">
    <w:pPr>
      <w:pStyle w:val="Header"/>
    </w:pPr>
    <w:r>
      <w:rPr>
        <w:noProof/>
      </w:rPr>
      <w:pict w14:anchorId="5DCFC023">
        <v:shapetype id="_x0000_m102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f" fitpath="t"/>
          <v:handles>
            <v:h position="#0,bottomRight" xrange="6629,14971"/>
          </v:handles>
          <o:lock v:ext="edit" text="t" shapetype="t"/>
        </v:shapetype>
      </w:pict>
    </w:r>
    <w:r>
      <w:rPr>
        <w:noProof/>
      </w:rPr>
      <w:pict w14:anchorId="060ADEDA">
        <v:shape id="TextArtObject3" o:spid="_x0000_s1025" type="#_x0000_m1026" style="position:absolute;margin-left:0;margin-top:0;width:520.65pt;height:57.85pt;rotation:315;z-index:251658240;mso-wrap-style:square;mso-wrap-distance-left:9pt;mso-wrap-distance-top:0;mso-wrap-distance-right:9pt;mso-wrap-distance-bottom:0;mso-position-horizontal:center;mso-position-horizontal-relative:margin;mso-position-vertical:center;mso-position-vertical-relative:margin" o:spt="136" adj="10800" path="m@7,l@8,m@5,21600l@6,21600e" fillcolor="silver" stroked="f">
          <v:fill opacity=".5" color2="black" angle="180" type="solid"/>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style="font-family:&quot;Helvetica&quot;;font-size:1pt" fitshape="t" trim="t" fitpath="t" string="UNDER PEER REVIEW"/>
          <v:handles>
            <v:h position="#0,bottomRight" xrange="6629,14971"/>
          </v:handles>
          <o:lock v:ext="edit" text="t" shapetyp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8A1"/>
    <w:multiLevelType w:val="singleLevel"/>
    <w:tmpl w:val="29C4A598"/>
    <w:name w:val="Numbered list 6"/>
    <w:lvl w:ilvl="0">
      <w:start w:val="1"/>
      <w:numFmt w:val="decimal"/>
      <w:lvlText w:val="%1. "/>
      <w:lvlJc w:val="left"/>
      <w:pPr>
        <w:ind w:left="0" w:firstLine="0"/>
      </w:pPr>
      <w:rPr>
        <w:rFonts w:ascii="Helvetica" w:hAnsi="Helvetica"/>
        <w:b w:val="0"/>
        <w:sz w:val="20"/>
        <w:u w:val="none"/>
      </w:rPr>
    </w:lvl>
  </w:abstractNum>
  <w:abstractNum w:abstractNumId="1" w15:restartNumberingAfterBreak="0">
    <w:nsid w:val="086C36BF"/>
    <w:multiLevelType w:val="singleLevel"/>
    <w:tmpl w:val="E9EEE4E4"/>
    <w:name w:val="Numbered list 22"/>
    <w:lvl w:ilvl="0">
      <w:start w:val="1"/>
      <w:numFmt w:val="decimal"/>
      <w:lvlText w:val="%1."/>
      <w:lvlJc w:val="left"/>
      <w:pPr>
        <w:ind w:left="0" w:firstLine="0"/>
      </w:pPr>
    </w:lvl>
  </w:abstractNum>
  <w:abstractNum w:abstractNumId="2" w15:restartNumberingAfterBreak="0">
    <w:nsid w:val="0B9A49E6"/>
    <w:multiLevelType w:val="singleLevel"/>
    <w:tmpl w:val="9FAC365E"/>
    <w:name w:val="Numbered list 4"/>
    <w:lvl w:ilvl="0">
      <w:start w:val="1"/>
      <w:numFmt w:val="decimal"/>
      <w:lvlText w:val="%1. "/>
      <w:lvlJc w:val="left"/>
      <w:pPr>
        <w:ind w:left="0" w:firstLine="0"/>
      </w:pPr>
      <w:rPr>
        <w:rFonts w:ascii="Helvetica" w:hAnsi="Helvetica"/>
        <w:b w:val="0"/>
        <w:sz w:val="20"/>
        <w:u w:val="none"/>
      </w:rPr>
    </w:lvl>
  </w:abstractNum>
  <w:abstractNum w:abstractNumId="3" w15:restartNumberingAfterBreak="0">
    <w:nsid w:val="17FD7D53"/>
    <w:multiLevelType w:val="hybridMultilevel"/>
    <w:tmpl w:val="3EE688D6"/>
    <w:name w:val="Numbered list 11"/>
    <w:lvl w:ilvl="0" w:tplc="DC24011C">
      <w:numFmt w:val="bullet"/>
      <w:lvlText w:val=""/>
      <w:lvlJc w:val="left"/>
      <w:pPr>
        <w:ind w:left="360" w:firstLine="0"/>
      </w:pPr>
      <w:rPr>
        <w:rFonts w:ascii="Symbol" w:hAnsi="Symbol"/>
        <w:sz w:val="20"/>
      </w:rPr>
    </w:lvl>
    <w:lvl w:ilvl="1" w:tplc="F36ABCE8">
      <w:numFmt w:val="bullet"/>
      <w:lvlText w:val="o"/>
      <w:lvlJc w:val="left"/>
      <w:pPr>
        <w:ind w:left="1080" w:firstLine="0"/>
      </w:pPr>
      <w:rPr>
        <w:rFonts w:ascii="Courier New" w:hAnsi="Courier New"/>
        <w:sz w:val="20"/>
      </w:rPr>
    </w:lvl>
    <w:lvl w:ilvl="2" w:tplc="BC302A32">
      <w:numFmt w:val="bullet"/>
      <w:lvlText w:val=""/>
      <w:lvlJc w:val="left"/>
      <w:pPr>
        <w:ind w:left="1800" w:firstLine="0"/>
      </w:pPr>
      <w:rPr>
        <w:rFonts w:ascii="Wingdings" w:eastAsia="Wingdings" w:hAnsi="Wingdings" w:cs="Wingdings"/>
        <w:sz w:val="20"/>
      </w:rPr>
    </w:lvl>
    <w:lvl w:ilvl="3" w:tplc="3C18C130">
      <w:numFmt w:val="bullet"/>
      <w:lvlText w:val=""/>
      <w:lvlJc w:val="left"/>
      <w:pPr>
        <w:ind w:left="2520" w:firstLine="0"/>
      </w:pPr>
      <w:rPr>
        <w:rFonts w:ascii="Wingdings" w:eastAsia="Wingdings" w:hAnsi="Wingdings" w:cs="Wingdings"/>
        <w:sz w:val="20"/>
      </w:rPr>
    </w:lvl>
    <w:lvl w:ilvl="4" w:tplc="C22E06FA">
      <w:numFmt w:val="bullet"/>
      <w:lvlText w:val=""/>
      <w:lvlJc w:val="left"/>
      <w:pPr>
        <w:ind w:left="3240" w:firstLine="0"/>
      </w:pPr>
      <w:rPr>
        <w:rFonts w:ascii="Wingdings" w:eastAsia="Wingdings" w:hAnsi="Wingdings" w:cs="Wingdings"/>
        <w:sz w:val="20"/>
      </w:rPr>
    </w:lvl>
    <w:lvl w:ilvl="5" w:tplc="0FFA5F32">
      <w:numFmt w:val="bullet"/>
      <w:lvlText w:val=""/>
      <w:lvlJc w:val="left"/>
      <w:pPr>
        <w:ind w:left="3960" w:firstLine="0"/>
      </w:pPr>
      <w:rPr>
        <w:rFonts w:ascii="Wingdings" w:eastAsia="Wingdings" w:hAnsi="Wingdings" w:cs="Wingdings"/>
        <w:sz w:val="20"/>
      </w:rPr>
    </w:lvl>
    <w:lvl w:ilvl="6" w:tplc="5A306F2A">
      <w:numFmt w:val="bullet"/>
      <w:lvlText w:val=""/>
      <w:lvlJc w:val="left"/>
      <w:pPr>
        <w:ind w:left="4680" w:firstLine="0"/>
      </w:pPr>
      <w:rPr>
        <w:rFonts w:ascii="Wingdings" w:eastAsia="Wingdings" w:hAnsi="Wingdings" w:cs="Wingdings"/>
        <w:sz w:val="20"/>
      </w:rPr>
    </w:lvl>
    <w:lvl w:ilvl="7" w:tplc="0CF2ED80">
      <w:numFmt w:val="bullet"/>
      <w:lvlText w:val=""/>
      <w:lvlJc w:val="left"/>
      <w:pPr>
        <w:ind w:left="5400" w:firstLine="0"/>
      </w:pPr>
      <w:rPr>
        <w:rFonts w:ascii="Wingdings" w:eastAsia="Wingdings" w:hAnsi="Wingdings" w:cs="Wingdings"/>
        <w:sz w:val="20"/>
      </w:rPr>
    </w:lvl>
    <w:lvl w:ilvl="8" w:tplc="000C4C38">
      <w:numFmt w:val="bullet"/>
      <w:lvlText w:val=""/>
      <w:lvlJc w:val="left"/>
      <w:pPr>
        <w:ind w:left="6120" w:firstLine="0"/>
      </w:pPr>
      <w:rPr>
        <w:rFonts w:ascii="Wingdings" w:eastAsia="Wingdings" w:hAnsi="Wingdings" w:cs="Wingdings"/>
        <w:sz w:val="20"/>
      </w:rPr>
    </w:lvl>
  </w:abstractNum>
  <w:abstractNum w:abstractNumId="4" w15:restartNumberingAfterBreak="0">
    <w:nsid w:val="19ED4BEF"/>
    <w:multiLevelType w:val="singleLevel"/>
    <w:tmpl w:val="BF406C1E"/>
    <w:name w:val="Bullet 32"/>
    <w:lvl w:ilvl="0">
      <w:numFmt w:val="bullet"/>
      <w:lvlText w:val=""/>
      <w:lvlJc w:val="left"/>
      <w:pPr>
        <w:ind w:left="0" w:firstLine="0"/>
      </w:pPr>
      <w:rPr>
        <w:rFonts w:ascii="Wingdings" w:eastAsia="Wingdings" w:hAnsi="Wingdings" w:cs="Wingdings"/>
      </w:rPr>
    </w:lvl>
  </w:abstractNum>
  <w:abstractNum w:abstractNumId="5" w15:restartNumberingAfterBreak="0">
    <w:nsid w:val="24DE03B5"/>
    <w:multiLevelType w:val="hybridMultilevel"/>
    <w:tmpl w:val="CBB2FE60"/>
    <w:name w:val="Numbered list 25"/>
    <w:lvl w:ilvl="0" w:tplc="3AD8F130">
      <w:numFmt w:val="bullet"/>
      <w:lvlText w:val=""/>
      <w:lvlJc w:val="left"/>
      <w:pPr>
        <w:ind w:left="360" w:firstLine="0"/>
      </w:pPr>
      <w:rPr>
        <w:rFonts w:ascii="Symbol" w:hAnsi="Symbol"/>
        <w:sz w:val="20"/>
      </w:rPr>
    </w:lvl>
    <w:lvl w:ilvl="1" w:tplc="6434AAE0">
      <w:numFmt w:val="bullet"/>
      <w:lvlText w:val="o"/>
      <w:lvlJc w:val="left"/>
      <w:pPr>
        <w:ind w:left="1080" w:firstLine="0"/>
      </w:pPr>
      <w:rPr>
        <w:rFonts w:ascii="Courier New" w:hAnsi="Courier New"/>
        <w:sz w:val="20"/>
      </w:rPr>
    </w:lvl>
    <w:lvl w:ilvl="2" w:tplc="08783794">
      <w:numFmt w:val="bullet"/>
      <w:lvlText w:val=""/>
      <w:lvlJc w:val="left"/>
      <w:pPr>
        <w:ind w:left="1800" w:firstLine="0"/>
      </w:pPr>
      <w:rPr>
        <w:rFonts w:ascii="Wingdings" w:eastAsia="Wingdings" w:hAnsi="Wingdings" w:cs="Wingdings"/>
        <w:sz w:val="20"/>
      </w:rPr>
    </w:lvl>
    <w:lvl w:ilvl="3" w:tplc="AC7A5552">
      <w:numFmt w:val="bullet"/>
      <w:lvlText w:val=""/>
      <w:lvlJc w:val="left"/>
      <w:pPr>
        <w:ind w:left="2520" w:firstLine="0"/>
      </w:pPr>
      <w:rPr>
        <w:rFonts w:ascii="Wingdings" w:eastAsia="Wingdings" w:hAnsi="Wingdings" w:cs="Wingdings"/>
        <w:sz w:val="20"/>
      </w:rPr>
    </w:lvl>
    <w:lvl w:ilvl="4" w:tplc="8000FF8C">
      <w:numFmt w:val="bullet"/>
      <w:lvlText w:val=""/>
      <w:lvlJc w:val="left"/>
      <w:pPr>
        <w:ind w:left="3240" w:firstLine="0"/>
      </w:pPr>
      <w:rPr>
        <w:rFonts w:ascii="Wingdings" w:eastAsia="Wingdings" w:hAnsi="Wingdings" w:cs="Wingdings"/>
        <w:sz w:val="20"/>
      </w:rPr>
    </w:lvl>
    <w:lvl w:ilvl="5" w:tplc="54406FA6">
      <w:numFmt w:val="bullet"/>
      <w:lvlText w:val=""/>
      <w:lvlJc w:val="left"/>
      <w:pPr>
        <w:ind w:left="3960" w:firstLine="0"/>
      </w:pPr>
      <w:rPr>
        <w:rFonts w:ascii="Wingdings" w:eastAsia="Wingdings" w:hAnsi="Wingdings" w:cs="Wingdings"/>
        <w:sz w:val="20"/>
      </w:rPr>
    </w:lvl>
    <w:lvl w:ilvl="6" w:tplc="A1F4B182">
      <w:numFmt w:val="bullet"/>
      <w:lvlText w:val=""/>
      <w:lvlJc w:val="left"/>
      <w:pPr>
        <w:ind w:left="4680" w:firstLine="0"/>
      </w:pPr>
      <w:rPr>
        <w:rFonts w:ascii="Wingdings" w:eastAsia="Wingdings" w:hAnsi="Wingdings" w:cs="Wingdings"/>
        <w:sz w:val="20"/>
      </w:rPr>
    </w:lvl>
    <w:lvl w:ilvl="7" w:tplc="72826934">
      <w:numFmt w:val="bullet"/>
      <w:lvlText w:val=""/>
      <w:lvlJc w:val="left"/>
      <w:pPr>
        <w:ind w:left="5400" w:firstLine="0"/>
      </w:pPr>
      <w:rPr>
        <w:rFonts w:ascii="Wingdings" w:eastAsia="Wingdings" w:hAnsi="Wingdings" w:cs="Wingdings"/>
        <w:sz w:val="20"/>
      </w:rPr>
    </w:lvl>
    <w:lvl w:ilvl="8" w:tplc="4940A69C">
      <w:numFmt w:val="bullet"/>
      <w:lvlText w:val=""/>
      <w:lvlJc w:val="left"/>
      <w:pPr>
        <w:ind w:left="6120" w:firstLine="0"/>
      </w:pPr>
      <w:rPr>
        <w:rFonts w:ascii="Wingdings" w:eastAsia="Wingdings" w:hAnsi="Wingdings" w:cs="Wingdings"/>
        <w:sz w:val="20"/>
      </w:rPr>
    </w:lvl>
  </w:abstractNum>
  <w:abstractNum w:abstractNumId="6" w15:restartNumberingAfterBreak="0">
    <w:nsid w:val="25AC00E0"/>
    <w:multiLevelType w:val="singleLevel"/>
    <w:tmpl w:val="6DD62686"/>
    <w:name w:val="Numbered list 19"/>
    <w:lvl w:ilvl="0">
      <w:start w:val="1"/>
      <w:numFmt w:val="decimal"/>
      <w:lvlText w:val="%1. "/>
      <w:lvlJc w:val="left"/>
      <w:pPr>
        <w:ind w:left="0" w:firstLine="0"/>
      </w:pPr>
      <w:rPr>
        <w:rFonts w:ascii="Helvetica" w:hAnsi="Helvetica"/>
        <w:b w:val="0"/>
        <w:sz w:val="20"/>
        <w:u w:val="none"/>
      </w:rPr>
    </w:lvl>
  </w:abstractNum>
  <w:abstractNum w:abstractNumId="7" w15:restartNumberingAfterBreak="0">
    <w:nsid w:val="27DA0EEB"/>
    <w:multiLevelType w:val="singleLevel"/>
    <w:tmpl w:val="F118A6C2"/>
    <w:name w:val="Numbered list 20"/>
    <w:lvl w:ilvl="0">
      <w:start w:val="1"/>
      <w:numFmt w:val="decimal"/>
      <w:pStyle w:val="Reference"/>
      <w:lvlText w:val="%1."/>
      <w:lvlJc w:val="left"/>
      <w:pPr>
        <w:ind w:left="0" w:firstLine="0"/>
      </w:pPr>
    </w:lvl>
  </w:abstractNum>
  <w:abstractNum w:abstractNumId="8" w15:restartNumberingAfterBreak="0">
    <w:nsid w:val="2A180C4F"/>
    <w:multiLevelType w:val="singleLevel"/>
    <w:tmpl w:val="BB2C02B2"/>
    <w:name w:val="Numbered list 31"/>
    <w:lvl w:ilvl="0">
      <w:numFmt w:val="bullet"/>
      <w:lvlText w:val=""/>
      <w:lvlJc w:val="left"/>
      <w:pPr>
        <w:ind w:left="0" w:firstLine="0"/>
      </w:pPr>
      <w:rPr>
        <w:rFonts w:ascii="Wingdings" w:hAnsi="Wingdings"/>
        <w:sz w:val="16"/>
      </w:rPr>
    </w:lvl>
  </w:abstractNum>
  <w:abstractNum w:abstractNumId="9" w15:restartNumberingAfterBreak="0">
    <w:nsid w:val="2ADB5A22"/>
    <w:multiLevelType w:val="hybridMultilevel"/>
    <w:tmpl w:val="4B509CE8"/>
    <w:name w:val="Numbered list 5"/>
    <w:lvl w:ilvl="0" w:tplc="E0407B44">
      <w:numFmt w:val="bullet"/>
      <w:lvlText w:val=""/>
      <w:lvlJc w:val="left"/>
      <w:pPr>
        <w:ind w:left="360" w:firstLine="0"/>
      </w:pPr>
      <w:rPr>
        <w:rFonts w:ascii="Wingdings" w:hAnsi="Wingdings"/>
      </w:rPr>
    </w:lvl>
    <w:lvl w:ilvl="1" w:tplc="6F020626">
      <w:numFmt w:val="bullet"/>
      <w:lvlText w:val="o"/>
      <w:lvlJc w:val="left"/>
      <w:pPr>
        <w:ind w:left="1080" w:firstLine="0"/>
      </w:pPr>
      <w:rPr>
        <w:rFonts w:ascii="Courier New" w:hAnsi="Courier New" w:cs="Courier New"/>
      </w:rPr>
    </w:lvl>
    <w:lvl w:ilvl="2" w:tplc="44CEE7C2">
      <w:numFmt w:val="bullet"/>
      <w:lvlText w:val=""/>
      <w:lvlJc w:val="left"/>
      <w:pPr>
        <w:ind w:left="1800" w:firstLine="0"/>
      </w:pPr>
      <w:rPr>
        <w:rFonts w:ascii="Wingdings" w:eastAsia="Wingdings" w:hAnsi="Wingdings" w:cs="Wingdings"/>
      </w:rPr>
    </w:lvl>
    <w:lvl w:ilvl="3" w:tplc="81CCE004">
      <w:numFmt w:val="bullet"/>
      <w:lvlText w:val=""/>
      <w:lvlJc w:val="left"/>
      <w:pPr>
        <w:ind w:left="2520" w:firstLine="0"/>
      </w:pPr>
      <w:rPr>
        <w:rFonts w:ascii="Symbol" w:hAnsi="Symbol"/>
      </w:rPr>
    </w:lvl>
    <w:lvl w:ilvl="4" w:tplc="8F7ADBEA">
      <w:numFmt w:val="bullet"/>
      <w:lvlText w:val="o"/>
      <w:lvlJc w:val="left"/>
      <w:pPr>
        <w:ind w:left="3240" w:firstLine="0"/>
      </w:pPr>
      <w:rPr>
        <w:rFonts w:ascii="Courier New" w:hAnsi="Courier New" w:cs="Courier New"/>
      </w:rPr>
    </w:lvl>
    <w:lvl w:ilvl="5" w:tplc="4EBAAD70">
      <w:numFmt w:val="bullet"/>
      <w:lvlText w:val=""/>
      <w:lvlJc w:val="left"/>
      <w:pPr>
        <w:ind w:left="3960" w:firstLine="0"/>
      </w:pPr>
      <w:rPr>
        <w:rFonts w:ascii="Wingdings" w:eastAsia="Wingdings" w:hAnsi="Wingdings" w:cs="Wingdings"/>
      </w:rPr>
    </w:lvl>
    <w:lvl w:ilvl="6" w:tplc="2D80F79A">
      <w:numFmt w:val="bullet"/>
      <w:lvlText w:val=""/>
      <w:lvlJc w:val="left"/>
      <w:pPr>
        <w:ind w:left="4680" w:firstLine="0"/>
      </w:pPr>
      <w:rPr>
        <w:rFonts w:ascii="Symbol" w:hAnsi="Symbol"/>
      </w:rPr>
    </w:lvl>
    <w:lvl w:ilvl="7" w:tplc="7B10B7C0">
      <w:numFmt w:val="bullet"/>
      <w:lvlText w:val="o"/>
      <w:lvlJc w:val="left"/>
      <w:pPr>
        <w:ind w:left="5400" w:firstLine="0"/>
      </w:pPr>
      <w:rPr>
        <w:rFonts w:ascii="Courier New" w:hAnsi="Courier New" w:cs="Courier New"/>
      </w:rPr>
    </w:lvl>
    <w:lvl w:ilvl="8" w:tplc="CF64EE00">
      <w:numFmt w:val="bullet"/>
      <w:lvlText w:val=""/>
      <w:lvlJc w:val="left"/>
      <w:pPr>
        <w:ind w:left="6120" w:firstLine="0"/>
      </w:pPr>
      <w:rPr>
        <w:rFonts w:ascii="Wingdings" w:eastAsia="Wingdings" w:hAnsi="Wingdings" w:cs="Wingdings"/>
      </w:rPr>
    </w:lvl>
  </w:abstractNum>
  <w:abstractNum w:abstractNumId="10" w15:restartNumberingAfterBreak="0">
    <w:nsid w:val="2EA2337A"/>
    <w:multiLevelType w:val="hybridMultilevel"/>
    <w:tmpl w:val="303A67F4"/>
    <w:name w:val="Numbered list 27"/>
    <w:lvl w:ilvl="0" w:tplc="7B04BA20">
      <w:start w:val="1"/>
      <w:numFmt w:val="decimal"/>
      <w:lvlText w:val="%1."/>
      <w:lvlJc w:val="left"/>
      <w:pPr>
        <w:ind w:left="360" w:firstLine="0"/>
      </w:pPr>
    </w:lvl>
    <w:lvl w:ilvl="1" w:tplc="E354989A">
      <w:start w:val="1"/>
      <w:numFmt w:val="lowerLetter"/>
      <w:lvlText w:val="%2."/>
      <w:lvlJc w:val="left"/>
      <w:pPr>
        <w:ind w:left="1080" w:firstLine="0"/>
      </w:pPr>
    </w:lvl>
    <w:lvl w:ilvl="2" w:tplc="DB04AA16">
      <w:start w:val="1"/>
      <w:numFmt w:val="lowerRoman"/>
      <w:lvlText w:val="%3."/>
      <w:lvlJc w:val="right"/>
      <w:pPr>
        <w:ind w:left="1980" w:firstLine="0"/>
      </w:pPr>
    </w:lvl>
    <w:lvl w:ilvl="3" w:tplc="B964AE80">
      <w:start w:val="1"/>
      <w:numFmt w:val="decimal"/>
      <w:lvlText w:val="%4."/>
      <w:lvlJc w:val="left"/>
      <w:pPr>
        <w:ind w:left="2520" w:firstLine="0"/>
      </w:pPr>
    </w:lvl>
    <w:lvl w:ilvl="4" w:tplc="E1341F70">
      <w:start w:val="1"/>
      <w:numFmt w:val="lowerLetter"/>
      <w:lvlText w:val="%5."/>
      <w:lvlJc w:val="left"/>
      <w:pPr>
        <w:ind w:left="3240" w:firstLine="0"/>
      </w:pPr>
    </w:lvl>
    <w:lvl w:ilvl="5" w:tplc="5CB884EA">
      <w:start w:val="1"/>
      <w:numFmt w:val="lowerRoman"/>
      <w:lvlText w:val="%6."/>
      <w:lvlJc w:val="right"/>
      <w:pPr>
        <w:ind w:left="4140" w:firstLine="0"/>
      </w:pPr>
    </w:lvl>
    <w:lvl w:ilvl="6" w:tplc="791814C8">
      <w:start w:val="1"/>
      <w:numFmt w:val="decimal"/>
      <w:lvlText w:val="%7."/>
      <w:lvlJc w:val="left"/>
      <w:pPr>
        <w:ind w:left="4680" w:firstLine="0"/>
      </w:pPr>
    </w:lvl>
    <w:lvl w:ilvl="7" w:tplc="BF106140">
      <w:start w:val="1"/>
      <w:numFmt w:val="lowerLetter"/>
      <w:lvlText w:val="%8."/>
      <w:lvlJc w:val="left"/>
      <w:pPr>
        <w:ind w:left="5400" w:firstLine="0"/>
      </w:pPr>
    </w:lvl>
    <w:lvl w:ilvl="8" w:tplc="38B874B2">
      <w:start w:val="1"/>
      <w:numFmt w:val="lowerRoman"/>
      <w:lvlText w:val="%9."/>
      <w:lvlJc w:val="right"/>
      <w:pPr>
        <w:ind w:left="6300" w:firstLine="0"/>
      </w:pPr>
    </w:lvl>
  </w:abstractNum>
  <w:abstractNum w:abstractNumId="11" w15:restartNumberingAfterBreak="0">
    <w:nsid w:val="2EE2444C"/>
    <w:multiLevelType w:val="hybridMultilevel"/>
    <w:tmpl w:val="92E03352"/>
    <w:name w:val="Numbered list 21"/>
    <w:lvl w:ilvl="0" w:tplc="1AB058C0">
      <w:numFmt w:val="bullet"/>
      <w:lvlText w:val=""/>
      <w:lvlJc w:val="left"/>
      <w:pPr>
        <w:ind w:left="360" w:firstLine="0"/>
      </w:pPr>
      <w:rPr>
        <w:rFonts w:ascii="Symbol" w:hAnsi="Symbol"/>
      </w:rPr>
    </w:lvl>
    <w:lvl w:ilvl="1" w:tplc="4092876C">
      <w:numFmt w:val="bullet"/>
      <w:lvlText w:val="o"/>
      <w:lvlJc w:val="left"/>
      <w:pPr>
        <w:ind w:left="1080" w:firstLine="0"/>
      </w:pPr>
      <w:rPr>
        <w:rFonts w:ascii="Courier New" w:hAnsi="Courier New" w:cs="Courier New"/>
      </w:rPr>
    </w:lvl>
    <w:lvl w:ilvl="2" w:tplc="B3AA12B4">
      <w:numFmt w:val="bullet"/>
      <w:lvlText w:val=""/>
      <w:lvlJc w:val="left"/>
      <w:pPr>
        <w:ind w:left="1800" w:firstLine="0"/>
      </w:pPr>
      <w:rPr>
        <w:rFonts w:ascii="Wingdings" w:eastAsia="Wingdings" w:hAnsi="Wingdings" w:cs="Wingdings"/>
      </w:rPr>
    </w:lvl>
    <w:lvl w:ilvl="3" w:tplc="D00C1CE4">
      <w:numFmt w:val="bullet"/>
      <w:lvlText w:val=""/>
      <w:lvlJc w:val="left"/>
      <w:pPr>
        <w:ind w:left="2520" w:firstLine="0"/>
      </w:pPr>
      <w:rPr>
        <w:rFonts w:ascii="Symbol" w:hAnsi="Symbol"/>
      </w:rPr>
    </w:lvl>
    <w:lvl w:ilvl="4" w:tplc="C0BC5EBA">
      <w:numFmt w:val="bullet"/>
      <w:lvlText w:val="o"/>
      <w:lvlJc w:val="left"/>
      <w:pPr>
        <w:ind w:left="3240" w:firstLine="0"/>
      </w:pPr>
      <w:rPr>
        <w:rFonts w:ascii="Courier New" w:hAnsi="Courier New" w:cs="Courier New"/>
      </w:rPr>
    </w:lvl>
    <w:lvl w:ilvl="5" w:tplc="8CAABE1A">
      <w:numFmt w:val="bullet"/>
      <w:lvlText w:val=""/>
      <w:lvlJc w:val="left"/>
      <w:pPr>
        <w:ind w:left="3960" w:firstLine="0"/>
      </w:pPr>
      <w:rPr>
        <w:rFonts w:ascii="Wingdings" w:eastAsia="Wingdings" w:hAnsi="Wingdings" w:cs="Wingdings"/>
      </w:rPr>
    </w:lvl>
    <w:lvl w:ilvl="6" w:tplc="A50A1C08">
      <w:numFmt w:val="bullet"/>
      <w:lvlText w:val=""/>
      <w:lvlJc w:val="left"/>
      <w:pPr>
        <w:ind w:left="4680" w:firstLine="0"/>
      </w:pPr>
      <w:rPr>
        <w:rFonts w:ascii="Symbol" w:hAnsi="Symbol"/>
      </w:rPr>
    </w:lvl>
    <w:lvl w:ilvl="7" w:tplc="9E5EF046">
      <w:numFmt w:val="bullet"/>
      <w:lvlText w:val="o"/>
      <w:lvlJc w:val="left"/>
      <w:pPr>
        <w:ind w:left="5400" w:firstLine="0"/>
      </w:pPr>
      <w:rPr>
        <w:rFonts w:ascii="Courier New" w:hAnsi="Courier New" w:cs="Courier New"/>
      </w:rPr>
    </w:lvl>
    <w:lvl w:ilvl="8" w:tplc="5E4A938C">
      <w:numFmt w:val="bullet"/>
      <w:lvlText w:val=""/>
      <w:lvlJc w:val="left"/>
      <w:pPr>
        <w:ind w:left="6120" w:firstLine="0"/>
      </w:pPr>
      <w:rPr>
        <w:rFonts w:ascii="Wingdings" w:eastAsia="Wingdings" w:hAnsi="Wingdings" w:cs="Wingdings"/>
      </w:rPr>
    </w:lvl>
  </w:abstractNum>
  <w:abstractNum w:abstractNumId="12" w15:restartNumberingAfterBreak="0">
    <w:nsid w:val="3008663B"/>
    <w:multiLevelType w:val="singleLevel"/>
    <w:tmpl w:val="50AAFDDC"/>
    <w:name w:val="Numbered list 30"/>
    <w:lvl w:ilvl="0">
      <w:numFmt w:val="bullet"/>
      <w:lvlText w:val=""/>
      <w:lvlJc w:val="left"/>
      <w:pPr>
        <w:ind w:left="0" w:firstLine="0"/>
      </w:pPr>
      <w:rPr>
        <w:rFonts w:ascii="Symbol" w:hAnsi="Symbol"/>
      </w:rPr>
    </w:lvl>
  </w:abstractNum>
  <w:abstractNum w:abstractNumId="13" w15:restartNumberingAfterBreak="0">
    <w:nsid w:val="40985066"/>
    <w:multiLevelType w:val="hybridMultilevel"/>
    <w:tmpl w:val="1C3EDF88"/>
    <w:name w:val="Numbered list 32"/>
    <w:lvl w:ilvl="0" w:tplc="0ACEF08E">
      <w:numFmt w:val="none"/>
      <w:lvlText w:val=""/>
      <w:lvlJc w:val="left"/>
      <w:pPr>
        <w:ind w:left="0" w:firstLine="0"/>
      </w:pPr>
    </w:lvl>
    <w:lvl w:ilvl="1" w:tplc="32CAC468">
      <w:numFmt w:val="none"/>
      <w:lvlText w:val=""/>
      <w:lvlJc w:val="left"/>
      <w:pPr>
        <w:ind w:left="0" w:firstLine="0"/>
      </w:pPr>
    </w:lvl>
    <w:lvl w:ilvl="2" w:tplc="86F254E6">
      <w:numFmt w:val="none"/>
      <w:lvlText w:val=""/>
      <w:lvlJc w:val="left"/>
      <w:pPr>
        <w:ind w:left="0" w:firstLine="0"/>
      </w:pPr>
    </w:lvl>
    <w:lvl w:ilvl="3" w:tplc="68FAB064">
      <w:numFmt w:val="none"/>
      <w:lvlText w:val=""/>
      <w:lvlJc w:val="left"/>
      <w:pPr>
        <w:ind w:left="0" w:firstLine="0"/>
      </w:pPr>
    </w:lvl>
    <w:lvl w:ilvl="4" w:tplc="8C145B00">
      <w:numFmt w:val="none"/>
      <w:lvlText w:val=""/>
      <w:lvlJc w:val="left"/>
      <w:pPr>
        <w:ind w:left="0" w:firstLine="0"/>
      </w:pPr>
    </w:lvl>
    <w:lvl w:ilvl="5" w:tplc="8DBAAC82">
      <w:numFmt w:val="none"/>
      <w:lvlText w:val=""/>
      <w:lvlJc w:val="left"/>
      <w:pPr>
        <w:ind w:left="0" w:firstLine="0"/>
      </w:pPr>
    </w:lvl>
    <w:lvl w:ilvl="6" w:tplc="7BEA62AE">
      <w:numFmt w:val="none"/>
      <w:lvlText w:val=""/>
      <w:lvlJc w:val="left"/>
      <w:pPr>
        <w:ind w:left="0" w:firstLine="0"/>
      </w:pPr>
    </w:lvl>
    <w:lvl w:ilvl="7" w:tplc="0A54AE26">
      <w:numFmt w:val="none"/>
      <w:lvlText w:val=""/>
      <w:lvlJc w:val="left"/>
      <w:pPr>
        <w:ind w:left="0" w:firstLine="0"/>
      </w:pPr>
    </w:lvl>
    <w:lvl w:ilvl="8" w:tplc="8C38DD0A">
      <w:numFmt w:val="none"/>
      <w:lvlText w:val=""/>
      <w:lvlJc w:val="left"/>
      <w:pPr>
        <w:ind w:left="0" w:firstLine="0"/>
      </w:pPr>
    </w:lvl>
  </w:abstractNum>
  <w:abstractNum w:abstractNumId="14" w15:restartNumberingAfterBreak="0">
    <w:nsid w:val="454A629E"/>
    <w:multiLevelType w:val="singleLevel"/>
    <w:tmpl w:val="01046336"/>
    <w:name w:val="Numbered list 18"/>
    <w:lvl w:ilvl="0">
      <w:start w:val="1"/>
      <w:numFmt w:val="decimal"/>
      <w:lvlText w:val="%1. "/>
      <w:lvlJc w:val="left"/>
      <w:pPr>
        <w:ind w:left="0" w:firstLine="0"/>
      </w:pPr>
      <w:rPr>
        <w:rFonts w:ascii="Helvetica" w:hAnsi="Helvetica"/>
        <w:b w:val="0"/>
        <w:sz w:val="20"/>
        <w:u w:val="none"/>
      </w:rPr>
    </w:lvl>
  </w:abstractNum>
  <w:abstractNum w:abstractNumId="15" w15:restartNumberingAfterBreak="0">
    <w:nsid w:val="4A37735F"/>
    <w:multiLevelType w:val="singleLevel"/>
    <w:tmpl w:val="8C1EE1F6"/>
    <w:name w:val="Numbered list 3"/>
    <w:lvl w:ilvl="0">
      <w:start w:val="1"/>
      <w:numFmt w:val="decimal"/>
      <w:lvlText w:val="%1. "/>
      <w:lvlJc w:val="left"/>
      <w:pPr>
        <w:ind w:left="0" w:firstLine="0"/>
      </w:pPr>
      <w:rPr>
        <w:rFonts w:ascii="Helvetica" w:hAnsi="Helvetica"/>
        <w:b w:val="0"/>
        <w:sz w:val="20"/>
        <w:u w:val="none"/>
      </w:rPr>
    </w:lvl>
  </w:abstractNum>
  <w:abstractNum w:abstractNumId="16" w15:restartNumberingAfterBreak="0">
    <w:nsid w:val="4B5C5DEE"/>
    <w:multiLevelType w:val="singleLevel"/>
    <w:tmpl w:val="856E45BE"/>
    <w:name w:val="Numbered list 24"/>
    <w:lvl w:ilvl="0">
      <w:start w:val="1"/>
      <w:numFmt w:val="decimal"/>
      <w:lvlText w:val="%1"/>
      <w:lvlJc w:val="left"/>
      <w:pPr>
        <w:ind w:left="0" w:firstLine="0"/>
      </w:pPr>
      <w:rPr>
        <w:rFonts w:ascii="Symbol" w:hAnsi="Symbol"/>
        <w:b w:val="0"/>
        <w:sz w:val="20"/>
      </w:rPr>
    </w:lvl>
  </w:abstractNum>
  <w:abstractNum w:abstractNumId="17" w15:restartNumberingAfterBreak="0">
    <w:nsid w:val="4F0419F3"/>
    <w:multiLevelType w:val="singleLevel"/>
    <w:tmpl w:val="7C1A746C"/>
    <w:name w:val="Numbered list 10"/>
    <w:lvl w:ilvl="0">
      <w:start w:val="1"/>
      <w:numFmt w:val="decimal"/>
      <w:lvlText w:val="%1. "/>
      <w:lvlJc w:val="left"/>
      <w:pPr>
        <w:ind w:left="0" w:firstLine="0"/>
      </w:pPr>
      <w:rPr>
        <w:rFonts w:ascii="Helvetica" w:hAnsi="Helvetica"/>
        <w:b w:val="0"/>
        <w:sz w:val="20"/>
        <w:u w:val="none"/>
      </w:rPr>
    </w:lvl>
  </w:abstractNum>
  <w:abstractNum w:abstractNumId="18" w15:restartNumberingAfterBreak="0">
    <w:nsid w:val="4FDB38D9"/>
    <w:multiLevelType w:val="singleLevel"/>
    <w:tmpl w:val="5C6C28A0"/>
    <w:name w:val="Numbered list 1"/>
    <w:lvl w:ilvl="0">
      <w:numFmt w:val="decimal"/>
      <w:lvlText w:val="*"/>
      <w:lvlJc w:val="left"/>
      <w:pPr>
        <w:ind w:left="0" w:firstLine="0"/>
      </w:pPr>
    </w:lvl>
  </w:abstractNum>
  <w:abstractNum w:abstractNumId="19" w15:restartNumberingAfterBreak="0">
    <w:nsid w:val="51671627"/>
    <w:multiLevelType w:val="hybridMultilevel"/>
    <w:tmpl w:val="F01AB40C"/>
    <w:lvl w:ilvl="0" w:tplc="A94C3420">
      <w:numFmt w:val="none"/>
      <w:lvlText w:val=""/>
      <w:lvlJc w:val="left"/>
      <w:pPr>
        <w:tabs>
          <w:tab w:val="num" w:pos="360"/>
        </w:tabs>
        <w:ind w:left="360" w:hanging="360"/>
      </w:pPr>
    </w:lvl>
    <w:lvl w:ilvl="1" w:tplc="0DB8B846">
      <w:numFmt w:val="none"/>
      <w:lvlText w:val=""/>
      <w:lvlJc w:val="left"/>
      <w:pPr>
        <w:tabs>
          <w:tab w:val="num" w:pos="360"/>
        </w:tabs>
        <w:ind w:left="360" w:hanging="360"/>
      </w:pPr>
    </w:lvl>
    <w:lvl w:ilvl="2" w:tplc="C6A657C2">
      <w:numFmt w:val="none"/>
      <w:lvlText w:val=""/>
      <w:lvlJc w:val="left"/>
      <w:pPr>
        <w:tabs>
          <w:tab w:val="num" w:pos="360"/>
        </w:tabs>
        <w:ind w:left="360" w:hanging="360"/>
      </w:pPr>
    </w:lvl>
    <w:lvl w:ilvl="3" w:tplc="1400C728">
      <w:numFmt w:val="none"/>
      <w:lvlText w:val=""/>
      <w:lvlJc w:val="left"/>
      <w:pPr>
        <w:tabs>
          <w:tab w:val="num" w:pos="360"/>
        </w:tabs>
        <w:ind w:left="360" w:hanging="360"/>
      </w:pPr>
    </w:lvl>
    <w:lvl w:ilvl="4" w:tplc="EBD4D1F2">
      <w:numFmt w:val="none"/>
      <w:lvlText w:val=""/>
      <w:lvlJc w:val="left"/>
      <w:pPr>
        <w:tabs>
          <w:tab w:val="num" w:pos="360"/>
        </w:tabs>
        <w:ind w:left="360" w:hanging="360"/>
      </w:pPr>
    </w:lvl>
    <w:lvl w:ilvl="5" w:tplc="E2600AFC">
      <w:numFmt w:val="none"/>
      <w:lvlText w:val=""/>
      <w:lvlJc w:val="left"/>
      <w:pPr>
        <w:tabs>
          <w:tab w:val="num" w:pos="360"/>
        </w:tabs>
        <w:ind w:left="360" w:hanging="360"/>
      </w:pPr>
    </w:lvl>
    <w:lvl w:ilvl="6" w:tplc="CED09792">
      <w:numFmt w:val="none"/>
      <w:lvlText w:val=""/>
      <w:lvlJc w:val="left"/>
      <w:pPr>
        <w:tabs>
          <w:tab w:val="num" w:pos="360"/>
        </w:tabs>
        <w:ind w:left="360" w:hanging="360"/>
      </w:pPr>
    </w:lvl>
    <w:lvl w:ilvl="7" w:tplc="381CDAC2">
      <w:numFmt w:val="none"/>
      <w:lvlText w:val=""/>
      <w:lvlJc w:val="left"/>
      <w:pPr>
        <w:tabs>
          <w:tab w:val="num" w:pos="360"/>
        </w:tabs>
        <w:ind w:left="360" w:hanging="360"/>
      </w:pPr>
    </w:lvl>
    <w:lvl w:ilvl="8" w:tplc="010EEC84">
      <w:numFmt w:val="none"/>
      <w:lvlText w:val=""/>
      <w:lvlJc w:val="left"/>
      <w:pPr>
        <w:tabs>
          <w:tab w:val="num" w:pos="360"/>
        </w:tabs>
        <w:ind w:left="360" w:hanging="360"/>
      </w:pPr>
    </w:lvl>
  </w:abstractNum>
  <w:abstractNum w:abstractNumId="20" w15:restartNumberingAfterBreak="0">
    <w:nsid w:val="58922529"/>
    <w:multiLevelType w:val="hybridMultilevel"/>
    <w:tmpl w:val="9DAA1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B7288D"/>
    <w:multiLevelType w:val="singleLevel"/>
    <w:tmpl w:val="D04C8588"/>
    <w:name w:val="Numbered list 23"/>
    <w:lvl w:ilvl="0">
      <w:start w:val="1"/>
      <w:numFmt w:val="decimal"/>
      <w:lvlText w:val="%1. "/>
      <w:lvlJc w:val="left"/>
      <w:pPr>
        <w:ind w:left="0" w:firstLine="0"/>
      </w:pPr>
      <w:rPr>
        <w:rFonts w:ascii="Helvetica" w:hAnsi="Helvetica"/>
        <w:b w:val="0"/>
        <w:sz w:val="20"/>
        <w:u w:val="none"/>
      </w:rPr>
    </w:lvl>
  </w:abstractNum>
  <w:abstractNum w:abstractNumId="22" w15:restartNumberingAfterBreak="0">
    <w:nsid w:val="5A856CFB"/>
    <w:multiLevelType w:val="singleLevel"/>
    <w:tmpl w:val="353CB982"/>
    <w:name w:val="Numbered list 9"/>
    <w:lvl w:ilvl="0">
      <w:start w:val="1"/>
      <w:numFmt w:val="decimal"/>
      <w:lvlText w:val="%1. "/>
      <w:lvlJc w:val="left"/>
      <w:pPr>
        <w:ind w:left="0" w:firstLine="0"/>
      </w:pPr>
      <w:rPr>
        <w:rFonts w:ascii="Helvetica" w:hAnsi="Helvetica"/>
        <w:b w:val="0"/>
        <w:sz w:val="20"/>
        <w:u w:val="none"/>
      </w:rPr>
    </w:lvl>
  </w:abstractNum>
  <w:abstractNum w:abstractNumId="23" w15:restartNumberingAfterBreak="0">
    <w:nsid w:val="5EAB0085"/>
    <w:multiLevelType w:val="singleLevel"/>
    <w:tmpl w:val="1FB4C59E"/>
    <w:name w:val="Numbered list 13"/>
    <w:lvl w:ilvl="0">
      <w:start w:val="1"/>
      <w:numFmt w:val="decimal"/>
      <w:lvlText w:val="%1. "/>
      <w:lvlJc w:val="left"/>
      <w:pPr>
        <w:ind w:left="0" w:firstLine="0"/>
      </w:pPr>
      <w:rPr>
        <w:rFonts w:ascii="Helvetica" w:hAnsi="Helvetica"/>
        <w:b w:val="0"/>
        <w:sz w:val="20"/>
        <w:u w:val="none"/>
      </w:rPr>
    </w:lvl>
  </w:abstractNum>
  <w:abstractNum w:abstractNumId="24" w15:restartNumberingAfterBreak="0">
    <w:nsid w:val="608F276A"/>
    <w:multiLevelType w:val="singleLevel"/>
    <w:tmpl w:val="81263476"/>
    <w:name w:val="Numbered list 15"/>
    <w:lvl w:ilvl="0">
      <w:start w:val="1"/>
      <w:numFmt w:val="decimal"/>
      <w:lvlText w:val="%1. "/>
      <w:lvlJc w:val="left"/>
      <w:pPr>
        <w:ind w:left="0" w:firstLine="0"/>
      </w:pPr>
      <w:rPr>
        <w:rFonts w:ascii="Helvetica" w:hAnsi="Helvetica"/>
        <w:b w:val="0"/>
        <w:sz w:val="20"/>
        <w:u w:val="none"/>
      </w:rPr>
    </w:lvl>
  </w:abstractNum>
  <w:abstractNum w:abstractNumId="25" w15:restartNumberingAfterBreak="0">
    <w:nsid w:val="62A92FB0"/>
    <w:multiLevelType w:val="singleLevel"/>
    <w:tmpl w:val="3A52E4D6"/>
    <w:name w:val="Numbered list 14"/>
    <w:lvl w:ilvl="0">
      <w:start w:val="1"/>
      <w:numFmt w:val="decimal"/>
      <w:lvlText w:val="%1. "/>
      <w:lvlJc w:val="left"/>
      <w:pPr>
        <w:ind w:left="0" w:firstLine="0"/>
      </w:pPr>
      <w:rPr>
        <w:rFonts w:ascii="Helvetica" w:hAnsi="Helvetica"/>
        <w:b w:val="0"/>
        <w:sz w:val="20"/>
        <w:u w:val="none"/>
      </w:rPr>
    </w:lvl>
  </w:abstractNum>
  <w:abstractNum w:abstractNumId="26" w15:restartNumberingAfterBreak="0">
    <w:nsid w:val="6BA43720"/>
    <w:multiLevelType w:val="hybridMultilevel"/>
    <w:tmpl w:val="109A53C4"/>
    <w:name w:val="Numbered list 28"/>
    <w:lvl w:ilvl="0" w:tplc="EFE83A98">
      <w:numFmt w:val="bullet"/>
      <w:lvlText w:val=""/>
      <w:lvlJc w:val="left"/>
      <w:pPr>
        <w:ind w:left="360" w:firstLine="0"/>
      </w:pPr>
      <w:rPr>
        <w:rFonts w:ascii="Symbol" w:hAnsi="Symbol"/>
        <w:sz w:val="20"/>
      </w:rPr>
    </w:lvl>
    <w:lvl w:ilvl="1" w:tplc="458EE17A">
      <w:numFmt w:val="bullet"/>
      <w:lvlText w:val="o"/>
      <w:lvlJc w:val="left"/>
      <w:pPr>
        <w:ind w:left="1080" w:firstLine="0"/>
      </w:pPr>
      <w:rPr>
        <w:rFonts w:ascii="Courier New" w:hAnsi="Courier New"/>
        <w:sz w:val="20"/>
      </w:rPr>
    </w:lvl>
    <w:lvl w:ilvl="2" w:tplc="A62099C2">
      <w:numFmt w:val="bullet"/>
      <w:lvlText w:val=""/>
      <w:lvlJc w:val="left"/>
      <w:pPr>
        <w:ind w:left="1800" w:firstLine="0"/>
      </w:pPr>
      <w:rPr>
        <w:rFonts w:ascii="Wingdings" w:eastAsia="Wingdings" w:hAnsi="Wingdings" w:cs="Wingdings"/>
        <w:sz w:val="20"/>
      </w:rPr>
    </w:lvl>
    <w:lvl w:ilvl="3" w:tplc="54C47186">
      <w:numFmt w:val="bullet"/>
      <w:lvlText w:val=""/>
      <w:lvlJc w:val="left"/>
      <w:pPr>
        <w:ind w:left="2520" w:firstLine="0"/>
      </w:pPr>
      <w:rPr>
        <w:rFonts w:ascii="Wingdings" w:eastAsia="Wingdings" w:hAnsi="Wingdings" w:cs="Wingdings"/>
        <w:sz w:val="20"/>
      </w:rPr>
    </w:lvl>
    <w:lvl w:ilvl="4" w:tplc="B546C6A8">
      <w:numFmt w:val="bullet"/>
      <w:lvlText w:val=""/>
      <w:lvlJc w:val="left"/>
      <w:pPr>
        <w:ind w:left="3240" w:firstLine="0"/>
      </w:pPr>
      <w:rPr>
        <w:rFonts w:ascii="Wingdings" w:eastAsia="Wingdings" w:hAnsi="Wingdings" w:cs="Wingdings"/>
        <w:sz w:val="20"/>
      </w:rPr>
    </w:lvl>
    <w:lvl w:ilvl="5" w:tplc="9684AD18">
      <w:numFmt w:val="bullet"/>
      <w:lvlText w:val=""/>
      <w:lvlJc w:val="left"/>
      <w:pPr>
        <w:ind w:left="3960" w:firstLine="0"/>
      </w:pPr>
      <w:rPr>
        <w:rFonts w:ascii="Wingdings" w:eastAsia="Wingdings" w:hAnsi="Wingdings" w:cs="Wingdings"/>
        <w:sz w:val="20"/>
      </w:rPr>
    </w:lvl>
    <w:lvl w:ilvl="6" w:tplc="E6BE9368">
      <w:numFmt w:val="bullet"/>
      <w:lvlText w:val=""/>
      <w:lvlJc w:val="left"/>
      <w:pPr>
        <w:ind w:left="4680" w:firstLine="0"/>
      </w:pPr>
      <w:rPr>
        <w:rFonts w:ascii="Wingdings" w:eastAsia="Wingdings" w:hAnsi="Wingdings" w:cs="Wingdings"/>
        <w:sz w:val="20"/>
      </w:rPr>
    </w:lvl>
    <w:lvl w:ilvl="7" w:tplc="899CD05E">
      <w:numFmt w:val="bullet"/>
      <w:lvlText w:val=""/>
      <w:lvlJc w:val="left"/>
      <w:pPr>
        <w:ind w:left="5400" w:firstLine="0"/>
      </w:pPr>
      <w:rPr>
        <w:rFonts w:ascii="Wingdings" w:eastAsia="Wingdings" w:hAnsi="Wingdings" w:cs="Wingdings"/>
        <w:sz w:val="20"/>
      </w:rPr>
    </w:lvl>
    <w:lvl w:ilvl="8" w:tplc="265AD2A0">
      <w:numFmt w:val="bullet"/>
      <w:lvlText w:val=""/>
      <w:lvlJc w:val="left"/>
      <w:pPr>
        <w:ind w:left="6120" w:firstLine="0"/>
      </w:pPr>
      <w:rPr>
        <w:rFonts w:ascii="Wingdings" w:eastAsia="Wingdings" w:hAnsi="Wingdings" w:cs="Wingdings"/>
        <w:sz w:val="20"/>
      </w:rPr>
    </w:lvl>
  </w:abstractNum>
  <w:abstractNum w:abstractNumId="27" w15:restartNumberingAfterBreak="0">
    <w:nsid w:val="6C722516"/>
    <w:multiLevelType w:val="singleLevel"/>
    <w:tmpl w:val="0F849A66"/>
    <w:name w:val="Numbered list 2"/>
    <w:lvl w:ilvl="0">
      <w:start w:val="1"/>
      <w:numFmt w:val="decimal"/>
      <w:lvlText w:val="%1. "/>
      <w:lvlJc w:val="left"/>
      <w:pPr>
        <w:ind w:left="0" w:firstLine="0"/>
      </w:pPr>
      <w:rPr>
        <w:rFonts w:ascii="Helvetica" w:hAnsi="Helvetica"/>
        <w:b w:val="0"/>
        <w:sz w:val="20"/>
        <w:u w:val="none"/>
      </w:rPr>
    </w:lvl>
  </w:abstractNum>
  <w:abstractNum w:abstractNumId="28" w15:restartNumberingAfterBreak="0">
    <w:nsid w:val="6F805826"/>
    <w:multiLevelType w:val="singleLevel"/>
    <w:tmpl w:val="E7706606"/>
    <w:name w:val="Numbered list 7"/>
    <w:lvl w:ilvl="0">
      <w:start w:val="1"/>
      <w:numFmt w:val="decimal"/>
      <w:lvlText w:val="%1. "/>
      <w:lvlJc w:val="left"/>
      <w:pPr>
        <w:ind w:left="0" w:firstLine="0"/>
      </w:pPr>
      <w:rPr>
        <w:rFonts w:ascii="Helvetica" w:hAnsi="Helvetica"/>
        <w:b w:val="0"/>
        <w:sz w:val="20"/>
        <w:u w:val="none"/>
      </w:rPr>
    </w:lvl>
  </w:abstractNum>
  <w:abstractNum w:abstractNumId="29" w15:restartNumberingAfterBreak="0">
    <w:nsid w:val="71A22E32"/>
    <w:multiLevelType w:val="hybridMultilevel"/>
    <w:tmpl w:val="C586366C"/>
    <w:name w:val="Numbered list 17"/>
    <w:lvl w:ilvl="0" w:tplc="4BB263EC">
      <w:numFmt w:val="bullet"/>
      <w:lvlText w:val="·"/>
      <w:lvlJc w:val="left"/>
      <w:pPr>
        <w:ind w:left="360" w:firstLine="0"/>
      </w:pPr>
      <w:rPr>
        <w:rFonts w:ascii="Arial" w:eastAsia="Times New Roman" w:hAnsi="Arial" w:cs="Arial"/>
      </w:rPr>
    </w:lvl>
    <w:lvl w:ilvl="1" w:tplc="D42C140A">
      <w:numFmt w:val="bullet"/>
      <w:lvlText w:val="o"/>
      <w:lvlJc w:val="left"/>
      <w:pPr>
        <w:ind w:left="1080" w:firstLine="0"/>
      </w:pPr>
      <w:rPr>
        <w:rFonts w:ascii="Courier New" w:hAnsi="Courier New" w:cs="Courier New"/>
      </w:rPr>
    </w:lvl>
    <w:lvl w:ilvl="2" w:tplc="4378AD42">
      <w:numFmt w:val="bullet"/>
      <w:lvlText w:val=""/>
      <w:lvlJc w:val="left"/>
      <w:pPr>
        <w:ind w:left="1800" w:firstLine="0"/>
      </w:pPr>
      <w:rPr>
        <w:rFonts w:ascii="Wingdings" w:eastAsia="Wingdings" w:hAnsi="Wingdings" w:cs="Wingdings"/>
      </w:rPr>
    </w:lvl>
    <w:lvl w:ilvl="3" w:tplc="5A6084F8">
      <w:numFmt w:val="bullet"/>
      <w:lvlText w:val=""/>
      <w:lvlJc w:val="left"/>
      <w:pPr>
        <w:ind w:left="2520" w:firstLine="0"/>
      </w:pPr>
      <w:rPr>
        <w:rFonts w:ascii="Symbol" w:hAnsi="Symbol"/>
      </w:rPr>
    </w:lvl>
    <w:lvl w:ilvl="4" w:tplc="C34A6AFA">
      <w:numFmt w:val="bullet"/>
      <w:lvlText w:val="o"/>
      <w:lvlJc w:val="left"/>
      <w:pPr>
        <w:ind w:left="3240" w:firstLine="0"/>
      </w:pPr>
      <w:rPr>
        <w:rFonts w:ascii="Courier New" w:hAnsi="Courier New" w:cs="Courier New"/>
      </w:rPr>
    </w:lvl>
    <w:lvl w:ilvl="5" w:tplc="977014A6">
      <w:numFmt w:val="bullet"/>
      <w:lvlText w:val=""/>
      <w:lvlJc w:val="left"/>
      <w:pPr>
        <w:ind w:left="3960" w:firstLine="0"/>
      </w:pPr>
      <w:rPr>
        <w:rFonts w:ascii="Wingdings" w:eastAsia="Wingdings" w:hAnsi="Wingdings" w:cs="Wingdings"/>
      </w:rPr>
    </w:lvl>
    <w:lvl w:ilvl="6" w:tplc="8E108C36">
      <w:numFmt w:val="bullet"/>
      <w:lvlText w:val=""/>
      <w:lvlJc w:val="left"/>
      <w:pPr>
        <w:ind w:left="4680" w:firstLine="0"/>
      </w:pPr>
      <w:rPr>
        <w:rFonts w:ascii="Symbol" w:hAnsi="Symbol"/>
      </w:rPr>
    </w:lvl>
    <w:lvl w:ilvl="7" w:tplc="6720D0A6">
      <w:numFmt w:val="bullet"/>
      <w:lvlText w:val="o"/>
      <w:lvlJc w:val="left"/>
      <w:pPr>
        <w:ind w:left="5400" w:firstLine="0"/>
      </w:pPr>
      <w:rPr>
        <w:rFonts w:ascii="Courier New" w:hAnsi="Courier New" w:cs="Courier New"/>
      </w:rPr>
    </w:lvl>
    <w:lvl w:ilvl="8" w:tplc="0982320A">
      <w:numFmt w:val="bullet"/>
      <w:lvlText w:val=""/>
      <w:lvlJc w:val="left"/>
      <w:pPr>
        <w:ind w:left="6120" w:firstLine="0"/>
      </w:pPr>
      <w:rPr>
        <w:rFonts w:ascii="Wingdings" w:eastAsia="Wingdings" w:hAnsi="Wingdings" w:cs="Wingdings"/>
      </w:rPr>
    </w:lvl>
  </w:abstractNum>
  <w:abstractNum w:abstractNumId="30" w15:restartNumberingAfterBreak="0">
    <w:nsid w:val="71F7610B"/>
    <w:multiLevelType w:val="singleLevel"/>
    <w:tmpl w:val="607E2A64"/>
    <w:name w:val="Numbered list 29"/>
    <w:lvl w:ilvl="0">
      <w:start w:val="1"/>
      <w:numFmt w:val="decimal"/>
      <w:lvlText w:val="%1. "/>
      <w:lvlJc w:val="left"/>
      <w:pPr>
        <w:ind w:left="0" w:firstLine="0"/>
      </w:pPr>
      <w:rPr>
        <w:rFonts w:ascii="Helvetica" w:hAnsi="Helvetica"/>
        <w:b w:val="0"/>
        <w:sz w:val="20"/>
        <w:u w:val="none"/>
      </w:rPr>
    </w:lvl>
  </w:abstractNum>
  <w:abstractNum w:abstractNumId="31" w15:restartNumberingAfterBreak="0">
    <w:nsid w:val="78B215A4"/>
    <w:multiLevelType w:val="singleLevel"/>
    <w:tmpl w:val="EAB8550C"/>
    <w:name w:val="Numbered list 26"/>
    <w:lvl w:ilvl="0">
      <w:start w:val="1"/>
      <w:numFmt w:val="decimal"/>
      <w:lvlText w:val="%1. "/>
      <w:lvlJc w:val="left"/>
      <w:pPr>
        <w:ind w:left="0" w:firstLine="0"/>
      </w:pPr>
      <w:rPr>
        <w:rFonts w:ascii="Helvetica" w:hAnsi="Helvetica"/>
        <w:b w:val="0"/>
        <w:sz w:val="20"/>
        <w:u w:val="none"/>
      </w:rPr>
    </w:lvl>
  </w:abstractNum>
  <w:abstractNum w:abstractNumId="32" w15:restartNumberingAfterBreak="0">
    <w:nsid w:val="7A9B5C97"/>
    <w:multiLevelType w:val="singleLevel"/>
    <w:tmpl w:val="B7304DE6"/>
    <w:name w:val="Numbered list 12"/>
    <w:lvl w:ilvl="0">
      <w:start w:val="1"/>
      <w:numFmt w:val="decimal"/>
      <w:lvlText w:val="%1. "/>
      <w:lvlJc w:val="left"/>
      <w:pPr>
        <w:ind w:left="0" w:firstLine="0"/>
      </w:pPr>
      <w:rPr>
        <w:rFonts w:ascii="Helvetica" w:hAnsi="Helvetica"/>
        <w:b w:val="0"/>
        <w:sz w:val="20"/>
        <w:u w:val="none"/>
      </w:rPr>
    </w:lvl>
  </w:abstractNum>
  <w:abstractNum w:abstractNumId="33" w15:restartNumberingAfterBreak="0">
    <w:nsid w:val="7C8963ED"/>
    <w:multiLevelType w:val="singleLevel"/>
    <w:tmpl w:val="A418C3A0"/>
    <w:name w:val="Numbered list 8"/>
    <w:lvl w:ilvl="0">
      <w:start w:val="1"/>
      <w:numFmt w:val="decimal"/>
      <w:lvlText w:val="%1. "/>
      <w:lvlJc w:val="left"/>
      <w:pPr>
        <w:ind w:left="0" w:firstLine="0"/>
      </w:pPr>
      <w:rPr>
        <w:rFonts w:ascii="Helvetica" w:hAnsi="Helvetica"/>
        <w:b w:val="0"/>
        <w:sz w:val="20"/>
        <w:u w:val="none"/>
      </w:rPr>
    </w:lvl>
  </w:abstractNum>
  <w:abstractNum w:abstractNumId="34" w15:restartNumberingAfterBreak="0">
    <w:nsid w:val="7D4C2F04"/>
    <w:multiLevelType w:val="singleLevel"/>
    <w:tmpl w:val="AF803138"/>
    <w:name w:val="Bullet 33"/>
    <w:lvl w:ilvl="0">
      <w:start w:val="1"/>
      <w:numFmt w:val="ordinal"/>
      <w:lvlText w:val="%1"/>
      <w:lvlJc w:val="left"/>
      <w:pPr>
        <w:ind w:left="0" w:firstLine="0"/>
      </w:pPr>
    </w:lvl>
  </w:abstractNum>
  <w:abstractNum w:abstractNumId="35" w15:restartNumberingAfterBreak="0">
    <w:nsid w:val="7F761D41"/>
    <w:multiLevelType w:val="singleLevel"/>
    <w:tmpl w:val="EB8A98F0"/>
    <w:name w:val="Numbered list 16"/>
    <w:lvl w:ilvl="0">
      <w:start w:val="1"/>
      <w:numFmt w:val="decimal"/>
      <w:lvlText w:val="%1."/>
      <w:lvlJc w:val="left"/>
      <w:pPr>
        <w:ind w:left="0" w:firstLine="0"/>
      </w:pPr>
    </w:lvl>
  </w:abstractNum>
  <w:num w:numId="1" w16cid:durableId="1916864266">
    <w:abstractNumId w:val="32"/>
  </w:num>
  <w:num w:numId="2" w16cid:durableId="106773892">
    <w:abstractNumId w:val="35"/>
  </w:num>
  <w:num w:numId="3" w16cid:durableId="259338013">
    <w:abstractNumId w:val="29"/>
  </w:num>
  <w:num w:numId="4" w16cid:durableId="1721898964">
    <w:abstractNumId w:val="26"/>
  </w:num>
  <w:num w:numId="5" w16cid:durableId="668220333">
    <w:abstractNumId w:val="16"/>
  </w:num>
  <w:num w:numId="6" w16cid:durableId="140003339">
    <w:abstractNumId w:val="10"/>
  </w:num>
  <w:num w:numId="7" w16cid:durableId="1195146806">
    <w:abstractNumId w:val="24"/>
  </w:num>
  <w:num w:numId="8" w16cid:durableId="1081104278">
    <w:abstractNumId w:val="4"/>
  </w:num>
  <w:num w:numId="9" w16cid:durableId="1182940621">
    <w:abstractNumId w:val="27"/>
  </w:num>
  <w:num w:numId="10" w16cid:durableId="1880313457">
    <w:abstractNumId w:val="11"/>
  </w:num>
  <w:num w:numId="11" w16cid:durableId="383414487">
    <w:abstractNumId w:val="7"/>
  </w:num>
  <w:num w:numId="12" w16cid:durableId="1936590231">
    <w:abstractNumId w:val="8"/>
  </w:num>
  <w:num w:numId="13" w16cid:durableId="62219563">
    <w:abstractNumId w:val="28"/>
  </w:num>
  <w:num w:numId="14" w16cid:durableId="1130786362">
    <w:abstractNumId w:val="31"/>
  </w:num>
  <w:num w:numId="15" w16cid:durableId="448471582">
    <w:abstractNumId w:val="0"/>
  </w:num>
  <w:num w:numId="16" w16cid:durableId="937979194">
    <w:abstractNumId w:val="12"/>
  </w:num>
  <w:num w:numId="17" w16cid:durableId="1030649524">
    <w:abstractNumId w:val="2"/>
  </w:num>
  <w:num w:numId="18" w16cid:durableId="85276385">
    <w:abstractNumId w:val="25"/>
  </w:num>
  <w:num w:numId="19" w16cid:durableId="2114594578">
    <w:abstractNumId w:val="17"/>
  </w:num>
  <w:num w:numId="20" w16cid:durableId="79914971">
    <w:abstractNumId w:val="3"/>
  </w:num>
  <w:num w:numId="21" w16cid:durableId="168373190">
    <w:abstractNumId w:val="1"/>
  </w:num>
  <w:num w:numId="22" w16cid:durableId="55932475">
    <w:abstractNumId w:val="13"/>
  </w:num>
  <w:num w:numId="23" w16cid:durableId="1776439618">
    <w:abstractNumId w:val="33"/>
  </w:num>
  <w:num w:numId="24" w16cid:durableId="399060923">
    <w:abstractNumId w:val="22"/>
  </w:num>
  <w:num w:numId="25" w16cid:durableId="528489075">
    <w:abstractNumId w:val="14"/>
  </w:num>
  <w:num w:numId="26" w16cid:durableId="770320622">
    <w:abstractNumId w:val="18"/>
  </w:num>
  <w:num w:numId="27" w16cid:durableId="1325165975">
    <w:abstractNumId w:val="23"/>
  </w:num>
  <w:num w:numId="28" w16cid:durableId="910846224">
    <w:abstractNumId w:val="34"/>
  </w:num>
  <w:num w:numId="29" w16cid:durableId="1549490642">
    <w:abstractNumId w:val="5"/>
  </w:num>
  <w:num w:numId="30" w16cid:durableId="1783331559">
    <w:abstractNumId w:val="6"/>
  </w:num>
  <w:num w:numId="31" w16cid:durableId="1286813017">
    <w:abstractNumId w:val="9"/>
  </w:num>
  <w:num w:numId="32" w16cid:durableId="879709657">
    <w:abstractNumId w:val="15"/>
  </w:num>
  <w:num w:numId="33" w16cid:durableId="2064526343">
    <w:abstractNumId w:val="30"/>
  </w:num>
  <w:num w:numId="34" w16cid:durableId="883255926">
    <w:abstractNumId w:val="21"/>
  </w:num>
  <w:num w:numId="35" w16cid:durableId="135075401">
    <w:abstractNumId w:val="19"/>
  </w:num>
  <w:num w:numId="36" w16cid:durableId="5784875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00"/>
  <w:drawingGridVerticalSpacing w:val="283"/>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C79FC"/>
    <w:rsid w:val="000672B7"/>
    <w:rsid w:val="000A6C0F"/>
    <w:rsid w:val="000C79FC"/>
    <w:rsid w:val="00165C95"/>
    <w:rsid w:val="00183A5F"/>
    <w:rsid w:val="00214BA2"/>
    <w:rsid w:val="00267E04"/>
    <w:rsid w:val="002D3EC6"/>
    <w:rsid w:val="002F511D"/>
    <w:rsid w:val="00346439"/>
    <w:rsid w:val="004B3949"/>
    <w:rsid w:val="006D2CBC"/>
    <w:rsid w:val="0070381D"/>
    <w:rsid w:val="0079321D"/>
    <w:rsid w:val="0088672B"/>
    <w:rsid w:val="00892613"/>
    <w:rsid w:val="00A93548"/>
    <w:rsid w:val="00AB46B0"/>
    <w:rsid w:val="00B16901"/>
    <w:rsid w:val="00DB4B2E"/>
    <w:rsid w:val="00DF2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rules v:ext="edit">
        <o:r id="V:Rule1" type="connector" idref="#Connector1"/>
      </o:rules>
    </o:shapelayout>
  </w:shapeDefaults>
  <w:decimalSymbol w:val="."/>
  <w:listSeparator w:val=","/>
  <w14:docId w14:val="671D76E0"/>
  <w15:docId w15:val="{5657A535-E4DA-4765-B95E-4D93B0BA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rPr>
  </w:style>
  <w:style w:type="paragraph" w:styleId="Heading1">
    <w:name w:val="heading 1"/>
    <w:basedOn w:val="Normal"/>
    <w:next w:val="Normal"/>
    <w:qFormat/>
    <w:pPr>
      <w:keepNext/>
      <w:spacing w:before="240" w:after="60"/>
      <w:outlineLvl w:val="0"/>
    </w:pPr>
    <w:rPr>
      <w:rFonts w:ascii="Arial" w:hAnsi="Arial"/>
      <w:b/>
      <w:kern w:val="1"/>
      <w:sz w:val="28"/>
    </w:rPr>
  </w:style>
  <w:style w:type="paragraph" w:styleId="Heading2">
    <w:name w:val="heading 2"/>
    <w:basedOn w:val="Heading1"/>
    <w:next w:val="Normal"/>
    <w:qFormat/>
    <w:pPr>
      <w:keepLines/>
      <w:outlineLvl w:val="1"/>
    </w:pPr>
    <w:rPr>
      <w:rFonts w:eastAsia="SimSun" w:cs="Arial"/>
      <w:bCs/>
      <w:sz w:val="32"/>
      <w:szCs w:val="32"/>
    </w:rPr>
  </w:style>
  <w:style w:type="paragraph" w:styleId="Heading3">
    <w:name w:val="heading 3"/>
    <w:basedOn w:val="Heading2"/>
    <w:next w:val="Normal"/>
    <w:qFormat/>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qFormat/>
    <w:pPr>
      <w:spacing w:line="280" w:lineRule="exact"/>
      <w:jc w:val="right"/>
    </w:pPr>
    <w:rPr>
      <w:b/>
      <w:sz w:val="24"/>
    </w:rPr>
  </w:style>
  <w:style w:type="paragraph" w:customStyle="1" w:styleId="Affiliation">
    <w:name w:val="Affiliation"/>
    <w:basedOn w:val="Normal"/>
    <w:qFormat/>
    <w:pPr>
      <w:spacing w:after="240" w:line="240" w:lineRule="exact"/>
      <w:jc w:val="right"/>
    </w:pPr>
  </w:style>
  <w:style w:type="paragraph" w:customStyle="1" w:styleId="Body">
    <w:name w:val="Body"/>
    <w:basedOn w:val="Normal"/>
    <w:qFormat/>
    <w:pPr>
      <w:spacing w:after="240"/>
      <w:jc w:val="both"/>
    </w:pPr>
  </w:style>
  <w:style w:type="paragraph" w:customStyle="1" w:styleId="MainHead">
    <w:name w:val="Main Head"/>
    <w:basedOn w:val="Normal"/>
    <w:qFormat/>
    <w:pPr>
      <w:keepNext/>
      <w:spacing w:after="240"/>
    </w:pPr>
    <w:rPr>
      <w:b/>
      <w:caps/>
    </w:rPr>
  </w:style>
  <w:style w:type="paragraph" w:customStyle="1" w:styleId="AbstHead">
    <w:name w:val="Abst Head"/>
    <w:basedOn w:val="MainHead"/>
    <w:qFormat/>
    <w:rPr>
      <w:sz w:val="22"/>
    </w:rPr>
  </w:style>
  <w:style w:type="paragraph" w:customStyle="1" w:styleId="IntroHead">
    <w:name w:val="Intro Head"/>
    <w:basedOn w:val="MainHead"/>
    <w:qFormat/>
    <w:rPr>
      <w:sz w:val="22"/>
    </w:rPr>
  </w:style>
  <w:style w:type="paragraph" w:customStyle="1" w:styleId="PaperNumber">
    <w:name w:val="Paper Number"/>
    <w:basedOn w:val="Normal"/>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qFormat/>
    <w:rPr>
      <w:sz w:val="22"/>
    </w:rPr>
  </w:style>
  <w:style w:type="paragraph" w:customStyle="1" w:styleId="ReferHead">
    <w:name w:val="Refer Head"/>
    <w:basedOn w:val="MainHead"/>
    <w:qFormat/>
    <w:rPr>
      <w:sz w:val="22"/>
    </w:rPr>
  </w:style>
  <w:style w:type="paragraph" w:customStyle="1" w:styleId="AddSrcHead">
    <w:name w:val="AddSrc Head"/>
    <w:basedOn w:val="MainHead"/>
    <w:qFormat/>
    <w:rPr>
      <w:sz w:val="22"/>
    </w:rPr>
  </w:style>
  <w:style w:type="paragraph" w:customStyle="1" w:styleId="DefAcrHead">
    <w:name w:val="DefAcrHead"/>
    <w:basedOn w:val="MainHead"/>
    <w:qFormat/>
    <w:rPr>
      <w:sz w:val="22"/>
    </w:rPr>
  </w:style>
  <w:style w:type="paragraph" w:customStyle="1" w:styleId="Copyright">
    <w:name w:val="Copyright"/>
    <w:basedOn w:val="Normal"/>
    <w:qFormat/>
    <w:pPr>
      <w:spacing w:after="960" w:line="200" w:lineRule="exact"/>
    </w:pPr>
    <w:rPr>
      <w:sz w:val="16"/>
    </w:rPr>
  </w:style>
  <w:style w:type="paragraph" w:styleId="Title">
    <w:name w:val="Title"/>
    <w:basedOn w:val="Normal"/>
    <w:qFormat/>
    <w:pPr>
      <w:spacing w:after="360"/>
      <w:jc w:val="right"/>
    </w:pPr>
    <w:rPr>
      <w:b/>
      <w:kern w:val="1"/>
      <w:sz w:val="36"/>
    </w:rPr>
  </w:style>
  <w:style w:type="paragraph" w:customStyle="1" w:styleId="Reference">
    <w:name w:val="Reference"/>
    <w:basedOn w:val="Body"/>
    <w:qFormat/>
    <w:pPr>
      <w:numPr>
        <w:numId w:val="11"/>
      </w:numPr>
      <w:spacing w:after="0" w:line="240" w:lineRule="exact"/>
      <w:ind w:left="360" w:hanging="360"/>
    </w:pPr>
  </w:style>
  <w:style w:type="paragraph" w:customStyle="1" w:styleId="Head1">
    <w:name w:val="Head1"/>
    <w:basedOn w:val="MainHead"/>
    <w:qFormat/>
    <w:rPr>
      <w:sz w:val="22"/>
    </w:rPr>
  </w:style>
  <w:style w:type="paragraph" w:customStyle="1" w:styleId="ContactHead">
    <w:name w:val="Contact Head"/>
    <w:basedOn w:val="MainHead"/>
    <w:qFormat/>
    <w:rPr>
      <w:sz w:val="22"/>
    </w:rPr>
  </w:style>
  <w:style w:type="paragraph" w:customStyle="1" w:styleId="Head2">
    <w:name w:val="Head2"/>
    <w:basedOn w:val="Normal"/>
    <w:next w:val="Body"/>
    <w:qFormat/>
    <w:pPr>
      <w:keepNext/>
      <w:spacing w:after="240"/>
    </w:pPr>
    <w:rPr>
      <w:caps/>
    </w:rPr>
  </w:style>
  <w:style w:type="paragraph" w:customStyle="1" w:styleId="Head3">
    <w:name w:val="Head3"/>
    <w:basedOn w:val="Head2"/>
    <w:qFormat/>
    <w:rPr>
      <w:caps w:val="0"/>
      <w:u w:val="single"/>
    </w:rPr>
  </w:style>
  <w:style w:type="paragraph" w:customStyle="1" w:styleId="Head4">
    <w:name w:val="Head4"/>
    <w:basedOn w:val="Head3"/>
    <w:qFormat/>
    <w:rPr>
      <w:u w:val="none"/>
    </w:rPr>
  </w:style>
  <w:style w:type="paragraph" w:customStyle="1" w:styleId="UnordList">
    <w:name w:val="Unord List"/>
    <w:basedOn w:val="Body"/>
    <w:qFormat/>
    <w:pPr>
      <w:spacing w:after="0"/>
      <w:ind w:left="360" w:hanging="360"/>
    </w:pPr>
  </w:style>
  <w:style w:type="paragraph" w:customStyle="1" w:styleId="OrdList">
    <w:name w:val="Ord List"/>
    <w:basedOn w:val="UnordList"/>
    <w:qFormat/>
    <w:pPr>
      <w:jc w:val="left"/>
    </w:pPr>
  </w:style>
  <w:style w:type="paragraph" w:customStyle="1" w:styleId="Appendix">
    <w:name w:val="Appendix"/>
    <w:basedOn w:val="MainHead"/>
    <w:qFormat/>
    <w:rPr>
      <w:sz w:val="22"/>
    </w:rPr>
  </w:style>
  <w:style w:type="paragraph" w:customStyle="1" w:styleId="Term">
    <w:name w:val="Term"/>
    <w:basedOn w:val="Body"/>
    <w:qFormat/>
    <w:pPr>
      <w:spacing w:after="0"/>
    </w:pPr>
    <w:rPr>
      <w:b/>
    </w:rPr>
  </w:style>
  <w:style w:type="paragraph" w:customStyle="1" w:styleId="Definition">
    <w:name w:val="Definition"/>
    <w:basedOn w:val="Body"/>
    <w:qFormat/>
  </w:style>
  <w:style w:type="paragraph" w:customStyle="1" w:styleId="Equation">
    <w:name w:val="Equation"/>
    <w:basedOn w:val="Body"/>
    <w:qFormat/>
  </w:style>
  <w:style w:type="paragraph" w:customStyle="1" w:styleId="Figure">
    <w:name w:val="Figure"/>
    <w:basedOn w:val="Copyright"/>
    <w:qFormat/>
    <w:pPr>
      <w:spacing w:after="240"/>
    </w:pPr>
    <w:rPr>
      <w:sz w:val="20"/>
    </w:rPr>
  </w:style>
  <w:style w:type="paragraph" w:styleId="Footer">
    <w:name w:val="footer"/>
    <w:basedOn w:val="Normal"/>
    <w:qFormat/>
    <w:pPr>
      <w:tabs>
        <w:tab w:val="center" w:pos="4320"/>
        <w:tab w:val="right" w:pos="8640"/>
      </w:tabs>
    </w:pPr>
  </w:style>
  <w:style w:type="paragraph" w:customStyle="1" w:styleId="Head40">
    <w:name w:val="Head 4"/>
    <w:basedOn w:val="Head3"/>
    <w:qFormat/>
    <w:rPr>
      <w:u w:val="none"/>
    </w:rPr>
  </w:style>
  <w:style w:type="paragraph" w:styleId="Header">
    <w:name w:val="header"/>
    <w:basedOn w:val="Normal"/>
    <w:qFormat/>
    <w:pPr>
      <w:tabs>
        <w:tab w:val="center" w:pos="4320"/>
        <w:tab w:val="right" w:pos="8640"/>
      </w:tabs>
    </w:pPr>
  </w:style>
  <w:style w:type="paragraph" w:customStyle="1" w:styleId="Paper">
    <w:name w:val="Paper"/>
    <w:basedOn w:val="Normal"/>
    <w:qFormat/>
    <w:pPr>
      <w:spacing w:after="360" w:line="440" w:lineRule="exact"/>
      <w:jc w:val="right"/>
    </w:pPr>
    <w:rPr>
      <w:b/>
      <w:sz w:val="36"/>
    </w:rPr>
  </w:style>
  <w:style w:type="paragraph" w:styleId="Signature">
    <w:name w:val="Signature"/>
    <w:basedOn w:val="Normal"/>
    <w:qFormat/>
    <w:pPr>
      <w:ind w:left="4320"/>
    </w:pPr>
  </w:style>
  <w:style w:type="paragraph" w:customStyle="1" w:styleId="SymbolP">
    <w:name w:val="Symbol P"/>
    <w:basedOn w:val="Body"/>
    <w:qFormat/>
    <w:pPr>
      <w:tabs>
        <w:tab w:val="left" w:pos="720"/>
        <w:tab w:val="left" w:pos="3780"/>
      </w:tabs>
      <w:spacing w:after="0"/>
    </w:pPr>
    <w:rPr>
      <w:sz w:val="24"/>
    </w:rPr>
  </w:style>
  <w:style w:type="paragraph" w:styleId="BodyText2">
    <w:name w:val="Body Text 2"/>
    <w:basedOn w:val="Normal"/>
    <w:qFormat/>
    <w:pPr>
      <w:spacing w:after="120" w:line="480" w:lineRule="auto"/>
    </w:pPr>
  </w:style>
  <w:style w:type="paragraph" w:customStyle="1" w:styleId="CommentText1">
    <w:name w:val="Comment Text1"/>
    <w:basedOn w:val="Normal"/>
    <w:qFormat/>
    <w:rPr>
      <w:rFonts w:ascii="Times New Roman" w:hAnsi="Times New Roman"/>
      <w:lang w:val="nb-NO" w:eastAsia="nb-NO"/>
    </w:rPr>
  </w:style>
  <w:style w:type="paragraph" w:styleId="BalloonText">
    <w:name w:val="Balloon Text"/>
    <w:basedOn w:val="Normal"/>
    <w:qFormat/>
    <w:rPr>
      <w:rFonts w:ascii="Tahoma" w:hAnsi="Tahoma" w:cs="Tahoma"/>
      <w:sz w:val="16"/>
      <w:szCs w:val="16"/>
    </w:rPr>
  </w:style>
  <w:style w:type="paragraph" w:styleId="BodyText3">
    <w:name w:val="Body Text 3"/>
    <w:basedOn w:val="Normal"/>
    <w:qFormat/>
    <w:pPr>
      <w:spacing w:after="120"/>
    </w:pPr>
    <w:rPr>
      <w:sz w:val="16"/>
      <w:szCs w:val="16"/>
    </w:rPr>
  </w:style>
  <w:style w:type="paragraph" w:styleId="NoSpacing">
    <w:name w:val="No Spacing"/>
    <w:basedOn w:val="Normal"/>
    <w:qFormat/>
  </w:style>
  <w:style w:type="paragraph" w:customStyle="1" w:styleId="ql-align-justify">
    <w:name w:val="ql-align-justify"/>
    <w:basedOn w:val="Normal"/>
    <w:qFormat/>
    <w:pPr>
      <w:spacing w:before="100" w:beforeAutospacing="1" w:after="100" w:afterAutospacing="1"/>
    </w:pPr>
    <w:rPr>
      <w:rFonts w:ascii="Times New Roman" w:hAnsi="Times New Roman"/>
      <w:sz w:val="24"/>
      <w:szCs w:val="24"/>
      <w:lang w:val="en-PH" w:eastAsia="en-PH"/>
    </w:rPr>
  </w:style>
  <w:style w:type="paragraph" w:customStyle="1" w:styleId="Default">
    <w:name w:val="Default"/>
    <w:qFormat/>
    <w:rPr>
      <w:rFonts w:eastAsia="Calibri"/>
      <w:color w:val="000000"/>
      <w:kern w:val="1"/>
      <w:sz w:val="24"/>
      <w:szCs w:val="24"/>
      <w:lang w:val="en-PH"/>
    </w:rPr>
  </w:style>
  <w:style w:type="paragraph" w:customStyle="1" w:styleId="TableParagraph">
    <w:name w:val="Table Paragraph"/>
    <w:basedOn w:val="Normal"/>
    <w:qFormat/>
    <w:pPr>
      <w:ind w:left="107"/>
    </w:pPr>
  </w:style>
  <w:style w:type="paragraph" w:customStyle="1" w:styleId="tm19">
    <w:name w:val="tm19"/>
    <w:qFormat/>
    <w:pPr>
      <w:pBdr>
        <w:top w:val="nil"/>
        <w:left w:val="nil"/>
        <w:bottom w:val="nil"/>
        <w:right w:val="nil"/>
        <w:between w:val="nil"/>
      </w:pBdr>
      <w:spacing w:before="20" w:after="20"/>
      <w:jc w:val="center"/>
    </w:pPr>
    <w:rPr>
      <w:rFonts w:eastAsia="SimSun"/>
      <w:color w:val="000000"/>
      <w:kern w:val="1"/>
      <w:lang w:eastAsia="zh-CN"/>
    </w:rPr>
  </w:style>
  <w:style w:type="paragraph" w:customStyle="1" w:styleId="tm6">
    <w:name w:val="tm6"/>
    <w:qFormat/>
    <w:pPr>
      <w:pBdr>
        <w:top w:val="nil"/>
        <w:left w:val="nil"/>
        <w:bottom w:val="nil"/>
        <w:right w:val="nil"/>
        <w:between w:val="nil"/>
      </w:pBdr>
      <w:spacing w:before="20" w:after="20"/>
    </w:pPr>
    <w:rPr>
      <w:rFonts w:eastAsia="SimSun"/>
      <w:color w:val="000000"/>
      <w:kern w:val="1"/>
      <w:lang w:eastAsia="zh-CN"/>
    </w:rPr>
  </w:style>
  <w:style w:type="character" w:customStyle="1" w:styleId="Bold">
    <w:name w:val="Bold"/>
    <w:rPr>
      <w:b/>
    </w:rPr>
  </w:style>
  <w:style w:type="character" w:customStyle="1" w:styleId="Italic">
    <w:name w:val="Italic"/>
    <w:rPr>
      <w:i/>
    </w:rPr>
  </w:style>
  <w:style w:type="character" w:customStyle="1" w:styleId="Underline">
    <w:name w:val="Underline"/>
    <w:rPr>
      <w:u w:val="single"/>
    </w:rPr>
  </w:style>
  <w:style w:type="character" w:customStyle="1" w:styleId="Subscript">
    <w:name w:val="Subscript"/>
    <w:rPr>
      <w:vertAlign w:val="subscript"/>
    </w:rPr>
  </w:style>
  <w:style w:type="character" w:customStyle="1" w:styleId="Superscript">
    <w:name w:val="Superscript"/>
    <w:rPr>
      <w:vertAlign w:val="superscript"/>
    </w:rPr>
  </w:style>
  <w:style w:type="character" w:customStyle="1" w:styleId="Symbol">
    <w:name w:val="Symbol"/>
    <w:rPr>
      <w:rFonts w:ascii="Symbol" w:hAnsi="Symbol"/>
    </w:rPr>
  </w:style>
  <w:style w:type="character" w:customStyle="1" w:styleId="BoldItal">
    <w:name w:val="BoldItal"/>
    <w:basedOn w:val="DefaultParagraphFont"/>
    <w:rPr>
      <w:b/>
      <w:i/>
    </w:rPr>
  </w:style>
  <w:style w:type="character" w:customStyle="1" w:styleId="SubItal">
    <w:name w:val="SubItal"/>
    <w:rPr>
      <w:i/>
      <w:vertAlign w:val="subscript"/>
    </w:rPr>
  </w:style>
  <w:style w:type="character" w:customStyle="1" w:styleId="SuperItal">
    <w:name w:val="SuperItal"/>
    <w:rPr>
      <w:i/>
      <w:vertAlign w:val="superscript"/>
    </w:rPr>
  </w:style>
  <w:style w:type="character" w:customStyle="1" w:styleId="SymItal">
    <w:name w:val="SymItal"/>
    <w:rPr>
      <w:rFonts w:ascii="Symbol" w:hAnsi="Symbol"/>
      <w:i/>
    </w:rPr>
  </w:style>
  <w:style w:type="character" w:styleId="Hyperlink">
    <w:name w:val="Hyperlink"/>
    <w:basedOn w:val="DefaultParagraphFont"/>
    <w:rPr>
      <w:color w:val="FF0080"/>
      <w:u w:val="single"/>
    </w:rPr>
  </w:style>
  <w:style w:type="character" w:styleId="FollowedHyperlink">
    <w:name w:val="FollowedHyperlink"/>
    <w:basedOn w:val="DefaultParagraphFont"/>
    <w:rPr>
      <w:color w:val="800080"/>
      <w:u w:val="single"/>
    </w:rPr>
  </w:style>
  <w:style w:type="character" w:customStyle="1" w:styleId="BodyText2Char">
    <w:name w:val="Body Text 2 Char"/>
    <w:basedOn w:val="DefaultParagraphFont"/>
    <w:rPr>
      <w:rFonts w:ascii="Helvetica" w:hAnsi="Helvetica"/>
    </w:rPr>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rPr>
      <w:lang w:val="nb-NO" w:eastAsia="nb-NO"/>
    </w:rPr>
  </w:style>
  <w:style w:type="character" w:customStyle="1" w:styleId="BalloonTextChar">
    <w:name w:val="Balloon Text Char"/>
    <w:basedOn w:val="DefaultParagraphFont"/>
    <w:rPr>
      <w:rFonts w:ascii="Tahoma" w:hAnsi="Tahoma" w:cs="Tahoma"/>
      <w:sz w:val="16"/>
      <w:szCs w:val="16"/>
    </w:rPr>
  </w:style>
  <w:style w:type="character" w:customStyle="1" w:styleId="BodyText3Char">
    <w:name w:val="Body Text 3 Char"/>
    <w:basedOn w:val="DefaultParagraphFont"/>
    <w:rPr>
      <w:rFonts w:ascii="Helvetica" w:hAnsi="Helvetica"/>
      <w:sz w:val="16"/>
      <w:szCs w:val="16"/>
    </w:rPr>
  </w:style>
  <w:style w:type="character" w:styleId="LineNumber">
    <w:name w:val="line number"/>
    <w:basedOn w:val="DefaultParagraphFont"/>
  </w:style>
  <w:style w:type="character" w:styleId="Emphasis">
    <w:name w:val="Emphasis"/>
    <w:basedOn w:val="DefaultParagraphFont"/>
    <w:uiPriority w:val="20"/>
    <w:qFormat/>
    <w:rPr>
      <w:i/>
      <w:iCs/>
    </w:rPr>
  </w:style>
  <w:style w:type="character" w:customStyle="1" w:styleId="UnresolvedMention1">
    <w:name w:val="Unresolved Mention1"/>
    <w:basedOn w:val="DefaultParagraphFont"/>
    <w:rPr>
      <w:color w:val="605E5C"/>
      <w:shd w:val="clear" w:color="auto" w:fill="E1DFDD"/>
    </w:rPr>
  </w:style>
  <w:style w:type="character" w:customStyle="1" w:styleId="UnresolvedMention2">
    <w:name w:val="Unresolved Mention2"/>
    <w:basedOn w:val="DefaultParagraphFont"/>
    <w:rPr>
      <w:color w:val="605E5C"/>
      <w:shd w:val="clear" w:color="auto" w:fill="E1DFDD"/>
    </w:rPr>
  </w:style>
  <w:style w:type="character" w:customStyle="1" w:styleId="tm201">
    <w:name w:val="tm201"/>
  </w:style>
  <w:style w:type="character" w:customStyle="1" w:styleId="tm71">
    <w:name w:val="tm71"/>
  </w:style>
  <w:style w:type="character" w:customStyle="1" w:styleId="tm221">
    <w:name w:val="tm221"/>
  </w:style>
  <w:style w:type="table" w:styleId="TableGrid">
    <w:name w:val="Table Grid"/>
    <w:basedOn w:val="TableNormal"/>
    <w:uiPriority w:val="5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B4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i.org/10.1590/S1519-69842013000200026" TargetMode="External"/><Relationship Id="rId21" Type="http://schemas.openxmlformats.org/officeDocument/2006/relationships/hyperlink" Target="https://doi.org/10.1056/NEJM196805022781801" TargetMode="External"/><Relationship Id="rId42" Type="http://schemas.openxmlformats.org/officeDocument/2006/relationships/hyperlink" Target="https://doi.org/10.1016/j.aquaculture.2007.06.021" TargetMode="External"/><Relationship Id="rId47" Type="http://schemas.openxmlformats.org/officeDocument/2006/relationships/hyperlink" Target="https://doi.org/10.1016/j.fsi.2009.11.013" TargetMode="External"/><Relationship Id="rId63" Type="http://schemas.openxmlformats.org/officeDocument/2006/relationships/hyperlink" Target="https://doi.org/10.1016/j.aquaculture.2016.01.018" TargetMode="External"/><Relationship Id="rId68" Type="http://schemas.openxmlformats.org/officeDocument/2006/relationships/hyperlink" Target="https://doi.org/10.1016/j.intimp.2008.07.011" TargetMode="External"/><Relationship Id="rId84" Type="http://schemas.openxmlformats.org/officeDocument/2006/relationships/hyperlink" Target="https://doi.org/10.1016/j.aquaculture.2020.734927" TargetMode="External"/><Relationship Id="rId89" Type="http://schemas.openxmlformats.org/officeDocument/2006/relationships/hyperlink" Target="https://doi.org/10.1016/j.fsi.2018.12.060" TargetMode="External"/><Relationship Id="rId16" Type="http://schemas.openxmlformats.org/officeDocument/2006/relationships/hyperlink" Target="https://www.pertanika.upm.edu.my/pjtas/browse/regular-issue?article=JTAS-0146-2009" TargetMode="External"/><Relationship Id="rId11" Type="http://schemas.openxmlformats.org/officeDocument/2006/relationships/hyperlink" Target="https://doi.org/10.1590/S1519-69842009000500018" TargetMode="External"/><Relationship Id="rId32" Type="http://schemas.openxmlformats.org/officeDocument/2006/relationships/hyperlink" Target="https://doi.org/10.1046/j.1365-2761.1997.00302.x" TargetMode="External"/><Relationship Id="rId37" Type="http://schemas.openxmlformats.org/officeDocument/2006/relationships/hyperlink" Target="https://doi.org/10.1016/S1050-4648(06)80033-1" TargetMode="External"/><Relationship Id="rId53" Type="http://schemas.openxmlformats.org/officeDocument/2006/relationships/hyperlink" Target="https://doi.org/10.1016/j.fsi.2007.01.011" TargetMode="External"/><Relationship Id="rId58" Type="http://schemas.openxmlformats.org/officeDocument/2006/relationships/hyperlink" Target="https://doi.org/10.3354/dao03084" TargetMode="External"/><Relationship Id="rId74" Type="http://schemas.openxmlformats.org/officeDocument/2006/relationships/hyperlink" Target="https://doi.org/10.1016/j.dci.2011.03.009" TargetMode="External"/><Relationship Id="rId79" Type="http://schemas.openxmlformats.org/officeDocument/2006/relationships/hyperlink" Target="https://doi.org/10.1006/fsim.2000.0309" TargetMode="External"/><Relationship Id="rId5" Type="http://schemas.openxmlformats.org/officeDocument/2006/relationships/footnotes" Target="footnotes.xml"/><Relationship Id="rId90" Type="http://schemas.openxmlformats.org/officeDocument/2006/relationships/hyperlink" Target="https://doi.org/10.1016/j.fsi.2024.109967" TargetMode="External"/><Relationship Id="rId22" Type="http://schemas.openxmlformats.org/officeDocument/2006/relationships/hyperlink" Target="https://doi.org/10.1016/j.cbpc.2003.12.010" TargetMode="External"/><Relationship Id="rId27" Type="http://schemas.openxmlformats.org/officeDocument/2006/relationships/hyperlink" Target="https://doi.org/10.1083/jcb.67.3.566" TargetMode="External"/><Relationship Id="rId43" Type="http://schemas.openxmlformats.org/officeDocument/2006/relationships/hyperlink" Target="https://doi.org/10.1016/j.aquaculture.2006.01.012" TargetMode="External"/><Relationship Id="rId48" Type="http://schemas.openxmlformats.org/officeDocument/2006/relationships/hyperlink" Target="https://doi.org/10.1016/j.vetpar.2010.01.046" TargetMode="External"/><Relationship Id="rId64" Type="http://schemas.openxmlformats.org/officeDocument/2006/relationships/hyperlink" Target="https://dergipark.org.tr/en/pub/trjfas-ayrildi/issue/13280/160487" TargetMode="External"/><Relationship Id="rId69" Type="http://schemas.openxmlformats.org/officeDocument/2006/relationships/hyperlink" Target="https://doi.org/10.1017/S0031182099005855" TargetMode="External"/><Relationship Id="rId8" Type="http://schemas.openxmlformats.org/officeDocument/2006/relationships/image" Target="media/image2.png"/><Relationship Id="rId51" Type="http://schemas.openxmlformats.org/officeDocument/2006/relationships/hyperlink" Target="https://doi.org/10.1111/jfd.12347" TargetMode="External"/><Relationship Id="rId72" Type="http://schemas.openxmlformats.org/officeDocument/2006/relationships/hyperlink" Target="https://doi.org/10.1007/s12562-010-0242-6" TargetMode="External"/><Relationship Id="rId80" Type="http://schemas.openxmlformats.org/officeDocument/2006/relationships/hyperlink" Target="https://doi.org/10.1016/j.aquaculture.2012.07.035" TargetMode="External"/><Relationship Id="rId85" Type="http://schemas.openxmlformats.org/officeDocument/2006/relationships/hyperlink" Target="https://pubmed.ncbi.nlm.nih.gov/5757711/"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1007/s10499-023-01356-5" TargetMode="External"/><Relationship Id="rId17" Type="http://schemas.openxmlformats.org/officeDocument/2006/relationships/hyperlink" Target="https://www.usgs.gov/publications/basic-hematology-and-serology-fish-health-programs" TargetMode="External"/><Relationship Id="rId25" Type="http://schemas.openxmlformats.org/officeDocument/2006/relationships/hyperlink" Target="https://doi.org/10.4194/1303-2712-v13_3_16" TargetMode="External"/><Relationship Id="rId33" Type="http://schemas.openxmlformats.org/officeDocument/2006/relationships/hyperlink" Target="https://doi.org/10.1111/raq.12209" TargetMode="External"/><Relationship Id="rId38" Type="http://schemas.openxmlformats.org/officeDocument/2006/relationships/hyperlink" Target="https://doi.org/10.1016/j.fsi.2023.108787" TargetMode="External"/><Relationship Id="rId46" Type="http://schemas.openxmlformats.org/officeDocument/2006/relationships/hyperlink" Target="https://doi.org/10.3354/dao025175" TargetMode="External"/><Relationship Id="rId59" Type="http://schemas.openxmlformats.org/officeDocument/2006/relationships/hyperlink" Target="https://doi.org/10.1016/j.aquaculture.2025.743195" TargetMode="External"/><Relationship Id="rId67" Type="http://schemas.openxmlformats.org/officeDocument/2006/relationships/hyperlink" Target="https://doi.org/10.56557/joban/2025/v17i29897" TargetMode="External"/><Relationship Id="rId20" Type="http://schemas.openxmlformats.org/officeDocument/2006/relationships/hyperlink" Target="https://doi.org/10.1016/0022-2143(75)90098-0" TargetMode="External"/><Relationship Id="rId41" Type="http://schemas.openxmlformats.org/officeDocument/2006/relationships/hyperlink" Target="https://pubmed.ncbi.nlm.nih.gov/3908855/" TargetMode="External"/><Relationship Id="rId54" Type="http://schemas.openxmlformats.org/officeDocument/2006/relationships/hyperlink" Target="https://doi.org/10.3969/j.issn.1000-9957.2002.02.007" TargetMode="External"/><Relationship Id="rId62" Type="http://schemas.openxmlformats.org/officeDocument/2006/relationships/hyperlink" Target="https://doi.org/10.1016/j.fsi.2016.03.008" TargetMode="External"/><Relationship Id="rId70" Type="http://schemas.openxmlformats.org/officeDocument/2006/relationships/hyperlink" Target="https://doi.org/10.1016/S0145-305X(01)00037-4" TargetMode="External"/><Relationship Id="rId75" Type="http://schemas.openxmlformats.org/officeDocument/2006/relationships/hyperlink" Target="https://doi.org/10.1111/j.1439-0426.2004.00606.x" TargetMode="External"/><Relationship Id="rId83" Type="http://schemas.openxmlformats.org/officeDocument/2006/relationships/hyperlink" Target="https://doi.org/10.1016/j.fsi.2016.06.028" TargetMode="External"/><Relationship Id="rId88" Type="http://schemas.openxmlformats.org/officeDocument/2006/relationships/hyperlink" Target="https://doi.org/10.1016/j.dci.2020.103919" TargetMode="External"/><Relationship Id="rId9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07/s10499-023-01294-2" TargetMode="External"/><Relationship Id="rId23" Type="http://schemas.openxmlformats.org/officeDocument/2006/relationships/hyperlink" Target="https://doi.org/10.1016/S1387-2656(05)11004-7" TargetMode="External"/><Relationship Id="rId28" Type="http://schemas.openxmlformats.org/officeDocument/2006/relationships/hyperlink" Target="https://doi.org/10.1016/j.fsi.2013.05.029" TargetMode="External"/><Relationship Id="rId36" Type="http://schemas.openxmlformats.org/officeDocument/2006/relationships/hyperlink" Target="https://doi.org/10.1006/fsim.1998.0192" TargetMode="External"/><Relationship Id="rId49" Type="http://schemas.openxmlformats.org/officeDocument/2006/relationships/hyperlink" Target="https://doi.org/10.2478/alife-2018-0020" TargetMode="External"/><Relationship Id="rId57" Type="http://schemas.openxmlformats.org/officeDocument/2006/relationships/hyperlink" Target="https://doi.org/10.3354/dao006001" TargetMode="External"/><Relationship Id="rId10" Type="http://schemas.openxmlformats.org/officeDocument/2006/relationships/hyperlink" Target="https://doi.org/10.1016/j.fsi.2017.12.033" TargetMode="External"/><Relationship Id="rId31" Type="http://schemas.openxmlformats.org/officeDocument/2006/relationships/hyperlink" Target="https://doi.org/10.1016/S1050-4648(02)00167-5" TargetMode="External"/><Relationship Id="rId44" Type="http://schemas.openxmlformats.org/officeDocument/2006/relationships/hyperlink" Target="https://doi.org/10.1111/jfd.14141" TargetMode="External"/><Relationship Id="rId52" Type="http://schemas.openxmlformats.org/officeDocument/2006/relationships/hyperlink" Target="https://doi.org/10.1046/j.1365-2761.2002.00375.x" TargetMode="External"/><Relationship Id="rId60" Type="http://schemas.openxmlformats.org/officeDocument/2006/relationships/hyperlink" Target="https://doi.org/10.1016/B978-0-12-469230-5.50007-6" TargetMode="External"/><Relationship Id="rId65" Type="http://schemas.openxmlformats.org/officeDocument/2006/relationships/hyperlink" Target="https://doi.org/10.1016/j.dci.2017.02.024" TargetMode="External"/><Relationship Id="rId73" Type="http://schemas.openxmlformats.org/officeDocument/2006/relationships/hyperlink" Target="https://doi.org/10.4194/AQUAST2188" TargetMode="External"/><Relationship Id="rId78" Type="http://schemas.openxmlformats.org/officeDocument/2006/relationships/hyperlink" Target="https://doi.org/10.1111/j.1365-2109.2007.01883.x" TargetMode="External"/><Relationship Id="rId81" Type="http://schemas.openxmlformats.org/officeDocument/2006/relationships/hyperlink" Target="https://doi.org/10.1111/j.1699-0463.1979.tb02431.x" TargetMode="External"/><Relationship Id="rId86" Type="http://schemas.openxmlformats.org/officeDocument/2006/relationships/hyperlink" Target="https://www.who.int/news-room/fact-sheets/detail/antimicrobial-resistance"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4194/AQUAST2464" TargetMode="External"/><Relationship Id="rId13" Type="http://schemas.openxmlformats.org/officeDocument/2006/relationships/hyperlink" Target="https://doi.org/10.1016/j.fsi.2015.06.010" TargetMode="External"/><Relationship Id="rId18" Type="http://schemas.openxmlformats.org/officeDocument/2006/relationships/hyperlink" Target="https://doi.org/10.1016/0165-2427(92)90110-C" TargetMode="External"/><Relationship Id="rId39" Type="http://schemas.openxmlformats.org/officeDocument/2006/relationships/hyperlink" Target="https://doi.org/10.1046/j.1365-2761.2002.00392.x" TargetMode="External"/><Relationship Id="rId34" Type="http://schemas.openxmlformats.org/officeDocument/2006/relationships/hyperlink" Target="https://doi.org/10.4049/jimmunol.129.4.1589" TargetMode="External"/><Relationship Id="rId50" Type="http://schemas.openxmlformats.org/officeDocument/2006/relationships/hyperlink" Target="https://doi.org/10.1006/fsim.2001.0408" TargetMode="External"/><Relationship Id="rId55" Type="http://schemas.openxmlformats.org/officeDocument/2006/relationships/hyperlink" Target="https://doi.org/10.1084/jem.148.1.115" TargetMode="External"/><Relationship Id="rId76" Type="http://schemas.openxmlformats.org/officeDocument/2006/relationships/hyperlink" Target="https://doi.org/10.1046/j.1365-2761.2001.00314.x" TargetMode="External"/><Relationship Id="rId7" Type="http://schemas.openxmlformats.org/officeDocument/2006/relationships/image" Target="media/image1.png"/><Relationship Id="rId71" Type="http://schemas.openxmlformats.org/officeDocument/2006/relationships/hyperlink" Target="https://doi.org/10.1590/S1516-89132010000100011" TargetMode="External"/><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s://doi.org/10.1111/j.1462-2920.2006.01054.x" TargetMode="External"/><Relationship Id="rId24" Type="http://schemas.openxmlformats.org/officeDocument/2006/relationships/hyperlink" Target="https://doi.org/10.1016/j.fsi.2010.12.013" TargetMode="External"/><Relationship Id="rId40" Type="http://schemas.openxmlformats.org/officeDocument/2006/relationships/hyperlink" Target="https://doi.org/10.4060/cd0683en" TargetMode="External"/><Relationship Id="rId45" Type="http://schemas.openxmlformats.org/officeDocument/2006/relationships/hyperlink" Target="https://doi.org/10.9734/ajfar/2026/v28i81120" TargetMode="External"/><Relationship Id="rId66" Type="http://schemas.openxmlformats.org/officeDocument/2006/relationships/hyperlink" Target="https://doi.org/10.1016/j.aqrep.2026.103407" TargetMode="External"/><Relationship Id="rId87" Type="http://schemas.openxmlformats.org/officeDocument/2006/relationships/hyperlink" Target="https://doi.org/10.1016/j.aquaculture.2008.03.038" TargetMode="External"/><Relationship Id="rId61" Type="http://schemas.openxmlformats.org/officeDocument/2006/relationships/hyperlink" Target="https://doi.org/10.1016/j.fsi.2004.09.006" TargetMode="External"/><Relationship Id="rId82" Type="http://schemas.openxmlformats.org/officeDocument/2006/relationships/hyperlink" Target="https://doi.org/10.17221/3294-VETMED" TargetMode="External"/><Relationship Id="rId19" Type="http://schemas.openxmlformats.org/officeDocument/2006/relationships/hyperlink" Target="https://doi.org/10.3389/fimmu.2024.1528721" TargetMode="External"/><Relationship Id="rId14" Type="http://schemas.openxmlformats.org/officeDocument/2006/relationships/hyperlink" Target="https://pmc.ncbi.nlm.nih.gov/articles/PMC4443210/" TargetMode="External"/><Relationship Id="rId30" Type="http://schemas.openxmlformats.org/officeDocument/2006/relationships/hyperlink" Target="https://doi.org/10.1016/B978-0-12-417186-2.00009-1" TargetMode="External"/><Relationship Id="rId35" Type="http://schemas.openxmlformats.org/officeDocument/2006/relationships/hyperlink" Target="https://doi.org/10.21608/MAJ.2009.2667" TargetMode="External"/><Relationship Id="rId56" Type="http://schemas.openxmlformats.org/officeDocument/2006/relationships/hyperlink" Target="https://doi.org/10.4194/AQUAST2201" TargetMode="External"/><Relationship Id="rId77" Type="http://schemas.openxmlformats.org/officeDocument/2006/relationships/hyperlink" Target="https://doi.org/10.1016/0044-8486(95)01084-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Times New Roman"/>
      </a:majorFont>
      <a:minorFont>
        <a:latin typeface="Helvetica"/>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9865</Words>
  <Characters>56235</Characters>
  <Application>Microsoft Office Word</Application>
  <DocSecurity>0</DocSecurity>
  <Lines>468</Lines>
  <Paragraphs>131</Paragraphs>
  <ScaleCrop>false</ScaleCrop>
  <Company/>
  <LinksUpToDate>false</LinksUpToDate>
  <CharactersWithSpaces>65969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SDI</dc:creator>
  <cp:keywords/>
  <dc:description/>
  <cp:lastModifiedBy>SDI CPU 1117</cp:lastModifiedBy>
  <cp:revision>22</cp:revision>
  <cp:lastPrinted>1999-07-06T11:00:00Z</cp:lastPrinted>
  <dcterms:created xsi:type="dcterms:W3CDTF">2014-10-25T14:34:00Z</dcterms:created>
  <dcterms:modified xsi:type="dcterms:W3CDTF">2026-08-04T04:37:00Z</dcterms:modified>
</cp:coreProperties>
</file>