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BEB0" w14:textId="77777777" w:rsidR="009512C9" w:rsidRPr="0089368B" w:rsidRDefault="00057D31" w:rsidP="00075BD9">
      <w:pPr>
        <w:spacing w:after="0" w:line="480" w:lineRule="auto"/>
        <w:jc w:val="both"/>
        <w:rPr>
          <w:rFonts w:ascii="Arial" w:hAnsi="Arial" w:cs="Arial"/>
          <w:b/>
          <w:bCs/>
          <w:sz w:val="20"/>
          <w:szCs w:val="20"/>
          <w:u w:val="single"/>
        </w:rPr>
      </w:pPr>
      <w:r w:rsidRPr="0089368B">
        <w:rPr>
          <w:rFonts w:ascii="Arial" w:hAnsi="Arial" w:cs="Arial"/>
          <w:b/>
          <w:bCs/>
          <w:sz w:val="20"/>
          <w:szCs w:val="20"/>
          <w:u w:val="single"/>
        </w:rPr>
        <w:t>Original Research Article</w:t>
      </w:r>
    </w:p>
    <w:p w14:paraId="4E5D5FB2" w14:textId="77777777" w:rsidR="00057D31" w:rsidRPr="0089368B" w:rsidRDefault="00057D31" w:rsidP="00075BD9">
      <w:pPr>
        <w:spacing w:after="0" w:line="480" w:lineRule="auto"/>
        <w:jc w:val="center"/>
        <w:rPr>
          <w:rFonts w:ascii="Arial" w:hAnsi="Arial" w:cs="Arial"/>
          <w:b/>
          <w:bCs/>
        </w:rPr>
      </w:pPr>
    </w:p>
    <w:p w14:paraId="6F2D0FF2" w14:textId="77777777" w:rsidR="00104CB0" w:rsidRPr="0089368B" w:rsidRDefault="009512C9" w:rsidP="00075BD9">
      <w:pPr>
        <w:spacing w:after="0" w:line="480" w:lineRule="auto"/>
        <w:jc w:val="center"/>
        <w:rPr>
          <w:rFonts w:ascii="Arial" w:hAnsi="Arial" w:cs="Arial"/>
          <w:b/>
          <w:bCs/>
        </w:rPr>
      </w:pPr>
      <w:r w:rsidRPr="0089368B">
        <w:rPr>
          <w:rFonts w:ascii="Arial" w:hAnsi="Arial" w:cs="Arial"/>
          <w:b/>
          <w:bCs/>
        </w:rPr>
        <w:t xml:space="preserve">MOLECULAR PHYLOGENETIC ASSESSSMENT </w:t>
      </w:r>
      <w:r w:rsidR="00104CB0" w:rsidRPr="0089368B">
        <w:rPr>
          <w:rFonts w:ascii="Arial" w:hAnsi="Arial" w:cs="Arial"/>
          <w:b/>
          <w:bCs/>
        </w:rPr>
        <w:t xml:space="preserve">OF </w:t>
      </w:r>
      <w:r w:rsidRPr="0089368B">
        <w:rPr>
          <w:rFonts w:ascii="Arial" w:hAnsi="Arial" w:cs="Arial"/>
          <w:b/>
          <w:bCs/>
          <w:i/>
          <w:iCs/>
        </w:rPr>
        <w:t xml:space="preserve">GARRA MULLYA </w:t>
      </w:r>
      <w:r w:rsidRPr="0089368B">
        <w:rPr>
          <w:rFonts w:ascii="Arial" w:hAnsi="Arial" w:cs="Arial"/>
          <w:b/>
          <w:bCs/>
        </w:rPr>
        <w:t xml:space="preserve">(SYKES, 1839) AND </w:t>
      </w:r>
      <w:r w:rsidR="00104CB0" w:rsidRPr="0089368B">
        <w:rPr>
          <w:rFonts w:ascii="Arial" w:hAnsi="Arial" w:cs="Arial"/>
          <w:b/>
          <w:bCs/>
          <w:i/>
          <w:iCs/>
        </w:rPr>
        <w:t>PARAMBASSIS RANGA</w:t>
      </w:r>
      <w:r w:rsidR="00104CB0" w:rsidRPr="0089368B">
        <w:rPr>
          <w:rFonts w:ascii="Arial" w:hAnsi="Arial" w:cs="Arial"/>
          <w:b/>
          <w:bCs/>
        </w:rPr>
        <w:t xml:space="preserve"> (HAMILTON, 1822) FROM UJANI </w:t>
      </w:r>
      <w:r w:rsidR="00495A19" w:rsidRPr="0089368B">
        <w:rPr>
          <w:rFonts w:ascii="Arial" w:hAnsi="Arial" w:cs="Arial"/>
          <w:b/>
          <w:bCs/>
        </w:rPr>
        <w:t>RESERVOIR</w:t>
      </w:r>
      <w:r w:rsidR="00075BD9" w:rsidRPr="0089368B">
        <w:rPr>
          <w:rFonts w:ascii="Arial" w:hAnsi="Arial" w:cs="Arial"/>
          <w:b/>
          <w:bCs/>
        </w:rPr>
        <w:t xml:space="preserve"> OF </w:t>
      </w:r>
      <w:r w:rsidR="00104CB0" w:rsidRPr="0089368B">
        <w:rPr>
          <w:rFonts w:ascii="Arial" w:hAnsi="Arial" w:cs="Arial"/>
          <w:b/>
          <w:bCs/>
        </w:rPr>
        <w:t>MAHARASHTRA, INDIA</w:t>
      </w:r>
    </w:p>
    <w:p w14:paraId="2EC9A06A" w14:textId="77777777" w:rsidR="009512C9" w:rsidRPr="0089368B" w:rsidRDefault="009512C9" w:rsidP="00075BD9">
      <w:pPr>
        <w:spacing w:after="0" w:line="480" w:lineRule="auto"/>
        <w:jc w:val="center"/>
        <w:rPr>
          <w:rFonts w:ascii="Arial" w:hAnsi="Arial" w:cs="Arial"/>
          <w:b/>
          <w:bCs/>
          <w:sz w:val="20"/>
          <w:szCs w:val="20"/>
        </w:rPr>
      </w:pPr>
    </w:p>
    <w:p w14:paraId="081BD2C2" w14:textId="77777777" w:rsidR="00495A19" w:rsidRPr="0089368B" w:rsidRDefault="00495A19" w:rsidP="00075BD9">
      <w:pPr>
        <w:spacing w:after="0" w:line="480" w:lineRule="auto"/>
        <w:jc w:val="both"/>
        <w:rPr>
          <w:rFonts w:ascii="Arial" w:eastAsia="Times New Roman" w:hAnsi="Arial" w:cs="Arial"/>
          <w:sz w:val="20"/>
          <w:szCs w:val="20"/>
        </w:rPr>
      </w:pPr>
    </w:p>
    <w:p w14:paraId="2E71248F" w14:textId="77777777" w:rsidR="00495A19" w:rsidRPr="0089368B" w:rsidRDefault="009512C9" w:rsidP="00075BD9">
      <w:pPr>
        <w:spacing w:after="0" w:line="480" w:lineRule="auto"/>
        <w:jc w:val="both"/>
        <w:rPr>
          <w:rFonts w:ascii="Arial" w:eastAsia="Times New Roman" w:hAnsi="Arial" w:cs="Arial"/>
        </w:rPr>
      </w:pPr>
      <w:r w:rsidRPr="0089368B">
        <w:rPr>
          <w:rFonts w:ascii="Arial" w:eastAsia="Times New Roman" w:hAnsi="Arial" w:cs="Arial"/>
          <w:b/>
          <w:bCs/>
        </w:rPr>
        <w:t xml:space="preserve">Abstract: </w:t>
      </w:r>
    </w:p>
    <w:p w14:paraId="6F716F72" w14:textId="77777777" w:rsidR="00294C1C" w:rsidRDefault="00294C1C" w:rsidP="00BD13CF">
      <w:pPr>
        <w:spacing w:after="0" w:line="480" w:lineRule="auto"/>
        <w:jc w:val="both"/>
      </w:pPr>
      <w:r>
        <w:t xml:space="preserve">This study assessed the molecular identity and phylogenetic placement of </w:t>
      </w:r>
      <w:proofErr w:type="spellStart"/>
      <w:r>
        <w:rPr>
          <w:rStyle w:val="Emphasis"/>
        </w:rPr>
        <w:t>Garra</w:t>
      </w:r>
      <w:proofErr w:type="spellEnd"/>
      <w:r>
        <w:rPr>
          <w:rStyle w:val="Emphasis"/>
        </w:rPr>
        <w:t xml:space="preserve"> </w:t>
      </w:r>
      <w:proofErr w:type="spellStart"/>
      <w:r>
        <w:rPr>
          <w:rStyle w:val="Emphasis"/>
        </w:rPr>
        <w:t>mullya</w:t>
      </w:r>
      <w:proofErr w:type="spellEnd"/>
      <w:r>
        <w:t xml:space="preserve"> and </w:t>
      </w:r>
      <w:proofErr w:type="spellStart"/>
      <w:r>
        <w:rPr>
          <w:rStyle w:val="Emphasis"/>
        </w:rPr>
        <w:t>Parambassis</w:t>
      </w:r>
      <w:proofErr w:type="spellEnd"/>
      <w:r>
        <w:rPr>
          <w:rStyle w:val="Emphasis"/>
        </w:rPr>
        <w:t xml:space="preserve"> </w:t>
      </w:r>
      <w:proofErr w:type="spellStart"/>
      <w:r>
        <w:rPr>
          <w:rStyle w:val="Emphasis"/>
        </w:rPr>
        <w:t>ranga</w:t>
      </w:r>
      <w:proofErr w:type="spellEnd"/>
      <w:r>
        <w:t xml:space="preserve"> from the Ujani Reservoir, Maharashtra, using mitochondrial cytochrome </w:t>
      </w:r>
      <w:r>
        <w:rPr>
          <w:rStyle w:val="Emphasis"/>
        </w:rPr>
        <w:t>c</w:t>
      </w:r>
      <w:r>
        <w:t xml:space="preserve"> oxidase subunit I (COI) sequences. Fish specimens were collected during 2022–2023, and fin or muscle tissues were preserved in 95% ethanol. Genomic DNA was extracted, the COI region was amplified using universal primers, and purified amplicons were subjected to bidirectional sequencing. Sequence identities were evaluated against the NCBI nucleotide database, and phylogenetic relationships were examined using comparative GenBank records. The </w:t>
      </w:r>
      <w:proofErr w:type="spellStart"/>
      <w:r>
        <w:rPr>
          <w:rStyle w:val="Emphasis"/>
        </w:rPr>
        <w:t>Garra</w:t>
      </w:r>
      <w:proofErr w:type="spellEnd"/>
      <w:r>
        <w:rPr>
          <w:rStyle w:val="Emphasis"/>
        </w:rPr>
        <w:t xml:space="preserve"> </w:t>
      </w:r>
      <w:proofErr w:type="spellStart"/>
      <w:r>
        <w:rPr>
          <w:rStyle w:val="Emphasis"/>
        </w:rPr>
        <w:t>mullya</w:t>
      </w:r>
      <w:proofErr w:type="spellEnd"/>
      <w:r>
        <w:t xml:space="preserve"> sequences generated in the study clustered with records from Maharashtra, indicating close regional affinity and limited divergence within the sampled lineage. Sequences from other Indian regions formed adjacent but distinguishable subclusters, suggesting geographic structuring across river basins. </w:t>
      </w:r>
      <w:proofErr w:type="spellStart"/>
      <w:r>
        <w:rPr>
          <w:rStyle w:val="Emphasis"/>
        </w:rPr>
        <w:t>Parambassis</w:t>
      </w:r>
      <w:proofErr w:type="spellEnd"/>
      <w:r>
        <w:rPr>
          <w:rStyle w:val="Emphasis"/>
        </w:rPr>
        <w:t xml:space="preserve"> </w:t>
      </w:r>
      <w:proofErr w:type="spellStart"/>
      <w:r>
        <w:rPr>
          <w:rStyle w:val="Emphasis"/>
        </w:rPr>
        <w:t>ranga</w:t>
      </w:r>
      <w:proofErr w:type="spellEnd"/>
      <w:r>
        <w:t xml:space="preserve"> showed greater phylogenetic subdivision, with one sequence associated with northeastern Indian records and two sequences grouped with Maharashtra records. These patterns indicate geographically structured lineages within the available dataset. However, the observed clustering should be interpreted cautiously because the number of locally generated sequences was limited and the analysis relied on a single mitochondrial marker. The study provides additional COI reference sequences for both species from the Ujani Reservoir and supports the use of molecular evidence alongside morphology, broader geographic sampling, and </w:t>
      </w:r>
      <w:proofErr w:type="spellStart"/>
      <w:r>
        <w:t>multilocus</w:t>
      </w:r>
      <w:proofErr w:type="spellEnd"/>
      <w:r>
        <w:t xml:space="preserve"> analyses for future taxonomic and conservation assessments.</w:t>
      </w:r>
    </w:p>
    <w:p w14:paraId="33EF5321" w14:textId="2E6B8F9E" w:rsidR="00566F58" w:rsidRPr="0089368B" w:rsidRDefault="00566F58" w:rsidP="00BD13CF">
      <w:pPr>
        <w:spacing w:after="0" w:line="480" w:lineRule="auto"/>
        <w:jc w:val="both"/>
        <w:rPr>
          <w:rFonts w:ascii="Arial" w:eastAsia="Times New Roman" w:hAnsi="Arial" w:cs="Arial"/>
          <w:b/>
          <w:bCs/>
          <w:sz w:val="20"/>
          <w:szCs w:val="20"/>
        </w:rPr>
      </w:pPr>
      <w:r w:rsidRPr="0089368B">
        <w:rPr>
          <w:rFonts w:ascii="Arial" w:eastAsia="Times New Roman" w:hAnsi="Arial" w:cs="Arial"/>
          <w:b/>
          <w:bCs/>
        </w:rPr>
        <w:lastRenderedPageBreak/>
        <w:t>Keywords:</w:t>
      </w:r>
      <w:r w:rsidR="00700A85" w:rsidRPr="0089368B">
        <w:rPr>
          <w:rFonts w:ascii="Arial" w:eastAsia="Times New Roman" w:hAnsi="Arial" w:cs="Arial"/>
          <w:b/>
          <w:bCs/>
        </w:rPr>
        <w:t xml:space="preserve"> </w:t>
      </w:r>
      <w:r w:rsidR="00BD13CF">
        <w:t xml:space="preserve">DNA barcoding; cytochrome </w:t>
      </w:r>
      <w:r w:rsidR="00BD13CF">
        <w:rPr>
          <w:rStyle w:val="Emphasis"/>
        </w:rPr>
        <w:t>c</w:t>
      </w:r>
      <w:r w:rsidR="00BD13CF">
        <w:t xml:space="preserve"> oxidase subunit I; freshwater fishes; molecular phylogenetics; Ujani Reservoir; genetic structuring; regional lineages; cryptic diversity; </w:t>
      </w:r>
      <w:proofErr w:type="spellStart"/>
      <w:r w:rsidR="00BD13CF">
        <w:rPr>
          <w:rStyle w:val="Emphasis"/>
        </w:rPr>
        <w:t>Garra</w:t>
      </w:r>
      <w:proofErr w:type="spellEnd"/>
      <w:r w:rsidR="00BD13CF">
        <w:rPr>
          <w:rStyle w:val="Emphasis"/>
        </w:rPr>
        <w:t xml:space="preserve"> </w:t>
      </w:r>
      <w:proofErr w:type="spellStart"/>
      <w:r w:rsidR="00BD13CF">
        <w:rPr>
          <w:rStyle w:val="Emphasis"/>
        </w:rPr>
        <w:t>mullya</w:t>
      </w:r>
      <w:proofErr w:type="spellEnd"/>
      <w:r w:rsidR="00BD13CF">
        <w:t xml:space="preserve">; </w:t>
      </w:r>
      <w:proofErr w:type="spellStart"/>
      <w:r w:rsidR="00BD13CF">
        <w:rPr>
          <w:rStyle w:val="Emphasis"/>
        </w:rPr>
        <w:t>Parambassis</w:t>
      </w:r>
      <w:proofErr w:type="spellEnd"/>
      <w:r w:rsidR="00BD13CF">
        <w:rPr>
          <w:rStyle w:val="Emphasis"/>
        </w:rPr>
        <w:t xml:space="preserve"> </w:t>
      </w:r>
      <w:proofErr w:type="spellStart"/>
      <w:r w:rsidR="00BD13CF">
        <w:rPr>
          <w:rStyle w:val="Emphasis"/>
        </w:rPr>
        <w:t>ranga</w:t>
      </w:r>
      <w:proofErr w:type="spellEnd"/>
    </w:p>
    <w:p w14:paraId="7F54DB5F" w14:textId="77777777" w:rsidR="009512C9" w:rsidRPr="0089368B" w:rsidRDefault="009512C9" w:rsidP="00075BD9">
      <w:pPr>
        <w:spacing w:after="0" w:line="480" w:lineRule="auto"/>
        <w:rPr>
          <w:rFonts w:ascii="Arial" w:eastAsia="Times New Roman" w:hAnsi="Arial" w:cs="Arial"/>
          <w:b/>
          <w:bCs/>
          <w:sz w:val="20"/>
          <w:szCs w:val="20"/>
        </w:rPr>
      </w:pPr>
    </w:p>
    <w:p w14:paraId="7570C92A" w14:textId="77777777" w:rsidR="00BE321E" w:rsidRPr="0089368B" w:rsidRDefault="00BE321E" w:rsidP="00075BD9">
      <w:pPr>
        <w:spacing w:after="0" w:line="480" w:lineRule="auto"/>
        <w:rPr>
          <w:rFonts w:ascii="Arial" w:eastAsia="Times New Roman" w:hAnsi="Arial" w:cs="Arial"/>
          <w:b/>
          <w:bCs/>
          <w:sz w:val="20"/>
          <w:szCs w:val="20"/>
        </w:rPr>
      </w:pPr>
    </w:p>
    <w:p w14:paraId="02E241A1" w14:textId="77777777" w:rsidR="00104CB0" w:rsidRPr="0089368B" w:rsidRDefault="00330EDC" w:rsidP="00075BD9">
      <w:pPr>
        <w:spacing w:after="0" w:line="480" w:lineRule="auto"/>
        <w:rPr>
          <w:rFonts w:ascii="Arial" w:eastAsia="Times New Roman" w:hAnsi="Arial" w:cs="Arial"/>
          <w:b/>
          <w:bCs/>
        </w:rPr>
      </w:pPr>
      <w:r w:rsidRPr="0089368B">
        <w:rPr>
          <w:rFonts w:ascii="Arial" w:eastAsia="Times New Roman" w:hAnsi="Arial" w:cs="Arial"/>
          <w:b/>
          <w:bCs/>
        </w:rPr>
        <w:t xml:space="preserve">1. </w:t>
      </w:r>
      <w:r w:rsidR="00104CB0" w:rsidRPr="0089368B">
        <w:rPr>
          <w:rFonts w:ascii="Arial" w:eastAsia="Times New Roman" w:hAnsi="Arial" w:cs="Arial"/>
          <w:b/>
          <w:bCs/>
        </w:rPr>
        <w:t xml:space="preserve">Introduction: </w:t>
      </w:r>
    </w:p>
    <w:p w14:paraId="3CFC6A39" w14:textId="77777777" w:rsidR="00BE321E" w:rsidRPr="0089368B"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hAnsi="Arial"/>
          <w:sz w:val="20"/>
        </w:rPr>
        <w:t>DNA barcoding is one of the most widely applied molecular tools in taxonomic research, facilitating the reliable identification and discovery of species across diverse biological groups (Hajibabaei et al., 2007; Stein et al., 2014). Within a decade, the approach has been adopted in more than a thousand projects worldwide, underscoring its rapid acceptance and utility. Its effectiveness has been demonstrated across numerous animal taxa, encompassing both invertebrates and vertebrates (Hebert et al., 2004; Huemer et al., 2014). Among these, fishes represent one of the most extensively studied groups. DNA barcoding has significantly advanced ichthyofaunal surveys in marine and freshwater systems across India, enabling the resolution of cryptic species complexes and revealing previously unrecognised diversity (Lakra et al., 2011; Lakra et al., 2016). The assessment of fish diversity and genetic variation is fundamental to effective fisheries development and management (Panprommin et al., 2019).</w:t>
      </w:r>
    </w:p>
    <w:p w14:paraId="3A83D10B" w14:textId="77777777" w:rsidR="00E33BF7" w:rsidRPr="0089368B" w:rsidRDefault="00700A85" w:rsidP="00700A85">
      <w:pPr>
        <w:spacing w:line="480" w:lineRule="auto"/>
        <w:jc w:val="both"/>
        <w:rPr>
          <w:rFonts w:ascii="Arial" w:hAnsi="Arial" w:cs="Arial"/>
          <w:sz w:val="20"/>
          <w:szCs w:val="20"/>
        </w:rPr>
      </w:pPr>
      <w:r w:rsidRPr="0089368B">
        <w:rPr>
          <w:rFonts w:ascii="Arial" w:hAnsi="Arial"/>
          <w:sz w:val="20"/>
        </w:rPr>
        <w:t>In fish systematics, the mitochondrial cytochrome c oxidase subunit I (COI) region is particularly useful because it provides a standardised sequence for comparing specimens with reference libraries while remaining sufficiently conservative for broad amplification across taxa. Its value for species-level identification has been demonstrated in foundational animal-barcoding work and in large fish-barcoding datasets, in which most species formed recognisable sequence clusters (Hebert et al., 2003; Lakra et al., 2016; Ward et al., 2005).</w:t>
      </w:r>
    </w:p>
    <w:p w14:paraId="6DF776A6" w14:textId="77777777" w:rsidR="00D16818" w:rsidRPr="0089368B" w:rsidRDefault="00000000">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eastAsia="Arial" w:hAnsi="Arial"/>
          <w:b/>
          <w:sz w:val="20"/>
        </w:rPr>
        <w:t>Recent COI-based studies on Indian freshwater fishes have further shown that DNA barcoding can support species identification, phylogenetic assessment, and the development of reference libraries for regional fish diversity (Uikey et al., 2025; Sahu et al., 2025).</w:t>
      </w:r>
    </w:p>
    <w:p w14:paraId="498FAE79" w14:textId="77777777" w:rsidR="00104CB0" w:rsidRPr="0089368B"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hAnsi="Arial"/>
          <w:sz w:val="20"/>
        </w:rPr>
        <w:lastRenderedPageBreak/>
        <w:t>Traditionally, species identification has relied on morphological and meristic traits, such as fin-ray counts and scale numbers. However, these characters often overlap among species, making accurate identification challenging (Xing et al., 2018). In molecular taxonomy, integrating gene-sequence analysis with classical morphological evaluation provides a more robust framework for species identification (Dayrat, 2005). Molecular markers, particularly mitochondrial and nuclear gene sequences, are now routinely employed to support species discrimination and assess intraspecific and interspecific genetic diversity (Teletchea, 2009; Ward et al., 2005). This combined approach enhances taxonomic resolution and contributes to a more comprehensive understanding of fish biodiversity.</w:t>
      </w:r>
    </w:p>
    <w:p w14:paraId="28252EA7" w14:textId="77777777" w:rsidR="00D16818" w:rsidRPr="0089368B" w:rsidRDefault="00000000">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eastAsia="Arial" w:hAnsi="Arial"/>
          <w:b/>
          <w:sz w:val="20"/>
        </w:rPr>
        <w:t>Similarly, an integrative analysis of an ambassid fish using morphological observations and COI sequence data demonstrated the value of combining these approaches for species-level identification and phylogenetic interpretation (Sahu et al., 2024).</w:t>
      </w:r>
    </w:p>
    <w:p w14:paraId="357B7637" w14:textId="77777777" w:rsidR="00216047" w:rsidRPr="0089368B" w:rsidRDefault="00104CB0" w:rsidP="00075BD9">
      <w:pPr>
        <w:spacing w:line="480" w:lineRule="auto"/>
        <w:ind w:firstLine="720"/>
        <w:jc w:val="both"/>
        <w:rPr>
          <w:rFonts w:ascii="Arial" w:eastAsia="Times New Roman" w:hAnsi="Arial" w:cs="Arial"/>
          <w:sz w:val="20"/>
          <w:szCs w:val="20"/>
        </w:rPr>
      </w:pPr>
      <w:r w:rsidRPr="0089368B">
        <w:rPr>
          <w:rFonts w:ascii="Arial" w:hAnsi="Arial"/>
          <w:i/>
          <w:sz w:val="20"/>
        </w:rPr>
        <w:t>Garra mullya</w:t>
      </w:r>
      <w:r w:rsidRPr="0089368B">
        <w:rPr>
          <w:rFonts w:ascii="Arial" w:hAnsi="Arial"/>
          <w:sz w:val="20"/>
        </w:rPr>
        <w:t xml:space="preserve"> (Family: Cyprinidae), commonly referred to as the stone sucker, was first described from its type locality in the Bhima River at Daund, Maharashtra. It has a broad distribution throughout the inland waters of India, except in the Himalayan and Assamese regions (Talwar &amp; Jhingran, 1991). Within the Ujani wetland, the focal site of the present study, </w:t>
      </w:r>
      <w:r w:rsidRPr="0089368B">
        <w:rPr>
          <w:rFonts w:ascii="Arial" w:hAnsi="Arial"/>
          <w:i/>
          <w:sz w:val="20"/>
        </w:rPr>
        <w:t>G. mullya</w:t>
      </w:r>
      <w:r w:rsidRPr="0089368B">
        <w:rPr>
          <w:rFonts w:ascii="Arial" w:hAnsi="Arial"/>
          <w:sz w:val="20"/>
        </w:rPr>
        <w:t xml:space="preserve"> has previously been reported by Yazdani and Singh (2002), Sarwade and Khillare (2010), and Markad et al. (2025). The genus </w:t>
      </w:r>
      <w:r w:rsidRPr="0089368B">
        <w:rPr>
          <w:rFonts w:ascii="Arial" w:hAnsi="Arial"/>
          <w:i/>
          <w:sz w:val="20"/>
        </w:rPr>
        <w:t>Parambassis</w:t>
      </w:r>
      <w:r w:rsidRPr="0089368B">
        <w:rPr>
          <w:rFonts w:ascii="Arial" w:hAnsi="Arial"/>
          <w:sz w:val="20"/>
        </w:rPr>
        <w:t xml:space="preserve">, formerly placed in the order Perciformes and now classified within Ovalentaria, comprises 19 valid species whose distribution is largely confined to the Asian continent. </w:t>
      </w:r>
      <w:r w:rsidRPr="0089368B">
        <w:rPr>
          <w:rFonts w:ascii="Arial" w:hAnsi="Arial"/>
          <w:i/>
          <w:sz w:val="20"/>
        </w:rPr>
        <w:t>Parambassis ranga</w:t>
      </w:r>
      <w:r w:rsidRPr="0089368B">
        <w:rPr>
          <w:rFonts w:ascii="Arial" w:hAnsi="Arial"/>
          <w:sz w:val="20"/>
        </w:rPr>
        <w:t xml:space="preserve"> (Family: Ambassidae), widely known as the Indian glassfish, was originally described from the Gangetic plains (Hamilton, 1822). The present study employs COI-based sequencing to elucidate the genetic identity and phylogenetic placement of </w:t>
      </w:r>
      <w:r w:rsidRPr="0089368B">
        <w:rPr>
          <w:rFonts w:ascii="Arial" w:hAnsi="Arial"/>
          <w:i/>
          <w:sz w:val="20"/>
        </w:rPr>
        <w:t>G. mullya</w:t>
      </w:r>
      <w:r w:rsidRPr="0089368B">
        <w:rPr>
          <w:rFonts w:ascii="Arial" w:hAnsi="Arial"/>
          <w:sz w:val="20"/>
        </w:rPr>
        <w:t xml:space="preserve"> and </w:t>
      </w:r>
      <w:r w:rsidRPr="0089368B">
        <w:rPr>
          <w:rFonts w:ascii="Arial" w:hAnsi="Arial"/>
          <w:i/>
          <w:sz w:val="20"/>
        </w:rPr>
        <w:t>P. ranga</w:t>
      </w:r>
      <w:r w:rsidRPr="0089368B">
        <w:rPr>
          <w:rFonts w:ascii="Arial" w:hAnsi="Arial"/>
          <w:sz w:val="20"/>
        </w:rPr>
        <w:t xml:space="preserve"> from the Ujani wetland, Maharashtra, thereby contributing to regional biodiversity assessments and improving molecular reference data for these taxa.</w:t>
      </w:r>
    </w:p>
    <w:p w14:paraId="5C72E2A3" w14:textId="77777777" w:rsidR="002B1BF1" w:rsidRPr="0089368B" w:rsidRDefault="002B1BF1" w:rsidP="005F5F25">
      <w:pPr>
        <w:spacing w:line="480" w:lineRule="auto"/>
        <w:ind w:firstLine="720"/>
        <w:jc w:val="both"/>
        <w:rPr>
          <w:rFonts w:ascii="Arial" w:eastAsia="Times New Roman" w:hAnsi="Arial" w:cs="Arial"/>
          <w:sz w:val="20"/>
          <w:szCs w:val="20"/>
        </w:rPr>
      </w:pPr>
      <w:r w:rsidRPr="0089368B">
        <w:rPr>
          <w:rFonts w:ascii="Arial" w:hAnsi="Arial"/>
          <w:sz w:val="20"/>
        </w:rPr>
        <w:t xml:space="preserve">Misidentification and ambiguity remain challenges in fish identification. Molecular phylogeny is a reliable tool for validating fish identification; therefore, the present approach was undertaken to validate the identities of both study species. Recent Indian freshwater-fish barcoding studies further indicate that COI data can strengthen regional faunal inventories by clarifying specimen identity, detecting divergent haplotypes, and highlighting candidate cryptic diversity across river systems and biodiversity hotspots </w:t>
      </w:r>
      <w:r w:rsidRPr="0089368B">
        <w:rPr>
          <w:rFonts w:ascii="Arial" w:hAnsi="Arial"/>
          <w:sz w:val="20"/>
        </w:rPr>
        <w:lastRenderedPageBreak/>
        <w:t>(Barman et al., 2018; Kundu et al., 2019; Modeel et al., 2024). In this context, additional sequence records from the Ujani wetland are valuable because reservoir and riverine habitats in India can contain geographically structured fish populations that require careful taxonomic and conservation interpretation (Khedkar et al., 2014; Patil et al., 2018).</w:t>
      </w:r>
    </w:p>
    <w:p w14:paraId="3E6D6C12" w14:textId="77777777" w:rsidR="00D16818" w:rsidRPr="0089368B" w:rsidRDefault="00000000">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hAnsi="Arial"/>
          <w:sz w:val="20"/>
        </w:rPr>
        <w:t xml:space="preserve">However, molecular evidence based on locally generated COI sequences remains limited for confirming the identities and phylogenetic placement of </w:t>
      </w:r>
      <w:r w:rsidRPr="0089368B">
        <w:rPr>
          <w:rFonts w:ascii="Arial" w:hAnsi="Arial"/>
          <w:i/>
          <w:sz w:val="20"/>
        </w:rPr>
        <w:t>Garra mullya</w:t>
      </w:r>
      <w:r w:rsidRPr="0089368B">
        <w:rPr>
          <w:rFonts w:ascii="Arial" w:hAnsi="Arial"/>
          <w:sz w:val="20"/>
        </w:rPr>
        <w:t xml:space="preserve"> and </w:t>
      </w:r>
      <w:r w:rsidRPr="0089368B">
        <w:rPr>
          <w:rFonts w:ascii="Arial" w:hAnsi="Arial"/>
          <w:i/>
          <w:sz w:val="20"/>
        </w:rPr>
        <w:t>Parambassis ranga</w:t>
      </w:r>
      <w:r w:rsidRPr="0089368B">
        <w:rPr>
          <w:rFonts w:ascii="Arial" w:hAnsi="Arial"/>
          <w:sz w:val="20"/>
        </w:rPr>
        <w:t xml:space="preserve"> from the Ujani wetland.</w:t>
      </w:r>
    </w:p>
    <w:p w14:paraId="06D7B4C0" w14:textId="77777777" w:rsidR="00D16818" w:rsidRPr="0089368B" w:rsidRDefault="00000000">
      <w:pPr>
        <w:keepNext/>
        <w:spacing w:line="480" w:lineRule="auto"/>
        <w:jc w:val="both"/>
        <w:rPr>
          <w:rFonts w:ascii="Arial" w:eastAsia="Times New Roman" w:hAnsi="Arial" w:cs="Arial"/>
        </w:rPr>
      </w:pPr>
      <w:r w:rsidRPr="0089368B">
        <w:rPr>
          <w:rFonts w:ascii="Arial" w:eastAsia="Arial" w:hAnsi="Arial"/>
          <w:b/>
          <w:sz w:val="20"/>
        </w:rPr>
        <w:t>Objective of the Study:</w:t>
      </w:r>
    </w:p>
    <w:p w14:paraId="1C3DE4CC" w14:textId="77777777" w:rsidR="00D16818" w:rsidRPr="0089368B" w:rsidRDefault="00000000">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hAnsi="Arial"/>
          <w:sz w:val="20"/>
        </w:rPr>
        <w:t xml:space="preserve">The objective of the present study was to validate the identities and assess the phylogenetic placement of </w:t>
      </w:r>
      <w:r w:rsidRPr="0089368B">
        <w:rPr>
          <w:rFonts w:ascii="Arial" w:hAnsi="Arial"/>
          <w:i/>
          <w:sz w:val="20"/>
        </w:rPr>
        <w:t>Garra mullya</w:t>
      </w:r>
      <w:r w:rsidRPr="0089368B">
        <w:rPr>
          <w:rFonts w:ascii="Arial" w:hAnsi="Arial"/>
          <w:sz w:val="20"/>
        </w:rPr>
        <w:t xml:space="preserve"> and </w:t>
      </w:r>
      <w:r w:rsidRPr="0089368B">
        <w:rPr>
          <w:rFonts w:ascii="Arial" w:hAnsi="Arial"/>
          <w:i/>
          <w:sz w:val="20"/>
        </w:rPr>
        <w:t>Parambassis ranga</w:t>
      </w:r>
      <w:r w:rsidRPr="0089368B">
        <w:rPr>
          <w:rFonts w:ascii="Arial" w:hAnsi="Arial"/>
          <w:sz w:val="20"/>
        </w:rPr>
        <w:t xml:space="preserve"> from the Ujani wetland using COI-based sequencing.</w:t>
      </w:r>
    </w:p>
    <w:p w14:paraId="0D7F1EAF" w14:textId="77777777" w:rsidR="00104CB0" w:rsidRPr="0089368B" w:rsidRDefault="00330EDC" w:rsidP="00075BD9">
      <w:pPr>
        <w:spacing w:line="480" w:lineRule="auto"/>
        <w:jc w:val="both"/>
        <w:rPr>
          <w:rFonts w:ascii="Arial" w:eastAsia="Times New Roman" w:hAnsi="Arial" w:cs="Arial"/>
        </w:rPr>
      </w:pPr>
      <w:r w:rsidRPr="0089368B">
        <w:rPr>
          <w:rFonts w:ascii="Arial" w:hAnsi="Arial" w:cs="Arial"/>
          <w:b/>
        </w:rPr>
        <w:t xml:space="preserve">2. </w:t>
      </w:r>
      <w:r w:rsidR="00104CB0" w:rsidRPr="0089368B">
        <w:rPr>
          <w:rFonts w:ascii="Arial" w:hAnsi="Arial" w:cs="Arial"/>
          <w:b/>
        </w:rPr>
        <w:t>Material and Methods:</w:t>
      </w:r>
    </w:p>
    <w:p w14:paraId="60C8D85E" w14:textId="77777777" w:rsidR="00104CB0" w:rsidRPr="0089368B"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89368B">
        <w:rPr>
          <w:rFonts w:ascii="Arial" w:eastAsia="Times New Roman" w:hAnsi="Arial" w:cs="Arial"/>
          <w:b/>
          <w:bCs/>
          <w:sz w:val="20"/>
          <w:szCs w:val="20"/>
        </w:rPr>
        <w:t xml:space="preserve">2.1. </w:t>
      </w:r>
      <w:r w:rsidR="00104CB0" w:rsidRPr="0089368B">
        <w:rPr>
          <w:rFonts w:ascii="Arial" w:eastAsia="Times New Roman" w:hAnsi="Arial" w:cs="Arial"/>
          <w:b/>
          <w:bCs/>
          <w:sz w:val="20"/>
          <w:szCs w:val="20"/>
        </w:rPr>
        <w:t>Collection and Preservation of Samples</w:t>
      </w:r>
    </w:p>
    <w:p w14:paraId="14218237" w14:textId="77777777" w:rsidR="00104CB0" w:rsidRPr="0089368B"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eastAsia="Times New Roman" w:hAnsi="Arial" w:cs="Arial"/>
          <w:sz w:val="20"/>
          <w:szCs w:val="20"/>
        </w:rPr>
        <w:t xml:space="preserve">Field sampling was conducted between 2022 and 2023 in Ujani wetland, Maharashtra, India. Specimens were obtained during multiple field visits using standard capture methods. Tissue samples intended for molecular analyses were excised from muscle or fin tissue and immediately preserved in 95% ethanol to ensure DNA integrity. </w:t>
      </w:r>
    </w:p>
    <w:p w14:paraId="648D3951" w14:textId="77777777" w:rsidR="00104CB0" w:rsidRPr="0089368B"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89368B">
        <w:rPr>
          <w:rFonts w:ascii="Arial" w:eastAsia="Times New Roman" w:hAnsi="Arial" w:cs="Arial"/>
          <w:b/>
          <w:bCs/>
          <w:sz w:val="20"/>
          <w:szCs w:val="20"/>
        </w:rPr>
        <w:t xml:space="preserve">2.2. </w:t>
      </w:r>
      <w:r w:rsidR="007867E4" w:rsidRPr="0089368B">
        <w:rPr>
          <w:rFonts w:ascii="Arial" w:eastAsia="Times New Roman" w:hAnsi="Arial" w:cs="Arial"/>
          <w:b/>
          <w:bCs/>
          <w:sz w:val="20"/>
          <w:szCs w:val="20"/>
        </w:rPr>
        <w:t xml:space="preserve">DNA Extraction </w:t>
      </w:r>
    </w:p>
    <w:p w14:paraId="18DCC141" w14:textId="77777777" w:rsidR="00BE321E" w:rsidRPr="0089368B" w:rsidRDefault="00104CB0" w:rsidP="00075BD9">
      <w:pPr>
        <w:spacing w:before="100" w:beforeAutospacing="1" w:after="100" w:afterAutospacing="1" w:line="480" w:lineRule="auto"/>
        <w:jc w:val="both"/>
        <w:rPr>
          <w:rFonts w:ascii="Arial" w:eastAsia="Times New Roman" w:hAnsi="Arial" w:cs="Arial"/>
          <w:sz w:val="20"/>
          <w:szCs w:val="20"/>
        </w:rPr>
      </w:pPr>
      <w:r w:rsidRPr="0089368B">
        <w:rPr>
          <w:rFonts w:ascii="Arial" w:hAnsi="Arial"/>
          <w:sz w:val="20"/>
        </w:rPr>
        <w:t>Genomic DNA was isolated from fish fin clips using the DNeasy Blood and Tissue Kit (Qiagen), following the manufacturer's instructions and protocol. The purified DNA was then eluted in 100 µL of 10 mM Tris-Cl buffer (pH 8.0) and quantified using a Qubit 2.0 fluorometer.</w:t>
      </w:r>
    </w:p>
    <w:p w14:paraId="67EE9282" w14:textId="77777777" w:rsidR="00BE321E" w:rsidRPr="0089368B"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89368B">
        <w:rPr>
          <w:rFonts w:ascii="Arial" w:eastAsia="Times New Roman" w:hAnsi="Arial" w:cs="Arial"/>
          <w:b/>
          <w:bCs/>
          <w:sz w:val="20"/>
          <w:szCs w:val="20"/>
        </w:rPr>
        <w:t xml:space="preserve">2.3. </w:t>
      </w:r>
      <w:r w:rsidR="00BE321E" w:rsidRPr="0089368B">
        <w:rPr>
          <w:rFonts w:ascii="Arial" w:eastAsia="Times New Roman" w:hAnsi="Arial" w:cs="Arial"/>
          <w:b/>
          <w:bCs/>
          <w:sz w:val="20"/>
          <w:szCs w:val="20"/>
        </w:rPr>
        <w:t>PCR Amplification</w:t>
      </w:r>
    </w:p>
    <w:p w14:paraId="46777266" w14:textId="77777777" w:rsidR="00BE321E" w:rsidRPr="0089368B" w:rsidRDefault="00104CB0" w:rsidP="00700A85">
      <w:pPr>
        <w:spacing w:before="100" w:beforeAutospacing="1" w:after="100" w:afterAutospacing="1" w:line="480" w:lineRule="auto"/>
        <w:jc w:val="both"/>
        <w:rPr>
          <w:rFonts w:ascii="Arial" w:eastAsia="Times New Roman" w:hAnsi="Arial" w:cs="Arial"/>
          <w:sz w:val="20"/>
          <w:szCs w:val="20"/>
        </w:rPr>
      </w:pPr>
      <w:r w:rsidRPr="0089368B">
        <w:rPr>
          <w:rFonts w:ascii="Arial" w:hAnsi="Arial"/>
          <w:sz w:val="20"/>
        </w:rPr>
        <w:lastRenderedPageBreak/>
        <w:t>Samples yielding ≥50 ng of DNA were selected for PCR amplification of the mitochondrial COI gene using Folmer's universal primers LCO1490 (5'-GGTCAACAAATCATAAAGATATTGG-3') and HCO2198 (5'-TAAACTTCAGGGTGACCAAAAAATCA-3') (Folmer et al., 1994). Positive amplicons were purified using the QIAquick PCR Purification Kit (Qiagen) and then sent for bidirectional sequencing on an ABI 3730xl Genetic Analyzer. The resulting sequences were submitted to NCBI.</w:t>
      </w:r>
    </w:p>
    <w:p w14:paraId="6F6C7F7B" w14:textId="77777777" w:rsidR="00104CB0" w:rsidRPr="0089368B"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89368B">
        <w:rPr>
          <w:rFonts w:ascii="Arial" w:eastAsia="Times New Roman" w:hAnsi="Arial" w:cs="Arial"/>
          <w:b/>
          <w:bCs/>
          <w:sz w:val="20"/>
          <w:szCs w:val="20"/>
        </w:rPr>
        <w:t xml:space="preserve">2.4. </w:t>
      </w:r>
      <w:r w:rsidR="00104CB0" w:rsidRPr="0089368B">
        <w:rPr>
          <w:rFonts w:ascii="Arial" w:eastAsia="Times New Roman" w:hAnsi="Arial" w:cs="Arial"/>
          <w:b/>
          <w:bCs/>
          <w:sz w:val="20"/>
          <w:szCs w:val="20"/>
        </w:rPr>
        <w:t>Phylogenetic Tree Construction</w:t>
      </w:r>
    </w:p>
    <w:p w14:paraId="30637604" w14:textId="77777777" w:rsidR="00104CB0" w:rsidRPr="0089368B"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89368B">
        <w:rPr>
          <w:rFonts w:ascii="Arial" w:hAnsi="Arial"/>
          <w:sz w:val="20"/>
        </w:rPr>
        <w:t>Raw sequence chromatograms (.ab1 files) were inspected and manually curated in CHROMAS Lite (version 2.6.6). Sequence identities were validated using the BLAST algorithm against the NCBI nucleotide database (Altschul et al., 1990; Johnson et al., 2008). Phylogenetic reconstruction was performed in MEGA X using the Maximum Likelihood method under the Tamura 3-parameter (T92) substitution model. A total of 90 and 41 sequences from different genera of Ambassidae and Cyprinidae, respectively, were downloaded from GenBank.</w:t>
      </w:r>
    </w:p>
    <w:p w14:paraId="72B33351" w14:textId="77777777" w:rsidR="00104CB0" w:rsidRPr="0089368B" w:rsidRDefault="00330EDC" w:rsidP="00075BD9">
      <w:pPr>
        <w:spacing w:before="100" w:beforeAutospacing="1" w:after="100" w:afterAutospacing="1" w:line="480" w:lineRule="auto"/>
        <w:jc w:val="both"/>
        <w:rPr>
          <w:rFonts w:ascii="Arial" w:hAnsi="Arial" w:cs="Arial"/>
          <w:b/>
          <w:bCs/>
        </w:rPr>
      </w:pPr>
      <w:r w:rsidRPr="0089368B">
        <w:rPr>
          <w:rFonts w:ascii="Arial" w:hAnsi="Arial" w:cs="Arial"/>
          <w:b/>
          <w:bCs/>
        </w:rPr>
        <w:t>3. Results and Discussion:</w:t>
      </w:r>
    </w:p>
    <w:p w14:paraId="5FC4AFA6" w14:textId="77777777" w:rsidR="00104CB0" w:rsidRPr="0089368B" w:rsidRDefault="00330EDC" w:rsidP="00075BD9">
      <w:pPr>
        <w:spacing w:before="100" w:beforeAutospacing="1" w:after="100" w:afterAutospacing="1" w:line="480" w:lineRule="auto"/>
        <w:jc w:val="both"/>
        <w:rPr>
          <w:rFonts w:ascii="Arial" w:hAnsi="Arial" w:cs="Arial"/>
          <w:sz w:val="20"/>
          <w:szCs w:val="20"/>
        </w:rPr>
      </w:pPr>
      <w:r w:rsidRPr="0089368B">
        <w:rPr>
          <w:rFonts w:ascii="Arial" w:hAnsi="Arial"/>
          <w:b/>
          <w:sz w:val="20"/>
        </w:rPr>
        <w:t xml:space="preserve">3.1. Phylogenetic assessment of </w:t>
      </w:r>
      <w:r w:rsidRPr="0089368B">
        <w:rPr>
          <w:rFonts w:ascii="Arial" w:hAnsi="Arial"/>
          <w:b/>
          <w:i/>
          <w:sz w:val="20"/>
        </w:rPr>
        <w:t>Garra mullya</w:t>
      </w:r>
      <w:r w:rsidRPr="0089368B">
        <w:rPr>
          <w:rFonts w:ascii="Arial" w:hAnsi="Arial"/>
          <w:b/>
          <w:sz w:val="20"/>
        </w:rPr>
        <w:t>:</w:t>
      </w:r>
    </w:p>
    <w:p w14:paraId="17934BA6" w14:textId="77777777" w:rsidR="00104CB0" w:rsidRPr="0089368B" w:rsidRDefault="00104CB0" w:rsidP="00075BD9">
      <w:pPr>
        <w:pStyle w:val="NormalWeb"/>
        <w:spacing w:line="480" w:lineRule="auto"/>
        <w:ind w:firstLine="720"/>
        <w:jc w:val="both"/>
        <w:rPr>
          <w:rFonts w:ascii="Arial" w:hAnsi="Arial" w:cs="Arial"/>
          <w:sz w:val="20"/>
          <w:szCs w:val="20"/>
        </w:rPr>
      </w:pPr>
      <w:r w:rsidRPr="0089368B">
        <w:rPr>
          <w:rFonts w:ascii="Arial" w:hAnsi="Arial"/>
          <w:sz w:val="20"/>
        </w:rPr>
        <w:t xml:space="preserve">The Maximum Likelihood (ML) phylogenetic reconstruction based on mitochondrial COI sequences revealed clear genetic structuring within </w:t>
      </w:r>
      <w:r w:rsidRPr="0089368B">
        <w:rPr>
          <w:rFonts w:ascii="Arial" w:hAnsi="Arial"/>
          <w:i/>
          <w:sz w:val="20"/>
        </w:rPr>
        <w:t>Garra mullya</w:t>
      </w:r>
      <w:r w:rsidRPr="0089368B">
        <w:rPr>
          <w:rFonts w:ascii="Arial" w:hAnsi="Arial"/>
          <w:sz w:val="20"/>
        </w:rPr>
        <w:t xml:space="preserve"> across its distributional range in India. The sequences generated in this study (AA1F–AA3F and AA1R–AA3R) consistently clustered within the major </w:t>
      </w:r>
      <w:r w:rsidRPr="0089368B">
        <w:rPr>
          <w:rFonts w:ascii="Arial" w:hAnsi="Arial"/>
          <w:i/>
          <w:sz w:val="20"/>
        </w:rPr>
        <w:t>G. mullya</w:t>
      </w:r>
      <w:r w:rsidRPr="0089368B">
        <w:rPr>
          <w:rFonts w:ascii="Arial" w:hAnsi="Arial"/>
          <w:sz w:val="20"/>
        </w:rPr>
        <w:t xml:space="preserve"> clade representing populations from Maharashtra, including publicly available sequences such as MK440699.1. Their placement within a strongly supported sub-cluster indicates a high degree of genetic similarity and affirms their taxonomic identity as </w:t>
      </w:r>
      <w:r w:rsidRPr="0089368B">
        <w:rPr>
          <w:rFonts w:ascii="Arial" w:hAnsi="Arial"/>
          <w:i/>
          <w:sz w:val="20"/>
        </w:rPr>
        <w:t>G. mullya</w:t>
      </w:r>
      <w:r w:rsidRPr="0089368B">
        <w:rPr>
          <w:rFonts w:ascii="Arial" w:hAnsi="Arial"/>
          <w:sz w:val="20"/>
        </w:rPr>
        <w:t xml:space="preserve"> from this region (Figure 1).</w:t>
      </w:r>
    </w:p>
    <w:p w14:paraId="08C9D8B4" w14:textId="77777777" w:rsidR="00104CB0" w:rsidRPr="0089368B" w:rsidRDefault="00104CB0" w:rsidP="00075BD9">
      <w:pPr>
        <w:pStyle w:val="NormalWeb"/>
        <w:spacing w:line="480" w:lineRule="auto"/>
        <w:ind w:firstLine="720"/>
        <w:jc w:val="both"/>
        <w:rPr>
          <w:rFonts w:ascii="Arial" w:hAnsi="Arial" w:cs="Arial"/>
          <w:sz w:val="20"/>
          <w:szCs w:val="20"/>
        </w:rPr>
      </w:pPr>
      <w:r w:rsidRPr="0089368B">
        <w:rPr>
          <w:rFonts w:ascii="Arial" w:hAnsi="Arial"/>
          <w:sz w:val="20"/>
        </w:rPr>
        <w:t xml:space="preserve">The close genetic affinity of the newly generated sequences to previously reported Maharashtra specimens suggests low intraspecific divergence within this population. In contrast, </w:t>
      </w:r>
      <w:r w:rsidRPr="0089368B">
        <w:rPr>
          <w:rFonts w:ascii="Arial" w:hAnsi="Arial"/>
          <w:i/>
          <w:sz w:val="20"/>
        </w:rPr>
        <w:t>G. mullya</w:t>
      </w:r>
      <w:r w:rsidRPr="0089368B">
        <w:rPr>
          <w:rFonts w:ascii="Arial" w:hAnsi="Arial"/>
          <w:sz w:val="20"/>
        </w:rPr>
        <w:t xml:space="preserve"> sequences from Chhattisgarh, Andhra Pradesh, and Madhya Pradesh formed adjacent but distinct subclusters, indicating possible geographic structuring and the presence of region-specific haplotypes. Such </w:t>
      </w:r>
      <w:r w:rsidRPr="0089368B">
        <w:rPr>
          <w:rFonts w:ascii="Arial" w:hAnsi="Arial"/>
          <w:sz w:val="20"/>
        </w:rPr>
        <w:lastRenderedPageBreak/>
        <w:t xml:space="preserve">divergence is likely shaped by historical river-basin separation and localised ecological pressures (Khedkar et al., 2014). Sequences originating from Rajasthan and Chhattisgarh also grouped within the broader </w:t>
      </w:r>
      <w:r w:rsidRPr="0089368B">
        <w:rPr>
          <w:rFonts w:ascii="Arial" w:hAnsi="Arial"/>
          <w:i/>
          <w:sz w:val="20"/>
        </w:rPr>
        <w:t>G. mullya</w:t>
      </w:r>
      <w:r w:rsidRPr="0089368B">
        <w:rPr>
          <w:rFonts w:ascii="Arial" w:hAnsi="Arial"/>
          <w:sz w:val="20"/>
        </w:rPr>
        <w:t xml:space="preserve"> lineage but exhibited subtle genetic differentiation. These patterns may reflect environmental adaptation, demographic isolation, or historical population fragmentation (Sabaridasan et al., 2017). The clear separation of all </w:t>
      </w:r>
      <w:r w:rsidRPr="0089368B">
        <w:rPr>
          <w:rFonts w:ascii="Arial" w:hAnsi="Arial"/>
          <w:i/>
          <w:sz w:val="20"/>
        </w:rPr>
        <w:t>G. mullya</w:t>
      </w:r>
      <w:r w:rsidRPr="0089368B">
        <w:rPr>
          <w:rFonts w:ascii="Arial" w:hAnsi="Arial"/>
          <w:sz w:val="20"/>
        </w:rPr>
        <w:t xml:space="preserve"> sequences from the outgroup, </w:t>
      </w:r>
      <w:r w:rsidRPr="0089368B">
        <w:rPr>
          <w:rFonts w:ascii="Arial" w:hAnsi="Arial"/>
          <w:i/>
          <w:sz w:val="20"/>
        </w:rPr>
        <w:t>Catostomus catostomus</w:t>
      </w:r>
      <w:r w:rsidRPr="0089368B">
        <w:rPr>
          <w:rFonts w:ascii="Arial" w:hAnsi="Arial"/>
          <w:sz w:val="20"/>
        </w:rPr>
        <w:t>, confirms the robustness and taxonomic resolution of the ML tree (Ward et al., 2005).</w:t>
      </w:r>
    </w:p>
    <w:p w14:paraId="428B2A1D" w14:textId="77777777" w:rsidR="001D6315" w:rsidRPr="0089368B" w:rsidRDefault="00104CB0" w:rsidP="001D6315">
      <w:pPr>
        <w:pStyle w:val="NormalWeb"/>
        <w:spacing w:line="480" w:lineRule="auto"/>
        <w:ind w:firstLine="720"/>
        <w:jc w:val="both"/>
        <w:rPr>
          <w:rFonts w:ascii="Arial" w:hAnsi="Arial" w:cs="Arial"/>
          <w:sz w:val="20"/>
          <w:szCs w:val="20"/>
        </w:rPr>
      </w:pPr>
      <w:r w:rsidRPr="0089368B">
        <w:rPr>
          <w:rFonts w:ascii="Arial" w:hAnsi="Arial"/>
          <w:sz w:val="20"/>
        </w:rPr>
        <w:t xml:space="preserve">Overall, the placement of AA1F–AA3F and AA1R–AA3R within the Maharashtra clade underscores the genetic cohesion of this regional population and enriches existing knowledge of intraspecific diversity within </w:t>
      </w:r>
      <w:r w:rsidRPr="0089368B">
        <w:rPr>
          <w:rFonts w:ascii="Arial" w:hAnsi="Arial"/>
          <w:i/>
          <w:sz w:val="20"/>
        </w:rPr>
        <w:t>G. mullya</w:t>
      </w:r>
      <w:r w:rsidRPr="0089368B">
        <w:rPr>
          <w:rFonts w:ascii="Arial" w:hAnsi="Arial"/>
          <w:sz w:val="20"/>
        </w:rPr>
        <w:t>. These findings also provide reliable molecular reference points for future barcoding and conservation-oriented studies. The clustering pattern should therefore be interpreted as evidence of regional affinity rather than complete population-level resolution because COI-based datasets are most informative when supported by adequate geographic sampling and comparative reference sequences. Similar studies on Indian freshwater fishes have shown that COI can discriminate closely related taxa and reveal geographically informative lineages, but they also emphasise that barcode results should be evaluated alongside sampling coverage, morphology, and river-basin context (Modeel et al., 2024; Patil et al., 2018; Sharma &amp; Nagar, 2020).</w:t>
      </w:r>
    </w:p>
    <w:p w14:paraId="6FDB6144" w14:textId="77777777" w:rsidR="00E33BF7" w:rsidRPr="0089368B" w:rsidRDefault="00507C36" w:rsidP="001D6315">
      <w:pPr>
        <w:pStyle w:val="NormalWeb"/>
        <w:spacing w:line="480" w:lineRule="auto"/>
        <w:ind w:firstLine="720"/>
        <w:jc w:val="both"/>
        <w:rPr>
          <w:rFonts w:ascii="Arial" w:hAnsi="Arial" w:cs="Arial"/>
          <w:sz w:val="20"/>
          <w:szCs w:val="20"/>
        </w:rPr>
      </w:pPr>
      <w:r w:rsidRPr="0089368B">
        <w:rPr>
          <w:rFonts w:ascii="Arial" w:hAnsi="Arial"/>
          <w:sz w:val="20"/>
        </w:rPr>
        <w:t xml:space="preserve">For </w:t>
      </w:r>
      <w:r w:rsidRPr="0089368B">
        <w:rPr>
          <w:rFonts w:ascii="Arial" w:hAnsi="Arial"/>
          <w:i/>
          <w:sz w:val="20"/>
        </w:rPr>
        <w:t>G. mullya</w:t>
      </w:r>
      <w:r w:rsidRPr="0089368B">
        <w:rPr>
          <w:rFonts w:ascii="Arial" w:hAnsi="Arial"/>
          <w:sz w:val="20"/>
        </w:rPr>
        <w:t>, the association of the present sequences with Maharashtra records is consistent with localised genetic cohesion, whereas the separation of sequences from other Indian regions may reflect river-basin fragmentation, isolation by distance, or unsampled haplotype diversity rather than immediate evidence of taxonomic separation (Khedkar et al., 2014; Kundu et al., 2019).</w:t>
      </w:r>
    </w:p>
    <w:p w14:paraId="4E2F5986" w14:textId="77777777" w:rsidR="00104CB0" w:rsidRPr="0089368B" w:rsidRDefault="00104CB0" w:rsidP="00075BD9">
      <w:pPr>
        <w:pStyle w:val="NormalWeb"/>
        <w:keepNext/>
        <w:spacing w:line="480" w:lineRule="auto"/>
        <w:ind w:firstLine="720"/>
        <w:jc w:val="center"/>
        <w:rPr>
          <w:rFonts w:ascii="Arial" w:hAnsi="Arial" w:cs="Arial"/>
          <w:sz w:val="20"/>
          <w:szCs w:val="20"/>
        </w:rPr>
      </w:pPr>
      <w:r w:rsidRPr="0089368B">
        <w:rPr>
          <w:rFonts w:ascii="Arial" w:hAnsi="Arial" w:cs="Arial"/>
          <w:noProof/>
          <w:sz w:val="20"/>
          <w:szCs w:val="20"/>
        </w:rPr>
        <w:lastRenderedPageBreak/>
        <w:drawing>
          <wp:inline distT="0" distB="0" distL="0" distR="0" wp14:anchorId="1EAB5D83" wp14:editId="2F2F3405">
            <wp:extent cx="3410174" cy="7215994"/>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_bootstrap captio.png"/>
                    <pic:cNvPicPr/>
                  </pic:nvPicPr>
                  <pic:blipFill>
                    <a:blip r:embed="rId7">
                      <a:extLst>
                        <a:ext uri="{28A0092B-C50C-407E-A947-70E740481C1C}">
                          <a14:useLocalDpi xmlns:a14="http://schemas.microsoft.com/office/drawing/2010/main" val="0"/>
                        </a:ext>
                      </a:extLst>
                    </a:blip>
                    <a:stretch>
                      <a:fillRect/>
                    </a:stretch>
                  </pic:blipFill>
                  <pic:spPr>
                    <a:xfrm>
                      <a:off x="0" y="0"/>
                      <a:ext cx="3412044" cy="7219950"/>
                    </a:xfrm>
                    <a:prstGeom prst="rect">
                      <a:avLst/>
                    </a:prstGeom>
                  </pic:spPr>
                </pic:pic>
              </a:graphicData>
            </a:graphic>
          </wp:inline>
        </w:drawing>
      </w:r>
    </w:p>
    <w:p w14:paraId="098A5235" w14:textId="77777777" w:rsidR="00E0128D" w:rsidRPr="0089368B" w:rsidRDefault="00104CB0" w:rsidP="00075BD9">
      <w:pPr>
        <w:pStyle w:val="Caption"/>
        <w:tabs>
          <w:tab w:val="left" w:pos="4860"/>
        </w:tabs>
        <w:spacing w:line="480" w:lineRule="auto"/>
        <w:jc w:val="center"/>
        <w:rPr>
          <w:rStyle w:val="Strong"/>
          <w:rFonts w:ascii="Arial" w:hAnsi="Arial" w:cs="Arial"/>
          <w:b/>
          <w:bCs/>
          <w:color w:val="auto"/>
          <w:sz w:val="20"/>
          <w:szCs w:val="20"/>
        </w:rPr>
      </w:pPr>
      <w:bookmarkStart w:id="0" w:name="_Toc215494625"/>
      <w:bookmarkStart w:id="1" w:name="_Toc215495944"/>
      <w:bookmarkStart w:id="2" w:name="_Toc217034579"/>
      <w:r w:rsidRPr="0089368B">
        <w:rPr>
          <w:rFonts w:ascii="Arial" w:hAnsi="Arial" w:cs="Arial"/>
          <w:color w:val="auto"/>
          <w:sz w:val="20"/>
          <w:szCs w:val="20"/>
        </w:rPr>
        <w:t xml:space="preserve">Figure </w:t>
      </w:r>
      <w:r w:rsidR="00885F25" w:rsidRPr="0089368B">
        <w:rPr>
          <w:rFonts w:ascii="Arial" w:hAnsi="Arial" w:cs="Arial"/>
          <w:color w:val="auto"/>
          <w:sz w:val="20"/>
          <w:szCs w:val="20"/>
        </w:rPr>
        <w:fldChar w:fldCharType="begin"/>
      </w:r>
      <w:r w:rsidRPr="0089368B">
        <w:rPr>
          <w:rFonts w:ascii="Arial" w:hAnsi="Arial" w:cs="Arial"/>
          <w:color w:val="auto"/>
          <w:sz w:val="20"/>
          <w:szCs w:val="20"/>
        </w:rPr>
        <w:instrText xml:space="preserve"> SEQ Figure \* ARABIC </w:instrText>
      </w:r>
      <w:r w:rsidR="00885F25" w:rsidRPr="0089368B">
        <w:rPr>
          <w:rFonts w:ascii="Arial" w:hAnsi="Arial" w:cs="Arial"/>
          <w:color w:val="auto"/>
          <w:sz w:val="20"/>
          <w:szCs w:val="20"/>
        </w:rPr>
        <w:fldChar w:fldCharType="separate"/>
      </w:r>
      <w:r w:rsidR="004C6026" w:rsidRPr="0089368B">
        <w:rPr>
          <w:rFonts w:ascii="Arial" w:hAnsi="Arial" w:cs="Arial"/>
          <w:noProof/>
          <w:color w:val="auto"/>
          <w:sz w:val="20"/>
          <w:szCs w:val="20"/>
        </w:rPr>
        <w:t>1</w:t>
      </w:r>
      <w:r w:rsidR="00885F25" w:rsidRPr="0089368B">
        <w:rPr>
          <w:rFonts w:ascii="Arial" w:hAnsi="Arial" w:cs="Arial"/>
          <w:color w:val="auto"/>
          <w:sz w:val="20"/>
          <w:szCs w:val="20"/>
        </w:rPr>
        <w:fldChar w:fldCharType="end"/>
      </w:r>
      <w:r w:rsidR="00D24CAE" w:rsidRPr="0089368B">
        <w:rPr>
          <w:rFonts w:ascii="Arial" w:hAnsi="Arial" w:cs="Arial"/>
          <w:color w:val="auto"/>
          <w:sz w:val="20"/>
          <w:szCs w:val="20"/>
        </w:rPr>
        <w:t>:</w:t>
      </w:r>
      <w:r w:rsidRPr="0089368B">
        <w:rPr>
          <w:rFonts w:ascii="Arial" w:hAnsi="Arial" w:cs="Arial"/>
          <w:color w:val="auto"/>
          <w:sz w:val="20"/>
          <w:szCs w:val="20"/>
        </w:rPr>
        <w:t xml:space="preserve"> Evolutionary Analysis by Maximum likelihood method with 100 Bootstrap using Tamura 3 parameter model of </w:t>
      </w:r>
      <w:proofErr w:type="spellStart"/>
      <w:r w:rsidRPr="0089368B">
        <w:rPr>
          <w:rFonts w:ascii="Arial" w:hAnsi="Arial" w:cs="Arial"/>
          <w:color w:val="auto"/>
          <w:sz w:val="20"/>
          <w:szCs w:val="20"/>
        </w:rPr>
        <w:t>Cyprinidae</w:t>
      </w:r>
      <w:proofErr w:type="spellEnd"/>
      <w:r w:rsidRPr="0089368B">
        <w:rPr>
          <w:rFonts w:ascii="Arial" w:hAnsi="Arial" w:cs="Arial"/>
          <w:color w:val="auto"/>
          <w:sz w:val="20"/>
          <w:szCs w:val="20"/>
        </w:rPr>
        <w:t xml:space="preserve"> family.</w:t>
      </w:r>
      <w:bookmarkEnd w:id="0"/>
      <w:bookmarkEnd w:id="1"/>
      <w:bookmarkEnd w:id="2"/>
    </w:p>
    <w:p w14:paraId="1A807DA5" w14:textId="77777777" w:rsidR="00104CB0" w:rsidRPr="0089368B" w:rsidRDefault="00330EDC" w:rsidP="00075BD9">
      <w:pPr>
        <w:pStyle w:val="NormalWeb"/>
        <w:spacing w:line="480" w:lineRule="auto"/>
        <w:jc w:val="both"/>
        <w:rPr>
          <w:rFonts w:ascii="Arial" w:hAnsi="Arial" w:cs="Arial"/>
          <w:b/>
          <w:bCs/>
          <w:sz w:val="22"/>
          <w:szCs w:val="22"/>
        </w:rPr>
      </w:pPr>
      <w:r w:rsidRPr="0089368B">
        <w:rPr>
          <w:rFonts w:ascii="Arial" w:hAnsi="Arial"/>
          <w:b/>
          <w:sz w:val="22"/>
        </w:rPr>
        <w:lastRenderedPageBreak/>
        <w:t xml:space="preserve">3.2 Phylogenetic assessment of </w:t>
      </w:r>
      <w:r w:rsidRPr="0089368B">
        <w:rPr>
          <w:rFonts w:ascii="Arial" w:hAnsi="Arial"/>
          <w:b/>
          <w:i/>
          <w:sz w:val="22"/>
        </w:rPr>
        <w:t>Parambassis ranga</w:t>
      </w:r>
      <w:r w:rsidRPr="0089368B">
        <w:rPr>
          <w:rFonts w:ascii="Arial" w:hAnsi="Arial"/>
          <w:b/>
          <w:sz w:val="22"/>
        </w:rPr>
        <w:t>:</w:t>
      </w:r>
    </w:p>
    <w:p w14:paraId="4E60D3DE" w14:textId="77777777" w:rsidR="00104CB0" w:rsidRPr="0089368B" w:rsidRDefault="00104CB0" w:rsidP="00075BD9">
      <w:pPr>
        <w:pStyle w:val="NormalWeb"/>
        <w:spacing w:line="480" w:lineRule="auto"/>
        <w:ind w:firstLine="720"/>
        <w:jc w:val="both"/>
        <w:rPr>
          <w:rFonts w:ascii="Arial" w:hAnsi="Arial" w:cs="Arial"/>
          <w:sz w:val="16"/>
          <w:szCs w:val="16"/>
        </w:rPr>
      </w:pPr>
      <w:r w:rsidRPr="0089368B">
        <w:rPr>
          <w:rFonts w:ascii="Arial" w:hAnsi="Arial"/>
          <w:sz w:val="20"/>
        </w:rPr>
        <w:t xml:space="preserve">The Bayesian inference tree resolved several strongly supported clades within </w:t>
      </w:r>
      <w:r w:rsidRPr="0089368B">
        <w:rPr>
          <w:rFonts w:ascii="Arial" w:hAnsi="Arial"/>
          <w:i/>
          <w:sz w:val="20"/>
        </w:rPr>
        <w:t>Parambassis</w:t>
      </w:r>
      <w:r w:rsidRPr="0089368B">
        <w:rPr>
          <w:rFonts w:ascii="Arial" w:hAnsi="Arial"/>
          <w:sz w:val="20"/>
        </w:rPr>
        <w:t xml:space="preserve">, with posterior probability (PP) values ≥0.95, indicating high analytical confidence. The sequences B1, B2, and B3 generated in this study demonstrated notable genetic distinctiveness, forming separate lineages within the </w:t>
      </w:r>
      <w:r w:rsidRPr="0089368B">
        <w:rPr>
          <w:rFonts w:ascii="Arial" w:hAnsi="Arial"/>
          <w:i/>
          <w:sz w:val="20"/>
        </w:rPr>
        <w:t>P. ranga</w:t>
      </w:r>
      <w:r w:rsidRPr="0089368B">
        <w:rPr>
          <w:rFonts w:ascii="Arial" w:hAnsi="Arial"/>
          <w:sz w:val="20"/>
        </w:rPr>
        <w:t xml:space="preserve"> complex (Figure 2).</w:t>
      </w:r>
    </w:p>
    <w:p w14:paraId="73ACDCF0" w14:textId="77777777" w:rsidR="00104CB0" w:rsidRPr="0089368B" w:rsidRDefault="00104CB0" w:rsidP="00075BD9">
      <w:pPr>
        <w:pStyle w:val="NormalWeb"/>
        <w:spacing w:line="480" w:lineRule="auto"/>
        <w:ind w:firstLine="720"/>
        <w:jc w:val="both"/>
        <w:rPr>
          <w:rFonts w:ascii="Arial" w:hAnsi="Arial" w:cs="Arial"/>
          <w:sz w:val="20"/>
          <w:szCs w:val="20"/>
        </w:rPr>
      </w:pPr>
      <w:r w:rsidRPr="0089368B">
        <w:rPr>
          <w:rFonts w:ascii="Arial" w:hAnsi="Arial"/>
          <w:sz w:val="20"/>
        </w:rPr>
        <w:t xml:space="preserve">Sequence B1 clustered with a well-supported northeastern clade comprising samples from Mizoram and Meghalaya (PP = 1.0), suggesting its genetic affinity with populations from this region. Conversely, B2 and B3 formed a monophyletic subclade with sequences from Maharashtra, indicating geographically structured divergence within </w:t>
      </w:r>
      <w:r w:rsidRPr="0089368B">
        <w:rPr>
          <w:rFonts w:ascii="Arial" w:hAnsi="Arial"/>
          <w:i/>
          <w:sz w:val="20"/>
        </w:rPr>
        <w:t>P. ranga</w:t>
      </w:r>
      <w:r w:rsidRPr="0089368B">
        <w:rPr>
          <w:rFonts w:ascii="Arial" w:hAnsi="Arial"/>
          <w:sz w:val="20"/>
        </w:rPr>
        <w:t>. This outcome mirrors earlier studies that reported multiple cryptic lineages within the species, highlighting its complex evolutionary history.</w:t>
      </w:r>
    </w:p>
    <w:p w14:paraId="49A4D59A" w14:textId="77777777" w:rsidR="00104CB0" w:rsidRPr="0089368B" w:rsidRDefault="00104CB0" w:rsidP="00075BD9">
      <w:pPr>
        <w:pStyle w:val="NormalWeb"/>
        <w:spacing w:line="480" w:lineRule="auto"/>
        <w:ind w:firstLine="720"/>
        <w:jc w:val="both"/>
        <w:rPr>
          <w:rFonts w:ascii="Arial" w:hAnsi="Arial" w:cs="Arial"/>
          <w:sz w:val="20"/>
          <w:szCs w:val="20"/>
        </w:rPr>
      </w:pPr>
      <w:r w:rsidRPr="0089368B">
        <w:rPr>
          <w:rFonts w:ascii="Arial" w:hAnsi="Arial"/>
          <w:sz w:val="20"/>
        </w:rPr>
        <w:t>The deep separation of the northeastern and Maharashtra-associated clades suggests restricted gene flow between regions, likely driven by river-basin isolation, historical hydrological shifts, and ecological barriers. The unique placement of the B2 and B3 sequences further supports the presence of region-specific evolutionarily significant units (ESUs), particularly within the Western Ghats region.</w:t>
      </w:r>
    </w:p>
    <w:p w14:paraId="53A35CDF" w14:textId="77777777" w:rsidR="00E33BF7" w:rsidRPr="0089368B" w:rsidRDefault="00104CB0" w:rsidP="00700A85">
      <w:pPr>
        <w:pStyle w:val="NormalWeb"/>
        <w:spacing w:line="480" w:lineRule="auto"/>
        <w:ind w:firstLine="720"/>
        <w:jc w:val="both"/>
        <w:rPr>
          <w:rFonts w:ascii="Arial" w:hAnsi="Arial" w:cs="Arial"/>
          <w:sz w:val="20"/>
          <w:szCs w:val="20"/>
        </w:rPr>
      </w:pPr>
      <w:r w:rsidRPr="0089368B">
        <w:rPr>
          <w:rFonts w:ascii="Arial" w:hAnsi="Arial"/>
          <w:sz w:val="20"/>
        </w:rPr>
        <w:t xml:space="preserve">These results collectively reinforce the hypothesis that </w:t>
      </w:r>
      <w:r w:rsidRPr="0089368B">
        <w:rPr>
          <w:rFonts w:ascii="Arial" w:hAnsi="Arial"/>
          <w:i/>
          <w:sz w:val="20"/>
        </w:rPr>
        <w:t>P. ranga</w:t>
      </w:r>
      <w:r w:rsidRPr="0089368B">
        <w:rPr>
          <w:rFonts w:ascii="Arial" w:hAnsi="Arial"/>
          <w:sz w:val="20"/>
        </w:rPr>
        <w:t xml:space="preserve"> is not a single panmictic species but represents a complex of genetically distinct lineages. Such patterns of divergence underscore the need to revisit taxonomic boundaries and integrate molecular data into species assessments. This interpretation is compatible with earlier barcode-based assessments from India that reported hidden or deeply divergent lineages in freshwater fishes, including </w:t>
      </w:r>
      <w:r w:rsidRPr="0089368B">
        <w:rPr>
          <w:rFonts w:ascii="Arial" w:hAnsi="Arial"/>
          <w:i/>
          <w:sz w:val="20"/>
        </w:rPr>
        <w:t>P. ranga</w:t>
      </w:r>
      <w:r w:rsidRPr="0089368B">
        <w:rPr>
          <w:rFonts w:ascii="Arial" w:hAnsi="Arial"/>
          <w:sz w:val="20"/>
        </w:rPr>
        <w:t xml:space="preserve"> from the northern Western Ghats (Patil et al., 2018). However, the present evidence should be interpreted cautiously because a limited number of local sequences cannot alone establish revised species boundaries; instead, it identifies lineages that merit broader sampling, diagnostic morphological comparison, and multilocus testing. Studies from the Indo-Myanmar and Indo-Bhutan regions also demonstrate that freshwater-fish barcodes frequently contain multiple clades and unique haplotypes across drainage systems, supporting the need to interpret </w:t>
      </w:r>
      <w:r w:rsidRPr="0089368B">
        <w:rPr>
          <w:rFonts w:ascii="Arial" w:hAnsi="Arial"/>
          <w:i/>
          <w:sz w:val="20"/>
        </w:rPr>
        <w:t>P. ranga</w:t>
      </w:r>
      <w:r w:rsidRPr="0089368B">
        <w:rPr>
          <w:rFonts w:ascii="Arial" w:hAnsi="Arial"/>
          <w:sz w:val="20"/>
        </w:rPr>
        <w:t xml:space="preserve"> diversity within a wider biogeographic framework (Barman et al., 2018; Kundu et al., 2019).</w:t>
      </w:r>
    </w:p>
    <w:p w14:paraId="3D2EAE61" w14:textId="77777777" w:rsidR="00104CB0" w:rsidRPr="0089368B" w:rsidRDefault="00104CB0" w:rsidP="00075BD9">
      <w:pPr>
        <w:pStyle w:val="NormalWeb"/>
        <w:keepNext/>
        <w:spacing w:line="480" w:lineRule="auto"/>
        <w:ind w:firstLine="720"/>
        <w:jc w:val="center"/>
        <w:rPr>
          <w:rFonts w:ascii="Arial" w:hAnsi="Arial" w:cs="Arial"/>
          <w:sz w:val="20"/>
          <w:szCs w:val="20"/>
        </w:rPr>
      </w:pPr>
      <w:r w:rsidRPr="0089368B">
        <w:rPr>
          <w:rFonts w:ascii="Arial" w:hAnsi="Arial" w:cs="Arial"/>
          <w:noProof/>
          <w:sz w:val="20"/>
          <w:szCs w:val="20"/>
        </w:rPr>
        <w:lastRenderedPageBreak/>
        <w:drawing>
          <wp:inline distT="0" distB="0" distL="0" distR="0" wp14:anchorId="40EB7DF5" wp14:editId="254BE730">
            <wp:extent cx="3175972" cy="7196866"/>
            <wp:effectExtent l="19050" t="0" r="5378" b="0"/>
            <wp:docPr id="25" name="Picture 1" descr="C:\Users\user\Desktop\Newest\Phylogeny results\Update_Ranga\Final\100Bootsrap_final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est\Phylogeny results\Update_Ranga\Final\100Bootsrap_final tree.png"/>
                    <pic:cNvPicPr>
                      <a:picLocks noChangeAspect="1" noChangeArrowheads="1"/>
                    </pic:cNvPicPr>
                  </pic:nvPicPr>
                  <pic:blipFill>
                    <a:blip r:embed="rId8"/>
                    <a:srcRect t="626" r="4867"/>
                    <a:stretch>
                      <a:fillRect/>
                    </a:stretch>
                  </pic:blipFill>
                  <pic:spPr bwMode="auto">
                    <a:xfrm>
                      <a:off x="0" y="0"/>
                      <a:ext cx="3191552" cy="7232171"/>
                    </a:xfrm>
                    <a:prstGeom prst="rect">
                      <a:avLst/>
                    </a:prstGeom>
                    <a:noFill/>
                    <a:ln w="9525">
                      <a:noFill/>
                      <a:miter lim="800000"/>
                      <a:headEnd/>
                      <a:tailEnd/>
                    </a:ln>
                  </pic:spPr>
                </pic:pic>
              </a:graphicData>
            </a:graphic>
          </wp:inline>
        </w:drawing>
      </w:r>
    </w:p>
    <w:p w14:paraId="42E49123" w14:textId="77777777" w:rsidR="003C6B42" w:rsidRPr="0089368B" w:rsidRDefault="00104CB0" w:rsidP="00075BD9">
      <w:pPr>
        <w:pStyle w:val="Caption"/>
        <w:spacing w:line="480" w:lineRule="auto"/>
        <w:jc w:val="center"/>
        <w:rPr>
          <w:rStyle w:val="Strong"/>
          <w:rFonts w:ascii="Arial" w:hAnsi="Arial" w:cs="Arial"/>
          <w:b/>
          <w:bCs/>
          <w:sz w:val="20"/>
          <w:szCs w:val="20"/>
        </w:rPr>
      </w:pPr>
      <w:bookmarkStart w:id="3" w:name="_Toc215494626"/>
      <w:bookmarkStart w:id="4" w:name="_Toc215495945"/>
      <w:bookmarkStart w:id="5" w:name="_Toc217034580"/>
      <w:r w:rsidRPr="0089368B">
        <w:rPr>
          <w:rFonts w:ascii="Arial" w:hAnsi="Arial" w:cs="Arial"/>
          <w:color w:val="auto"/>
          <w:sz w:val="20"/>
          <w:szCs w:val="20"/>
        </w:rPr>
        <w:t xml:space="preserve">Figure </w:t>
      </w:r>
      <w:r w:rsidR="00330EDC" w:rsidRPr="0089368B">
        <w:rPr>
          <w:rFonts w:ascii="Arial" w:hAnsi="Arial" w:cs="Arial"/>
          <w:color w:val="auto"/>
          <w:sz w:val="20"/>
          <w:szCs w:val="20"/>
        </w:rPr>
        <w:t>2</w:t>
      </w:r>
      <w:r w:rsidR="00D24CAE" w:rsidRPr="0089368B">
        <w:rPr>
          <w:rFonts w:ascii="Arial" w:hAnsi="Arial" w:cs="Arial"/>
          <w:color w:val="auto"/>
          <w:sz w:val="20"/>
          <w:szCs w:val="20"/>
        </w:rPr>
        <w:t>:</w:t>
      </w:r>
      <w:r w:rsidRPr="0089368B">
        <w:rPr>
          <w:rFonts w:ascii="Arial" w:hAnsi="Arial" w:cs="Arial"/>
          <w:color w:val="auto"/>
          <w:sz w:val="20"/>
          <w:szCs w:val="20"/>
        </w:rPr>
        <w:t xml:space="preserve"> Evolutionary Analysis by Maximum likelihood method with 100 Bootstrap using Tamura 3 parameter model of </w:t>
      </w:r>
      <w:proofErr w:type="spellStart"/>
      <w:r w:rsidRPr="0089368B">
        <w:rPr>
          <w:rFonts w:ascii="Arial" w:eastAsia="Times New Roman" w:hAnsi="Arial" w:cs="Arial"/>
          <w:color w:val="auto"/>
          <w:sz w:val="20"/>
          <w:szCs w:val="20"/>
        </w:rPr>
        <w:t>Ambassidae</w:t>
      </w:r>
      <w:proofErr w:type="spellEnd"/>
      <w:r w:rsidRPr="0089368B">
        <w:rPr>
          <w:rFonts w:ascii="Arial" w:hAnsi="Arial" w:cs="Arial"/>
          <w:color w:val="auto"/>
          <w:sz w:val="20"/>
          <w:szCs w:val="20"/>
        </w:rPr>
        <w:t xml:space="preserve"> family</w:t>
      </w:r>
      <w:r w:rsidRPr="0089368B">
        <w:rPr>
          <w:rFonts w:ascii="Arial" w:hAnsi="Arial" w:cs="Arial"/>
          <w:sz w:val="20"/>
          <w:szCs w:val="20"/>
        </w:rPr>
        <w:t>.</w:t>
      </w:r>
      <w:bookmarkEnd w:id="3"/>
      <w:bookmarkEnd w:id="4"/>
      <w:bookmarkEnd w:id="5"/>
    </w:p>
    <w:p w14:paraId="55A0B3A5" w14:textId="77777777" w:rsidR="00104CB0" w:rsidRPr="0089368B" w:rsidRDefault="00104CB0" w:rsidP="00075BD9">
      <w:pPr>
        <w:pStyle w:val="NormalWeb"/>
        <w:spacing w:line="480" w:lineRule="auto"/>
        <w:jc w:val="both"/>
        <w:rPr>
          <w:rFonts w:ascii="Arial" w:hAnsi="Arial" w:cs="Arial"/>
          <w:sz w:val="22"/>
          <w:szCs w:val="22"/>
        </w:rPr>
      </w:pPr>
      <w:r w:rsidRPr="0089368B">
        <w:rPr>
          <w:rStyle w:val="Strong"/>
          <w:rFonts w:ascii="Arial" w:hAnsi="Arial" w:cs="Arial"/>
          <w:sz w:val="22"/>
          <w:szCs w:val="22"/>
        </w:rPr>
        <w:lastRenderedPageBreak/>
        <w:t>Conclusion</w:t>
      </w:r>
      <w:r w:rsidR="005610B3" w:rsidRPr="0089368B">
        <w:rPr>
          <w:rStyle w:val="Strong"/>
          <w:rFonts w:ascii="Arial" w:hAnsi="Arial" w:cs="Arial"/>
          <w:sz w:val="22"/>
          <w:szCs w:val="22"/>
        </w:rPr>
        <w:t>:</w:t>
      </w:r>
    </w:p>
    <w:p w14:paraId="1118A92B" w14:textId="77777777" w:rsidR="00104CB0" w:rsidRPr="0089368B" w:rsidRDefault="00104CB0" w:rsidP="00075BD9">
      <w:pPr>
        <w:pStyle w:val="NormalWeb"/>
        <w:spacing w:line="480" w:lineRule="auto"/>
        <w:ind w:firstLine="720"/>
        <w:jc w:val="both"/>
        <w:rPr>
          <w:rFonts w:ascii="Arial" w:hAnsi="Arial" w:cs="Arial"/>
          <w:sz w:val="20"/>
          <w:szCs w:val="20"/>
        </w:rPr>
      </w:pPr>
      <w:r w:rsidRPr="0089368B">
        <w:rPr>
          <w:rFonts w:ascii="Arial" w:hAnsi="Arial"/>
          <w:sz w:val="20"/>
        </w:rPr>
        <w:t xml:space="preserve">The phylogenetic analyses of </w:t>
      </w:r>
      <w:r w:rsidRPr="0089368B">
        <w:rPr>
          <w:rFonts w:ascii="Arial" w:hAnsi="Arial"/>
          <w:i/>
          <w:sz w:val="20"/>
        </w:rPr>
        <w:t>Garra mullya</w:t>
      </w:r>
      <w:r w:rsidRPr="0089368B">
        <w:rPr>
          <w:rFonts w:ascii="Arial" w:hAnsi="Arial"/>
          <w:sz w:val="20"/>
        </w:rPr>
        <w:t xml:space="preserve"> and </w:t>
      </w:r>
      <w:r w:rsidRPr="0089368B">
        <w:rPr>
          <w:rFonts w:ascii="Arial" w:hAnsi="Arial"/>
          <w:i/>
          <w:sz w:val="20"/>
        </w:rPr>
        <w:t>Parambassis ranga</w:t>
      </w:r>
      <w:r w:rsidRPr="0089368B">
        <w:rPr>
          <w:rFonts w:ascii="Arial" w:hAnsi="Arial"/>
          <w:sz w:val="20"/>
        </w:rPr>
        <w:t xml:space="preserve"> reveal pronounced genetic structuring across their Indian distribution ranges. The </w:t>
      </w:r>
      <w:r w:rsidRPr="0089368B">
        <w:rPr>
          <w:rFonts w:ascii="Arial" w:hAnsi="Arial"/>
          <w:i/>
          <w:sz w:val="20"/>
        </w:rPr>
        <w:t>G. mullya</w:t>
      </w:r>
      <w:r w:rsidRPr="0089368B">
        <w:rPr>
          <w:rFonts w:ascii="Arial" w:hAnsi="Arial"/>
          <w:sz w:val="20"/>
        </w:rPr>
        <w:t xml:space="preserve"> sequences generated in this study show a strong affinity with Maharashtra populations, indicating limited divergence and a cohesive regional lineage. In contrast, </w:t>
      </w:r>
      <w:r w:rsidRPr="0089368B">
        <w:rPr>
          <w:rFonts w:ascii="Arial" w:hAnsi="Arial"/>
          <w:i/>
          <w:sz w:val="20"/>
        </w:rPr>
        <w:t>P. ranga</w:t>
      </w:r>
      <w:r w:rsidRPr="0089368B">
        <w:rPr>
          <w:rFonts w:ascii="Arial" w:hAnsi="Arial"/>
          <w:sz w:val="20"/>
        </w:rPr>
        <w:t xml:space="preserve"> demonstrates considerable phylogenetic fragmentation, with the study identifying distinct lineages associated with northeastern India and Maharashtra, consistent with previous indications of cryptic diversity within the species complex.</w:t>
      </w:r>
    </w:p>
    <w:p w14:paraId="7A1EA37F" w14:textId="77777777" w:rsidR="001D6315" w:rsidRDefault="00104CB0" w:rsidP="00A52DF4">
      <w:pPr>
        <w:pStyle w:val="NormalWeb"/>
        <w:spacing w:line="480" w:lineRule="auto"/>
        <w:ind w:firstLine="720"/>
        <w:jc w:val="both"/>
        <w:rPr>
          <w:rFonts w:ascii="Arial" w:hAnsi="Arial"/>
          <w:sz w:val="20"/>
        </w:rPr>
      </w:pPr>
      <w:r w:rsidRPr="0089368B">
        <w:rPr>
          <w:rFonts w:ascii="Arial" w:hAnsi="Arial"/>
          <w:sz w:val="20"/>
        </w:rPr>
        <w:t>These findings highlight the importance of molecular tools for resolving species identities, understanding phylogeographic patterns, and identifying evolutionarily significant units. The generated sequence data contribute valuable reference material to national genetic repositories and provide a foundation for targeted conservation strategies, particularly in ecologically sensitive and understudied regions of India.</w:t>
      </w:r>
    </w:p>
    <w:p w14:paraId="076CDADB" w14:textId="77777777" w:rsidR="00256723" w:rsidRDefault="00256723" w:rsidP="00256723">
      <w:pPr>
        <w:pStyle w:val="NormalWeb"/>
        <w:spacing w:line="480" w:lineRule="auto"/>
        <w:jc w:val="both"/>
        <w:rPr>
          <w:rFonts w:ascii="Arial" w:hAnsi="Arial"/>
          <w:b/>
          <w:bCs/>
          <w:sz w:val="20"/>
        </w:rPr>
      </w:pPr>
      <w:r w:rsidRPr="00256723">
        <w:rPr>
          <w:rFonts w:ascii="Arial" w:hAnsi="Arial"/>
          <w:b/>
          <w:bCs/>
          <w:sz w:val="20"/>
        </w:rPr>
        <w:t>Limitations</w:t>
      </w:r>
    </w:p>
    <w:p w14:paraId="71E5BC5B" w14:textId="3493067E" w:rsidR="00256723" w:rsidRPr="0089368B" w:rsidRDefault="00256723" w:rsidP="00256723">
      <w:pPr>
        <w:pStyle w:val="NormalWeb"/>
        <w:spacing w:line="480" w:lineRule="auto"/>
        <w:jc w:val="both"/>
        <w:rPr>
          <w:rFonts w:ascii="Arial" w:hAnsi="Arial" w:cs="Arial"/>
          <w:sz w:val="20"/>
          <w:szCs w:val="20"/>
        </w:rPr>
      </w:pPr>
      <w:r w:rsidRPr="00256723">
        <w:rPr>
          <w:rFonts w:ascii="Arial" w:hAnsi="Arial" w:cs="Arial"/>
          <w:sz w:val="20"/>
          <w:szCs w:val="20"/>
        </w:rPr>
        <w:t xml:space="preserve">This study was limited to a small number of locally generated sequences from two fish species collected from the Ujani Reservoir during 2022–2023. The analysis relied on a single mitochondrial COI marker and comparative sequences available in public databases, which may not represent the full geographic and genetic diversity of the species. Consequently, the observed phylogenetic clustering cannot confirm population boundaries or taxonomic divergence. Future studies should include larger sample sizes, broader river-basin coverage, detailed morphological assessment, and </w:t>
      </w:r>
      <w:proofErr w:type="spellStart"/>
      <w:r w:rsidRPr="00256723">
        <w:rPr>
          <w:rFonts w:ascii="Arial" w:hAnsi="Arial" w:cs="Arial"/>
          <w:sz w:val="20"/>
          <w:szCs w:val="20"/>
        </w:rPr>
        <w:t>multilocus</w:t>
      </w:r>
      <w:proofErr w:type="spellEnd"/>
      <w:r w:rsidRPr="00256723">
        <w:rPr>
          <w:rFonts w:ascii="Arial" w:hAnsi="Arial" w:cs="Arial"/>
          <w:sz w:val="20"/>
          <w:szCs w:val="20"/>
        </w:rPr>
        <w:t xml:space="preserve"> genetic analyses.</w:t>
      </w:r>
    </w:p>
    <w:p w14:paraId="047326EB" w14:textId="77777777" w:rsidR="001D6315" w:rsidRPr="0089368B" w:rsidRDefault="001D6315" w:rsidP="001D6315">
      <w:pPr>
        <w:pStyle w:val="NormalWeb"/>
        <w:spacing w:line="480" w:lineRule="auto"/>
        <w:jc w:val="both"/>
        <w:rPr>
          <w:rFonts w:ascii="Arial" w:hAnsi="Arial" w:cs="Arial"/>
          <w:b/>
          <w:bCs/>
          <w:sz w:val="22"/>
          <w:szCs w:val="22"/>
        </w:rPr>
      </w:pPr>
      <w:r w:rsidRPr="0089368B">
        <w:rPr>
          <w:rFonts w:ascii="Arial" w:hAnsi="Arial" w:cs="Arial"/>
          <w:b/>
          <w:bCs/>
          <w:sz w:val="22"/>
          <w:szCs w:val="22"/>
        </w:rPr>
        <w:t>Author’s Contributions:</w:t>
      </w:r>
    </w:p>
    <w:p w14:paraId="50A8A883" w14:textId="77777777" w:rsidR="001D6315" w:rsidRPr="0089368B" w:rsidRDefault="001D6315" w:rsidP="001D6315">
      <w:pPr>
        <w:pStyle w:val="NormalWeb"/>
        <w:spacing w:line="480" w:lineRule="auto"/>
        <w:jc w:val="both"/>
        <w:rPr>
          <w:rFonts w:ascii="Arial" w:hAnsi="Arial" w:cs="Arial"/>
          <w:sz w:val="20"/>
          <w:szCs w:val="20"/>
        </w:rPr>
      </w:pPr>
      <w:r w:rsidRPr="0089368B">
        <w:rPr>
          <w:rFonts w:ascii="Arial" w:hAnsi="Arial"/>
          <w:sz w:val="20"/>
        </w:rPr>
        <w:t>Author VK designed the study and prepared the first draft of the manuscript. GM prepared the protocol and completed the laboratory work. GM performed the tree construction and phylogenetic analysis. VK prepared the final draft of the manuscript. Both authors collaborated throughout the study.</w:t>
      </w:r>
    </w:p>
    <w:p w14:paraId="71558AB2" w14:textId="77777777" w:rsidR="00075BD9" w:rsidRPr="0089368B" w:rsidRDefault="00075BD9" w:rsidP="00075BD9">
      <w:pPr>
        <w:spacing w:line="480" w:lineRule="auto"/>
        <w:rPr>
          <w:rFonts w:ascii="Arial" w:eastAsia="Times New Roman" w:hAnsi="Arial" w:cs="Arial"/>
        </w:rPr>
      </w:pPr>
      <w:r w:rsidRPr="0089368B">
        <w:rPr>
          <w:rFonts w:ascii="Arial" w:eastAsia="Times New Roman" w:hAnsi="Arial" w:cs="Arial"/>
          <w:b/>
          <w:bCs/>
          <w:color w:val="000000"/>
        </w:rPr>
        <w:t>Ethics Approval:</w:t>
      </w:r>
    </w:p>
    <w:p w14:paraId="79B6B816" w14:textId="77777777" w:rsidR="00075BD9" w:rsidRPr="0089368B" w:rsidRDefault="00075BD9" w:rsidP="00075BD9">
      <w:pPr>
        <w:spacing w:line="480" w:lineRule="auto"/>
        <w:rPr>
          <w:rFonts w:ascii="Arial" w:eastAsia="Times New Roman" w:hAnsi="Arial" w:cs="Arial"/>
          <w:sz w:val="20"/>
          <w:szCs w:val="20"/>
        </w:rPr>
      </w:pPr>
      <w:r w:rsidRPr="0089368B">
        <w:rPr>
          <w:rFonts w:ascii="Arial" w:eastAsia="Times New Roman" w:hAnsi="Arial" w:cs="Arial"/>
          <w:color w:val="000000"/>
          <w:sz w:val="20"/>
          <w:szCs w:val="20"/>
        </w:rPr>
        <w:lastRenderedPageBreak/>
        <w:t>Not Applicable</w:t>
      </w:r>
    </w:p>
    <w:p w14:paraId="71C113B5" w14:textId="77777777" w:rsidR="004B14F3" w:rsidRPr="0089368B" w:rsidRDefault="004B14F3" w:rsidP="004B14F3">
      <w:pPr>
        <w:spacing w:after="0" w:line="240" w:lineRule="auto"/>
        <w:rPr>
          <w:rFonts w:ascii="Arial" w:eastAsia="Calibri" w:hAnsi="Arial" w:cs="Arial"/>
          <w:b/>
        </w:rPr>
      </w:pPr>
      <w:r w:rsidRPr="0089368B">
        <w:rPr>
          <w:rFonts w:ascii="Arial" w:eastAsia="Calibri" w:hAnsi="Arial" w:cs="Arial"/>
          <w:b/>
        </w:rPr>
        <w:t>Declaration of AI Use</w:t>
      </w:r>
    </w:p>
    <w:p w14:paraId="171E005E" w14:textId="77777777" w:rsidR="004B14F3" w:rsidRPr="0089368B" w:rsidRDefault="004B14F3" w:rsidP="004B14F3">
      <w:pPr>
        <w:spacing w:after="0" w:line="240" w:lineRule="auto"/>
        <w:rPr>
          <w:rFonts w:ascii="Arial" w:eastAsia="Calibri" w:hAnsi="Arial" w:cs="Arial"/>
          <w:sz w:val="20"/>
          <w:szCs w:val="20"/>
        </w:rPr>
      </w:pPr>
    </w:p>
    <w:p w14:paraId="7500C221" w14:textId="77777777" w:rsidR="00700A85" w:rsidRPr="0089368B" w:rsidRDefault="004B14F3" w:rsidP="00700A85">
      <w:pPr>
        <w:spacing w:after="0" w:line="480" w:lineRule="auto"/>
        <w:jc w:val="both"/>
        <w:rPr>
          <w:rFonts w:ascii="Arial" w:eastAsia="Calibri" w:hAnsi="Arial" w:cs="Arial"/>
          <w:sz w:val="20"/>
          <w:szCs w:val="20"/>
        </w:rPr>
      </w:pPr>
      <w:r w:rsidRPr="0089368B">
        <w:rPr>
          <w:rFonts w:ascii="Arial" w:hAnsi="Arial"/>
          <w:sz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245DBB" w14:textId="77777777" w:rsidR="004B14F3" w:rsidRPr="0089368B" w:rsidRDefault="004B14F3" w:rsidP="00700A85">
      <w:pPr>
        <w:spacing w:line="480" w:lineRule="auto"/>
        <w:jc w:val="both"/>
        <w:rPr>
          <w:rFonts w:ascii="Arial" w:eastAsia="Times New Roman" w:hAnsi="Arial" w:cs="Arial"/>
          <w:b/>
          <w:bCs/>
          <w:lang w:val="en-GB" w:eastAsia="en-GB"/>
        </w:rPr>
      </w:pPr>
      <w:r w:rsidRPr="0089368B">
        <w:rPr>
          <w:rFonts w:ascii="Arial" w:eastAsia="Times New Roman" w:hAnsi="Arial" w:cs="Arial"/>
          <w:b/>
          <w:bCs/>
          <w:lang w:val="en-GB" w:eastAsia="en-GB"/>
        </w:rPr>
        <w:t>C</w:t>
      </w:r>
      <w:r w:rsidR="00700A85" w:rsidRPr="0089368B">
        <w:rPr>
          <w:rFonts w:ascii="Arial" w:eastAsia="Times New Roman" w:hAnsi="Arial" w:cs="Arial"/>
          <w:b/>
          <w:bCs/>
          <w:lang w:val="en-GB" w:eastAsia="en-GB"/>
        </w:rPr>
        <w:t>ompeting</w:t>
      </w:r>
      <w:r w:rsidRPr="0089368B">
        <w:rPr>
          <w:rFonts w:ascii="Arial" w:eastAsia="Times New Roman" w:hAnsi="Arial" w:cs="Arial"/>
          <w:b/>
          <w:bCs/>
          <w:lang w:val="en-GB" w:eastAsia="en-GB"/>
        </w:rPr>
        <w:t xml:space="preserve"> I</w:t>
      </w:r>
      <w:r w:rsidR="00700A85" w:rsidRPr="0089368B">
        <w:rPr>
          <w:rFonts w:ascii="Arial" w:eastAsia="Times New Roman" w:hAnsi="Arial" w:cs="Arial"/>
          <w:b/>
          <w:bCs/>
          <w:lang w:val="en-GB" w:eastAsia="en-GB"/>
        </w:rPr>
        <w:t>nterests</w:t>
      </w:r>
      <w:r w:rsidRPr="0089368B">
        <w:rPr>
          <w:rFonts w:ascii="Arial" w:eastAsia="Times New Roman" w:hAnsi="Arial" w:cs="Arial"/>
          <w:b/>
          <w:bCs/>
          <w:lang w:val="en-GB" w:eastAsia="en-GB"/>
        </w:rPr>
        <w:t xml:space="preserve"> D</w:t>
      </w:r>
      <w:r w:rsidR="00700A85" w:rsidRPr="0089368B">
        <w:rPr>
          <w:rFonts w:ascii="Arial" w:eastAsia="Times New Roman" w:hAnsi="Arial" w:cs="Arial"/>
          <w:b/>
          <w:bCs/>
          <w:lang w:val="en-GB" w:eastAsia="en-GB"/>
        </w:rPr>
        <w:t>isclaimer</w:t>
      </w:r>
      <w:r w:rsidRPr="0089368B">
        <w:rPr>
          <w:rFonts w:ascii="Arial" w:eastAsia="Times New Roman" w:hAnsi="Arial" w:cs="Arial"/>
          <w:b/>
          <w:bCs/>
          <w:lang w:val="en-GB" w:eastAsia="en-GB"/>
        </w:rPr>
        <w:t>:</w:t>
      </w:r>
    </w:p>
    <w:p w14:paraId="432C9E95" w14:textId="77777777" w:rsidR="004B14F3" w:rsidRPr="0089368B" w:rsidRDefault="004B14F3" w:rsidP="00700A85">
      <w:pPr>
        <w:spacing w:line="480" w:lineRule="auto"/>
        <w:jc w:val="both"/>
        <w:rPr>
          <w:rFonts w:ascii="Arial" w:eastAsia="Times New Roman" w:hAnsi="Arial" w:cs="Arial"/>
          <w:sz w:val="20"/>
          <w:szCs w:val="20"/>
          <w:lang w:val="en-GB" w:eastAsia="en-GB"/>
        </w:rPr>
      </w:pPr>
      <w:r w:rsidRPr="0089368B">
        <w:rPr>
          <w:rFonts w:ascii="Arial" w:eastAsia="Times New Roman" w:hAnsi="Arial" w:cs="Arial"/>
          <w:sz w:val="20"/>
          <w:szCs w:val="20"/>
          <w:lang w:val="en-GB" w:eastAsia="en-GB"/>
        </w:rPr>
        <w:t>Authors have declared that they have no known competing financial interests OR non-financial interests OR personal relationships that could have appeared to influence the work reported in this paper.</w:t>
      </w:r>
    </w:p>
    <w:p w14:paraId="21CC9731" w14:textId="77777777" w:rsidR="00104CB0" w:rsidRPr="0089368B" w:rsidRDefault="00BE056C" w:rsidP="00075BD9">
      <w:pPr>
        <w:spacing w:line="480" w:lineRule="auto"/>
        <w:jc w:val="both"/>
        <w:rPr>
          <w:rFonts w:ascii="Arial" w:hAnsi="Arial" w:cs="Arial"/>
          <w:b/>
          <w:bCs/>
        </w:rPr>
      </w:pPr>
      <w:r w:rsidRPr="0089368B">
        <w:rPr>
          <w:rFonts w:ascii="Arial" w:hAnsi="Arial" w:cs="Arial"/>
          <w:b/>
          <w:bCs/>
        </w:rPr>
        <w:t>References:</w:t>
      </w:r>
    </w:p>
    <w:p w14:paraId="40D0FD34" w14:textId="77777777" w:rsidR="00D16818" w:rsidRPr="0089368B" w:rsidRDefault="00000000">
      <w:pPr>
        <w:pStyle w:val="Bibliography"/>
      </w:pPr>
      <w:r w:rsidRPr="0089368B">
        <w:rPr>
          <w:rFonts w:ascii="Arial" w:eastAsia="Arial" w:hAnsi="Arial"/>
          <w:sz w:val="20"/>
        </w:rPr>
        <w:t xml:space="preserve">Altschul, S. F., Gish, W., Miller, W., Myers, E. W., &amp; Lipman, D. J. (1990). Basic local alignment search tool. </w:t>
      </w:r>
      <w:r w:rsidRPr="0089368B">
        <w:rPr>
          <w:rFonts w:ascii="Arial" w:eastAsia="Arial" w:hAnsi="Arial"/>
          <w:i/>
          <w:sz w:val="20"/>
        </w:rPr>
        <w:t>Journal of Molecular Biology, 215</w:t>
      </w:r>
      <w:r w:rsidRPr="0089368B">
        <w:rPr>
          <w:rFonts w:ascii="Arial" w:eastAsia="Arial" w:hAnsi="Arial"/>
          <w:sz w:val="20"/>
        </w:rPr>
        <w:t xml:space="preserve">(3), 403–410. </w:t>
      </w:r>
      <w:hyperlink r:id="rId9">
        <w:r w:rsidRPr="0089368B">
          <w:rPr>
            <w:rFonts w:ascii="Arial" w:eastAsia="Arial" w:hAnsi="Arial"/>
            <w:color w:val="000000"/>
            <w:sz w:val="20"/>
            <w:szCs w:val="20"/>
          </w:rPr>
          <w:t>https://doi.org/10.1016/S0022-2836(05)80360-2</w:t>
        </w:r>
      </w:hyperlink>
    </w:p>
    <w:p w14:paraId="2C8E9BE5" w14:textId="77777777" w:rsidR="00D16818" w:rsidRPr="0089368B" w:rsidRDefault="00000000">
      <w:pPr>
        <w:pStyle w:val="Bibliography"/>
      </w:pPr>
      <w:r w:rsidRPr="0089368B">
        <w:rPr>
          <w:rFonts w:ascii="Arial" w:eastAsia="Arial" w:hAnsi="Arial"/>
          <w:sz w:val="20"/>
        </w:rPr>
        <w:t xml:space="preserve">Barman, A. S., Singh, M., Singh, S. K., Saha, H., Singh, Y. J., Laishram, M., &amp; Pandey, P. K. (2018). DNA barcoding of freshwater fishes of Indo-Myanmar biodiversity hotspot. </w:t>
      </w:r>
      <w:r w:rsidRPr="0089368B">
        <w:rPr>
          <w:rFonts w:ascii="Arial" w:eastAsia="Arial" w:hAnsi="Arial"/>
          <w:i/>
          <w:sz w:val="20"/>
        </w:rPr>
        <w:t>Scientific Reports, 8</w:t>
      </w:r>
      <w:r w:rsidRPr="0089368B">
        <w:rPr>
          <w:rFonts w:ascii="Arial" w:eastAsia="Arial" w:hAnsi="Arial"/>
          <w:sz w:val="20"/>
        </w:rPr>
        <w:t xml:space="preserve">, Article 8579. </w:t>
      </w:r>
      <w:hyperlink r:id="rId10">
        <w:r w:rsidRPr="0089368B">
          <w:rPr>
            <w:rFonts w:ascii="Arial" w:eastAsia="Arial" w:hAnsi="Arial"/>
            <w:color w:val="000000"/>
            <w:sz w:val="20"/>
            <w:szCs w:val="20"/>
          </w:rPr>
          <w:t>https://doi.org/10.1038/s41598-018-26976-3</w:t>
        </w:r>
      </w:hyperlink>
    </w:p>
    <w:p w14:paraId="75FF5829" w14:textId="77777777" w:rsidR="00D16818" w:rsidRPr="0089368B" w:rsidRDefault="00000000">
      <w:pPr>
        <w:pStyle w:val="Bibliography"/>
      </w:pPr>
      <w:r w:rsidRPr="0089368B">
        <w:rPr>
          <w:rFonts w:ascii="Arial" w:eastAsia="Arial" w:hAnsi="Arial"/>
          <w:sz w:val="20"/>
        </w:rPr>
        <w:t xml:space="preserve">Dayrat, B. (2005). Towards integrative taxonomy. </w:t>
      </w:r>
      <w:r w:rsidRPr="0089368B">
        <w:rPr>
          <w:rFonts w:ascii="Arial" w:eastAsia="Arial" w:hAnsi="Arial"/>
          <w:i/>
          <w:sz w:val="20"/>
        </w:rPr>
        <w:t>Biological Journal of the Linnean Society, 85</w:t>
      </w:r>
      <w:r w:rsidRPr="0089368B">
        <w:rPr>
          <w:rFonts w:ascii="Arial" w:eastAsia="Arial" w:hAnsi="Arial"/>
          <w:sz w:val="20"/>
        </w:rPr>
        <w:t xml:space="preserve">(3), 407–415. </w:t>
      </w:r>
      <w:hyperlink r:id="rId11">
        <w:r w:rsidRPr="0089368B">
          <w:rPr>
            <w:rFonts w:ascii="Arial" w:eastAsia="Arial" w:hAnsi="Arial"/>
            <w:color w:val="000000"/>
            <w:sz w:val="20"/>
            <w:szCs w:val="20"/>
          </w:rPr>
          <w:t>https://doi.org/10.1111/j.1095-8312.2005.00503.x</w:t>
        </w:r>
      </w:hyperlink>
    </w:p>
    <w:p w14:paraId="5FE61108" w14:textId="77777777" w:rsidR="00D16818" w:rsidRPr="0089368B" w:rsidRDefault="00000000">
      <w:pPr>
        <w:pStyle w:val="Bibliography"/>
      </w:pPr>
      <w:r w:rsidRPr="0089368B">
        <w:rPr>
          <w:rFonts w:ascii="Arial" w:eastAsia="Arial" w:hAnsi="Arial"/>
          <w:sz w:val="20"/>
        </w:rPr>
        <w:t xml:space="preserve">Folmer, O., Black, M., Hoeh, W., Lutz, R., &amp; Vrijenhoek, R. C. (1994). DNA primers for amplification of mitochondrial cytochrome c oxidase subunit I from diverse metazoan invertebrates. </w:t>
      </w:r>
      <w:r w:rsidRPr="0089368B">
        <w:rPr>
          <w:rFonts w:ascii="Arial" w:eastAsia="Arial" w:hAnsi="Arial"/>
          <w:i/>
          <w:sz w:val="20"/>
        </w:rPr>
        <w:t>Molecular Marine Biology and Biotechnology, 3</w:t>
      </w:r>
      <w:r w:rsidRPr="0089368B">
        <w:rPr>
          <w:rFonts w:ascii="Arial" w:eastAsia="Arial" w:hAnsi="Arial"/>
          <w:sz w:val="20"/>
        </w:rPr>
        <w:t xml:space="preserve">(5), 294–299. </w:t>
      </w:r>
      <w:hyperlink r:id="rId12">
        <w:r w:rsidRPr="0089368B">
          <w:rPr>
            <w:rFonts w:ascii="Arial" w:eastAsia="Arial" w:hAnsi="Arial"/>
            <w:color w:val="000000"/>
            <w:sz w:val="20"/>
            <w:szCs w:val="20"/>
          </w:rPr>
          <w:t>https://pubmed.ncbi.nlm.nih.gov/7881515/</w:t>
        </w:r>
      </w:hyperlink>
    </w:p>
    <w:p w14:paraId="18284EBA" w14:textId="77777777" w:rsidR="00D16818" w:rsidRPr="0089368B" w:rsidRDefault="00000000">
      <w:pPr>
        <w:pStyle w:val="Bibliography"/>
      </w:pPr>
      <w:r w:rsidRPr="0089368B">
        <w:rPr>
          <w:rFonts w:ascii="Arial" w:eastAsia="Arial" w:hAnsi="Arial"/>
          <w:sz w:val="20"/>
        </w:rPr>
        <w:t xml:space="preserve">Hajibabaei, M., Singer, G. A. C., Hebert, P. D. N., &amp; Hickey, D. A. (2007). DNA barcoding: How it complements taxonomy, molecular phylogenetics and population genetics. </w:t>
      </w:r>
      <w:r w:rsidRPr="0089368B">
        <w:rPr>
          <w:rFonts w:ascii="Arial" w:eastAsia="Arial" w:hAnsi="Arial"/>
          <w:i/>
          <w:sz w:val="20"/>
        </w:rPr>
        <w:t>Trends in Genetics, 23</w:t>
      </w:r>
      <w:r w:rsidRPr="0089368B">
        <w:rPr>
          <w:rFonts w:ascii="Arial" w:eastAsia="Arial" w:hAnsi="Arial"/>
          <w:sz w:val="20"/>
        </w:rPr>
        <w:t xml:space="preserve">(4), 167–172. </w:t>
      </w:r>
      <w:hyperlink r:id="rId13">
        <w:r w:rsidRPr="0089368B">
          <w:rPr>
            <w:rFonts w:ascii="Arial" w:eastAsia="Arial" w:hAnsi="Arial"/>
            <w:color w:val="000000"/>
            <w:sz w:val="20"/>
            <w:szCs w:val="20"/>
          </w:rPr>
          <w:t>https://doi.org/10.1016/j.tig.2007.02.001</w:t>
        </w:r>
      </w:hyperlink>
    </w:p>
    <w:p w14:paraId="5D6101D9" w14:textId="77777777" w:rsidR="00D16818" w:rsidRPr="0089368B" w:rsidRDefault="00000000">
      <w:pPr>
        <w:pStyle w:val="Bibliography"/>
      </w:pPr>
      <w:r w:rsidRPr="0089368B">
        <w:rPr>
          <w:rFonts w:ascii="Arial" w:eastAsia="Arial" w:hAnsi="Arial"/>
          <w:sz w:val="20"/>
        </w:rPr>
        <w:t xml:space="preserve">Hamilton, F. (1822). </w:t>
      </w:r>
      <w:r w:rsidRPr="0089368B">
        <w:rPr>
          <w:rFonts w:ascii="Arial" w:eastAsia="Arial" w:hAnsi="Arial"/>
          <w:i/>
          <w:sz w:val="20"/>
        </w:rPr>
        <w:t>An account of the fishes found in the river Ganges and its branches</w:t>
      </w:r>
      <w:r w:rsidRPr="0089368B">
        <w:rPr>
          <w:rFonts w:ascii="Arial" w:eastAsia="Arial" w:hAnsi="Arial"/>
          <w:sz w:val="20"/>
        </w:rPr>
        <w:t xml:space="preserve">. Hurst, Robinson, and Co. </w:t>
      </w:r>
      <w:hyperlink r:id="rId14">
        <w:r w:rsidRPr="0089368B">
          <w:rPr>
            <w:rFonts w:ascii="Arial" w:eastAsia="Arial" w:hAnsi="Arial"/>
            <w:color w:val="000000"/>
            <w:sz w:val="20"/>
            <w:szCs w:val="20"/>
          </w:rPr>
          <w:t>https://doi.org/10.5962/bhl.title.59540</w:t>
        </w:r>
      </w:hyperlink>
    </w:p>
    <w:p w14:paraId="6D90B839" w14:textId="77777777" w:rsidR="00D16818" w:rsidRPr="0089368B" w:rsidRDefault="00000000">
      <w:pPr>
        <w:pStyle w:val="Bibliography"/>
      </w:pPr>
      <w:r w:rsidRPr="0089368B">
        <w:rPr>
          <w:rFonts w:ascii="Arial" w:eastAsia="Arial" w:hAnsi="Arial"/>
          <w:sz w:val="20"/>
        </w:rPr>
        <w:t xml:space="preserve">Hebert, P. D. N., Cywinska, A., Ball, S. L., &amp; deWaard, J. R. (2003). Biological identifications through DNA barcodes. </w:t>
      </w:r>
      <w:r w:rsidRPr="0089368B">
        <w:rPr>
          <w:rFonts w:ascii="Arial" w:eastAsia="Arial" w:hAnsi="Arial"/>
          <w:i/>
          <w:sz w:val="20"/>
        </w:rPr>
        <w:t>Proceedings of the Royal Society B: Biological Sciences, 270</w:t>
      </w:r>
      <w:r w:rsidRPr="0089368B">
        <w:rPr>
          <w:rFonts w:ascii="Arial" w:eastAsia="Arial" w:hAnsi="Arial"/>
          <w:sz w:val="20"/>
        </w:rPr>
        <w:t xml:space="preserve">(1512), 313–321. </w:t>
      </w:r>
      <w:hyperlink r:id="rId15">
        <w:r w:rsidRPr="0089368B">
          <w:rPr>
            <w:rFonts w:ascii="Arial" w:eastAsia="Arial" w:hAnsi="Arial"/>
            <w:color w:val="000000"/>
            <w:sz w:val="20"/>
            <w:szCs w:val="20"/>
          </w:rPr>
          <w:t>https://doi.org/10.1098/rspb.2002.2218</w:t>
        </w:r>
      </w:hyperlink>
    </w:p>
    <w:p w14:paraId="63F84D1A" w14:textId="77777777" w:rsidR="00D16818" w:rsidRPr="0089368B" w:rsidRDefault="00000000">
      <w:pPr>
        <w:pStyle w:val="Bibliography"/>
      </w:pPr>
      <w:r w:rsidRPr="0089368B">
        <w:rPr>
          <w:rFonts w:ascii="Arial" w:eastAsia="Arial" w:hAnsi="Arial"/>
          <w:sz w:val="20"/>
        </w:rPr>
        <w:t xml:space="preserve">Hebert, P. D. N., Stoeckle, M. Y., Zemlak, T. S., &amp; Francis, C. M. (2004). Identification of birds through DNA barcodes. </w:t>
      </w:r>
      <w:r w:rsidRPr="0089368B">
        <w:rPr>
          <w:rFonts w:ascii="Arial" w:eastAsia="Arial" w:hAnsi="Arial"/>
          <w:i/>
          <w:sz w:val="20"/>
        </w:rPr>
        <w:t>PLoS Biology, 2</w:t>
      </w:r>
      <w:r w:rsidRPr="0089368B">
        <w:rPr>
          <w:rFonts w:ascii="Arial" w:eastAsia="Arial" w:hAnsi="Arial"/>
          <w:sz w:val="20"/>
        </w:rPr>
        <w:t xml:space="preserve">(10), e312. </w:t>
      </w:r>
      <w:hyperlink r:id="rId16">
        <w:r w:rsidRPr="0089368B">
          <w:rPr>
            <w:rFonts w:ascii="Arial" w:eastAsia="Arial" w:hAnsi="Arial"/>
            <w:color w:val="000000"/>
            <w:sz w:val="20"/>
            <w:szCs w:val="20"/>
          </w:rPr>
          <w:t>https://doi.org/10.1371/journal.pbio.0020312</w:t>
        </w:r>
      </w:hyperlink>
    </w:p>
    <w:p w14:paraId="47B2DBF3" w14:textId="77777777" w:rsidR="00D16818" w:rsidRPr="0089368B" w:rsidRDefault="00000000">
      <w:pPr>
        <w:pStyle w:val="Bibliography"/>
      </w:pPr>
      <w:r w:rsidRPr="0089368B">
        <w:rPr>
          <w:rFonts w:ascii="Arial" w:eastAsia="Arial" w:hAnsi="Arial"/>
          <w:sz w:val="20"/>
        </w:rPr>
        <w:t xml:space="preserve">Huemer, P., Mutanen, M., Sefc, K. M., &amp; Hebert, P. D. N. (2014). Testing DNA barcode performance in 1000 species of European Lepidoptera: Large geographic distances have small genetic impacts. </w:t>
      </w:r>
      <w:r w:rsidRPr="0089368B">
        <w:rPr>
          <w:rFonts w:ascii="Arial" w:eastAsia="Arial" w:hAnsi="Arial"/>
          <w:i/>
          <w:sz w:val="20"/>
        </w:rPr>
        <w:t>PLOS ONE, 9</w:t>
      </w:r>
      <w:r w:rsidRPr="0089368B">
        <w:rPr>
          <w:rFonts w:ascii="Arial" w:eastAsia="Arial" w:hAnsi="Arial"/>
          <w:sz w:val="20"/>
        </w:rPr>
        <w:t xml:space="preserve">(12), e115774. </w:t>
      </w:r>
      <w:hyperlink r:id="rId17">
        <w:r w:rsidRPr="0089368B">
          <w:rPr>
            <w:rFonts w:ascii="Arial" w:eastAsia="Arial" w:hAnsi="Arial"/>
            <w:color w:val="000000"/>
            <w:sz w:val="20"/>
            <w:szCs w:val="20"/>
          </w:rPr>
          <w:t>https://doi.org/10.1371/journal.pone.0115774</w:t>
        </w:r>
      </w:hyperlink>
    </w:p>
    <w:p w14:paraId="33ACDCA2" w14:textId="77777777" w:rsidR="00D16818" w:rsidRPr="0089368B" w:rsidRDefault="00000000">
      <w:pPr>
        <w:pStyle w:val="Bibliography"/>
      </w:pPr>
      <w:r w:rsidRPr="0089368B">
        <w:rPr>
          <w:rFonts w:ascii="Arial" w:eastAsia="Arial" w:hAnsi="Arial"/>
          <w:sz w:val="20"/>
        </w:rPr>
        <w:lastRenderedPageBreak/>
        <w:t xml:space="preserve">Johnson, M., Zaretskaya, I., Raytselis, Y., Merezhuk, Y., McGinnis, S., &amp; Madden, T. L. (2008). NCBI BLAST: A better web interface. </w:t>
      </w:r>
      <w:r w:rsidRPr="0089368B">
        <w:rPr>
          <w:rFonts w:ascii="Arial" w:eastAsia="Arial" w:hAnsi="Arial"/>
          <w:i/>
          <w:sz w:val="20"/>
        </w:rPr>
        <w:t>Nucleic Acids Research, 36</w:t>
      </w:r>
      <w:r w:rsidRPr="0089368B">
        <w:rPr>
          <w:rFonts w:ascii="Arial" w:eastAsia="Arial" w:hAnsi="Arial"/>
          <w:sz w:val="20"/>
        </w:rPr>
        <w:t xml:space="preserve">(Web Server issue), W5–W9. </w:t>
      </w:r>
      <w:hyperlink r:id="rId18">
        <w:r w:rsidRPr="0089368B">
          <w:rPr>
            <w:rFonts w:ascii="Arial" w:eastAsia="Arial" w:hAnsi="Arial"/>
            <w:color w:val="000000"/>
            <w:sz w:val="20"/>
            <w:szCs w:val="20"/>
          </w:rPr>
          <w:t>https://doi.org/10.1093/nar/gkn201</w:t>
        </w:r>
      </w:hyperlink>
    </w:p>
    <w:p w14:paraId="09990726" w14:textId="77777777" w:rsidR="00D16818" w:rsidRPr="0089368B" w:rsidRDefault="00000000">
      <w:pPr>
        <w:pStyle w:val="Bibliography"/>
      </w:pPr>
      <w:r w:rsidRPr="0089368B">
        <w:rPr>
          <w:rFonts w:ascii="Arial" w:eastAsia="Arial" w:hAnsi="Arial"/>
          <w:sz w:val="20"/>
        </w:rPr>
        <w:t xml:space="preserve">Khedkar, G. D., Lutzky, S., Rathod, S., Kalyankar, A., &amp; David, L. (2014). A dual role of dams in fragmentation and support of fish diversity across the Godavari River basin in India. </w:t>
      </w:r>
      <w:r w:rsidRPr="0089368B">
        <w:rPr>
          <w:rFonts w:ascii="Arial" w:eastAsia="Arial" w:hAnsi="Arial"/>
          <w:i/>
          <w:sz w:val="20"/>
        </w:rPr>
        <w:t>Ecohydrology, 7</w:t>
      </w:r>
      <w:r w:rsidRPr="0089368B">
        <w:rPr>
          <w:rFonts w:ascii="Arial" w:eastAsia="Arial" w:hAnsi="Arial"/>
          <w:sz w:val="20"/>
        </w:rPr>
        <w:t xml:space="preserve">(6), 1560–1573. </w:t>
      </w:r>
      <w:hyperlink r:id="rId19">
        <w:r w:rsidRPr="0089368B">
          <w:rPr>
            <w:rFonts w:ascii="Arial" w:eastAsia="Arial" w:hAnsi="Arial"/>
            <w:color w:val="000000"/>
            <w:sz w:val="20"/>
            <w:szCs w:val="20"/>
          </w:rPr>
          <w:t>https://doi.org/10.1002/eco.1470</w:t>
        </w:r>
      </w:hyperlink>
    </w:p>
    <w:p w14:paraId="4EB3FD8B" w14:textId="77777777" w:rsidR="00D16818" w:rsidRPr="0089368B" w:rsidRDefault="00000000">
      <w:pPr>
        <w:pStyle w:val="Bibliography"/>
      </w:pPr>
      <w:r w:rsidRPr="0089368B">
        <w:rPr>
          <w:rFonts w:ascii="Arial" w:eastAsia="Arial" w:hAnsi="Arial"/>
          <w:sz w:val="20"/>
        </w:rPr>
        <w:t xml:space="preserve">Kundu, S., Tyagi, K., Pakrashi, A., Kumar, V., Kosygin, L., Rath, S., Das, U., &amp; Chandra, K. (2019). DNA barcoding of freshwater fishes from the transboundary river of Indo-Bhutan: Multiple clades and cryptic diversity. </w:t>
      </w:r>
      <w:r w:rsidRPr="0089368B">
        <w:rPr>
          <w:rFonts w:ascii="Arial" w:eastAsia="Arial" w:hAnsi="Arial"/>
          <w:i/>
          <w:sz w:val="20"/>
        </w:rPr>
        <w:t>Mitochondrial DNA Part B, 4</w:t>
      </w:r>
      <w:r w:rsidRPr="0089368B">
        <w:rPr>
          <w:rFonts w:ascii="Arial" w:eastAsia="Arial" w:hAnsi="Arial"/>
          <w:sz w:val="20"/>
        </w:rPr>
        <w:t xml:space="preserve">(2), 2527–2532. </w:t>
      </w:r>
      <w:hyperlink r:id="rId20">
        <w:r w:rsidRPr="0089368B">
          <w:rPr>
            <w:rFonts w:ascii="Arial" w:eastAsia="Arial" w:hAnsi="Arial"/>
            <w:color w:val="000000"/>
            <w:sz w:val="20"/>
            <w:szCs w:val="20"/>
          </w:rPr>
          <w:t>https://doi.org/10.1080/23802359.2019.1640079</w:t>
        </w:r>
      </w:hyperlink>
    </w:p>
    <w:p w14:paraId="6A1294EF" w14:textId="77777777" w:rsidR="00D16818" w:rsidRPr="0089368B" w:rsidRDefault="00000000">
      <w:pPr>
        <w:pStyle w:val="Bibliography"/>
      </w:pPr>
      <w:r w:rsidRPr="0089368B">
        <w:rPr>
          <w:rFonts w:ascii="Arial" w:eastAsia="Arial" w:hAnsi="Arial"/>
          <w:sz w:val="20"/>
        </w:rPr>
        <w:t xml:space="preserve">Lakra, W. S., Verma, M. S., Goswami, M., Lal, K. K., Mohindra, V., Punia, P., Gopalakrishnan, A., Singh, K. V., Ward, R. D., &amp; Hebert, P. D. N. (2011). DNA barcoding Indian marine fishes. </w:t>
      </w:r>
      <w:r w:rsidRPr="0089368B">
        <w:rPr>
          <w:rFonts w:ascii="Arial" w:eastAsia="Arial" w:hAnsi="Arial"/>
          <w:i/>
          <w:sz w:val="20"/>
        </w:rPr>
        <w:t>Molecular Ecology Resources, 11</w:t>
      </w:r>
      <w:r w:rsidRPr="0089368B">
        <w:rPr>
          <w:rFonts w:ascii="Arial" w:eastAsia="Arial" w:hAnsi="Arial"/>
          <w:sz w:val="20"/>
        </w:rPr>
        <w:t xml:space="preserve">(1), 60–71. </w:t>
      </w:r>
      <w:hyperlink r:id="rId21">
        <w:r w:rsidRPr="0089368B">
          <w:rPr>
            <w:rFonts w:ascii="Arial" w:eastAsia="Arial" w:hAnsi="Arial"/>
            <w:color w:val="000000"/>
            <w:sz w:val="20"/>
            <w:szCs w:val="20"/>
          </w:rPr>
          <w:t>https://doi.org/10.1111/j.1755-0998.2010.02894.x</w:t>
        </w:r>
      </w:hyperlink>
    </w:p>
    <w:p w14:paraId="65E8940D" w14:textId="77777777" w:rsidR="00D16818" w:rsidRPr="0089368B" w:rsidRDefault="00000000">
      <w:pPr>
        <w:pStyle w:val="Bibliography"/>
      </w:pPr>
      <w:r w:rsidRPr="0089368B">
        <w:rPr>
          <w:rFonts w:ascii="Arial" w:eastAsia="Arial" w:hAnsi="Arial"/>
          <w:sz w:val="20"/>
        </w:rPr>
        <w:t xml:space="preserve">Lakra, W. S., Singh, M., Goswami, M., Gopalakrishnan, A., Lal, K. K., Mohindra, V., Sarkar, U. K., Punia, P. P., Singh, K. V., Bhatt, J. P., &amp; Ayyappan, S. (2016). DNA barcoding Indian freshwater fishes. </w:t>
      </w:r>
      <w:r w:rsidRPr="0089368B">
        <w:rPr>
          <w:rFonts w:ascii="Arial" w:eastAsia="Arial" w:hAnsi="Arial"/>
          <w:i/>
          <w:sz w:val="20"/>
        </w:rPr>
        <w:t>Mitochondrial DNA Part A, 27</w:t>
      </w:r>
      <w:r w:rsidRPr="0089368B">
        <w:rPr>
          <w:rFonts w:ascii="Arial" w:eastAsia="Arial" w:hAnsi="Arial"/>
          <w:sz w:val="20"/>
        </w:rPr>
        <w:t xml:space="preserve">(6), 4510–4517. </w:t>
      </w:r>
      <w:hyperlink r:id="rId22">
        <w:r w:rsidRPr="0089368B">
          <w:rPr>
            <w:rFonts w:ascii="Arial" w:eastAsia="Arial" w:hAnsi="Arial"/>
            <w:color w:val="000000"/>
            <w:sz w:val="20"/>
            <w:szCs w:val="20"/>
          </w:rPr>
          <w:t>https://doi.org/10.3109/19401736.2015.1101540</w:t>
        </w:r>
      </w:hyperlink>
    </w:p>
    <w:p w14:paraId="2684A0E6" w14:textId="77777777" w:rsidR="00D16818" w:rsidRPr="0089368B" w:rsidRDefault="00000000">
      <w:pPr>
        <w:pStyle w:val="Bibliography"/>
      </w:pPr>
      <w:r w:rsidRPr="0089368B">
        <w:rPr>
          <w:rFonts w:ascii="Arial" w:eastAsia="Arial" w:hAnsi="Arial"/>
          <w:sz w:val="20"/>
        </w:rPr>
        <w:t xml:space="preserve">Markad, G., More, R., Kakade, V., &amp; Sarwade, J. (2025). Assessing fish diversity in the Ujani reservoir: An updated overview after one decade. </w:t>
      </w:r>
      <w:r w:rsidRPr="0089368B">
        <w:rPr>
          <w:rFonts w:ascii="Arial" w:eastAsia="Arial" w:hAnsi="Arial"/>
          <w:i/>
          <w:sz w:val="20"/>
        </w:rPr>
        <w:t>Journal of Threatened Taxa, 17</w:t>
      </w:r>
      <w:r w:rsidRPr="0089368B">
        <w:rPr>
          <w:rFonts w:ascii="Arial" w:eastAsia="Arial" w:hAnsi="Arial"/>
          <w:sz w:val="20"/>
        </w:rPr>
        <w:t xml:space="preserve">(10), 27705–27719. </w:t>
      </w:r>
      <w:hyperlink r:id="rId23">
        <w:r w:rsidRPr="0089368B">
          <w:rPr>
            <w:rFonts w:ascii="Arial" w:eastAsia="Arial" w:hAnsi="Arial"/>
            <w:color w:val="000000"/>
            <w:sz w:val="20"/>
            <w:szCs w:val="20"/>
          </w:rPr>
          <w:t>https://doi.org/10.11609/jott.9673.17.10.27705-27719</w:t>
        </w:r>
      </w:hyperlink>
    </w:p>
    <w:p w14:paraId="491D59CB" w14:textId="77777777" w:rsidR="00D16818" w:rsidRPr="0089368B" w:rsidRDefault="00000000">
      <w:pPr>
        <w:pStyle w:val="Bibliography"/>
      </w:pPr>
      <w:r w:rsidRPr="0089368B">
        <w:rPr>
          <w:rFonts w:ascii="Arial" w:eastAsia="Arial" w:hAnsi="Arial"/>
          <w:sz w:val="20"/>
        </w:rPr>
        <w:t xml:space="preserve">Modeel, S., Negi, R. K., Sharma, M., Dolkar, P., Yadav, S., Siwach, S., Yadav, P., &amp; Negi, T. (2024). A comprehensive DNA barcoding of Indian freshwater fishes of the Indus River system, Beas. </w:t>
      </w:r>
      <w:r w:rsidRPr="0089368B">
        <w:rPr>
          <w:rFonts w:ascii="Arial" w:eastAsia="Arial" w:hAnsi="Arial"/>
          <w:i/>
          <w:sz w:val="20"/>
        </w:rPr>
        <w:t>Scientific Reports, 14</w:t>
      </w:r>
      <w:r w:rsidRPr="0089368B">
        <w:rPr>
          <w:rFonts w:ascii="Arial" w:eastAsia="Arial" w:hAnsi="Arial"/>
          <w:sz w:val="20"/>
        </w:rPr>
        <w:t xml:space="preserve">, Article 2763. </w:t>
      </w:r>
      <w:hyperlink r:id="rId24">
        <w:r w:rsidRPr="0089368B">
          <w:rPr>
            <w:rFonts w:ascii="Arial" w:eastAsia="Arial" w:hAnsi="Arial"/>
            <w:color w:val="000000"/>
            <w:sz w:val="20"/>
            <w:szCs w:val="20"/>
          </w:rPr>
          <w:t>https://doi.org/10.1038/s41598-024-52519-0</w:t>
        </w:r>
      </w:hyperlink>
    </w:p>
    <w:p w14:paraId="060A8A1B" w14:textId="77777777" w:rsidR="00D16818" w:rsidRPr="0089368B" w:rsidRDefault="00000000">
      <w:pPr>
        <w:pStyle w:val="Bibliography"/>
      </w:pPr>
      <w:r w:rsidRPr="0089368B">
        <w:rPr>
          <w:rFonts w:ascii="Arial" w:eastAsia="Arial" w:hAnsi="Arial"/>
          <w:sz w:val="20"/>
        </w:rPr>
        <w:t xml:space="preserve">Panprommin, D., Soontornprasit, K., Tuncharoen, S., Pithakpol, S., &amp; Keereelang, J. (2019). DNA barcodes for the identification of species diversity in fish from Kwan Phayao, Thailand. </w:t>
      </w:r>
      <w:r w:rsidRPr="0089368B">
        <w:rPr>
          <w:rFonts w:ascii="Arial" w:eastAsia="Arial" w:hAnsi="Arial"/>
          <w:i/>
          <w:sz w:val="20"/>
        </w:rPr>
        <w:t>Journal of Asia-Pacific Biodiversity, 12</w:t>
      </w:r>
      <w:r w:rsidRPr="0089368B">
        <w:rPr>
          <w:rFonts w:ascii="Arial" w:eastAsia="Arial" w:hAnsi="Arial"/>
          <w:sz w:val="20"/>
        </w:rPr>
        <w:t xml:space="preserve">(3), 382–389. </w:t>
      </w:r>
      <w:hyperlink r:id="rId25">
        <w:r w:rsidRPr="0089368B">
          <w:rPr>
            <w:rFonts w:ascii="Arial" w:eastAsia="Arial" w:hAnsi="Arial"/>
            <w:color w:val="000000"/>
            <w:sz w:val="20"/>
            <w:szCs w:val="20"/>
          </w:rPr>
          <w:t>https://doi.org/10.1016/j.japb.2019.05.003</w:t>
        </w:r>
      </w:hyperlink>
    </w:p>
    <w:p w14:paraId="5D60DA9D" w14:textId="77777777" w:rsidR="00D16818" w:rsidRPr="0089368B" w:rsidRDefault="00000000">
      <w:pPr>
        <w:pStyle w:val="Bibliography"/>
      </w:pPr>
      <w:r w:rsidRPr="0089368B">
        <w:rPr>
          <w:rFonts w:ascii="Arial" w:eastAsia="Arial" w:hAnsi="Arial"/>
          <w:sz w:val="20"/>
        </w:rPr>
        <w:t xml:space="preserve">Patil, T. S., Jamdade, R. A., Patil, S. M., Govindwar, S. P., &amp; Muley, D. V. (2018). DNA barcode-based delineation of freshwater fishes from northern Western Ghats of India, one of the world’s biodiversity hotspots. </w:t>
      </w:r>
      <w:r w:rsidRPr="0089368B">
        <w:rPr>
          <w:rFonts w:ascii="Arial" w:eastAsia="Arial" w:hAnsi="Arial"/>
          <w:i/>
          <w:sz w:val="20"/>
        </w:rPr>
        <w:t>Biodiversity and Conservation, 27</w:t>
      </w:r>
      <w:r w:rsidRPr="0089368B">
        <w:rPr>
          <w:rFonts w:ascii="Arial" w:eastAsia="Arial" w:hAnsi="Arial"/>
          <w:sz w:val="20"/>
        </w:rPr>
        <w:t xml:space="preserve">(13), 3349–3371. </w:t>
      </w:r>
      <w:hyperlink r:id="rId26">
        <w:r w:rsidRPr="0089368B">
          <w:rPr>
            <w:rFonts w:ascii="Arial" w:eastAsia="Arial" w:hAnsi="Arial"/>
            <w:color w:val="000000"/>
            <w:sz w:val="20"/>
            <w:szCs w:val="20"/>
          </w:rPr>
          <w:t>https://doi.org/10.1007/s10531-018-1604-0</w:t>
        </w:r>
      </w:hyperlink>
    </w:p>
    <w:p w14:paraId="67AFAAB3" w14:textId="77777777" w:rsidR="00D16818" w:rsidRPr="0089368B" w:rsidRDefault="00000000">
      <w:pPr>
        <w:pStyle w:val="Bibliography"/>
      </w:pPr>
      <w:r w:rsidRPr="0089368B">
        <w:rPr>
          <w:rFonts w:ascii="Arial" w:eastAsia="Arial" w:hAnsi="Arial"/>
          <w:sz w:val="20"/>
        </w:rPr>
        <w:t xml:space="preserve">Sabaridasan, A., Edwinthangam, P., &amp; Soranam, R. (2017). Morphometric divergence of </w:t>
      </w:r>
      <w:r w:rsidRPr="0089368B">
        <w:rPr>
          <w:rFonts w:ascii="Arial" w:eastAsia="Arial" w:hAnsi="Arial"/>
          <w:i/>
          <w:sz w:val="20"/>
        </w:rPr>
        <w:t>Garra mullya</w:t>
      </w:r>
      <w:r w:rsidRPr="0089368B">
        <w:rPr>
          <w:rFonts w:ascii="Arial" w:eastAsia="Arial" w:hAnsi="Arial"/>
          <w:sz w:val="20"/>
        </w:rPr>
        <w:t xml:space="preserve"> (Sykes, 1839) populations from the preferred river system of Southern Western Ghats region, Tamil Nadu, India. </w:t>
      </w:r>
      <w:r w:rsidRPr="0089368B">
        <w:rPr>
          <w:rFonts w:ascii="Arial" w:eastAsia="Arial" w:hAnsi="Arial"/>
          <w:i/>
          <w:sz w:val="20"/>
        </w:rPr>
        <w:t>Research &amp; Reviews: A Journal of Life Sciences, 7</w:t>
      </w:r>
      <w:r w:rsidRPr="0089368B">
        <w:rPr>
          <w:rFonts w:ascii="Arial" w:eastAsia="Arial" w:hAnsi="Arial"/>
          <w:sz w:val="20"/>
        </w:rPr>
        <w:t xml:space="preserve">(3), 7–13. </w:t>
      </w:r>
      <w:hyperlink r:id="rId27">
        <w:r w:rsidRPr="0089368B">
          <w:rPr>
            <w:rFonts w:ascii="Arial" w:eastAsia="Arial" w:hAnsi="Arial"/>
            <w:color w:val="000000"/>
            <w:sz w:val="20"/>
            <w:szCs w:val="20"/>
          </w:rPr>
          <w:t>https://doi.org/10.37591/rrjols.v7i3.12</w:t>
        </w:r>
      </w:hyperlink>
    </w:p>
    <w:p w14:paraId="593483EC" w14:textId="77777777" w:rsidR="00D16818" w:rsidRPr="0089368B" w:rsidRDefault="00000000">
      <w:pPr>
        <w:pStyle w:val="Bibliography"/>
      </w:pPr>
      <w:r w:rsidRPr="0089368B">
        <w:rPr>
          <w:rFonts w:ascii="Arial" w:eastAsia="Arial" w:hAnsi="Arial"/>
          <w:b/>
          <w:sz w:val="20"/>
        </w:rPr>
        <w:t xml:space="preserve">Sahu, A., Singh, M., Kumar, T. T. A., &amp; Sarkar, U. K. (2024). Integrative taxonomy of near-threatened species </w:t>
      </w:r>
      <w:r w:rsidRPr="0089368B">
        <w:rPr>
          <w:rFonts w:ascii="Arial" w:eastAsia="Arial" w:hAnsi="Arial"/>
          <w:b/>
          <w:i/>
          <w:sz w:val="20"/>
        </w:rPr>
        <w:t>Pseudambassis lala</w:t>
      </w:r>
      <w:r w:rsidRPr="0089368B">
        <w:rPr>
          <w:rFonts w:ascii="Arial" w:eastAsia="Arial" w:hAnsi="Arial"/>
          <w:b/>
          <w:sz w:val="20"/>
        </w:rPr>
        <w:t xml:space="preserve"> (Hamilton 1822), an ornamental fish of the Gomti river, Uttar Pradesh, India. </w:t>
      </w:r>
      <w:r w:rsidRPr="0089368B">
        <w:rPr>
          <w:rFonts w:ascii="Arial" w:eastAsia="Arial" w:hAnsi="Arial"/>
          <w:b/>
          <w:i/>
          <w:sz w:val="20"/>
        </w:rPr>
        <w:t>The Indian Journal of Animal Sciences, 94</w:t>
      </w:r>
      <w:r w:rsidRPr="0089368B">
        <w:rPr>
          <w:rFonts w:ascii="Arial" w:eastAsia="Arial" w:hAnsi="Arial"/>
          <w:b/>
          <w:sz w:val="20"/>
        </w:rPr>
        <w:t xml:space="preserve">(12), 1100–1105. </w:t>
      </w:r>
      <w:hyperlink r:id="rId28">
        <w:r w:rsidRPr="0089368B">
          <w:rPr>
            <w:rFonts w:ascii="Arial" w:eastAsia="Arial" w:hAnsi="Arial"/>
            <w:b/>
            <w:sz w:val="20"/>
          </w:rPr>
          <w:t>https://doi.org/10.56093/ijans.v94i12.150227</w:t>
        </w:r>
      </w:hyperlink>
    </w:p>
    <w:p w14:paraId="4EB5C7FB" w14:textId="77777777" w:rsidR="00D16818" w:rsidRPr="0089368B" w:rsidRDefault="00000000">
      <w:pPr>
        <w:pStyle w:val="Bibliography"/>
      </w:pPr>
      <w:r w:rsidRPr="0089368B">
        <w:rPr>
          <w:rFonts w:ascii="Arial" w:eastAsia="Arial" w:hAnsi="Arial"/>
          <w:b/>
          <w:sz w:val="20"/>
        </w:rPr>
        <w:t xml:space="preserve">Sahu, A., Singh, M., &amp; Sarkar, U. K. (2025). Building a DNA barcode library of commercially exploited fish genetic resources (FGR) of the Gomti River, Ganga basin, implications for conservation and management. </w:t>
      </w:r>
      <w:r w:rsidRPr="0089368B">
        <w:rPr>
          <w:rFonts w:ascii="Arial" w:eastAsia="Arial" w:hAnsi="Arial"/>
          <w:b/>
          <w:i/>
          <w:sz w:val="20"/>
        </w:rPr>
        <w:t>Scientific Reports, 15</w:t>
      </w:r>
      <w:r w:rsidRPr="0089368B">
        <w:rPr>
          <w:rFonts w:ascii="Arial" w:eastAsia="Arial" w:hAnsi="Arial"/>
          <w:b/>
          <w:sz w:val="20"/>
        </w:rPr>
        <w:t xml:space="preserve">, Article 42721. </w:t>
      </w:r>
      <w:hyperlink r:id="rId29">
        <w:r w:rsidRPr="0089368B">
          <w:rPr>
            <w:rFonts w:ascii="Arial" w:eastAsia="Arial" w:hAnsi="Arial"/>
            <w:b/>
            <w:sz w:val="20"/>
          </w:rPr>
          <w:t>https://doi.org/10.1038/s41598-025-26773-9</w:t>
        </w:r>
      </w:hyperlink>
    </w:p>
    <w:p w14:paraId="2EC5BA75" w14:textId="77777777" w:rsidR="00D16818" w:rsidRPr="0089368B" w:rsidRDefault="00000000">
      <w:pPr>
        <w:pStyle w:val="Bibliography"/>
      </w:pPr>
      <w:r w:rsidRPr="0089368B">
        <w:rPr>
          <w:rFonts w:ascii="Arial" w:eastAsia="Arial" w:hAnsi="Arial"/>
          <w:sz w:val="20"/>
        </w:rPr>
        <w:t xml:space="preserve">Sarwade, J. P., &amp; Khillare, Y. K. (2010). Fish diversity of Ujani wetland, Maharashtra, India. </w:t>
      </w:r>
      <w:r w:rsidRPr="0089368B">
        <w:rPr>
          <w:rFonts w:ascii="Arial" w:eastAsia="Arial" w:hAnsi="Arial"/>
          <w:i/>
          <w:sz w:val="20"/>
        </w:rPr>
        <w:t>The Bioscan, 1</w:t>
      </w:r>
      <w:r w:rsidRPr="0089368B">
        <w:rPr>
          <w:rFonts w:ascii="Arial" w:eastAsia="Arial" w:hAnsi="Arial"/>
          <w:sz w:val="20"/>
        </w:rPr>
        <w:t xml:space="preserve"> (Special issue), 173–179. </w:t>
      </w:r>
      <w:hyperlink r:id="rId30">
        <w:r w:rsidRPr="0089368B">
          <w:rPr>
            <w:rFonts w:ascii="Arial" w:eastAsia="Arial" w:hAnsi="Arial"/>
            <w:color w:val="000000"/>
            <w:sz w:val="20"/>
            <w:szCs w:val="20"/>
          </w:rPr>
          <w:t>https://www.yumpu.com/en/document/view/9603107/j-p-sarwade-the-bioscan</w:t>
        </w:r>
      </w:hyperlink>
    </w:p>
    <w:p w14:paraId="728EDEE9" w14:textId="77777777" w:rsidR="00D16818" w:rsidRPr="0089368B" w:rsidRDefault="00000000">
      <w:pPr>
        <w:pStyle w:val="Bibliography"/>
      </w:pPr>
      <w:r w:rsidRPr="0089368B">
        <w:rPr>
          <w:rFonts w:ascii="Arial" w:eastAsia="Arial" w:hAnsi="Arial"/>
          <w:sz w:val="20"/>
        </w:rPr>
        <w:t xml:space="preserve">Sharma, M. S., &amp; Nagar, K. C. (2020). DNA barcoding and phylogenetic relationship of two fish species of genus </w:t>
      </w:r>
      <w:r w:rsidRPr="0089368B">
        <w:rPr>
          <w:rFonts w:ascii="Arial" w:eastAsia="Arial" w:hAnsi="Arial"/>
          <w:i/>
          <w:sz w:val="20"/>
        </w:rPr>
        <w:t>Garra</w:t>
      </w:r>
      <w:r w:rsidRPr="0089368B">
        <w:rPr>
          <w:rFonts w:ascii="Arial" w:eastAsia="Arial" w:hAnsi="Arial"/>
          <w:sz w:val="20"/>
        </w:rPr>
        <w:t xml:space="preserve"> (family Cyprinidae) from Aravalli region of southern Rajasthan based on mtDNA COI sequences. </w:t>
      </w:r>
      <w:r w:rsidRPr="0089368B">
        <w:rPr>
          <w:rFonts w:ascii="Arial" w:eastAsia="Arial" w:hAnsi="Arial"/>
          <w:i/>
          <w:sz w:val="20"/>
        </w:rPr>
        <w:t>The Indian Journal of Animal Sciences, 90</w:t>
      </w:r>
      <w:r w:rsidRPr="0089368B">
        <w:rPr>
          <w:rFonts w:ascii="Arial" w:eastAsia="Arial" w:hAnsi="Arial"/>
          <w:sz w:val="20"/>
        </w:rPr>
        <w:t xml:space="preserve">(12), 1666–1669. </w:t>
      </w:r>
      <w:hyperlink r:id="rId31">
        <w:r w:rsidRPr="0089368B">
          <w:rPr>
            <w:rFonts w:ascii="Arial" w:eastAsia="Arial" w:hAnsi="Arial"/>
            <w:color w:val="000000"/>
            <w:sz w:val="20"/>
            <w:szCs w:val="20"/>
          </w:rPr>
          <w:t>https://doi.org/10.56093/ijans.v90i12.113208</w:t>
        </w:r>
      </w:hyperlink>
    </w:p>
    <w:p w14:paraId="6E0A8AA0" w14:textId="77777777" w:rsidR="00D16818" w:rsidRPr="0089368B" w:rsidRDefault="00000000">
      <w:pPr>
        <w:pStyle w:val="Bibliography"/>
      </w:pPr>
      <w:r w:rsidRPr="0089368B">
        <w:rPr>
          <w:rFonts w:ascii="Arial" w:eastAsia="Arial" w:hAnsi="Arial"/>
          <w:sz w:val="20"/>
        </w:rPr>
        <w:t xml:space="preserve">Stein, E. D., Martinez, M. C., Stiles, S., Miller, P. E., &amp; Zakharov, E. V. (2014). Is DNA barcoding actually cheaper and faster than traditional morphological methods? Results from a survey of freshwater bioassessment efforts in the United States. </w:t>
      </w:r>
      <w:r w:rsidRPr="0089368B">
        <w:rPr>
          <w:rFonts w:ascii="Arial" w:eastAsia="Arial" w:hAnsi="Arial"/>
          <w:i/>
          <w:sz w:val="20"/>
        </w:rPr>
        <w:t>PLOS ONE, 9</w:t>
      </w:r>
      <w:r w:rsidRPr="0089368B">
        <w:rPr>
          <w:rFonts w:ascii="Arial" w:eastAsia="Arial" w:hAnsi="Arial"/>
          <w:sz w:val="20"/>
        </w:rPr>
        <w:t xml:space="preserve">(4), e95525. </w:t>
      </w:r>
      <w:hyperlink r:id="rId32">
        <w:r w:rsidRPr="0089368B">
          <w:rPr>
            <w:rFonts w:ascii="Arial" w:eastAsia="Arial" w:hAnsi="Arial"/>
            <w:color w:val="000000"/>
            <w:sz w:val="20"/>
            <w:szCs w:val="20"/>
          </w:rPr>
          <w:t>https://doi.org/10.1371/journal.pone.0095525</w:t>
        </w:r>
      </w:hyperlink>
    </w:p>
    <w:p w14:paraId="2575113D" w14:textId="77777777" w:rsidR="00D16818" w:rsidRPr="0089368B" w:rsidRDefault="00000000">
      <w:pPr>
        <w:pStyle w:val="Bibliography"/>
      </w:pPr>
      <w:r w:rsidRPr="0089368B">
        <w:rPr>
          <w:rFonts w:ascii="Arial" w:eastAsia="Arial" w:hAnsi="Arial"/>
          <w:sz w:val="20"/>
        </w:rPr>
        <w:t xml:space="preserve">Talwar, P. K., &amp; Jhingran, A. G. (1991). </w:t>
      </w:r>
      <w:r w:rsidRPr="0089368B">
        <w:rPr>
          <w:rFonts w:ascii="Arial" w:eastAsia="Arial" w:hAnsi="Arial"/>
          <w:i/>
          <w:sz w:val="20"/>
        </w:rPr>
        <w:t>Inland fishes of India and adjacent countries</w:t>
      </w:r>
      <w:r w:rsidRPr="0089368B">
        <w:rPr>
          <w:rFonts w:ascii="Arial" w:eastAsia="Arial" w:hAnsi="Arial"/>
          <w:sz w:val="20"/>
        </w:rPr>
        <w:t xml:space="preserve"> (Vols. 1–2). Oxford &amp; IBH Publishing. </w:t>
      </w:r>
      <w:hyperlink r:id="rId33">
        <w:r w:rsidRPr="0089368B">
          <w:rPr>
            <w:rFonts w:ascii="Arial" w:eastAsia="Arial" w:hAnsi="Arial"/>
            <w:color w:val="000000"/>
            <w:sz w:val="20"/>
            <w:szCs w:val="20"/>
          </w:rPr>
          <w:t>https://opac.niscpr.res.in/bib/8190</w:t>
        </w:r>
      </w:hyperlink>
    </w:p>
    <w:p w14:paraId="17232768" w14:textId="77777777" w:rsidR="00D16818" w:rsidRPr="0089368B" w:rsidRDefault="00000000">
      <w:pPr>
        <w:pStyle w:val="Bibliography"/>
      </w:pPr>
      <w:r w:rsidRPr="0089368B">
        <w:rPr>
          <w:rFonts w:ascii="Arial" w:eastAsia="Arial" w:hAnsi="Arial"/>
          <w:sz w:val="20"/>
        </w:rPr>
        <w:lastRenderedPageBreak/>
        <w:t xml:space="preserve">Teletchea, F. (2009). Molecular identification methods of fish species: Reassessment and possible applications. </w:t>
      </w:r>
      <w:r w:rsidRPr="0089368B">
        <w:rPr>
          <w:rFonts w:ascii="Arial" w:eastAsia="Arial" w:hAnsi="Arial"/>
          <w:i/>
          <w:sz w:val="20"/>
        </w:rPr>
        <w:t>Reviews in Fish Biology and Fisheries, 19</w:t>
      </w:r>
      <w:r w:rsidRPr="0089368B">
        <w:rPr>
          <w:rFonts w:ascii="Arial" w:eastAsia="Arial" w:hAnsi="Arial"/>
          <w:sz w:val="20"/>
        </w:rPr>
        <w:t xml:space="preserve">(3), 265–293. </w:t>
      </w:r>
      <w:hyperlink r:id="rId34">
        <w:r w:rsidRPr="0089368B">
          <w:rPr>
            <w:rFonts w:ascii="Arial" w:eastAsia="Arial" w:hAnsi="Arial"/>
            <w:color w:val="000000"/>
            <w:sz w:val="20"/>
            <w:szCs w:val="20"/>
          </w:rPr>
          <w:t>https://doi.org/10.1007/s11160-009-9107-4</w:t>
        </w:r>
      </w:hyperlink>
    </w:p>
    <w:p w14:paraId="3AAB76E1" w14:textId="77777777" w:rsidR="00D16818" w:rsidRPr="0089368B" w:rsidRDefault="00000000">
      <w:pPr>
        <w:pStyle w:val="Bibliography"/>
      </w:pPr>
      <w:r w:rsidRPr="0089368B">
        <w:rPr>
          <w:rFonts w:ascii="Arial" w:eastAsia="Arial" w:hAnsi="Arial"/>
          <w:b/>
          <w:sz w:val="20"/>
        </w:rPr>
        <w:t xml:space="preserve">Uikey, N., Garg, R. K., &amp; Yadav, S. (2025). DNA barcode development of two catfishes </w:t>
      </w:r>
      <w:r w:rsidRPr="0089368B">
        <w:rPr>
          <w:rFonts w:ascii="Arial" w:eastAsia="Arial" w:hAnsi="Arial"/>
          <w:b/>
          <w:i/>
          <w:sz w:val="20"/>
        </w:rPr>
        <w:t>Heteropneustes fossilis</w:t>
      </w:r>
      <w:r w:rsidRPr="0089368B">
        <w:rPr>
          <w:rFonts w:ascii="Arial" w:eastAsia="Arial" w:hAnsi="Arial"/>
          <w:b/>
          <w:sz w:val="20"/>
        </w:rPr>
        <w:t xml:space="preserve"> and </w:t>
      </w:r>
      <w:r w:rsidRPr="0089368B">
        <w:rPr>
          <w:rFonts w:ascii="Arial" w:eastAsia="Arial" w:hAnsi="Arial"/>
          <w:b/>
          <w:i/>
          <w:sz w:val="20"/>
        </w:rPr>
        <w:t>Mystus bleekeri</w:t>
      </w:r>
      <w:r w:rsidRPr="0089368B">
        <w:rPr>
          <w:rFonts w:ascii="Arial" w:eastAsia="Arial" w:hAnsi="Arial"/>
          <w:b/>
          <w:sz w:val="20"/>
        </w:rPr>
        <w:t xml:space="preserve"> from Upper Lake Bhopal, Madhya Pradesh, India. </w:t>
      </w:r>
      <w:r w:rsidRPr="0089368B">
        <w:rPr>
          <w:rFonts w:ascii="Arial" w:eastAsia="Arial" w:hAnsi="Arial"/>
          <w:b/>
          <w:i/>
          <w:sz w:val="20"/>
        </w:rPr>
        <w:t>Journal of Advances in Biology &amp; Biotechnology, 28</w:t>
      </w:r>
      <w:r w:rsidRPr="0089368B">
        <w:rPr>
          <w:rFonts w:ascii="Arial" w:eastAsia="Arial" w:hAnsi="Arial"/>
          <w:b/>
          <w:sz w:val="20"/>
        </w:rPr>
        <w:t xml:space="preserve">(10), 209–222. </w:t>
      </w:r>
      <w:hyperlink r:id="rId35">
        <w:r w:rsidRPr="0089368B">
          <w:rPr>
            <w:rFonts w:ascii="Arial" w:eastAsia="Arial" w:hAnsi="Arial"/>
            <w:b/>
            <w:sz w:val="20"/>
          </w:rPr>
          <w:t>https://doi.org/10.9734/jabb/2025/v28i103049</w:t>
        </w:r>
      </w:hyperlink>
    </w:p>
    <w:p w14:paraId="5EFC751F" w14:textId="77777777" w:rsidR="00D16818" w:rsidRPr="0089368B" w:rsidRDefault="00000000">
      <w:pPr>
        <w:pStyle w:val="Bibliography"/>
      </w:pPr>
      <w:r w:rsidRPr="0089368B">
        <w:rPr>
          <w:rFonts w:ascii="Arial" w:eastAsia="Arial" w:hAnsi="Arial"/>
          <w:sz w:val="20"/>
        </w:rPr>
        <w:t xml:space="preserve">Ward, R. D., Zemlak, T. S., Innes, B. H., Last, P. R., &amp; Hebert, P. D. N. (2005). DNA barcoding Australia’s fish species. </w:t>
      </w:r>
      <w:r w:rsidRPr="0089368B">
        <w:rPr>
          <w:rFonts w:ascii="Arial" w:eastAsia="Arial" w:hAnsi="Arial"/>
          <w:i/>
          <w:sz w:val="20"/>
        </w:rPr>
        <w:t>Philosophical Transactions of the Royal Society B: Biological Sciences, 360</w:t>
      </w:r>
      <w:r w:rsidRPr="0089368B">
        <w:rPr>
          <w:rFonts w:ascii="Arial" w:eastAsia="Arial" w:hAnsi="Arial"/>
          <w:sz w:val="20"/>
        </w:rPr>
        <w:t xml:space="preserve">(1462), 1847–1857. </w:t>
      </w:r>
      <w:hyperlink r:id="rId36">
        <w:r w:rsidRPr="0089368B">
          <w:rPr>
            <w:rFonts w:ascii="Arial" w:eastAsia="Arial" w:hAnsi="Arial"/>
            <w:color w:val="000000"/>
            <w:sz w:val="20"/>
            <w:szCs w:val="20"/>
          </w:rPr>
          <w:t>https://doi.org/10.1098/rstb.2005.1716</w:t>
        </w:r>
      </w:hyperlink>
    </w:p>
    <w:p w14:paraId="162608DF" w14:textId="77777777" w:rsidR="00D16818" w:rsidRPr="0089368B" w:rsidRDefault="00000000">
      <w:pPr>
        <w:pStyle w:val="Bibliography"/>
      </w:pPr>
      <w:r w:rsidRPr="0089368B">
        <w:rPr>
          <w:rFonts w:ascii="Arial" w:eastAsia="Arial" w:hAnsi="Arial"/>
          <w:sz w:val="20"/>
        </w:rPr>
        <w:t xml:space="preserve">Xing, B., Lin, H., Zhang, Z., Wang, C., Wang, Y., &amp; Wang, J. (2018). DNA barcoding for identification of fish species in the Taiwan Strait. </w:t>
      </w:r>
      <w:r w:rsidRPr="0089368B">
        <w:rPr>
          <w:rFonts w:ascii="Arial" w:eastAsia="Arial" w:hAnsi="Arial"/>
          <w:i/>
          <w:sz w:val="20"/>
        </w:rPr>
        <w:t>PLOS ONE, 13</w:t>
      </w:r>
      <w:r w:rsidRPr="0089368B">
        <w:rPr>
          <w:rFonts w:ascii="Arial" w:eastAsia="Arial" w:hAnsi="Arial"/>
          <w:sz w:val="20"/>
        </w:rPr>
        <w:t xml:space="preserve">(6), e0198109. </w:t>
      </w:r>
      <w:hyperlink r:id="rId37">
        <w:r w:rsidRPr="0089368B">
          <w:rPr>
            <w:rFonts w:ascii="Arial" w:eastAsia="Arial" w:hAnsi="Arial"/>
            <w:color w:val="000000"/>
            <w:sz w:val="20"/>
            <w:szCs w:val="20"/>
          </w:rPr>
          <w:t>https://doi.org/10.1371/journal.pone.0198109</w:t>
        </w:r>
      </w:hyperlink>
    </w:p>
    <w:p w14:paraId="4C2F07FC" w14:textId="77777777" w:rsidR="00D16818" w:rsidRDefault="00000000">
      <w:pPr>
        <w:pStyle w:val="Bibliography"/>
      </w:pPr>
      <w:r w:rsidRPr="0089368B">
        <w:rPr>
          <w:rFonts w:ascii="Arial" w:eastAsia="Arial" w:hAnsi="Arial"/>
          <w:sz w:val="20"/>
        </w:rPr>
        <w:t xml:space="preserve">Yazdani, G. M., &amp; Singh, D. F. (2002). Fishes. In Director, Zoological Survey of India (Ed.), </w:t>
      </w:r>
      <w:r w:rsidRPr="0089368B">
        <w:rPr>
          <w:rFonts w:ascii="Arial" w:eastAsia="Arial" w:hAnsi="Arial"/>
          <w:i/>
          <w:sz w:val="20"/>
        </w:rPr>
        <w:t>Fauna of Ujani (Maharashtra)</w:t>
      </w:r>
      <w:r w:rsidRPr="0089368B">
        <w:rPr>
          <w:rFonts w:ascii="Arial" w:eastAsia="Arial" w:hAnsi="Arial"/>
          <w:sz w:val="20"/>
        </w:rPr>
        <w:t xml:space="preserve"> (Wetland Ecosystem Series No. 3, pp. 143–156). Zoological Survey of India. </w:t>
      </w:r>
      <w:hyperlink r:id="rId38">
        <w:r w:rsidRPr="0089368B">
          <w:rPr>
            <w:rFonts w:ascii="Arial" w:eastAsia="Arial" w:hAnsi="Arial"/>
            <w:color w:val="000000"/>
            <w:sz w:val="20"/>
            <w:szCs w:val="20"/>
          </w:rPr>
          <w:t>https://books.google.com/books/about/Fauna_of_Ujani_Maharashtra.html?id=8FcQAQAAMAAJ</w:t>
        </w:r>
      </w:hyperlink>
    </w:p>
    <w:p w14:paraId="4352387F" w14:textId="77777777" w:rsidR="005A01AB" w:rsidRPr="001D6315" w:rsidRDefault="005A01AB" w:rsidP="00075BD9">
      <w:pPr>
        <w:spacing w:line="480" w:lineRule="auto"/>
        <w:jc w:val="both"/>
        <w:rPr>
          <w:rFonts w:ascii="Arial" w:hAnsi="Arial" w:cs="Arial"/>
          <w:b/>
          <w:bCs/>
          <w:sz w:val="20"/>
          <w:szCs w:val="20"/>
        </w:rPr>
      </w:pPr>
    </w:p>
    <w:sectPr w:rsidR="005A01AB" w:rsidRPr="001D6315" w:rsidSect="009512C9">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pgNumType w:start="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5299" w14:textId="77777777" w:rsidR="009E2E97" w:rsidRDefault="009E2E97" w:rsidP="00104CB0">
      <w:pPr>
        <w:spacing w:after="0" w:line="240" w:lineRule="auto"/>
      </w:pPr>
      <w:r>
        <w:separator/>
      </w:r>
    </w:p>
  </w:endnote>
  <w:endnote w:type="continuationSeparator" w:id="0">
    <w:p w14:paraId="3006FEC7" w14:textId="77777777" w:rsidR="009E2E97" w:rsidRDefault="009E2E97" w:rsidP="0010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708A" w14:textId="77777777" w:rsidR="00962791" w:rsidRDefault="00962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FCFF" w14:textId="77777777" w:rsidR="00962791" w:rsidRDefault="00962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B935" w14:textId="77777777" w:rsidR="00962791" w:rsidRDefault="00962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979EB" w14:textId="77777777" w:rsidR="009E2E97" w:rsidRDefault="009E2E97" w:rsidP="00104CB0">
      <w:pPr>
        <w:spacing w:after="0" w:line="240" w:lineRule="auto"/>
      </w:pPr>
      <w:r>
        <w:separator/>
      </w:r>
    </w:p>
  </w:footnote>
  <w:footnote w:type="continuationSeparator" w:id="0">
    <w:p w14:paraId="36ED4E11" w14:textId="77777777" w:rsidR="009E2E97" w:rsidRDefault="009E2E97" w:rsidP="00104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94C4" w14:textId="77777777" w:rsidR="00962791" w:rsidRDefault="00000000">
    <w:pPr>
      <w:pStyle w:val="Header"/>
    </w:pPr>
    <w:r>
      <w:rPr>
        <w:noProof/>
      </w:rPr>
      <w:pict w14:anchorId="601250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9677" w14:textId="77777777" w:rsidR="00670AC4" w:rsidRPr="00104CB0" w:rsidRDefault="00000000" w:rsidP="00104CB0">
    <w:pPr>
      <w:pStyle w:val="Header"/>
      <w:jc w:val="right"/>
      <w:rPr>
        <w:rFonts w:ascii="Times New Roman" w:hAnsi="Times New Roman" w:cs="Times New Roman"/>
        <w:b/>
        <w:bCs/>
        <w:sz w:val="24"/>
        <w:szCs w:val="22"/>
      </w:rPr>
    </w:pPr>
    <w:r>
      <w:rPr>
        <w:noProof/>
      </w:rPr>
      <w:pict w14:anchorId="39990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8"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2BD2" w14:textId="77777777" w:rsidR="00962791" w:rsidRDefault="00000000">
    <w:pPr>
      <w:pStyle w:val="Header"/>
    </w:pPr>
    <w:r>
      <w:rPr>
        <w:noProof/>
      </w:rPr>
      <w:pict w14:anchorId="3E40A0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D55"/>
    <w:multiLevelType w:val="hybridMultilevel"/>
    <w:tmpl w:val="5FD4DE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16CEF"/>
    <w:multiLevelType w:val="hybridMultilevel"/>
    <w:tmpl w:val="93C0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761D0"/>
    <w:multiLevelType w:val="hybridMultilevel"/>
    <w:tmpl w:val="64CEB6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1A75"/>
    <w:multiLevelType w:val="multilevel"/>
    <w:tmpl w:val="84F8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7D9F"/>
    <w:multiLevelType w:val="hybridMultilevel"/>
    <w:tmpl w:val="43BE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C46DC"/>
    <w:multiLevelType w:val="hybridMultilevel"/>
    <w:tmpl w:val="6FB03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C6E29"/>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D6B45"/>
    <w:multiLevelType w:val="hybridMultilevel"/>
    <w:tmpl w:val="2364FF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23BC"/>
    <w:multiLevelType w:val="hybridMultilevel"/>
    <w:tmpl w:val="49BE804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8467745"/>
    <w:multiLevelType w:val="hybridMultilevel"/>
    <w:tmpl w:val="B03EB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84B29"/>
    <w:multiLevelType w:val="hybridMultilevel"/>
    <w:tmpl w:val="6B5E7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A681F"/>
    <w:multiLevelType w:val="hybridMultilevel"/>
    <w:tmpl w:val="52D4F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2439C"/>
    <w:multiLevelType w:val="hybridMultilevel"/>
    <w:tmpl w:val="0BB0AC0C"/>
    <w:lvl w:ilvl="0" w:tplc="D458AD2A">
      <w:start w:val="1"/>
      <w:numFmt w:val="bullet"/>
      <w:lvlText w:val="•"/>
      <w:lvlJc w:val="left"/>
      <w:pPr>
        <w:tabs>
          <w:tab w:val="num" w:pos="720"/>
        </w:tabs>
        <w:ind w:left="720" w:hanging="360"/>
      </w:pPr>
      <w:rPr>
        <w:rFonts w:ascii="Arial" w:hAnsi="Arial" w:hint="default"/>
      </w:rPr>
    </w:lvl>
    <w:lvl w:ilvl="1" w:tplc="AFAA83C4" w:tentative="1">
      <w:start w:val="1"/>
      <w:numFmt w:val="bullet"/>
      <w:lvlText w:val="•"/>
      <w:lvlJc w:val="left"/>
      <w:pPr>
        <w:tabs>
          <w:tab w:val="num" w:pos="1440"/>
        </w:tabs>
        <w:ind w:left="1440" w:hanging="360"/>
      </w:pPr>
      <w:rPr>
        <w:rFonts w:ascii="Arial" w:hAnsi="Arial" w:hint="default"/>
      </w:rPr>
    </w:lvl>
    <w:lvl w:ilvl="2" w:tplc="5D028162" w:tentative="1">
      <w:start w:val="1"/>
      <w:numFmt w:val="bullet"/>
      <w:lvlText w:val="•"/>
      <w:lvlJc w:val="left"/>
      <w:pPr>
        <w:tabs>
          <w:tab w:val="num" w:pos="2160"/>
        </w:tabs>
        <w:ind w:left="2160" w:hanging="360"/>
      </w:pPr>
      <w:rPr>
        <w:rFonts w:ascii="Arial" w:hAnsi="Arial" w:hint="default"/>
      </w:rPr>
    </w:lvl>
    <w:lvl w:ilvl="3" w:tplc="09EACA7A" w:tentative="1">
      <w:start w:val="1"/>
      <w:numFmt w:val="bullet"/>
      <w:lvlText w:val="•"/>
      <w:lvlJc w:val="left"/>
      <w:pPr>
        <w:tabs>
          <w:tab w:val="num" w:pos="2880"/>
        </w:tabs>
        <w:ind w:left="2880" w:hanging="360"/>
      </w:pPr>
      <w:rPr>
        <w:rFonts w:ascii="Arial" w:hAnsi="Arial" w:hint="default"/>
      </w:rPr>
    </w:lvl>
    <w:lvl w:ilvl="4" w:tplc="2482FBD6" w:tentative="1">
      <w:start w:val="1"/>
      <w:numFmt w:val="bullet"/>
      <w:lvlText w:val="•"/>
      <w:lvlJc w:val="left"/>
      <w:pPr>
        <w:tabs>
          <w:tab w:val="num" w:pos="3600"/>
        </w:tabs>
        <w:ind w:left="3600" w:hanging="360"/>
      </w:pPr>
      <w:rPr>
        <w:rFonts w:ascii="Arial" w:hAnsi="Arial" w:hint="default"/>
      </w:rPr>
    </w:lvl>
    <w:lvl w:ilvl="5" w:tplc="D3DAE848" w:tentative="1">
      <w:start w:val="1"/>
      <w:numFmt w:val="bullet"/>
      <w:lvlText w:val="•"/>
      <w:lvlJc w:val="left"/>
      <w:pPr>
        <w:tabs>
          <w:tab w:val="num" w:pos="4320"/>
        </w:tabs>
        <w:ind w:left="4320" w:hanging="360"/>
      </w:pPr>
      <w:rPr>
        <w:rFonts w:ascii="Arial" w:hAnsi="Arial" w:hint="default"/>
      </w:rPr>
    </w:lvl>
    <w:lvl w:ilvl="6" w:tplc="9D06556C" w:tentative="1">
      <w:start w:val="1"/>
      <w:numFmt w:val="bullet"/>
      <w:lvlText w:val="•"/>
      <w:lvlJc w:val="left"/>
      <w:pPr>
        <w:tabs>
          <w:tab w:val="num" w:pos="5040"/>
        </w:tabs>
        <w:ind w:left="5040" w:hanging="360"/>
      </w:pPr>
      <w:rPr>
        <w:rFonts w:ascii="Arial" w:hAnsi="Arial" w:hint="default"/>
      </w:rPr>
    </w:lvl>
    <w:lvl w:ilvl="7" w:tplc="74D80404" w:tentative="1">
      <w:start w:val="1"/>
      <w:numFmt w:val="bullet"/>
      <w:lvlText w:val="•"/>
      <w:lvlJc w:val="left"/>
      <w:pPr>
        <w:tabs>
          <w:tab w:val="num" w:pos="5760"/>
        </w:tabs>
        <w:ind w:left="5760" w:hanging="360"/>
      </w:pPr>
      <w:rPr>
        <w:rFonts w:ascii="Arial" w:hAnsi="Arial" w:hint="default"/>
      </w:rPr>
    </w:lvl>
    <w:lvl w:ilvl="8" w:tplc="788641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4969B8"/>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5DE2"/>
    <w:multiLevelType w:val="hybridMultilevel"/>
    <w:tmpl w:val="D21AB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81206"/>
    <w:multiLevelType w:val="hybridMultilevel"/>
    <w:tmpl w:val="5ACC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17FDE"/>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32070"/>
    <w:multiLevelType w:val="hybridMultilevel"/>
    <w:tmpl w:val="3B22F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A2978"/>
    <w:multiLevelType w:val="hybridMultilevel"/>
    <w:tmpl w:val="C8585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77394"/>
    <w:multiLevelType w:val="multilevel"/>
    <w:tmpl w:val="8A9C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E3559"/>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124B2"/>
    <w:multiLevelType w:val="hybridMultilevel"/>
    <w:tmpl w:val="B64ACA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5C6727E"/>
    <w:multiLevelType w:val="hybridMultilevel"/>
    <w:tmpl w:val="5080C1FE"/>
    <w:lvl w:ilvl="0" w:tplc="6060D85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0736FF"/>
    <w:multiLevelType w:val="hybridMultilevel"/>
    <w:tmpl w:val="44CC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C63AD"/>
    <w:multiLevelType w:val="hybridMultilevel"/>
    <w:tmpl w:val="8D6E2374"/>
    <w:lvl w:ilvl="0" w:tplc="6060D85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8272B"/>
    <w:multiLevelType w:val="hybridMultilevel"/>
    <w:tmpl w:val="AD88DD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30B35"/>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D54D5B"/>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64EC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5070D8"/>
    <w:multiLevelType w:val="hybridMultilevel"/>
    <w:tmpl w:val="B18A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83860"/>
    <w:multiLevelType w:val="hybridMultilevel"/>
    <w:tmpl w:val="977633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B2B49"/>
    <w:multiLevelType w:val="hybridMultilevel"/>
    <w:tmpl w:val="A5624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CF32D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94D8F"/>
    <w:multiLevelType w:val="multilevel"/>
    <w:tmpl w:val="786C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E00B3"/>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B4612"/>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F36E3"/>
    <w:multiLevelType w:val="hybridMultilevel"/>
    <w:tmpl w:val="CF489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2150514">
    <w:abstractNumId w:val="31"/>
  </w:num>
  <w:num w:numId="2" w16cid:durableId="96952409">
    <w:abstractNumId w:val="0"/>
  </w:num>
  <w:num w:numId="3" w16cid:durableId="951981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4066014">
    <w:abstractNumId w:val="23"/>
  </w:num>
  <w:num w:numId="5" w16cid:durableId="745080115">
    <w:abstractNumId w:val="6"/>
  </w:num>
  <w:num w:numId="6" w16cid:durableId="246574851">
    <w:abstractNumId w:val="13"/>
  </w:num>
  <w:num w:numId="7" w16cid:durableId="137040620">
    <w:abstractNumId w:val="28"/>
  </w:num>
  <w:num w:numId="8" w16cid:durableId="43018898">
    <w:abstractNumId w:val="32"/>
  </w:num>
  <w:num w:numId="9" w16cid:durableId="596527554">
    <w:abstractNumId w:val="16"/>
  </w:num>
  <w:num w:numId="10" w16cid:durableId="5835620">
    <w:abstractNumId w:val="12"/>
  </w:num>
  <w:num w:numId="11" w16cid:durableId="1238134268">
    <w:abstractNumId w:val="10"/>
  </w:num>
  <w:num w:numId="12" w16cid:durableId="63795284">
    <w:abstractNumId w:val="35"/>
  </w:num>
  <w:num w:numId="13" w16cid:durableId="729840233">
    <w:abstractNumId w:val="26"/>
  </w:num>
  <w:num w:numId="14" w16cid:durableId="899705286">
    <w:abstractNumId w:val="34"/>
  </w:num>
  <w:num w:numId="15" w16cid:durableId="564679927">
    <w:abstractNumId w:val="36"/>
  </w:num>
  <w:num w:numId="16" w16cid:durableId="1499229704">
    <w:abstractNumId w:val="25"/>
  </w:num>
  <w:num w:numId="17" w16cid:durableId="816920186">
    <w:abstractNumId w:val="5"/>
  </w:num>
  <w:num w:numId="18" w16cid:durableId="657348859">
    <w:abstractNumId w:val="7"/>
  </w:num>
  <w:num w:numId="19" w16cid:durableId="944384917">
    <w:abstractNumId w:val="30"/>
  </w:num>
  <w:num w:numId="20" w16cid:durableId="936057715">
    <w:abstractNumId w:val="11"/>
  </w:num>
  <w:num w:numId="21" w16cid:durableId="1368531674">
    <w:abstractNumId w:val="2"/>
  </w:num>
  <w:num w:numId="22" w16cid:durableId="1774201004">
    <w:abstractNumId w:val="8"/>
  </w:num>
  <w:num w:numId="23" w16cid:durableId="1126050134">
    <w:abstractNumId w:val="24"/>
  </w:num>
  <w:num w:numId="24" w16cid:durableId="1645236883">
    <w:abstractNumId w:val="22"/>
  </w:num>
  <w:num w:numId="25" w16cid:durableId="171724481">
    <w:abstractNumId w:val="17"/>
  </w:num>
  <w:num w:numId="26" w16cid:durableId="392389218">
    <w:abstractNumId w:val="4"/>
  </w:num>
  <w:num w:numId="27" w16cid:durableId="1844860389">
    <w:abstractNumId w:val="29"/>
  </w:num>
  <w:num w:numId="28" w16cid:durableId="1385567758">
    <w:abstractNumId w:val="1"/>
  </w:num>
  <w:num w:numId="29" w16cid:durableId="429158991">
    <w:abstractNumId w:val="15"/>
  </w:num>
  <w:num w:numId="30" w16cid:durableId="1715502547">
    <w:abstractNumId w:val="14"/>
  </w:num>
  <w:num w:numId="31" w16cid:durableId="461509354">
    <w:abstractNumId w:val="19"/>
  </w:num>
  <w:num w:numId="32" w16cid:durableId="928808407">
    <w:abstractNumId w:val="3"/>
  </w:num>
  <w:num w:numId="33" w16cid:durableId="549149658">
    <w:abstractNumId w:val="33"/>
  </w:num>
  <w:num w:numId="34" w16cid:durableId="1568614392">
    <w:abstractNumId w:val="20"/>
  </w:num>
  <w:num w:numId="35" w16cid:durableId="292247301">
    <w:abstractNumId w:val="27"/>
  </w:num>
  <w:num w:numId="36" w16cid:durableId="167644636">
    <w:abstractNumId w:val="9"/>
  </w:num>
  <w:num w:numId="37" w16cid:durableId="169762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S3NDe3MDcxMDEyNLRQ0lEKTi0uzszPAykwrAUAQS1ndCwAAAA="/>
  </w:docVars>
  <w:rsids>
    <w:rsidRoot w:val="00EF23A2"/>
    <w:rsid w:val="00057D31"/>
    <w:rsid w:val="0007107F"/>
    <w:rsid w:val="00075BD9"/>
    <w:rsid w:val="000A037F"/>
    <w:rsid w:val="000D03FD"/>
    <w:rsid w:val="00104CB0"/>
    <w:rsid w:val="00113805"/>
    <w:rsid w:val="001337F2"/>
    <w:rsid w:val="00136A4C"/>
    <w:rsid w:val="00163CDE"/>
    <w:rsid w:val="00167A9C"/>
    <w:rsid w:val="00172DDE"/>
    <w:rsid w:val="001B3A62"/>
    <w:rsid w:val="001D6315"/>
    <w:rsid w:val="001E347E"/>
    <w:rsid w:val="00216047"/>
    <w:rsid w:val="00256723"/>
    <w:rsid w:val="0027078C"/>
    <w:rsid w:val="002862EA"/>
    <w:rsid w:val="00294C1C"/>
    <w:rsid w:val="002A569A"/>
    <w:rsid w:val="002B1BF1"/>
    <w:rsid w:val="002C5770"/>
    <w:rsid w:val="002D360B"/>
    <w:rsid w:val="003279C4"/>
    <w:rsid w:val="00330EDC"/>
    <w:rsid w:val="00332B36"/>
    <w:rsid w:val="003648F1"/>
    <w:rsid w:val="003742F1"/>
    <w:rsid w:val="003B61EE"/>
    <w:rsid w:val="003C6B42"/>
    <w:rsid w:val="003F36FE"/>
    <w:rsid w:val="004121DB"/>
    <w:rsid w:val="00450248"/>
    <w:rsid w:val="004573EE"/>
    <w:rsid w:val="00460AE8"/>
    <w:rsid w:val="004779C8"/>
    <w:rsid w:val="00495A19"/>
    <w:rsid w:val="004B14F3"/>
    <w:rsid w:val="004C6026"/>
    <w:rsid w:val="004E2A27"/>
    <w:rsid w:val="004F07CC"/>
    <w:rsid w:val="00507C36"/>
    <w:rsid w:val="00550E91"/>
    <w:rsid w:val="005610B3"/>
    <w:rsid w:val="00566F58"/>
    <w:rsid w:val="005A01AB"/>
    <w:rsid w:val="005C0596"/>
    <w:rsid w:val="005C7DBA"/>
    <w:rsid w:val="005F5F25"/>
    <w:rsid w:val="006461F2"/>
    <w:rsid w:val="00670AC4"/>
    <w:rsid w:val="00700A85"/>
    <w:rsid w:val="00716572"/>
    <w:rsid w:val="007213CE"/>
    <w:rsid w:val="0075352D"/>
    <w:rsid w:val="007641FE"/>
    <w:rsid w:val="00784C1F"/>
    <w:rsid w:val="007867E4"/>
    <w:rsid w:val="007915E4"/>
    <w:rsid w:val="007F7012"/>
    <w:rsid w:val="008627CC"/>
    <w:rsid w:val="00885F25"/>
    <w:rsid w:val="0089368B"/>
    <w:rsid w:val="008C5639"/>
    <w:rsid w:val="008F1575"/>
    <w:rsid w:val="009138A5"/>
    <w:rsid w:val="009512C9"/>
    <w:rsid w:val="00962791"/>
    <w:rsid w:val="009720DA"/>
    <w:rsid w:val="009E2E97"/>
    <w:rsid w:val="009E760A"/>
    <w:rsid w:val="00A20532"/>
    <w:rsid w:val="00A52DF4"/>
    <w:rsid w:val="00A53555"/>
    <w:rsid w:val="00A70E17"/>
    <w:rsid w:val="00A94B8C"/>
    <w:rsid w:val="00AB528A"/>
    <w:rsid w:val="00AF1279"/>
    <w:rsid w:val="00B52E2C"/>
    <w:rsid w:val="00BB012F"/>
    <w:rsid w:val="00BB2EF3"/>
    <w:rsid w:val="00BD13CF"/>
    <w:rsid w:val="00BE005C"/>
    <w:rsid w:val="00BE056C"/>
    <w:rsid w:val="00BE321E"/>
    <w:rsid w:val="00BE4539"/>
    <w:rsid w:val="00BF1D81"/>
    <w:rsid w:val="00C2120D"/>
    <w:rsid w:val="00C25CBC"/>
    <w:rsid w:val="00C60132"/>
    <w:rsid w:val="00CA16A1"/>
    <w:rsid w:val="00CC4806"/>
    <w:rsid w:val="00D16818"/>
    <w:rsid w:val="00D24CAE"/>
    <w:rsid w:val="00DA69E4"/>
    <w:rsid w:val="00DC1E34"/>
    <w:rsid w:val="00E0128D"/>
    <w:rsid w:val="00E061D0"/>
    <w:rsid w:val="00E33BF7"/>
    <w:rsid w:val="00E5227B"/>
    <w:rsid w:val="00E95E68"/>
    <w:rsid w:val="00EA4BAB"/>
    <w:rsid w:val="00EF23A2"/>
    <w:rsid w:val="00F17B16"/>
    <w:rsid w:val="00F43BE6"/>
    <w:rsid w:val="00F71BF7"/>
    <w:rsid w:val="00FC7038"/>
    <w:rsid w:val="00FE0CCE"/>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1ADEA"/>
  <w15:docId w15:val="{8534FA1B-5D8D-49F0-B7A2-867E2CC6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A2"/>
    <w:rPr>
      <w:szCs w:val="22"/>
      <w:lang w:bidi="ar-SA"/>
    </w:rPr>
  </w:style>
  <w:style w:type="paragraph" w:styleId="Heading1">
    <w:name w:val="heading 1"/>
    <w:basedOn w:val="Normal"/>
    <w:link w:val="Heading1Char"/>
    <w:uiPriority w:val="9"/>
    <w:qFormat/>
    <w:rsid w:val="00104CB0"/>
    <w:pPr>
      <w:spacing w:before="100" w:beforeAutospacing="1" w:after="100" w:afterAutospacing="1" w:line="240" w:lineRule="auto"/>
      <w:outlineLvl w:val="0"/>
    </w:pPr>
    <w:rPr>
      <w:rFonts w:ascii="Times New Roman" w:eastAsia="Times New Roman" w:hAnsi="Times New Roman" w:cs="Times New Roman"/>
      <w:b/>
      <w:bCs/>
      <w:kern w:val="36"/>
      <w:sz w:val="48"/>
      <w:szCs w:val="48"/>
      <w:lang w:bidi="mr-IN"/>
    </w:rPr>
  </w:style>
  <w:style w:type="paragraph" w:styleId="Heading2">
    <w:name w:val="heading 2"/>
    <w:basedOn w:val="Normal"/>
    <w:next w:val="Normal"/>
    <w:link w:val="Heading2Char"/>
    <w:uiPriority w:val="9"/>
    <w:semiHidden/>
    <w:unhideWhenUsed/>
    <w:qFormat/>
    <w:rsid w:val="00EF23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F23A2"/>
    <w:pPr>
      <w:spacing w:before="100" w:beforeAutospacing="1" w:after="100" w:afterAutospacing="1" w:line="240" w:lineRule="auto"/>
      <w:outlineLvl w:val="2"/>
    </w:pPr>
    <w:rPr>
      <w:rFonts w:ascii="Times New Roman" w:eastAsia="Times New Roman" w:hAnsi="Times New Roman" w:cs="Times New Roman"/>
      <w:b/>
      <w:bCs/>
      <w:sz w:val="27"/>
      <w:szCs w:val="27"/>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23A2"/>
    <w:rPr>
      <w:rFonts w:asciiTheme="majorHAnsi" w:eastAsiaTheme="majorEastAsia" w:hAnsiTheme="majorHAnsi" w:cstheme="majorBidi"/>
      <w:color w:val="365F91" w:themeColor="accent1" w:themeShade="BF"/>
      <w:sz w:val="26"/>
      <w:szCs w:val="26"/>
      <w:lang w:bidi="ar-SA"/>
    </w:rPr>
  </w:style>
  <w:style w:type="character" w:customStyle="1" w:styleId="Heading3Char">
    <w:name w:val="Heading 3 Char"/>
    <w:basedOn w:val="DefaultParagraphFont"/>
    <w:link w:val="Heading3"/>
    <w:uiPriority w:val="9"/>
    <w:rsid w:val="00EF23A2"/>
    <w:rPr>
      <w:rFonts w:ascii="Times New Roman" w:eastAsia="Times New Roman" w:hAnsi="Times New Roman" w:cs="Times New Roman"/>
      <w:b/>
      <w:bCs/>
      <w:sz w:val="27"/>
      <w:szCs w:val="27"/>
    </w:rPr>
  </w:style>
  <w:style w:type="paragraph" w:styleId="NormalWeb">
    <w:name w:val="Normal (Web)"/>
    <w:basedOn w:val="Normal"/>
    <w:uiPriority w:val="99"/>
    <w:unhideWhenUsed/>
    <w:rsid w:val="00EF23A2"/>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Strong">
    <w:name w:val="Strong"/>
    <w:basedOn w:val="DefaultParagraphFont"/>
    <w:uiPriority w:val="22"/>
    <w:qFormat/>
    <w:rsid w:val="00EF23A2"/>
    <w:rPr>
      <w:b/>
      <w:bCs/>
    </w:rPr>
  </w:style>
  <w:style w:type="character" w:styleId="Emphasis">
    <w:name w:val="Emphasis"/>
    <w:basedOn w:val="DefaultParagraphFont"/>
    <w:uiPriority w:val="20"/>
    <w:qFormat/>
    <w:rsid w:val="00EF23A2"/>
    <w:rPr>
      <w:i/>
      <w:iCs/>
    </w:rPr>
  </w:style>
  <w:style w:type="paragraph" w:styleId="ListParagraph">
    <w:name w:val="List Paragraph"/>
    <w:basedOn w:val="Normal"/>
    <w:uiPriority w:val="34"/>
    <w:qFormat/>
    <w:rsid w:val="00EF23A2"/>
    <w:pPr>
      <w:spacing w:after="160" w:line="259" w:lineRule="auto"/>
      <w:ind w:left="720"/>
      <w:contextualSpacing/>
    </w:pPr>
    <w:rPr>
      <w:szCs w:val="20"/>
      <w:lang w:bidi="mr-IN"/>
    </w:rPr>
  </w:style>
  <w:style w:type="paragraph" w:styleId="Bibliography">
    <w:name w:val="Bibliography"/>
    <w:basedOn w:val="Normal"/>
    <w:next w:val="Normal"/>
    <w:uiPriority w:val="37"/>
    <w:unhideWhenUsed/>
    <w:rsid w:val="00EF23A2"/>
    <w:pPr>
      <w:spacing w:after="0" w:line="240" w:lineRule="auto"/>
      <w:ind w:left="720" w:hanging="720"/>
    </w:pPr>
  </w:style>
  <w:style w:type="paragraph" w:styleId="BalloonText">
    <w:name w:val="Balloon Text"/>
    <w:basedOn w:val="Normal"/>
    <w:link w:val="BalloonTextChar"/>
    <w:uiPriority w:val="99"/>
    <w:semiHidden/>
    <w:unhideWhenUsed/>
    <w:rsid w:val="00EF2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3A2"/>
    <w:rPr>
      <w:rFonts w:ascii="Tahoma" w:hAnsi="Tahoma" w:cs="Tahoma"/>
      <w:sz w:val="16"/>
      <w:szCs w:val="16"/>
      <w:lang w:bidi="ar-SA"/>
    </w:rPr>
  </w:style>
  <w:style w:type="paragraph" w:styleId="HTMLPreformatted">
    <w:name w:val="HTML Preformatted"/>
    <w:basedOn w:val="Normal"/>
    <w:link w:val="HTMLPreformattedChar"/>
    <w:uiPriority w:val="99"/>
    <w:unhideWhenUsed/>
    <w:rsid w:val="00EF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mr-IN"/>
    </w:rPr>
  </w:style>
  <w:style w:type="character" w:customStyle="1" w:styleId="HTMLPreformattedChar">
    <w:name w:val="HTML Preformatted Char"/>
    <w:basedOn w:val="DefaultParagraphFont"/>
    <w:link w:val="HTMLPreformatted"/>
    <w:uiPriority w:val="99"/>
    <w:rsid w:val="00EF23A2"/>
    <w:rPr>
      <w:rFonts w:ascii="Courier New" w:eastAsia="Times New Roman" w:hAnsi="Courier New" w:cs="Courier New"/>
      <w:sz w:val="20"/>
    </w:rPr>
  </w:style>
  <w:style w:type="character" w:customStyle="1" w:styleId="feature">
    <w:name w:val="feature"/>
    <w:basedOn w:val="DefaultParagraphFont"/>
    <w:rsid w:val="00EF23A2"/>
  </w:style>
  <w:style w:type="table" w:styleId="TableGrid">
    <w:name w:val="Table Grid"/>
    <w:basedOn w:val="TableNormal"/>
    <w:uiPriority w:val="59"/>
    <w:rsid w:val="00EF2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04CB0"/>
    <w:rPr>
      <w:rFonts w:ascii="Times New Roman" w:eastAsia="Times New Roman" w:hAnsi="Times New Roman" w:cs="Times New Roman"/>
      <w:b/>
      <w:bCs/>
      <w:kern w:val="36"/>
      <w:sz w:val="48"/>
      <w:szCs w:val="48"/>
    </w:rPr>
  </w:style>
  <w:style w:type="table" w:styleId="LightShading-Accent5">
    <w:name w:val="Light Shading Accent 5"/>
    <w:basedOn w:val="TableNormal"/>
    <w:uiPriority w:val="60"/>
    <w:rsid w:val="00104CB0"/>
    <w:pPr>
      <w:spacing w:after="0" w:line="240" w:lineRule="auto"/>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shd w:val="clear" w:color="auto" w:fill="FFFFFF" w:themeFill="background1"/>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104CB0"/>
    <w:rPr>
      <w:color w:val="0000FF" w:themeColor="hyperlink"/>
      <w:u w:val="single"/>
    </w:rPr>
  </w:style>
  <w:style w:type="character" w:customStyle="1" w:styleId="sheader6">
    <w:name w:val="sheader6"/>
    <w:basedOn w:val="DefaultParagraphFont"/>
    <w:rsid w:val="00104CB0"/>
  </w:style>
  <w:style w:type="paragraph" w:styleId="Header">
    <w:name w:val="header"/>
    <w:basedOn w:val="Normal"/>
    <w:link w:val="HeaderCh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HeaderChar">
    <w:name w:val="Header Char"/>
    <w:basedOn w:val="DefaultParagraphFont"/>
    <w:link w:val="Header"/>
    <w:uiPriority w:val="99"/>
    <w:rsid w:val="00104CB0"/>
    <w:rPr>
      <w:rFonts w:eastAsiaTheme="minorEastAsia"/>
    </w:rPr>
  </w:style>
  <w:style w:type="paragraph" w:styleId="Footer">
    <w:name w:val="footer"/>
    <w:basedOn w:val="Normal"/>
    <w:link w:val="FooterCh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FooterChar">
    <w:name w:val="Footer Char"/>
    <w:basedOn w:val="DefaultParagraphFont"/>
    <w:link w:val="Footer"/>
    <w:uiPriority w:val="99"/>
    <w:rsid w:val="00104CB0"/>
    <w:rPr>
      <w:rFonts w:eastAsiaTheme="minorEastAsia"/>
    </w:rPr>
  </w:style>
  <w:style w:type="character" w:customStyle="1" w:styleId="black">
    <w:name w:val="&quot;black&quot;"/>
    <w:basedOn w:val="DefaultParagraphFont"/>
    <w:rsid w:val="00104CB0"/>
  </w:style>
  <w:style w:type="paragraph" w:styleId="Caption">
    <w:name w:val="caption"/>
    <w:basedOn w:val="Normal"/>
    <w:next w:val="Normal"/>
    <w:uiPriority w:val="35"/>
    <w:unhideWhenUsed/>
    <w:qFormat/>
    <w:rsid w:val="00104CB0"/>
    <w:pPr>
      <w:spacing w:line="240" w:lineRule="auto"/>
    </w:pPr>
    <w:rPr>
      <w:rFonts w:eastAsiaTheme="minorEastAsia"/>
      <w:b/>
      <w:bCs/>
      <w:color w:val="4F81BD" w:themeColor="accent1"/>
      <w:sz w:val="18"/>
      <w:szCs w:val="16"/>
      <w:lang w:bidi="mr-IN"/>
    </w:rPr>
  </w:style>
  <w:style w:type="table" w:styleId="LightShading-Accent3">
    <w:name w:val="Light Shading Accent 3"/>
    <w:basedOn w:val="TableNormal"/>
    <w:uiPriority w:val="60"/>
    <w:rsid w:val="00104CB0"/>
    <w:pPr>
      <w:spacing w:after="0" w:line="240" w:lineRule="auto"/>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TableNormal"/>
    <w:uiPriority w:val="61"/>
    <w:rsid w:val="00104CB0"/>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C4BC96" w:themeFill="background2" w:themeFillShade="BF"/>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nged">
    <w:name w:val="changed"/>
    <w:basedOn w:val="DefaultParagraphFont"/>
    <w:rsid w:val="00104CB0"/>
  </w:style>
  <w:style w:type="table" w:customStyle="1" w:styleId="LightShading-Accent11">
    <w:name w:val="Light Shading - Accent 11"/>
    <w:basedOn w:val="TableNormal"/>
    <w:uiPriority w:val="60"/>
    <w:rsid w:val="00104CB0"/>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104CB0"/>
    <w:rPr>
      <w:color w:val="808080"/>
    </w:rPr>
  </w:style>
  <w:style w:type="character" w:customStyle="1" w:styleId="ng-binding">
    <w:name w:val="ng-binding"/>
    <w:basedOn w:val="DefaultParagraphFont"/>
    <w:rsid w:val="00104CB0"/>
  </w:style>
  <w:style w:type="paragraph" w:customStyle="1" w:styleId="source">
    <w:name w:val="source"/>
    <w:basedOn w:val="Normal"/>
    <w:rsid w:val="00104CB0"/>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ng-scope">
    <w:name w:val="ng-scope"/>
    <w:basedOn w:val="DefaultParagraphFont"/>
    <w:rsid w:val="00104CB0"/>
  </w:style>
  <w:style w:type="character" w:customStyle="1" w:styleId="gb-button--brandlabel">
    <w:name w:val="gb-button--brand__label"/>
    <w:basedOn w:val="DefaultParagraphFont"/>
    <w:rsid w:val="00104CB0"/>
  </w:style>
  <w:style w:type="character" w:customStyle="1" w:styleId="ng-isolate-scope">
    <w:name w:val="ng-isolate-scope"/>
    <w:basedOn w:val="DefaultParagraphFont"/>
    <w:rsid w:val="00104CB0"/>
  </w:style>
  <w:style w:type="table" w:customStyle="1" w:styleId="LightShading1">
    <w:name w:val="Light Shading1"/>
    <w:basedOn w:val="TableNormal"/>
    <w:uiPriority w:val="60"/>
    <w:rsid w:val="00104CB0"/>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104CB0"/>
    <w:pPr>
      <w:spacing w:after="0"/>
    </w:pPr>
    <w:rPr>
      <w:rFonts w:eastAsiaTheme="minorEastAsia"/>
      <w:szCs w:val="20"/>
      <w:lang w:bidi="mr-IN"/>
    </w:rPr>
  </w:style>
  <w:style w:type="paragraph" w:styleId="TOCHeading">
    <w:name w:val="TOC Heading"/>
    <w:basedOn w:val="Heading1"/>
    <w:next w:val="Normal"/>
    <w:uiPriority w:val="39"/>
    <w:semiHidden/>
    <w:unhideWhenUsed/>
    <w:qFormat/>
    <w:rsid w:val="00104CB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3">
    <w:name w:val="toc 3"/>
    <w:basedOn w:val="Normal"/>
    <w:next w:val="Normal"/>
    <w:autoRedefine/>
    <w:uiPriority w:val="39"/>
    <w:unhideWhenUsed/>
    <w:rsid w:val="00104CB0"/>
    <w:pPr>
      <w:spacing w:after="100"/>
      <w:ind w:left="440"/>
    </w:pPr>
    <w:rPr>
      <w:rFonts w:eastAsiaTheme="minorEastAsia"/>
      <w:szCs w:val="20"/>
      <w:lang w:bidi="mr-IN"/>
    </w:rPr>
  </w:style>
  <w:style w:type="character" w:customStyle="1" w:styleId="UnresolvedMention1">
    <w:name w:val="Unresolved Mention1"/>
    <w:basedOn w:val="DefaultParagraphFont"/>
    <w:uiPriority w:val="99"/>
    <w:semiHidden/>
    <w:unhideWhenUsed/>
    <w:rsid w:val="00057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ig.2007.02.001" TargetMode="External"/><Relationship Id="rId18" Type="http://schemas.openxmlformats.org/officeDocument/2006/relationships/hyperlink" Target="https://doi.org/10.1093/nar/gkn201" TargetMode="External"/><Relationship Id="rId26" Type="http://schemas.openxmlformats.org/officeDocument/2006/relationships/hyperlink" Target="https://doi.org/10.1007/s10531-018-1604-0" TargetMode="External"/><Relationship Id="rId39" Type="http://schemas.openxmlformats.org/officeDocument/2006/relationships/header" Target="header1.xml"/><Relationship Id="rId21" Type="http://schemas.openxmlformats.org/officeDocument/2006/relationships/hyperlink" Target="https://doi.org/10.1111/j.1755-0998.2010.02894.x" TargetMode="External"/><Relationship Id="rId34" Type="http://schemas.openxmlformats.org/officeDocument/2006/relationships/hyperlink" Target="https://doi.org/10.1007/s11160-009-9107-4" TargetMode="External"/><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371/journal.pbio.0020312" TargetMode="External"/><Relationship Id="rId29" Type="http://schemas.openxmlformats.org/officeDocument/2006/relationships/hyperlink" Target="https://doi.org/10.1038/s41598-025-2677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095-8312.2005.00503.x" TargetMode="External"/><Relationship Id="rId24" Type="http://schemas.openxmlformats.org/officeDocument/2006/relationships/hyperlink" Target="https://doi.org/10.1038/s41598-024-52519-0" TargetMode="External"/><Relationship Id="rId32" Type="http://schemas.openxmlformats.org/officeDocument/2006/relationships/hyperlink" Target="https://doi.org/10.1371/journal.pone.0095525" TargetMode="External"/><Relationship Id="rId37" Type="http://schemas.openxmlformats.org/officeDocument/2006/relationships/hyperlink" Target="https://doi.org/10.1371/journal.pone.0198109"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98/rspb.2002.2218" TargetMode="External"/><Relationship Id="rId23" Type="http://schemas.openxmlformats.org/officeDocument/2006/relationships/hyperlink" Target="https://doi.org/10.11609/jott.9673.17.10.27705-27719" TargetMode="External"/><Relationship Id="rId28" Type="http://schemas.openxmlformats.org/officeDocument/2006/relationships/hyperlink" Target="https://doi.org/10.56093/ijans.v94i12.150227" TargetMode="External"/><Relationship Id="rId36" Type="http://schemas.openxmlformats.org/officeDocument/2006/relationships/hyperlink" Target="https://doi.org/10.1098/rstb.2005.1716" TargetMode="External"/><Relationship Id="rId10" Type="http://schemas.openxmlformats.org/officeDocument/2006/relationships/hyperlink" Target="https://doi.org/10.1038/s41598-018-26976-3" TargetMode="External"/><Relationship Id="rId19" Type="http://schemas.openxmlformats.org/officeDocument/2006/relationships/hyperlink" Target="https://doi.org/10.1002/eco.1470" TargetMode="External"/><Relationship Id="rId31" Type="http://schemas.openxmlformats.org/officeDocument/2006/relationships/hyperlink" Target="https://doi.org/10.56093/ijans.v90i12.113208"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16/S0022-2836(05)80360-2" TargetMode="External"/><Relationship Id="rId14" Type="http://schemas.openxmlformats.org/officeDocument/2006/relationships/hyperlink" Target="https://doi.org/10.5962/bhl.title.59540" TargetMode="External"/><Relationship Id="rId22" Type="http://schemas.openxmlformats.org/officeDocument/2006/relationships/hyperlink" Target="https://doi.org/10.3109/19401736.2015.1101540" TargetMode="External"/><Relationship Id="rId27" Type="http://schemas.openxmlformats.org/officeDocument/2006/relationships/hyperlink" Target="https://doi.org/10.37591/rrjols.v7i3.12" TargetMode="External"/><Relationship Id="rId30" Type="http://schemas.openxmlformats.org/officeDocument/2006/relationships/hyperlink" Target="https://www.yumpu.com/en/document/view/9603107/j-p-sarwade-the-bioscan" TargetMode="External"/><Relationship Id="rId35" Type="http://schemas.openxmlformats.org/officeDocument/2006/relationships/hyperlink" Target="https://doi.org/10.9734/jabb/2025/v28i103049" TargetMode="External"/><Relationship Id="rId43"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pubmed.ncbi.nlm.nih.gov/7881515/" TargetMode="External"/><Relationship Id="rId17" Type="http://schemas.openxmlformats.org/officeDocument/2006/relationships/hyperlink" Target="https://doi.org/10.1371/journal.pone.0115774" TargetMode="External"/><Relationship Id="rId25" Type="http://schemas.openxmlformats.org/officeDocument/2006/relationships/hyperlink" Target="https://doi.org/10.1016/j.japb.2019.05.003" TargetMode="External"/><Relationship Id="rId33" Type="http://schemas.openxmlformats.org/officeDocument/2006/relationships/hyperlink" Target="https://opac.niscpr.res.in/bib/8190" TargetMode="External"/><Relationship Id="rId38" Type="http://schemas.openxmlformats.org/officeDocument/2006/relationships/hyperlink" Target="https://books.google.com/books/about/Fauna_of_Ujani_Maharashtra.html?id=8FcQAQAAMAAJ" TargetMode="External"/><Relationship Id="rId46" Type="http://schemas.openxmlformats.org/officeDocument/2006/relationships/theme" Target="theme/theme1.xml"/><Relationship Id="rId20" Type="http://schemas.openxmlformats.org/officeDocument/2006/relationships/hyperlink" Target="https://doi.org/10.1080/23802359.2019.1640079"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13</Pages>
  <Words>4061</Words>
  <Characters>23151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1020</cp:lastModifiedBy>
  <cp:revision>59</cp:revision>
  <cp:lastPrinted>2026-05-14T11:08:00Z</cp:lastPrinted>
  <dcterms:created xsi:type="dcterms:W3CDTF">2025-11-17T09:42:00Z</dcterms:created>
  <dcterms:modified xsi:type="dcterms:W3CDTF">2026-07-29T11:24:00Z</dcterms:modified>
</cp:coreProperties>
</file>