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E08C" w14:textId="77777777" w:rsidR="009B540A" w:rsidRPr="005F647B" w:rsidRDefault="00000000">
      <w:pPr>
        <w:pStyle w:val="NormalWeb"/>
        <w:spacing w:line="360" w:lineRule="auto"/>
        <w:rPr>
          <w:rFonts w:ascii="Times New Roman" w:hAnsi="Times New Roman" w:cs="Times New Roman"/>
          <w:b/>
          <w:bCs/>
          <w:sz w:val="22"/>
          <w:szCs w:val="22"/>
        </w:rPr>
      </w:pPr>
      <w:r w:rsidRPr="005F647B">
        <w:rPr>
          <w:rFonts w:ascii="Times New Roman" w:hAnsi="Times New Roman" w:cs="Times New Roman"/>
          <w:b/>
          <w:bCs/>
          <w:sz w:val="22"/>
          <w:szCs w:val="22"/>
        </w:rPr>
        <w:t xml:space="preserve">Comparative Evaluation of Performance and Mortality Rates in CARI Debendra and CARI Nirbheek from Hatching to Maturity in Eastern Plain Zone of Uttar </w:t>
      </w:r>
      <w:proofErr w:type="gramStart"/>
      <w:r w:rsidRPr="005F647B">
        <w:rPr>
          <w:rFonts w:ascii="Times New Roman" w:hAnsi="Times New Roman" w:cs="Times New Roman"/>
          <w:b/>
          <w:bCs/>
          <w:sz w:val="22"/>
          <w:szCs w:val="22"/>
        </w:rPr>
        <w:t xml:space="preserve">Pradesh </w:t>
      </w:r>
      <w:r w:rsidR="007B76E0" w:rsidRPr="005F647B">
        <w:rPr>
          <w:rFonts w:ascii="Times New Roman" w:hAnsi="Times New Roman" w:cs="Times New Roman"/>
          <w:b/>
          <w:bCs/>
          <w:sz w:val="22"/>
          <w:szCs w:val="22"/>
        </w:rPr>
        <w:t>,</w:t>
      </w:r>
      <w:proofErr w:type="gramEnd"/>
      <w:r w:rsidR="007B76E0" w:rsidRPr="005F647B">
        <w:rPr>
          <w:rFonts w:ascii="Times New Roman" w:hAnsi="Times New Roman" w:cs="Times New Roman"/>
          <w:b/>
          <w:bCs/>
          <w:sz w:val="22"/>
          <w:szCs w:val="22"/>
        </w:rPr>
        <w:t xml:space="preserve"> India </w:t>
      </w:r>
    </w:p>
    <w:p w14:paraId="78D23033" w14:textId="77777777" w:rsidR="009B540A" w:rsidRPr="005F647B" w:rsidRDefault="009B540A">
      <w:pPr>
        <w:pStyle w:val="NormalWeb"/>
        <w:spacing w:line="360" w:lineRule="auto"/>
        <w:rPr>
          <w:rFonts w:ascii="Times New Roman" w:hAnsi="Times New Roman" w:cs="Times New Roman"/>
          <w:b/>
          <w:bCs/>
          <w:sz w:val="22"/>
          <w:szCs w:val="22"/>
        </w:rPr>
      </w:pPr>
    </w:p>
    <w:p w14:paraId="32901076" w14:textId="77777777" w:rsidR="009B540A" w:rsidRPr="005F647B" w:rsidRDefault="009B540A">
      <w:pPr>
        <w:rPr>
          <w:rFonts w:ascii="Times New Roman" w:hAnsi="Times New Roman" w:cs="Times New Roman"/>
        </w:rPr>
      </w:pPr>
    </w:p>
    <w:p w14:paraId="5BD44320" w14:textId="77777777" w:rsidR="009B540A" w:rsidRPr="005F647B" w:rsidRDefault="009B540A">
      <w:pPr>
        <w:rPr>
          <w:rFonts w:ascii="Times New Roman" w:hAnsi="Times New Roman" w:cs="Times New Roman"/>
        </w:rPr>
      </w:pPr>
    </w:p>
    <w:p w14:paraId="79200EAB" w14:textId="77777777" w:rsidR="009B540A" w:rsidRPr="005F647B" w:rsidRDefault="00000000">
      <w:pPr>
        <w:rPr>
          <w:rFonts w:ascii="Times New Roman Bold" w:hAnsi="Times New Roman Bold" w:cs="Times New Roman Bold"/>
          <w:b/>
          <w:sz w:val="24"/>
          <w:szCs w:val="24"/>
        </w:rPr>
      </w:pPr>
      <w:r w:rsidRPr="005F647B">
        <w:rPr>
          <w:rFonts w:ascii="Times New Roman Bold" w:hAnsi="Times New Roman Bold" w:cs="Times New Roman Bold"/>
          <w:b/>
          <w:sz w:val="24"/>
          <w:szCs w:val="24"/>
        </w:rPr>
        <w:t>Abstract</w:t>
      </w:r>
    </w:p>
    <w:p w14:paraId="5DDFB37A" w14:textId="77777777" w:rsidR="009B540A" w:rsidRPr="005F647B" w:rsidRDefault="009B540A">
      <w:pPr>
        <w:rPr>
          <w:b/>
          <w:bCs/>
        </w:rPr>
      </w:pPr>
    </w:p>
    <w:p w14:paraId="69F524D0" w14:textId="77777777" w:rsidR="009B540A" w:rsidRPr="005F647B" w:rsidRDefault="00000000">
      <w:pPr>
        <w:spacing w:line="360" w:lineRule="auto"/>
        <w:rPr>
          <w:rFonts w:ascii="Times New Roman Regular" w:eastAsia="Times New Roman Regular" w:hAnsi="Times New Roman Regular" w:cs="Times New Roman Regular"/>
          <w:sz w:val="24"/>
          <w:szCs w:val="24"/>
        </w:rPr>
      </w:pPr>
      <w:r w:rsidRPr="005F647B">
        <w:t>This study evaluated body weight, feed intake, feed conversion ratio (FCR), and mortality in the popular crossbred poultry varieties CARI Debendra and CARI Nirbheek from hatching to 20 weeks of age. A total of 300 healthy day-old chicks (150 of each variety) were monitored under identical management conditions. Statistical analysis revealed significant variation (p &lt; 0.05) in performance across the production cycle. CARI Nirbheek had a higher day-old body weight (38.76 ± 0.05 g) and a lower FCR at week 1 (1.34 ± 0.01) than CARI Debendra (1.39 ± 0.00). From week 2 onwards, CARI Debendra generally exhibited lower FCR values, reaching 1.04 at week 16, and subsequently attained a greater body weight. At week 20, CARI Debendra reached 2221.57 ± 10.75 g, compared with 1923.18 ± 3.96 g for CARI Nirbheek (p &lt; 0.001), despite the lower recorded feed intake of 76.00 ± 0.11 kg versus 85.80 ± 0.07 kg. Mortality did not differ significantly between the varieties. Both recorded their highest mortality during the early brooding phase (0–5 weeks), with an identical mean rate of 21.33%, whereas mortality declined markedly during weeks 6–20. These findings indicate that CARI Debendra achieved greater later-stage growth and generally better feed conversion under the study conditions, while both varieties showed comparable mortality. Improved management during the first five weeks is therefore important for reducing early chick losses in both varieties.</w:t>
      </w:r>
    </w:p>
    <w:p w14:paraId="7C922310" w14:textId="77777777" w:rsidR="009B540A" w:rsidRPr="005F647B" w:rsidRDefault="009B540A">
      <w:pPr>
        <w:rPr>
          <w:rFonts w:ascii="Times New Roman Regular" w:eastAsia="Times New Roman Regular" w:hAnsi="Times New Roman Regular" w:cs="Times New Roman Regular"/>
          <w:sz w:val="24"/>
          <w:szCs w:val="24"/>
        </w:rPr>
      </w:pPr>
    </w:p>
    <w:p w14:paraId="563C7CA3" w14:textId="702E0865" w:rsidR="009B540A" w:rsidRPr="005F647B" w:rsidRDefault="00000000">
      <w:pPr>
        <w:ind w:left="100" w:hangingChars="50" w:hanging="100"/>
        <w:rPr>
          <w:rFonts w:ascii="Times New Roman" w:hAnsi="Times New Roman" w:cs="Times New Roman"/>
          <w:sz w:val="22"/>
          <w:szCs w:val="22"/>
        </w:rPr>
      </w:pPr>
      <w:r w:rsidRPr="005F647B">
        <w:t xml:space="preserve">Keywords: </w:t>
      </w:r>
      <w:r w:rsidR="009914B3">
        <w:t>CARI Debendra, CARI Nirbheek, body weight, feed intake, feed conversion ratio, growth performance, mortality rate, brooding phase, survivability, dual-purpose chicken</w:t>
      </w:r>
    </w:p>
    <w:p w14:paraId="69866D47" w14:textId="77777777" w:rsidR="009B540A" w:rsidRPr="005F647B" w:rsidRDefault="009B540A">
      <w:pPr>
        <w:ind w:left="110" w:hangingChars="50" w:hanging="110"/>
        <w:rPr>
          <w:rFonts w:ascii="Times New Roman" w:hAnsi="Times New Roman" w:cs="Times New Roman"/>
          <w:sz w:val="22"/>
          <w:szCs w:val="22"/>
        </w:rPr>
      </w:pPr>
    </w:p>
    <w:p w14:paraId="651B247E" w14:textId="77777777" w:rsidR="009B540A" w:rsidRPr="005F647B" w:rsidRDefault="009B540A">
      <w:pPr>
        <w:ind w:left="110" w:hangingChars="50" w:hanging="110"/>
        <w:rPr>
          <w:rFonts w:ascii="Times New Roman" w:hAnsi="Times New Roman" w:cs="Times New Roman"/>
          <w:sz w:val="22"/>
          <w:szCs w:val="22"/>
        </w:rPr>
      </w:pPr>
    </w:p>
    <w:p w14:paraId="5D53DE99" w14:textId="77777777" w:rsidR="009B540A" w:rsidRPr="005F647B" w:rsidRDefault="009B540A">
      <w:pPr>
        <w:ind w:left="110" w:hangingChars="50" w:hanging="110"/>
        <w:rPr>
          <w:rFonts w:ascii="Times New Roman" w:hAnsi="Times New Roman" w:cs="Times New Roman"/>
          <w:sz w:val="22"/>
          <w:szCs w:val="22"/>
        </w:rPr>
      </w:pPr>
    </w:p>
    <w:p w14:paraId="758F71D7" w14:textId="77777777" w:rsidR="009B540A" w:rsidRPr="005F647B" w:rsidRDefault="00000000">
      <w:pPr>
        <w:rPr>
          <w:rFonts w:ascii="Times New Roman" w:hAnsi="Times New Roman" w:cs="Times New Roman"/>
          <w:b/>
          <w:bCs/>
          <w:sz w:val="22"/>
          <w:szCs w:val="22"/>
        </w:rPr>
      </w:pPr>
      <w:r w:rsidRPr="005F647B">
        <w:rPr>
          <w:rFonts w:ascii="Times New Roman" w:hAnsi="Times New Roman" w:cs="Times New Roman"/>
          <w:b/>
          <w:bCs/>
          <w:sz w:val="22"/>
          <w:szCs w:val="22"/>
        </w:rPr>
        <w:t>Introduction</w:t>
      </w:r>
    </w:p>
    <w:p w14:paraId="1B0F3247" w14:textId="77777777" w:rsidR="009B540A" w:rsidRPr="005F647B" w:rsidRDefault="00000000">
      <w:pPr>
        <w:spacing w:line="360" w:lineRule="auto"/>
        <w:ind w:firstLineChars="150" w:firstLine="300"/>
        <w:jc w:val="both"/>
        <w:rPr>
          <w:rFonts w:ascii="Times New Roman" w:hAnsi="Times New Roman" w:cs="Times New Roman"/>
          <w:color w:val="000000"/>
          <w:sz w:val="22"/>
          <w:szCs w:val="22"/>
        </w:rPr>
      </w:pPr>
      <w:r w:rsidRPr="005F647B">
        <w:t>Poultry production is one of the fastest-growing industries, and the demand for good-quality meat and eggs is increasing. Poultry meat is a well-balanced source of animal protein and, unlike the meat of some other livestock species, is not subject to widespread religious restrictions; consequently, it is gaining importance in the human diet. Chicken meat is also generally less expensive than mutton or goat meat. The increasing demand for high-quality poultry meat and eggs has encouraged the development of improved chicken varieties capable of achieving higher productivity under diverse production systems (</w:t>
      </w:r>
      <w:proofErr w:type="spellStart"/>
      <w:r w:rsidRPr="005F647B">
        <w:t>Haunshi</w:t>
      </w:r>
      <w:proofErr w:type="spellEnd"/>
      <w:r w:rsidRPr="005F647B">
        <w:t xml:space="preserve"> </w:t>
      </w:r>
      <w:r w:rsidRPr="005F647B">
        <w:rPr>
          <w:i/>
        </w:rPr>
        <w:t>et al.</w:t>
      </w:r>
      <w:r w:rsidRPr="005F647B">
        <w:t xml:space="preserve">, 2011; Padhi, 2016). Rapid population growth, </w:t>
      </w:r>
      <w:proofErr w:type="spellStart"/>
      <w:r w:rsidRPr="005F647B">
        <w:t>urbanisation</w:t>
      </w:r>
      <w:proofErr w:type="spellEnd"/>
      <w:r w:rsidRPr="005F647B">
        <w:t xml:space="preserve">, and rising income levels have further increased the need for sustainable poultry production in India. Crossbreeding </w:t>
      </w:r>
      <w:proofErr w:type="spellStart"/>
      <w:r w:rsidRPr="005F647B">
        <w:t>programmes</w:t>
      </w:r>
      <w:proofErr w:type="spellEnd"/>
      <w:r w:rsidRPr="005F647B">
        <w:t xml:space="preserve"> that upgrade native chickens with suitable exotic stocks may therefore be beneficial by combining the adaptive characteristics of indigenous chickens with the potential advantages of heterosis (Niranjan </w:t>
      </w:r>
      <w:r w:rsidRPr="005F647B">
        <w:rPr>
          <w:i/>
        </w:rPr>
        <w:t>et al.</w:t>
      </w:r>
      <w:r w:rsidRPr="005F647B">
        <w:t>, 2008; Padhi, 2016).</w:t>
      </w:r>
    </w:p>
    <w:p w14:paraId="31089A4C" w14:textId="742D56AE" w:rsidR="009B540A" w:rsidRPr="005F647B" w:rsidRDefault="00000000">
      <w:pPr>
        <w:spacing w:line="360" w:lineRule="auto"/>
        <w:jc w:val="both"/>
      </w:pPr>
      <w:r w:rsidRPr="005F647B">
        <w:lastRenderedPageBreak/>
        <w:t xml:space="preserve">Among these improved varieties, CARI Nirbheek, CARI Debendra, Vanaraja, </w:t>
      </w:r>
      <w:proofErr w:type="spellStart"/>
      <w:r w:rsidRPr="005F647B">
        <w:t>Gramapriya</w:t>
      </w:r>
      <w:proofErr w:type="spellEnd"/>
      <w:r w:rsidRPr="005F647B">
        <w:t xml:space="preserve">, and CARI </w:t>
      </w:r>
      <w:proofErr w:type="spellStart"/>
      <w:r w:rsidRPr="005F647B">
        <w:t>Dhanaraja</w:t>
      </w:r>
      <w:proofErr w:type="spellEnd"/>
      <w:r w:rsidRPr="005F647B">
        <w:t xml:space="preserve"> are well known for backyard rearing. One of the major breeding strategies in India involves crossing Aseel males with CARI Red females to produce CARI Nirbheek, whereas CARI Debendra is produced by crossing a </w:t>
      </w:r>
      <w:proofErr w:type="spellStart"/>
      <w:r w:rsidRPr="005F647B">
        <w:t>coloured</w:t>
      </w:r>
      <w:proofErr w:type="spellEnd"/>
      <w:r w:rsidRPr="005F647B">
        <w:t xml:space="preserve"> synthetic broiler male line with Rhode Island Red females. These varieties were developed to improve growth performance, adaptability, survivability, and productivity under rural farming conditions (Das </w:t>
      </w:r>
      <w:r w:rsidRPr="005F647B">
        <w:rPr>
          <w:i/>
        </w:rPr>
        <w:t>et al.</w:t>
      </w:r>
      <w:r w:rsidRPr="005F647B">
        <w:t>, 2016; Indian Council of Agricultural Research [ICAR], n.d.; Padhi, 2016).</w:t>
      </w:r>
    </w:p>
    <w:p w14:paraId="32141A8B" w14:textId="77777777" w:rsidR="009B540A" w:rsidRPr="005F647B" w:rsidRDefault="009B540A">
      <w:pPr>
        <w:spacing w:line="360" w:lineRule="auto"/>
        <w:jc w:val="both"/>
        <w:rPr>
          <w:rFonts w:ascii="Times New Roman" w:hAnsi="Times New Roman" w:cs="Times New Roman"/>
          <w:sz w:val="22"/>
          <w:szCs w:val="22"/>
        </w:rPr>
      </w:pPr>
      <w:r w:rsidRPr="005F647B">
        <w:t xml:space="preserve">Recent studies of backyard and dual-purpose chickens have examined production-system characteristics, genotype-specific performance, feed use, and breeding objectives, highlighting the importance of context-specific evaluations of improved varieties (Becker </w:t>
      </w:r>
      <w:r w:rsidRPr="005F647B">
        <w:rPr>
          <w:i/>
        </w:rPr>
        <w:t>et al.</w:t>
      </w:r>
      <w:r w:rsidRPr="005F647B">
        <w:t xml:space="preserve">, 2023; Gentile </w:t>
      </w:r>
      <w:r w:rsidRPr="005F647B">
        <w:rPr>
          <w:i/>
        </w:rPr>
        <w:t>et al.</w:t>
      </w:r>
      <w:r w:rsidRPr="005F647B">
        <w:t xml:space="preserve">, 2024; </w:t>
      </w:r>
      <w:proofErr w:type="spellStart"/>
      <w:r w:rsidRPr="005F647B">
        <w:t>Miyumo</w:t>
      </w:r>
      <w:proofErr w:type="spellEnd"/>
      <w:r w:rsidRPr="005F647B">
        <w:t xml:space="preserve"> </w:t>
      </w:r>
      <w:r w:rsidRPr="005F647B">
        <w:rPr>
          <w:i/>
        </w:rPr>
        <w:t>et al.</w:t>
      </w:r>
      <w:r w:rsidRPr="005F647B">
        <w:t xml:space="preserve">, 2024). Field evaluations of improved backyard chickens have likewise reported differences among varieties in body weight and early mortality under practical rearing conditions (Murali &amp; </w:t>
      </w:r>
      <w:proofErr w:type="spellStart"/>
      <w:r w:rsidRPr="005F647B">
        <w:t>Vimalarani</w:t>
      </w:r>
      <w:proofErr w:type="spellEnd"/>
      <w:r w:rsidRPr="005F647B">
        <w:t>, 2025; Muthusamy &amp; Kannan, 2025).</w:t>
      </w:r>
    </w:p>
    <w:p w14:paraId="484B2488" w14:textId="77777777" w:rsidR="009B540A" w:rsidRPr="005F647B" w:rsidRDefault="00000000">
      <w:pPr>
        <w:spacing w:line="360" w:lineRule="auto"/>
        <w:jc w:val="both"/>
      </w:pPr>
      <w:r w:rsidRPr="005F647B">
        <w:t xml:space="preserve">Although both CARI Debendra and CARI Nirbheek are recommended for backyard poultry farming, comparative information on their growth performance, feed </w:t>
      </w:r>
      <w:proofErr w:type="spellStart"/>
      <w:r w:rsidRPr="005F647B">
        <w:t>utilisation</w:t>
      </w:r>
      <w:proofErr w:type="spellEnd"/>
      <w:r w:rsidRPr="005F647B">
        <w:t>, and mortality under the agroclimatic conditions of the Eastern Plain Zone of Uttar Pradesh remains limited. Therefore, the present study compared the body weight, feed intake, feed conversion ratio, and mortality of CARI Debendra and CARI Nirbheek from hatching to 20 weeks of age under identical management conditions.</w:t>
      </w:r>
    </w:p>
    <w:p w14:paraId="05C54DAD" w14:textId="77777777" w:rsidR="009B540A" w:rsidRPr="005F647B" w:rsidRDefault="009B540A">
      <w:pPr>
        <w:spacing w:line="360" w:lineRule="auto"/>
        <w:jc w:val="both"/>
        <w:rPr>
          <w:rFonts w:ascii="Times New Roman" w:hAnsi="Times New Roman" w:cs="Times New Roman"/>
          <w:sz w:val="22"/>
          <w:szCs w:val="22"/>
        </w:rPr>
      </w:pPr>
    </w:p>
    <w:p w14:paraId="7D419845" w14:textId="77777777" w:rsidR="009B540A" w:rsidRPr="005F647B" w:rsidRDefault="00000000">
      <w:pPr>
        <w:rPr>
          <w:rFonts w:ascii="Times New Roman" w:hAnsi="Times New Roman" w:cs="Times New Roman"/>
          <w:sz w:val="22"/>
          <w:szCs w:val="22"/>
        </w:rPr>
      </w:pPr>
      <w:r w:rsidRPr="005F647B">
        <w:rPr>
          <w:rFonts w:ascii="Times New Roman" w:eastAsia="TimesNewRomanPS-BoldMT" w:hAnsi="Times New Roman" w:cs="Times New Roman"/>
          <w:b/>
          <w:bCs/>
          <w:color w:val="231F20"/>
          <w:sz w:val="22"/>
          <w:szCs w:val="22"/>
        </w:rPr>
        <w:t>Materials and methods</w:t>
      </w:r>
    </w:p>
    <w:p w14:paraId="587B98A2" w14:textId="77777777" w:rsidR="009B540A" w:rsidRPr="005F647B" w:rsidRDefault="00000000">
      <w:pPr>
        <w:spacing w:line="360" w:lineRule="auto"/>
        <w:ind w:firstLineChars="100" w:firstLine="200"/>
        <w:jc w:val="both"/>
        <w:rPr>
          <w:rFonts w:ascii="Times New Roman" w:hAnsi="Times New Roman" w:cs="Times New Roman"/>
          <w:sz w:val="22"/>
          <w:szCs w:val="22"/>
        </w:rPr>
      </w:pPr>
      <w:r w:rsidRPr="005F647B">
        <w:t xml:space="preserve">The present study was designed to compare the production performance and mortality of two chicken varieties from hatching to 20 weeks of age. The experiment was conducted at the Hatchery Unit of the Livestock Farm Complex, College of Veterinary Science and Animal Husbandry, A.N.D.U.A.T., </w:t>
      </w:r>
      <w:proofErr w:type="spellStart"/>
      <w:r w:rsidRPr="005F647B">
        <w:t>Kumarganj</w:t>
      </w:r>
      <w:proofErr w:type="spellEnd"/>
      <w:r w:rsidRPr="005F647B">
        <w:t>, Ayodhya, Uttar Pradesh, India. A total of 150 healthy chicks from each variety were selected. Observations were therefore recorded for 150 CARI Debendra chicks and 150 CARI Nirbheek chicks.</w:t>
      </w:r>
    </w:p>
    <w:p w14:paraId="189B6B93" w14:textId="77777777" w:rsidR="009B540A" w:rsidRPr="005F647B" w:rsidRDefault="00000000">
      <w:pPr>
        <w:spacing w:line="360" w:lineRule="auto"/>
        <w:ind w:firstLineChars="100" w:firstLine="200"/>
        <w:jc w:val="both"/>
        <w:rPr>
          <w:rFonts w:ascii="Times New Roman" w:hAnsi="Times New Roman" w:cs="Times New Roman"/>
          <w:color w:val="000000"/>
          <w:sz w:val="22"/>
          <w:szCs w:val="22"/>
        </w:rPr>
      </w:pPr>
      <w:r w:rsidRPr="005F647B">
        <w:t xml:space="preserve">Experimental design: </w:t>
      </w:r>
      <w:proofErr w:type="gramStart"/>
      <w:r w:rsidRPr="005F647B">
        <w:t>One hundred and fifty day-old</w:t>
      </w:r>
      <w:proofErr w:type="gramEnd"/>
      <w:r w:rsidRPr="005F647B">
        <w:t xml:space="preserve"> chicks of each variety, CARI Nirbheek and CARI Debendra, were allocated according to uniform mean body weight in a completely </w:t>
      </w:r>
      <w:proofErr w:type="spellStart"/>
      <w:r w:rsidRPr="005F647B">
        <w:t>randomised</w:t>
      </w:r>
      <w:proofErr w:type="spellEnd"/>
      <w:r w:rsidRPr="005F647B">
        <w:t xml:space="preserve"> design. Each experimental group comprised three replicates of 50 chicks. Birds in both groups were weighed at hatching (day old), weekly up to week 6, and at two-week intervals thereafter (weeks 8, 10, 12, 14, 16, 18, and 20). Feed intake was recorded from week 1 to week 20. The feed conversion ratio (FCR) was calculated for the corresponding developmental periods.</w:t>
      </w:r>
    </w:p>
    <w:p w14:paraId="1D7AAF63" w14:textId="77777777" w:rsidR="009B540A" w:rsidRPr="005F647B" w:rsidRDefault="00000000">
      <w:pPr>
        <w:spacing w:line="360" w:lineRule="auto"/>
        <w:jc w:val="both"/>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 xml:space="preserve">FCR= Feed Consumed (g)/ Weight gain (g) </w:t>
      </w:r>
    </w:p>
    <w:p w14:paraId="06A7194C" w14:textId="77777777" w:rsidR="009B540A" w:rsidRPr="005F647B" w:rsidRDefault="00000000">
      <w:pPr>
        <w:spacing w:line="360" w:lineRule="auto"/>
        <w:ind w:firstLineChars="150" w:firstLine="300"/>
        <w:jc w:val="both"/>
        <w:rPr>
          <w:rFonts w:ascii="Times New Roman" w:hAnsi="Times New Roman" w:cs="Times New Roman"/>
          <w:sz w:val="22"/>
          <w:szCs w:val="22"/>
        </w:rPr>
      </w:pPr>
      <w:r w:rsidRPr="005F647B">
        <w:t>Mortality in the two groups was also recorded during this period. Statistical processing was used to calculate descriptive means and standard errors (mean ± SE) for both datasets.</w:t>
      </w:r>
    </w:p>
    <w:p w14:paraId="53823227" w14:textId="77777777" w:rsidR="009B540A" w:rsidRPr="005F647B" w:rsidRDefault="00000000">
      <w:pPr>
        <w:spacing w:line="360" w:lineRule="auto"/>
        <w:rPr>
          <w:rFonts w:ascii="Times New Roman" w:hAnsi="Times New Roman" w:cs="Times New Roman"/>
          <w:b/>
          <w:bCs/>
          <w:sz w:val="22"/>
          <w:szCs w:val="22"/>
        </w:rPr>
      </w:pPr>
      <w:r w:rsidRPr="005F647B">
        <w:rPr>
          <w:rFonts w:ascii="Times New Roman" w:hAnsi="Times New Roman" w:cs="Times New Roman"/>
          <w:b/>
          <w:bCs/>
          <w:sz w:val="22"/>
          <w:szCs w:val="22"/>
        </w:rPr>
        <w:t>Management Practices:</w:t>
      </w:r>
    </w:p>
    <w:p w14:paraId="44CAEF30" w14:textId="77777777" w:rsidR="009B540A" w:rsidRPr="005F647B" w:rsidRDefault="00000000">
      <w:pPr>
        <w:spacing w:line="360" w:lineRule="auto"/>
        <w:ind w:firstLineChars="200" w:firstLine="400"/>
        <w:jc w:val="both"/>
        <w:rPr>
          <w:rFonts w:ascii="Times New Roman" w:hAnsi="Times New Roman" w:cs="Times New Roman"/>
          <w:sz w:val="22"/>
          <w:szCs w:val="22"/>
        </w:rPr>
      </w:pPr>
      <w:r w:rsidRPr="005F647B">
        <w:lastRenderedPageBreak/>
        <w:t xml:space="preserve">All experimental birds were housed under similar conditions and raised using the same management and dietary standards. The day-old chicks were vaccinated against Marek’s disease before being transferred to the Livestock Farm Complex, where they were maintained in a litter-brooding system. Birds were offered weighed portions of feed from the day of hatching until completion of the experiment. Fresh drinking water was provided </w:t>
      </w:r>
      <w:r w:rsidRPr="005F647B">
        <w:rPr>
          <w:i/>
        </w:rPr>
        <w:t>ad libitum</w:t>
      </w:r>
      <w:r w:rsidRPr="005F647B">
        <w:t>. A balanced chick starter ration was supplied up to the eighth week, and a grower ration was provided from the ninth week onwards. The chicks were raised on a straight-run basis up to 20 weeks of age.</w:t>
      </w:r>
    </w:p>
    <w:p w14:paraId="3846E94B" w14:textId="77777777" w:rsidR="009B540A" w:rsidRPr="005F647B" w:rsidRDefault="00000000">
      <w:pPr>
        <w:spacing w:line="360" w:lineRule="auto"/>
        <w:jc w:val="both"/>
        <w:rPr>
          <w:rFonts w:ascii="Times New Roman" w:eastAsia="SimSun" w:hAnsi="Times New Roman" w:cs="Times New Roman"/>
          <w:color w:val="000000"/>
          <w:sz w:val="22"/>
          <w:szCs w:val="22"/>
        </w:rPr>
      </w:pPr>
      <w:r w:rsidRPr="005F647B">
        <w:rPr>
          <w:rFonts w:ascii="Times New Roman" w:eastAsia="TimesNewRomanPS-BoldMT" w:hAnsi="Times New Roman" w:cs="Times New Roman"/>
          <w:b/>
          <w:bCs/>
          <w:color w:val="000000"/>
          <w:sz w:val="22"/>
          <w:szCs w:val="22"/>
        </w:rPr>
        <w:t>Record keeping:</w:t>
      </w:r>
      <w:r w:rsidRPr="005F647B">
        <w:rPr>
          <w:rFonts w:ascii="Times New Roman" w:eastAsia="SimSun" w:hAnsi="Times New Roman" w:cs="Times New Roman"/>
          <w:color w:val="000000"/>
          <w:sz w:val="22"/>
          <w:szCs w:val="22"/>
        </w:rPr>
        <w:t xml:space="preserve"> </w:t>
      </w:r>
    </w:p>
    <w:p w14:paraId="1370A875" w14:textId="77777777" w:rsidR="009B540A" w:rsidRPr="005F647B" w:rsidRDefault="00000000">
      <w:pPr>
        <w:spacing w:line="360" w:lineRule="auto"/>
        <w:ind w:firstLine="600"/>
        <w:jc w:val="both"/>
        <w:rPr>
          <w:rFonts w:ascii="Times New Roman" w:eastAsia="SimSun" w:hAnsi="Times New Roman" w:cs="Times New Roman"/>
          <w:color w:val="000000"/>
          <w:sz w:val="22"/>
          <w:szCs w:val="22"/>
        </w:rPr>
      </w:pPr>
      <w:r w:rsidRPr="005F647B">
        <w:t>Appropriate records were maintained from the first to the final day of rearing. These included the number and variety of birds in the two groups, the date of arrival, age, feed consumption, mortality, medication used, and other information required to assess mortality in the two poultry varieties from brooding until the end of the experiment. Feed quality remained unchanged throughout the experiment, except for the transition from broiler starter mash to grower mash.</w:t>
      </w:r>
    </w:p>
    <w:p w14:paraId="63FB4B8C" w14:textId="77777777" w:rsidR="009B540A" w:rsidRPr="005F647B" w:rsidRDefault="00000000">
      <w:pPr>
        <w:spacing w:line="360" w:lineRule="auto"/>
        <w:ind w:firstLineChars="250" w:firstLine="500"/>
        <w:jc w:val="both"/>
        <w:rPr>
          <w:rFonts w:ascii="Times New Roman" w:hAnsi="Times New Roman" w:cs="Times New Roman"/>
          <w:sz w:val="22"/>
          <w:szCs w:val="22"/>
        </w:rPr>
      </w:pPr>
      <w:r w:rsidRPr="005F647B">
        <w:t>Mortality was determined by counting dead birds from hatching to 20 weeks of age. Any sick bird was segregated and treated individually to reduce the risk of disease transmission and a consequent increase in mortality.</w:t>
      </w:r>
    </w:p>
    <w:p w14:paraId="3A8E18CB"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Analysis of data:</w:t>
      </w:r>
    </w:p>
    <w:p w14:paraId="785A02E7" w14:textId="77777777" w:rsidR="009B540A" w:rsidRPr="005F647B" w:rsidRDefault="00000000">
      <w:pPr>
        <w:spacing w:line="360" w:lineRule="auto"/>
        <w:ind w:firstLineChars="100" w:firstLine="200"/>
        <w:jc w:val="both"/>
        <w:rPr>
          <w:rFonts w:ascii="Times New Roman" w:eastAsia="SimSun" w:hAnsi="Times New Roman" w:cs="Times New Roman"/>
          <w:color w:val="000000"/>
          <w:sz w:val="22"/>
          <w:szCs w:val="22"/>
        </w:rPr>
      </w:pPr>
      <w:r w:rsidRPr="005F647B">
        <w:t xml:space="preserve">Data were </w:t>
      </w:r>
      <w:proofErr w:type="spellStart"/>
      <w:r w:rsidRPr="005F647B">
        <w:t>analysed</w:t>
      </w:r>
      <w:proofErr w:type="spellEnd"/>
      <w:r w:rsidRPr="005F647B">
        <w:t xml:space="preserve"> using SPSS version 21.0 (IBM Corporation, Armonk, NY, USA). An independent-samples t-test was used, and statistical significance was set at p &lt; 0.05. Results are presented as means with their standard errors (mean ± SE).</w:t>
      </w:r>
    </w:p>
    <w:p w14:paraId="302E4BFC"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t>Results and Discussion</w:t>
      </w:r>
    </w:p>
    <w:p w14:paraId="7B25C3F5" w14:textId="77777777" w:rsidR="009B540A" w:rsidRPr="005F647B" w:rsidRDefault="00000000">
      <w:pPr>
        <w:pStyle w:val="NormalWeb"/>
        <w:spacing w:line="360" w:lineRule="auto"/>
        <w:ind w:firstLineChars="200" w:firstLine="480"/>
        <w:jc w:val="both"/>
        <w:rPr>
          <w:rFonts w:ascii="Times New Roman" w:hAnsi="Times New Roman" w:cs="Times New Roman"/>
          <w:color w:val="000000"/>
          <w:sz w:val="22"/>
          <w:szCs w:val="22"/>
        </w:rPr>
      </w:pPr>
      <w:r w:rsidRPr="005F647B">
        <w:t xml:space="preserve">Table 1 presents the mean live body weights of CARI Debendra and CARI Nirbheek chickens during the 20-week trial, from hatching to 20 weeks of age. During the first two weeks after hatching, CARI Nirbheek chickens had significantly greater body weights than CARI Debendra chickens. At hatching (week 0), the mean body weight of CARI Nirbheek chicks was significantly greater (38.76 ± 0.05 g) than that of CARI Debendra chicks (33.38 ± 0.04 g; p &lt; 0.001). This initial advantage persisted at week 1, when the mean body weights were 89.35 ± 0.06 g for CARI Nirbheek and 76.03 ± 0.04 g for CARI Debendra (p &lt; 0.001), and at week 2, when they were 145.63 ± 0.07 g and 126.76 ± 0.07 g, respectively (p &lt; 0.001). At week 3, CARI Debendra briefly overtook CARI Nirbheek, with a significantly greater mean body weight of 201.35 ± 0.15 g compared with 198.35 ± 0.07 g (p &lt; 0.001). At week 4, CARI Nirbheek again showed a marginal lead (292.79 ± 0.11 g) over CARI Debendra (291.76 ± 0.08 g), and the difference remained statistically significant. By week 8, CARI Debendra had reached a mean body weight of 870.49 ± 1.20 g, exceeding that </w:t>
      </w:r>
      <w:r w:rsidRPr="005F647B">
        <w:lastRenderedPageBreak/>
        <w:t>of CARI Nirbheek (696.56 ± 2.36 g) by more than 170 g. This difference increased progressively thereafter. At the end of the 20-week monitoring period, CARI Debendra attained a significantly greater mature body weight of 2221.57 ± 10.75 g than CARI Nirbheek (1923.18 ± 3.96 g; p &lt; 0.001).</w:t>
      </w:r>
    </w:p>
    <w:p w14:paraId="72DB7DCB" w14:textId="0A634EF2" w:rsidR="009B540A" w:rsidRPr="005F647B" w:rsidRDefault="00000000">
      <w:pPr>
        <w:pStyle w:val="NormalWeb"/>
        <w:spacing w:line="360" w:lineRule="auto"/>
        <w:jc w:val="both"/>
        <w:rPr>
          <w:rFonts w:ascii="Times New Roman" w:hAnsi="Times New Roman" w:cs="Times New Roman"/>
          <w:color w:val="000000"/>
          <w:sz w:val="22"/>
          <w:szCs w:val="22"/>
        </w:rPr>
      </w:pPr>
      <w:r w:rsidRPr="005F647B">
        <w:t xml:space="preserve">These findings are consistent with those of Niranjan </w:t>
      </w:r>
      <w:r w:rsidRPr="005F647B">
        <w:rPr>
          <w:i/>
        </w:rPr>
        <w:t>et al.</w:t>
      </w:r>
      <w:r w:rsidRPr="005F647B">
        <w:t xml:space="preserve"> (2008) and </w:t>
      </w:r>
      <w:proofErr w:type="spellStart"/>
      <w:r w:rsidRPr="005F647B">
        <w:t>Haunshi</w:t>
      </w:r>
      <w:proofErr w:type="spellEnd"/>
      <w:r w:rsidRPr="005F647B">
        <w:t xml:space="preserve"> </w:t>
      </w:r>
      <w:r w:rsidRPr="005F647B">
        <w:rPr>
          <w:i/>
        </w:rPr>
        <w:t>et al.</w:t>
      </w:r>
      <w:r w:rsidRPr="005F647B">
        <w:t xml:space="preserve"> (2011), who reported genotype-related differences in the early growth of improved and indigenous-derived chickens. The early advantage of CARI Nirbheek may be associated with its indigenous-derived background, whereas the subsequent growth pattern of CARI Debendra is consistent with its broiler-line ancestry (Das </w:t>
      </w:r>
      <w:r w:rsidRPr="005F647B">
        <w:rPr>
          <w:i/>
        </w:rPr>
        <w:t>et al.</w:t>
      </w:r>
      <w:r w:rsidRPr="005F647B">
        <w:t xml:space="preserve">, 2016; Padhi, 2016). CARI Nirbheek maintained its body-weight advantage through week 2 and recorded a </w:t>
      </w:r>
      <w:proofErr w:type="spellStart"/>
      <w:r w:rsidRPr="005F647B">
        <w:t>favourable</w:t>
      </w:r>
      <w:proofErr w:type="spellEnd"/>
      <w:r w:rsidRPr="005F647B">
        <w:t xml:space="preserve"> FCR of 1.34 ± 0.01 at week 1. Week 3 marked a change in the growth pattern, when CARI Debendra recorded an FCR of 1.12 ± 0.02. From week 5 to week 20, CARI Debendra showed a marked acceleration in growth. In contrast, CARI Nirbheek, which was developed using the native Aseel breed and the CARI Red line, is intended to combine productivity with adaptation to backyard conditions (ICAR, n.d.; Pym, 2013).</w:t>
      </w:r>
    </w:p>
    <w:p w14:paraId="6975D53F"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Table 1 Body weights (g) of CARI Debendra and CARI Nirbheek birds from day old to 20 weeks of age.</w:t>
      </w:r>
    </w:p>
    <w:tbl>
      <w:tblPr>
        <w:tblStyle w:val="TableGrid"/>
        <w:tblW w:w="0" w:type="auto"/>
        <w:tblLook w:val="04A0" w:firstRow="1" w:lastRow="0" w:firstColumn="1" w:lastColumn="0" w:noHBand="0" w:noVBand="1"/>
      </w:tblPr>
      <w:tblGrid>
        <w:gridCol w:w="1627"/>
        <w:gridCol w:w="1847"/>
        <w:gridCol w:w="1789"/>
        <w:gridCol w:w="1627"/>
        <w:gridCol w:w="1632"/>
      </w:tblGrid>
      <w:tr w:rsidR="009B540A" w:rsidRPr="005F647B" w14:paraId="5571D4BB" w14:textId="77777777">
        <w:tc>
          <w:tcPr>
            <w:tcW w:w="1915" w:type="dxa"/>
          </w:tcPr>
          <w:p w14:paraId="6882BF8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Weeks</w:t>
            </w:r>
          </w:p>
        </w:tc>
        <w:tc>
          <w:tcPr>
            <w:tcW w:w="1915" w:type="dxa"/>
          </w:tcPr>
          <w:p w14:paraId="7AF9AE19" w14:textId="77777777" w:rsidR="009B540A" w:rsidRPr="005F647B" w:rsidRDefault="00000000">
            <w:pPr>
              <w:widowControl/>
              <w:spacing w:line="276" w:lineRule="auto"/>
              <w:ind w:firstLineChars="50" w:firstLine="110"/>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CD</w:t>
            </w:r>
          </w:p>
          <w:p w14:paraId="5798E70C"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eastAsia="SimSun" w:hAnsi="Times New Roman" w:cs="Times New Roman"/>
                <w:color w:val="000000" w:themeColor="text1"/>
                <w:sz w:val="22"/>
                <w:szCs w:val="22"/>
              </w:rPr>
              <w:t xml:space="preserve">Mean </w:t>
            </w:r>
            <w:r w:rsidRPr="005F647B">
              <w:rPr>
                <w:rFonts w:ascii="Times New Roman" w:hAnsi="Times New Roman" w:cs="Times New Roman"/>
                <w:color w:val="000000" w:themeColor="text1"/>
                <w:sz w:val="22"/>
                <w:szCs w:val="22"/>
              </w:rPr>
              <w:t>±</w:t>
            </w:r>
            <w:r w:rsidRPr="005F647B">
              <w:rPr>
                <w:rFonts w:ascii="Times New Roman" w:eastAsia="SimSun" w:hAnsi="Times New Roman" w:cs="Times New Roman"/>
                <w:color w:val="000000" w:themeColor="text1"/>
                <w:sz w:val="22"/>
                <w:szCs w:val="22"/>
              </w:rPr>
              <w:t xml:space="preserve"> SE</w:t>
            </w:r>
          </w:p>
        </w:tc>
        <w:tc>
          <w:tcPr>
            <w:tcW w:w="1915" w:type="dxa"/>
          </w:tcPr>
          <w:p w14:paraId="1FE49BD7" w14:textId="77777777" w:rsidR="009B540A" w:rsidRPr="005F647B" w:rsidRDefault="00000000">
            <w:pPr>
              <w:widowControl/>
              <w:spacing w:line="276" w:lineRule="auto"/>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CN</w:t>
            </w:r>
          </w:p>
          <w:p w14:paraId="203B50D6"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eastAsia="SimSun" w:hAnsi="Times New Roman" w:cs="Times New Roman"/>
                <w:color w:val="000000" w:themeColor="text1"/>
                <w:sz w:val="22"/>
                <w:szCs w:val="22"/>
              </w:rPr>
              <w:t xml:space="preserve">Mean </w:t>
            </w:r>
            <w:r w:rsidRPr="005F647B">
              <w:rPr>
                <w:rFonts w:ascii="Times New Roman" w:hAnsi="Times New Roman" w:cs="Times New Roman"/>
                <w:color w:val="000000" w:themeColor="text1"/>
                <w:sz w:val="22"/>
                <w:szCs w:val="22"/>
              </w:rPr>
              <w:t>±</w:t>
            </w:r>
            <w:r w:rsidRPr="005F647B">
              <w:rPr>
                <w:rFonts w:ascii="Times New Roman" w:eastAsia="SimSun" w:hAnsi="Times New Roman" w:cs="Times New Roman"/>
                <w:color w:val="000000" w:themeColor="text1"/>
                <w:sz w:val="22"/>
                <w:szCs w:val="22"/>
              </w:rPr>
              <w:t xml:space="preserve"> SE</w:t>
            </w:r>
          </w:p>
        </w:tc>
        <w:tc>
          <w:tcPr>
            <w:tcW w:w="1915" w:type="dxa"/>
          </w:tcPr>
          <w:p w14:paraId="1E98F165" w14:textId="77777777" w:rsidR="009B540A" w:rsidRPr="005F647B" w:rsidRDefault="00000000">
            <w:pPr>
              <w:pStyle w:val="NormalWeb"/>
              <w:widowControl/>
              <w:spacing w:line="276" w:lineRule="auto"/>
              <w:ind w:firstLineChars="100" w:firstLine="220"/>
              <w:rPr>
                <w:rFonts w:ascii="Times New Roman" w:hAnsi="Times New Roman" w:cs="Times New Roman"/>
                <w:color w:val="000000"/>
                <w:sz w:val="22"/>
                <w:szCs w:val="22"/>
              </w:rPr>
            </w:pPr>
            <w:r w:rsidRPr="005F647B">
              <w:rPr>
                <w:rFonts w:ascii="Times New Roman" w:eastAsia="SimSun" w:hAnsi="Times New Roman" w:cs="Times New Roman"/>
                <w:color w:val="000000" w:themeColor="text1"/>
                <w:sz w:val="22"/>
                <w:szCs w:val="22"/>
              </w:rPr>
              <w:t>t-value</w:t>
            </w:r>
          </w:p>
        </w:tc>
        <w:tc>
          <w:tcPr>
            <w:tcW w:w="1916" w:type="dxa"/>
          </w:tcPr>
          <w:p w14:paraId="6C716663"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eastAsia="SimSun" w:hAnsi="Times New Roman" w:cs="Times New Roman"/>
                <w:color w:val="000000"/>
                <w:sz w:val="22"/>
                <w:szCs w:val="22"/>
              </w:rPr>
              <w:t>p-value</w:t>
            </w:r>
          </w:p>
        </w:tc>
      </w:tr>
      <w:tr w:rsidR="009B540A" w:rsidRPr="005F647B" w14:paraId="195FE389" w14:textId="77777777">
        <w:tc>
          <w:tcPr>
            <w:tcW w:w="1915" w:type="dxa"/>
          </w:tcPr>
          <w:p w14:paraId="0AFAF203"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Day old</w:t>
            </w:r>
          </w:p>
        </w:tc>
        <w:tc>
          <w:tcPr>
            <w:tcW w:w="1915" w:type="dxa"/>
          </w:tcPr>
          <w:p w14:paraId="58231C0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33.38±0.04</w:t>
            </w:r>
          </w:p>
        </w:tc>
        <w:tc>
          <w:tcPr>
            <w:tcW w:w="1915" w:type="dxa"/>
          </w:tcPr>
          <w:p w14:paraId="55F7288F"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38.76±0.05*</w:t>
            </w:r>
          </w:p>
        </w:tc>
        <w:tc>
          <w:tcPr>
            <w:tcW w:w="1915" w:type="dxa"/>
          </w:tcPr>
          <w:p w14:paraId="05DBE4FF" w14:textId="77777777" w:rsidR="009B540A" w:rsidRPr="005F647B" w:rsidRDefault="00000000">
            <w:r w:rsidRPr="005F647B">
              <w:rPr>
                <w:rFonts w:ascii="Times New Roman" w:hAnsi="Times New Roman" w:cs="Times New Roman"/>
                <w:sz w:val="22"/>
                <w:szCs w:val="22"/>
              </w:rPr>
              <w:t>-81.9</w:t>
            </w:r>
          </w:p>
        </w:tc>
        <w:tc>
          <w:tcPr>
            <w:tcW w:w="1916" w:type="dxa"/>
          </w:tcPr>
          <w:p w14:paraId="5FECC574" w14:textId="77777777" w:rsidR="009B540A" w:rsidRPr="005F647B" w:rsidRDefault="00000000">
            <w:r w:rsidRPr="005F647B">
              <w:rPr>
                <w:rFonts w:ascii="Times New Roman" w:hAnsi="Times New Roman" w:cs="Times New Roman"/>
                <w:sz w:val="22"/>
                <w:szCs w:val="22"/>
              </w:rPr>
              <w:t>&lt;0.001</w:t>
            </w:r>
          </w:p>
        </w:tc>
      </w:tr>
      <w:tr w:rsidR="009B540A" w:rsidRPr="005F647B" w14:paraId="24CD5524" w14:textId="77777777">
        <w:tc>
          <w:tcPr>
            <w:tcW w:w="1915" w:type="dxa"/>
          </w:tcPr>
          <w:p w14:paraId="0EA8C3EF"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w:t>
            </w:r>
            <w:r w:rsidRPr="005F647B">
              <w:rPr>
                <w:rFonts w:ascii="Times New Roman" w:hAnsi="Times New Roman" w:cs="Times New Roman"/>
                <w:color w:val="000000"/>
                <w:sz w:val="22"/>
                <w:szCs w:val="22"/>
                <w:vertAlign w:val="superscript"/>
              </w:rPr>
              <w:t>st</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7B714E09"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76.03±0.04</w:t>
            </w:r>
          </w:p>
        </w:tc>
        <w:tc>
          <w:tcPr>
            <w:tcW w:w="1915" w:type="dxa"/>
          </w:tcPr>
          <w:p w14:paraId="44CBA189"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89.35±0.06*</w:t>
            </w:r>
          </w:p>
        </w:tc>
        <w:tc>
          <w:tcPr>
            <w:tcW w:w="1915" w:type="dxa"/>
          </w:tcPr>
          <w:p w14:paraId="5300DEC2"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-181.0</w:t>
            </w:r>
          </w:p>
        </w:tc>
        <w:tc>
          <w:tcPr>
            <w:tcW w:w="1916" w:type="dxa"/>
          </w:tcPr>
          <w:p w14:paraId="636E9815"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59AC8055" w14:textId="77777777">
        <w:tc>
          <w:tcPr>
            <w:tcW w:w="1915" w:type="dxa"/>
          </w:tcPr>
          <w:p w14:paraId="7448150D"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w:t>
            </w:r>
            <w:r w:rsidRPr="005F647B">
              <w:rPr>
                <w:rFonts w:ascii="Times New Roman" w:hAnsi="Times New Roman" w:cs="Times New Roman"/>
                <w:color w:val="000000"/>
                <w:sz w:val="22"/>
                <w:szCs w:val="22"/>
                <w:vertAlign w:val="superscript"/>
              </w:rPr>
              <w:t>nd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0C5C7ECC"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126.76±0.07</w:t>
            </w:r>
          </w:p>
        </w:tc>
        <w:tc>
          <w:tcPr>
            <w:tcW w:w="1915" w:type="dxa"/>
          </w:tcPr>
          <w:p w14:paraId="53792150"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145.63±0.07*</w:t>
            </w:r>
          </w:p>
        </w:tc>
        <w:tc>
          <w:tcPr>
            <w:tcW w:w="1915" w:type="dxa"/>
          </w:tcPr>
          <w:p w14:paraId="68FFE5A8"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-199.5</w:t>
            </w:r>
          </w:p>
        </w:tc>
        <w:tc>
          <w:tcPr>
            <w:tcW w:w="1916" w:type="dxa"/>
          </w:tcPr>
          <w:p w14:paraId="3C1A57F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077C2716" w14:textId="77777777">
        <w:tc>
          <w:tcPr>
            <w:tcW w:w="1915" w:type="dxa"/>
          </w:tcPr>
          <w:p w14:paraId="49C4172B"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w:t>
            </w:r>
            <w:r w:rsidRPr="005F647B">
              <w:rPr>
                <w:rFonts w:ascii="Times New Roman" w:hAnsi="Times New Roman" w:cs="Times New Roman"/>
                <w:color w:val="000000"/>
                <w:sz w:val="22"/>
                <w:szCs w:val="22"/>
                <w:vertAlign w:val="superscript"/>
              </w:rPr>
              <w:t>rd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02B9A1BE"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201.35±0.15*</w:t>
            </w:r>
          </w:p>
        </w:tc>
        <w:tc>
          <w:tcPr>
            <w:tcW w:w="1915" w:type="dxa"/>
          </w:tcPr>
          <w:p w14:paraId="267EB6B0"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198.35±0.07</w:t>
            </w:r>
          </w:p>
        </w:tc>
        <w:tc>
          <w:tcPr>
            <w:tcW w:w="1915" w:type="dxa"/>
          </w:tcPr>
          <w:p w14:paraId="66334E69"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18.30</w:t>
            </w:r>
          </w:p>
        </w:tc>
        <w:tc>
          <w:tcPr>
            <w:tcW w:w="1916" w:type="dxa"/>
          </w:tcPr>
          <w:p w14:paraId="59540622"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4206EB1D" w14:textId="77777777">
        <w:tc>
          <w:tcPr>
            <w:tcW w:w="1915" w:type="dxa"/>
          </w:tcPr>
          <w:p w14:paraId="40F43D93"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74EB0E49"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291.76±0.08</w:t>
            </w:r>
          </w:p>
        </w:tc>
        <w:tc>
          <w:tcPr>
            <w:tcW w:w="1915" w:type="dxa"/>
          </w:tcPr>
          <w:p w14:paraId="788FF735"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292.79±0.11*</w:t>
            </w:r>
          </w:p>
        </w:tc>
        <w:tc>
          <w:tcPr>
            <w:tcW w:w="1915" w:type="dxa"/>
          </w:tcPr>
          <w:p w14:paraId="460BB3A6" w14:textId="77777777" w:rsidR="009B540A" w:rsidRPr="005F647B" w:rsidRDefault="00000000">
            <w:r w:rsidRPr="005F647B">
              <w:rPr>
                <w:rFonts w:ascii="Times New Roman" w:hAnsi="Times New Roman" w:cs="Times New Roman"/>
                <w:sz w:val="22"/>
                <w:szCs w:val="22"/>
              </w:rPr>
              <w:t>-7.73</w:t>
            </w:r>
          </w:p>
        </w:tc>
        <w:tc>
          <w:tcPr>
            <w:tcW w:w="1916" w:type="dxa"/>
          </w:tcPr>
          <w:p w14:paraId="49F7C9D6" w14:textId="77777777" w:rsidR="009B540A" w:rsidRPr="005F647B" w:rsidRDefault="00000000">
            <w:r w:rsidRPr="005F647B">
              <w:rPr>
                <w:rFonts w:ascii="Times New Roman" w:hAnsi="Times New Roman" w:cs="Times New Roman"/>
                <w:sz w:val="22"/>
                <w:szCs w:val="22"/>
              </w:rPr>
              <w:t>&lt;0.001</w:t>
            </w:r>
          </w:p>
        </w:tc>
      </w:tr>
      <w:tr w:rsidR="009B540A" w:rsidRPr="005F647B" w14:paraId="6277CB85" w14:textId="77777777">
        <w:tc>
          <w:tcPr>
            <w:tcW w:w="1915" w:type="dxa"/>
          </w:tcPr>
          <w:p w14:paraId="1E767F3E"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5</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42FC40D8"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444.91±0.07*</w:t>
            </w:r>
          </w:p>
        </w:tc>
        <w:tc>
          <w:tcPr>
            <w:tcW w:w="1915" w:type="dxa"/>
          </w:tcPr>
          <w:p w14:paraId="625077B5"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370.95±2.85</w:t>
            </w:r>
          </w:p>
        </w:tc>
        <w:tc>
          <w:tcPr>
            <w:tcW w:w="1915" w:type="dxa"/>
          </w:tcPr>
          <w:p w14:paraId="440D4168"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25.83</w:t>
            </w:r>
          </w:p>
        </w:tc>
        <w:tc>
          <w:tcPr>
            <w:tcW w:w="1916" w:type="dxa"/>
          </w:tcPr>
          <w:p w14:paraId="4B9306C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559E9772" w14:textId="77777777">
        <w:tc>
          <w:tcPr>
            <w:tcW w:w="1915" w:type="dxa"/>
          </w:tcPr>
          <w:p w14:paraId="28C7953E"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0BB542E5"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629.07±0.06</w:t>
            </w:r>
          </w:p>
        </w:tc>
        <w:tc>
          <w:tcPr>
            <w:tcW w:w="1915" w:type="dxa"/>
          </w:tcPr>
          <w:p w14:paraId="43D3F6BA"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464.78±1.47*</w:t>
            </w:r>
          </w:p>
        </w:tc>
        <w:tc>
          <w:tcPr>
            <w:tcW w:w="1915" w:type="dxa"/>
          </w:tcPr>
          <w:p w14:paraId="35AD058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110.53</w:t>
            </w:r>
          </w:p>
        </w:tc>
        <w:tc>
          <w:tcPr>
            <w:tcW w:w="1916" w:type="dxa"/>
          </w:tcPr>
          <w:p w14:paraId="49B8E7BA"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576D8BDA" w14:textId="77777777">
        <w:tc>
          <w:tcPr>
            <w:tcW w:w="1915" w:type="dxa"/>
          </w:tcPr>
          <w:p w14:paraId="4024D83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6086993B"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870.49±1.20*</w:t>
            </w:r>
          </w:p>
        </w:tc>
        <w:tc>
          <w:tcPr>
            <w:tcW w:w="1915" w:type="dxa"/>
          </w:tcPr>
          <w:p w14:paraId="26B14693"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696.56±2.36</w:t>
            </w:r>
          </w:p>
        </w:tc>
        <w:tc>
          <w:tcPr>
            <w:tcW w:w="1915" w:type="dxa"/>
          </w:tcPr>
          <w:p w14:paraId="79ED3C95" w14:textId="77777777" w:rsidR="009B540A" w:rsidRPr="005F647B" w:rsidRDefault="00000000">
            <w:r w:rsidRPr="005F647B">
              <w:rPr>
                <w:rFonts w:ascii="Times New Roman" w:hAnsi="Times New Roman" w:cs="Times New Roman"/>
                <w:color w:val="000000"/>
                <w:sz w:val="22"/>
                <w:szCs w:val="22"/>
              </w:rPr>
              <w:t>65.53</w:t>
            </w:r>
          </w:p>
        </w:tc>
        <w:tc>
          <w:tcPr>
            <w:tcW w:w="1916" w:type="dxa"/>
          </w:tcPr>
          <w:p w14:paraId="1D3A0F66" w14:textId="77777777" w:rsidR="009B540A" w:rsidRPr="005F647B" w:rsidRDefault="00000000">
            <w:r w:rsidRPr="005F647B">
              <w:rPr>
                <w:rFonts w:ascii="Times New Roman" w:hAnsi="Times New Roman" w:cs="Times New Roman"/>
                <w:sz w:val="22"/>
                <w:szCs w:val="22"/>
              </w:rPr>
              <w:t>&lt;0.001</w:t>
            </w:r>
          </w:p>
        </w:tc>
      </w:tr>
      <w:tr w:rsidR="009B540A" w:rsidRPr="005F647B" w14:paraId="0AF9FAB2" w14:textId="77777777">
        <w:tc>
          <w:tcPr>
            <w:tcW w:w="1915" w:type="dxa"/>
          </w:tcPr>
          <w:p w14:paraId="209B1532"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7888E153"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1100.69±3.36*</w:t>
            </w:r>
          </w:p>
        </w:tc>
        <w:tc>
          <w:tcPr>
            <w:tcW w:w="1915" w:type="dxa"/>
          </w:tcPr>
          <w:p w14:paraId="363915E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902.10±8.57</w:t>
            </w:r>
          </w:p>
        </w:tc>
        <w:tc>
          <w:tcPr>
            <w:tcW w:w="1915" w:type="dxa"/>
          </w:tcPr>
          <w:p w14:paraId="470A165C" w14:textId="77777777" w:rsidR="009B540A" w:rsidRPr="005F647B" w:rsidRDefault="00000000">
            <w:r w:rsidRPr="005F647B">
              <w:rPr>
                <w:rFonts w:ascii="Times New Roman" w:hAnsi="Times New Roman" w:cs="Times New Roman"/>
                <w:color w:val="000000"/>
                <w:sz w:val="22"/>
                <w:szCs w:val="22"/>
              </w:rPr>
              <w:t>21.82</w:t>
            </w:r>
          </w:p>
        </w:tc>
        <w:tc>
          <w:tcPr>
            <w:tcW w:w="1916" w:type="dxa"/>
          </w:tcPr>
          <w:p w14:paraId="6908A049" w14:textId="77777777" w:rsidR="009B540A" w:rsidRPr="005F647B" w:rsidRDefault="00000000">
            <w:r w:rsidRPr="005F647B">
              <w:rPr>
                <w:rFonts w:ascii="Times New Roman" w:hAnsi="Times New Roman" w:cs="Times New Roman"/>
                <w:sz w:val="22"/>
                <w:szCs w:val="22"/>
              </w:rPr>
              <w:t>&lt;0.001</w:t>
            </w:r>
          </w:p>
        </w:tc>
      </w:tr>
      <w:tr w:rsidR="009B540A" w:rsidRPr="005F647B" w14:paraId="2E1D4CE7" w14:textId="77777777">
        <w:tc>
          <w:tcPr>
            <w:tcW w:w="1915" w:type="dxa"/>
          </w:tcPr>
          <w:p w14:paraId="331340E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12</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04ADA74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1202.22±2.57*</w:t>
            </w:r>
          </w:p>
        </w:tc>
        <w:tc>
          <w:tcPr>
            <w:tcW w:w="1915" w:type="dxa"/>
          </w:tcPr>
          <w:p w14:paraId="14F6FB9A"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1081.63±7.02</w:t>
            </w:r>
          </w:p>
        </w:tc>
        <w:tc>
          <w:tcPr>
            <w:tcW w:w="1915" w:type="dxa"/>
          </w:tcPr>
          <w:p w14:paraId="621F0E3F"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16.20</w:t>
            </w:r>
          </w:p>
        </w:tc>
        <w:tc>
          <w:tcPr>
            <w:tcW w:w="1916" w:type="dxa"/>
          </w:tcPr>
          <w:p w14:paraId="5C7275C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sz w:val="22"/>
                <w:szCs w:val="22"/>
              </w:rPr>
              <w:t>&lt;0.001</w:t>
            </w:r>
          </w:p>
        </w:tc>
      </w:tr>
      <w:tr w:rsidR="009B540A" w:rsidRPr="005F647B" w14:paraId="4660520E" w14:textId="77777777">
        <w:tc>
          <w:tcPr>
            <w:tcW w:w="1915" w:type="dxa"/>
          </w:tcPr>
          <w:p w14:paraId="351C0C3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100C7837"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1348.55±3.38*</w:t>
            </w:r>
          </w:p>
        </w:tc>
        <w:tc>
          <w:tcPr>
            <w:tcW w:w="1915" w:type="dxa"/>
          </w:tcPr>
          <w:p w14:paraId="496C833D"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1312.96±6.52</w:t>
            </w:r>
          </w:p>
        </w:tc>
        <w:tc>
          <w:tcPr>
            <w:tcW w:w="1915" w:type="dxa"/>
          </w:tcPr>
          <w:p w14:paraId="62F389E8" w14:textId="77777777" w:rsidR="009B540A" w:rsidRPr="005F647B" w:rsidRDefault="00000000">
            <w:r w:rsidRPr="005F647B">
              <w:rPr>
                <w:rFonts w:ascii="Times New Roman" w:hAnsi="Times New Roman" w:cs="Times New Roman"/>
                <w:color w:val="000000"/>
                <w:sz w:val="22"/>
                <w:szCs w:val="22"/>
              </w:rPr>
              <w:t>4.84</w:t>
            </w:r>
            <w:r w:rsidRPr="005F647B">
              <w:rPr>
                <w:rFonts w:ascii="Times New Roman" w:hAnsi="Times New Roman" w:cs="Times New Roman"/>
                <w:color w:val="000000"/>
                <w:sz w:val="22"/>
                <w:szCs w:val="22"/>
              </w:rPr>
              <w:tab/>
            </w:r>
          </w:p>
        </w:tc>
        <w:tc>
          <w:tcPr>
            <w:tcW w:w="1916" w:type="dxa"/>
          </w:tcPr>
          <w:p w14:paraId="33FE85D0" w14:textId="77777777" w:rsidR="009B540A" w:rsidRPr="005F647B" w:rsidRDefault="00000000">
            <w:r w:rsidRPr="005F647B">
              <w:rPr>
                <w:rFonts w:ascii="Times New Roman" w:hAnsi="Times New Roman" w:cs="Times New Roman"/>
                <w:sz w:val="22"/>
                <w:szCs w:val="22"/>
              </w:rPr>
              <w:t>&lt;0.001</w:t>
            </w:r>
          </w:p>
        </w:tc>
      </w:tr>
      <w:tr w:rsidR="009B540A" w:rsidRPr="005F647B" w14:paraId="698AEF9F" w14:textId="77777777">
        <w:tc>
          <w:tcPr>
            <w:tcW w:w="1915" w:type="dxa"/>
          </w:tcPr>
          <w:p w14:paraId="7838C696"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35277116"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1611.95±4.21*</w:t>
            </w:r>
          </w:p>
        </w:tc>
        <w:tc>
          <w:tcPr>
            <w:tcW w:w="1915" w:type="dxa"/>
          </w:tcPr>
          <w:p w14:paraId="452A37ED"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1463.66±9.66</w:t>
            </w:r>
          </w:p>
        </w:tc>
        <w:tc>
          <w:tcPr>
            <w:tcW w:w="1915" w:type="dxa"/>
          </w:tcPr>
          <w:p w14:paraId="7FB05E41" w14:textId="77777777" w:rsidR="009B540A" w:rsidRPr="005F647B" w:rsidRDefault="00000000">
            <w:r w:rsidRPr="005F647B">
              <w:rPr>
                <w:rFonts w:ascii="Times New Roman" w:hAnsi="Times New Roman" w:cs="Times New Roman"/>
                <w:sz w:val="22"/>
                <w:szCs w:val="22"/>
              </w:rPr>
              <w:t>14.07</w:t>
            </w:r>
          </w:p>
        </w:tc>
        <w:tc>
          <w:tcPr>
            <w:tcW w:w="1916" w:type="dxa"/>
          </w:tcPr>
          <w:p w14:paraId="2C1CD7AE" w14:textId="77777777" w:rsidR="009B540A" w:rsidRPr="005F647B" w:rsidRDefault="00000000">
            <w:r w:rsidRPr="005F647B">
              <w:rPr>
                <w:rFonts w:ascii="Times New Roman" w:hAnsi="Times New Roman" w:cs="Times New Roman"/>
                <w:sz w:val="22"/>
                <w:szCs w:val="22"/>
              </w:rPr>
              <w:t>&lt;0.001</w:t>
            </w:r>
          </w:p>
        </w:tc>
      </w:tr>
      <w:tr w:rsidR="009B540A" w:rsidRPr="005F647B" w14:paraId="3F45AF2A" w14:textId="77777777">
        <w:tc>
          <w:tcPr>
            <w:tcW w:w="1915" w:type="dxa"/>
          </w:tcPr>
          <w:p w14:paraId="1217968F"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2DF79FBA"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1976.01±14.83*</w:t>
            </w:r>
          </w:p>
        </w:tc>
        <w:tc>
          <w:tcPr>
            <w:tcW w:w="1915" w:type="dxa"/>
          </w:tcPr>
          <w:p w14:paraId="0FB769C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1640.72±9.47</w:t>
            </w:r>
          </w:p>
        </w:tc>
        <w:tc>
          <w:tcPr>
            <w:tcW w:w="1915" w:type="dxa"/>
          </w:tcPr>
          <w:p w14:paraId="0A60DA06" w14:textId="77777777" w:rsidR="009B540A" w:rsidRPr="005F647B" w:rsidRDefault="00000000">
            <w:r w:rsidRPr="005F647B">
              <w:rPr>
                <w:rFonts w:ascii="Times New Roman" w:hAnsi="Times New Roman" w:cs="Times New Roman"/>
                <w:color w:val="000000"/>
                <w:sz w:val="22"/>
                <w:szCs w:val="22"/>
              </w:rPr>
              <w:t>19.06</w:t>
            </w:r>
          </w:p>
        </w:tc>
        <w:tc>
          <w:tcPr>
            <w:tcW w:w="1916" w:type="dxa"/>
          </w:tcPr>
          <w:p w14:paraId="4098C18A" w14:textId="77777777" w:rsidR="009B540A" w:rsidRPr="005F647B" w:rsidRDefault="00000000">
            <w:r w:rsidRPr="005F647B">
              <w:rPr>
                <w:rFonts w:ascii="Times New Roman" w:hAnsi="Times New Roman" w:cs="Times New Roman"/>
                <w:sz w:val="22"/>
                <w:szCs w:val="22"/>
              </w:rPr>
              <w:t>&lt;0.001</w:t>
            </w:r>
          </w:p>
        </w:tc>
      </w:tr>
      <w:tr w:rsidR="009B540A" w:rsidRPr="005F647B" w14:paraId="65A043A9" w14:textId="77777777">
        <w:tc>
          <w:tcPr>
            <w:tcW w:w="1915" w:type="dxa"/>
          </w:tcPr>
          <w:p w14:paraId="6F5DA48A"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915" w:type="dxa"/>
          </w:tcPr>
          <w:p w14:paraId="767E2A81"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2221.57±10.75*</w:t>
            </w:r>
          </w:p>
        </w:tc>
        <w:tc>
          <w:tcPr>
            <w:tcW w:w="1915" w:type="dxa"/>
          </w:tcPr>
          <w:p w14:paraId="6131981D" w14:textId="77777777" w:rsidR="009B540A" w:rsidRPr="005F647B" w:rsidRDefault="00000000">
            <w:pPr>
              <w:pStyle w:val="NormalWeb"/>
              <w:widowControl/>
              <w:spacing w:line="276"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1923.18±3.96</w:t>
            </w:r>
          </w:p>
        </w:tc>
        <w:tc>
          <w:tcPr>
            <w:tcW w:w="1915" w:type="dxa"/>
          </w:tcPr>
          <w:p w14:paraId="46A5771D" w14:textId="77777777" w:rsidR="009B540A" w:rsidRPr="005F647B" w:rsidRDefault="00000000">
            <w:r w:rsidRPr="005F647B">
              <w:rPr>
                <w:rFonts w:ascii="Times New Roman" w:hAnsi="Times New Roman" w:cs="Times New Roman"/>
                <w:color w:val="000000"/>
                <w:sz w:val="22"/>
                <w:szCs w:val="22"/>
              </w:rPr>
              <w:t>26.05</w:t>
            </w:r>
          </w:p>
        </w:tc>
        <w:tc>
          <w:tcPr>
            <w:tcW w:w="1916" w:type="dxa"/>
          </w:tcPr>
          <w:p w14:paraId="54D7608F" w14:textId="77777777" w:rsidR="009B540A" w:rsidRPr="005F647B" w:rsidRDefault="00000000">
            <w:r w:rsidRPr="005F647B">
              <w:rPr>
                <w:rFonts w:ascii="Times New Roman" w:hAnsi="Times New Roman" w:cs="Times New Roman"/>
                <w:sz w:val="22"/>
                <w:szCs w:val="22"/>
              </w:rPr>
              <w:t>&lt;0.001</w:t>
            </w:r>
          </w:p>
        </w:tc>
      </w:tr>
    </w:tbl>
    <w:p w14:paraId="505091F2" w14:textId="77777777" w:rsidR="009B540A" w:rsidRPr="005F647B" w:rsidRDefault="00000000">
      <w:pPr>
        <w:pStyle w:val="Normal1"/>
        <w:spacing w:after="0" w:line="276" w:lineRule="auto"/>
        <w:jc w:val="both"/>
        <w:rPr>
          <w:rFonts w:ascii="Times New Roman" w:eastAsia="Times New Roman" w:hAnsi="Times New Roman" w:cs="Times New Roman"/>
          <w:b/>
          <w:bCs/>
        </w:rPr>
      </w:pPr>
      <w:r w:rsidRPr="005F647B">
        <w:rPr>
          <w:rFonts w:ascii="Times New Roman" w:eastAsia="Times New Roman" w:hAnsi="Times New Roman" w:cs="Times New Roman"/>
          <w:b/>
          <w:bCs/>
        </w:rPr>
        <w:t>*Indicates significant difference (p&lt;0.001).</w:t>
      </w:r>
    </w:p>
    <w:p w14:paraId="3DFBCBCD" w14:textId="77777777" w:rsidR="009B540A" w:rsidRPr="005F647B" w:rsidRDefault="00000000">
      <w:pPr>
        <w:pStyle w:val="NormalWeb"/>
        <w:spacing w:line="360" w:lineRule="auto"/>
        <w:rPr>
          <w:rFonts w:ascii="Times New Roman" w:hAnsi="Times New Roman" w:cs="Times New Roman"/>
          <w:color w:val="000000"/>
          <w:sz w:val="22"/>
          <w:szCs w:val="22"/>
        </w:rPr>
      </w:pPr>
      <w:r w:rsidRPr="005F647B">
        <w:rPr>
          <w:rFonts w:ascii="Times New Roman" w:hAnsi="Times New Roman" w:cs="Times New Roman"/>
          <w:b/>
          <w:bCs/>
          <w:color w:val="000000"/>
          <w:sz w:val="22"/>
          <w:szCs w:val="22"/>
        </w:rPr>
        <w:t xml:space="preserve">Fig. </w:t>
      </w:r>
      <w:proofErr w:type="gramStart"/>
      <w:r w:rsidRPr="005F647B">
        <w:rPr>
          <w:rFonts w:ascii="Times New Roman" w:hAnsi="Times New Roman" w:cs="Times New Roman"/>
          <w:b/>
          <w:bCs/>
          <w:color w:val="000000"/>
          <w:sz w:val="22"/>
          <w:szCs w:val="22"/>
        </w:rPr>
        <w:t>1  Body</w:t>
      </w:r>
      <w:proofErr w:type="gramEnd"/>
      <w:r w:rsidRPr="005F647B">
        <w:rPr>
          <w:rFonts w:ascii="Times New Roman" w:hAnsi="Times New Roman" w:cs="Times New Roman"/>
          <w:b/>
          <w:bCs/>
          <w:color w:val="000000"/>
          <w:sz w:val="22"/>
          <w:szCs w:val="22"/>
        </w:rPr>
        <w:t xml:space="preserve"> weights (g) of CARI Debendra and CARI Nirbheek birds from day old to 20 weeks of age.</w:t>
      </w:r>
    </w:p>
    <w:p w14:paraId="7FC65DF9" w14:textId="77777777" w:rsidR="009B540A" w:rsidRPr="005F647B" w:rsidRDefault="00000000">
      <w:pPr>
        <w:pStyle w:val="NormalWeb"/>
        <w:spacing w:line="360" w:lineRule="auto"/>
        <w:rPr>
          <w:rFonts w:ascii="Times New Roman" w:hAnsi="Times New Roman" w:cs="Times New Roman"/>
          <w:color w:val="000000"/>
          <w:sz w:val="22"/>
          <w:szCs w:val="22"/>
        </w:rPr>
      </w:pPr>
      <w:r w:rsidRPr="005F647B">
        <w:rPr>
          <w:rFonts w:ascii="Times New Roman" w:hAnsi="Times New Roman" w:cs="Times New Roman"/>
          <w:noProof/>
          <w:sz w:val="22"/>
          <w:szCs w:val="22"/>
          <w:lang w:eastAsia="en-US" w:bidi="hi-IN"/>
        </w:rPr>
        <w:lastRenderedPageBreak/>
        <w:drawing>
          <wp:inline distT="0" distB="0" distL="114300" distR="114300" wp14:anchorId="27BD54BA" wp14:editId="256823DC">
            <wp:extent cx="4787265" cy="3325495"/>
            <wp:effectExtent l="6350" t="6350" r="6985" b="2095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81005E0" w14:textId="77777777" w:rsidR="009B540A" w:rsidRPr="005F647B" w:rsidRDefault="009B540A">
      <w:pPr>
        <w:pStyle w:val="NormalWeb"/>
        <w:spacing w:line="360" w:lineRule="auto"/>
        <w:rPr>
          <w:rFonts w:ascii="Times New Roman" w:hAnsi="Times New Roman" w:cs="Times New Roman"/>
          <w:color w:val="000000"/>
          <w:sz w:val="22"/>
          <w:szCs w:val="22"/>
        </w:rPr>
      </w:pPr>
    </w:p>
    <w:p w14:paraId="19BE5C49" w14:textId="1ED8459A" w:rsidR="009B540A" w:rsidRPr="005F647B" w:rsidRDefault="00000000">
      <w:pPr>
        <w:spacing w:before="100" w:after="100" w:line="360" w:lineRule="auto"/>
        <w:rPr>
          <w:rFonts w:ascii="Times New Roman" w:hAnsi="Times New Roman" w:cs="Times New Roman"/>
          <w:color w:val="000000"/>
          <w:sz w:val="22"/>
          <w:szCs w:val="22"/>
        </w:rPr>
      </w:pPr>
      <w:r w:rsidRPr="005F647B">
        <w:t xml:space="preserve">The substantial final increase in CARI Debendra body weight is consistent with official ICAR descriptions of its relatively heavy adult body-weight potential (ICAR, n.d.). It is also supported by the study of Das </w:t>
      </w:r>
      <w:r w:rsidRPr="005F647B">
        <w:rPr>
          <w:i/>
        </w:rPr>
        <w:t>et al.</w:t>
      </w:r>
      <w:r w:rsidRPr="005F647B">
        <w:t xml:space="preserve"> (2016), which documented sex-dependent growth and feed-efficiency characteristics in CARI Debendra. Similarly, the final 20-week body weight of CARI Nirbheek is broadly consistent with field observations reported by </w:t>
      </w:r>
      <w:proofErr w:type="spellStart"/>
      <w:r w:rsidRPr="005F647B">
        <w:t>Khadda</w:t>
      </w:r>
      <w:proofErr w:type="spellEnd"/>
      <w:r w:rsidRPr="005F647B">
        <w:t xml:space="preserve"> </w:t>
      </w:r>
      <w:r w:rsidRPr="005F647B">
        <w:rPr>
          <w:i/>
        </w:rPr>
        <w:t>et al.</w:t>
      </w:r>
      <w:r w:rsidRPr="005F647B">
        <w:t xml:space="preserve"> (2017), who found that CARI Nirbheek grew steadily under a semi-arid production environment.</w:t>
      </w:r>
    </w:p>
    <w:p w14:paraId="36E72460" w14:textId="69F2D473" w:rsidR="009B540A" w:rsidRPr="005F647B" w:rsidRDefault="00000000">
      <w:pPr>
        <w:pStyle w:val="NormalWeb"/>
        <w:spacing w:line="360" w:lineRule="auto"/>
        <w:ind w:firstLineChars="150" w:firstLine="360"/>
        <w:jc w:val="both"/>
        <w:rPr>
          <w:rFonts w:ascii="Times New Roman" w:hAnsi="Times New Roman" w:cs="Times New Roman"/>
          <w:color w:val="000000"/>
          <w:sz w:val="22"/>
          <w:szCs w:val="22"/>
        </w:rPr>
      </w:pPr>
      <w:r w:rsidRPr="005F647B">
        <w:t xml:space="preserve">However, some results differed from the commonly reported performance of these varieties. Although official descriptions indicate that CARI Debendra can exceed 1100 g by week 8 under </w:t>
      </w:r>
      <w:proofErr w:type="spellStart"/>
      <w:r w:rsidRPr="005F647B">
        <w:t>favourable</w:t>
      </w:r>
      <w:proofErr w:type="spellEnd"/>
      <w:r w:rsidRPr="005F647B">
        <w:t xml:space="preserve"> conditions, its mean body weight in the present study was 870.49 g. Previous studies have indicated that genotype, diet, housing, and environmental stress can influence growth and feed efficiency (Das </w:t>
      </w:r>
      <w:r w:rsidRPr="005F647B">
        <w:rPr>
          <w:i/>
        </w:rPr>
        <w:t>et al.</w:t>
      </w:r>
      <w:r w:rsidRPr="005F647B">
        <w:t xml:space="preserve">, 2016; Riaz </w:t>
      </w:r>
      <w:r w:rsidRPr="005F647B">
        <w:rPr>
          <w:i/>
        </w:rPr>
        <w:t>et al.</w:t>
      </w:r>
      <w:r w:rsidRPr="005F647B">
        <w:t xml:space="preserve">, 2024). Table 2 presents the recorded feed intake. During weeks 1–6, CARI Nirbheek consumed more feed than CARI Debendra at every recorded interval. At week 1, CARI Nirbheek consumed 5.39 ± 0.13 kg, whereas CARI Debendra consumed 4.32 ± 0.01 kg (p = 0.001). At week 4, the corresponding values were 15.40 ± 0.18 kg and 12.60 ± 0.01 kg, respectively (p &lt; 0.001). A temporary reversal occurred at week 8, when CARI Debendra recorded a greater feed intake than CARI Nirbheek (52.41 ± 0.05 kg versus 44.70 ± 0.18 kg; p &lt; 0.001). At week 20, CARI </w:t>
      </w:r>
      <w:r w:rsidRPr="005F647B">
        <w:lastRenderedPageBreak/>
        <w:t>Nirbheek again had the greater recorded feed intake, at 85.80 ± 0.07 kg, compared with 76.00 ± 0.11 kg for CARI Debendra (p &lt; 0.001).</w:t>
      </w:r>
    </w:p>
    <w:p w14:paraId="5C6B5821"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Table 2 Feed intake (kg) of CARI Debendra and CARI Nirbheek birds from week 1 to 20 weeks of age.</w:t>
      </w:r>
    </w:p>
    <w:tbl>
      <w:tblPr>
        <w:tblStyle w:val="TableGrid"/>
        <w:tblW w:w="0" w:type="auto"/>
        <w:tblLook w:val="04A0" w:firstRow="1" w:lastRow="0" w:firstColumn="1" w:lastColumn="0" w:noHBand="0" w:noVBand="1"/>
      </w:tblPr>
      <w:tblGrid>
        <w:gridCol w:w="1570"/>
        <w:gridCol w:w="2169"/>
        <w:gridCol w:w="2028"/>
        <w:gridCol w:w="1207"/>
        <w:gridCol w:w="1548"/>
      </w:tblGrid>
      <w:tr w:rsidR="009B540A" w:rsidRPr="005F647B" w14:paraId="2C753764" w14:textId="77777777">
        <w:trPr>
          <w:trHeight w:val="557"/>
        </w:trPr>
        <w:tc>
          <w:tcPr>
            <w:tcW w:w="1570" w:type="dxa"/>
          </w:tcPr>
          <w:p w14:paraId="1D20E15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Weeks</w:t>
            </w:r>
          </w:p>
        </w:tc>
        <w:tc>
          <w:tcPr>
            <w:tcW w:w="2169" w:type="dxa"/>
          </w:tcPr>
          <w:p w14:paraId="1171FABC" w14:textId="77777777" w:rsidR="009B540A" w:rsidRPr="005F647B" w:rsidRDefault="00000000">
            <w:pPr>
              <w:widowControl/>
              <w:ind w:firstLineChars="50" w:firstLine="110"/>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CD</w:t>
            </w:r>
          </w:p>
          <w:p w14:paraId="5CACCB3F"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eastAsia="SimSun" w:hAnsi="Times New Roman" w:cs="Times New Roman"/>
                <w:color w:val="000000"/>
                <w:sz w:val="22"/>
                <w:szCs w:val="22"/>
              </w:rPr>
              <w:t>Mean</w:t>
            </w:r>
            <w:r w:rsidRPr="005F647B">
              <w:rPr>
                <w:rFonts w:ascii="Times New Roman" w:hAnsi="Times New Roman" w:cs="Times New Roman"/>
                <w:color w:val="000000"/>
                <w:sz w:val="22"/>
                <w:szCs w:val="22"/>
              </w:rPr>
              <w:t>±</w:t>
            </w:r>
            <w:r w:rsidRPr="005F647B">
              <w:rPr>
                <w:rFonts w:ascii="Times New Roman" w:eastAsia="SimSun" w:hAnsi="Times New Roman" w:cs="Times New Roman"/>
                <w:color w:val="000000"/>
                <w:sz w:val="22"/>
                <w:szCs w:val="22"/>
              </w:rPr>
              <w:t xml:space="preserve"> SE</w:t>
            </w:r>
          </w:p>
        </w:tc>
        <w:tc>
          <w:tcPr>
            <w:tcW w:w="2028" w:type="dxa"/>
          </w:tcPr>
          <w:p w14:paraId="6BFE1EA1" w14:textId="77777777" w:rsidR="009B540A" w:rsidRPr="005F647B" w:rsidRDefault="00000000">
            <w:pPr>
              <w:widowControl/>
              <w:ind w:firstLineChars="50" w:firstLine="110"/>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CN</w:t>
            </w:r>
          </w:p>
          <w:p w14:paraId="0EE9F22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eastAsia="SimSun" w:hAnsi="Times New Roman" w:cs="Times New Roman"/>
                <w:color w:val="000000"/>
                <w:sz w:val="22"/>
                <w:szCs w:val="22"/>
              </w:rPr>
              <w:t>Mean</w:t>
            </w:r>
            <w:r w:rsidRPr="005F647B">
              <w:rPr>
                <w:rFonts w:ascii="Times New Roman" w:hAnsi="Times New Roman" w:cs="Times New Roman"/>
                <w:color w:val="000000"/>
                <w:sz w:val="22"/>
                <w:szCs w:val="22"/>
              </w:rPr>
              <w:t>±</w:t>
            </w:r>
            <w:r w:rsidRPr="005F647B">
              <w:rPr>
                <w:rFonts w:ascii="Times New Roman" w:eastAsia="SimSun" w:hAnsi="Times New Roman" w:cs="Times New Roman"/>
                <w:color w:val="000000"/>
                <w:sz w:val="22"/>
                <w:szCs w:val="22"/>
              </w:rPr>
              <w:t xml:space="preserve"> SE</w:t>
            </w:r>
          </w:p>
        </w:tc>
        <w:tc>
          <w:tcPr>
            <w:tcW w:w="1207" w:type="dxa"/>
          </w:tcPr>
          <w:p w14:paraId="3FFBE97C"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t-value</w:t>
            </w:r>
          </w:p>
        </w:tc>
        <w:tc>
          <w:tcPr>
            <w:tcW w:w="1548" w:type="dxa"/>
          </w:tcPr>
          <w:p w14:paraId="3E3904AD"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p-value</w:t>
            </w:r>
          </w:p>
        </w:tc>
      </w:tr>
      <w:tr w:rsidR="009B540A" w:rsidRPr="005F647B" w14:paraId="58D3BCA3" w14:textId="77777777">
        <w:tc>
          <w:tcPr>
            <w:tcW w:w="1570" w:type="dxa"/>
          </w:tcPr>
          <w:p w14:paraId="27DAC94D"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w:t>
            </w:r>
            <w:r w:rsidRPr="005F647B">
              <w:rPr>
                <w:rFonts w:ascii="Times New Roman" w:hAnsi="Times New Roman" w:cs="Times New Roman"/>
                <w:color w:val="000000"/>
                <w:sz w:val="22"/>
                <w:szCs w:val="22"/>
                <w:vertAlign w:val="superscript"/>
              </w:rPr>
              <w:t>st</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0F695DE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4.32±0.01</w:t>
            </w:r>
          </w:p>
        </w:tc>
        <w:tc>
          <w:tcPr>
            <w:tcW w:w="2028" w:type="dxa"/>
          </w:tcPr>
          <w:p w14:paraId="5843181D"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5.39</w:t>
            </w:r>
            <w:r w:rsidRPr="005F647B">
              <w:rPr>
                <w:rFonts w:ascii="Times New Roman" w:hAnsi="Times New Roman" w:cs="Times New Roman"/>
                <w:color w:val="000000"/>
                <w:sz w:val="22"/>
                <w:szCs w:val="22"/>
              </w:rPr>
              <w:t>±0.13*</w:t>
            </w:r>
          </w:p>
        </w:tc>
        <w:tc>
          <w:tcPr>
            <w:tcW w:w="1207" w:type="dxa"/>
          </w:tcPr>
          <w:p w14:paraId="21010427"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-8.21</w:t>
            </w:r>
          </w:p>
        </w:tc>
        <w:tc>
          <w:tcPr>
            <w:tcW w:w="1548" w:type="dxa"/>
          </w:tcPr>
          <w:p w14:paraId="3F090A0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0.001</w:t>
            </w:r>
          </w:p>
        </w:tc>
      </w:tr>
      <w:tr w:rsidR="009B540A" w:rsidRPr="005F647B" w14:paraId="4D93F540" w14:textId="77777777">
        <w:trPr>
          <w:trHeight w:val="442"/>
        </w:trPr>
        <w:tc>
          <w:tcPr>
            <w:tcW w:w="1570" w:type="dxa"/>
          </w:tcPr>
          <w:p w14:paraId="4DF8953A"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w:t>
            </w:r>
            <w:r w:rsidRPr="005F647B">
              <w:rPr>
                <w:rFonts w:ascii="Times New Roman" w:hAnsi="Times New Roman" w:cs="Times New Roman"/>
                <w:color w:val="000000"/>
                <w:sz w:val="22"/>
                <w:szCs w:val="22"/>
                <w:vertAlign w:val="superscript"/>
              </w:rPr>
              <w:t>nd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5481AE02"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6.85±0.03</w:t>
            </w:r>
          </w:p>
        </w:tc>
        <w:tc>
          <w:tcPr>
            <w:tcW w:w="2028" w:type="dxa"/>
          </w:tcPr>
          <w:p w14:paraId="0DFD57B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8.84</w:t>
            </w:r>
            <w:r w:rsidRPr="005F647B">
              <w:rPr>
                <w:rFonts w:ascii="Times New Roman" w:hAnsi="Times New Roman" w:cs="Times New Roman"/>
                <w:color w:val="000000"/>
                <w:sz w:val="22"/>
                <w:szCs w:val="22"/>
              </w:rPr>
              <w:t>±0.30*</w:t>
            </w:r>
          </w:p>
        </w:tc>
        <w:tc>
          <w:tcPr>
            <w:tcW w:w="1207" w:type="dxa"/>
          </w:tcPr>
          <w:p w14:paraId="4B1A20C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-6.60</w:t>
            </w:r>
          </w:p>
        </w:tc>
        <w:tc>
          <w:tcPr>
            <w:tcW w:w="1548" w:type="dxa"/>
          </w:tcPr>
          <w:p w14:paraId="446764D4"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0.003</w:t>
            </w:r>
          </w:p>
        </w:tc>
      </w:tr>
      <w:tr w:rsidR="009B540A" w:rsidRPr="005F647B" w14:paraId="06F6B494" w14:textId="77777777">
        <w:tc>
          <w:tcPr>
            <w:tcW w:w="1570" w:type="dxa"/>
          </w:tcPr>
          <w:p w14:paraId="40348918"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w:t>
            </w:r>
            <w:r w:rsidRPr="005F647B">
              <w:rPr>
                <w:rFonts w:ascii="Times New Roman" w:hAnsi="Times New Roman" w:cs="Times New Roman"/>
                <w:color w:val="000000"/>
                <w:sz w:val="22"/>
                <w:szCs w:val="22"/>
                <w:vertAlign w:val="superscript"/>
              </w:rPr>
              <w:t>rd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3A7C265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9.11±0.06</w:t>
            </w:r>
          </w:p>
        </w:tc>
        <w:tc>
          <w:tcPr>
            <w:tcW w:w="2028" w:type="dxa"/>
          </w:tcPr>
          <w:p w14:paraId="47D7185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12.3</w:t>
            </w:r>
            <w:r w:rsidRPr="005F647B">
              <w:rPr>
                <w:rFonts w:ascii="Times New Roman" w:hAnsi="Times New Roman" w:cs="Times New Roman"/>
                <w:color w:val="000000"/>
                <w:sz w:val="22"/>
                <w:szCs w:val="22"/>
              </w:rPr>
              <w:t>±0.02*</w:t>
            </w:r>
          </w:p>
        </w:tc>
        <w:tc>
          <w:tcPr>
            <w:tcW w:w="1207" w:type="dxa"/>
          </w:tcPr>
          <w:p w14:paraId="21CE9C4D"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-50.44</w:t>
            </w:r>
          </w:p>
        </w:tc>
        <w:tc>
          <w:tcPr>
            <w:tcW w:w="1548" w:type="dxa"/>
          </w:tcPr>
          <w:p w14:paraId="0E4EFAC3"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&lt;0.001</w:t>
            </w:r>
          </w:p>
        </w:tc>
      </w:tr>
      <w:tr w:rsidR="009B540A" w:rsidRPr="005F647B" w14:paraId="4018DA14" w14:textId="77777777">
        <w:tc>
          <w:tcPr>
            <w:tcW w:w="1570" w:type="dxa"/>
          </w:tcPr>
          <w:p w14:paraId="417A4BE9"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0BBF01B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12.6</w:t>
            </w:r>
            <w:r w:rsidRPr="005F647B">
              <w:rPr>
                <w:rFonts w:ascii="Times New Roman" w:hAnsi="Times New Roman" w:cs="Times New Roman"/>
                <w:color w:val="000000"/>
                <w:sz w:val="22"/>
                <w:szCs w:val="22"/>
              </w:rPr>
              <w:t>±0.01</w:t>
            </w:r>
          </w:p>
        </w:tc>
        <w:tc>
          <w:tcPr>
            <w:tcW w:w="2028" w:type="dxa"/>
          </w:tcPr>
          <w:p w14:paraId="39B080D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15.4</w:t>
            </w:r>
            <w:r w:rsidRPr="005F647B">
              <w:rPr>
                <w:rFonts w:ascii="Times New Roman" w:hAnsi="Times New Roman" w:cs="Times New Roman"/>
                <w:color w:val="000000"/>
                <w:sz w:val="22"/>
                <w:szCs w:val="22"/>
              </w:rPr>
              <w:t>±0.18*</w:t>
            </w:r>
          </w:p>
        </w:tc>
        <w:tc>
          <w:tcPr>
            <w:tcW w:w="1207" w:type="dxa"/>
          </w:tcPr>
          <w:p w14:paraId="434AE7D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-15.53</w:t>
            </w:r>
          </w:p>
        </w:tc>
        <w:tc>
          <w:tcPr>
            <w:tcW w:w="1548" w:type="dxa"/>
          </w:tcPr>
          <w:p w14:paraId="2BADA828"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071A14B4" w14:textId="77777777">
        <w:tc>
          <w:tcPr>
            <w:tcW w:w="1570" w:type="dxa"/>
          </w:tcPr>
          <w:p w14:paraId="1472F90D"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5</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19C91BA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17.71±0.01</w:t>
            </w:r>
          </w:p>
        </w:tc>
        <w:tc>
          <w:tcPr>
            <w:tcW w:w="2028" w:type="dxa"/>
          </w:tcPr>
          <w:p w14:paraId="5336846C"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22.52</w:t>
            </w:r>
            <w:r w:rsidRPr="005F647B">
              <w:rPr>
                <w:rFonts w:ascii="Times New Roman" w:hAnsi="Times New Roman" w:cs="Times New Roman"/>
                <w:color w:val="000000"/>
                <w:sz w:val="22"/>
                <w:szCs w:val="22"/>
              </w:rPr>
              <w:t>±0.10*</w:t>
            </w:r>
          </w:p>
        </w:tc>
        <w:tc>
          <w:tcPr>
            <w:tcW w:w="1207" w:type="dxa"/>
          </w:tcPr>
          <w:p w14:paraId="6D830A42"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-47.86</w:t>
            </w:r>
          </w:p>
        </w:tc>
        <w:tc>
          <w:tcPr>
            <w:tcW w:w="1548" w:type="dxa"/>
          </w:tcPr>
          <w:p w14:paraId="572D7CD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51967219" w14:textId="77777777">
        <w:tc>
          <w:tcPr>
            <w:tcW w:w="1570" w:type="dxa"/>
          </w:tcPr>
          <w:p w14:paraId="0E98E867"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1B1874F0"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23.3±0.03</w:t>
            </w:r>
          </w:p>
        </w:tc>
        <w:tc>
          <w:tcPr>
            <w:tcW w:w="2028" w:type="dxa"/>
          </w:tcPr>
          <w:p w14:paraId="144AD38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27.9±0.10*</w:t>
            </w:r>
          </w:p>
        </w:tc>
        <w:tc>
          <w:tcPr>
            <w:tcW w:w="1207" w:type="dxa"/>
          </w:tcPr>
          <w:p w14:paraId="15A1F90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-44.06</w:t>
            </w:r>
          </w:p>
        </w:tc>
        <w:tc>
          <w:tcPr>
            <w:tcW w:w="1548" w:type="dxa"/>
          </w:tcPr>
          <w:p w14:paraId="01DB353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49D95EF1" w14:textId="77777777">
        <w:tc>
          <w:tcPr>
            <w:tcW w:w="1570" w:type="dxa"/>
          </w:tcPr>
          <w:p w14:paraId="13A41C7A"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19E53450"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52.41±0.05*</w:t>
            </w:r>
          </w:p>
        </w:tc>
        <w:tc>
          <w:tcPr>
            <w:tcW w:w="2028" w:type="dxa"/>
          </w:tcPr>
          <w:p w14:paraId="0914993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44.70±0.18</w:t>
            </w:r>
          </w:p>
        </w:tc>
        <w:tc>
          <w:tcPr>
            <w:tcW w:w="1207" w:type="dxa"/>
          </w:tcPr>
          <w:p w14:paraId="76457BC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41.27</w:t>
            </w:r>
          </w:p>
        </w:tc>
        <w:tc>
          <w:tcPr>
            <w:tcW w:w="1548" w:type="dxa"/>
          </w:tcPr>
          <w:p w14:paraId="62AAB472"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031B11B1" w14:textId="77777777">
        <w:tc>
          <w:tcPr>
            <w:tcW w:w="1570" w:type="dxa"/>
          </w:tcPr>
          <w:p w14:paraId="331C221D"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59556ED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52.30±0.05*</w:t>
            </w:r>
          </w:p>
        </w:tc>
        <w:tc>
          <w:tcPr>
            <w:tcW w:w="2028" w:type="dxa"/>
          </w:tcPr>
          <w:p w14:paraId="3D8A838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51.00±0.17</w:t>
            </w:r>
          </w:p>
        </w:tc>
        <w:tc>
          <w:tcPr>
            <w:tcW w:w="1207" w:type="dxa"/>
          </w:tcPr>
          <w:p w14:paraId="05E3AB55"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7.34</w:t>
            </w:r>
          </w:p>
        </w:tc>
        <w:tc>
          <w:tcPr>
            <w:tcW w:w="1548" w:type="dxa"/>
          </w:tcPr>
          <w:p w14:paraId="0A30899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4D76300A" w14:textId="77777777">
        <w:tc>
          <w:tcPr>
            <w:tcW w:w="1570" w:type="dxa"/>
          </w:tcPr>
          <w:p w14:paraId="408270BE"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12</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672C00C4"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52.10±0.11</w:t>
            </w:r>
          </w:p>
        </w:tc>
        <w:tc>
          <w:tcPr>
            <w:tcW w:w="2028" w:type="dxa"/>
          </w:tcPr>
          <w:p w14:paraId="1E264495"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53.53±0.05*</w:t>
            </w:r>
          </w:p>
        </w:tc>
        <w:tc>
          <w:tcPr>
            <w:tcW w:w="1207" w:type="dxa"/>
          </w:tcPr>
          <w:p w14:paraId="3D21D8C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-11.84</w:t>
            </w:r>
          </w:p>
        </w:tc>
        <w:tc>
          <w:tcPr>
            <w:tcW w:w="1548" w:type="dxa"/>
          </w:tcPr>
          <w:p w14:paraId="568528AC"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47DF2227" w14:textId="77777777">
        <w:tc>
          <w:tcPr>
            <w:tcW w:w="1570" w:type="dxa"/>
          </w:tcPr>
          <w:p w14:paraId="4A1DDC81"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76A117C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57.70±0.06</w:t>
            </w:r>
          </w:p>
        </w:tc>
        <w:tc>
          <w:tcPr>
            <w:tcW w:w="2028" w:type="dxa"/>
          </w:tcPr>
          <w:p w14:paraId="1D1A221C"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69.10±0.36*</w:t>
            </w:r>
          </w:p>
        </w:tc>
        <w:tc>
          <w:tcPr>
            <w:tcW w:w="1207" w:type="dxa"/>
          </w:tcPr>
          <w:p w14:paraId="0E9B468B"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-31.24</w:t>
            </w:r>
          </w:p>
        </w:tc>
        <w:tc>
          <w:tcPr>
            <w:tcW w:w="1548" w:type="dxa"/>
          </w:tcPr>
          <w:p w14:paraId="75EE091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5FE0B421" w14:textId="77777777">
        <w:tc>
          <w:tcPr>
            <w:tcW w:w="1570" w:type="dxa"/>
          </w:tcPr>
          <w:p w14:paraId="562DFC92"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3D3F550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61.10±0.49</w:t>
            </w:r>
          </w:p>
        </w:tc>
        <w:tc>
          <w:tcPr>
            <w:tcW w:w="2028" w:type="dxa"/>
          </w:tcPr>
          <w:p w14:paraId="41AE3EF8"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75.00</w:t>
            </w:r>
            <w:r w:rsidRPr="005F647B">
              <w:rPr>
                <w:rFonts w:ascii="Times New Roman" w:hAnsi="Times New Roman" w:cs="Times New Roman"/>
                <w:color w:val="000000"/>
                <w:sz w:val="22"/>
                <w:szCs w:val="22"/>
              </w:rPr>
              <w:t>±0.33*</w:t>
            </w:r>
          </w:p>
        </w:tc>
        <w:tc>
          <w:tcPr>
            <w:tcW w:w="1207" w:type="dxa"/>
          </w:tcPr>
          <w:p w14:paraId="54B27DD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-23.53</w:t>
            </w:r>
          </w:p>
        </w:tc>
        <w:tc>
          <w:tcPr>
            <w:tcW w:w="1548" w:type="dxa"/>
          </w:tcPr>
          <w:p w14:paraId="5E939C51"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695FA648" w14:textId="77777777">
        <w:tc>
          <w:tcPr>
            <w:tcW w:w="1570" w:type="dxa"/>
          </w:tcPr>
          <w:p w14:paraId="4A6B349F"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0DCEA16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73.50±0.09</w:t>
            </w:r>
          </w:p>
        </w:tc>
        <w:tc>
          <w:tcPr>
            <w:tcW w:w="2028" w:type="dxa"/>
          </w:tcPr>
          <w:p w14:paraId="4B131754"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83.00±0.16*</w:t>
            </w:r>
          </w:p>
        </w:tc>
        <w:tc>
          <w:tcPr>
            <w:tcW w:w="1207" w:type="dxa"/>
          </w:tcPr>
          <w:p w14:paraId="3672D7B8"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-51.75</w:t>
            </w:r>
          </w:p>
        </w:tc>
        <w:tc>
          <w:tcPr>
            <w:tcW w:w="1548" w:type="dxa"/>
          </w:tcPr>
          <w:p w14:paraId="6ECA7E64"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r w:rsidR="009B540A" w:rsidRPr="005F647B" w14:paraId="0421131D" w14:textId="77777777">
        <w:tc>
          <w:tcPr>
            <w:tcW w:w="1570" w:type="dxa"/>
          </w:tcPr>
          <w:p w14:paraId="157AFDFD"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2169" w:type="dxa"/>
          </w:tcPr>
          <w:p w14:paraId="2A6E809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76.00±0.11</w:t>
            </w:r>
          </w:p>
        </w:tc>
        <w:tc>
          <w:tcPr>
            <w:tcW w:w="2028" w:type="dxa"/>
          </w:tcPr>
          <w:p w14:paraId="6C48FF98"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85.8±0.07*</w:t>
            </w:r>
          </w:p>
        </w:tc>
        <w:tc>
          <w:tcPr>
            <w:tcW w:w="1207" w:type="dxa"/>
          </w:tcPr>
          <w:p w14:paraId="47824E06"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-75.16</w:t>
            </w:r>
          </w:p>
        </w:tc>
        <w:tc>
          <w:tcPr>
            <w:tcW w:w="1548" w:type="dxa"/>
          </w:tcPr>
          <w:p w14:paraId="6CF813E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 xml:space="preserve">  &lt;0.001</w:t>
            </w:r>
          </w:p>
        </w:tc>
      </w:tr>
    </w:tbl>
    <w:p w14:paraId="03E6F304" w14:textId="77777777" w:rsidR="009B540A" w:rsidRPr="005F647B" w:rsidRDefault="00000000">
      <w:pPr>
        <w:pStyle w:val="Normal1"/>
        <w:spacing w:after="0" w:line="276" w:lineRule="auto"/>
        <w:jc w:val="both"/>
        <w:rPr>
          <w:rFonts w:ascii="Times New Roman" w:eastAsia="Times New Roman" w:hAnsi="Times New Roman" w:cs="Times New Roman"/>
          <w:b/>
          <w:bCs/>
        </w:rPr>
      </w:pPr>
      <w:r w:rsidRPr="005F647B">
        <w:rPr>
          <w:rFonts w:ascii="Times New Roman" w:eastAsia="Times New Roman" w:hAnsi="Times New Roman" w:cs="Times New Roman"/>
          <w:b/>
          <w:bCs/>
        </w:rPr>
        <w:t>*Indicates significant difference (p&lt;0.05).</w:t>
      </w:r>
    </w:p>
    <w:p w14:paraId="4E058BC3"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Fig. 2 Feed intake (kg) of CARI Debendra and CARI Nirbheek birds from week 1 to 20 weeks of age.</w:t>
      </w:r>
    </w:p>
    <w:p w14:paraId="45CF913B" w14:textId="77777777" w:rsidR="009B540A" w:rsidRPr="005F647B" w:rsidRDefault="009B540A">
      <w:pPr>
        <w:pStyle w:val="NormalWeb"/>
        <w:spacing w:line="360" w:lineRule="auto"/>
        <w:rPr>
          <w:rFonts w:ascii="Times New Roman" w:hAnsi="Times New Roman" w:cs="Times New Roman"/>
          <w:b/>
          <w:bCs/>
          <w:color w:val="000000"/>
          <w:sz w:val="22"/>
          <w:szCs w:val="22"/>
        </w:rPr>
      </w:pPr>
    </w:p>
    <w:p w14:paraId="470352A9" w14:textId="77777777" w:rsidR="009B540A" w:rsidRPr="005F647B" w:rsidRDefault="00000000">
      <w:pPr>
        <w:pStyle w:val="NormalWeb"/>
        <w:spacing w:line="360" w:lineRule="auto"/>
        <w:ind w:firstLineChars="150" w:firstLine="330"/>
        <w:rPr>
          <w:rFonts w:ascii="Times New Roman" w:hAnsi="Times New Roman" w:cs="Times New Roman"/>
          <w:color w:val="000000"/>
          <w:sz w:val="22"/>
          <w:szCs w:val="22"/>
        </w:rPr>
      </w:pPr>
      <w:r w:rsidRPr="005F647B">
        <w:rPr>
          <w:rFonts w:ascii="Times New Roman" w:hAnsi="Times New Roman" w:cs="Times New Roman"/>
          <w:noProof/>
          <w:color w:val="000000"/>
          <w:sz w:val="22"/>
          <w:szCs w:val="22"/>
        </w:rPr>
        <w:drawing>
          <wp:inline distT="0" distB="0" distL="0" distR="0" wp14:anchorId="273482EB" wp14:editId="248F3C9A">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586E925" w14:textId="77777777" w:rsidR="009B540A" w:rsidRPr="005F647B" w:rsidRDefault="009B540A">
      <w:pPr>
        <w:pStyle w:val="NormalWeb"/>
        <w:spacing w:line="360" w:lineRule="auto"/>
        <w:ind w:firstLineChars="150" w:firstLine="330"/>
        <w:rPr>
          <w:rFonts w:ascii="Times New Roman" w:hAnsi="Times New Roman" w:cs="Times New Roman"/>
          <w:color w:val="000000"/>
          <w:sz w:val="22"/>
          <w:szCs w:val="22"/>
        </w:rPr>
      </w:pPr>
    </w:p>
    <w:p w14:paraId="03AB22C9" w14:textId="23CD1FC3" w:rsidR="009B540A" w:rsidRPr="005F647B" w:rsidRDefault="00000000">
      <w:pPr>
        <w:pStyle w:val="NormalWeb"/>
        <w:spacing w:line="360" w:lineRule="auto"/>
        <w:ind w:firstLineChars="200" w:firstLine="480"/>
        <w:jc w:val="both"/>
        <w:rPr>
          <w:rFonts w:ascii="Times New Roman" w:hAnsi="Times New Roman" w:cs="Times New Roman"/>
          <w:color w:val="000000"/>
          <w:sz w:val="22"/>
          <w:szCs w:val="22"/>
        </w:rPr>
      </w:pPr>
      <w:r w:rsidRPr="005F647B">
        <w:lastRenderedPageBreak/>
        <w:t xml:space="preserve">The feed-intake data show a biological contrast with the final body weights. Although CARI Debendra attained a significantly greater body weight by week 20, its recorded feed intake was lower than that of CARI Nirbheek. This pattern is consistent with reports that CARI Debendra has </w:t>
      </w:r>
      <w:proofErr w:type="spellStart"/>
      <w:r w:rsidRPr="005F647B">
        <w:t>favourable</w:t>
      </w:r>
      <w:proofErr w:type="spellEnd"/>
      <w:r w:rsidRPr="005F647B">
        <w:t xml:space="preserve"> feed-efficiency characteristics (Das </w:t>
      </w:r>
      <w:r w:rsidRPr="005F647B">
        <w:rPr>
          <w:i/>
        </w:rPr>
        <w:t>et al.</w:t>
      </w:r>
      <w:r w:rsidRPr="005F647B">
        <w:t>, 2016). The comparatively high feed intake of CARI Nirbheek is also compatible with farm and field observations of this variety (</w:t>
      </w:r>
      <w:proofErr w:type="spellStart"/>
      <w:r w:rsidRPr="005F647B">
        <w:t>Khadda</w:t>
      </w:r>
      <w:proofErr w:type="spellEnd"/>
      <w:r w:rsidRPr="005F647B">
        <w:t xml:space="preserve"> </w:t>
      </w:r>
      <w:r w:rsidRPr="005F647B">
        <w:rPr>
          <w:i/>
        </w:rPr>
        <w:t>et al.</w:t>
      </w:r>
      <w:r w:rsidRPr="005F647B">
        <w:t xml:space="preserve">, 2017; Malik &amp; Singh, 2010). However, Niranjan </w:t>
      </w:r>
      <w:r w:rsidRPr="005F647B">
        <w:rPr>
          <w:i/>
        </w:rPr>
        <w:t>et al.</w:t>
      </w:r>
      <w:r w:rsidRPr="005F647B">
        <w:t xml:space="preserve"> (2008) reported that improved dual-purpose lines may differ substantially in feed intake and growth under intensive management, while Padhi (2016) </w:t>
      </w:r>
      <w:proofErr w:type="spellStart"/>
      <w:r w:rsidRPr="005F647B">
        <w:t>emphasised</w:t>
      </w:r>
      <w:proofErr w:type="spellEnd"/>
      <w:r w:rsidRPr="005F647B">
        <w:t xml:space="preserve"> that performance depends on genotype and production conditions.</w:t>
      </w:r>
    </w:p>
    <w:p w14:paraId="5762338A" w14:textId="77777777" w:rsidR="009B540A" w:rsidRPr="005F647B" w:rsidRDefault="00000000">
      <w:pPr>
        <w:pStyle w:val="NormalWeb"/>
        <w:spacing w:line="360" w:lineRule="auto"/>
        <w:jc w:val="both"/>
        <w:rPr>
          <w:rFonts w:ascii="Times New Roman" w:hAnsi="Times New Roman" w:cs="Times New Roman"/>
          <w:color w:val="000000"/>
          <w:sz w:val="22"/>
          <w:szCs w:val="22"/>
        </w:rPr>
      </w:pPr>
      <w:r w:rsidRPr="005F647B">
        <w:t>Table 3 presents the feed conversion ratios of CARI Debendra and CARI Nirbheek from week 1 to week 20. A lower FCR indicates better feed efficiency. CARI Debendra generally maintained a lower FCR than CARI Nirbheek from week 2 onwards. At week 2, CARI Debendra recorded an FCR of 1.32 ± 0.00, compared with 1.43 ± 0.01 for CARI Nirbheek (p &lt; 0.001). This advantage continued at week 3, with values of 1.12 ± 0.02 and 1.49 ± 0.05, respectively (p = 0.002). At week 4, CARI Debendra had a numerically lower FCR (1.08 ± 0.01) than CARI Nirbheek (1.33 ± 0.12), but the difference was not statistically significant (p = 0.110). Differences at weeks 6 and 8 were also not statistically significant. A significant difference re-emerged at week 10, when CARI Debendra recorded an FCR of 1.25 ± 0.02 compared with 1.46 ± 0.01 for CARI Nirbheek (p &lt; 0.001). At week 12, the corresponding values were 1.14 ± 0.02 and 1.29 ± 0.06, although the difference was not statistically significant (p = 0.061).</w:t>
      </w:r>
    </w:p>
    <w:p w14:paraId="6D6009A6" w14:textId="77777777" w:rsidR="009B540A" w:rsidRPr="005F647B" w:rsidRDefault="009B540A">
      <w:pPr>
        <w:pStyle w:val="NormalWeb"/>
        <w:spacing w:line="360" w:lineRule="auto"/>
        <w:rPr>
          <w:rFonts w:ascii="Times New Roman" w:hAnsi="Times New Roman" w:cs="Times New Roman"/>
          <w:color w:val="000000"/>
          <w:sz w:val="22"/>
          <w:szCs w:val="22"/>
        </w:rPr>
      </w:pPr>
    </w:p>
    <w:p w14:paraId="185F2150"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Table 3 Feed conversion ratio (FCR) of CARI Debendra and CARI Nirbheek birds from week 1 to 20 weeks of age.</w:t>
      </w:r>
    </w:p>
    <w:p w14:paraId="148DC538" w14:textId="77777777" w:rsidR="009B540A" w:rsidRPr="005F647B" w:rsidRDefault="009B540A">
      <w:pPr>
        <w:pStyle w:val="NormalWeb"/>
        <w:spacing w:line="360" w:lineRule="auto"/>
        <w:rPr>
          <w:rFonts w:ascii="Times New Roman" w:hAnsi="Times New Roman" w:cs="Times New Roman"/>
          <w:color w:val="000000"/>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9B540A" w:rsidRPr="005F647B" w14:paraId="74C9BA6B" w14:textId="77777777">
        <w:tc>
          <w:tcPr>
            <w:tcW w:w="1704" w:type="dxa"/>
          </w:tcPr>
          <w:p w14:paraId="1DD3AFF1"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Weeks</w:t>
            </w:r>
          </w:p>
        </w:tc>
        <w:tc>
          <w:tcPr>
            <w:tcW w:w="1704" w:type="dxa"/>
          </w:tcPr>
          <w:p w14:paraId="5D1165AC" w14:textId="77777777" w:rsidR="009B540A" w:rsidRPr="005F647B" w:rsidRDefault="00000000">
            <w:pPr>
              <w:widowControl/>
              <w:ind w:firstLineChars="50" w:firstLine="110"/>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CD</w:t>
            </w:r>
          </w:p>
          <w:p w14:paraId="7F766F5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eastAsia="SimSun" w:hAnsi="Times New Roman" w:cs="Times New Roman"/>
                <w:color w:val="000000"/>
                <w:sz w:val="22"/>
                <w:szCs w:val="22"/>
              </w:rPr>
              <w:t>Mean</w:t>
            </w:r>
            <w:r w:rsidRPr="005F647B">
              <w:rPr>
                <w:rFonts w:ascii="Times New Roman" w:hAnsi="Times New Roman" w:cs="Times New Roman"/>
                <w:color w:val="000000"/>
                <w:sz w:val="22"/>
                <w:szCs w:val="22"/>
              </w:rPr>
              <w:t>±</w:t>
            </w:r>
            <w:r w:rsidRPr="005F647B">
              <w:rPr>
                <w:rFonts w:ascii="Times New Roman" w:eastAsia="SimSun" w:hAnsi="Times New Roman" w:cs="Times New Roman"/>
                <w:color w:val="000000"/>
                <w:sz w:val="22"/>
                <w:szCs w:val="22"/>
              </w:rPr>
              <w:t xml:space="preserve"> SE</w:t>
            </w:r>
          </w:p>
        </w:tc>
        <w:tc>
          <w:tcPr>
            <w:tcW w:w="1704" w:type="dxa"/>
          </w:tcPr>
          <w:p w14:paraId="7D9B5AF6" w14:textId="77777777" w:rsidR="009B540A" w:rsidRPr="005F647B" w:rsidRDefault="00000000">
            <w:pPr>
              <w:widowControl/>
              <w:ind w:firstLineChars="50" w:firstLine="110"/>
              <w:jc w:val="left"/>
              <w:rPr>
                <w:rFonts w:ascii="Times New Roman" w:eastAsia="SimSun" w:hAnsi="Times New Roman" w:cs="Times New Roman"/>
                <w:color w:val="000000"/>
                <w:sz w:val="22"/>
                <w:szCs w:val="22"/>
              </w:rPr>
            </w:pPr>
            <w:r w:rsidRPr="005F647B">
              <w:rPr>
                <w:rFonts w:ascii="Times New Roman" w:eastAsia="SimSun" w:hAnsi="Times New Roman" w:cs="Times New Roman"/>
                <w:color w:val="000000"/>
                <w:sz w:val="22"/>
                <w:szCs w:val="22"/>
              </w:rPr>
              <w:t>CN</w:t>
            </w:r>
          </w:p>
          <w:p w14:paraId="4BFD8C46"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eastAsia="SimSun" w:hAnsi="Times New Roman" w:cs="Times New Roman"/>
                <w:color w:val="000000"/>
                <w:sz w:val="22"/>
                <w:szCs w:val="22"/>
              </w:rPr>
              <w:t>Mean</w:t>
            </w:r>
            <w:r w:rsidRPr="005F647B">
              <w:rPr>
                <w:rFonts w:ascii="Times New Roman" w:hAnsi="Times New Roman" w:cs="Times New Roman"/>
                <w:color w:val="000000"/>
                <w:sz w:val="22"/>
                <w:szCs w:val="22"/>
              </w:rPr>
              <w:t>±</w:t>
            </w:r>
            <w:r w:rsidRPr="005F647B">
              <w:rPr>
                <w:rFonts w:ascii="Times New Roman" w:eastAsia="SimSun" w:hAnsi="Times New Roman" w:cs="Times New Roman"/>
                <w:color w:val="000000"/>
                <w:sz w:val="22"/>
                <w:szCs w:val="22"/>
              </w:rPr>
              <w:t xml:space="preserve"> SE</w:t>
            </w:r>
          </w:p>
        </w:tc>
        <w:tc>
          <w:tcPr>
            <w:tcW w:w="1705" w:type="dxa"/>
          </w:tcPr>
          <w:p w14:paraId="58FB2B7A"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t-value</w:t>
            </w:r>
          </w:p>
        </w:tc>
        <w:tc>
          <w:tcPr>
            <w:tcW w:w="1705" w:type="dxa"/>
          </w:tcPr>
          <w:p w14:paraId="36BFBD30"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p-value</w:t>
            </w:r>
          </w:p>
        </w:tc>
      </w:tr>
      <w:tr w:rsidR="009B540A" w:rsidRPr="005F647B" w14:paraId="22D4300D" w14:textId="77777777">
        <w:tc>
          <w:tcPr>
            <w:tcW w:w="1704" w:type="dxa"/>
          </w:tcPr>
          <w:p w14:paraId="7A018EDB"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w:t>
            </w:r>
            <w:r w:rsidRPr="005F647B">
              <w:rPr>
                <w:rFonts w:ascii="Times New Roman" w:hAnsi="Times New Roman" w:cs="Times New Roman"/>
                <w:color w:val="000000"/>
                <w:sz w:val="22"/>
                <w:szCs w:val="22"/>
                <w:vertAlign w:val="superscript"/>
              </w:rPr>
              <w:t>st</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28D26EA8"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1.39</w:t>
            </w:r>
            <w:r w:rsidRPr="005F647B">
              <w:rPr>
                <w:rFonts w:ascii="Times New Roman" w:hAnsi="Times New Roman" w:cs="Times New Roman"/>
                <w:color w:val="000000"/>
                <w:sz w:val="22"/>
                <w:szCs w:val="22"/>
              </w:rPr>
              <w:t>±0.00*</w:t>
            </w:r>
          </w:p>
        </w:tc>
        <w:tc>
          <w:tcPr>
            <w:tcW w:w="1704" w:type="dxa"/>
          </w:tcPr>
          <w:p w14:paraId="2BEBE9B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1.34</w:t>
            </w:r>
            <w:r w:rsidRPr="005F647B">
              <w:rPr>
                <w:rFonts w:ascii="Times New Roman" w:hAnsi="Times New Roman" w:cs="Times New Roman"/>
                <w:color w:val="000000"/>
                <w:sz w:val="22"/>
                <w:szCs w:val="22"/>
              </w:rPr>
              <w:t>±0.01</w:t>
            </w:r>
          </w:p>
        </w:tc>
        <w:tc>
          <w:tcPr>
            <w:tcW w:w="1705" w:type="dxa"/>
          </w:tcPr>
          <w:p w14:paraId="1470E9CB"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7.00</w:t>
            </w:r>
          </w:p>
        </w:tc>
        <w:tc>
          <w:tcPr>
            <w:tcW w:w="1705" w:type="dxa"/>
          </w:tcPr>
          <w:p w14:paraId="4AC5D6F4"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0.002</w:t>
            </w:r>
          </w:p>
        </w:tc>
      </w:tr>
      <w:tr w:rsidR="009B540A" w:rsidRPr="005F647B" w14:paraId="7CCC25BF" w14:textId="77777777">
        <w:trPr>
          <w:trHeight w:val="305"/>
        </w:trPr>
        <w:tc>
          <w:tcPr>
            <w:tcW w:w="1704" w:type="dxa"/>
          </w:tcPr>
          <w:p w14:paraId="41441B4B"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w:t>
            </w:r>
            <w:r w:rsidRPr="005F647B">
              <w:rPr>
                <w:rFonts w:ascii="Times New Roman" w:hAnsi="Times New Roman" w:cs="Times New Roman"/>
                <w:color w:val="000000"/>
                <w:sz w:val="22"/>
                <w:szCs w:val="22"/>
                <w:vertAlign w:val="superscript"/>
              </w:rPr>
              <w:t>nd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6CD7EB6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1.32</w:t>
            </w:r>
            <w:r w:rsidRPr="005F647B">
              <w:rPr>
                <w:rFonts w:ascii="Times New Roman" w:hAnsi="Times New Roman" w:cs="Times New Roman"/>
                <w:color w:val="000000"/>
                <w:sz w:val="22"/>
                <w:szCs w:val="22"/>
              </w:rPr>
              <w:t>±0.00</w:t>
            </w:r>
          </w:p>
        </w:tc>
        <w:tc>
          <w:tcPr>
            <w:tcW w:w="1704" w:type="dxa"/>
          </w:tcPr>
          <w:p w14:paraId="326EC27C"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1.43</w:t>
            </w:r>
            <w:r w:rsidRPr="005F647B">
              <w:rPr>
                <w:rFonts w:ascii="Times New Roman" w:hAnsi="Times New Roman" w:cs="Times New Roman"/>
                <w:color w:val="000000"/>
                <w:sz w:val="22"/>
                <w:szCs w:val="22"/>
              </w:rPr>
              <w:t>±0.01*</w:t>
            </w:r>
          </w:p>
        </w:tc>
        <w:tc>
          <w:tcPr>
            <w:tcW w:w="1705" w:type="dxa"/>
          </w:tcPr>
          <w:p w14:paraId="5E27D075"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-12.37</w:t>
            </w:r>
          </w:p>
        </w:tc>
        <w:tc>
          <w:tcPr>
            <w:tcW w:w="1705" w:type="dxa"/>
          </w:tcPr>
          <w:p w14:paraId="3875084C"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&lt;0.001</w:t>
            </w:r>
          </w:p>
        </w:tc>
      </w:tr>
      <w:tr w:rsidR="009B540A" w:rsidRPr="005F647B" w14:paraId="2910A39D" w14:textId="77777777">
        <w:tc>
          <w:tcPr>
            <w:tcW w:w="1704" w:type="dxa"/>
          </w:tcPr>
          <w:p w14:paraId="3ED0FDEF"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3</w:t>
            </w:r>
            <w:r w:rsidRPr="005F647B">
              <w:rPr>
                <w:rFonts w:ascii="Times New Roman" w:hAnsi="Times New Roman" w:cs="Times New Roman"/>
                <w:color w:val="000000"/>
                <w:sz w:val="22"/>
                <w:szCs w:val="22"/>
                <w:vertAlign w:val="superscript"/>
              </w:rPr>
              <w:t>rd</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72AA82E0"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1.12</w:t>
            </w:r>
            <w:r w:rsidRPr="005F647B">
              <w:rPr>
                <w:rFonts w:ascii="Times New Roman" w:hAnsi="Times New Roman" w:cs="Times New Roman"/>
                <w:color w:val="000000"/>
                <w:sz w:val="22"/>
                <w:szCs w:val="22"/>
              </w:rPr>
              <w:t>±0.02</w:t>
            </w:r>
          </w:p>
        </w:tc>
        <w:tc>
          <w:tcPr>
            <w:tcW w:w="1704" w:type="dxa"/>
          </w:tcPr>
          <w:p w14:paraId="126BCF6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1.49</w:t>
            </w:r>
            <w:r w:rsidRPr="005F647B">
              <w:rPr>
                <w:rFonts w:ascii="Times New Roman" w:hAnsi="Times New Roman" w:cs="Times New Roman"/>
                <w:color w:val="000000"/>
                <w:sz w:val="22"/>
                <w:szCs w:val="22"/>
              </w:rPr>
              <w:t>±0.05*</w:t>
            </w:r>
          </w:p>
        </w:tc>
        <w:tc>
          <w:tcPr>
            <w:tcW w:w="1705" w:type="dxa"/>
          </w:tcPr>
          <w:p w14:paraId="4D0057FE"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-6.84</w:t>
            </w:r>
          </w:p>
        </w:tc>
        <w:tc>
          <w:tcPr>
            <w:tcW w:w="1705" w:type="dxa"/>
          </w:tcPr>
          <w:p w14:paraId="213C803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0.002</w:t>
            </w:r>
          </w:p>
        </w:tc>
      </w:tr>
      <w:tr w:rsidR="009B540A" w:rsidRPr="005F647B" w14:paraId="6A844032" w14:textId="77777777">
        <w:tc>
          <w:tcPr>
            <w:tcW w:w="1704" w:type="dxa"/>
          </w:tcPr>
          <w:p w14:paraId="7E6196BF"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00E11FFE"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1.08</w:t>
            </w:r>
            <w:r w:rsidRPr="005F647B">
              <w:rPr>
                <w:rFonts w:ascii="Times New Roman" w:hAnsi="Times New Roman" w:cs="Times New Roman"/>
                <w:color w:val="000000"/>
                <w:sz w:val="22"/>
                <w:szCs w:val="22"/>
              </w:rPr>
              <w:t>±0.01</w:t>
            </w:r>
          </w:p>
        </w:tc>
        <w:tc>
          <w:tcPr>
            <w:tcW w:w="1704" w:type="dxa"/>
          </w:tcPr>
          <w:p w14:paraId="5794F776"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1.33</w:t>
            </w:r>
            <w:r w:rsidRPr="005F647B">
              <w:rPr>
                <w:rFonts w:ascii="Times New Roman" w:hAnsi="Times New Roman" w:cs="Times New Roman"/>
                <w:color w:val="000000"/>
                <w:sz w:val="22"/>
                <w:szCs w:val="22"/>
              </w:rPr>
              <w:t>±0.12*</w:t>
            </w:r>
          </w:p>
        </w:tc>
        <w:tc>
          <w:tcPr>
            <w:tcW w:w="1705" w:type="dxa"/>
          </w:tcPr>
          <w:p w14:paraId="08E65FC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-2.06</w:t>
            </w:r>
          </w:p>
        </w:tc>
        <w:tc>
          <w:tcPr>
            <w:tcW w:w="1705" w:type="dxa"/>
          </w:tcPr>
          <w:p w14:paraId="08F64365"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0.11</w:t>
            </w:r>
          </w:p>
        </w:tc>
      </w:tr>
      <w:tr w:rsidR="009B540A" w:rsidRPr="005F647B" w14:paraId="56619507" w14:textId="77777777">
        <w:tc>
          <w:tcPr>
            <w:tcW w:w="1704" w:type="dxa"/>
          </w:tcPr>
          <w:p w14:paraId="6E9FBB71"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5</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00E6D2DE"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1.21</w:t>
            </w:r>
            <w:r w:rsidRPr="005F647B">
              <w:rPr>
                <w:rFonts w:ascii="Times New Roman" w:hAnsi="Times New Roman" w:cs="Times New Roman"/>
                <w:color w:val="000000"/>
                <w:sz w:val="22"/>
                <w:szCs w:val="22"/>
              </w:rPr>
              <w:t>±0.01</w:t>
            </w:r>
          </w:p>
        </w:tc>
        <w:tc>
          <w:tcPr>
            <w:tcW w:w="1704" w:type="dxa"/>
          </w:tcPr>
          <w:p w14:paraId="32344905"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1.32</w:t>
            </w:r>
            <w:r w:rsidRPr="005F647B">
              <w:rPr>
                <w:rFonts w:ascii="Times New Roman" w:hAnsi="Times New Roman" w:cs="Times New Roman"/>
                <w:color w:val="000000"/>
                <w:sz w:val="22"/>
                <w:szCs w:val="22"/>
              </w:rPr>
              <w:t>±0.12*</w:t>
            </w:r>
          </w:p>
        </w:tc>
        <w:tc>
          <w:tcPr>
            <w:tcW w:w="1705" w:type="dxa"/>
          </w:tcPr>
          <w:p w14:paraId="1AE20B67"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-6.74</w:t>
            </w:r>
          </w:p>
        </w:tc>
        <w:tc>
          <w:tcPr>
            <w:tcW w:w="1705" w:type="dxa"/>
          </w:tcPr>
          <w:p w14:paraId="6CDC3170"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0.003</w:t>
            </w:r>
          </w:p>
        </w:tc>
      </w:tr>
      <w:tr w:rsidR="009B540A" w:rsidRPr="005F647B" w14:paraId="115C6B44" w14:textId="77777777">
        <w:trPr>
          <w:trHeight w:val="368"/>
        </w:trPr>
        <w:tc>
          <w:tcPr>
            <w:tcW w:w="1704" w:type="dxa"/>
          </w:tcPr>
          <w:p w14:paraId="789F0F06"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lastRenderedPageBreak/>
              <w:t>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09103F16"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1.33</w:t>
            </w:r>
            <w:r w:rsidRPr="005F647B">
              <w:rPr>
                <w:rFonts w:ascii="Times New Roman" w:hAnsi="Times New Roman" w:cs="Times New Roman"/>
                <w:color w:val="000000"/>
                <w:sz w:val="22"/>
                <w:szCs w:val="22"/>
              </w:rPr>
              <w:t>±0.01</w:t>
            </w:r>
          </w:p>
        </w:tc>
        <w:tc>
          <w:tcPr>
            <w:tcW w:w="1704" w:type="dxa"/>
          </w:tcPr>
          <w:p w14:paraId="4F50E3AB"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1.34</w:t>
            </w:r>
            <w:r w:rsidRPr="005F647B">
              <w:rPr>
                <w:rFonts w:ascii="Times New Roman" w:hAnsi="Times New Roman" w:cs="Times New Roman"/>
                <w:color w:val="000000"/>
                <w:sz w:val="22"/>
                <w:szCs w:val="22"/>
              </w:rPr>
              <w:t>±0.03</w:t>
            </w:r>
          </w:p>
        </w:tc>
        <w:tc>
          <w:tcPr>
            <w:tcW w:w="1705" w:type="dxa"/>
          </w:tcPr>
          <w:p w14:paraId="6D3AE532"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-0.203</w:t>
            </w:r>
          </w:p>
        </w:tc>
        <w:tc>
          <w:tcPr>
            <w:tcW w:w="1705" w:type="dxa"/>
          </w:tcPr>
          <w:p w14:paraId="07779359"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0.849</w:t>
            </w:r>
          </w:p>
        </w:tc>
      </w:tr>
      <w:tr w:rsidR="009B540A" w:rsidRPr="005F647B" w14:paraId="750DB107" w14:textId="77777777">
        <w:trPr>
          <w:trHeight w:val="332"/>
        </w:trPr>
        <w:tc>
          <w:tcPr>
            <w:tcW w:w="1704" w:type="dxa"/>
          </w:tcPr>
          <w:p w14:paraId="218BD071"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0BC8567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1.59±0.02</w:t>
            </w:r>
          </w:p>
        </w:tc>
        <w:tc>
          <w:tcPr>
            <w:tcW w:w="1704" w:type="dxa"/>
          </w:tcPr>
          <w:p w14:paraId="1FAAF8A4"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1.66±0.11</w:t>
            </w:r>
          </w:p>
        </w:tc>
        <w:tc>
          <w:tcPr>
            <w:tcW w:w="1705" w:type="dxa"/>
          </w:tcPr>
          <w:p w14:paraId="7D116F6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-2.35</w:t>
            </w:r>
          </w:p>
        </w:tc>
        <w:tc>
          <w:tcPr>
            <w:tcW w:w="1705" w:type="dxa"/>
          </w:tcPr>
          <w:p w14:paraId="20EB119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0.079</w:t>
            </w:r>
          </w:p>
        </w:tc>
      </w:tr>
      <w:tr w:rsidR="009B540A" w:rsidRPr="005F647B" w14:paraId="4866BAE5" w14:textId="77777777">
        <w:tc>
          <w:tcPr>
            <w:tcW w:w="1704" w:type="dxa"/>
          </w:tcPr>
          <w:p w14:paraId="294D5314"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1678F1B9"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color w:val="000000"/>
                <w:sz w:val="22"/>
                <w:szCs w:val="22"/>
              </w:rPr>
              <w:t>1.25±0.02</w:t>
            </w:r>
          </w:p>
        </w:tc>
        <w:tc>
          <w:tcPr>
            <w:tcW w:w="1704" w:type="dxa"/>
          </w:tcPr>
          <w:p w14:paraId="38DDF65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1.46±0.01*</w:t>
            </w:r>
          </w:p>
        </w:tc>
        <w:tc>
          <w:tcPr>
            <w:tcW w:w="1705" w:type="dxa"/>
          </w:tcPr>
          <w:p w14:paraId="363F261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-9.80</w:t>
            </w:r>
          </w:p>
        </w:tc>
        <w:tc>
          <w:tcPr>
            <w:tcW w:w="1705" w:type="dxa"/>
          </w:tcPr>
          <w:p w14:paraId="2FA42D3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&lt;0.001</w:t>
            </w:r>
          </w:p>
        </w:tc>
      </w:tr>
      <w:tr w:rsidR="009B540A" w:rsidRPr="005F647B" w14:paraId="65E335BB" w14:textId="77777777">
        <w:tc>
          <w:tcPr>
            <w:tcW w:w="1704" w:type="dxa"/>
          </w:tcPr>
          <w:p w14:paraId="281CB3F7"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12</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7030DD3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color w:val="000000"/>
                <w:sz w:val="22"/>
                <w:szCs w:val="22"/>
              </w:rPr>
              <w:t>1.14±0.02</w:t>
            </w:r>
          </w:p>
        </w:tc>
        <w:tc>
          <w:tcPr>
            <w:tcW w:w="1704" w:type="dxa"/>
          </w:tcPr>
          <w:p w14:paraId="1DA3D363"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1.29</w:t>
            </w:r>
            <w:r w:rsidRPr="005F647B">
              <w:rPr>
                <w:rFonts w:ascii="Times New Roman" w:hAnsi="Times New Roman" w:cs="Times New Roman"/>
                <w:color w:val="000000"/>
                <w:sz w:val="22"/>
                <w:szCs w:val="22"/>
              </w:rPr>
              <w:t>±0.06</w:t>
            </w:r>
          </w:p>
        </w:tc>
        <w:tc>
          <w:tcPr>
            <w:tcW w:w="1705" w:type="dxa"/>
          </w:tcPr>
          <w:p w14:paraId="30F1443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-2.59</w:t>
            </w:r>
          </w:p>
        </w:tc>
        <w:tc>
          <w:tcPr>
            <w:tcW w:w="1705" w:type="dxa"/>
          </w:tcPr>
          <w:p w14:paraId="32D30E95"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0.061</w:t>
            </w:r>
          </w:p>
        </w:tc>
      </w:tr>
      <w:tr w:rsidR="009B540A" w:rsidRPr="005F647B" w14:paraId="5CAF8E1E" w14:textId="77777777">
        <w:tc>
          <w:tcPr>
            <w:tcW w:w="1704" w:type="dxa"/>
          </w:tcPr>
          <w:p w14:paraId="58912B56"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14</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54386B5E"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1.13</w:t>
            </w:r>
            <w:r w:rsidRPr="005F647B">
              <w:rPr>
                <w:rFonts w:ascii="Times New Roman" w:hAnsi="Times New Roman" w:cs="Times New Roman"/>
                <w:color w:val="000000"/>
                <w:sz w:val="22"/>
                <w:szCs w:val="22"/>
              </w:rPr>
              <w:t>±0.03</w:t>
            </w:r>
          </w:p>
        </w:tc>
        <w:tc>
          <w:tcPr>
            <w:tcW w:w="1704" w:type="dxa"/>
          </w:tcPr>
          <w:p w14:paraId="137BC8EC"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1.34</w:t>
            </w:r>
            <w:r w:rsidRPr="005F647B">
              <w:rPr>
                <w:rFonts w:ascii="Times New Roman" w:hAnsi="Times New Roman" w:cs="Times New Roman"/>
                <w:color w:val="000000"/>
                <w:sz w:val="22"/>
                <w:szCs w:val="22"/>
              </w:rPr>
              <w:t>±0.02*</w:t>
            </w:r>
          </w:p>
        </w:tc>
        <w:tc>
          <w:tcPr>
            <w:tcW w:w="1705" w:type="dxa"/>
          </w:tcPr>
          <w:p w14:paraId="0ED7BC10"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-6.67</w:t>
            </w:r>
          </w:p>
        </w:tc>
        <w:tc>
          <w:tcPr>
            <w:tcW w:w="1705" w:type="dxa"/>
          </w:tcPr>
          <w:p w14:paraId="0556596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0.003</w:t>
            </w:r>
          </w:p>
        </w:tc>
      </w:tr>
      <w:tr w:rsidR="009B540A" w:rsidRPr="005F647B" w14:paraId="538BEBDA" w14:textId="77777777">
        <w:tc>
          <w:tcPr>
            <w:tcW w:w="1704" w:type="dxa"/>
          </w:tcPr>
          <w:p w14:paraId="55EBF15C"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16</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579735CE"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1.04</w:t>
            </w:r>
            <w:r w:rsidRPr="005F647B">
              <w:rPr>
                <w:rFonts w:ascii="Times New Roman" w:hAnsi="Times New Roman" w:cs="Times New Roman"/>
                <w:color w:val="000000"/>
                <w:sz w:val="22"/>
                <w:szCs w:val="22"/>
              </w:rPr>
              <w:t>±0.01</w:t>
            </w:r>
          </w:p>
        </w:tc>
        <w:tc>
          <w:tcPr>
            <w:tcW w:w="1704" w:type="dxa"/>
          </w:tcPr>
          <w:p w14:paraId="5EF80271"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1.33</w:t>
            </w:r>
            <w:r w:rsidRPr="005F647B">
              <w:rPr>
                <w:rFonts w:ascii="Times New Roman" w:hAnsi="Times New Roman" w:cs="Times New Roman"/>
                <w:color w:val="000000"/>
                <w:sz w:val="22"/>
                <w:szCs w:val="22"/>
              </w:rPr>
              <w:t>±0.05*</w:t>
            </w:r>
          </w:p>
        </w:tc>
        <w:tc>
          <w:tcPr>
            <w:tcW w:w="1705" w:type="dxa"/>
          </w:tcPr>
          <w:p w14:paraId="6B828463"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-5.65</w:t>
            </w:r>
          </w:p>
        </w:tc>
        <w:tc>
          <w:tcPr>
            <w:tcW w:w="1705" w:type="dxa"/>
          </w:tcPr>
          <w:p w14:paraId="091DB3E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&lt;0.001</w:t>
            </w:r>
          </w:p>
        </w:tc>
      </w:tr>
      <w:tr w:rsidR="009B540A" w:rsidRPr="005F647B" w14:paraId="243EEA15" w14:textId="77777777">
        <w:tc>
          <w:tcPr>
            <w:tcW w:w="1704" w:type="dxa"/>
          </w:tcPr>
          <w:p w14:paraId="39E3EDDA"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18</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78288DFF"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1.09</w:t>
            </w:r>
            <w:r w:rsidRPr="005F647B">
              <w:rPr>
                <w:rFonts w:ascii="Times New Roman" w:hAnsi="Times New Roman" w:cs="Times New Roman"/>
                <w:color w:val="000000"/>
                <w:sz w:val="22"/>
                <w:szCs w:val="22"/>
              </w:rPr>
              <w:t>±0.01</w:t>
            </w:r>
          </w:p>
        </w:tc>
        <w:tc>
          <w:tcPr>
            <w:tcW w:w="1704" w:type="dxa"/>
          </w:tcPr>
          <w:p w14:paraId="46DC6C9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1.31</w:t>
            </w:r>
            <w:r w:rsidRPr="005F647B">
              <w:rPr>
                <w:rFonts w:ascii="Times New Roman" w:hAnsi="Times New Roman" w:cs="Times New Roman"/>
                <w:color w:val="000000"/>
                <w:sz w:val="22"/>
                <w:szCs w:val="22"/>
              </w:rPr>
              <w:t>±0.04*</w:t>
            </w:r>
          </w:p>
        </w:tc>
        <w:tc>
          <w:tcPr>
            <w:tcW w:w="1705" w:type="dxa"/>
          </w:tcPr>
          <w:p w14:paraId="113FC257"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-5.14</w:t>
            </w:r>
          </w:p>
        </w:tc>
        <w:tc>
          <w:tcPr>
            <w:tcW w:w="1705" w:type="dxa"/>
          </w:tcPr>
          <w:p w14:paraId="560F4E62"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0.007</w:t>
            </w:r>
          </w:p>
        </w:tc>
      </w:tr>
      <w:tr w:rsidR="009B540A" w:rsidRPr="005F647B" w14:paraId="32BD2029" w14:textId="77777777">
        <w:tc>
          <w:tcPr>
            <w:tcW w:w="1704" w:type="dxa"/>
          </w:tcPr>
          <w:p w14:paraId="1CA6F15C" w14:textId="77777777" w:rsidR="009B540A" w:rsidRPr="005F647B" w:rsidRDefault="00000000">
            <w:pPr>
              <w:pStyle w:val="NormalWeb"/>
              <w:widowControl/>
              <w:spacing w:line="360" w:lineRule="auto"/>
              <w:rPr>
                <w:rFonts w:ascii="Times New Roman" w:hAnsi="Times New Roman" w:cs="Times New Roman"/>
                <w:color w:val="000000"/>
                <w:sz w:val="22"/>
                <w:szCs w:val="22"/>
              </w:rPr>
            </w:pPr>
            <w:r w:rsidRPr="005F647B">
              <w:rPr>
                <w:rFonts w:ascii="Times New Roman" w:hAnsi="Times New Roman" w:cs="Times New Roman"/>
                <w:color w:val="000000"/>
                <w:sz w:val="22"/>
                <w:szCs w:val="22"/>
              </w:rPr>
              <w:t>20</w:t>
            </w:r>
            <w:r w:rsidRPr="005F647B">
              <w:rPr>
                <w:rFonts w:ascii="Times New Roman" w:hAnsi="Times New Roman" w:cs="Times New Roman"/>
                <w:color w:val="000000"/>
                <w:sz w:val="22"/>
                <w:szCs w:val="22"/>
                <w:vertAlign w:val="superscript"/>
              </w:rPr>
              <w:t>th</w:t>
            </w:r>
            <w:r w:rsidRPr="005F647B">
              <w:rPr>
                <w:rFonts w:ascii="Times New Roman" w:hAnsi="Times New Roman" w:cs="Times New Roman"/>
                <w:color w:val="000000"/>
                <w:sz w:val="22"/>
                <w:szCs w:val="22"/>
              </w:rPr>
              <w:t xml:space="preserve"> </w:t>
            </w:r>
            <w:proofErr w:type="spellStart"/>
            <w:r w:rsidRPr="005F647B">
              <w:rPr>
                <w:rFonts w:ascii="Times New Roman" w:hAnsi="Times New Roman" w:cs="Times New Roman"/>
                <w:color w:val="000000"/>
                <w:sz w:val="22"/>
                <w:szCs w:val="22"/>
              </w:rPr>
              <w:t>wk</w:t>
            </w:r>
            <w:proofErr w:type="spellEnd"/>
          </w:p>
        </w:tc>
        <w:tc>
          <w:tcPr>
            <w:tcW w:w="1704" w:type="dxa"/>
          </w:tcPr>
          <w:p w14:paraId="4B862612"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1.09</w:t>
            </w:r>
            <w:r w:rsidRPr="005F647B">
              <w:rPr>
                <w:rFonts w:ascii="Times New Roman" w:hAnsi="Times New Roman" w:cs="Times New Roman"/>
                <w:color w:val="000000"/>
                <w:sz w:val="22"/>
                <w:szCs w:val="22"/>
              </w:rPr>
              <w:t>±0.02</w:t>
            </w:r>
          </w:p>
        </w:tc>
        <w:tc>
          <w:tcPr>
            <w:tcW w:w="1704" w:type="dxa"/>
          </w:tcPr>
          <w:p w14:paraId="746F5D9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1.16</w:t>
            </w:r>
            <w:r w:rsidRPr="005F647B">
              <w:rPr>
                <w:rFonts w:ascii="Times New Roman" w:hAnsi="Times New Roman" w:cs="Times New Roman"/>
                <w:color w:val="000000"/>
                <w:sz w:val="22"/>
                <w:szCs w:val="22"/>
              </w:rPr>
              <w:t>±0.04</w:t>
            </w:r>
          </w:p>
        </w:tc>
        <w:tc>
          <w:tcPr>
            <w:tcW w:w="1705" w:type="dxa"/>
          </w:tcPr>
          <w:p w14:paraId="6F66A759" w14:textId="77777777" w:rsidR="009B540A" w:rsidRPr="005F647B" w:rsidRDefault="00000000">
            <w:pPr>
              <w:rPr>
                <w:rFonts w:ascii="Times New Roman" w:hAnsi="Times New Roman" w:cs="Times New Roman"/>
                <w:sz w:val="22"/>
                <w:szCs w:val="22"/>
              </w:rPr>
            </w:pPr>
            <w:r w:rsidRPr="005F647B">
              <w:rPr>
                <w:rFonts w:ascii="Times New Roman" w:hAnsi="Times New Roman" w:cs="Times New Roman"/>
                <w:sz w:val="22"/>
                <w:szCs w:val="22"/>
              </w:rPr>
              <w:t>-1.72</w:t>
            </w:r>
          </w:p>
        </w:tc>
        <w:tc>
          <w:tcPr>
            <w:tcW w:w="1705" w:type="dxa"/>
          </w:tcPr>
          <w:p w14:paraId="502EE968"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0.161</w:t>
            </w:r>
          </w:p>
        </w:tc>
      </w:tr>
    </w:tbl>
    <w:p w14:paraId="1C879585"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eastAsia="Times New Roman" w:hAnsi="Times New Roman" w:cs="Times New Roman"/>
          <w:b/>
          <w:bCs/>
          <w:sz w:val="22"/>
          <w:szCs w:val="22"/>
        </w:rPr>
        <w:t>*Indicates significant difference (p&lt;0.05)</w:t>
      </w:r>
    </w:p>
    <w:p w14:paraId="187FD3E1"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 xml:space="preserve">Fig. 3 Feed conversion ratio (FCR) of CARI Debendra and CARI Nirbheek birds from </w:t>
      </w:r>
    </w:p>
    <w:p w14:paraId="7AF019EE" w14:textId="77777777" w:rsidR="009B540A" w:rsidRPr="005F647B" w:rsidRDefault="00000000">
      <w:pPr>
        <w:pStyle w:val="NormalWeb"/>
        <w:spacing w:line="360" w:lineRule="auto"/>
        <w:rPr>
          <w:rFonts w:ascii="Times New Roman" w:hAnsi="Times New Roman" w:cs="Times New Roman"/>
          <w:b/>
          <w:bCs/>
          <w:color w:val="000000"/>
          <w:sz w:val="22"/>
          <w:szCs w:val="22"/>
        </w:rPr>
      </w:pPr>
      <w:r w:rsidRPr="005F647B">
        <w:rPr>
          <w:rFonts w:ascii="Times New Roman" w:hAnsi="Times New Roman" w:cs="Times New Roman"/>
          <w:b/>
          <w:bCs/>
          <w:color w:val="000000"/>
          <w:sz w:val="22"/>
          <w:szCs w:val="22"/>
        </w:rPr>
        <w:t>week 1 to 20 weeks of age.</w:t>
      </w:r>
    </w:p>
    <w:p w14:paraId="681FAC54" w14:textId="77777777" w:rsidR="009B540A" w:rsidRPr="005F647B" w:rsidRDefault="009B540A">
      <w:pPr>
        <w:pStyle w:val="NormalWeb"/>
        <w:spacing w:line="360" w:lineRule="auto"/>
        <w:rPr>
          <w:rFonts w:ascii="Times New Roman" w:hAnsi="Times New Roman" w:cs="Times New Roman"/>
          <w:color w:val="000000"/>
          <w:sz w:val="22"/>
          <w:szCs w:val="22"/>
        </w:rPr>
      </w:pPr>
    </w:p>
    <w:p w14:paraId="22230FDF" w14:textId="77777777" w:rsidR="009B540A" w:rsidRPr="005F647B" w:rsidRDefault="00000000">
      <w:pPr>
        <w:pStyle w:val="NormalWeb"/>
        <w:spacing w:line="360" w:lineRule="auto"/>
        <w:rPr>
          <w:rFonts w:ascii="Times New Roman" w:hAnsi="Times New Roman" w:cs="Times New Roman"/>
          <w:color w:val="000000"/>
          <w:sz w:val="22"/>
          <w:szCs w:val="22"/>
        </w:rPr>
      </w:pPr>
      <w:r w:rsidRPr="005F647B">
        <w:rPr>
          <w:rFonts w:ascii="Times New Roman" w:hAnsi="Times New Roman" w:cs="Times New Roman"/>
          <w:noProof/>
          <w:sz w:val="22"/>
          <w:szCs w:val="22"/>
          <w:lang w:eastAsia="en-US" w:bidi="hi-IN"/>
        </w:rPr>
        <w:drawing>
          <wp:inline distT="0" distB="0" distL="114300" distR="114300" wp14:anchorId="2614A182" wp14:editId="0084CF99">
            <wp:extent cx="4800600" cy="2851150"/>
            <wp:effectExtent l="6350" t="6350" r="19050" b="1270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24B36E" w14:textId="77777777" w:rsidR="009B540A" w:rsidRPr="005F647B" w:rsidRDefault="009B540A">
      <w:pPr>
        <w:pStyle w:val="NormalWeb"/>
        <w:spacing w:line="360" w:lineRule="auto"/>
        <w:rPr>
          <w:rFonts w:ascii="Times New Roman" w:hAnsi="Times New Roman" w:cs="Times New Roman"/>
          <w:color w:val="000000"/>
          <w:sz w:val="22"/>
          <w:szCs w:val="22"/>
        </w:rPr>
      </w:pPr>
    </w:p>
    <w:p w14:paraId="39045F80" w14:textId="0F484978" w:rsidR="009B540A" w:rsidRPr="005F647B" w:rsidRDefault="00000000">
      <w:pPr>
        <w:pStyle w:val="NormalWeb"/>
        <w:spacing w:line="360" w:lineRule="auto"/>
        <w:ind w:firstLineChars="200" w:firstLine="480"/>
        <w:jc w:val="both"/>
        <w:rPr>
          <w:rFonts w:ascii="Times New Roman" w:hAnsi="Times New Roman" w:cs="Times New Roman"/>
          <w:color w:val="000000"/>
          <w:sz w:val="22"/>
          <w:szCs w:val="22"/>
        </w:rPr>
      </w:pPr>
      <w:r w:rsidRPr="005F647B">
        <w:t xml:space="preserve">During the later stages of the study, CARI Debendra generally maintained better feed efficiency. Its FCR was significantly lower at week 14 (1.13 ± 0.03 versus 1.34 ± 0.02; p = 0.003), week 16 (1.04 ± 0.01 versus 1.33 ± 0.05; p &lt; 0.001), and week 18 (1.09 ± 0.01 versus 1.31 ± 0.04; p = 0.007). At week 20, CARI Debendra recorded an FCR of 1.09 ± 0.02, compared with 1.16 ± 0.04 for CARI Nirbheek, but the difference was not statistically significant (p = 0.161). The </w:t>
      </w:r>
      <w:proofErr w:type="spellStart"/>
      <w:r w:rsidRPr="005F647B">
        <w:t>favourable</w:t>
      </w:r>
      <w:proofErr w:type="spellEnd"/>
      <w:r w:rsidRPr="005F647B">
        <w:t xml:space="preserve"> FCR profile of CARI Debendra is consistent with the findings of Das </w:t>
      </w:r>
      <w:r w:rsidRPr="005F647B">
        <w:rPr>
          <w:i/>
        </w:rPr>
        <w:t>et al.</w:t>
      </w:r>
      <w:r w:rsidRPr="005F647B">
        <w:t xml:space="preserve"> (2016), who assessed feed-efficiency characteristics in this crossbred variety. Padhi (2016) also noted that improved crosses may outperform indigenous lines in production traits, whereas indigenous-derived lines are valued for adaptation to low-input environments (Pym, </w:t>
      </w:r>
      <w:r w:rsidRPr="005F647B">
        <w:lastRenderedPageBreak/>
        <w:t xml:space="preserve">2013). Nevertheless, environmental conditions and production systems can influence FCR independently of genotype (Riaz </w:t>
      </w:r>
      <w:r w:rsidRPr="005F647B">
        <w:rPr>
          <w:i/>
        </w:rPr>
        <w:t>et al.</w:t>
      </w:r>
      <w:r w:rsidRPr="005F647B">
        <w:t>, 2024).</w:t>
      </w:r>
    </w:p>
    <w:p w14:paraId="77D0717C" w14:textId="77777777" w:rsidR="009B540A" w:rsidRPr="005F647B" w:rsidRDefault="00000000">
      <w:pPr>
        <w:pStyle w:val="NormalWeb"/>
        <w:spacing w:line="360" w:lineRule="auto"/>
        <w:ind w:firstLineChars="200" w:firstLine="480"/>
        <w:jc w:val="both"/>
        <w:rPr>
          <w:rFonts w:ascii="Times New Roman" w:hAnsi="Times New Roman" w:cs="Times New Roman"/>
          <w:sz w:val="22"/>
          <w:szCs w:val="22"/>
        </w:rPr>
      </w:pPr>
      <w:r w:rsidRPr="005F647B">
        <w:t xml:space="preserve">The mortality rates recorded during the different growth phases of CARI Debendra (CD) and CARI Nirbheek (CN) are </w:t>
      </w:r>
      <w:proofErr w:type="spellStart"/>
      <w:r w:rsidRPr="005F647B">
        <w:t>summarised</w:t>
      </w:r>
      <w:proofErr w:type="spellEnd"/>
      <w:r w:rsidRPr="005F647B">
        <w:t xml:space="preserve"> in Table 4. The evaluation covered the period from hatching to 20 weeks of age. During the early brooding phase (0–5 weeks), CD and CN recorded identical mean mortality rates of 21.33 ± 0.67% and 21.33 ± 3.71%, respectively (p &gt; 0.05). However, mortality in CN showed greater variation, as indicated by its larger standard error. During the grower phase (6–20 weeks), mortality declined markedly in both varieties. CARI Debendra recorded a mortality rate of 3.40 ± 0.87%, whereas CARI Nirbheek recorded 1.65 ± 0.83%; the difference was not statistically significant (p &gt; 0.05).</w:t>
      </w:r>
    </w:p>
    <w:p w14:paraId="129EA6E6" w14:textId="77777777" w:rsidR="009B540A" w:rsidRPr="005F647B" w:rsidRDefault="009B540A">
      <w:pPr>
        <w:pStyle w:val="NormalWeb"/>
        <w:spacing w:line="360" w:lineRule="auto"/>
        <w:ind w:firstLineChars="200" w:firstLine="440"/>
        <w:rPr>
          <w:rFonts w:ascii="Times New Roman" w:hAnsi="Times New Roman" w:cs="Times New Roman"/>
          <w:sz w:val="22"/>
          <w:szCs w:val="22"/>
        </w:rPr>
      </w:pPr>
    </w:p>
    <w:p w14:paraId="6B757AFA" w14:textId="77777777" w:rsidR="009B540A" w:rsidRPr="005F647B" w:rsidRDefault="00000000">
      <w:pPr>
        <w:pStyle w:val="NormalWeb"/>
        <w:spacing w:line="360" w:lineRule="auto"/>
        <w:rPr>
          <w:rFonts w:ascii="Times New Roman" w:hAnsi="Times New Roman" w:cs="Times New Roman"/>
          <w:b/>
          <w:bCs/>
          <w:sz w:val="22"/>
          <w:szCs w:val="22"/>
        </w:rPr>
      </w:pPr>
      <w:r w:rsidRPr="005F647B">
        <w:rPr>
          <w:rFonts w:ascii="Times New Roman" w:hAnsi="Times New Roman" w:cs="Times New Roman"/>
          <w:b/>
          <w:bCs/>
          <w:sz w:val="22"/>
          <w:szCs w:val="22"/>
        </w:rPr>
        <w:t>Table 4. Mortality rates of CARI Debendra (CD) and CARI Nirbheek (CN) from 0-20 weeks of age.</w:t>
      </w:r>
    </w:p>
    <w:p w14:paraId="14FBB638" w14:textId="77777777" w:rsidR="009B540A" w:rsidRPr="005F647B" w:rsidRDefault="009B540A">
      <w:pPr>
        <w:pStyle w:val="NormalWeb"/>
        <w:spacing w:line="36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9B540A" w:rsidRPr="005F647B" w14:paraId="4C01F1F1" w14:textId="77777777">
        <w:tc>
          <w:tcPr>
            <w:tcW w:w="1704" w:type="dxa"/>
          </w:tcPr>
          <w:p w14:paraId="178A3D51"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Weeks</w:t>
            </w:r>
          </w:p>
        </w:tc>
        <w:tc>
          <w:tcPr>
            <w:tcW w:w="1704" w:type="dxa"/>
          </w:tcPr>
          <w:p w14:paraId="2D5EFE08"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CD</w:t>
            </w:r>
          </w:p>
          <w:p w14:paraId="304435D3"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Mean</w:t>
            </w:r>
            <w:r w:rsidRPr="005F647B">
              <w:rPr>
                <w:rFonts w:ascii="Times New Roman" w:hAnsi="Times New Roman" w:cs="Times New Roman"/>
                <w:sz w:val="22"/>
                <w:szCs w:val="22"/>
              </w:rPr>
              <w:t>±</w:t>
            </w:r>
            <w:r w:rsidRPr="005F647B">
              <w:rPr>
                <w:rFonts w:ascii="Times New Roman" w:eastAsia="SimSun" w:hAnsi="Times New Roman" w:cs="Times New Roman"/>
                <w:sz w:val="22"/>
                <w:szCs w:val="22"/>
              </w:rPr>
              <w:t xml:space="preserve"> SE</w:t>
            </w:r>
          </w:p>
        </w:tc>
        <w:tc>
          <w:tcPr>
            <w:tcW w:w="1704" w:type="dxa"/>
          </w:tcPr>
          <w:p w14:paraId="43D1ACFA"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CN</w:t>
            </w:r>
          </w:p>
          <w:p w14:paraId="5DE5DE0B"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Mean</w:t>
            </w:r>
            <w:r w:rsidRPr="005F647B">
              <w:rPr>
                <w:rFonts w:ascii="Times New Roman" w:hAnsi="Times New Roman" w:cs="Times New Roman"/>
                <w:sz w:val="22"/>
                <w:szCs w:val="22"/>
              </w:rPr>
              <w:t>±</w:t>
            </w:r>
            <w:r w:rsidRPr="005F647B">
              <w:rPr>
                <w:rFonts w:ascii="Times New Roman" w:eastAsia="SimSun" w:hAnsi="Times New Roman" w:cs="Times New Roman"/>
                <w:sz w:val="22"/>
                <w:szCs w:val="22"/>
              </w:rPr>
              <w:t xml:space="preserve"> SE</w:t>
            </w:r>
          </w:p>
        </w:tc>
        <w:tc>
          <w:tcPr>
            <w:tcW w:w="1705" w:type="dxa"/>
          </w:tcPr>
          <w:p w14:paraId="56842310"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t-value</w:t>
            </w:r>
          </w:p>
        </w:tc>
        <w:tc>
          <w:tcPr>
            <w:tcW w:w="1705" w:type="dxa"/>
          </w:tcPr>
          <w:p w14:paraId="2641F933" w14:textId="77777777" w:rsidR="009B540A" w:rsidRPr="005F647B" w:rsidRDefault="00000000">
            <w:pPr>
              <w:widowControl/>
              <w:jc w:val="left"/>
              <w:rPr>
                <w:rFonts w:ascii="Times New Roman" w:eastAsia="SimSun" w:hAnsi="Times New Roman" w:cs="Times New Roman"/>
                <w:sz w:val="22"/>
                <w:szCs w:val="22"/>
              </w:rPr>
            </w:pPr>
            <w:r w:rsidRPr="005F647B">
              <w:rPr>
                <w:rFonts w:ascii="Times New Roman" w:eastAsia="SimSun" w:hAnsi="Times New Roman" w:cs="Times New Roman"/>
                <w:sz w:val="22"/>
                <w:szCs w:val="22"/>
              </w:rPr>
              <w:t>p-value</w:t>
            </w:r>
          </w:p>
        </w:tc>
      </w:tr>
      <w:tr w:rsidR="009B540A" w:rsidRPr="005F647B" w14:paraId="217CE5ED" w14:textId="77777777">
        <w:tc>
          <w:tcPr>
            <w:tcW w:w="1704" w:type="dxa"/>
          </w:tcPr>
          <w:p w14:paraId="01AB9148"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0-5</w:t>
            </w:r>
          </w:p>
        </w:tc>
        <w:tc>
          <w:tcPr>
            <w:tcW w:w="1704" w:type="dxa"/>
          </w:tcPr>
          <w:p w14:paraId="2DF12BC2" w14:textId="77777777" w:rsidR="009B540A" w:rsidRPr="005F647B" w:rsidRDefault="00000000">
            <w:pPr>
              <w:pStyle w:val="NormalWeb"/>
              <w:widowControl/>
              <w:spacing w:line="360" w:lineRule="auto"/>
              <w:rPr>
                <w:rFonts w:ascii="Times New Roman" w:eastAsia="SimSun" w:hAnsi="Times New Roman" w:cs="Times New Roman"/>
                <w:sz w:val="22"/>
                <w:szCs w:val="22"/>
              </w:rPr>
            </w:pPr>
            <w:r w:rsidRPr="005F647B">
              <w:rPr>
                <w:rFonts w:ascii="Times New Roman" w:hAnsi="Times New Roman" w:cs="Times New Roman"/>
                <w:sz w:val="22"/>
                <w:szCs w:val="22"/>
              </w:rPr>
              <w:t>21.33±0.67</w:t>
            </w:r>
            <w:r w:rsidRPr="005F647B">
              <w:rPr>
                <w:rFonts w:ascii="Times New Roman" w:eastAsia="SimSun" w:hAnsi="Times New Roman" w:cs="Times New Roman"/>
                <w:sz w:val="22"/>
                <w:szCs w:val="22"/>
              </w:rPr>
              <w:t xml:space="preserve"> </w:t>
            </w:r>
            <w:r w:rsidRPr="005F647B">
              <w:rPr>
                <w:rFonts w:ascii="Times New Roman" w:hAnsi="Times New Roman" w:cs="Times New Roman"/>
                <w:sz w:val="22"/>
                <w:szCs w:val="22"/>
              </w:rPr>
              <w:t>%</w:t>
            </w:r>
          </w:p>
        </w:tc>
        <w:tc>
          <w:tcPr>
            <w:tcW w:w="1704" w:type="dxa"/>
          </w:tcPr>
          <w:p w14:paraId="18287897"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21.33±3.71%</w:t>
            </w:r>
          </w:p>
        </w:tc>
        <w:tc>
          <w:tcPr>
            <w:tcW w:w="1705" w:type="dxa"/>
          </w:tcPr>
          <w:p w14:paraId="63A6EB6E"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0.00</w:t>
            </w:r>
          </w:p>
        </w:tc>
        <w:tc>
          <w:tcPr>
            <w:tcW w:w="1705" w:type="dxa"/>
          </w:tcPr>
          <w:p w14:paraId="15A2CC1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1.00</w:t>
            </w:r>
          </w:p>
        </w:tc>
      </w:tr>
      <w:tr w:rsidR="009B540A" w:rsidRPr="005F647B" w14:paraId="45117498" w14:textId="77777777">
        <w:tc>
          <w:tcPr>
            <w:tcW w:w="1704" w:type="dxa"/>
          </w:tcPr>
          <w:p w14:paraId="4F8D7ED4"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6-20</w:t>
            </w:r>
          </w:p>
        </w:tc>
        <w:tc>
          <w:tcPr>
            <w:tcW w:w="1704" w:type="dxa"/>
          </w:tcPr>
          <w:p w14:paraId="02475AA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3.40±0.87%</w:t>
            </w:r>
          </w:p>
        </w:tc>
        <w:tc>
          <w:tcPr>
            <w:tcW w:w="1704" w:type="dxa"/>
          </w:tcPr>
          <w:p w14:paraId="066E08D3"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1.65±0.83%</w:t>
            </w:r>
          </w:p>
        </w:tc>
        <w:tc>
          <w:tcPr>
            <w:tcW w:w="1705" w:type="dxa"/>
          </w:tcPr>
          <w:p w14:paraId="46552AB2"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1.45</w:t>
            </w:r>
          </w:p>
        </w:tc>
        <w:tc>
          <w:tcPr>
            <w:tcW w:w="1705" w:type="dxa"/>
          </w:tcPr>
          <w:p w14:paraId="4C53C74B" w14:textId="77777777" w:rsidR="009B540A" w:rsidRPr="005F647B" w:rsidRDefault="00000000">
            <w:pPr>
              <w:pStyle w:val="NormalWeb"/>
              <w:widowControl/>
              <w:spacing w:line="360" w:lineRule="auto"/>
              <w:rPr>
                <w:rFonts w:ascii="Times New Roman" w:hAnsi="Times New Roman" w:cs="Times New Roman"/>
                <w:sz w:val="22"/>
                <w:szCs w:val="22"/>
              </w:rPr>
            </w:pPr>
            <w:r w:rsidRPr="005F647B">
              <w:rPr>
                <w:rFonts w:ascii="Times New Roman" w:hAnsi="Times New Roman" w:cs="Times New Roman"/>
                <w:sz w:val="22"/>
                <w:szCs w:val="22"/>
              </w:rPr>
              <w:t>0.22</w:t>
            </w:r>
          </w:p>
        </w:tc>
      </w:tr>
    </w:tbl>
    <w:p w14:paraId="49B2B7B8" w14:textId="77777777" w:rsidR="009B540A" w:rsidRPr="005F647B" w:rsidRDefault="009B540A">
      <w:pPr>
        <w:pStyle w:val="NormalWeb"/>
        <w:spacing w:line="360" w:lineRule="auto"/>
        <w:rPr>
          <w:rFonts w:ascii="Times New Roman" w:hAnsi="Times New Roman" w:cs="Times New Roman"/>
          <w:sz w:val="22"/>
          <w:szCs w:val="22"/>
        </w:rPr>
      </w:pPr>
    </w:p>
    <w:p w14:paraId="683EF924" w14:textId="77777777" w:rsidR="009B540A" w:rsidRPr="005F647B" w:rsidRDefault="00000000">
      <w:pPr>
        <w:pStyle w:val="NormalWeb"/>
        <w:spacing w:line="360" w:lineRule="auto"/>
        <w:rPr>
          <w:rFonts w:ascii="Times New Roman" w:hAnsi="Times New Roman" w:cs="Times New Roman"/>
          <w:b/>
          <w:bCs/>
          <w:sz w:val="22"/>
          <w:szCs w:val="22"/>
        </w:rPr>
      </w:pPr>
      <w:r w:rsidRPr="005F647B">
        <w:rPr>
          <w:rFonts w:ascii="Times New Roman" w:hAnsi="Times New Roman" w:cs="Times New Roman"/>
          <w:b/>
          <w:bCs/>
          <w:sz w:val="22"/>
          <w:szCs w:val="22"/>
        </w:rPr>
        <w:t>Fig.4 Mortality rates of CARI Debendra (CD) and CARI Nirbheek (CN) from 0-20 weeks of age.</w:t>
      </w:r>
    </w:p>
    <w:p w14:paraId="52E8B81D" w14:textId="77777777" w:rsidR="009B540A" w:rsidRPr="005F647B" w:rsidRDefault="009B540A">
      <w:pPr>
        <w:pStyle w:val="NormalWeb"/>
        <w:spacing w:line="360" w:lineRule="auto"/>
        <w:rPr>
          <w:rFonts w:ascii="Times New Roman" w:hAnsi="Times New Roman" w:cs="Times New Roman"/>
          <w:sz w:val="22"/>
          <w:szCs w:val="22"/>
        </w:rPr>
      </w:pPr>
    </w:p>
    <w:p w14:paraId="44EC08CD" w14:textId="77777777" w:rsidR="009B540A" w:rsidRPr="005F647B" w:rsidRDefault="00000000">
      <w:pPr>
        <w:pStyle w:val="NormalWeb"/>
        <w:spacing w:line="360" w:lineRule="auto"/>
        <w:rPr>
          <w:rFonts w:ascii="Times New Roman" w:hAnsi="Times New Roman" w:cs="Times New Roman"/>
          <w:sz w:val="22"/>
          <w:szCs w:val="22"/>
        </w:rPr>
      </w:pPr>
      <w:r w:rsidRPr="005F647B">
        <w:rPr>
          <w:rFonts w:ascii="Times New Roman" w:hAnsi="Times New Roman" w:cs="Times New Roman"/>
          <w:noProof/>
          <w:sz w:val="22"/>
          <w:szCs w:val="22"/>
          <w:lang w:eastAsia="en-US" w:bidi="hi-IN"/>
        </w:rPr>
        <w:drawing>
          <wp:inline distT="0" distB="0" distL="114300" distR="114300" wp14:anchorId="021CCC1F" wp14:editId="25CF62D5">
            <wp:extent cx="4241800" cy="2096135"/>
            <wp:effectExtent l="6350" t="6350" r="19050" b="31115"/>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1A7944" w14:textId="77777777" w:rsidR="009B540A" w:rsidRPr="005F647B" w:rsidRDefault="009B540A">
      <w:pPr>
        <w:pStyle w:val="NormalWeb"/>
        <w:spacing w:line="360" w:lineRule="auto"/>
        <w:rPr>
          <w:rFonts w:ascii="Times New Roman" w:hAnsi="Times New Roman" w:cs="Times New Roman"/>
          <w:sz w:val="22"/>
          <w:szCs w:val="22"/>
        </w:rPr>
      </w:pPr>
    </w:p>
    <w:p w14:paraId="48AAE28B" w14:textId="77777777" w:rsidR="009B540A" w:rsidRPr="005F647B" w:rsidRDefault="009B540A">
      <w:pPr>
        <w:pStyle w:val="NormalWeb"/>
        <w:spacing w:line="360" w:lineRule="auto"/>
        <w:rPr>
          <w:rFonts w:ascii="Times New Roman" w:hAnsi="Times New Roman" w:cs="Times New Roman"/>
          <w:sz w:val="22"/>
          <w:szCs w:val="22"/>
        </w:rPr>
      </w:pPr>
    </w:p>
    <w:p w14:paraId="5EC1DB37" w14:textId="77777777" w:rsidR="009B540A" w:rsidRPr="005F647B" w:rsidRDefault="00000000">
      <w:pPr>
        <w:pStyle w:val="NormalWeb"/>
        <w:spacing w:line="360" w:lineRule="auto"/>
        <w:ind w:firstLineChars="250" w:firstLine="600"/>
        <w:jc w:val="both"/>
      </w:pPr>
      <w:r w:rsidRPr="005F647B">
        <w:lastRenderedPageBreak/>
        <w:t>The brooding phase (0–5 weeks) recorded the highest mortality in both chicken varieties. Such early losses may be associated with the underdeveloped thermoregulatory and immune systems of neonatal chicks and their susceptibility to environmental stress. The identical mean mortality rate in both groups during this phase suggests a similar vulnerability under the study conditions. As the birds entered the grower phase (6–20 weeks), mortality declined markedly in both varieties, indicating improved livability with increasing age. Previous field evaluations have also reported that mortality in improved backyard chickens varies with age and management conditions (</w:t>
      </w:r>
      <w:proofErr w:type="spellStart"/>
      <w:r w:rsidRPr="005F647B">
        <w:t>Khadda</w:t>
      </w:r>
      <w:proofErr w:type="spellEnd"/>
      <w:r w:rsidRPr="005F647B">
        <w:t xml:space="preserve"> </w:t>
      </w:r>
      <w:r w:rsidRPr="005F647B">
        <w:rPr>
          <w:i/>
        </w:rPr>
        <w:t>et al.</w:t>
      </w:r>
      <w:r w:rsidRPr="005F647B">
        <w:t xml:space="preserve">, 2017; Padhi </w:t>
      </w:r>
      <w:r w:rsidRPr="005F647B">
        <w:rPr>
          <w:i/>
        </w:rPr>
        <w:t>et al.</w:t>
      </w:r>
      <w:r w:rsidRPr="005F647B">
        <w:t xml:space="preserve">, 2003). Official ICAR information reports high overall </w:t>
      </w:r>
      <w:proofErr w:type="spellStart"/>
      <w:r w:rsidRPr="005F647B">
        <w:t>liveability</w:t>
      </w:r>
      <w:proofErr w:type="spellEnd"/>
      <w:r w:rsidRPr="005F647B">
        <w:t xml:space="preserve"> for CARI Nirbheek under recommended management (ICAR, n.d.).</w:t>
      </w:r>
    </w:p>
    <w:p w14:paraId="4E03BC53" w14:textId="77777777" w:rsidR="009B540A" w:rsidRPr="005F647B" w:rsidRDefault="009B540A">
      <w:pPr>
        <w:pStyle w:val="NormalWeb"/>
        <w:spacing w:line="360" w:lineRule="auto"/>
        <w:ind w:firstLineChars="250" w:firstLine="550"/>
        <w:jc w:val="both"/>
        <w:rPr>
          <w:rFonts w:ascii="Times New Roman" w:hAnsi="Times New Roman" w:cs="Times New Roman"/>
          <w:sz w:val="22"/>
          <w:szCs w:val="22"/>
        </w:rPr>
      </w:pPr>
    </w:p>
    <w:p w14:paraId="005C92D9" w14:textId="77777777" w:rsidR="009B540A" w:rsidRPr="005F647B" w:rsidRDefault="00000000">
      <w:pPr>
        <w:rPr>
          <w:rFonts w:ascii="Times New Roman" w:eastAsia="TimesNewRomanPS-BoldMT" w:hAnsi="Times New Roman" w:cs="Times New Roman"/>
          <w:b/>
          <w:bCs/>
          <w:color w:val="000000"/>
          <w:sz w:val="22"/>
          <w:szCs w:val="22"/>
        </w:rPr>
      </w:pPr>
      <w:r w:rsidRPr="005F647B">
        <w:rPr>
          <w:rFonts w:ascii="Times New Roman" w:eastAsia="TimesNewRomanPS-BoldMT" w:hAnsi="Times New Roman" w:cs="Times New Roman"/>
          <w:b/>
          <w:bCs/>
          <w:color w:val="000000"/>
          <w:sz w:val="22"/>
          <w:szCs w:val="22"/>
        </w:rPr>
        <w:t>Conclusion:</w:t>
      </w:r>
    </w:p>
    <w:p w14:paraId="7A7A4860" w14:textId="77777777" w:rsidR="009B540A" w:rsidRPr="005F647B" w:rsidRDefault="009B540A">
      <w:pPr>
        <w:rPr>
          <w:rFonts w:ascii="Times New Roman" w:eastAsia="TimesNewRomanPS-BoldMT" w:hAnsi="Times New Roman" w:cs="Times New Roman"/>
          <w:b/>
          <w:bCs/>
          <w:color w:val="000000"/>
          <w:sz w:val="22"/>
          <w:szCs w:val="22"/>
        </w:rPr>
      </w:pPr>
    </w:p>
    <w:p w14:paraId="6AA5AD3B" w14:textId="77777777" w:rsidR="00060538" w:rsidRDefault="00060538">
      <w:pPr>
        <w:spacing w:before="100" w:beforeAutospacing="1" w:after="100" w:afterAutospacing="1"/>
        <w:outlineLvl w:val="1"/>
      </w:pPr>
      <w:r>
        <w:t xml:space="preserve">The comparative evaluation demonstrated distinct age-related performance patterns in CARI Debendra and CARI Nirbheek under the management conditions used in the Eastern Plain Zone of Uttar Pradesh. CARI Nirbheek had a higher body weight at hatching and maintained this advantage during the first two weeks. Thereafter, CARI Debendra showed stronger growth, achieved a final mean body weight of 2221.57 g at 20 weeks, and generally recorded more </w:t>
      </w:r>
      <w:proofErr w:type="spellStart"/>
      <w:r>
        <w:t>favourable</w:t>
      </w:r>
      <w:proofErr w:type="spellEnd"/>
      <w:r>
        <w:t xml:space="preserve"> feed conversion ratios. CARI Nirbheek reached 1923.18 g at the same age and had the higher recorded feed intake at week 20. Mortality did not differ significantly between the varieties. The greatest losses occurred during the 0–5-week brooding phase, while mortality declined substantially during the 6–20-week grower phase. Under the conditions of this study, CARI Debendra appears more appropriate when later-stage body weight and feed efficiency are the principal production objectives. However, the similar mortality patterns indicate that the success of either variety depends strongly on effective brooding, health care, and environmental management during the first five weeks.</w:t>
      </w:r>
    </w:p>
    <w:p w14:paraId="4DD52585" w14:textId="77777777" w:rsidR="00060538" w:rsidRDefault="00060538">
      <w:pPr>
        <w:spacing w:before="100" w:beforeAutospacing="1" w:after="100" w:afterAutospacing="1"/>
        <w:outlineLvl w:val="1"/>
      </w:pPr>
    </w:p>
    <w:p w14:paraId="2AFF7F82" w14:textId="70F3A385" w:rsidR="009B540A" w:rsidRPr="005F647B" w:rsidRDefault="00000000">
      <w:pPr>
        <w:spacing w:before="100" w:beforeAutospacing="1" w:after="100" w:afterAutospacing="1"/>
        <w:outlineLvl w:val="1"/>
        <w:rPr>
          <w:rFonts w:ascii="Times New Roman" w:eastAsia="Times New Roman" w:hAnsi="Times New Roman" w:cs="Times New Roman"/>
          <w:b/>
          <w:bCs/>
          <w:sz w:val="36"/>
          <w:szCs w:val="36"/>
          <w:lang w:eastAsia="en-US"/>
        </w:rPr>
      </w:pPr>
      <w:r w:rsidRPr="005F647B">
        <w:rPr>
          <w:rFonts w:ascii="Times New Roman" w:eastAsia="Times New Roman" w:hAnsi="Times New Roman" w:cs="Times New Roman"/>
          <w:b/>
          <w:bCs/>
          <w:sz w:val="36"/>
          <w:szCs w:val="36"/>
          <w:lang w:eastAsia="en-US"/>
        </w:rPr>
        <w:t>Limitations</w:t>
      </w:r>
    </w:p>
    <w:p w14:paraId="642C33FB" w14:textId="2BC67220" w:rsidR="009B540A" w:rsidRDefault="00165D3D">
      <w:r w:rsidRPr="00165D3D">
        <w:t>This single-location study evaluated only two chicken varieties and used 150 birds per variety. Feed composition, sex-specific performance, environmental measurements, disease incidence, and economic outcomes were not fully reported. The feed-intake sequence requires clarification because some later values were lower than preceding values, which is inconsistent with a cumulative interpretation. The study ended at 20 weeks and therefore did not assess subsequent production or mortality. Multi-location studies with sex-stratified analyses, clearly defined feed-intake measurements, environmental monitoring, and economic evaluation are required.</w:t>
      </w:r>
    </w:p>
    <w:p w14:paraId="7BF6D14F" w14:textId="77777777" w:rsidR="00165D3D" w:rsidRDefault="00165D3D"/>
    <w:p w14:paraId="1BCEAC2C" w14:textId="77777777" w:rsidR="00165D3D" w:rsidRPr="005F647B" w:rsidRDefault="00165D3D">
      <w:pPr>
        <w:rPr>
          <w:rFonts w:ascii="Times New Roman" w:eastAsia="Times New Roman" w:hAnsi="Times New Roman" w:cs="Times New Roman"/>
          <w:sz w:val="14"/>
          <w:szCs w:val="16"/>
          <w:lang w:val="en-GB" w:eastAsia="en-GB"/>
        </w:rPr>
      </w:pPr>
    </w:p>
    <w:p w14:paraId="0ED2FEB3" w14:textId="77777777" w:rsidR="009B540A" w:rsidRPr="005F647B" w:rsidRDefault="00000000">
      <w:pPr>
        <w:rPr>
          <w:rFonts w:ascii="Times New Roman" w:eastAsia="Calibri" w:hAnsi="Times New Roman" w:cs="Times New Roman"/>
          <w:b/>
          <w:sz w:val="22"/>
          <w:szCs w:val="22"/>
          <w:lang w:eastAsia="en-US"/>
        </w:rPr>
      </w:pPr>
      <w:r w:rsidRPr="005F647B">
        <w:rPr>
          <w:rFonts w:ascii="Times New Roman" w:eastAsia="Calibri" w:hAnsi="Times New Roman" w:cs="Times New Roman"/>
          <w:b/>
          <w:sz w:val="22"/>
          <w:szCs w:val="22"/>
          <w:lang w:eastAsia="en-US"/>
        </w:rPr>
        <w:t>Declaration of AI Use</w:t>
      </w:r>
    </w:p>
    <w:p w14:paraId="4F81DCB0" w14:textId="77777777" w:rsidR="009B540A" w:rsidRPr="005F647B" w:rsidRDefault="009B540A">
      <w:pPr>
        <w:rPr>
          <w:rFonts w:ascii="Times New Roman" w:eastAsia="Calibri" w:hAnsi="Times New Roman" w:cs="Times New Roman"/>
          <w:sz w:val="22"/>
          <w:szCs w:val="22"/>
          <w:lang w:eastAsia="en-US"/>
        </w:rPr>
      </w:pPr>
    </w:p>
    <w:p w14:paraId="43FC269A" w14:textId="77777777" w:rsidR="009B540A" w:rsidRPr="005F647B" w:rsidRDefault="00000000">
      <w:pPr>
        <w:jc w:val="both"/>
        <w:rPr>
          <w:rFonts w:ascii="Times New Roman" w:eastAsia="Calibri" w:hAnsi="Times New Roman" w:cs="Times New Roman"/>
          <w:sz w:val="22"/>
          <w:szCs w:val="22"/>
          <w:lang w:eastAsia="en-US"/>
        </w:rPr>
      </w:pPr>
      <w:r w:rsidRPr="005F647B">
        <w:rPr>
          <w:rFonts w:ascii="Times New Roman" w:eastAsia="Calibri" w:hAnsi="Times New Roman" w:cs="Times New Roman"/>
          <w:sz w:val="22"/>
          <w:szCs w:val="22"/>
          <w:lang w:eastAsia="en-US"/>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w:t>
      </w:r>
      <w:r w:rsidRPr="005F647B">
        <w:rPr>
          <w:rFonts w:ascii="Times New Roman" w:eastAsia="Calibri" w:hAnsi="Times New Roman" w:cs="Times New Roman"/>
          <w:sz w:val="22"/>
          <w:szCs w:val="22"/>
          <w:lang w:eastAsia="en-US"/>
        </w:rPr>
        <w:lastRenderedPageBreak/>
        <w:t>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B61B38B" w14:textId="77777777" w:rsidR="009B540A" w:rsidRPr="005F647B" w:rsidRDefault="009B540A">
      <w:pPr>
        <w:jc w:val="both"/>
        <w:rPr>
          <w:rFonts w:ascii="Times New Roman" w:eastAsia="Calibri" w:hAnsi="Times New Roman" w:cs="Times New Roman"/>
          <w:sz w:val="22"/>
          <w:szCs w:val="22"/>
          <w:lang w:eastAsia="en-US"/>
        </w:rPr>
      </w:pPr>
    </w:p>
    <w:p w14:paraId="2E31ADEB" w14:textId="77777777" w:rsidR="009B540A" w:rsidRPr="005F647B" w:rsidRDefault="009B540A">
      <w:pPr>
        <w:jc w:val="both"/>
        <w:rPr>
          <w:rFonts w:ascii="Times New Roman" w:eastAsia="Calibri" w:hAnsi="Times New Roman" w:cs="Times New Roman"/>
          <w:sz w:val="22"/>
          <w:szCs w:val="22"/>
          <w:lang w:eastAsia="en-US"/>
        </w:rPr>
      </w:pPr>
    </w:p>
    <w:p w14:paraId="42E9E2B8" w14:textId="77777777" w:rsidR="009B540A" w:rsidRPr="005F647B" w:rsidRDefault="00000000">
      <w:pPr>
        <w:spacing w:after="200" w:line="276" w:lineRule="auto"/>
        <w:rPr>
          <w:rFonts w:ascii="Cambria" w:eastAsia="Times New Roman" w:hAnsi="Cambria" w:cs="Arial"/>
          <w:b/>
          <w:bCs/>
          <w:sz w:val="22"/>
          <w:szCs w:val="22"/>
          <w:lang w:val="en-GB" w:eastAsia="en-GB"/>
        </w:rPr>
      </w:pPr>
      <w:r w:rsidRPr="005F647B">
        <w:rPr>
          <w:rFonts w:ascii="Cambria" w:eastAsia="Times New Roman" w:hAnsi="Cambria" w:cs="Arial"/>
          <w:b/>
          <w:bCs/>
          <w:sz w:val="22"/>
          <w:szCs w:val="22"/>
          <w:lang w:val="en-GB" w:eastAsia="en-GB"/>
        </w:rPr>
        <w:t>COMPETING INTERESTS:</w:t>
      </w:r>
    </w:p>
    <w:p w14:paraId="21AB7839" w14:textId="77777777" w:rsidR="009B540A" w:rsidRPr="005F647B" w:rsidRDefault="00000000">
      <w:pPr>
        <w:spacing w:after="200" w:line="276" w:lineRule="auto"/>
        <w:rPr>
          <w:rFonts w:ascii="Cambria" w:eastAsia="Times New Roman" w:hAnsi="Cambria" w:cs="Times New Roman"/>
          <w:sz w:val="22"/>
          <w:szCs w:val="22"/>
          <w:lang w:val="en-GB" w:eastAsia="en-GB"/>
        </w:rPr>
      </w:pPr>
      <w:r w:rsidRPr="005F647B">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4A2FF235" w14:textId="77777777" w:rsidR="009B540A" w:rsidRPr="005F647B" w:rsidRDefault="009B540A">
      <w:pPr>
        <w:rPr>
          <w:rFonts w:ascii="Times New Roman" w:hAnsi="Times New Roman" w:cs="Times New Roman"/>
          <w:sz w:val="22"/>
          <w:szCs w:val="22"/>
        </w:rPr>
      </w:pPr>
    </w:p>
    <w:p w14:paraId="2C6BAA61" w14:textId="77777777" w:rsidR="009B540A" w:rsidRPr="005F647B" w:rsidRDefault="00000000">
      <w:pPr>
        <w:rPr>
          <w:rFonts w:ascii="Times New Roman" w:eastAsia="CIDFont" w:hAnsi="Times New Roman" w:cs="Times New Roman"/>
          <w:bCs/>
          <w:sz w:val="22"/>
          <w:szCs w:val="22"/>
        </w:rPr>
      </w:pPr>
      <w:r w:rsidRPr="005F647B">
        <w:rPr>
          <w:rFonts w:ascii="Times New Roman" w:eastAsia="TimesNewRomanPS-BoldMT" w:hAnsi="Times New Roman" w:cs="Times New Roman"/>
          <w:b/>
          <w:bCs/>
          <w:color w:val="000000"/>
          <w:sz w:val="22"/>
          <w:szCs w:val="22"/>
        </w:rPr>
        <w:t>References</w:t>
      </w:r>
    </w:p>
    <w:p w14:paraId="39741DE3" w14:textId="77777777" w:rsidR="009B540A" w:rsidRPr="005F647B" w:rsidRDefault="009B540A">
      <w:pPr>
        <w:spacing w:line="360" w:lineRule="auto"/>
        <w:ind w:left="440" w:hangingChars="200" w:hanging="440"/>
        <w:jc w:val="both"/>
        <w:rPr>
          <w:rFonts w:ascii="Times New Roman" w:eastAsia="CIDFont" w:hAnsi="Times New Roman" w:cs="Times New Roman"/>
          <w:bCs/>
          <w:sz w:val="22"/>
          <w:szCs w:val="22"/>
        </w:rPr>
      </w:pPr>
    </w:p>
    <w:p w14:paraId="18FB6F6C"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Becker, S., Büscher, W., &amp; Tiemann, I. (2023). The British </w:t>
      </w:r>
      <w:proofErr w:type="spellStart"/>
      <w:r w:rsidRPr="004A68D8">
        <w:rPr>
          <w:rFonts w:ascii="Times New Roman" w:eastAsia="Times New Roman" w:hAnsi="Times New Roman" w:cs="Times New Roman"/>
          <w:sz w:val="24"/>
          <w:szCs w:val="24"/>
          <w:lang w:eastAsia="en-US"/>
        </w:rPr>
        <w:t>Ixworth</w:t>
      </w:r>
      <w:proofErr w:type="spellEnd"/>
      <w:r w:rsidRPr="004A68D8">
        <w:rPr>
          <w:rFonts w:ascii="Times New Roman" w:eastAsia="Times New Roman" w:hAnsi="Times New Roman" w:cs="Times New Roman"/>
          <w:sz w:val="24"/>
          <w:szCs w:val="24"/>
          <w:lang w:eastAsia="en-US"/>
        </w:rPr>
        <w:t xml:space="preserve">: Individual growth and egg production of a purebred dual-purpose chicken. </w:t>
      </w:r>
      <w:r w:rsidRPr="004A68D8">
        <w:rPr>
          <w:rFonts w:ascii="Times New Roman" w:eastAsia="Times New Roman" w:hAnsi="Times New Roman" w:cs="Times New Roman"/>
          <w:i/>
          <w:iCs/>
          <w:sz w:val="24"/>
          <w:szCs w:val="24"/>
          <w:lang w:eastAsia="en-US"/>
        </w:rPr>
        <w:t>British Poultry Science, 64</w:t>
      </w:r>
      <w:r w:rsidRPr="004A68D8">
        <w:rPr>
          <w:rFonts w:ascii="Times New Roman" w:eastAsia="Times New Roman" w:hAnsi="Times New Roman" w:cs="Times New Roman"/>
          <w:sz w:val="24"/>
          <w:szCs w:val="24"/>
          <w:lang w:eastAsia="en-US"/>
        </w:rPr>
        <w:t xml:space="preserve">(6), 659–669. </w:t>
      </w:r>
      <w:hyperlink r:id="rId11" w:tgtFrame="_new" w:history="1">
        <w:r w:rsidRPr="004A68D8">
          <w:rPr>
            <w:rFonts w:ascii="Times New Roman" w:eastAsia="Times New Roman" w:hAnsi="Times New Roman" w:cs="Times New Roman"/>
            <w:color w:val="0000FF"/>
            <w:sz w:val="24"/>
            <w:szCs w:val="24"/>
            <w:u w:val="single"/>
            <w:lang w:eastAsia="en-US"/>
          </w:rPr>
          <w:t>https://doi.org/10.1080/00071668.2023.2246142</w:t>
        </w:r>
      </w:hyperlink>
    </w:p>
    <w:p w14:paraId="00EE4AC5" w14:textId="63373AF6"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Das, A. K., Kumar, S., Rahim, A., </w:t>
      </w:r>
      <w:proofErr w:type="spellStart"/>
      <w:r w:rsidRPr="004A68D8">
        <w:rPr>
          <w:rFonts w:ascii="Times New Roman" w:eastAsia="Times New Roman" w:hAnsi="Times New Roman" w:cs="Times New Roman"/>
          <w:sz w:val="24"/>
          <w:szCs w:val="24"/>
          <w:lang w:eastAsia="en-US"/>
        </w:rPr>
        <w:t>Kokate</w:t>
      </w:r>
      <w:proofErr w:type="spellEnd"/>
      <w:r w:rsidRPr="004A68D8">
        <w:rPr>
          <w:rFonts w:ascii="Times New Roman" w:eastAsia="Times New Roman" w:hAnsi="Times New Roman" w:cs="Times New Roman"/>
          <w:sz w:val="24"/>
          <w:szCs w:val="24"/>
          <w:lang w:eastAsia="en-US"/>
        </w:rPr>
        <w:t xml:space="preserve">, L. S., &amp; Mishra, A. K. (2016). Assessment of body conformation and feed efficiency characteristics in CARI-Debendra crossbred grower chicken. </w:t>
      </w:r>
      <w:r w:rsidRPr="004A68D8">
        <w:rPr>
          <w:rFonts w:ascii="Times New Roman" w:eastAsia="Times New Roman" w:hAnsi="Times New Roman" w:cs="Times New Roman"/>
          <w:i/>
          <w:iCs/>
          <w:sz w:val="24"/>
          <w:szCs w:val="24"/>
          <w:lang w:eastAsia="en-US"/>
        </w:rPr>
        <w:t>The Indian Journal of Animal Sciences, 86</w:t>
      </w:r>
      <w:r w:rsidRPr="004A68D8">
        <w:rPr>
          <w:rFonts w:ascii="Times New Roman" w:eastAsia="Times New Roman" w:hAnsi="Times New Roman" w:cs="Times New Roman"/>
          <w:sz w:val="24"/>
          <w:szCs w:val="24"/>
          <w:lang w:eastAsia="en-US"/>
        </w:rPr>
        <w:t xml:space="preserve">(12), 1472–1475. </w:t>
      </w:r>
      <w:hyperlink r:id="rId12" w:tgtFrame="_new" w:history="1">
        <w:r w:rsidRPr="004A68D8">
          <w:rPr>
            <w:rFonts w:ascii="Times New Roman" w:eastAsia="Times New Roman" w:hAnsi="Times New Roman" w:cs="Times New Roman"/>
            <w:color w:val="0000FF"/>
            <w:sz w:val="24"/>
            <w:szCs w:val="24"/>
            <w:u w:val="single"/>
            <w:lang w:eastAsia="en-US"/>
          </w:rPr>
          <w:t>https://doi.org/10.56093/ijans.v86i12.66048</w:t>
        </w:r>
      </w:hyperlink>
      <w:r w:rsidRPr="004A68D8">
        <w:rPr>
          <w:rFonts w:ascii="Times New Roman" w:eastAsia="Times New Roman" w:hAnsi="Times New Roman" w:cs="Times New Roman"/>
          <w:sz w:val="24"/>
          <w:szCs w:val="24"/>
          <w:lang w:eastAsia="en-US"/>
        </w:rPr>
        <w:br/>
      </w:r>
    </w:p>
    <w:p w14:paraId="50B71FF3"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Gentile, N., </w:t>
      </w:r>
      <w:proofErr w:type="spellStart"/>
      <w:r w:rsidRPr="004A68D8">
        <w:rPr>
          <w:rFonts w:ascii="Times New Roman" w:eastAsia="Times New Roman" w:hAnsi="Times New Roman" w:cs="Times New Roman"/>
          <w:sz w:val="24"/>
          <w:szCs w:val="24"/>
          <w:lang w:eastAsia="en-US"/>
        </w:rPr>
        <w:t>Carrasquer</w:t>
      </w:r>
      <w:proofErr w:type="spellEnd"/>
      <w:r w:rsidRPr="004A68D8">
        <w:rPr>
          <w:rFonts w:ascii="Times New Roman" w:eastAsia="Times New Roman" w:hAnsi="Times New Roman" w:cs="Times New Roman"/>
          <w:sz w:val="24"/>
          <w:szCs w:val="24"/>
          <w:lang w:eastAsia="en-US"/>
        </w:rPr>
        <w:t xml:space="preserve">, F., Marco-Fuertes, A., &amp; Marin, C. (2024). Backyard poultry: Exploring non-intensive production systems. </w:t>
      </w:r>
      <w:r w:rsidRPr="004A68D8">
        <w:rPr>
          <w:rFonts w:ascii="Times New Roman" w:eastAsia="Times New Roman" w:hAnsi="Times New Roman" w:cs="Times New Roman"/>
          <w:i/>
          <w:iCs/>
          <w:sz w:val="24"/>
          <w:szCs w:val="24"/>
          <w:lang w:eastAsia="en-US"/>
        </w:rPr>
        <w:t>Poultry Science, 103</w:t>
      </w:r>
      <w:r w:rsidRPr="004A68D8">
        <w:rPr>
          <w:rFonts w:ascii="Times New Roman" w:eastAsia="Times New Roman" w:hAnsi="Times New Roman" w:cs="Times New Roman"/>
          <w:sz w:val="24"/>
          <w:szCs w:val="24"/>
          <w:lang w:eastAsia="en-US"/>
        </w:rPr>
        <w:t xml:space="preserve">(2), Article 103284. </w:t>
      </w:r>
      <w:hyperlink r:id="rId13" w:tgtFrame="_new" w:history="1">
        <w:r w:rsidRPr="004A68D8">
          <w:rPr>
            <w:rFonts w:ascii="Times New Roman" w:eastAsia="Times New Roman" w:hAnsi="Times New Roman" w:cs="Times New Roman"/>
            <w:color w:val="0000FF"/>
            <w:sz w:val="24"/>
            <w:szCs w:val="24"/>
            <w:u w:val="single"/>
            <w:lang w:eastAsia="en-US"/>
          </w:rPr>
          <w:t>https://doi.org/10.1016/j.psj.2023.103284</w:t>
        </w:r>
      </w:hyperlink>
    </w:p>
    <w:p w14:paraId="1C518E33"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proofErr w:type="spellStart"/>
      <w:r w:rsidRPr="004A68D8">
        <w:rPr>
          <w:rFonts w:ascii="Times New Roman" w:eastAsia="Times New Roman" w:hAnsi="Times New Roman" w:cs="Times New Roman"/>
          <w:sz w:val="24"/>
          <w:szCs w:val="24"/>
          <w:lang w:eastAsia="en-US"/>
        </w:rPr>
        <w:t>Haunshi</w:t>
      </w:r>
      <w:proofErr w:type="spellEnd"/>
      <w:r w:rsidRPr="004A68D8">
        <w:rPr>
          <w:rFonts w:ascii="Times New Roman" w:eastAsia="Times New Roman" w:hAnsi="Times New Roman" w:cs="Times New Roman"/>
          <w:sz w:val="24"/>
          <w:szCs w:val="24"/>
          <w:lang w:eastAsia="en-US"/>
        </w:rPr>
        <w:t xml:space="preserve">, S., Niranjan, M., Shanmugam, M., Padhi, M. K., Reddy, M. R., Sunitha, R., Rajkumar, U., &amp; Panda, A. K. (2011). Characterization of two Indian native chicken breeds for production, egg and semen quality, and welfare traits. </w:t>
      </w:r>
      <w:r w:rsidRPr="004A68D8">
        <w:rPr>
          <w:rFonts w:ascii="Times New Roman" w:eastAsia="Times New Roman" w:hAnsi="Times New Roman" w:cs="Times New Roman"/>
          <w:i/>
          <w:iCs/>
          <w:sz w:val="24"/>
          <w:szCs w:val="24"/>
          <w:lang w:eastAsia="en-US"/>
        </w:rPr>
        <w:t>Poultry Science, 90</w:t>
      </w:r>
      <w:r w:rsidRPr="004A68D8">
        <w:rPr>
          <w:rFonts w:ascii="Times New Roman" w:eastAsia="Times New Roman" w:hAnsi="Times New Roman" w:cs="Times New Roman"/>
          <w:sz w:val="24"/>
          <w:szCs w:val="24"/>
          <w:lang w:eastAsia="en-US"/>
        </w:rPr>
        <w:t xml:space="preserve">(2), 314–320. </w:t>
      </w:r>
      <w:hyperlink r:id="rId14" w:tgtFrame="_new" w:history="1">
        <w:r w:rsidRPr="004A68D8">
          <w:rPr>
            <w:rFonts w:ascii="Times New Roman" w:eastAsia="Times New Roman" w:hAnsi="Times New Roman" w:cs="Times New Roman"/>
            <w:color w:val="0000FF"/>
            <w:sz w:val="24"/>
            <w:szCs w:val="24"/>
            <w:u w:val="single"/>
            <w:lang w:eastAsia="en-US"/>
          </w:rPr>
          <w:t>https://doi.org/10.3382/ps.2010-01013</w:t>
        </w:r>
      </w:hyperlink>
    </w:p>
    <w:p w14:paraId="7FC90AD9"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Indian Council of Agricultural Research. (n.d.). </w:t>
      </w:r>
      <w:r w:rsidRPr="004A68D8">
        <w:rPr>
          <w:rFonts w:ascii="Times New Roman" w:eastAsia="Times New Roman" w:hAnsi="Times New Roman" w:cs="Times New Roman"/>
          <w:i/>
          <w:iCs/>
          <w:sz w:val="24"/>
          <w:szCs w:val="24"/>
          <w:lang w:eastAsia="en-US"/>
        </w:rPr>
        <w:t>Livestock and poultry improvement and management</w:t>
      </w:r>
      <w:r w:rsidRPr="004A68D8">
        <w:rPr>
          <w:rFonts w:ascii="Times New Roman" w:eastAsia="Times New Roman" w:hAnsi="Times New Roman" w:cs="Times New Roman"/>
          <w:sz w:val="24"/>
          <w:szCs w:val="24"/>
          <w:lang w:eastAsia="en-US"/>
        </w:rPr>
        <w:t xml:space="preserve">. </w:t>
      </w:r>
      <w:hyperlink r:id="rId15" w:tgtFrame="_new" w:history="1">
        <w:r w:rsidRPr="004A68D8">
          <w:rPr>
            <w:rFonts w:ascii="Times New Roman" w:eastAsia="Times New Roman" w:hAnsi="Times New Roman" w:cs="Times New Roman"/>
            <w:color w:val="0000FF"/>
            <w:sz w:val="24"/>
            <w:szCs w:val="24"/>
            <w:u w:val="single"/>
            <w:lang w:eastAsia="en-US"/>
          </w:rPr>
          <w:t>https://www.icar.gov.in/sites/default/files/inline-files/livestock-and-polutry-01_0.pdf</w:t>
        </w:r>
      </w:hyperlink>
    </w:p>
    <w:p w14:paraId="5EB21C3E"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proofErr w:type="spellStart"/>
      <w:r w:rsidRPr="004A68D8">
        <w:rPr>
          <w:rFonts w:ascii="Times New Roman" w:eastAsia="Times New Roman" w:hAnsi="Times New Roman" w:cs="Times New Roman"/>
          <w:sz w:val="24"/>
          <w:szCs w:val="24"/>
          <w:lang w:eastAsia="en-US"/>
        </w:rPr>
        <w:t>Khadda</w:t>
      </w:r>
      <w:proofErr w:type="spellEnd"/>
      <w:r w:rsidRPr="004A68D8">
        <w:rPr>
          <w:rFonts w:ascii="Times New Roman" w:eastAsia="Times New Roman" w:hAnsi="Times New Roman" w:cs="Times New Roman"/>
          <w:sz w:val="24"/>
          <w:szCs w:val="24"/>
          <w:lang w:eastAsia="en-US"/>
        </w:rPr>
        <w:t xml:space="preserve">, B. S., Lata, K., Kumar, R., Jadav, J. K., Singh, B., &amp; Palod, J. (2017). Production performance and economics of CARI Nirbheek chicken for backyard farming under semi-arid ecosystem in central Gujarat, India. </w:t>
      </w:r>
      <w:r w:rsidRPr="004A68D8">
        <w:rPr>
          <w:rFonts w:ascii="Times New Roman" w:eastAsia="Times New Roman" w:hAnsi="Times New Roman" w:cs="Times New Roman"/>
          <w:i/>
          <w:iCs/>
          <w:sz w:val="24"/>
          <w:szCs w:val="24"/>
          <w:lang w:eastAsia="en-US"/>
        </w:rPr>
        <w:t>Indian Journal of Animal Research, 51</w:t>
      </w:r>
      <w:r w:rsidRPr="004A68D8">
        <w:rPr>
          <w:rFonts w:ascii="Times New Roman" w:eastAsia="Times New Roman" w:hAnsi="Times New Roman" w:cs="Times New Roman"/>
          <w:sz w:val="24"/>
          <w:szCs w:val="24"/>
          <w:lang w:eastAsia="en-US"/>
        </w:rPr>
        <w:t xml:space="preserve">(2), 382–386. </w:t>
      </w:r>
      <w:hyperlink r:id="rId16" w:tgtFrame="_new" w:history="1">
        <w:r w:rsidRPr="004A68D8">
          <w:rPr>
            <w:rFonts w:ascii="Times New Roman" w:eastAsia="Times New Roman" w:hAnsi="Times New Roman" w:cs="Times New Roman"/>
            <w:color w:val="0000FF"/>
            <w:sz w:val="24"/>
            <w:szCs w:val="24"/>
            <w:u w:val="single"/>
            <w:lang w:eastAsia="en-US"/>
          </w:rPr>
          <w:t>https://doi.org/10.18805/ijar.8421</w:t>
        </w:r>
      </w:hyperlink>
    </w:p>
    <w:p w14:paraId="71F268A3"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Malik, S., &amp; Singh, N. P. (2010). Performance of CARI Nirbheek in agroclimatic conditions of Tripura. </w:t>
      </w:r>
      <w:r w:rsidRPr="004A68D8">
        <w:rPr>
          <w:rFonts w:ascii="Times New Roman" w:eastAsia="Times New Roman" w:hAnsi="Times New Roman" w:cs="Times New Roman"/>
          <w:i/>
          <w:iCs/>
          <w:sz w:val="24"/>
          <w:szCs w:val="24"/>
          <w:lang w:eastAsia="en-US"/>
        </w:rPr>
        <w:t>The Indian Journal of Animal Sciences, 80</w:t>
      </w:r>
      <w:r w:rsidRPr="004A68D8">
        <w:rPr>
          <w:rFonts w:ascii="Times New Roman" w:eastAsia="Times New Roman" w:hAnsi="Times New Roman" w:cs="Times New Roman"/>
          <w:sz w:val="24"/>
          <w:szCs w:val="24"/>
          <w:lang w:eastAsia="en-US"/>
        </w:rPr>
        <w:t xml:space="preserve">(12), 1213–1216. </w:t>
      </w:r>
      <w:hyperlink r:id="rId17" w:tgtFrame="_new" w:history="1">
        <w:r w:rsidRPr="004A68D8">
          <w:rPr>
            <w:rFonts w:ascii="Times New Roman" w:eastAsia="Times New Roman" w:hAnsi="Times New Roman" w:cs="Times New Roman"/>
            <w:color w:val="0000FF"/>
            <w:sz w:val="24"/>
            <w:szCs w:val="24"/>
            <w:u w:val="single"/>
            <w:lang w:eastAsia="en-US"/>
          </w:rPr>
          <w:t>https://epubs.icar.org.in/index.php/IJAnS/article/view/2229</w:t>
        </w:r>
      </w:hyperlink>
    </w:p>
    <w:p w14:paraId="7BA5278D"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lastRenderedPageBreak/>
        <w:t xml:space="preserve">Miyumo, S., Wasike, C. B., </w:t>
      </w:r>
      <w:proofErr w:type="spellStart"/>
      <w:r w:rsidRPr="004A68D8">
        <w:rPr>
          <w:rFonts w:ascii="Times New Roman" w:eastAsia="Times New Roman" w:hAnsi="Times New Roman" w:cs="Times New Roman"/>
          <w:sz w:val="24"/>
          <w:szCs w:val="24"/>
          <w:lang w:eastAsia="en-US"/>
        </w:rPr>
        <w:t>Ilatsia</w:t>
      </w:r>
      <w:proofErr w:type="spellEnd"/>
      <w:r w:rsidRPr="004A68D8">
        <w:rPr>
          <w:rFonts w:ascii="Times New Roman" w:eastAsia="Times New Roman" w:hAnsi="Times New Roman" w:cs="Times New Roman"/>
          <w:sz w:val="24"/>
          <w:szCs w:val="24"/>
          <w:lang w:eastAsia="en-US"/>
        </w:rPr>
        <w:t xml:space="preserve">, E. D., Bennewitz, J., &amp; </w:t>
      </w:r>
      <w:proofErr w:type="spellStart"/>
      <w:r w:rsidRPr="004A68D8">
        <w:rPr>
          <w:rFonts w:ascii="Times New Roman" w:eastAsia="Times New Roman" w:hAnsi="Times New Roman" w:cs="Times New Roman"/>
          <w:sz w:val="24"/>
          <w:szCs w:val="24"/>
          <w:lang w:eastAsia="en-US"/>
        </w:rPr>
        <w:t>Chagunda</w:t>
      </w:r>
      <w:proofErr w:type="spellEnd"/>
      <w:r w:rsidRPr="004A68D8">
        <w:rPr>
          <w:rFonts w:ascii="Times New Roman" w:eastAsia="Times New Roman" w:hAnsi="Times New Roman" w:cs="Times New Roman"/>
          <w:sz w:val="24"/>
          <w:szCs w:val="24"/>
          <w:lang w:eastAsia="en-US"/>
        </w:rPr>
        <w:t xml:space="preserve">, M. G. G. (2024). Evaluation of selection strategies in dual-purpose and specialized breeding of indigenous chicken. </w:t>
      </w:r>
      <w:r w:rsidRPr="004A68D8">
        <w:rPr>
          <w:rFonts w:ascii="Times New Roman" w:eastAsia="Times New Roman" w:hAnsi="Times New Roman" w:cs="Times New Roman"/>
          <w:i/>
          <w:iCs/>
          <w:sz w:val="24"/>
          <w:szCs w:val="24"/>
          <w:lang w:eastAsia="en-US"/>
        </w:rPr>
        <w:t>Poultry Science, 103</w:t>
      </w:r>
      <w:r w:rsidRPr="004A68D8">
        <w:rPr>
          <w:rFonts w:ascii="Times New Roman" w:eastAsia="Times New Roman" w:hAnsi="Times New Roman" w:cs="Times New Roman"/>
          <w:sz w:val="24"/>
          <w:szCs w:val="24"/>
          <w:lang w:eastAsia="en-US"/>
        </w:rPr>
        <w:t xml:space="preserve">(8), Article 103916. </w:t>
      </w:r>
      <w:hyperlink r:id="rId18" w:tgtFrame="_new" w:history="1">
        <w:r w:rsidRPr="004A68D8">
          <w:rPr>
            <w:rFonts w:ascii="Times New Roman" w:eastAsia="Times New Roman" w:hAnsi="Times New Roman" w:cs="Times New Roman"/>
            <w:color w:val="0000FF"/>
            <w:sz w:val="24"/>
            <w:szCs w:val="24"/>
            <w:u w:val="single"/>
            <w:lang w:eastAsia="en-US"/>
          </w:rPr>
          <w:t>https://doi.org/10.1016/j.psj.2024.103916</w:t>
        </w:r>
      </w:hyperlink>
    </w:p>
    <w:p w14:paraId="09EB539F"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Murali, P., &amp; </w:t>
      </w:r>
      <w:proofErr w:type="spellStart"/>
      <w:r w:rsidRPr="004A68D8">
        <w:rPr>
          <w:rFonts w:ascii="Times New Roman" w:eastAsia="Times New Roman" w:hAnsi="Times New Roman" w:cs="Times New Roman"/>
          <w:sz w:val="24"/>
          <w:szCs w:val="24"/>
          <w:lang w:eastAsia="en-US"/>
        </w:rPr>
        <w:t>Vimalarani</w:t>
      </w:r>
      <w:proofErr w:type="spellEnd"/>
      <w:r w:rsidRPr="004A68D8">
        <w:rPr>
          <w:rFonts w:ascii="Times New Roman" w:eastAsia="Times New Roman" w:hAnsi="Times New Roman" w:cs="Times New Roman"/>
          <w:sz w:val="24"/>
          <w:szCs w:val="24"/>
          <w:lang w:eastAsia="en-US"/>
        </w:rPr>
        <w:t xml:space="preserve">, M. (2025). Performance of genetically improved Janapriya chickens as an alternative to backyard poultry in Kallakurichi District, Tamil Nadu, India: A field study. </w:t>
      </w:r>
      <w:r w:rsidRPr="004A68D8">
        <w:rPr>
          <w:rFonts w:ascii="Times New Roman" w:eastAsia="Times New Roman" w:hAnsi="Times New Roman" w:cs="Times New Roman"/>
          <w:i/>
          <w:iCs/>
          <w:sz w:val="24"/>
          <w:szCs w:val="24"/>
          <w:lang w:eastAsia="en-US"/>
        </w:rPr>
        <w:t>Journal of Biology and Nature, 17</w:t>
      </w:r>
      <w:r w:rsidRPr="004A68D8">
        <w:rPr>
          <w:rFonts w:ascii="Times New Roman" w:eastAsia="Times New Roman" w:hAnsi="Times New Roman" w:cs="Times New Roman"/>
          <w:sz w:val="24"/>
          <w:szCs w:val="24"/>
          <w:lang w:eastAsia="en-US"/>
        </w:rPr>
        <w:t xml:space="preserve">(2), 215–222. </w:t>
      </w:r>
      <w:hyperlink r:id="rId19" w:tgtFrame="_new" w:history="1">
        <w:r w:rsidRPr="004A68D8">
          <w:rPr>
            <w:rFonts w:ascii="Times New Roman" w:eastAsia="Times New Roman" w:hAnsi="Times New Roman" w:cs="Times New Roman"/>
            <w:color w:val="0000FF"/>
            <w:sz w:val="24"/>
            <w:szCs w:val="24"/>
            <w:u w:val="single"/>
            <w:lang w:eastAsia="en-US"/>
          </w:rPr>
          <w:t>https://doi.org/10.56557/joban/2025/v17i29537</w:t>
        </w:r>
      </w:hyperlink>
    </w:p>
    <w:p w14:paraId="23F3B6EE"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Muthusamy, N., &amp; Kannan, V. (2025). Growth performance comparison of native chicken with improved variety of Desi bird under the backyard system of rearing. </w:t>
      </w:r>
      <w:r w:rsidRPr="004A68D8">
        <w:rPr>
          <w:rFonts w:ascii="Times New Roman" w:eastAsia="Times New Roman" w:hAnsi="Times New Roman" w:cs="Times New Roman"/>
          <w:i/>
          <w:iCs/>
          <w:sz w:val="24"/>
          <w:szCs w:val="24"/>
          <w:lang w:eastAsia="en-US"/>
        </w:rPr>
        <w:t>Asian Journal of Biology, 21</w:t>
      </w:r>
      <w:r w:rsidRPr="004A68D8">
        <w:rPr>
          <w:rFonts w:ascii="Times New Roman" w:eastAsia="Times New Roman" w:hAnsi="Times New Roman" w:cs="Times New Roman"/>
          <w:sz w:val="24"/>
          <w:szCs w:val="24"/>
          <w:lang w:eastAsia="en-US"/>
        </w:rPr>
        <w:t xml:space="preserve">(5), 1–4. </w:t>
      </w:r>
      <w:hyperlink r:id="rId20" w:tgtFrame="_new" w:history="1">
        <w:r w:rsidRPr="004A68D8">
          <w:rPr>
            <w:rFonts w:ascii="Times New Roman" w:eastAsia="Times New Roman" w:hAnsi="Times New Roman" w:cs="Times New Roman"/>
            <w:color w:val="0000FF"/>
            <w:sz w:val="24"/>
            <w:szCs w:val="24"/>
            <w:u w:val="single"/>
            <w:lang w:eastAsia="en-US"/>
          </w:rPr>
          <w:t>https://doi.org/10.9734/ajob/2025/v21i5501</w:t>
        </w:r>
      </w:hyperlink>
    </w:p>
    <w:p w14:paraId="57BD9CD4"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Niranjan, M., Sharma, R. P., Rajkumar, U., Reddy, B. L. N., Chatterjee, R. N., &amp; Bhattacharya, T. K. (2008). Comparative evaluation of production performance in improved chicken varieties for backyard farming. </w:t>
      </w:r>
      <w:r w:rsidRPr="004A68D8">
        <w:rPr>
          <w:rFonts w:ascii="Times New Roman" w:eastAsia="Times New Roman" w:hAnsi="Times New Roman" w:cs="Times New Roman"/>
          <w:i/>
          <w:iCs/>
          <w:sz w:val="24"/>
          <w:szCs w:val="24"/>
          <w:lang w:eastAsia="en-US"/>
        </w:rPr>
        <w:t>International Journal of Poultry Science, 7</w:t>
      </w:r>
      <w:r w:rsidRPr="004A68D8">
        <w:rPr>
          <w:rFonts w:ascii="Times New Roman" w:eastAsia="Times New Roman" w:hAnsi="Times New Roman" w:cs="Times New Roman"/>
          <w:sz w:val="24"/>
          <w:szCs w:val="24"/>
          <w:lang w:eastAsia="en-US"/>
        </w:rPr>
        <w:t xml:space="preserve">(11), 1128–1131. </w:t>
      </w:r>
      <w:hyperlink r:id="rId21" w:tgtFrame="_new" w:history="1">
        <w:r w:rsidRPr="004A68D8">
          <w:rPr>
            <w:rFonts w:ascii="Times New Roman" w:eastAsia="Times New Roman" w:hAnsi="Times New Roman" w:cs="Times New Roman"/>
            <w:color w:val="0000FF"/>
            <w:sz w:val="24"/>
            <w:szCs w:val="24"/>
            <w:u w:val="single"/>
            <w:lang w:eastAsia="en-US"/>
          </w:rPr>
          <w:t>https://doi.org/10.3923/ijps.2008.1128.1131</w:t>
        </w:r>
      </w:hyperlink>
    </w:p>
    <w:p w14:paraId="20365F16" w14:textId="7325BF51"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Padhi, M. K., Panda, B. K., Sahoo, S. K., Mahapatra, C. M., &amp; Giri, S. C. (2003). Evaluation of different hybrids under free-range system of poultry keeping in coastal Orissa. </w:t>
      </w:r>
      <w:r w:rsidRPr="004A68D8">
        <w:rPr>
          <w:rFonts w:ascii="Times New Roman" w:eastAsia="Times New Roman" w:hAnsi="Times New Roman" w:cs="Times New Roman"/>
          <w:i/>
          <w:iCs/>
          <w:sz w:val="24"/>
          <w:szCs w:val="24"/>
          <w:lang w:eastAsia="en-US"/>
        </w:rPr>
        <w:t>Indian Journal of Poultry Science, 38</w:t>
      </w:r>
      <w:r w:rsidRPr="004A68D8">
        <w:rPr>
          <w:rFonts w:ascii="Times New Roman" w:eastAsia="Times New Roman" w:hAnsi="Times New Roman" w:cs="Times New Roman"/>
          <w:sz w:val="24"/>
          <w:szCs w:val="24"/>
          <w:lang w:eastAsia="en-US"/>
        </w:rPr>
        <w:t xml:space="preserve">(2), 121–125. </w:t>
      </w:r>
    </w:p>
    <w:p w14:paraId="60EAA250"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Padhi, M. K. (2016). Importance of indigenous breeds of chicken for rural economy and their improvements for higher production performance. </w:t>
      </w:r>
      <w:proofErr w:type="spellStart"/>
      <w:r w:rsidRPr="004A68D8">
        <w:rPr>
          <w:rFonts w:ascii="Times New Roman" w:eastAsia="Times New Roman" w:hAnsi="Times New Roman" w:cs="Times New Roman"/>
          <w:i/>
          <w:iCs/>
          <w:sz w:val="24"/>
          <w:szCs w:val="24"/>
          <w:lang w:eastAsia="en-US"/>
        </w:rPr>
        <w:t>Scientifica</w:t>
      </w:r>
      <w:proofErr w:type="spellEnd"/>
      <w:r w:rsidRPr="004A68D8">
        <w:rPr>
          <w:rFonts w:ascii="Times New Roman" w:eastAsia="Times New Roman" w:hAnsi="Times New Roman" w:cs="Times New Roman"/>
          <w:i/>
          <w:iCs/>
          <w:sz w:val="24"/>
          <w:szCs w:val="24"/>
          <w:lang w:eastAsia="en-US"/>
        </w:rPr>
        <w:t>, 2016</w:t>
      </w:r>
      <w:r w:rsidRPr="004A68D8">
        <w:rPr>
          <w:rFonts w:ascii="Times New Roman" w:eastAsia="Times New Roman" w:hAnsi="Times New Roman" w:cs="Times New Roman"/>
          <w:sz w:val="24"/>
          <w:szCs w:val="24"/>
          <w:lang w:eastAsia="en-US"/>
        </w:rPr>
        <w:t xml:space="preserve">, Article 2604685. </w:t>
      </w:r>
      <w:hyperlink r:id="rId22" w:tgtFrame="_new" w:history="1">
        <w:r w:rsidRPr="004A68D8">
          <w:rPr>
            <w:rFonts w:ascii="Times New Roman" w:eastAsia="Times New Roman" w:hAnsi="Times New Roman" w:cs="Times New Roman"/>
            <w:color w:val="0000FF"/>
            <w:sz w:val="24"/>
            <w:szCs w:val="24"/>
            <w:u w:val="single"/>
            <w:lang w:eastAsia="en-US"/>
          </w:rPr>
          <w:t>https://doi.org/10.1155/2016/2604685</w:t>
        </w:r>
      </w:hyperlink>
    </w:p>
    <w:p w14:paraId="2461B04E"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Pym, R. A. E. (2013). Poultry genetics and breeding in developing countries. In </w:t>
      </w:r>
      <w:r w:rsidRPr="004A68D8">
        <w:rPr>
          <w:rFonts w:ascii="Times New Roman" w:eastAsia="Times New Roman" w:hAnsi="Times New Roman" w:cs="Times New Roman"/>
          <w:i/>
          <w:iCs/>
          <w:sz w:val="24"/>
          <w:szCs w:val="24"/>
          <w:lang w:eastAsia="en-US"/>
        </w:rPr>
        <w:t>Poultry development review</w:t>
      </w:r>
      <w:r w:rsidRPr="004A68D8">
        <w:rPr>
          <w:rFonts w:ascii="Times New Roman" w:eastAsia="Times New Roman" w:hAnsi="Times New Roman" w:cs="Times New Roman"/>
          <w:sz w:val="24"/>
          <w:szCs w:val="24"/>
          <w:lang w:eastAsia="en-US"/>
        </w:rPr>
        <w:t xml:space="preserve"> (pp. 80–83). Food and Agriculture Organization of the United Nations. </w:t>
      </w:r>
      <w:hyperlink r:id="rId23" w:tgtFrame="_new" w:history="1">
        <w:r w:rsidRPr="004A68D8">
          <w:rPr>
            <w:rFonts w:ascii="Times New Roman" w:eastAsia="Times New Roman" w:hAnsi="Times New Roman" w:cs="Times New Roman"/>
            <w:color w:val="0000FF"/>
            <w:sz w:val="24"/>
            <w:szCs w:val="24"/>
            <w:u w:val="single"/>
            <w:lang w:eastAsia="en-US"/>
          </w:rPr>
          <w:t>https://www.fao.org/4/i3531e/i3531e.pdf</w:t>
        </w:r>
      </w:hyperlink>
    </w:p>
    <w:p w14:paraId="52B560A0" w14:textId="77777777" w:rsidR="004A68D8" w:rsidRPr="004A68D8" w:rsidRDefault="004A68D8" w:rsidP="004A68D8">
      <w:pPr>
        <w:spacing w:before="100" w:beforeAutospacing="1" w:after="100" w:afterAutospacing="1"/>
        <w:rPr>
          <w:rFonts w:ascii="Times New Roman" w:eastAsia="Times New Roman" w:hAnsi="Times New Roman" w:cs="Times New Roman"/>
          <w:sz w:val="24"/>
          <w:szCs w:val="24"/>
          <w:lang w:eastAsia="en-US"/>
        </w:rPr>
      </w:pPr>
      <w:r w:rsidRPr="004A68D8">
        <w:rPr>
          <w:rFonts w:ascii="Times New Roman" w:eastAsia="Times New Roman" w:hAnsi="Times New Roman" w:cs="Times New Roman"/>
          <w:sz w:val="24"/>
          <w:szCs w:val="24"/>
          <w:lang w:eastAsia="en-US"/>
        </w:rPr>
        <w:t xml:space="preserve">Riaz, Z., Hussain, J., Usman, M., Latif, H. R. A., &amp; Rehman, Z. U. (2024). Meat quality traits and blood biochemistry of three chicken genotypes reared under different production systems. </w:t>
      </w:r>
      <w:r w:rsidRPr="004A68D8">
        <w:rPr>
          <w:rFonts w:ascii="Times New Roman" w:eastAsia="Times New Roman" w:hAnsi="Times New Roman" w:cs="Times New Roman"/>
          <w:i/>
          <w:iCs/>
          <w:sz w:val="24"/>
          <w:szCs w:val="24"/>
          <w:lang w:eastAsia="en-US"/>
        </w:rPr>
        <w:t>Insights in Animal Science, 1</w:t>
      </w:r>
      <w:r w:rsidRPr="004A68D8">
        <w:rPr>
          <w:rFonts w:ascii="Times New Roman" w:eastAsia="Times New Roman" w:hAnsi="Times New Roman" w:cs="Times New Roman"/>
          <w:sz w:val="24"/>
          <w:szCs w:val="24"/>
          <w:lang w:eastAsia="en-US"/>
        </w:rPr>
        <w:t xml:space="preserve">(1), 14–29. </w:t>
      </w:r>
      <w:hyperlink r:id="rId24" w:tgtFrame="_new" w:history="1">
        <w:r w:rsidRPr="004A68D8">
          <w:rPr>
            <w:rFonts w:ascii="Times New Roman" w:eastAsia="Times New Roman" w:hAnsi="Times New Roman" w:cs="Times New Roman"/>
            <w:color w:val="0000FF"/>
            <w:sz w:val="24"/>
            <w:szCs w:val="24"/>
            <w:u w:val="single"/>
            <w:lang w:eastAsia="en-US"/>
          </w:rPr>
          <w:t>https://doi.org/10.69917/ias.01.01-04</w:t>
        </w:r>
      </w:hyperlink>
    </w:p>
    <w:p w14:paraId="754FCA69" w14:textId="77777777" w:rsidR="009B540A" w:rsidRDefault="009B540A">
      <w:pPr>
        <w:spacing w:line="360" w:lineRule="auto"/>
        <w:ind w:left="440" w:hangingChars="200" w:hanging="440"/>
        <w:rPr>
          <w:rFonts w:ascii="Times New Roman" w:eastAsia="sans-serif" w:hAnsi="Times New Roman" w:cs="Times New Roman"/>
          <w:sz w:val="22"/>
          <w:szCs w:val="22"/>
        </w:rPr>
      </w:pPr>
    </w:p>
    <w:sectPr w:rsidR="009B540A">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4E847" w14:textId="77777777" w:rsidR="00D9611C" w:rsidRDefault="00D9611C">
      <w:r>
        <w:separator/>
      </w:r>
    </w:p>
  </w:endnote>
  <w:endnote w:type="continuationSeparator" w:id="0">
    <w:p w14:paraId="691E3674" w14:textId="77777777" w:rsidR="00D9611C" w:rsidRDefault="00D9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E0000AFF" w:usb1="00007843" w:usb2="00000001" w:usb3="00000000" w:csb0="400001BF" w:csb1="DFF70000"/>
  </w:font>
  <w:font w:name="TimesNewRomanPS-BoldMT">
    <w:altName w:val="Times New Roman"/>
    <w:charset w:val="00"/>
    <w:family w:val="auto"/>
    <w:pitch w:val="default"/>
    <w:sig w:usb0="E0000AFF"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IDFont">
    <w:altName w:val="Calibri"/>
    <w:charset w:val="00"/>
    <w:family w:val="auto"/>
    <w:pitch w:val="default"/>
  </w:font>
  <w:font w:name="sans-serif">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8E85" w14:textId="77777777" w:rsidR="009B540A" w:rsidRDefault="009B54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DF63" w14:textId="77777777" w:rsidR="009B540A" w:rsidRDefault="009B54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F1AE" w14:textId="77777777" w:rsidR="009B540A" w:rsidRDefault="009B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8B8D8" w14:textId="77777777" w:rsidR="00D9611C" w:rsidRDefault="00D9611C">
      <w:r>
        <w:separator/>
      </w:r>
    </w:p>
  </w:footnote>
  <w:footnote w:type="continuationSeparator" w:id="0">
    <w:p w14:paraId="35D78C16" w14:textId="77777777" w:rsidR="00D9611C" w:rsidRDefault="00D96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6647" w14:textId="77777777" w:rsidR="009B540A" w:rsidRDefault="00000000">
    <w:pPr>
      <w:pStyle w:val="Header"/>
    </w:pPr>
    <w:r>
      <w:pict w14:anchorId="251438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7" o:spid="_x0000_s1026" type="#_x0000_t136" style="position:absolute;margin-left:0;margin-top:0;width:493.05pt;height:92.4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4DC9" w14:textId="77777777" w:rsidR="009B540A" w:rsidRDefault="00000000">
    <w:pPr>
      <w:pStyle w:val="Header"/>
    </w:pPr>
    <w:r>
      <w:pict w14:anchorId="13CA09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8" o:spid="_x0000_s1027" type="#_x0000_t136" style="position:absolute;margin-left:0;margin-top:0;width:493.05pt;height:92.4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13FD" w14:textId="77777777" w:rsidR="009B540A" w:rsidRDefault="00000000">
    <w:pPr>
      <w:pStyle w:val="Header"/>
    </w:pPr>
    <w:r>
      <w:pict w14:anchorId="48E61C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6" o:spid="_x0000_s1025" type="#_x0000_t136" style="position:absolute;margin-left:0;margin-top:0;width:493.05pt;height:92.45pt;rotation:315;z-index:-251657216;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sjQ3MDIytzQxMTAzMjJW0lEKTi0uzszPAykwrAUAO0q9xiwAAAA="/>
  </w:docVars>
  <w:rsids>
    <w:rsidRoot w:val="5D733791"/>
    <w:rsid w:val="00046F22"/>
    <w:rsid w:val="00060538"/>
    <w:rsid w:val="000B20AD"/>
    <w:rsid w:val="000B6076"/>
    <w:rsid w:val="000C0457"/>
    <w:rsid w:val="001246C6"/>
    <w:rsid w:val="00165D3D"/>
    <w:rsid w:val="001707F9"/>
    <w:rsid w:val="00170D43"/>
    <w:rsid w:val="002259BD"/>
    <w:rsid w:val="002C6A20"/>
    <w:rsid w:val="002E36E5"/>
    <w:rsid w:val="00353555"/>
    <w:rsid w:val="0036170A"/>
    <w:rsid w:val="00373CDE"/>
    <w:rsid w:val="00377CFB"/>
    <w:rsid w:val="003F4DF8"/>
    <w:rsid w:val="00490D95"/>
    <w:rsid w:val="00494C7A"/>
    <w:rsid w:val="004A68D8"/>
    <w:rsid w:val="004A7F5A"/>
    <w:rsid w:val="004C1980"/>
    <w:rsid w:val="004D4145"/>
    <w:rsid w:val="005F647B"/>
    <w:rsid w:val="006362C0"/>
    <w:rsid w:val="006E34DC"/>
    <w:rsid w:val="006F56A3"/>
    <w:rsid w:val="0072247E"/>
    <w:rsid w:val="00743006"/>
    <w:rsid w:val="00762413"/>
    <w:rsid w:val="007B76E0"/>
    <w:rsid w:val="007D62AB"/>
    <w:rsid w:val="00940B87"/>
    <w:rsid w:val="009914B3"/>
    <w:rsid w:val="009B540A"/>
    <w:rsid w:val="00A3313C"/>
    <w:rsid w:val="00AB1D86"/>
    <w:rsid w:val="00AF7721"/>
    <w:rsid w:val="00B3675B"/>
    <w:rsid w:val="00B71A5D"/>
    <w:rsid w:val="00BA425B"/>
    <w:rsid w:val="00BAD8FD"/>
    <w:rsid w:val="00C12AF3"/>
    <w:rsid w:val="00C527D1"/>
    <w:rsid w:val="00CA1C5C"/>
    <w:rsid w:val="00CB7D38"/>
    <w:rsid w:val="00D350B1"/>
    <w:rsid w:val="00D37776"/>
    <w:rsid w:val="00D43CBD"/>
    <w:rsid w:val="00D7573A"/>
    <w:rsid w:val="00D9611C"/>
    <w:rsid w:val="00D96A32"/>
    <w:rsid w:val="00E7F778"/>
    <w:rsid w:val="00F56262"/>
    <w:rsid w:val="01C48A5B"/>
    <w:rsid w:val="023318B6"/>
    <w:rsid w:val="0248B7EE"/>
    <w:rsid w:val="02AD9FA9"/>
    <w:rsid w:val="02B26269"/>
    <w:rsid w:val="03CC6C26"/>
    <w:rsid w:val="04116B1B"/>
    <w:rsid w:val="0416493B"/>
    <w:rsid w:val="046A8A68"/>
    <w:rsid w:val="0470FD48"/>
    <w:rsid w:val="048D0D36"/>
    <w:rsid w:val="04C427DB"/>
    <w:rsid w:val="050E7269"/>
    <w:rsid w:val="0566B549"/>
    <w:rsid w:val="05930ECA"/>
    <w:rsid w:val="05ACAB88"/>
    <w:rsid w:val="0675D950"/>
    <w:rsid w:val="067A9479"/>
    <w:rsid w:val="0761CC82"/>
    <w:rsid w:val="07D917F9"/>
    <w:rsid w:val="0925BF79"/>
    <w:rsid w:val="096DBE87"/>
    <w:rsid w:val="09CFD34D"/>
    <w:rsid w:val="0A16ECAE"/>
    <w:rsid w:val="0A199D0F"/>
    <w:rsid w:val="0A2BC9A6"/>
    <w:rsid w:val="0A43F236"/>
    <w:rsid w:val="0AE0CCF3"/>
    <w:rsid w:val="0AFA09A7"/>
    <w:rsid w:val="0B0097E6"/>
    <w:rsid w:val="0B4BD457"/>
    <w:rsid w:val="0B6AF267"/>
    <w:rsid w:val="0CBAA1EF"/>
    <w:rsid w:val="0D5277D8"/>
    <w:rsid w:val="0D68D9F0"/>
    <w:rsid w:val="0D736F8B"/>
    <w:rsid w:val="0E0EB730"/>
    <w:rsid w:val="0E87EB5D"/>
    <w:rsid w:val="0ED69EF7"/>
    <w:rsid w:val="0F267799"/>
    <w:rsid w:val="0F35EC7A"/>
    <w:rsid w:val="0F81508F"/>
    <w:rsid w:val="0FB0C613"/>
    <w:rsid w:val="10A7DEC3"/>
    <w:rsid w:val="10BEB32D"/>
    <w:rsid w:val="1133D42E"/>
    <w:rsid w:val="11361A10"/>
    <w:rsid w:val="1144D512"/>
    <w:rsid w:val="114611B8"/>
    <w:rsid w:val="11677015"/>
    <w:rsid w:val="11B674DE"/>
    <w:rsid w:val="11D26878"/>
    <w:rsid w:val="1215558E"/>
    <w:rsid w:val="12B29CA0"/>
    <w:rsid w:val="1388CA0C"/>
    <w:rsid w:val="139CC71B"/>
    <w:rsid w:val="13D62D70"/>
    <w:rsid w:val="149B9E90"/>
    <w:rsid w:val="15B05805"/>
    <w:rsid w:val="15D9193B"/>
    <w:rsid w:val="169BDA0C"/>
    <w:rsid w:val="18E9E2C2"/>
    <w:rsid w:val="191E7B2E"/>
    <w:rsid w:val="1AF0C7C8"/>
    <w:rsid w:val="1B0E7B39"/>
    <w:rsid w:val="1BB00451"/>
    <w:rsid w:val="1BFC4BBD"/>
    <w:rsid w:val="1BFE5705"/>
    <w:rsid w:val="1C0D3616"/>
    <w:rsid w:val="1CFAD8D8"/>
    <w:rsid w:val="1CFDFEA5"/>
    <w:rsid w:val="1D01CD37"/>
    <w:rsid w:val="1D3BF51C"/>
    <w:rsid w:val="1DA15B26"/>
    <w:rsid w:val="1E1655AF"/>
    <w:rsid w:val="1EF964EE"/>
    <w:rsid w:val="1F0929A3"/>
    <w:rsid w:val="1FF66208"/>
    <w:rsid w:val="20BBCF0A"/>
    <w:rsid w:val="210F541A"/>
    <w:rsid w:val="220F00A8"/>
    <w:rsid w:val="22E6B236"/>
    <w:rsid w:val="237FF40B"/>
    <w:rsid w:val="24696784"/>
    <w:rsid w:val="2486AE4B"/>
    <w:rsid w:val="24B75274"/>
    <w:rsid w:val="25F6E192"/>
    <w:rsid w:val="2623E9B3"/>
    <w:rsid w:val="26275CA1"/>
    <w:rsid w:val="283FB33B"/>
    <w:rsid w:val="286602F5"/>
    <w:rsid w:val="286676AD"/>
    <w:rsid w:val="28D17EB7"/>
    <w:rsid w:val="29BD4A8D"/>
    <w:rsid w:val="29DE5698"/>
    <w:rsid w:val="2A3D54CB"/>
    <w:rsid w:val="2A518F21"/>
    <w:rsid w:val="2A72D128"/>
    <w:rsid w:val="2A73BFB9"/>
    <w:rsid w:val="2A7B90EC"/>
    <w:rsid w:val="2ADFE7E0"/>
    <w:rsid w:val="2B13E0BB"/>
    <w:rsid w:val="2B1CABC0"/>
    <w:rsid w:val="2B3CF8C1"/>
    <w:rsid w:val="2B456856"/>
    <w:rsid w:val="2B6B87D1"/>
    <w:rsid w:val="2CBDE563"/>
    <w:rsid w:val="2CF65072"/>
    <w:rsid w:val="2DF297AC"/>
    <w:rsid w:val="2DFA6210"/>
    <w:rsid w:val="2E2A848C"/>
    <w:rsid w:val="2EE13E4E"/>
    <w:rsid w:val="2FEEE099"/>
    <w:rsid w:val="3016B2C3"/>
    <w:rsid w:val="3031DB2F"/>
    <w:rsid w:val="30F48D83"/>
    <w:rsid w:val="3334177E"/>
    <w:rsid w:val="3387F433"/>
    <w:rsid w:val="33BDCD8A"/>
    <w:rsid w:val="3504B6A8"/>
    <w:rsid w:val="357DA216"/>
    <w:rsid w:val="36236E66"/>
    <w:rsid w:val="36B711C5"/>
    <w:rsid w:val="36F8B745"/>
    <w:rsid w:val="36FD3ACF"/>
    <w:rsid w:val="36FF8567"/>
    <w:rsid w:val="375C22D9"/>
    <w:rsid w:val="38204BE6"/>
    <w:rsid w:val="382D22E2"/>
    <w:rsid w:val="3834BFA0"/>
    <w:rsid w:val="387CC1E5"/>
    <w:rsid w:val="38E95E3C"/>
    <w:rsid w:val="3991AA4A"/>
    <w:rsid w:val="39E365C7"/>
    <w:rsid w:val="3B551C2A"/>
    <w:rsid w:val="3BAF3951"/>
    <w:rsid w:val="3C0D9400"/>
    <w:rsid w:val="3C2D278E"/>
    <w:rsid w:val="3C4A1422"/>
    <w:rsid w:val="3C92DDA3"/>
    <w:rsid w:val="3D302D55"/>
    <w:rsid w:val="3D773029"/>
    <w:rsid w:val="3D7E6070"/>
    <w:rsid w:val="3E380C62"/>
    <w:rsid w:val="3E3CC037"/>
    <w:rsid w:val="3E5B0900"/>
    <w:rsid w:val="3EE7B220"/>
    <w:rsid w:val="3EEFB7C8"/>
    <w:rsid w:val="3F6B7518"/>
    <w:rsid w:val="405E1DDD"/>
    <w:rsid w:val="4066BA28"/>
    <w:rsid w:val="41CFF876"/>
    <w:rsid w:val="41EC92FC"/>
    <w:rsid w:val="4203BEFA"/>
    <w:rsid w:val="421DC81C"/>
    <w:rsid w:val="43988BC5"/>
    <w:rsid w:val="442F4448"/>
    <w:rsid w:val="44AB45FD"/>
    <w:rsid w:val="44C39CE3"/>
    <w:rsid w:val="452D49FC"/>
    <w:rsid w:val="45B3E106"/>
    <w:rsid w:val="46742AF9"/>
    <w:rsid w:val="47970B50"/>
    <w:rsid w:val="47D4AFDC"/>
    <w:rsid w:val="47E364D3"/>
    <w:rsid w:val="47E45DE2"/>
    <w:rsid w:val="480E3ADE"/>
    <w:rsid w:val="4837FE21"/>
    <w:rsid w:val="4842F718"/>
    <w:rsid w:val="48564A2C"/>
    <w:rsid w:val="49C8BE61"/>
    <w:rsid w:val="49FE2628"/>
    <w:rsid w:val="49FE496E"/>
    <w:rsid w:val="4B18C672"/>
    <w:rsid w:val="4B8A160D"/>
    <w:rsid w:val="4C722F73"/>
    <w:rsid w:val="4CD9E64A"/>
    <w:rsid w:val="4DFC1B1B"/>
    <w:rsid w:val="4E3C40D6"/>
    <w:rsid w:val="4E69D185"/>
    <w:rsid w:val="4FF9B016"/>
    <w:rsid w:val="504775A2"/>
    <w:rsid w:val="504D1C89"/>
    <w:rsid w:val="508E6783"/>
    <w:rsid w:val="51C897D7"/>
    <w:rsid w:val="529148B5"/>
    <w:rsid w:val="52ED8FAA"/>
    <w:rsid w:val="5323043E"/>
    <w:rsid w:val="536E0496"/>
    <w:rsid w:val="53784D1C"/>
    <w:rsid w:val="54141B88"/>
    <w:rsid w:val="55F30EB1"/>
    <w:rsid w:val="57363CFC"/>
    <w:rsid w:val="57C7B9BB"/>
    <w:rsid w:val="57D612CF"/>
    <w:rsid w:val="586567D4"/>
    <w:rsid w:val="5986C3F2"/>
    <w:rsid w:val="59FAF9B1"/>
    <w:rsid w:val="5A1CE1A3"/>
    <w:rsid w:val="5A47DE8C"/>
    <w:rsid w:val="5A93A261"/>
    <w:rsid w:val="5BACE231"/>
    <w:rsid w:val="5BF1CC5E"/>
    <w:rsid w:val="5C7AF52B"/>
    <w:rsid w:val="5CC1E355"/>
    <w:rsid w:val="5D4E2BFA"/>
    <w:rsid w:val="5D733791"/>
    <w:rsid w:val="5D879698"/>
    <w:rsid w:val="5DAC88D1"/>
    <w:rsid w:val="5DFBFD56"/>
    <w:rsid w:val="5E5268E3"/>
    <w:rsid w:val="5E977D32"/>
    <w:rsid w:val="5F4446D9"/>
    <w:rsid w:val="5FB29CB7"/>
    <w:rsid w:val="60BBA500"/>
    <w:rsid w:val="62528BD4"/>
    <w:rsid w:val="629C7FBD"/>
    <w:rsid w:val="62E32D37"/>
    <w:rsid w:val="634705F1"/>
    <w:rsid w:val="64411383"/>
    <w:rsid w:val="644F08CC"/>
    <w:rsid w:val="64AD0259"/>
    <w:rsid w:val="64E4F3B1"/>
    <w:rsid w:val="658155A1"/>
    <w:rsid w:val="6587D343"/>
    <w:rsid w:val="65D4838E"/>
    <w:rsid w:val="65EA7947"/>
    <w:rsid w:val="673057ED"/>
    <w:rsid w:val="6764C9D9"/>
    <w:rsid w:val="679B4F01"/>
    <w:rsid w:val="67DF4063"/>
    <w:rsid w:val="6821BA4F"/>
    <w:rsid w:val="686E65EC"/>
    <w:rsid w:val="690CE286"/>
    <w:rsid w:val="691D57CD"/>
    <w:rsid w:val="69B93B4F"/>
    <w:rsid w:val="6A697662"/>
    <w:rsid w:val="6A9DDB78"/>
    <w:rsid w:val="6B8E20B1"/>
    <w:rsid w:val="6C0275ED"/>
    <w:rsid w:val="6C3BCFCA"/>
    <w:rsid w:val="6C3CE07F"/>
    <w:rsid w:val="6C5714B0"/>
    <w:rsid w:val="6CB66843"/>
    <w:rsid w:val="6CEFFA9B"/>
    <w:rsid w:val="6E07D04C"/>
    <w:rsid w:val="6E328D48"/>
    <w:rsid w:val="6EABF7E2"/>
    <w:rsid w:val="70320936"/>
    <w:rsid w:val="7045FDC1"/>
    <w:rsid w:val="706F3695"/>
    <w:rsid w:val="7083D8D3"/>
    <w:rsid w:val="70F31AB5"/>
    <w:rsid w:val="713E0B8E"/>
    <w:rsid w:val="7195522F"/>
    <w:rsid w:val="721E0C5D"/>
    <w:rsid w:val="7284ADB8"/>
    <w:rsid w:val="7378C886"/>
    <w:rsid w:val="739D2218"/>
    <w:rsid w:val="742D3A16"/>
    <w:rsid w:val="75464A65"/>
    <w:rsid w:val="75F911F6"/>
    <w:rsid w:val="76F9372D"/>
    <w:rsid w:val="77283423"/>
    <w:rsid w:val="774C36BA"/>
    <w:rsid w:val="78698292"/>
    <w:rsid w:val="7903F925"/>
    <w:rsid w:val="790C770B"/>
    <w:rsid w:val="799CC021"/>
    <w:rsid w:val="799F21E4"/>
    <w:rsid w:val="7A0686CF"/>
    <w:rsid w:val="7A77B2EF"/>
    <w:rsid w:val="7CCE5D95"/>
    <w:rsid w:val="7D097E48"/>
    <w:rsid w:val="7D54A735"/>
    <w:rsid w:val="7D80E0FE"/>
    <w:rsid w:val="7DFF25DB"/>
    <w:rsid w:val="7EB1741D"/>
    <w:rsid w:val="7EE741B4"/>
    <w:rsid w:val="7F9ACABF"/>
    <w:rsid w:val="A3F7F8C6"/>
    <w:rsid w:val="BE1BCE1C"/>
    <w:rsid w:val="DEF77C26"/>
    <w:rsid w:val="EBCF3566"/>
    <w:rsid w:val="EFEF69EF"/>
    <w:rsid w:val="F35D2161"/>
    <w:rsid w:val="FDFDCC86"/>
    <w:rsid w:val="FEBE3015"/>
    <w:rsid w:val="FFB94896"/>
    <w:rsid w:val="FFCB7D4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2FF7E"/>
  <w15:docId w15:val="{7D57BB3E-249B-4A96-AAED-1A35B2BB5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styleId="Emphasis">
    <w:name w:val="Emphasis"/>
    <w:basedOn w:val="DefaultParagraphFont"/>
    <w:qFormat/>
    <w:rPr>
      <w:i/>
      <w:iCs/>
    </w:rPr>
  </w:style>
  <w:style w:type="paragraph" w:styleId="Footer">
    <w:name w:val="footer"/>
    <w:basedOn w:val="Normal"/>
    <w:link w:val="FooterChar"/>
    <w:pPr>
      <w:tabs>
        <w:tab w:val="center" w:pos="4680"/>
        <w:tab w:val="right" w:pos="9360"/>
      </w:tabs>
    </w:pPr>
  </w:style>
  <w:style w:type="paragraph" w:styleId="Header">
    <w:name w:val="header"/>
    <w:basedOn w:val="Normal"/>
    <w:link w:val="HeaderChar"/>
    <w:pPr>
      <w:tabs>
        <w:tab w:val="center" w:pos="4680"/>
        <w:tab w:val="right" w:pos="9360"/>
      </w:tabs>
    </w:pPr>
  </w:style>
  <w:style w:type="character" w:styleId="Hyperlink">
    <w:name w:val="Hyperlink"/>
    <w:basedOn w:val="DefaultParagraphFont"/>
    <w:rPr>
      <w:color w:val="0000FF"/>
      <w:u w:val="single"/>
    </w:rPr>
  </w:style>
  <w:style w:type="paragraph" w:styleId="NormalWeb">
    <w:name w:val="Normal (Web)"/>
    <w:basedOn w:val="Normal"/>
    <w:rPr>
      <w:sz w:val="24"/>
      <w:szCs w:val="24"/>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rPr>
      <w:rFonts w:cs="Mangal"/>
      <w:color w:val="000000"/>
      <w:sz w:val="18"/>
      <w:szCs w:val="18"/>
      <w:lang w:eastAsia="zh-CN" w:bidi="hi-IN"/>
    </w:rPr>
  </w:style>
  <w:style w:type="paragraph" w:customStyle="1" w:styleId="Normal1">
    <w:name w:val="Normal1"/>
    <w:pPr>
      <w:spacing w:after="160" w:line="259" w:lineRule="auto"/>
    </w:pPr>
    <w:rPr>
      <w:rFonts w:ascii="Calibri" w:eastAsia="Calibri" w:hAnsi="Calibri" w:cs="Calibri"/>
      <w:sz w:val="22"/>
      <w:szCs w:val="22"/>
      <w:lang w:val="en-IN" w:bidi="hi-IN"/>
    </w:rPr>
  </w:style>
  <w:style w:type="character" w:customStyle="1" w:styleId="BalloonTextChar">
    <w:name w:val="Balloon Text Char"/>
    <w:basedOn w:val="DefaultParagraphFont"/>
    <w:link w:val="BalloonText"/>
    <w:rPr>
      <w:rFonts w:ascii="Tahoma" w:eastAsiaTheme="minorEastAsia" w:hAnsi="Tahoma" w:cs="Tahoma"/>
      <w:sz w:val="16"/>
      <w:szCs w:val="16"/>
      <w:lang w:eastAsia="zh-CN" w:bidi="ar-SA"/>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rPr>
      <w:rFonts w:asciiTheme="minorHAnsi" w:eastAsiaTheme="minorEastAsia" w:hAnsiTheme="minorHAnsi" w:cstheme="minorBidi"/>
      <w:lang w:eastAsia="zh-CN" w:bidi="ar-SA"/>
    </w:rPr>
  </w:style>
  <w:style w:type="character" w:customStyle="1" w:styleId="FooterChar">
    <w:name w:val="Footer Char"/>
    <w:basedOn w:val="DefaultParagraphFont"/>
    <w:link w:val="Footer"/>
    <w:rPr>
      <w:rFonts w:asciiTheme="minorHAnsi" w:eastAsiaTheme="minorEastAsia" w:hAnsiTheme="minorHAnsi" w:cstheme="minorBidi"/>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16/j.psj.2023.103284" TargetMode="External"/><Relationship Id="rId18" Type="http://schemas.openxmlformats.org/officeDocument/2006/relationships/hyperlink" Target="https://doi.org/10.1016/j.psj.2024.103916"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3923/ijps.2008.1128.1131" TargetMode="External"/><Relationship Id="rId7" Type="http://schemas.openxmlformats.org/officeDocument/2006/relationships/chart" Target="charts/chart1.xml"/><Relationship Id="rId12" Type="http://schemas.openxmlformats.org/officeDocument/2006/relationships/hyperlink" Target="https://doi.org/10.56093/ijans.v86i12.66048" TargetMode="External"/><Relationship Id="rId17" Type="http://schemas.openxmlformats.org/officeDocument/2006/relationships/hyperlink" Target="https://epubs.icar.org.in/index.php/IJAnS/article/view/2229?utm_source=chatgpt.com"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8805/ijar.8421" TargetMode="External"/><Relationship Id="rId20" Type="http://schemas.openxmlformats.org/officeDocument/2006/relationships/hyperlink" Target="https://doi.org/10.9734/ajob/2025/v21i550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80/00071668.2023.2246142" TargetMode="External"/><Relationship Id="rId24" Type="http://schemas.openxmlformats.org/officeDocument/2006/relationships/hyperlink" Target="https://doi.org/10.69917/ias.01.01-04"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car.gov.in/sites/default/files/inline-files/livestock-and-polutry-01_0.pdf?utm_source=chatgpt.com" TargetMode="External"/><Relationship Id="rId23" Type="http://schemas.openxmlformats.org/officeDocument/2006/relationships/hyperlink" Target="https://www.fao.org/4/i3531e/i3531e.pdf?utm_source=chatgpt.com" TargetMode="External"/><Relationship Id="rId28" Type="http://schemas.openxmlformats.org/officeDocument/2006/relationships/footer" Target="footer2.xml"/><Relationship Id="rId10" Type="http://schemas.openxmlformats.org/officeDocument/2006/relationships/chart" Target="charts/chart4.xml"/><Relationship Id="rId19" Type="http://schemas.openxmlformats.org/officeDocument/2006/relationships/hyperlink" Target="https://doi.org/10.56557/joban/2025/v17i29537"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3382/ps.2010-01013" TargetMode="External"/><Relationship Id="rId22" Type="http://schemas.openxmlformats.org/officeDocument/2006/relationships/hyperlink" Target="https://doi.org/10.1155/2016/2604685"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sz="1000">
                <a:latin typeface="Times New Roman Bold" panose="02020503050405090304" charset="0"/>
                <a:cs typeface="Times New Roman Bold" panose="02020503050405090304" charset="0"/>
              </a:rPr>
              <a:t>BODY WEIGHT (gm)</a:t>
            </a:r>
          </a:p>
        </c:rich>
      </c:tx>
      <c:layout>
        <c:manualLayout>
          <c:xMode val="edge"/>
          <c:yMode val="edge"/>
          <c:x val="0.31516116195782001"/>
          <c:y val="1.5275921329005199E-2"/>
        </c:manualLayout>
      </c:layout>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[Workbook1]Sheet1!$I$2:$I$15</c:f>
              <c:numCache>
                <c:formatCode>General</c:formatCode>
                <c:ptCount val="14"/>
                <c:pt idx="0">
                  <c:v>33.380000000000003</c:v>
                </c:pt>
                <c:pt idx="1">
                  <c:v>76.03</c:v>
                </c:pt>
                <c:pt idx="2">
                  <c:v>126.76</c:v>
                </c:pt>
                <c:pt idx="3">
                  <c:v>201.35</c:v>
                </c:pt>
                <c:pt idx="4">
                  <c:v>291.76</c:v>
                </c:pt>
                <c:pt idx="5">
                  <c:v>444.91</c:v>
                </c:pt>
                <c:pt idx="6">
                  <c:v>629.07000000000005</c:v>
                </c:pt>
                <c:pt idx="7">
                  <c:v>870.49</c:v>
                </c:pt>
                <c:pt idx="8">
                  <c:v>1100.69</c:v>
                </c:pt>
                <c:pt idx="9">
                  <c:v>1202.22</c:v>
                </c:pt>
                <c:pt idx="10">
                  <c:v>1348.55</c:v>
                </c:pt>
                <c:pt idx="11">
                  <c:v>1611.95</c:v>
                </c:pt>
                <c:pt idx="12">
                  <c:v>1976.01</c:v>
                </c:pt>
                <c:pt idx="13">
                  <c:v>2221.5700000000002</c:v>
                </c:pt>
              </c:numCache>
            </c:numRef>
          </c:val>
          <c:extLst>
            <c:ext xmlns:c16="http://schemas.microsoft.com/office/drawing/2014/chart" uri="{C3380CC4-5D6E-409C-BE32-E72D297353CC}">
              <c16:uniqueId val="{00000000-EAB5-41EC-903A-2232FDF44DDD}"/>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[Workbook1]Sheet1!$J$2:$J$15</c:f>
              <c:numCache>
                <c:formatCode>General</c:formatCode>
                <c:ptCount val="14"/>
                <c:pt idx="0">
                  <c:v>38.76</c:v>
                </c:pt>
                <c:pt idx="1">
                  <c:v>89.35</c:v>
                </c:pt>
                <c:pt idx="2">
                  <c:v>145.63</c:v>
                </c:pt>
                <c:pt idx="3">
                  <c:v>198.35</c:v>
                </c:pt>
                <c:pt idx="4">
                  <c:v>292.79000000000002</c:v>
                </c:pt>
                <c:pt idx="5">
                  <c:v>370.95</c:v>
                </c:pt>
                <c:pt idx="6">
                  <c:v>464.78</c:v>
                </c:pt>
                <c:pt idx="7">
                  <c:v>696.56</c:v>
                </c:pt>
                <c:pt idx="8">
                  <c:v>902.1</c:v>
                </c:pt>
                <c:pt idx="9">
                  <c:v>1081.6300000000001</c:v>
                </c:pt>
                <c:pt idx="10">
                  <c:v>1312.96</c:v>
                </c:pt>
                <c:pt idx="11">
                  <c:v>1463.66</c:v>
                </c:pt>
                <c:pt idx="12">
                  <c:v>1640.72</c:v>
                </c:pt>
                <c:pt idx="13">
                  <c:v>1923.18</c:v>
                </c:pt>
              </c:numCache>
            </c:numRef>
          </c:val>
          <c:extLst>
            <c:ext xmlns:c16="http://schemas.microsoft.com/office/drawing/2014/chart" uri="{C3380CC4-5D6E-409C-BE32-E72D297353CC}">
              <c16:uniqueId val="{00000001-EAB5-41EC-903A-2232FDF44DDD}"/>
            </c:ext>
          </c:extLst>
        </c:ser>
        <c:dLbls>
          <c:showLegendKey val="0"/>
          <c:showVal val="0"/>
          <c:showCatName val="0"/>
          <c:showSerName val="0"/>
          <c:showPercent val="0"/>
          <c:showBubbleSize val="0"/>
        </c:dLbls>
        <c:gapWidth val="246"/>
        <c:overlap val="-28"/>
        <c:axId val="54818304"/>
        <c:axId val="54820224"/>
      </c:barChart>
      <c:catAx>
        <c:axId val="54818304"/>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20224"/>
        <c:crosses val="autoZero"/>
        <c:auto val="1"/>
        <c:lblAlgn val="ctr"/>
        <c:lblOffset val="100"/>
        <c:noMultiLvlLbl val="0"/>
      </c:catAx>
      <c:valAx>
        <c:axId val="54820224"/>
        <c:scaling>
          <c:orientation val="minMax"/>
        </c:scaling>
        <c:delete val="0"/>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Body wt. (gm)</a:t>
                </a:r>
              </a:p>
            </c:rich>
          </c:tx>
          <c:overlay val="0"/>
          <c:spPr>
            <a:noFill/>
            <a:ln>
              <a:noFill/>
            </a:ln>
            <a:effectLst/>
          </c:spPr>
        </c:title>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1830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47d68b2-c7b3-4058-ad13-39c93bf39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800" b="1" i="0" u="none" strike="noStrike" kern="1200" baseline="0">
                <a:solidFill>
                  <a:schemeClr val="tx1"/>
                </a:solidFill>
                <a:latin typeface="+mn-lt"/>
                <a:ea typeface="+mn-ea"/>
                <a:cs typeface="+mn-cs"/>
              </a:defRPr>
            </a:pPr>
            <a:r>
              <a:rPr lang="en-US"/>
              <a:t>	Feed</a:t>
            </a:r>
            <a:r>
              <a:rPr lang="en-US" baseline="0"/>
              <a:t> Intake</a:t>
            </a:r>
            <a:endParaRPr lang="en-US"/>
          </a:p>
        </c:rich>
      </c:tx>
      <c:overlay val="0"/>
    </c:title>
    <c:autoTitleDeleted val="0"/>
    <c:plotArea>
      <c:layout/>
      <c:barChart>
        <c:barDir val="col"/>
        <c:grouping val="clustered"/>
        <c:varyColors val="0"/>
        <c:ser>
          <c:idx val="0"/>
          <c:order val="0"/>
          <c:tx>
            <c:strRef>
              <c:f>Sheet1!$B$2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Sheet1!$B$3:$B$15</c:f>
              <c:numCache>
                <c:formatCode>General</c:formatCode>
                <c:ptCount val="13"/>
                <c:pt idx="0">
                  <c:v>4.32</c:v>
                </c:pt>
                <c:pt idx="1">
                  <c:v>6.85</c:v>
                </c:pt>
                <c:pt idx="2">
                  <c:v>9.11</c:v>
                </c:pt>
                <c:pt idx="3">
                  <c:v>12.6</c:v>
                </c:pt>
                <c:pt idx="4">
                  <c:v>17.71</c:v>
                </c:pt>
                <c:pt idx="5">
                  <c:v>23.3</c:v>
                </c:pt>
                <c:pt idx="6">
                  <c:v>52.41</c:v>
                </c:pt>
                <c:pt idx="7">
                  <c:v>52.3</c:v>
                </c:pt>
                <c:pt idx="8">
                  <c:v>52.1</c:v>
                </c:pt>
                <c:pt idx="9">
                  <c:v>57.7</c:v>
                </c:pt>
                <c:pt idx="10">
                  <c:v>61.1</c:v>
                </c:pt>
                <c:pt idx="11">
                  <c:v>73.5</c:v>
                </c:pt>
                <c:pt idx="12">
                  <c:v>76</c:v>
                </c:pt>
              </c:numCache>
            </c:numRef>
          </c:val>
          <c:extLst>
            <c:ext xmlns:c16="http://schemas.microsoft.com/office/drawing/2014/chart" uri="{C3380CC4-5D6E-409C-BE32-E72D297353CC}">
              <c16:uniqueId val="{00000000-EB27-4E51-92B9-285218C8B382}"/>
            </c:ext>
          </c:extLst>
        </c:ser>
        <c:ser>
          <c:idx val="1"/>
          <c:order val="1"/>
          <c:tx>
            <c:strRef>
              <c:f>Sheet1!$C$2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Sheet1!$C$3:$C$15</c:f>
              <c:numCache>
                <c:formatCode>General</c:formatCode>
                <c:ptCount val="13"/>
                <c:pt idx="0">
                  <c:v>5.39</c:v>
                </c:pt>
                <c:pt idx="1">
                  <c:v>8.84</c:v>
                </c:pt>
                <c:pt idx="2">
                  <c:v>12.3</c:v>
                </c:pt>
                <c:pt idx="3">
                  <c:v>15.4</c:v>
                </c:pt>
                <c:pt idx="4">
                  <c:v>22.52</c:v>
                </c:pt>
                <c:pt idx="5">
                  <c:v>27.9</c:v>
                </c:pt>
                <c:pt idx="6">
                  <c:v>44.7</c:v>
                </c:pt>
                <c:pt idx="7">
                  <c:v>51</c:v>
                </c:pt>
                <c:pt idx="8">
                  <c:v>53.53</c:v>
                </c:pt>
                <c:pt idx="9">
                  <c:v>69.099999999999994</c:v>
                </c:pt>
                <c:pt idx="10">
                  <c:v>75</c:v>
                </c:pt>
                <c:pt idx="11">
                  <c:v>83</c:v>
                </c:pt>
                <c:pt idx="12">
                  <c:v>85.8</c:v>
                </c:pt>
              </c:numCache>
            </c:numRef>
          </c:val>
          <c:extLst>
            <c:ext xmlns:c16="http://schemas.microsoft.com/office/drawing/2014/chart" uri="{C3380CC4-5D6E-409C-BE32-E72D297353CC}">
              <c16:uniqueId val="{00000001-EB27-4E51-92B9-285218C8B382}"/>
            </c:ext>
          </c:extLst>
        </c:ser>
        <c:dLbls>
          <c:showLegendKey val="0"/>
          <c:showVal val="0"/>
          <c:showCatName val="0"/>
          <c:showSerName val="0"/>
          <c:showPercent val="0"/>
          <c:showBubbleSize val="0"/>
        </c:dLbls>
        <c:gapWidth val="150"/>
        <c:axId val="68702976"/>
        <c:axId val="68704896"/>
      </c:barChart>
      <c:catAx>
        <c:axId val="6870297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68704896"/>
        <c:crosses val="autoZero"/>
        <c:auto val="1"/>
        <c:lblAlgn val="ctr"/>
        <c:lblOffset val="100"/>
        <c:noMultiLvlLbl val="0"/>
      </c:catAx>
      <c:valAx>
        <c:axId val="6870489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68702976"/>
        <c:crosses val="autoZero"/>
        <c:crossBetween val="between"/>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extLst>
      <c:ext uri="{0b15fc19-7d7d-44ad-8c2d-2c3a37ce22c3}">
        <chartProps xmlns="https://web.wps.cn/et/2018/main" chartId="{a373c2a8-409b-4d59-a924-40b94364e35f}"/>
      </c:ext>
    </c:extLst>
  </c:chart>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Feed conversion ratio</a:t>
            </a:r>
          </a:p>
        </c:rich>
      </c:tx>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[Workbook1]Sheet1!$I$2:$I$14</c:f>
              <c:numCache>
                <c:formatCode>General</c:formatCode>
                <c:ptCount val="13"/>
                <c:pt idx="0">
                  <c:v>1.39</c:v>
                </c:pt>
                <c:pt idx="1">
                  <c:v>1.32</c:v>
                </c:pt>
                <c:pt idx="2">
                  <c:v>1.1200000000000001</c:v>
                </c:pt>
                <c:pt idx="3">
                  <c:v>1.08</c:v>
                </c:pt>
                <c:pt idx="4">
                  <c:v>1.21</c:v>
                </c:pt>
                <c:pt idx="5">
                  <c:v>1.33</c:v>
                </c:pt>
                <c:pt idx="6">
                  <c:v>1.59</c:v>
                </c:pt>
                <c:pt idx="7">
                  <c:v>1.25</c:v>
                </c:pt>
                <c:pt idx="8">
                  <c:v>1.1399999999999999</c:v>
                </c:pt>
                <c:pt idx="9">
                  <c:v>1.1299999999999999</c:v>
                </c:pt>
                <c:pt idx="10">
                  <c:v>1.04</c:v>
                </c:pt>
                <c:pt idx="11">
                  <c:v>1.0900000000000001</c:v>
                </c:pt>
                <c:pt idx="12">
                  <c:v>1.0900000000000001</c:v>
                </c:pt>
              </c:numCache>
            </c:numRef>
          </c:val>
          <c:extLst>
            <c:ext xmlns:c16="http://schemas.microsoft.com/office/drawing/2014/chart" uri="{C3380CC4-5D6E-409C-BE32-E72D297353CC}">
              <c16:uniqueId val="{00000000-4DC6-4ABB-8FD3-D57A65888B8B}"/>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[Workbook1]Sheet1!$J$2:$J$14</c:f>
              <c:numCache>
                <c:formatCode>General</c:formatCode>
                <c:ptCount val="13"/>
                <c:pt idx="0">
                  <c:v>1.34</c:v>
                </c:pt>
                <c:pt idx="1">
                  <c:v>1.43</c:v>
                </c:pt>
                <c:pt idx="2">
                  <c:v>1.49</c:v>
                </c:pt>
                <c:pt idx="3">
                  <c:v>1.33</c:v>
                </c:pt>
                <c:pt idx="4">
                  <c:v>1.32</c:v>
                </c:pt>
                <c:pt idx="5">
                  <c:v>1.34</c:v>
                </c:pt>
                <c:pt idx="6">
                  <c:v>1.66</c:v>
                </c:pt>
                <c:pt idx="7">
                  <c:v>1.46</c:v>
                </c:pt>
                <c:pt idx="8">
                  <c:v>1.29</c:v>
                </c:pt>
                <c:pt idx="9">
                  <c:v>1.34</c:v>
                </c:pt>
                <c:pt idx="10">
                  <c:v>1.33</c:v>
                </c:pt>
                <c:pt idx="11">
                  <c:v>1.31</c:v>
                </c:pt>
                <c:pt idx="12">
                  <c:v>1.61</c:v>
                </c:pt>
              </c:numCache>
            </c:numRef>
          </c:val>
          <c:extLst>
            <c:ext xmlns:c16="http://schemas.microsoft.com/office/drawing/2014/chart" uri="{C3380CC4-5D6E-409C-BE32-E72D297353CC}">
              <c16:uniqueId val="{00000001-4DC6-4ABB-8FD3-D57A65888B8B}"/>
            </c:ext>
          </c:extLst>
        </c:ser>
        <c:dLbls>
          <c:showLegendKey val="0"/>
          <c:showVal val="0"/>
          <c:showCatName val="0"/>
          <c:showSerName val="0"/>
          <c:showPercent val="0"/>
          <c:showBubbleSize val="0"/>
        </c:dLbls>
        <c:gapWidth val="246"/>
        <c:overlap val="-28"/>
        <c:axId val="90196608"/>
        <c:axId val="90242048"/>
      </c:barChart>
      <c:catAx>
        <c:axId val="90196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242048"/>
        <c:crosses val="autoZero"/>
        <c:auto val="1"/>
        <c:lblAlgn val="ctr"/>
        <c:lblOffset val="100"/>
        <c:noMultiLvlLbl val="0"/>
      </c:catAx>
      <c:valAx>
        <c:axId val="90242048"/>
        <c:scaling>
          <c:orientation val="minMax"/>
        </c:scaling>
        <c:delete val="0"/>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FCR</a:t>
                </a:r>
              </a:p>
            </c:rich>
          </c:tx>
          <c:overlay val="0"/>
          <c:spPr>
            <a:noFill/>
            <a:ln>
              <a:noFill/>
            </a:ln>
            <a:effectLst/>
          </c:spPr>
        </c:title>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19660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807a8c2-67b6-44a1-b266-16090abd4a6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Mortality rate%</a:t>
            </a:r>
          </a:p>
        </c:rich>
      </c:tx>
      <c:overlay val="0"/>
      <c:spPr>
        <a:noFill/>
        <a:ln>
          <a:noFill/>
        </a:ln>
        <a:effectLst/>
      </c:spPr>
    </c:title>
    <c:autoTitleDeleted val="0"/>
    <c:plotArea>
      <c:layout/>
      <c:barChart>
        <c:barDir val="col"/>
        <c:grouping val="clustered"/>
        <c:varyColors val="0"/>
        <c:ser>
          <c:idx val="0"/>
          <c:order val="0"/>
          <c:tx>
            <c:strRef>
              <c:f>[Workbook1]Sheet1!$N$2</c:f>
              <c:strCache>
                <c:ptCount val="1"/>
                <c:pt idx="0">
                  <c:v>0-5 weeks</c:v>
                </c:pt>
              </c:strCache>
            </c:strRef>
          </c:tx>
          <c:spPr>
            <a:solidFill>
              <a:schemeClr val="accent1"/>
            </a:solidFill>
            <a:ln>
              <a:noFill/>
            </a:ln>
            <a:effectLst/>
          </c:spPr>
          <c:invertIfNegative val="0"/>
          <c:cat>
            <c:strRef>
              <c:f>[Workbook1]Sheet1!$O$1:$P$1</c:f>
              <c:strCache>
                <c:ptCount val="2"/>
                <c:pt idx="0">
                  <c:v>CD</c:v>
                </c:pt>
                <c:pt idx="1">
                  <c:v>CN</c:v>
                </c:pt>
              </c:strCache>
            </c:strRef>
          </c:cat>
          <c:val>
            <c:numRef>
              <c:f>[Workbook1]Sheet1!$O$2:$P$2</c:f>
              <c:numCache>
                <c:formatCode>0.00%</c:formatCode>
                <c:ptCount val="2"/>
                <c:pt idx="0">
                  <c:v>0.21329999999999999</c:v>
                </c:pt>
                <c:pt idx="1">
                  <c:v>0.21329999999999999</c:v>
                </c:pt>
              </c:numCache>
            </c:numRef>
          </c:val>
          <c:extLst>
            <c:ext xmlns:c16="http://schemas.microsoft.com/office/drawing/2014/chart" uri="{C3380CC4-5D6E-409C-BE32-E72D297353CC}">
              <c16:uniqueId val="{00000000-C0D7-4AB1-807E-BBBB8C264C83}"/>
            </c:ext>
          </c:extLst>
        </c:ser>
        <c:ser>
          <c:idx val="1"/>
          <c:order val="1"/>
          <c:tx>
            <c:strRef>
              <c:f>[Workbook1]Sheet1!$N$3</c:f>
              <c:strCache>
                <c:ptCount val="1"/>
                <c:pt idx="0">
                  <c:v>6-20 weeks</c:v>
                </c:pt>
              </c:strCache>
            </c:strRef>
          </c:tx>
          <c:spPr>
            <a:solidFill>
              <a:schemeClr val="accent2"/>
            </a:solidFill>
            <a:ln>
              <a:noFill/>
            </a:ln>
            <a:effectLst/>
          </c:spPr>
          <c:invertIfNegative val="0"/>
          <c:cat>
            <c:strRef>
              <c:f>[Workbook1]Sheet1!$O$1:$P$1</c:f>
              <c:strCache>
                <c:ptCount val="2"/>
                <c:pt idx="0">
                  <c:v>CD</c:v>
                </c:pt>
                <c:pt idx="1">
                  <c:v>CN</c:v>
                </c:pt>
              </c:strCache>
            </c:strRef>
          </c:cat>
          <c:val>
            <c:numRef>
              <c:f>[Workbook1]Sheet1!$O$3:$P$3</c:f>
              <c:numCache>
                <c:formatCode>0.00%</c:formatCode>
                <c:ptCount val="2"/>
                <c:pt idx="0">
                  <c:v>3.4000000000000002E-2</c:v>
                </c:pt>
                <c:pt idx="1">
                  <c:v>1.6500000000000001E-2</c:v>
                </c:pt>
              </c:numCache>
            </c:numRef>
          </c:val>
          <c:extLst>
            <c:ext xmlns:c16="http://schemas.microsoft.com/office/drawing/2014/chart" uri="{C3380CC4-5D6E-409C-BE32-E72D297353CC}">
              <c16:uniqueId val="{00000001-C0D7-4AB1-807E-BBBB8C264C83}"/>
            </c:ext>
          </c:extLst>
        </c:ser>
        <c:dLbls>
          <c:showLegendKey val="0"/>
          <c:showVal val="0"/>
          <c:showCatName val="0"/>
          <c:showSerName val="0"/>
          <c:showPercent val="0"/>
          <c:showBubbleSize val="0"/>
        </c:dLbls>
        <c:gapWidth val="246"/>
        <c:overlap val="-28"/>
        <c:axId val="109895680"/>
        <c:axId val="109897984"/>
      </c:barChart>
      <c:catAx>
        <c:axId val="109895680"/>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7984"/>
        <c:crosses val="autoZero"/>
        <c:auto val="1"/>
        <c:lblAlgn val="ctr"/>
        <c:lblOffset val="100"/>
        <c:noMultiLvlLbl val="0"/>
      </c:catAx>
      <c:valAx>
        <c:axId val="10989798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Mortality rate%</a:t>
                </a:r>
              </a:p>
            </c:rich>
          </c:tx>
          <c:overlay val="0"/>
          <c:spPr>
            <a:noFill/>
            <a:ln>
              <a:noFill/>
            </a:ln>
            <a:effectLst/>
          </c:spPr>
        </c:title>
        <c:numFmt formatCode="0.00%"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5680"/>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966f44b-29aa-4172-9e26-16bdcc2aa175}"/>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3929</Words>
  <Characters>22397</Characters>
  <Application>Microsoft Office Word</Application>
  <DocSecurity>0</DocSecurity>
  <Lines>186</Lines>
  <Paragraphs>52</Paragraphs>
  <ScaleCrop>false</ScaleCrop>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Khushboo Yadav</dc:creator>
  <cp:lastModifiedBy>SDI 1087</cp:lastModifiedBy>
  <cp:revision>22</cp:revision>
  <dcterms:created xsi:type="dcterms:W3CDTF">2026-07-27T11:12:00Z</dcterms:created>
  <dcterms:modified xsi:type="dcterms:W3CDTF">2026-07-28T11:05:00Z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13D6BBBA16C15A514D30576A42EFEADF_41</vt:lpwstr>
  </property>
</Properties>
</file>