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8346" w14:textId="77777777" w:rsidR="004C78D6" w:rsidRDefault="00000000">
      <w:pPr>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A Comparative Evaluation of Carcass Characteristics and Meat Yield Performance of Cari-Debendra and Cari-Nirbheek chickens under the Agro-climatic conditions of Eastern plain zone of Uttar Pradesh</w:t>
      </w:r>
      <w:r w:rsidR="00E70D45">
        <w:rPr>
          <w:rFonts w:ascii="Times New Roman" w:eastAsia="Times New Roman" w:hAnsi="Times New Roman" w:cs="Times New Roman"/>
          <w:b/>
          <w:bCs/>
          <w:color w:val="000000"/>
          <w:sz w:val="22"/>
          <w:szCs w:val="22"/>
        </w:rPr>
        <w:t xml:space="preserve">, India </w:t>
      </w:r>
    </w:p>
    <w:p w14:paraId="093AEF2C" w14:textId="77777777" w:rsidR="004C78D6" w:rsidRDefault="004C78D6">
      <w:pPr>
        <w:pBdr>
          <w:top w:val="nil"/>
          <w:left w:val="nil"/>
          <w:bottom w:val="nil"/>
          <w:right w:val="nil"/>
          <w:between w:val="nil"/>
        </w:pBdr>
        <w:spacing w:line="360" w:lineRule="auto"/>
        <w:rPr>
          <w:rFonts w:ascii="Times New Roman" w:eastAsia="Times New Roman" w:hAnsi="Times New Roman" w:cs="Times New Roman"/>
          <w:b/>
          <w:bCs/>
          <w:color w:val="000000"/>
          <w:sz w:val="22"/>
          <w:szCs w:val="22"/>
        </w:rPr>
      </w:pPr>
    </w:p>
    <w:p w14:paraId="34F61D30" w14:textId="77777777" w:rsidR="004C78D6" w:rsidRDefault="004C78D6">
      <w:pPr>
        <w:pBdr>
          <w:top w:val="nil"/>
          <w:left w:val="nil"/>
          <w:bottom w:val="nil"/>
          <w:right w:val="nil"/>
          <w:between w:val="nil"/>
        </w:pBdr>
        <w:rPr>
          <w:rFonts w:ascii="Times New Roman" w:eastAsia="Times New Roman" w:hAnsi="Times New Roman" w:cs="Times New Roman"/>
          <w:color w:val="000000"/>
          <w:sz w:val="22"/>
          <w:szCs w:val="22"/>
        </w:rPr>
      </w:pPr>
    </w:p>
    <w:p w14:paraId="60CA88BC" w14:textId="77777777" w:rsidR="004C78D6" w:rsidRDefault="004C78D6">
      <w:pPr>
        <w:pBdr>
          <w:top w:val="nil"/>
          <w:left w:val="nil"/>
          <w:bottom w:val="nil"/>
          <w:right w:val="nil"/>
          <w:between w:val="nil"/>
        </w:pBdr>
        <w:rPr>
          <w:rFonts w:ascii="Times New Roman" w:eastAsia="Times New Roman" w:hAnsi="Times New Roman" w:cs="Times New Roman"/>
          <w:color w:val="000000"/>
          <w:sz w:val="22"/>
          <w:szCs w:val="22"/>
        </w:rPr>
      </w:pPr>
    </w:p>
    <w:p w14:paraId="54EC8D61" w14:textId="77777777" w:rsidR="004C78D6" w:rsidRDefault="00000000">
      <w:pPr>
        <w:pBdr>
          <w:top w:val="nil"/>
          <w:left w:val="nil"/>
          <w:bottom w:val="nil"/>
          <w:right w:val="nil"/>
          <w:between w:val="nil"/>
        </w:pBdr>
        <w:spacing w:line="360"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Abstract </w:t>
      </w:r>
    </w:p>
    <w:p w14:paraId="11F8B076"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present study evaluate</w:t>
      </w:r>
      <w:r>
        <w:rPr>
          <w:rFonts w:ascii="Times New Roman" w:eastAsia="Times New Roman" w:hAnsi="Times New Roman" w:cs="Times New Roman"/>
          <w:color w:val="000000"/>
          <w:sz w:val="22"/>
          <w:szCs w:val="22"/>
          <w:highlight w:val="yellow"/>
        </w:rPr>
        <w:t>d</w:t>
      </w:r>
      <w:r>
        <w:rPr>
          <w:rFonts w:ascii="Times New Roman" w:eastAsia="Times New Roman" w:hAnsi="Times New Roman" w:cs="Times New Roman"/>
          <w:color w:val="000000"/>
          <w:sz w:val="22"/>
          <w:szCs w:val="22"/>
        </w:rPr>
        <w:t xml:space="preserve"> the carcass characteristics and meat yield performance of</w:t>
      </w:r>
      <w:r>
        <w:rPr>
          <w:rFonts w:ascii="Times New Roman" w:eastAsia="Times New Roman" w:hAnsi="Times New Roman" w:cs="Times New Roman"/>
          <w:i/>
          <w:iCs/>
          <w:color w:val="000000"/>
          <w:sz w:val="22"/>
          <w:szCs w:val="22"/>
        </w:rPr>
        <w:t xml:space="preserve"> CARI-Debendra </w:t>
      </w:r>
      <w:r>
        <w:rPr>
          <w:rFonts w:ascii="Times New Roman" w:eastAsia="Times New Roman" w:hAnsi="Times New Roman" w:cs="Times New Roman"/>
          <w:color w:val="000000"/>
          <w:sz w:val="22"/>
          <w:szCs w:val="22"/>
        </w:rPr>
        <w:t>and</w:t>
      </w:r>
      <w:r>
        <w:rPr>
          <w:rFonts w:ascii="Times New Roman" w:eastAsia="Times New Roman" w:hAnsi="Times New Roman" w:cs="Times New Roman"/>
          <w:i/>
          <w:iCs/>
          <w:color w:val="000000"/>
          <w:sz w:val="22"/>
          <w:szCs w:val="22"/>
        </w:rPr>
        <w:t xml:space="preserve"> CARI-Nirbheek </w:t>
      </w:r>
      <w:r>
        <w:rPr>
          <w:rFonts w:ascii="Times New Roman" w:eastAsia="Times New Roman" w:hAnsi="Times New Roman" w:cs="Times New Roman"/>
          <w:color w:val="000000"/>
          <w:sz w:val="22"/>
          <w:szCs w:val="22"/>
        </w:rPr>
        <w:t>chicken</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up to 20 weeks of age under </w:t>
      </w:r>
      <w:r>
        <w:rPr>
          <w:rFonts w:ascii="Times New Roman" w:eastAsia="Times New Roman" w:hAnsi="Times New Roman" w:cs="Times New Roman"/>
          <w:color w:val="000000"/>
          <w:sz w:val="22"/>
          <w:szCs w:val="22"/>
          <w:highlight w:val="yellow"/>
        </w:rPr>
        <w:t>the a</w:t>
      </w:r>
      <w:r>
        <w:rPr>
          <w:rFonts w:ascii="Times New Roman" w:eastAsia="Times New Roman" w:hAnsi="Times New Roman" w:cs="Times New Roman"/>
          <w:color w:val="000000"/>
          <w:sz w:val="22"/>
          <w:szCs w:val="22"/>
        </w:rPr>
        <w:t>gro-climatic conditions of</w:t>
      </w:r>
      <w:r>
        <w:rPr>
          <w:rFonts w:ascii="Times New Roman" w:eastAsia="Times New Roman" w:hAnsi="Times New Roman" w:cs="Times New Roman"/>
          <w:color w:val="000000"/>
          <w:sz w:val="22"/>
          <w:szCs w:val="22"/>
          <w:highlight w:val="yellow"/>
        </w:rPr>
        <w:t xml:space="preserve"> the</w:t>
      </w:r>
      <w:r>
        <w:rPr>
          <w:rFonts w:ascii="Times New Roman" w:eastAsia="Times New Roman" w:hAnsi="Times New Roman" w:cs="Times New Roman"/>
          <w:color w:val="000000"/>
          <w:sz w:val="22"/>
          <w:szCs w:val="22"/>
        </w:rPr>
        <w:t xml:space="preserve"> eastern plain zone of Uttar Pradesh. The study was conducted at</w:t>
      </w:r>
      <w:r>
        <w:rPr>
          <w:rFonts w:ascii="Times New Roman" w:eastAsia="Times New Roman" w:hAnsi="Times New Roman" w:cs="Times New Roman"/>
          <w:color w:val="000000"/>
          <w:sz w:val="22"/>
          <w:szCs w:val="22"/>
          <w:highlight w:val="yellow"/>
        </w:rPr>
        <w:t xml:space="preserve"> the</w:t>
      </w:r>
      <w:r>
        <w:rPr>
          <w:rFonts w:ascii="Times New Roman" w:eastAsia="Times New Roman" w:hAnsi="Times New Roman" w:cs="Times New Roman"/>
          <w:color w:val="000000"/>
          <w:sz w:val="22"/>
          <w:szCs w:val="22"/>
        </w:rPr>
        <w:t xml:space="preserve"> Livestock Farm Complex, College of Veterinary Science and Animal Husbandry, Acharya Narendra Deva University of Agriculture &amp; Technology, Kumarganj, Ayodhya. At 20 weeks</w:t>
      </w:r>
      <w:r>
        <w:rPr>
          <w:rFonts w:ascii="Times New Roman" w:eastAsia="Times New Roman" w:hAnsi="Times New Roman" w:cs="Times New Roman"/>
          <w:color w:val="000000"/>
          <w:sz w:val="22"/>
          <w:szCs w:val="22"/>
          <w:highlight w:val="yellow"/>
        </w:rPr>
        <w:t xml:space="preserve"> of age</w:t>
      </w:r>
      <w:r>
        <w:rPr>
          <w:rFonts w:ascii="Times New Roman" w:eastAsia="Times New Roman" w:hAnsi="Times New Roman" w:cs="Times New Roman"/>
          <w:color w:val="000000"/>
          <w:sz w:val="22"/>
          <w:szCs w:val="22"/>
        </w:rPr>
        <w:t xml:space="preserve">, fifteen birds from </w:t>
      </w:r>
      <w:r>
        <w:rPr>
          <w:rFonts w:ascii="Times New Roman" w:eastAsia="Times New Roman" w:hAnsi="Times New Roman" w:cs="Times New Roman"/>
          <w:color w:val="000000"/>
          <w:sz w:val="22"/>
          <w:szCs w:val="22"/>
          <w:highlight w:val="yellow"/>
        </w:rPr>
        <w:t xml:space="preserve">each of </w:t>
      </w:r>
      <w:r>
        <w:rPr>
          <w:rFonts w:ascii="Times New Roman" w:eastAsia="Times New Roman" w:hAnsi="Times New Roman" w:cs="Times New Roman"/>
          <w:color w:val="000000"/>
          <w:sz w:val="22"/>
          <w:szCs w:val="22"/>
        </w:rPr>
        <w:t>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Nirbheek and 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Debendra were selected for </w:t>
      </w:r>
      <w:r>
        <w:rPr>
          <w:rFonts w:ascii="Times New Roman" w:eastAsia="Times New Roman" w:hAnsi="Times New Roman" w:cs="Times New Roman"/>
          <w:color w:val="000000"/>
          <w:sz w:val="22"/>
          <w:szCs w:val="22"/>
          <w:highlight w:val="yellow"/>
        </w:rPr>
        <w:t xml:space="preserve">evaluation of </w:t>
      </w:r>
      <w:r>
        <w:rPr>
          <w:rFonts w:ascii="Times New Roman" w:eastAsia="Times New Roman" w:hAnsi="Times New Roman" w:cs="Times New Roman"/>
          <w:color w:val="000000"/>
          <w:sz w:val="22"/>
          <w:szCs w:val="22"/>
        </w:rPr>
        <w:t xml:space="preserve">carcass quality traits. </w:t>
      </w:r>
      <w:r>
        <w:rPr>
          <w:rFonts w:ascii="Times New Roman" w:eastAsia="Times New Roman" w:hAnsi="Times New Roman" w:cs="Times New Roman"/>
          <w:color w:val="000000"/>
          <w:sz w:val="22"/>
          <w:szCs w:val="22"/>
          <w:highlight w:val="yellow"/>
        </w:rPr>
        <w:t>The birds were p</w:t>
      </w:r>
      <w:r>
        <w:rPr>
          <w:rFonts w:ascii="Times New Roman" w:eastAsia="Times New Roman" w:hAnsi="Times New Roman" w:cs="Times New Roman"/>
          <w:color w:val="000000"/>
          <w:sz w:val="22"/>
          <w:szCs w:val="22"/>
        </w:rPr>
        <w:t>rocess</w:t>
      </w:r>
      <w:r>
        <w:rPr>
          <w:rFonts w:ascii="Times New Roman" w:eastAsia="Times New Roman" w:hAnsi="Times New Roman" w:cs="Times New Roman"/>
          <w:color w:val="000000"/>
          <w:sz w:val="22"/>
          <w:szCs w:val="22"/>
          <w:highlight w:val="yellow"/>
        </w:rPr>
        <w:t>ed us</w:t>
      </w:r>
      <w:r>
        <w:rPr>
          <w:rFonts w:ascii="Times New Roman" w:eastAsia="Times New Roman" w:hAnsi="Times New Roman" w:cs="Times New Roman"/>
          <w:color w:val="000000"/>
          <w:sz w:val="22"/>
          <w:szCs w:val="22"/>
        </w:rPr>
        <w:t xml:space="preserve">ing </w:t>
      </w:r>
      <w:r>
        <w:rPr>
          <w:rFonts w:ascii="Times New Roman" w:eastAsia="Times New Roman" w:hAnsi="Times New Roman" w:cs="Times New Roman"/>
          <w:color w:val="000000"/>
          <w:sz w:val="22"/>
          <w:szCs w:val="22"/>
          <w:highlight w:val="yellow"/>
        </w:rPr>
        <w:t xml:space="preserve">standard </w:t>
      </w:r>
      <w:r>
        <w:rPr>
          <w:rFonts w:ascii="Times New Roman" w:eastAsia="Times New Roman" w:hAnsi="Times New Roman" w:cs="Times New Roman"/>
          <w:color w:val="000000"/>
          <w:sz w:val="22"/>
          <w:szCs w:val="22"/>
        </w:rPr>
        <w:t>slaughtering, bleeding, scalding</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defeathering procedure</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The results showed that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highlight w:val="yellow"/>
        </w:rPr>
        <w:t>ebendra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h</w:t>
      </w:r>
      <w:r>
        <w:rPr>
          <w:rFonts w:ascii="Times New Roman" w:eastAsia="Times New Roman" w:hAnsi="Times New Roman" w:cs="Times New Roman"/>
          <w:color w:val="000000"/>
          <w:sz w:val="22"/>
          <w:szCs w:val="22"/>
        </w:rPr>
        <w:t>ad a significantly higher (p&lt;0.001) pre-slaughter live weight (2064.63±29.39</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g) and dressing percentage (75.92±0.</w:t>
      </w:r>
      <w:r>
        <w:rPr>
          <w:rFonts w:ascii="Times New Roman" w:eastAsia="Times New Roman" w:hAnsi="Times New Roman" w:cs="Times New Roman"/>
          <w:color w:val="000000"/>
          <w:sz w:val="22"/>
          <w:szCs w:val="22"/>
          <w:highlight w:val="yellow"/>
        </w:rPr>
        <w:t>13</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th</w:t>
      </w: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highlight w:val="yellow"/>
        </w:rPr>
        <w:t>n</w:t>
      </w:r>
      <w:r>
        <w:rPr>
          <w:rFonts w:ascii="Times New Roman" w:eastAsia="Times New Roman" w:hAnsi="Times New Roman" w:cs="Times New Roman"/>
          <w:color w:val="000000"/>
          <w:sz w:val="22"/>
          <w:szCs w:val="22"/>
        </w:rPr>
        <w:t xml:space="preserve">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-Nirbheek (1604.40±18.48</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g and 74.16±0.18%</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respectively</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highlight w:val="yellow"/>
        </w:rPr>
        <w:t>ebendra</w:t>
      </w:r>
      <w:r>
        <w:rPr>
          <w:rFonts w:ascii="Times New Roman" w:eastAsia="Times New Roman" w:hAnsi="Times New Roman" w:cs="Times New Roman"/>
          <w:color w:val="000000"/>
          <w:sz w:val="22"/>
          <w:szCs w:val="22"/>
        </w:rPr>
        <w:t xml:space="preserve"> also </w:t>
      </w:r>
      <w:r>
        <w:rPr>
          <w:rFonts w:ascii="Times New Roman" w:eastAsia="Times New Roman" w:hAnsi="Times New Roman" w:cs="Times New Roman"/>
          <w:color w:val="000000"/>
          <w:sz w:val="22"/>
          <w:szCs w:val="22"/>
          <w:highlight w:val="yellow"/>
        </w:rPr>
        <w:t>ha</w:t>
      </w:r>
      <w:r>
        <w:rPr>
          <w:rFonts w:ascii="Times New Roman" w:eastAsia="Times New Roman" w:hAnsi="Times New Roman" w:cs="Times New Roman"/>
          <w:color w:val="000000"/>
          <w:sz w:val="22"/>
          <w:szCs w:val="22"/>
        </w:rPr>
        <w:t xml:space="preserve">d a significantly higher breast yield (18.83±0.26%) </w:t>
      </w:r>
      <w:r>
        <w:rPr>
          <w:rFonts w:ascii="Times New Roman" w:eastAsia="Times New Roman" w:hAnsi="Times New Roman" w:cs="Times New Roman"/>
          <w:color w:val="000000"/>
          <w:sz w:val="22"/>
          <w:szCs w:val="22"/>
          <w:highlight w:val="yellow"/>
        </w:rPr>
        <w:t>th</w:t>
      </w: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highlight w:val="yellow"/>
        </w:rPr>
        <w:t>n</w:t>
      </w:r>
      <w:r>
        <w:rPr>
          <w:rFonts w:ascii="Times New Roman" w:eastAsia="Times New Roman" w:hAnsi="Times New Roman" w:cs="Times New Roman"/>
          <w:color w:val="000000"/>
          <w:sz w:val="22"/>
          <w:szCs w:val="22"/>
        </w:rPr>
        <w:t xml:space="preserve">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N</w:t>
      </w:r>
      <w:r>
        <w:rPr>
          <w:rFonts w:ascii="Times New Roman" w:eastAsia="Times New Roman" w:hAnsi="Times New Roman" w:cs="Times New Roman"/>
          <w:color w:val="000000"/>
          <w:sz w:val="22"/>
          <w:szCs w:val="22"/>
          <w:highlight w:val="yellow"/>
        </w:rPr>
        <w:t>irbheek</w:t>
      </w:r>
      <w:r>
        <w:rPr>
          <w:rFonts w:ascii="Times New Roman" w:eastAsia="Times New Roman" w:hAnsi="Times New Roman" w:cs="Times New Roman"/>
          <w:color w:val="000000"/>
          <w:sz w:val="22"/>
          <w:szCs w:val="22"/>
        </w:rPr>
        <w:t xml:space="preserve"> (17.00±0.27%), and </w:t>
      </w:r>
      <w:r>
        <w:rPr>
          <w:rFonts w:ascii="Times New Roman" w:eastAsia="Times New Roman" w:hAnsi="Times New Roman" w:cs="Times New Roman"/>
          <w:color w:val="000000"/>
          <w:sz w:val="22"/>
          <w:szCs w:val="22"/>
          <w:highlight w:val="yellow"/>
        </w:rPr>
        <w:t>the g</w:t>
      </w:r>
      <w:r>
        <w:rPr>
          <w:rFonts w:ascii="Times New Roman" w:eastAsia="Times New Roman" w:hAnsi="Times New Roman" w:cs="Times New Roman"/>
          <w:color w:val="000000"/>
          <w:sz w:val="22"/>
          <w:szCs w:val="22"/>
        </w:rPr>
        <w:t>iblet percent</w:t>
      </w:r>
      <w:r>
        <w:rPr>
          <w:rFonts w:ascii="Times New Roman" w:eastAsia="Times New Roman" w:hAnsi="Times New Roman" w:cs="Times New Roman"/>
          <w:color w:val="000000"/>
          <w:sz w:val="22"/>
          <w:szCs w:val="22"/>
          <w:highlight w:val="yellow"/>
        </w:rPr>
        <w:t>age</w:t>
      </w:r>
      <w:r>
        <w:rPr>
          <w:rFonts w:ascii="Times New Roman" w:eastAsia="Times New Roman" w:hAnsi="Times New Roman" w:cs="Times New Roman"/>
          <w:color w:val="000000"/>
          <w:sz w:val="22"/>
          <w:szCs w:val="22"/>
        </w:rPr>
        <w:t xml:space="preserve"> was significantly higher in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highlight w:val="yellow"/>
        </w:rPr>
        <w:t>ebendra</w:t>
      </w:r>
      <w:r>
        <w:rPr>
          <w:rFonts w:ascii="Times New Roman" w:eastAsia="Times New Roman" w:hAnsi="Times New Roman" w:cs="Times New Roman"/>
          <w:color w:val="000000"/>
          <w:sz w:val="22"/>
          <w:szCs w:val="22"/>
        </w:rPr>
        <w:t xml:space="preserve"> (5.42±0.16%) </w:t>
      </w:r>
      <w:r>
        <w:rPr>
          <w:rFonts w:ascii="Times New Roman" w:eastAsia="Times New Roman" w:hAnsi="Times New Roman" w:cs="Times New Roman"/>
          <w:color w:val="000000"/>
          <w:sz w:val="22"/>
          <w:szCs w:val="22"/>
          <w:highlight w:val="yellow"/>
        </w:rPr>
        <w:t>th</w:t>
      </w: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highlight w:val="yellow"/>
        </w:rPr>
        <w:t>n</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in</w:t>
      </w:r>
      <w:r>
        <w:rPr>
          <w:rFonts w:ascii="Times New Roman" w:eastAsia="Times New Roman" w:hAnsi="Times New Roman" w:cs="Times New Roman"/>
          <w:color w:val="000000"/>
          <w:sz w:val="22"/>
          <w:szCs w:val="22"/>
        </w:rPr>
        <w:t xml:space="preserve">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N</w:t>
      </w:r>
      <w:r>
        <w:rPr>
          <w:rFonts w:ascii="Times New Roman" w:eastAsia="Times New Roman" w:hAnsi="Times New Roman" w:cs="Times New Roman"/>
          <w:color w:val="000000"/>
          <w:sz w:val="22"/>
          <w:szCs w:val="22"/>
          <w:highlight w:val="yellow"/>
        </w:rPr>
        <w:t>irbheek</w:t>
      </w:r>
      <w:r>
        <w:rPr>
          <w:rFonts w:ascii="Times New Roman" w:eastAsia="Times New Roman" w:hAnsi="Times New Roman" w:cs="Times New Roman"/>
          <w:color w:val="000000"/>
          <w:sz w:val="22"/>
          <w:szCs w:val="22"/>
        </w:rPr>
        <w:t xml:space="preserve"> (4.66±0.05</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Heart weight and abdominal fat </w:t>
      </w:r>
      <w:r>
        <w:rPr>
          <w:rFonts w:ascii="Times New Roman" w:eastAsia="Times New Roman" w:hAnsi="Times New Roman" w:cs="Times New Roman"/>
          <w:color w:val="000000"/>
          <w:sz w:val="22"/>
          <w:szCs w:val="22"/>
          <w:highlight w:val="yellow"/>
        </w:rPr>
        <w:t xml:space="preserve">percentage </w:t>
      </w:r>
      <w:r>
        <w:rPr>
          <w:rFonts w:ascii="Times New Roman" w:eastAsia="Times New Roman" w:hAnsi="Times New Roman" w:cs="Times New Roman"/>
          <w:color w:val="000000"/>
          <w:sz w:val="22"/>
          <w:szCs w:val="22"/>
        </w:rPr>
        <w:t xml:space="preserve">were significantly </w:t>
      </w:r>
      <w:r>
        <w:rPr>
          <w:rFonts w:ascii="Times New Roman" w:eastAsia="Times New Roman" w:hAnsi="Times New Roman" w:cs="Times New Roman"/>
          <w:color w:val="000000"/>
          <w:sz w:val="22"/>
          <w:szCs w:val="22"/>
          <w:highlight w:val="yellow"/>
        </w:rPr>
        <w:t xml:space="preserve">higher </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highlight w:val="yellow"/>
        </w:rPr>
        <w:t>p</w:t>
      </w:r>
      <w:r>
        <w:rPr>
          <w:rFonts w:ascii="Times New Roman" w:eastAsia="Times New Roman" w:hAnsi="Times New Roman" w:cs="Times New Roman"/>
          <w:color w:val="000000"/>
          <w:sz w:val="22"/>
          <w:szCs w:val="22"/>
        </w:rPr>
        <w:t>&lt;0.001) in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highlight w:val="yellow"/>
        </w:rPr>
        <w:t xml:space="preserve">ebendra </w:t>
      </w:r>
      <w:r>
        <w:rPr>
          <w:rFonts w:ascii="Times New Roman" w:eastAsia="Times New Roman" w:hAnsi="Times New Roman" w:cs="Times New Roman"/>
          <w:color w:val="000000"/>
          <w:sz w:val="22"/>
          <w:szCs w:val="22"/>
        </w:rPr>
        <w:t>(0.55±0.01% and 0.70±0.</w:t>
      </w:r>
      <w:r>
        <w:rPr>
          <w:rFonts w:ascii="Times New Roman" w:eastAsia="Times New Roman" w:hAnsi="Times New Roman" w:cs="Times New Roman"/>
          <w:color w:val="000000"/>
          <w:sz w:val="22"/>
          <w:szCs w:val="22"/>
          <w:highlight w:val="yellow"/>
        </w:rPr>
        <w:t>0</w:t>
      </w:r>
      <w:r>
        <w:rPr>
          <w:rFonts w:ascii="Times New Roman" w:eastAsia="Times New Roman" w:hAnsi="Times New Roman" w:cs="Times New Roman"/>
          <w:color w:val="000000"/>
          <w:sz w:val="22"/>
          <w:szCs w:val="22"/>
        </w:rPr>
        <w:t>2%</w:t>
      </w:r>
      <w:r>
        <w:rPr>
          <w:rFonts w:ascii="Times New Roman" w:eastAsia="Times New Roman" w:hAnsi="Times New Roman" w:cs="Times New Roman"/>
          <w:color w:val="000000"/>
          <w:sz w:val="22"/>
          <w:szCs w:val="22"/>
          <w:highlight w:val="yellow"/>
        </w:rPr>
        <w:t>, respectively</w:t>
      </w:r>
      <w:r>
        <w:rPr>
          <w:rFonts w:ascii="Times New Roman" w:eastAsia="Times New Roman" w:hAnsi="Times New Roman" w:cs="Times New Roman"/>
          <w:color w:val="000000"/>
          <w:sz w:val="22"/>
          <w:szCs w:val="22"/>
        </w:rPr>
        <w:t>). Conversely,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Nirbheek showed significantly higher wing (9.49±0.04%), back</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and</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neck (16.38±0.20%), liver (1.81±0.01%)</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gizzard (1.81±0.01%)</w:t>
      </w:r>
      <w:r>
        <w:rPr>
          <w:rFonts w:ascii="Times New Roman" w:eastAsia="Times New Roman" w:hAnsi="Times New Roman" w:cs="Times New Roman"/>
          <w:color w:val="000000"/>
          <w:sz w:val="22"/>
          <w:szCs w:val="22"/>
          <w:highlight w:val="yellow"/>
        </w:rPr>
        <w:t xml:space="preserve"> yields</w:t>
      </w:r>
      <w:r>
        <w:rPr>
          <w:rFonts w:ascii="Times New Roman" w:eastAsia="Times New Roman" w:hAnsi="Times New Roman" w:cs="Times New Roman"/>
          <w:color w:val="000000"/>
          <w:sz w:val="22"/>
          <w:szCs w:val="22"/>
        </w:rPr>
        <w:t xml:space="preserve">, reflecting its lean native Aseel ancestry. No significant differences were observed in mean blood loss, leg yield, </w:t>
      </w:r>
      <w:r>
        <w:rPr>
          <w:rFonts w:ascii="Times New Roman" w:eastAsia="Times New Roman" w:hAnsi="Times New Roman" w:cs="Times New Roman"/>
          <w:color w:val="000000"/>
          <w:sz w:val="22"/>
          <w:szCs w:val="22"/>
          <w:highlight w:val="yellow"/>
        </w:rPr>
        <w:t xml:space="preserve">or </w:t>
      </w:r>
      <w:r>
        <w:rPr>
          <w:rFonts w:ascii="Times New Roman" w:eastAsia="Times New Roman" w:hAnsi="Times New Roman" w:cs="Times New Roman"/>
          <w:color w:val="000000"/>
          <w:sz w:val="22"/>
          <w:szCs w:val="22"/>
        </w:rPr>
        <w:t>bursa weight between t</w:t>
      </w:r>
      <w:r>
        <w:rPr>
          <w:rFonts w:ascii="Times New Roman" w:eastAsia="Times New Roman" w:hAnsi="Times New Roman" w:cs="Times New Roman"/>
          <w:color w:val="000000"/>
          <w:sz w:val="22"/>
          <w:szCs w:val="22"/>
          <w:highlight w:val="yellow"/>
        </w:rPr>
        <w:t>he t</w:t>
      </w:r>
      <w:r>
        <w:rPr>
          <w:rFonts w:ascii="Times New Roman" w:eastAsia="Times New Roman" w:hAnsi="Times New Roman" w:cs="Times New Roman"/>
          <w:color w:val="000000"/>
          <w:sz w:val="22"/>
          <w:szCs w:val="22"/>
        </w:rPr>
        <w:t xml:space="preserve">wo </w:t>
      </w:r>
      <w:r>
        <w:rPr>
          <w:rFonts w:ascii="Times New Roman" w:eastAsia="Times New Roman" w:hAnsi="Times New Roman" w:cs="Times New Roman"/>
          <w:color w:val="000000"/>
          <w:sz w:val="22"/>
          <w:szCs w:val="22"/>
          <w:highlight w:val="yellow"/>
        </w:rPr>
        <w:t>va</w:t>
      </w:r>
      <w:r>
        <w:rPr>
          <w:rFonts w:ascii="Times New Roman" w:eastAsia="Times New Roman" w:hAnsi="Times New Roman" w:cs="Times New Roman"/>
          <w:color w:val="000000"/>
          <w:sz w:val="22"/>
          <w:szCs w:val="22"/>
        </w:rPr>
        <w:t>r</w:t>
      </w:r>
      <w:r>
        <w:rPr>
          <w:rFonts w:ascii="Times New Roman" w:eastAsia="Times New Roman" w:hAnsi="Times New Roman" w:cs="Times New Roman"/>
          <w:color w:val="000000"/>
          <w:sz w:val="22"/>
          <w:szCs w:val="22"/>
          <w:highlight w:val="yellow"/>
        </w:rPr>
        <w:t>i</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ti</w:t>
      </w:r>
      <w:r>
        <w:rPr>
          <w:rFonts w:ascii="Times New Roman" w:eastAsia="Times New Roman" w:hAnsi="Times New Roman" w:cs="Times New Roman"/>
          <w:color w:val="000000"/>
          <w:sz w:val="22"/>
          <w:szCs w:val="22"/>
        </w:rPr>
        <w:t>es. Overall,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Debendra was superior in live weight, dressing percentage</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breast meat production</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where</w:t>
      </w: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C</w:t>
      </w:r>
      <w:r>
        <w:rPr>
          <w:rFonts w:ascii="Times New Roman" w:eastAsia="Times New Roman" w:hAnsi="Times New Roman" w:cs="Times New Roman"/>
          <w:color w:val="000000"/>
          <w:sz w:val="22"/>
          <w:szCs w:val="22"/>
          <w:highlight w:val="yellow"/>
        </w:rPr>
        <w:t>ARI-</w:t>
      </w:r>
      <w:r>
        <w:rPr>
          <w:rFonts w:ascii="Times New Roman" w:eastAsia="Times New Roman" w:hAnsi="Times New Roman" w:cs="Times New Roman"/>
          <w:color w:val="000000"/>
          <w:sz w:val="22"/>
          <w:szCs w:val="22"/>
        </w:rPr>
        <w:t>Nirbheek showed higher relative wing, back</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and</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neck, liver</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gizzard yield</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under the present experimental conditions.</w:t>
      </w:r>
    </w:p>
    <w:p w14:paraId="0C9659C4" w14:textId="77777777" w:rsidR="004C78D6" w:rsidRDefault="004C78D6">
      <w:pPr>
        <w:pBdr>
          <w:top w:val="nil"/>
          <w:left w:val="nil"/>
          <w:bottom w:val="nil"/>
          <w:right w:val="nil"/>
          <w:between w:val="nil"/>
        </w:pBdr>
        <w:spacing w:line="360" w:lineRule="auto"/>
        <w:rPr>
          <w:rFonts w:ascii="Times New Roman" w:eastAsia="Times New Roman" w:hAnsi="Times New Roman" w:cs="Times New Roman"/>
          <w:color w:val="000000"/>
          <w:sz w:val="22"/>
          <w:szCs w:val="22"/>
        </w:rPr>
      </w:pPr>
    </w:p>
    <w:p w14:paraId="531635F0" w14:textId="77777777" w:rsidR="007B349D" w:rsidRDefault="00000000" w:rsidP="007B349D">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Keywords: </w:t>
      </w:r>
      <w:r w:rsidR="007B349D">
        <w:t>CARI-Debendra, CARI-Nirbheek, carcass characteristics, meat yield, dressing percentage, breast yield, giblet yield, abdominal fat, backyard poultry, agro-climatic adaptation</w:t>
      </w:r>
      <w:r w:rsidR="007B349D">
        <w:rPr>
          <w:rFonts w:ascii="Times New Roman" w:eastAsia="Times New Roman" w:hAnsi="Times New Roman" w:cs="Times New Roman"/>
          <w:b/>
          <w:bCs/>
          <w:color w:val="000000"/>
          <w:sz w:val="22"/>
          <w:szCs w:val="22"/>
        </w:rPr>
        <w:t xml:space="preserve"> </w:t>
      </w:r>
    </w:p>
    <w:p w14:paraId="6ACD20C5" w14:textId="77777777" w:rsidR="007B349D" w:rsidRDefault="007B349D" w:rsidP="007B349D">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p>
    <w:p w14:paraId="7F891F24" w14:textId="162028E2" w:rsidR="004C78D6" w:rsidRDefault="00000000" w:rsidP="007B349D">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1. Introduction</w:t>
      </w:r>
    </w:p>
    <w:p w14:paraId="4A7C9B64" w14:textId="77777777" w:rsidR="004C78D6"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Animal-source proteins, particularly poultry meat and eggs, are important components of global food systems, and poultry contributes substantially to worldwide meat production (Nassar, 2026). In India, total meat production reached 9.77 million tonnes in 2022–23, ranking the country fifth globally. Poultry contributed 4.995 million tonnes (51.14%)</w:t>
      </w:r>
      <w:r>
        <w:rPr>
          <w:rFonts w:ascii="Times New Roman" w:eastAsia="Times New Roman" w:hAnsi="Times New Roman"/>
          <w:color w:val="000000"/>
          <w:sz w:val="22"/>
          <w:highlight w:val="yellow"/>
        </w:rPr>
        <w:t xml:space="preserve"> and recorded a 4.52% increase over the previous year</w:t>
      </w:r>
      <w:r>
        <w:rPr>
          <w:rFonts w:ascii="Times New Roman" w:eastAsia="Times New Roman" w:hAnsi="Times New Roman"/>
          <w:color w:val="000000"/>
          <w:sz w:val="22"/>
        </w:rPr>
        <w:t xml:space="preserve">, while total meat production increased by </w:t>
      </w:r>
      <w:r>
        <w:rPr>
          <w:rFonts w:ascii="Times New Roman" w:eastAsia="Times New Roman" w:hAnsi="Times New Roman"/>
          <w:color w:val="000000"/>
          <w:sz w:val="22"/>
          <w:highlight w:val="yellow"/>
        </w:rPr>
        <w:t>5</w:t>
      </w:r>
      <w:r>
        <w:rPr>
          <w:rFonts w:ascii="Times New Roman" w:eastAsia="Times New Roman" w:hAnsi="Times New Roman"/>
          <w:color w:val="000000"/>
          <w:sz w:val="22"/>
        </w:rPr>
        <w:t>.</w:t>
      </w:r>
      <w:r>
        <w:rPr>
          <w:rFonts w:ascii="Times New Roman" w:eastAsia="Times New Roman" w:hAnsi="Times New Roman"/>
          <w:color w:val="000000"/>
          <w:sz w:val="22"/>
          <w:highlight w:val="yellow"/>
        </w:rPr>
        <w:t>13</w:t>
      </w:r>
      <w:r>
        <w:rPr>
          <w:rFonts w:ascii="Times New Roman" w:eastAsia="Times New Roman" w:hAnsi="Times New Roman"/>
          <w:color w:val="000000"/>
          <w:sz w:val="22"/>
        </w:rPr>
        <w:t xml:space="preserve">% (Department of Animal Husbandry and Dairying, 2023). The leading meat-producing states </w:t>
      </w:r>
      <w:r>
        <w:rPr>
          <w:rFonts w:ascii="Times New Roman" w:eastAsia="Times New Roman" w:hAnsi="Times New Roman"/>
          <w:color w:val="000000"/>
          <w:sz w:val="22"/>
        </w:rPr>
        <w:lastRenderedPageBreak/>
        <w:t xml:space="preserve">were Uttar Pradesh (12.20%), </w:t>
      </w:r>
      <w:r>
        <w:rPr>
          <w:rFonts w:ascii="Times New Roman" w:eastAsia="Times New Roman" w:hAnsi="Times New Roman"/>
          <w:color w:val="000000"/>
          <w:sz w:val="22"/>
          <w:highlight w:val="yellow"/>
        </w:rPr>
        <w:t xml:space="preserve">West Bengal (11.93%), </w:t>
      </w:r>
      <w:r>
        <w:rPr>
          <w:rFonts w:ascii="Times New Roman" w:eastAsia="Times New Roman" w:hAnsi="Times New Roman"/>
          <w:color w:val="000000"/>
          <w:sz w:val="22"/>
        </w:rPr>
        <w:t>Maharashtra (11.5</w:t>
      </w:r>
      <w:r>
        <w:rPr>
          <w:rFonts w:ascii="Times New Roman" w:eastAsia="Times New Roman" w:hAnsi="Times New Roman"/>
          <w:color w:val="000000"/>
          <w:sz w:val="22"/>
          <w:highlight w:val="yellow"/>
        </w:rPr>
        <w:t>0</w:t>
      </w:r>
      <w:r>
        <w:rPr>
          <w:rFonts w:ascii="Times New Roman" w:eastAsia="Times New Roman" w:hAnsi="Times New Roman"/>
          <w:color w:val="000000"/>
          <w:sz w:val="22"/>
        </w:rPr>
        <w:t>%), Andhra Pradesh (1</w:t>
      </w:r>
      <w:r>
        <w:rPr>
          <w:rFonts w:ascii="Times New Roman" w:eastAsia="Times New Roman" w:hAnsi="Times New Roman"/>
          <w:color w:val="000000"/>
          <w:sz w:val="22"/>
          <w:highlight w:val="yellow"/>
        </w:rPr>
        <w:t>1.2</w:t>
      </w:r>
      <w:r>
        <w:rPr>
          <w:rFonts w:ascii="Times New Roman" w:eastAsia="Times New Roman" w:hAnsi="Times New Roman"/>
          <w:color w:val="000000"/>
          <w:sz w:val="22"/>
        </w:rPr>
        <w:t>0%), and Telangana (1</w:t>
      </w:r>
      <w:r>
        <w:rPr>
          <w:rFonts w:ascii="Times New Roman" w:eastAsia="Times New Roman" w:hAnsi="Times New Roman"/>
          <w:color w:val="000000"/>
          <w:sz w:val="22"/>
          <w:highlight w:val="yellow"/>
        </w:rPr>
        <w:t>1.</w:t>
      </w:r>
      <w:r>
        <w:rPr>
          <w:rFonts w:ascii="Times New Roman" w:eastAsia="Times New Roman" w:hAnsi="Times New Roman"/>
          <w:color w:val="000000"/>
          <w:sz w:val="22"/>
        </w:rPr>
        <w:t>0</w:t>
      </w:r>
      <w:r>
        <w:rPr>
          <w:rFonts w:ascii="Times New Roman" w:eastAsia="Times New Roman" w:hAnsi="Times New Roman"/>
          <w:color w:val="000000"/>
          <w:sz w:val="22"/>
          <w:highlight w:val="yellow"/>
        </w:rPr>
        <w:t>6</w:t>
      </w:r>
      <w:r>
        <w:rPr>
          <w:rFonts w:ascii="Times New Roman" w:eastAsia="Times New Roman" w:hAnsi="Times New Roman"/>
          <w:color w:val="000000"/>
          <w:sz w:val="22"/>
        </w:rPr>
        <w:t>%), together contributing 57.</w:t>
      </w:r>
      <w:r>
        <w:rPr>
          <w:rFonts w:ascii="Times New Roman" w:eastAsia="Times New Roman" w:hAnsi="Times New Roman"/>
          <w:color w:val="000000"/>
          <w:sz w:val="22"/>
          <w:highlight w:val="yellow"/>
        </w:rPr>
        <w:t>89</w:t>
      </w:r>
      <w:r>
        <w:rPr>
          <w:rFonts w:ascii="Times New Roman" w:eastAsia="Times New Roman" w:hAnsi="Times New Roman"/>
          <w:color w:val="000000"/>
          <w:sz w:val="22"/>
        </w:rPr>
        <w:t xml:space="preserve">% of national production (Department of Animal Husbandry and Dairying, 2023). Consumers increasingly value the nutritional and sensory attributes of native chicken meat. Indigenous chickens are often associated with lower fat content, firmer texture, and distinctive flavour compared with commercial broilers (Jaturasitha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2008; Rajkumar </w:t>
      </w:r>
      <w:r>
        <w:rPr>
          <w:rFonts w:ascii="Times New Roman" w:eastAsia="Times New Roman" w:hAnsi="Times New Roman"/>
          <w:i/>
          <w:color w:val="000000"/>
          <w:sz w:val="22"/>
        </w:rPr>
        <w:t>et al.</w:t>
      </w:r>
      <w:r>
        <w:rPr>
          <w:rFonts w:ascii="Times New Roman" w:eastAsia="Times New Roman" w:hAnsi="Times New Roman"/>
          <w:color w:val="000000"/>
          <w:sz w:val="22"/>
        </w:rPr>
        <w:t>, 2016).</w:t>
      </w:r>
    </w:p>
    <w:p w14:paraId="29623A26" w14:textId="77777777" w:rsidR="004C78D6"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Recent peer-reviewed literature supports the relevance of poultry production for food and nutritional security because poultry meat and eggs provide high-quality animal-source protein through comparatively short production cycles and flexible production systems (Mottet &amp; Tempio, 2017;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2021; 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2022). Within this context, evaluating locally adaptable improved varieties is scientifically relevant, particularly where farmers require birds that combine survivability with acceptable meat yield under regional production conditions (Niranjan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2008;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2021).</w:t>
      </w:r>
    </w:p>
    <w:p w14:paraId="385D9015" w14:textId="77777777" w:rsidR="004C78D6"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Improved varieties are indigenous-derived birds genetically enhanced through low-input breeding approaches for higher meat and egg output. Compared with unimproved local birds, these varieties generally lay more eggs, gain more body weight, retain attractive plumage, and show better adaptability and survival under rural production conditions. As India’s population and demand for animal-source foods increase, public research organisations and private institutions have developed crossbreeding programmes involving indigenous and exotic germplasm. Selection of meat-type chickens has primarily targeted growth performance and body composition. Studies have demonstrated that selection and crossbreeding for body composition influence muscle development and meat attributes (Le Bihan-Duval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1999; Devatkal </w:t>
      </w:r>
      <w:r>
        <w:rPr>
          <w:rFonts w:ascii="Times New Roman" w:eastAsia="Times New Roman" w:hAnsi="Times New Roman"/>
          <w:i/>
          <w:color w:val="000000"/>
          <w:sz w:val="22"/>
        </w:rPr>
        <w:t>et al.</w:t>
      </w:r>
      <w:r>
        <w:rPr>
          <w:rFonts w:ascii="Times New Roman" w:eastAsia="Times New Roman" w:hAnsi="Times New Roman"/>
          <w:color w:val="000000"/>
          <w:sz w:val="22"/>
        </w:rPr>
        <w:t>, 2018). Comparisons of the meat-quality characteristics of improved chicken varieties remain limited.</w:t>
      </w:r>
    </w:p>
    <w:p w14:paraId="786D4C05" w14:textId="77777777" w:rsidR="004C78D6"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Genotype has a documented influence on growth, cut-up yield, carcass composition, and meat-quality attributes in chickens; therefore,</w:t>
      </w:r>
      <w:r>
        <w:rPr>
          <w:rFonts w:ascii="Times New Roman" w:eastAsia="Times New Roman" w:hAnsi="Times New Roman" w:cs="Times New Roman"/>
          <w:color w:val="000000"/>
          <w:sz w:val="22"/>
          <w:szCs w:val="22"/>
          <w:highlight w:val="yellow"/>
        </w:rPr>
        <w:t xml:space="preserve"> a</w:t>
      </w:r>
      <w:r>
        <w:rPr>
          <w:rFonts w:ascii="Times New Roman" w:eastAsia="Times New Roman" w:hAnsi="Times New Roman" w:cs="Times New Roman"/>
          <w:color w:val="000000"/>
          <w:sz w:val="22"/>
          <w:szCs w:val="22"/>
        </w:rPr>
        <w:t xml:space="preserve"> comparison of Cari-Debendra and Cari-Nirbheek under a common management system can help separate breed-related carcass responses from environmental or management effects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2017; Devatkal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2018;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2016). Such genotype-specific evaluation is also useful because indigenous or indigenous-derived birds often differ from commercial broiler types in breast proportion, skeletal components, fat deposition, and sensory-relevant meat characteristics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2016; Devatkal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2018).</w:t>
      </w:r>
    </w:p>
    <w:p w14:paraId="140A4638" w14:textId="77777777" w:rsidR="00615EFE"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 xml:space="preserve">Recent comparative studies further indicate that genetic background can influence growth, slaughter weight, dressing yield, and the proportional distribution of carcass components, including in crossbred and tropically reared chickens (Guni </w:t>
      </w:r>
      <w:r>
        <w:rPr>
          <w:rFonts w:ascii="Times New Roman" w:eastAsia="Times New Roman" w:hAnsi="Times New Roman"/>
          <w:b/>
          <w:i/>
          <w:highlight w:val="yellow"/>
        </w:rPr>
        <w:t>et al.</w:t>
      </w:r>
      <w:r>
        <w:rPr>
          <w:rFonts w:ascii="Times New Roman" w:eastAsia="Times New Roman" w:hAnsi="Times New Roman"/>
          <w:b/>
          <w:highlight w:val="yellow"/>
        </w:rPr>
        <w:t xml:space="preserve">, 2023; Dzungwe </w:t>
      </w:r>
      <w:r>
        <w:rPr>
          <w:rFonts w:ascii="Times New Roman" w:eastAsia="Times New Roman" w:hAnsi="Times New Roman"/>
          <w:b/>
          <w:i/>
          <w:highlight w:val="yellow"/>
        </w:rPr>
        <w:t>et al.</w:t>
      </w:r>
      <w:r>
        <w:rPr>
          <w:rFonts w:ascii="Times New Roman" w:eastAsia="Times New Roman" w:hAnsi="Times New Roman"/>
          <w:b/>
          <w:highlight w:val="yellow"/>
        </w:rPr>
        <w:t xml:space="preserve">, 2024; Hemanth </w:t>
      </w:r>
      <w:r>
        <w:rPr>
          <w:rFonts w:ascii="Times New Roman" w:eastAsia="Times New Roman" w:hAnsi="Times New Roman"/>
          <w:b/>
          <w:i/>
          <w:highlight w:val="yellow"/>
        </w:rPr>
        <w:t>et al.</w:t>
      </w:r>
      <w:r>
        <w:rPr>
          <w:rFonts w:ascii="Times New Roman" w:eastAsia="Times New Roman" w:hAnsi="Times New Roman"/>
          <w:b/>
          <w:highlight w:val="yellow"/>
        </w:rPr>
        <w:t xml:space="preserve">, 2024). Age and sex can also affect carcass and meat-quality measurements in native chickens, supporting the use of a common slaughter age when genotypes are compared (Chaosap </w:t>
      </w:r>
      <w:r>
        <w:rPr>
          <w:rFonts w:ascii="Times New Roman" w:eastAsia="Times New Roman" w:hAnsi="Times New Roman"/>
          <w:b/>
          <w:i/>
          <w:highlight w:val="yellow"/>
        </w:rPr>
        <w:lastRenderedPageBreak/>
        <w:t>et al.</w:t>
      </w:r>
      <w:r>
        <w:rPr>
          <w:rFonts w:ascii="Times New Roman" w:eastAsia="Times New Roman" w:hAnsi="Times New Roman"/>
          <w:b/>
          <w:highlight w:val="yellow"/>
        </w:rPr>
        <w:t xml:space="preserve">, 2024). Recent broiler research has likewise assessed dressing yield, cut-up-part proportions, giblet yield, and relative organ weights as complementary indicators of carcass performance (Prasanth </w:t>
      </w:r>
      <w:r>
        <w:rPr>
          <w:rFonts w:ascii="Times New Roman" w:eastAsia="Times New Roman" w:hAnsi="Times New Roman"/>
          <w:b/>
          <w:i/>
          <w:highlight w:val="yellow"/>
        </w:rPr>
        <w:t>et al.</w:t>
      </w:r>
      <w:r>
        <w:rPr>
          <w:rFonts w:ascii="Times New Roman" w:eastAsia="Times New Roman" w:hAnsi="Times New Roman"/>
          <w:b/>
          <w:highlight w:val="yellow"/>
        </w:rPr>
        <w:t>, 2026).</w:t>
      </w:r>
    </w:p>
    <w:p w14:paraId="6934831F" w14:textId="77777777" w:rsidR="00615EFE"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However, the available literature cited above does not provide a direct comparison of CARI-Debendra and CARI-Nirbheek under identical management in the eastern plain zone of Uttar Pradesh. This limits breed-specific evidence on carcass yield and relative organ distribution under these regional conditions.</w:t>
      </w:r>
    </w:p>
    <w:p w14:paraId="1E971F9E" w14:textId="77777777" w:rsidR="00615EFE"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Therefore, the objective of this investigation was to compare the carcass characteristics of CARI-Debendra and CARI-Nirbheek under the eastern plain-zone conditions of Uttar Pradesh.</w:t>
      </w:r>
    </w:p>
    <w:p w14:paraId="26A4C4B2" w14:textId="77777777" w:rsidR="004C78D6" w:rsidRDefault="00000000">
      <w:pPr>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2. Materials and Methods</w:t>
      </w:r>
    </w:p>
    <w:p w14:paraId="1A1AA168" w14:textId="77777777" w:rsidR="004C78D6" w:rsidRDefault="00000000">
      <w:pPr>
        <w:pBdr>
          <w:top w:val="nil"/>
          <w:left w:val="nil"/>
          <w:bottom w:val="nil"/>
          <w:right w:val="nil"/>
          <w:between w:val="nil"/>
        </w:pBdr>
        <w:spacing w:line="360" w:lineRule="auto"/>
        <w:ind w:left="426"/>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2.1 Study Area</w:t>
      </w:r>
    </w:p>
    <w:p w14:paraId="0AAEC3DD" w14:textId="77777777" w:rsidR="004C78D6" w:rsidRDefault="00000000">
      <w:pPr>
        <w:pBdr>
          <w:top w:val="nil"/>
          <w:left w:val="nil"/>
          <w:bottom w:val="nil"/>
          <w:right w:val="nil"/>
          <w:between w:val="nil"/>
        </w:pBdr>
        <w:spacing w:line="360" w:lineRule="auto"/>
        <w:ind w:firstLine="2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present study was planned to evaluate the carcass characteristics and meat yield performance of</w:t>
      </w:r>
      <w:r>
        <w:rPr>
          <w:rFonts w:ascii="Times New Roman" w:eastAsia="Times New Roman" w:hAnsi="Times New Roman" w:cs="Times New Roman"/>
          <w:i/>
          <w:iCs/>
          <w:color w:val="000000"/>
          <w:sz w:val="22"/>
          <w:szCs w:val="22"/>
        </w:rPr>
        <w:t xml:space="preserve"> CARI-Debendra </w:t>
      </w:r>
      <w:r>
        <w:rPr>
          <w:rFonts w:ascii="Times New Roman" w:eastAsia="Times New Roman" w:hAnsi="Times New Roman" w:cs="Times New Roman"/>
          <w:color w:val="000000"/>
          <w:sz w:val="22"/>
          <w:szCs w:val="22"/>
        </w:rPr>
        <w:t>and</w:t>
      </w:r>
      <w:r>
        <w:rPr>
          <w:rFonts w:ascii="Times New Roman" w:eastAsia="Times New Roman" w:hAnsi="Times New Roman" w:cs="Times New Roman"/>
          <w:i/>
          <w:iCs/>
          <w:color w:val="000000"/>
          <w:sz w:val="22"/>
          <w:szCs w:val="22"/>
        </w:rPr>
        <w:t xml:space="preserve"> CARI-Nirbheek </w:t>
      </w:r>
      <w:r>
        <w:rPr>
          <w:rFonts w:ascii="Times New Roman" w:eastAsia="Times New Roman" w:hAnsi="Times New Roman" w:cs="Times New Roman"/>
          <w:color w:val="000000"/>
          <w:sz w:val="22"/>
          <w:szCs w:val="22"/>
        </w:rPr>
        <w:t xml:space="preserve">chicken breeds under </w:t>
      </w:r>
      <w:r>
        <w:rPr>
          <w:rFonts w:ascii="Times New Roman" w:eastAsia="Times New Roman" w:hAnsi="Times New Roman" w:cs="Times New Roman"/>
          <w:color w:val="000000"/>
          <w:sz w:val="22"/>
          <w:szCs w:val="22"/>
          <w:highlight w:val="yellow"/>
        </w:rPr>
        <w:t>the a</w:t>
      </w:r>
      <w:r>
        <w:rPr>
          <w:rFonts w:ascii="Times New Roman" w:eastAsia="Times New Roman" w:hAnsi="Times New Roman" w:cs="Times New Roman"/>
          <w:color w:val="000000"/>
          <w:sz w:val="22"/>
          <w:szCs w:val="22"/>
        </w:rPr>
        <w:t>gro-climatic conditions of</w:t>
      </w:r>
      <w:r>
        <w:rPr>
          <w:rFonts w:ascii="Times New Roman" w:eastAsia="Times New Roman" w:hAnsi="Times New Roman" w:cs="Times New Roman"/>
          <w:color w:val="000000"/>
          <w:sz w:val="22"/>
          <w:szCs w:val="22"/>
          <w:highlight w:val="yellow"/>
        </w:rPr>
        <w:t xml:space="preserve"> the</w:t>
      </w:r>
      <w:r>
        <w:rPr>
          <w:rFonts w:ascii="Times New Roman" w:eastAsia="Times New Roman" w:hAnsi="Times New Roman" w:cs="Times New Roman"/>
          <w:color w:val="000000"/>
          <w:sz w:val="22"/>
          <w:szCs w:val="22"/>
        </w:rPr>
        <w:t xml:space="preserve"> eastern plain zone of Uttar Pradesh. The study was conducted at</w:t>
      </w:r>
      <w:r>
        <w:rPr>
          <w:rFonts w:ascii="Times New Roman" w:eastAsia="Times New Roman" w:hAnsi="Times New Roman" w:cs="Times New Roman"/>
          <w:color w:val="000000"/>
          <w:sz w:val="22"/>
          <w:szCs w:val="22"/>
          <w:highlight w:val="yellow"/>
        </w:rPr>
        <w:t xml:space="preserve"> the</w:t>
      </w:r>
      <w:r>
        <w:rPr>
          <w:rFonts w:ascii="Times New Roman" w:eastAsia="Times New Roman" w:hAnsi="Times New Roman" w:cs="Times New Roman"/>
          <w:color w:val="000000"/>
          <w:sz w:val="22"/>
          <w:szCs w:val="22"/>
        </w:rPr>
        <w:t xml:space="preserve"> Livestock Farm Complex, College of Veterinary Science and Animal Husbandry, Acharya Narendra Deva University of Agriculture &amp; Technology, Kumarganj, Ayodhya.</w:t>
      </w:r>
    </w:p>
    <w:p w14:paraId="6D9CA7C9" w14:textId="77777777" w:rsidR="004C78D6" w:rsidRDefault="00000000">
      <w:pPr>
        <w:pBdr>
          <w:top w:val="nil"/>
          <w:left w:val="nil"/>
          <w:bottom w:val="nil"/>
          <w:right w:val="nil"/>
          <w:between w:val="nil"/>
        </w:pBdr>
        <w:spacing w:after="160" w:line="276" w:lineRule="auto"/>
        <w:ind w:lef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2.2 Experimental Design and Data Collection</w:t>
      </w:r>
    </w:p>
    <w:p w14:paraId="2DDDB432" w14:textId="77777777" w:rsidR="004C78D6" w:rsidRDefault="00000000">
      <w:pPr>
        <w:pBdr>
          <w:top w:val="nil"/>
          <w:left w:val="nil"/>
          <w:bottom w:val="nil"/>
          <w:right w:val="nil"/>
          <w:between w:val="nil"/>
        </w:pBdr>
        <w:spacing w:line="360" w:lineRule="auto"/>
        <w:ind w:firstLine="2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total of </w:t>
      </w:r>
      <w:r>
        <w:rPr>
          <w:rFonts w:ascii="Times New Roman" w:eastAsia="Times New Roman" w:hAnsi="Times New Roman" w:cs="Times New Roman"/>
          <w:color w:val="000000"/>
          <w:sz w:val="22"/>
          <w:szCs w:val="22"/>
          <w:highlight w:val="yellow"/>
        </w:rPr>
        <w:t>2,000</w:t>
      </w:r>
      <w:r>
        <w:rPr>
          <w:rFonts w:ascii="Times New Roman" w:eastAsia="Times New Roman" w:hAnsi="Times New Roman" w:cs="Times New Roman"/>
          <w:color w:val="000000"/>
          <w:sz w:val="22"/>
          <w:szCs w:val="22"/>
        </w:rPr>
        <w:t xml:space="preserve"> eggs without abnormalities </w:t>
      </w:r>
      <w:r>
        <w:rPr>
          <w:rFonts w:ascii="Times New Roman" w:eastAsia="Times New Roman" w:hAnsi="Times New Roman" w:cs="Times New Roman"/>
          <w:color w:val="000000"/>
          <w:sz w:val="22"/>
          <w:szCs w:val="22"/>
          <w:highlight w:val="yellow"/>
        </w:rPr>
        <w:t>or</w:t>
      </w:r>
      <w:r>
        <w:rPr>
          <w:rFonts w:ascii="Times New Roman" w:eastAsia="Times New Roman" w:hAnsi="Times New Roman" w:cs="Times New Roman"/>
          <w:color w:val="000000"/>
          <w:sz w:val="22"/>
          <w:szCs w:val="22"/>
        </w:rPr>
        <w:t xml:space="preserve"> cracks</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c</w:t>
      </w:r>
      <w:r>
        <w:rPr>
          <w:rFonts w:ascii="Times New Roman" w:eastAsia="Times New Roman" w:hAnsi="Times New Roman" w:cs="Times New Roman"/>
          <w:color w:val="000000"/>
          <w:sz w:val="22"/>
          <w:szCs w:val="22"/>
        </w:rPr>
        <w:t>o</w:t>
      </w:r>
      <w:r>
        <w:rPr>
          <w:rFonts w:ascii="Times New Roman" w:eastAsia="Times New Roman" w:hAnsi="Times New Roman" w:cs="Times New Roman"/>
          <w:color w:val="000000"/>
          <w:sz w:val="22"/>
          <w:szCs w:val="22"/>
          <w:highlight w:val="yellow"/>
        </w:rPr>
        <w:t>mprising 1,000</w:t>
      </w:r>
      <w:r>
        <w:rPr>
          <w:rFonts w:ascii="Times New Roman" w:eastAsia="Times New Roman" w:hAnsi="Times New Roman" w:cs="Times New Roman"/>
          <w:color w:val="000000"/>
          <w:sz w:val="22"/>
          <w:szCs w:val="22"/>
        </w:rPr>
        <w:t xml:space="preserve"> 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Debendra </w:t>
      </w:r>
      <w:r>
        <w:rPr>
          <w:rFonts w:ascii="Times New Roman" w:eastAsia="Times New Roman" w:hAnsi="Times New Roman" w:cs="Times New Roman"/>
          <w:color w:val="000000"/>
          <w:sz w:val="22"/>
          <w:szCs w:val="22"/>
          <w:highlight w:val="yellow"/>
        </w:rPr>
        <w:t>eggs</w:t>
      </w:r>
      <w:r>
        <w:rPr>
          <w:rFonts w:ascii="Times New Roman" w:eastAsia="Times New Roman" w:hAnsi="Times New Roman" w:cs="Times New Roman"/>
          <w:color w:val="000000"/>
          <w:sz w:val="22"/>
          <w:szCs w:val="22"/>
        </w:rPr>
        <w:t xml:space="preserve"> and </w:t>
      </w:r>
      <w:r>
        <w:rPr>
          <w:rFonts w:ascii="Times New Roman" w:eastAsia="Times New Roman" w:hAnsi="Times New Roman" w:cs="Times New Roman"/>
          <w:color w:val="000000"/>
          <w:sz w:val="22"/>
          <w:szCs w:val="22"/>
          <w:highlight w:val="yellow"/>
        </w:rPr>
        <w:t xml:space="preserve">1,000 </w:t>
      </w:r>
      <w:r>
        <w:rPr>
          <w:rFonts w:ascii="Times New Roman" w:eastAsia="Times New Roman" w:hAnsi="Times New Roman" w:cs="Times New Roman"/>
          <w:color w:val="000000"/>
          <w:sz w:val="22"/>
          <w:szCs w:val="22"/>
        </w:rPr>
        <w:t>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Nirbheek </w:t>
      </w:r>
      <w:r>
        <w:rPr>
          <w:rFonts w:ascii="Times New Roman" w:eastAsia="Times New Roman" w:hAnsi="Times New Roman" w:cs="Times New Roman"/>
          <w:color w:val="000000"/>
          <w:sz w:val="22"/>
          <w:szCs w:val="22"/>
          <w:highlight w:val="yellow"/>
        </w:rPr>
        <w:t>eggs,</w:t>
      </w:r>
      <w:r>
        <w:rPr>
          <w:rFonts w:ascii="Times New Roman" w:eastAsia="Times New Roman" w:hAnsi="Times New Roman" w:cs="Times New Roman"/>
          <w:color w:val="000000"/>
          <w:sz w:val="22"/>
          <w:szCs w:val="22"/>
        </w:rPr>
        <w:t xml:space="preserve"> were set for incubation. One hundred </w:t>
      </w:r>
      <w:r>
        <w:rPr>
          <w:rFonts w:ascii="Times New Roman" w:eastAsia="Times New Roman" w:hAnsi="Times New Roman" w:cs="Times New Roman"/>
          <w:color w:val="000000"/>
          <w:sz w:val="22"/>
          <w:szCs w:val="22"/>
          <w:highlight w:val="yellow"/>
        </w:rPr>
        <w:t xml:space="preserve">and </w:t>
      </w:r>
      <w:r>
        <w:rPr>
          <w:rFonts w:ascii="Times New Roman" w:eastAsia="Times New Roman" w:hAnsi="Times New Roman" w:cs="Times New Roman"/>
          <w:color w:val="000000"/>
          <w:sz w:val="22"/>
          <w:szCs w:val="22"/>
        </w:rPr>
        <w:t xml:space="preserve">fifty chicks </w:t>
      </w:r>
      <w:r>
        <w:rPr>
          <w:rFonts w:ascii="Times New Roman" w:eastAsia="Times New Roman" w:hAnsi="Times New Roman" w:cs="Times New Roman"/>
          <w:color w:val="000000"/>
          <w:sz w:val="22"/>
          <w:szCs w:val="22"/>
          <w:highlight w:val="yellow"/>
        </w:rPr>
        <w:t>fr</w:t>
      </w:r>
      <w:r>
        <w:rPr>
          <w:rFonts w:ascii="Times New Roman" w:eastAsia="Times New Roman" w:hAnsi="Times New Roman" w:cs="Times New Roman"/>
          <w:color w:val="000000"/>
          <w:sz w:val="22"/>
          <w:szCs w:val="22"/>
        </w:rPr>
        <w:t>o</w:t>
      </w:r>
      <w:r>
        <w:rPr>
          <w:rFonts w:ascii="Times New Roman" w:eastAsia="Times New Roman" w:hAnsi="Times New Roman" w:cs="Times New Roman"/>
          <w:color w:val="000000"/>
          <w:sz w:val="22"/>
          <w:szCs w:val="22"/>
          <w:highlight w:val="yellow"/>
        </w:rPr>
        <w:t>m</w:t>
      </w:r>
      <w:r>
        <w:rPr>
          <w:rFonts w:ascii="Times New Roman" w:eastAsia="Times New Roman" w:hAnsi="Times New Roman" w:cs="Times New Roman"/>
          <w:color w:val="000000"/>
          <w:sz w:val="22"/>
          <w:szCs w:val="22"/>
        </w:rPr>
        <w:t xml:space="preserve"> each </w:t>
      </w:r>
      <w:r>
        <w:rPr>
          <w:rFonts w:ascii="Times New Roman" w:eastAsia="Times New Roman" w:hAnsi="Times New Roman" w:cs="Times New Roman"/>
          <w:color w:val="000000"/>
          <w:sz w:val="22"/>
          <w:szCs w:val="22"/>
          <w:highlight w:val="yellow"/>
        </w:rPr>
        <w:t xml:space="preserve">of the </w:t>
      </w:r>
      <w:r>
        <w:rPr>
          <w:rFonts w:ascii="Times New Roman" w:eastAsia="Times New Roman" w:hAnsi="Times New Roman" w:cs="Times New Roman"/>
          <w:color w:val="000000"/>
          <w:sz w:val="22"/>
          <w:szCs w:val="22"/>
        </w:rPr>
        <w:t>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Nirbheek and 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Debendra</w:t>
      </w:r>
      <w:r>
        <w:rPr>
          <w:rFonts w:ascii="Times New Roman" w:eastAsia="Times New Roman" w:hAnsi="Times New Roman" w:cs="Times New Roman"/>
          <w:color w:val="000000"/>
          <w:sz w:val="22"/>
          <w:szCs w:val="22"/>
          <w:highlight w:val="yellow"/>
        </w:rPr>
        <w:t xml:space="preserve"> groups</w:t>
      </w:r>
      <w:r>
        <w:rPr>
          <w:rFonts w:ascii="Times New Roman" w:eastAsia="Times New Roman" w:hAnsi="Times New Roman" w:cs="Times New Roman"/>
          <w:color w:val="000000"/>
          <w:sz w:val="22"/>
          <w:szCs w:val="22"/>
        </w:rPr>
        <w:t xml:space="preserve"> were allocated in </w:t>
      </w:r>
      <w:r>
        <w:rPr>
          <w:rFonts w:ascii="Times New Roman" w:eastAsia="Times New Roman" w:hAnsi="Times New Roman" w:cs="Times New Roman"/>
          <w:color w:val="000000"/>
          <w:sz w:val="22"/>
          <w:szCs w:val="22"/>
          <w:highlight w:val="yellow"/>
        </w:rPr>
        <w:t xml:space="preserve">a </w:t>
      </w:r>
      <w:r>
        <w:rPr>
          <w:rFonts w:ascii="Times New Roman" w:eastAsia="Times New Roman" w:hAnsi="Times New Roman" w:cs="Times New Roman"/>
          <w:color w:val="000000"/>
          <w:sz w:val="22"/>
          <w:szCs w:val="22"/>
        </w:rPr>
        <w:t>completely randomi</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ed experimental design </w:t>
      </w:r>
      <w:r>
        <w:rPr>
          <w:rFonts w:ascii="Times New Roman" w:eastAsia="Times New Roman" w:hAnsi="Times New Roman" w:cs="Times New Roman"/>
          <w:color w:val="000000"/>
          <w:sz w:val="22"/>
          <w:szCs w:val="22"/>
          <w:highlight w:val="yellow"/>
        </w:rPr>
        <w:t>wit</w:t>
      </w:r>
      <w:r>
        <w:rPr>
          <w:rFonts w:ascii="Times New Roman" w:eastAsia="Times New Roman" w:hAnsi="Times New Roman" w:cs="Times New Roman"/>
          <w:color w:val="000000"/>
          <w:sz w:val="22"/>
          <w:szCs w:val="22"/>
        </w:rPr>
        <w:t xml:space="preserve">h three replicates per group </w:t>
      </w:r>
      <w:r>
        <w:rPr>
          <w:rFonts w:ascii="Times New Roman" w:eastAsia="Times New Roman" w:hAnsi="Times New Roman" w:cs="Times New Roman"/>
          <w:color w:val="000000"/>
          <w:sz w:val="22"/>
          <w:szCs w:val="22"/>
          <w:highlight w:val="yellow"/>
        </w:rPr>
        <w:t>and</w:t>
      </w:r>
      <w:r>
        <w:rPr>
          <w:rFonts w:ascii="Times New Roman" w:eastAsia="Times New Roman" w:hAnsi="Times New Roman" w:cs="Times New Roman"/>
          <w:color w:val="000000"/>
          <w:sz w:val="22"/>
          <w:szCs w:val="22"/>
        </w:rPr>
        <w:t xml:space="preserve"> 50 chicks </w:t>
      </w:r>
      <w:r>
        <w:rPr>
          <w:rFonts w:ascii="Times New Roman" w:eastAsia="Times New Roman" w:hAnsi="Times New Roman" w:cs="Times New Roman"/>
          <w:color w:val="000000"/>
          <w:sz w:val="22"/>
          <w:szCs w:val="22"/>
          <w:highlight w:val="yellow"/>
        </w:rPr>
        <w:t>p</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r</w:t>
      </w:r>
      <w:r>
        <w:rPr>
          <w:rFonts w:ascii="Times New Roman" w:eastAsia="Times New Roman" w:hAnsi="Times New Roman" w:cs="Times New Roman"/>
          <w:color w:val="000000"/>
          <w:sz w:val="22"/>
          <w:szCs w:val="22"/>
        </w:rPr>
        <w:t xml:space="preserve"> replicate. The chicks were reared under </w:t>
      </w:r>
      <w:r>
        <w:rPr>
          <w:rFonts w:ascii="Times New Roman" w:eastAsia="Times New Roman" w:hAnsi="Times New Roman" w:cs="Times New Roman"/>
          <w:color w:val="000000"/>
          <w:sz w:val="22"/>
          <w:szCs w:val="22"/>
          <w:highlight w:val="yellow"/>
        </w:rPr>
        <w:t xml:space="preserve">a </w:t>
      </w:r>
      <w:r>
        <w:rPr>
          <w:rFonts w:ascii="Times New Roman" w:eastAsia="Times New Roman" w:hAnsi="Times New Roman" w:cs="Times New Roman"/>
          <w:color w:val="000000"/>
          <w:sz w:val="22"/>
          <w:szCs w:val="22"/>
        </w:rPr>
        <w:t>deep</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litter system under standard management conditions. Throughout the experimental period</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feed and water were offered ad</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libitum.</w:t>
      </w:r>
    </w:p>
    <w:p w14:paraId="2D56A47A"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color w:val="000000"/>
          <w:sz w:val="22"/>
          <w:szCs w:val="22"/>
        </w:rPr>
        <w:t>At 20 weeks</w:t>
      </w:r>
      <w:r>
        <w:rPr>
          <w:rFonts w:ascii="Times New Roman" w:eastAsia="Times New Roman" w:hAnsi="Times New Roman" w:cs="Times New Roman"/>
          <w:color w:val="000000"/>
          <w:sz w:val="22"/>
          <w:szCs w:val="22"/>
          <w:highlight w:val="yellow"/>
        </w:rPr>
        <w:t xml:space="preserve"> of age</w:t>
      </w:r>
      <w:r>
        <w:rPr>
          <w:rFonts w:ascii="Times New Roman" w:eastAsia="Times New Roman" w:hAnsi="Times New Roman" w:cs="Times New Roman"/>
          <w:color w:val="000000"/>
          <w:sz w:val="22"/>
          <w:szCs w:val="22"/>
        </w:rPr>
        <w:t xml:space="preserve">, fifteen healthy birds from </w:t>
      </w:r>
      <w:r>
        <w:rPr>
          <w:rFonts w:ascii="Times New Roman" w:eastAsia="Times New Roman" w:hAnsi="Times New Roman" w:cs="Times New Roman"/>
          <w:color w:val="000000"/>
          <w:sz w:val="22"/>
          <w:szCs w:val="22"/>
          <w:highlight w:val="yellow"/>
        </w:rPr>
        <w:t xml:space="preserve">each of the </w:t>
      </w:r>
      <w:r>
        <w:rPr>
          <w:rFonts w:ascii="Times New Roman" w:eastAsia="Times New Roman" w:hAnsi="Times New Roman" w:cs="Times New Roman"/>
          <w:color w:val="000000"/>
          <w:sz w:val="22"/>
          <w:szCs w:val="22"/>
        </w:rPr>
        <w:t>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Nirbheek and Cari</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Debendra</w:t>
      </w:r>
      <w:r>
        <w:rPr>
          <w:rFonts w:ascii="Times New Roman" w:eastAsia="Times New Roman" w:hAnsi="Times New Roman" w:cs="Times New Roman"/>
          <w:color w:val="000000"/>
          <w:sz w:val="22"/>
          <w:szCs w:val="22"/>
          <w:highlight w:val="yellow"/>
        </w:rPr>
        <w:t xml:space="preserve"> groups</w:t>
      </w:r>
      <w:r>
        <w:rPr>
          <w:rFonts w:ascii="Times New Roman" w:eastAsia="Times New Roman" w:hAnsi="Times New Roman" w:cs="Times New Roman"/>
          <w:color w:val="000000"/>
          <w:sz w:val="22"/>
          <w:szCs w:val="22"/>
        </w:rPr>
        <w:t xml:space="preserve"> were selected using simple random sampling, with five birds randomly selected from each</w:t>
      </w:r>
      <w:r>
        <w:rPr>
          <w:rFonts w:ascii="Times New Roman" w:eastAsia="Times New Roman" w:hAnsi="Times New Roman" w:cs="Times New Roman"/>
          <w:color w:val="000000"/>
          <w:sz w:val="22"/>
          <w:szCs w:val="22"/>
          <w:highlight w:val="yellow"/>
        </w:rPr>
        <w:t xml:space="preserve"> of the</w:t>
      </w:r>
      <w:r>
        <w:rPr>
          <w:rFonts w:ascii="Times New Roman" w:eastAsia="Times New Roman" w:hAnsi="Times New Roman" w:cs="Times New Roman"/>
          <w:color w:val="000000"/>
          <w:sz w:val="22"/>
          <w:szCs w:val="22"/>
        </w:rPr>
        <w:t xml:space="preserve"> three replicates (n=5 per replicate). The selected birds were representative of their respective replicate groups and were used </w:t>
      </w:r>
      <w:r>
        <w:rPr>
          <w:rFonts w:ascii="Times New Roman" w:eastAsia="Times New Roman" w:hAnsi="Times New Roman" w:cs="Times New Roman"/>
          <w:color w:val="000000"/>
          <w:sz w:val="22"/>
          <w:szCs w:val="22"/>
          <w:highlight w:val="yellow"/>
        </w:rPr>
        <w:t>t</w:t>
      </w:r>
      <w:r>
        <w:rPr>
          <w:rFonts w:ascii="Times New Roman" w:eastAsia="Times New Roman" w:hAnsi="Times New Roman" w:cs="Times New Roman"/>
          <w:color w:val="000000"/>
          <w:sz w:val="22"/>
          <w:szCs w:val="22"/>
        </w:rPr>
        <w:t>o</w:t>
      </w:r>
      <w:r>
        <w:rPr>
          <w:rFonts w:ascii="Times New Roman" w:eastAsia="Times New Roman" w:hAnsi="Times New Roman" w:cs="Times New Roman"/>
          <w:color w:val="000000"/>
          <w:sz w:val="22"/>
          <w:szCs w:val="22"/>
          <w:highlight w:val="yellow"/>
        </w:rPr>
        <w:t xml:space="preserve"> evaluate</w:t>
      </w:r>
      <w:r>
        <w:rPr>
          <w:rFonts w:ascii="Times New Roman" w:eastAsia="Times New Roman" w:hAnsi="Times New Roman" w:cs="Times New Roman"/>
          <w:color w:val="000000"/>
          <w:sz w:val="22"/>
          <w:szCs w:val="22"/>
        </w:rPr>
        <w:t xml:space="preserve"> carcass quality traits. The remaining birds were used for further evaluation of egg production traits. </w:t>
      </w:r>
      <w:r>
        <w:rPr>
          <w:rFonts w:ascii="Times New Roman" w:eastAsia="Times New Roman" w:hAnsi="Times New Roman" w:cs="Times New Roman"/>
          <w:color w:val="000000"/>
          <w:sz w:val="22"/>
          <w:szCs w:val="22"/>
          <w:highlight w:val="yellow"/>
        </w:rPr>
        <w:t>The birds were p</w:t>
      </w:r>
      <w:r>
        <w:rPr>
          <w:rFonts w:ascii="Times New Roman" w:eastAsia="Times New Roman" w:hAnsi="Times New Roman" w:cs="Times New Roman"/>
          <w:color w:val="000000"/>
          <w:sz w:val="22"/>
          <w:szCs w:val="22"/>
        </w:rPr>
        <w:t>rocess</w:t>
      </w:r>
      <w:r>
        <w:rPr>
          <w:rFonts w:ascii="Times New Roman" w:eastAsia="Times New Roman" w:hAnsi="Times New Roman" w:cs="Times New Roman"/>
          <w:color w:val="000000"/>
          <w:sz w:val="22"/>
          <w:szCs w:val="22"/>
          <w:highlight w:val="yellow"/>
        </w:rPr>
        <w:t>ed us</w:t>
      </w:r>
      <w:r>
        <w:rPr>
          <w:rFonts w:ascii="Times New Roman" w:eastAsia="Times New Roman" w:hAnsi="Times New Roman" w:cs="Times New Roman"/>
          <w:color w:val="000000"/>
          <w:sz w:val="22"/>
          <w:szCs w:val="22"/>
        </w:rPr>
        <w:t xml:space="preserve">ing </w:t>
      </w:r>
      <w:r>
        <w:rPr>
          <w:rFonts w:ascii="Times New Roman" w:eastAsia="Times New Roman" w:hAnsi="Times New Roman" w:cs="Times New Roman"/>
          <w:color w:val="000000"/>
          <w:sz w:val="22"/>
          <w:szCs w:val="22"/>
          <w:highlight w:val="yellow"/>
        </w:rPr>
        <w:t xml:space="preserve">standard </w:t>
      </w:r>
      <w:r>
        <w:rPr>
          <w:rFonts w:ascii="Times New Roman" w:eastAsia="Times New Roman" w:hAnsi="Times New Roman" w:cs="Times New Roman"/>
          <w:color w:val="000000"/>
          <w:sz w:val="22"/>
          <w:szCs w:val="22"/>
        </w:rPr>
        <w:t>slaughtering, bleeding, scalding</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defeathering procedure</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D</w:t>
      </w:r>
      <w:r>
        <w:rPr>
          <w:rFonts w:ascii="Times New Roman" w:eastAsia="Times New Roman" w:hAnsi="Times New Roman" w:cs="Times New Roman"/>
          <w:color w:val="000000"/>
          <w:sz w:val="22"/>
          <w:szCs w:val="22"/>
        </w:rPr>
        <w:t>ressed carcass</w:t>
      </w:r>
      <w:r>
        <w:rPr>
          <w:rFonts w:ascii="Times New Roman" w:eastAsia="Times New Roman" w:hAnsi="Times New Roman" w:cs="Times New Roman"/>
          <w:color w:val="000000"/>
          <w:sz w:val="22"/>
          <w:szCs w:val="22"/>
          <w:highlight w:val="yellow"/>
        </w:rPr>
        <w:t xml:space="preserve"> weight</w:t>
      </w:r>
      <w:r>
        <w:rPr>
          <w:rFonts w:ascii="Times New Roman" w:eastAsia="Times New Roman" w:hAnsi="Times New Roman" w:cs="Times New Roman"/>
          <w:color w:val="000000"/>
          <w:sz w:val="22"/>
          <w:szCs w:val="22"/>
        </w:rPr>
        <w:t xml:space="preserve"> was calculated after bleeding, defeathering, evisceration</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 and giblet removal and express</w:t>
      </w:r>
      <w:r>
        <w:rPr>
          <w:rFonts w:ascii="Times New Roman" w:eastAsia="Times New Roman" w:hAnsi="Times New Roman" w:cs="Times New Roman"/>
          <w:color w:val="000000"/>
          <w:sz w:val="22"/>
          <w:szCs w:val="22"/>
          <w:highlight w:val="yellow"/>
        </w:rPr>
        <w:t>ed</w:t>
      </w:r>
      <w:r>
        <w:rPr>
          <w:rFonts w:ascii="Times New Roman" w:eastAsia="Times New Roman" w:hAnsi="Times New Roman" w:cs="Times New Roman"/>
          <w:color w:val="000000"/>
          <w:sz w:val="22"/>
          <w:szCs w:val="22"/>
        </w:rPr>
        <w:t xml:space="preserve"> as</w:t>
      </w:r>
      <w:r>
        <w:rPr>
          <w:rFonts w:ascii="Times New Roman" w:eastAsia="Times New Roman" w:hAnsi="Times New Roman" w:cs="Times New Roman"/>
          <w:color w:val="000000"/>
          <w:sz w:val="22"/>
          <w:szCs w:val="22"/>
          <w:highlight w:val="yellow"/>
        </w:rPr>
        <w:t xml:space="preserve"> a percentage</w:t>
      </w:r>
      <w:r>
        <w:rPr>
          <w:rFonts w:ascii="Times New Roman" w:eastAsia="Times New Roman" w:hAnsi="Times New Roman" w:cs="Times New Roman"/>
          <w:color w:val="000000"/>
          <w:sz w:val="22"/>
          <w:szCs w:val="22"/>
        </w:rPr>
        <w:t xml:space="preserve"> of pre</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slaughter live weight. All pr</w:t>
      </w:r>
      <w:r>
        <w:rPr>
          <w:rFonts w:ascii="Times New Roman" w:eastAsia="Times New Roman" w:hAnsi="Times New Roman" w:cs="Times New Roman"/>
          <w:color w:val="000000"/>
          <w:sz w:val="22"/>
          <w:szCs w:val="22"/>
          <w:highlight w:val="yellow"/>
        </w:rPr>
        <w:t>oc</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dur</w:t>
      </w:r>
      <w:r>
        <w:rPr>
          <w:rFonts w:ascii="Times New Roman" w:eastAsia="Times New Roman" w:hAnsi="Times New Roman" w:cs="Times New Roman"/>
          <w:color w:val="000000"/>
          <w:sz w:val="22"/>
          <w:szCs w:val="22"/>
        </w:rPr>
        <w:t xml:space="preserve">es were performed after approval </w:t>
      </w:r>
      <w:r>
        <w:rPr>
          <w:rFonts w:ascii="Times New Roman" w:eastAsia="Times New Roman" w:hAnsi="Times New Roman" w:cs="Times New Roman"/>
          <w:color w:val="000000"/>
          <w:sz w:val="22"/>
          <w:szCs w:val="22"/>
          <w:highlight w:val="yellow"/>
        </w:rPr>
        <w:t>by the</w:t>
      </w:r>
      <w:r>
        <w:rPr>
          <w:rFonts w:ascii="Times New Roman" w:eastAsia="Times New Roman" w:hAnsi="Times New Roman" w:cs="Times New Roman"/>
          <w:color w:val="000000"/>
          <w:sz w:val="22"/>
          <w:szCs w:val="22"/>
        </w:rPr>
        <w:t xml:space="preserve"> Institutional Animal Ethics Committee </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reference no. </w:t>
      </w:r>
      <w:r>
        <w:rPr>
          <w:rFonts w:ascii="Times New Roman" w:eastAsia="Times New Roman" w:hAnsi="Times New Roman" w:cs="Times New Roman"/>
          <w:b/>
          <w:bCs/>
          <w:color w:val="000000"/>
          <w:sz w:val="22"/>
          <w:szCs w:val="22"/>
        </w:rPr>
        <w:t>IAEC\CVSc-ANDUAT\2025\1\19</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b/>
          <w:bCs/>
          <w:color w:val="000000"/>
          <w:sz w:val="22"/>
          <w:szCs w:val="22"/>
        </w:rPr>
        <w:t>.</w:t>
      </w:r>
    </w:p>
    <w:p w14:paraId="6FF0ACA4"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highlight w:val="yellow"/>
        </w:rPr>
        <w:t>The c</w:t>
      </w:r>
      <w:r>
        <w:rPr>
          <w:rFonts w:ascii="Times New Roman" w:eastAsia="Times New Roman" w:hAnsi="Times New Roman" w:cs="Times New Roman"/>
          <w:color w:val="000000"/>
          <w:sz w:val="22"/>
          <w:szCs w:val="22"/>
        </w:rPr>
        <w:t xml:space="preserve">arcass characteristics </w:t>
      </w:r>
      <w:r>
        <w:rPr>
          <w:rFonts w:ascii="Times New Roman" w:eastAsia="Times New Roman" w:hAnsi="Times New Roman" w:cs="Times New Roman"/>
          <w:color w:val="000000"/>
          <w:sz w:val="22"/>
          <w:szCs w:val="22"/>
          <w:highlight w:val="yellow"/>
        </w:rPr>
        <w:t>evalua</w:t>
      </w:r>
      <w:r>
        <w:rPr>
          <w:rFonts w:ascii="Times New Roman" w:eastAsia="Times New Roman" w:hAnsi="Times New Roman" w:cs="Times New Roman"/>
          <w:color w:val="000000"/>
          <w:sz w:val="22"/>
          <w:szCs w:val="22"/>
        </w:rPr>
        <w:t xml:space="preserve">ted are </w:t>
      </w:r>
      <w:r>
        <w:rPr>
          <w:rFonts w:ascii="Times New Roman" w:eastAsia="Times New Roman" w:hAnsi="Times New Roman" w:cs="Times New Roman"/>
          <w:color w:val="000000"/>
          <w:sz w:val="22"/>
          <w:szCs w:val="22"/>
          <w:highlight w:val="yellow"/>
        </w:rPr>
        <w:t>l</w:t>
      </w: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highlight w:val="yellow"/>
        </w:rPr>
        <w:t>st</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d</w:t>
      </w:r>
      <w:r>
        <w:rPr>
          <w:rFonts w:ascii="Times New Roman" w:eastAsia="Times New Roman" w:hAnsi="Times New Roman" w:cs="Times New Roman"/>
          <w:color w:val="000000"/>
          <w:sz w:val="22"/>
          <w:szCs w:val="22"/>
        </w:rPr>
        <w:t xml:space="preserve"> below.</w:t>
      </w:r>
    </w:p>
    <w:p w14:paraId="7F1C04FD"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Live weight (g) </w:t>
      </w:r>
    </w:p>
    <w:p w14:paraId="70F85006"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Dressed weight (g) </w:t>
      </w:r>
    </w:p>
    <w:p w14:paraId="0122E899"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Dressing (%) = Dressed weight / Live weight × 100 </w:t>
      </w:r>
    </w:p>
    <w:p w14:paraId="3341F725"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Giblet (%) = Giblet weight / Dressed weight × 100</w:t>
      </w:r>
    </w:p>
    <w:p w14:paraId="04B31DD0"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 xml:space="preserve">2.3 Statistical Analysis </w:t>
      </w:r>
    </w:p>
    <w:p w14:paraId="668B6B98" w14:textId="77777777" w:rsidR="004C78D6" w:rsidRDefault="00000000">
      <w:pPr>
        <w:pBdr>
          <w:top w:val="nil"/>
          <w:left w:val="nil"/>
          <w:bottom w:val="nil"/>
          <w:right w:val="nil"/>
          <w:between w:val="nil"/>
        </w:pBdr>
        <w:spacing w:before="280" w:after="28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data were analy</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ed using an independent</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samples t-test in IBM SPSS Statistics version 20. Data are presented as </w:t>
      </w:r>
      <w:r>
        <w:rPr>
          <w:rFonts w:ascii="Times New Roman" w:eastAsia="Times New Roman" w:hAnsi="Times New Roman" w:cs="Times New Roman"/>
          <w:color w:val="000000"/>
          <w:sz w:val="22"/>
          <w:szCs w:val="22"/>
          <w:highlight w:val="yellow"/>
        </w:rPr>
        <w:t>the m</w:t>
      </w:r>
      <w:r>
        <w:rPr>
          <w:rFonts w:ascii="Times New Roman" w:eastAsia="Times New Roman" w:hAnsi="Times New Roman" w:cs="Times New Roman"/>
          <w:color w:val="000000"/>
          <w:sz w:val="22"/>
          <w:szCs w:val="22"/>
        </w:rPr>
        <w:t>ean</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tandard </w:t>
      </w:r>
      <w:r>
        <w:rPr>
          <w:rFonts w:ascii="Times New Roman" w:eastAsia="Times New Roman" w:hAnsi="Times New Roman" w:cs="Times New Roman"/>
          <w:color w:val="000000"/>
          <w:sz w:val="22"/>
          <w:szCs w:val="22"/>
          <w:highlight w:val="yellow"/>
        </w:rPr>
        <w:t>e</w:t>
      </w:r>
      <w:r>
        <w:rPr>
          <w:rFonts w:ascii="Times New Roman" w:eastAsia="Times New Roman" w:hAnsi="Times New Roman" w:cs="Times New Roman"/>
          <w:color w:val="000000"/>
          <w:sz w:val="22"/>
          <w:szCs w:val="22"/>
        </w:rPr>
        <w:t>rror (</w:t>
      </w:r>
      <w:r>
        <w:rPr>
          <w:rFonts w:ascii="Times New Roman" w:eastAsia="Times New Roman" w:hAnsi="Times New Roman" w:cs="Times New Roman"/>
          <w:color w:val="000000"/>
          <w:sz w:val="22"/>
          <w:szCs w:val="22"/>
          <w:highlight w:val="yellow"/>
        </w:rPr>
        <w:t>m</w:t>
      </w:r>
      <w:r>
        <w:rPr>
          <w:rFonts w:ascii="Times New Roman" w:eastAsia="Times New Roman" w:hAnsi="Times New Roman" w:cs="Times New Roman"/>
          <w:color w:val="000000"/>
          <w:sz w:val="22"/>
          <w:szCs w:val="22"/>
        </w:rPr>
        <w:t>ean</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highlight w:val="yellow"/>
        </w:rPr>
        <w:t xml:space="preserve"> </w:t>
      </w:r>
      <w:r>
        <w:rPr>
          <w:rFonts w:ascii="Times New Roman" w:eastAsia="Times New Roman" w:hAnsi="Times New Roman" w:cs="Times New Roman"/>
          <w:color w:val="000000"/>
          <w:sz w:val="22"/>
          <w:szCs w:val="22"/>
        </w:rPr>
        <w:t xml:space="preserve">SE). Differences were considered statistically significant at </w:t>
      </w:r>
      <w:r>
        <w:rPr>
          <w:rFonts w:ascii="Times New Roman" w:eastAsia="Times New Roman" w:hAnsi="Times New Roman" w:cs="Times New Roman"/>
          <w:color w:val="000000"/>
          <w:sz w:val="22"/>
          <w:szCs w:val="22"/>
          <w:highlight w:val="yellow"/>
        </w:rPr>
        <w:t>p</w:t>
      </w:r>
      <w:r>
        <w:rPr>
          <w:rFonts w:ascii="Times New Roman" w:eastAsia="Times New Roman" w:hAnsi="Times New Roman" w:cs="Times New Roman"/>
          <w:color w:val="000000"/>
          <w:sz w:val="22"/>
          <w:szCs w:val="22"/>
        </w:rPr>
        <w:t>&lt;0.0</w:t>
      </w:r>
      <w:r>
        <w:rPr>
          <w:rFonts w:ascii="Times New Roman" w:eastAsia="Times New Roman" w:hAnsi="Times New Roman" w:cs="Times New Roman"/>
          <w:sz w:val="22"/>
          <w:szCs w:val="22"/>
        </w:rPr>
        <w:t>01.</w:t>
      </w:r>
    </w:p>
    <w:p w14:paraId="0DABA32A" w14:textId="77777777" w:rsidR="004C78D6" w:rsidRDefault="00000000">
      <w:pPr>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3. Results and Discussion</w:t>
      </w:r>
    </w:p>
    <w:p w14:paraId="0C9F447F" w14:textId="77777777" w:rsidR="004C78D6" w:rsidRDefault="00000000">
      <w:pPr>
        <w:pBdr>
          <w:top w:val="nil"/>
          <w:left w:val="nil"/>
          <w:bottom w:val="nil"/>
          <w:right w:val="nil"/>
          <w:between w:val="nil"/>
        </w:pBdr>
        <w:spacing w:line="360" w:lineRule="auto"/>
        <w:ind w:firstLine="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The carcass traits and relative organ weights of CARI-Debendra and CARI-Nirbheek evaluated at 20 weeks of age are summarised in Table 1. Pre-slaughter live weight and carcass dressing percentage </w:t>
      </w:r>
      <w:r>
        <w:rPr>
          <w:rFonts w:ascii="Times New Roman" w:eastAsia="Times New Roman" w:hAnsi="Times New Roman"/>
          <w:color w:val="000000"/>
          <w:sz w:val="22"/>
          <w:highlight w:val="yellow"/>
        </w:rPr>
        <w:t>differ</w:t>
      </w:r>
      <w:r>
        <w:rPr>
          <w:rFonts w:ascii="Times New Roman" w:eastAsia="Times New Roman" w:hAnsi="Times New Roman"/>
          <w:color w:val="000000"/>
          <w:sz w:val="22"/>
        </w:rPr>
        <w:t>ed significant</w:t>
      </w:r>
      <w:r>
        <w:rPr>
          <w:rFonts w:ascii="Times New Roman" w:eastAsia="Times New Roman" w:hAnsi="Times New Roman"/>
          <w:color w:val="000000"/>
          <w:sz w:val="22"/>
          <w:highlight w:val="yellow"/>
        </w:rPr>
        <w:t>ly</w:t>
      </w:r>
      <w:r>
        <w:rPr>
          <w:rFonts w:ascii="Times New Roman" w:eastAsia="Times New Roman" w:hAnsi="Times New Roman"/>
          <w:color w:val="000000"/>
          <w:sz w:val="22"/>
        </w:rPr>
        <w:t xml:space="preserve"> (p&lt;0.001) between the two chicken varieties. CARI-Debendra recorded a higher mean live weight (2064.63±29.39 g) than CARI-Nirbheek (1604.40±18.48 g). Similarly, dressing percentage was significantly higher in CARI-Debendra (75.92±0.13%) than in CARI-Nirbheek (74.16±0.18%). The difference in live weight may be attributed to the distinct genetic backgrounds of the two varieties. CARI-Debendra is a meat-oriented improved variety, whereas CARI-Nirbheek retains a stronger indigenous Aseel-type background and is recognised for hardiness and adaptability under backyard conditions (Padhi, 2016; Indian Council of Agricultural Research, n.d.). These findings are consistent with evidence that improved or broiler-derived genotypes generally attain greater live weight and carcass yield than native-type birds under intensive management (Devatkal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Rajkumar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2021). Nevertheless, genotype performance is management-dependent, and improved backyard varieties may respond differently under scavenging or low-input systems (Niranjan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2008; Kumar </w:t>
      </w:r>
      <w:r>
        <w:rPr>
          <w:rFonts w:ascii="Times New Roman" w:eastAsia="Times New Roman" w:hAnsi="Times New Roman"/>
          <w:i/>
          <w:color w:val="000000"/>
          <w:sz w:val="22"/>
        </w:rPr>
        <w:t>et al.</w:t>
      </w:r>
      <w:r>
        <w:rPr>
          <w:rFonts w:ascii="Times New Roman" w:eastAsia="Times New Roman" w:hAnsi="Times New Roman"/>
          <w:color w:val="000000"/>
          <w:sz w:val="22"/>
        </w:rPr>
        <w:t>, 2022). Relative blood loss did not differ significantly (p&gt;0.05) between CARI-Debendra (4.58±0.05%) and CARI-Nirbheek (4.61±0.06%), indicating comparable bleeding loss under the common slaughter procedure used in the present study.</w:t>
      </w:r>
    </w:p>
    <w:p w14:paraId="5513857E" w14:textId="77777777" w:rsidR="004C78D6" w:rsidRDefault="00000000">
      <w:pPr>
        <w:pBdr>
          <w:top w:val="nil"/>
          <w:left w:val="nil"/>
          <w:bottom w:val="nil"/>
          <w:right w:val="nil"/>
          <w:between w:val="nil"/>
        </w:pBdr>
        <w:spacing w:line="360" w:lineRule="auto"/>
        <w:ind w:firstLine="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observed superiority of Cari-Debendra in live weight and dressing percentage is consistent with reports that selection for body weight and carcass yield can shift body composition toward</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greater carcass and breast muscle development (Le Bihan-Duval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1999; Devatkal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2018). However, the interpretation should remain genotype- and management-specific because native or native-derived chickens may ex</w:t>
      </w:r>
      <w:r>
        <w:rPr>
          <w:rFonts w:ascii="Times New Roman" w:eastAsia="Times New Roman" w:hAnsi="Times New Roman" w:cs="Times New Roman"/>
          <w:color w:val="000000"/>
          <w:sz w:val="22"/>
          <w:szCs w:val="22"/>
          <w:highlight w:val="yellow"/>
        </w:rPr>
        <w:t>hibit</w:t>
      </w:r>
      <w:r>
        <w:rPr>
          <w:rFonts w:ascii="Times New Roman" w:eastAsia="Times New Roman" w:hAnsi="Times New Roman" w:cs="Times New Roman"/>
          <w:color w:val="000000"/>
          <w:sz w:val="22"/>
          <w:szCs w:val="22"/>
        </w:rPr>
        <w:t xml:space="preserve"> lower growth rates </w:t>
      </w:r>
      <w:r>
        <w:rPr>
          <w:rFonts w:ascii="Times New Roman" w:eastAsia="Times New Roman" w:hAnsi="Times New Roman" w:cs="Times New Roman"/>
          <w:color w:val="000000"/>
          <w:sz w:val="22"/>
          <w:szCs w:val="22"/>
          <w:highlight w:val="yellow"/>
        </w:rPr>
        <w:t>while</w:t>
      </w:r>
      <w:r>
        <w:rPr>
          <w:rFonts w:ascii="Times New Roman" w:eastAsia="Times New Roman" w:hAnsi="Times New Roman" w:cs="Times New Roman"/>
          <w:color w:val="000000"/>
          <w:sz w:val="22"/>
          <w:szCs w:val="22"/>
        </w:rPr>
        <w:t xml:space="preserve"> retain</w:t>
      </w:r>
      <w:r>
        <w:rPr>
          <w:rFonts w:ascii="Times New Roman" w:eastAsia="Times New Roman" w:hAnsi="Times New Roman" w:cs="Times New Roman"/>
          <w:color w:val="000000"/>
          <w:sz w:val="22"/>
          <w:szCs w:val="22"/>
          <w:highlight w:val="yellow"/>
        </w:rPr>
        <w:t>ing</w:t>
      </w:r>
      <w:r>
        <w:rPr>
          <w:rFonts w:ascii="Times New Roman" w:eastAsia="Times New Roman" w:hAnsi="Times New Roman" w:cs="Times New Roman"/>
          <w:color w:val="000000"/>
          <w:sz w:val="22"/>
          <w:szCs w:val="22"/>
        </w:rPr>
        <w:t xml:space="preserve"> desirable attributes such as lower fatness, firmer texture, or better adaptation under less intensive systems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2016;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2017).</w:t>
      </w:r>
    </w:p>
    <w:p w14:paraId="68F505F1"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Among the carcass cut-up parts, relative breast yield differed significantly (p&lt;0.001), with CARI-Debendra showing a higher yield (18.83±0.26%) than CARI-Nirbheek (17.00±0.27%; t=5.</w:t>
      </w:r>
      <w:r>
        <w:rPr>
          <w:rFonts w:ascii="Times New Roman" w:eastAsia="Times New Roman" w:hAnsi="Times New Roman"/>
          <w:color w:val="000000"/>
          <w:sz w:val="22"/>
          <w:highlight w:val="yellow"/>
        </w:rPr>
        <w:t>00</w:t>
      </w:r>
      <w:r>
        <w:rPr>
          <w:rFonts w:ascii="Times New Roman" w:eastAsia="Times New Roman" w:hAnsi="Times New Roman"/>
          <w:color w:val="000000"/>
          <w:sz w:val="22"/>
        </w:rPr>
        <w:t xml:space="preserve">). This difference may reflect their contrasting breeding backgrounds because CARI-Debendra was selected for meat-type performance, whereas CARI-Nirbheek retains a leaner indigenous-type conformation. Comparable genotype-dependent differences in carcass and meat-quality traits between native and commercial chickens have been reported by Jayasena </w:t>
      </w:r>
      <w:r>
        <w:rPr>
          <w:rFonts w:ascii="Times New Roman" w:eastAsia="Times New Roman" w:hAnsi="Times New Roman"/>
          <w:i/>
          <w:color w:val="000000"/>
          <w:sz w:val="22"/>
        </w:rPr>
        <w:t xml:space="preserve">et </w:t>
      </w:r>
      <w:r>
        <w:rPr>
          <w:rFonts w:ascii="Times New Roman" w:eastAsia="Times New Roman" w:hAnsi="Times New Roman"/>
          <w:i/>
          <w:color w:val="000000"/>
          <w:sz w:val="22"/>
        </w:rPr>
        <w:lastRenderedPageBreak/>
        <w:t>al.</w:t>
      </w:r>
      <w:r>
        <w:rPr>
          <w:rFonts w:ascii="Times New Roman" w:eastAsia="Times New Roman" w:hAnsi="Times New Roman"/>
          <w:color w:val="000000"/>
          <w:sz w:val="22"/>
        </w:rPr>
        <w:t xml:space="preserve"> (2013) and Rajkumar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(2016). Relative leg yield did not differ significantly between the varieties (p&gt;0.05), with values of 19.93±0.23% for CARI-Debendra and 19.59±0.15% for CARI-Nirbheek. However, relative wing yield was significantly higher (p&lt;0.001) in CARI-Nirbheek (9.49±0.04%) than in CARI-Debendra (8.65±0.04%). Similarly, CARI-Nirbheek showed a significantly higher relative back-and-neck percentage (16.38±0.20%) than CARI-Debendra (14.45±0.08%). These results may reflect genotype-dependent carcass distribution, consistent with reports that indigenous and crossbred birds can retain relatively greater skeletal or locomotory components than specialised broiler types (Devatkal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Kaewkot </w:t>
      </w:r>
      <w:r>
        <w:rPr>
          <w:rFonts w:ascii="Times New Roman" w:eastAsia="Times New Roman" w:hAnsi="Times New Roman"/>
          <w:i/>
          <w:color w:val="000000"/>
          <w:sz w:val="22"/>
        </w:rPr>
        <w:t>et al.</w:t>
      </w:r>
      <w:r>
        <w:rPr>
          <w:rFonts w:ascii="Times New Roman" w:eastAsia="Times New Roman" w:hAnsi="Times New Roman"/>
          <w:color w:val="000000"/>
          <w:sz w:val="22"/>
        </w:rPr>
        <w:t>, 2020).</w:t>
      </w:r>
    </w:p>
    <w:p w14:paraId="1AF1E038"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higher breast yield in Cari-Debendra can be discussed in relation to selection pressure for meat-type conformation, whereas the comparatively greater wing and back</w:t>
      </w:r>
      <w:r>
        <w:rPr>
          <w:rFonts w:ascii="Times New Roman" w:eastAsia="Times New Roman" w:hAnsi="Times New Roman" w:cs="Times New Roman"/>
          <w:color w:val="000000"/>
          <w:sz w:val="22"/>
          <w:szCs w:val="22"/>
          <w:highlight w:val="yellow"/>
        </w:rPr>
        <w:t>-and</w:t>
      </w:r>
      <w:r>
        <w:rPr>
          <w:rFonts w:ascii="Times New Roman" w:eastAsia="Times New Roman" w:hAnsi="Times New Roman" w:cs="Times New Roman"/>
          <w:color w:val="000000"/>
          <w:sz w:val="22"/>
          <w:szCs w:val="22"/>
        </w:rPr>
        <w:t>-neck proportions in Cari-Nirbheek are consistent with reports that indigenous and crossbred chickens may allocate a larger relative proportion to skeletal and locomotory parts than speciali</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ed broiler types (Rajkumar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2016; Devatkal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2018; Kaewkot </w:t>
      </w:r>
      <w:r>
        <w:rPr>
          <w:rFonts w:ascii="Times New Roman" w:eastAsia="Times New Roman" w:hAnsi="Times New Roman" w:cs="Times New Roman"/>
          <w:i/>
          <w:iCs/>
          <w:color w:val="000000"/>
          <w:sz w:val="22"/>
          <w:szCs w:val="22"/>
        </w:rPr>
        <w:t>et al.,</w:t>
      </w:r>
      <w:r>
        <w:rPr>
          <w:rFonts w:ascii="Times New Roman" w:eastAsia="Times New Roman" w:hAnsi="Times New Roman" w:cs="Times New Roman"/>
          <w:color w:val="000000"/>
          <w:sz w:val="22"/>
          <w:szCs w:val="22"/>
        </w:rPr>
        <w:t xml:space="preserve"> 2020). Therefore, these results should be interpreted as differences in carcass distribution rather than a</w:t>
      </w:r>
      <w:r>
        <w:rPr>
          <w:rFonts w:ascii="Times New Roman" w:eastAsia="Times New Roman" w:hAnsi="Times New Roman" w:cs="Times New Roman"/>
          <w:color w:val="000000"/>
          <w:sz w:val="22"/>
          <w:szCs w:val="22"/>
          <w:highlight w:val="yellow"/>
        </w:rPr>
        <w:t>s</w:t>
      </w:r>
      <w:r>
        <w:rPr>
          <w:rFonts w:ascii="Times New Roman" w:eastAsia="Times New Roman" w:hAnsi="Times New Roman" w:cs="Times New Roman"/>
          <w:color w:val="000000"/>
          <w:sz w:val="22"/>
          <w:szCs w:val="22"/>
        </w:rPr>
        <w:t xml:space="preserve"> simple overall superiority of one genotype for all carcass components.</w:t>
      </w:r>
    </w:p>
    <w:p w14:paraId="4C338CE0" w14:textId="77777777" w:rsidR="004C78D6" w:rsidRDefault="004C78D6">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p>
    <w:p w14:paraId="70B0409E"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The total relative giblet yield was significantly higher (p&lt;0.001) in CARI-Debendra (5.42±0.16%) than in CARI-Nirbheek (4.66±0.05%). This pattern is consistent with genotype-associated variation in giblet and organ proportions reported in improved and dual-purpose chickens (Devatkal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Mueller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Among individual organs, CARI-Nirbheek showed significantly higher relative liver (1.81±0.01%) and gizzard (1.81±0.01%) weights than CARI-Debendra (1.74±0.01% and 1.77±0.01%, respectively). The larger relative gizzard in CARI-Nirbheek may be associated with its indigenous Aseel-type background (Padhi, 2016; Rajkumar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2017). In contrast, relative heart weight was significantly higher (p&lt;0.001) in CARI-Debendra (0.55±0.01%) than in CARI-Nirbheek (0.42±0.01%); comparable genotype-related differences in heart proportion have been reported by Mueller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w:t>
      </w:r>
    </w:p>
    <w:p w14:paraId="34ABE609"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Differences in relative organ weights may reflect interactions among genotype, growth rate, feeding behaviour, and physiological maturity at slaughter age. Similar genotype-associated variation in giblet yield, liver traits, and carcass composition has been reported in indigenous, improved, and commercial chicken genotypes (Devatkal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Mueller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Kokoszyński </w:t>
      </w:r>
      <w:r>
        <w:rPr>
          <w:rFonts w:ascii="Times New Roman" w:eastAsia="Times New Roman" w:hAnsi="Times New Roman"/>
          <w:i/>
          <w:color w:val="000000"/>
          <w:sz w:val="22"/>
        </w:rPr>
        <w:t>et al.</w:t>
      </w:r>
      <w:r>
        <w:rPr>
          <w:rFonts w:ascii="Times New Roman" w:eastAsia="Times New Roman" w:hAnsi="Times New Roman"/>
          <w:color w:val="000000"/>
          <w:sz w:val="22"/>
        </w:rPr>
        <w:t>, 2022). The higher gizzard proportion in CARI-Nirbheek should therefore be presented cautiously as a breed-associated tendency under the present conditions rather than as a universal characteristic across all management systems.</w:t>
      </w:r>
    </w:p>
    <w:p w14:paraId="41A4ABD4" w14:textId="77777777" w:rsidR="004C78D6" w:rsidRDefault="00000000">
      <w:pPr>
        <w:pBdr>
          <w:top w:val="nil"/>
          <w:left w:val="nil"/>
          <w:bottom w:val="nil"/>
          <w:right w:val="nil"/>
          <w:between w:val="nil"/>
        </w:pBdr>
        <w:spacing w:line="360" w:lineRule="auto"/>
        <w:ind w:firstLine="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Abdominal fat percentage was significantly higher (p&lt;0.001) in CARI-Debendra (0.70±0.02%) than in CARI-Nirbheek (0.36±0.02%), which is consistent with greater visceral </w:t>
      </w:r>
      <w:r>
        <w:rPr>
          <w:rFonts w:ascii="Times New Roman" w:eastAsia="Times New Roman" w:hAnsi="Times New Roman"/>
          <w:color w:val="000000"/>
          <w:sz w:val="22"/>
        </w:rPr>
        <w:lastRenderedPageBreak/>
        <w:t xml:space="preserve">fat deposition in some broiler-derived or faster-growing lines (Mueller </w:t>
      </w:r>
      <w:r>
        <w:rPr>
          <w:rFonts w:ascii="Times New Roman" w:eastAsia="Times New Roman" w:hAnsi="Times New Roman"/>
          <w:i/>
          <w:color w:val="000000"/>
          <w:sz w:val="22"/>
        </w:rPr>
        <w:t>et al.</w:t>
      </w:r>
      <w:r>
        <w:rPr>
          <w:rFonts w:ascii="Times New Roman" w:eastAsia="Times New Roman" w:hAnsi="Times New Roman"/>
          <w:color w:val="000000"/>
          <w:sz w:val="22"/>
        </w:rPr>
        <w:t>, 2018). Mean relative spleen weight was also significantly higher (p&lt;0.001) in CARI-Debendra (0.21%) than in CARI-Nirbheek (0.18%). The relative weight of the bursa of Fabricius was 0.18% in CARI-Debendra and 0.17% in CARI-Nirbheek</w:t>
      </w:r>
      <w:r>
        <w:rPr>
          <w:rFonts w:ascii="Times New Roman" w:eastAsia="Times New Roman" w:hAnsi="Times New Roman"/>
          <w:color w:val="000000"/>
          <w:sz w:val="22"/>
          <w:highlight w:val="yellow"/>
        </w:rPr>
        <w:t>,</w:t>
      </w:r>
      <w:r>
        <w:rPr>
          <w:rFonts w:ascii="Times New Roman" w:eastAsia="Times New Roman" w:hAnsi="Times New Roman"/>
          <w:color w:val="000000"/>
          <w:sz w:val="22"/>
        </w:rPr>
        <w:t xml:space="preserve"> and</w:t>
      </w:r>
      <w:r>
        <w:rPr>
          <w:rFonts w:ascii="Times New Roman" w:eastAsia="Times New Roman" w:hAnsi="Times New Roman"/>
          <w:color w:val="000000"/>
          <w:sz w:val="22"/>
          <w:highlight w:val="yellow"/>
        </w:rPr>
        <w:t xml:space="preserve"> it</w:t>
      </w:r>
      <w:r>
        <w:rPr>
          <w:rFonts w:ascii="Times New Roman" w:eastAsia="Times New Roman" w:hAnsi="Times New Roman"/>
          <w:color w:val="000000"/>
          <w:sz w:val="22"/>
        </w:rPr>
        <w:t xml:space="preserve"> did not differ significantly (p&gt;0.05). Because both varieties were evaluated at the same age and under the same management, this result indicates no detectable genotype effect on relative bursa weight under the present conditions.</w:t>
      </w:r>
    </w:p>
    <w:p w14:paraId="6560C592" w14:textId="77777777" w:rsidR="004C78D6" w:rsidRDefault="00000000">
      <w:pPr>
        <w:pBdr>
          <w:top w:val="nil"/>
          <w:left w:val="nil"/>
          <w:bottom w:val="nil"/>
          <w:right w:val="nil"/>
          <w:between w:val="nil"/>
        </w:pBdr>
        <w:spacing w:line="360" w:lineRule="auto"/>
        <w:ind w:firstLine="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The higher abdominal fat percentage in CARI-Debendra is biologically plausible because selection for rapid growth and carcass yield can be accompanied by changes in fat deposition and muscle composition, although the magnitude of this response varies among lines and production systems (Le Bihan-Duval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1999; Mueller </w:t>
      </w:r>
      <w:r>
        <w:rPr>
          <w:rFonts w:ascii="Times New Roman" w:eastAsia="Times New Roman" w:hAnsi="Times New Roman"/>
          <w:i/>
          <w:color w:val="000000"/>
          <w:sz w:val="22"/>
        </w:rPr>
        <w:t>et al.</w:t>
      </w:r>
      <w:r>
        <w:rPr>
          <w:rFonts w:ascii="Times New Roman" w:eastAsia="Times New Roman" w:hAnsi="Times New Roman"/>
          <w:color w:val="000000"/>
          <w:sz w:val="22"/>
        </w:rPr>
        <w:t xml:space="preserve">, 2018; Kokoszyński </w:t>
      </w:r>
      <w:r>
        <w:rPr>
          <w:rFonts w:ascii="Times New Roman" w:eastAsia="Times New Roman" w:hAnsi="Times New Roman"/>
          <w:i/>
          <w:color w:val="000000"/>
          <w:sz w:val="22"/>
        </w:rPr>
        <w:t>et al.</w:t>
      </w:r>
      <w:r>
        <w:rPr>
          <w:rFonts w:ascii="Times New Roman" w:eastAsia="Times New Roman" w:hAnsi="Times New Roman"/>
          <w:color w:val="000000"/>
          <w:sz w:val="22"/>
        </w:rPr>
        <w:t>, 2022). In practical terms, this indicates that carcass-yield advantage should be evaluated together with fatness and organ proportions when selecting improved poultry varieties for regional meat production.</w:t>
      </w:r>
    </w:p>
    <w:p w14:paraId="4C885EE9" w14:textId="77777777" w:rsidR="004C78D6"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Table 1. Carcass characteristics of Cari-Debendra and Cari-Nirbheek at 20 weeks of age.</w:t>
      </w:r>
    </w:p>
    <w:p w14:paraId="26ADE790" w14:textId="77777777" w:rsidR="004C78D6" w:rsidRDefault="004C78D6">
      <w:pPr>
        <w:pBdr>
          <w:top w:val="nil"/>
          <w:left w:val="nil"/>
          <w:bottom w:val="nil"/>
          <w:right w:val="nil"/>
          <w:between w:val="nil"/>
        </w:pBdr>
        <w:rPr>
          <w:rFonts w:ascii="Times New Roman" w:eastAsia="Times New Roman" w:hAnsi="Times New Roman" w:cs="Times New Roman"/>
          <w:color w:val="000000"/>
          <w:sz w:val="22"/>
          <w:szCs w:val="22"/>
        </w:rPr>
      </w:pPr>
    </w:p>
    <w:tbl>
      <w:tblPr>
        <w:tblStyle w:val="a"/>
        <w:tblW w:w="8594"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890"/>
        <w:gridCol w:w="1980"/>
        <w:gridCol w:w="1248"/>
        <w:gridCol w:w="1586"/>
      </w:tblGrid>
      <w:tr w:rsidR="004C78D6" w14:paraId="6305601B" w14:textId="77777777">
        <w:trPr>
          <w:cantSplit/>
          <w:tblHeader/>
        </w:trPr>
        <w:tc>
          <w:tcPr>
            <w:tcW w:w="1890" w:type="dxa"/>
            <w:vAlign w:val="center"/>
          </w:tcPr>
          <w:p w14:paraId="78994DC2" w14:textId="77777777" w:rsidR="004C78D6" w:rsidRDefault="00000000">
            <w:pPr>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Parameters</w:t>
            </w:r>
          </w:p>
        </w:tc>
        <w:tc>
          <w:tcPr>
            <w:tcW w:w="1890" w:type="dxa"/>
            <w:vAlign w:val="center"/>
          </w:tcPr>
          <w:p w14:paraId="2C491280" w14:textId="77777777" w:rsidR="004C78D6" w:rsidRDefault="00000000">
            <w:pPr>
              <w:pBdr>
                <w:top w:val="nil"/>
                <w:left w:val="nil"/>
                <w:bottom w:val="nil"/>
                <w:right w:val="nil"/>
                <w:between w:val="nil"/>
              </w:pBdr>
              <w:spacing w:line="276" w:lineRule="auto"/>
              <w:ind w:firstLine="442"/>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CD</w:t>
            </w:r>
          </w:p>
          <w:p w14:paraId="0A577845" w14:textId="77777777" w:rsidR="004C78D6" w:rsidRDefault="00000000">
            <w:pPr>
              <w:pBdr>
                <w:top w:val="nil"/>
                <w:left w:val="nil"/>
                <w:bottom w:val="nil"/>
                <w:right w:val="nil"/>
                <w:between w:val="nil"/>
              </w:pBdr>
              <w:spacing w:line="276" w:lineRule="auto"/>
              <w:ind w:firstLine="221"/>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Mean±SE</w:t>
            </w:r>
          </w:p>
        </w:tc>
        <w:tc>
          <w:tcPr>
            <w:tcW w:w="1980" w:type="dxa"/>
            <w:vAlign w:val="center"/>
          </w:tcPr>
          <w:p w14:paraId="58AD9248" w14:textId="77777777" w:rsidR="004C78D6" w:rsidRDefault="00000000">
            <w:pPr>
              <w:pBdr>
                <w:top w:val="nil"/>
                <w:left w:val="nil"/>
                <w:bottom w:val="nil"/>
                <w:right w:val="nil"/>
                <w:between w:val="nil"/>
              </w:pBdr>
              <w:spacing w:line="276" w:lineRule="auto"/>
              <w:ind w:firstLine="221"/>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CN</w:t>
            </w:r>
          </w:p>
          <w:p w14:paraId="15D1BC3C" w14:textId="77777777" w:rsidR="004C78D6" w:rsidRDefault="00000000">
            <w:pPr>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Mean±SE</w:t>
            </w:r>
          </w:p>
        </w:tc>
        <w:tc>
          <w:tcPr>
            <w:tcW w:w="1248" w:type="dxa"/>
            <w:vAlign w:val="center"/>
          </w:tcPr>
          <w:p w14:paraId="2A2F08BD" w14:textId="77777777" w:rsidR="004C78D6" w:rsidRDefault="00000000">
            <w:pPr>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 value</w:t>
            </w:r>
          </w:p>
        </w:tc>
        <w:tc>
          <w:tcPr>
            <w:tcW w:w="1586" w:type="dxa"/>
            <w:vAlign w:val="center"/>
          </w:tcPr>
          <w:p w14:paraId="696F0450" w14:textId="77777777" w:rsidR="004C78D6" w:rsidRDefault="00000000">
            <w:pPr>
              <w:pBdr>
                <w:top w:val="nil"/>
                <w:left w:val="nil"/>
                <w:bottom w:val="nil"/>
                <w:right w:val="nil"/>
                <w:between w:val="nil"/>
              </w:pBdr>
              <w:spacing w:line="276"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p-value</w:t>
            </w:r>
          </w:p>
        </w:tc>
      </w:tr>
      <w:tr w:rsidR="004C78D6" w14:paraId="32267484" w14:textId="77777777">
        <w:trPr>
          <w:cantSplit/>
          <w:tblHeader/>
        </w:trPr>
        <w:tc>
          <w:tcPr>
            <w:tcW w:w="1890" w:type="dxa"/>
            <w:vAlign w:val="center"/>
          </w:tcPr>
          <w:p w14:paraId="6044CCFD"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Live wt.(gm)</w:t>
            </w:r>
          </w:p>
        </w:tc>
        <w:tc>
          <w:tcPr>
            <w:tcW w:w="1890" w:type="dxa"/>
            <w:vAlign w:val="center"/>
          </w:tcPr>
          <w:p w14:paraId="4A78F64D"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2064.63±29.39*</w:t>
            </w:r>
          </w:p>
        </w:tc>
        <w:tc>
          <w:tcPr>
            <w:tcW w:w="1980" w:type="dxa"/>
            <w:vAlign w:val="center"/>
          </w:tcPr>
          <w:p w14:paraId="1D8DD37F"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1604.40±18.48 </w:t>
            </w:r>
          </w:p>
        </w:tc>
        <w:tc>
          <w:tcPr>
            <w:tcW w:w="1248" w:type="dxa"/>
            <w:vAlign w:val="center"/>
          </w:tcPr>
          <w:p w14:paraId="64F77BB6"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13.23</w:t>
            </w:r>
          </w:p>
        </w:tc>
        <w:tc>
          <w:tcPr>
            <w:tcW w:w="1586" w:type="dxa"/>
            <w:vAlign w:val="center"/>
          </w:tcPr>
          <w:p w14:paraId="0551E763"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55F9F782" w14:textId="77777777">
        <w:trPr>
          <w:cantSplit/>
          <w:tblHeader/>
        </w:trPr>
        <w:tc>
          <w:tcPr>
            <w:tcW w:w="1890" w:type="dxa"/>
            <w:vAlign w:val="center"/>
          </w:tcPr>
          <w:p w14:paraId="0850C499"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Dressing%</w:t>
            </w:r>
          </w:p>
        </w:tc>
        <w:tc>
          <w:tcPr>
            <w:tcW w:w="1890" w:type="dxa"/>
            <w:vAlign w:val="center"/>
          </w:tcPr>
          <w:p w14:paraId="1D92D07D"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75.92±0.13*</w:t>
            </w:r>
          </w:p>
        </w:tc>
        <w:tc>
          <w:tcPr>
            <w:tcW w:w="1980" w:type="dxa"/>
            <w:vAlign w:val="center"/>
          </w:tcPr>
          <w:p w14:paraId="24551A03"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74.16±0.18</w:t>
            </w:r>
          </w:p>
        </w:tc>
        <w:tc>
          <w:tcPr>
            <w:tcW w:w="1248" w:type="dxa"/>
            <w:vAlign w:val="center"/>
          </w:tcPr>
          <w:p w14:paraId="6FD3AD51"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7.88</w:t>
            </w:r>
          </w:p>
        </w:tc>
        <w:tc>
          <w:tcPr>
            <w:tcW w:w="1586" w:type="dxa"/>
            <w:vAlign w:val="center"/>
          </w:tcPr>
          <w:p w14:paraId="26AD0087"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3F26C5F9" w14:textId="77777777">
        <w:trPr>
          <w:cantSplit/>
          <w:tblHeader/>
        </w:trPr>
        <w:tc>
          <w:tcPr>
            <w:tcW w:w="1890" w:type="dxa"/>
            <w:vAlign w:val="center"/>
          </w:tcPr>
          <w:p w14:paraId="71992677"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Blood yield%</w:t>
            </w:r>
          </w:p>
        </w:tc>
        <w:tc>
          <w:tcPr>
            <w:tcW w:w="1890" w:type="dxa"/>
            <w:vAlign w:val="center"/>
          </w:tcPr>
          <w:p w14:paraId="1B65A72F"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4.58±0.05</w:t>
            </w:r>
          </w:p>
        </w:tc>
        <w:tc>
          <w:tcPr>
            <w:tcW w:w="1980" w:type="dxa"/>
            <w:vAlign w:val="center"/>
          </w:tcPr>
          <w:p w14:paraId="25CB649B"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4.61±0.06</w:t>
            </w:r>
          </w:p>
        </w:tc>
        <w:tc>
          <w:tcPr>
            <w:tcW w:w="1248" w:type="dxa"/>
            <w:vAlign w:val="center"/>
          </w:tcPr>
          <w:p w14:paraId="06DF606F"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-0.51</w:t>
            </w:r>
          </w:p>
        </w:tc>
        <w:tc>
          <w:tcPr>
            <w:tcW w:w="1586" w:type="dxa"/>
            <w:vAlign w:val="center"/>
          </w:tcPr>
          <w:p w14:paraId="428338CC"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0.308</w:t>
            </w:r>
          </w:p>
        </w:tc>
      </w:tr>
      <w:tr w:rsidR="004C78D6" w14:paraId="4240DF26" w14:textId="77777777">
        <w:trPr>
          <w:cantSplit/>
          <w:tblHeader/>
        </w:trPr>
        <w:tc>
          <w:tcPr>
            <w:tcW w:w="1890" w:type="dxa"/>
            <w:vAlign w:val="center"/>
          </w:tcPr>
          <w:p w14:paraId="4D85AF75"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Breast %</w:t>
            </w:r>
          </w:p>
        </w:tc>
        <w:tc>
          <w:tcPr>
            <w:tcW w:w="1890" w:type="dxa"/>
            <w:vAlign w:val="center"/>
          </w:tcPr>
          <w:p w14:paraId="1CA8F8B8"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18.83±0.26*</w:t>
            </w:r>
          </w:p>
        </w:tc>
        <w:tc>
          <w:tcPr>
            <w:tcW w:w="1980" w:type="dxa"/>
            <w:vAlign w:val="center"/>
          </w:tcPr>
          <w:p w14:paraId="195A5CD3"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17.00±0.27</w:t>
            </w:r>
          </w:p>
        </w:tc>
        <w:tc>
          <w:tcPr>
            <w:tcW w:w="1248" w:type="dxa"/>
            <w:vAlign w:val="center"/>
          </w:tcPr>
          <w:p w14:paraId="3AA7C40C"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5.00</w:t>
            </w:r>
          </w:p>
        </w:tc>
        <w:tc>
          <w:tcPr>
            <w:tcW w:w="1586" w:type="dxa"/>
            <w:vAlign w:val="center"/>
          </w:tcPr>
          <w:p w14:paraId="5118DF71"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655F8318" w14:textId="77777777">
        <w:trPr>
          <w:cantSplit/>
          <w:tblHeader/>
        </w:trPr>
        <w:tc>
          <w:tcPr>
            <w:tcW w:w="1890" w:type="dxa"/>
            <w:vAlign w:val="center"/>
          </w:tcPr>
          <w:p w14:paraId="4DBD7A43"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Legs%</w:t>
            </w:r>
          </w:p>
        </w:tc>
        <w:tc>
          <w:tcPr>
            <w:tcW w:w="1890" w:type="dxa"/>
            <w:vAlign w:val="center"/>
          </w:tcPr>
          <w:p w14:paraId="790844C9"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19.93±0.23</w:t>
            </w:r>
          </w:p>
        </w:tc>
        <w:tc>
          <w:tcPr>
            <w:tcW w:w="1980" w:type="dxa"/>
            <w:vAlign w:val="center"/>
          </w:tcPr>
          <w:p w14:paraId="4D43DB2A"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19.59±0.15</w:t>
            </w:r>
          </w:p>
        </w:tc>
        <w:tc>
          <w:tcPr>
            <w:tcW w:w="1248" w:type="dxa"/>
            <w:vAlign w:val="center"/>
          </w:tcPr>
          <w:p w14:paraId="3F3BB5BF"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w:t>
            </w:r>
          </w:p>
        </w:tc>
        <w:tc>
          <w:tcPr>
            <w:tcW w:w="1586" w:type="dxa"/>
            <w:vAlign w:val="center"/>
          </w:tcPr>
          <w:p w14:paraId="70B831E8"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0.308</w:t>
            </w:r>
          </w:p>
        </w:tc>
      </w:tr>
      <w:tr w:rsidR="004C78D6" w14:paraId="169F22AF" w14:textId="77777777">
        <w:trPr>
          <w:cantSplit/>
          <w:tblHeader/>
        </w:trPr>
        <w:tc>
          <w:tcPr>
            <w:tcW w:w="1890" w:type="dxa"/>
            <w:vAlign w:val="center"/>
          </w:tcPr>
          <w:p w14:paraId="1C352CA0"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Wings%</w:t>
            </w:r>
          </w:p>
        </w:tc>
        <w:tc>
          <w:tcPr>
            <w:tcW w:w="1890" w:type="dxa"/>
            <w:vAlign w:val="center"/>
          </w:tcPr>
          <w:p w14:paraId="3EFDC819"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8.65±0.04</w:t>
            </w:r>
          </w:p>
        </w:tc>
        <w:tc>
          <w:tcPr>
            <w:tcW w:w="1980" w:type="dxa"/>
            <w:vAlign w:val="center"/>
          </w:tcPr>
          <w:p w14:paraId="28F235FC"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9.49±0.04*</w:t>
            </w:r>
          </w:p>
        </w:tc>
        <w:tc>
          <w:tcPr>
            <w:tcW w:w="1248" w:type="dxa"/>
            <w:vAlign w:val="center"/>
          </w:tcPr>
          <w:p w14:paraId="6F0DC249"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-14.95</w:t>
            </w:r>
          </w:p>
        </w:tc>
        <w:tc>
          <w:tcPr>
            <w:tcW w:w="1586" w:type="dxa"/>
            <w:vAlign w:val="center"/>
          </w:tcPr>
          <w:p w14:paraId="7DE35E21"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60D12E0A" w14:textId="77777777">
        <w:trPr>
          <w:cantSplit/>
          <w:tblHeader/>
        </w:trPr>
        <w:tc>
          <w:tcPr>
            <w:tcW w:w="1890" w:type="dxa"/>
            <w:vAlign w:val="center"/>
          </w:tcPr>
          <w:p w14:paraId="72024F70"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Back &amp; Neck%</w:t>
            </w:r>
          </w:p>
        </w:tc>
        <w:tc>
          <w:tcPr>
            <w:tcW w:w="1890" w:type="dxa"/>
            <w:vAlign w:val="center"/>
          </w:tcPr>
          <w:p w14:paraId="5DAE80E9"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14.45±0.08</w:t>
            </w:r>
          </w:p>
        </w:tc>
        <w:tc>
          <w:tcPr>
            <w:tcW w:w="1980" w:type="dxa"/>
            <w:vAlign w:val="center"/>
          </w:tcPr>
          <w:p w14:paraId="0A9442FD"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16.38±0.20*</w:t>
            </w:r>
          </w:p>
        </w:tc>
        <w:tc>
          <w:tcPr>
            <w:tcW w:w="1248" w:type="dxa"/>
            <w:vAlign w:val="center"/>
          </w:tcPr>
          <w:p w14:paraId="74DA9D4D"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-9.00</w:t>
            </w:r>
          </w:p>
        </w:tc>
        <w:tc>
          <w:tcPr>
            <w:tcW w:w="1586" w:type="dxa"/>
            <w:vAlign w:val="center"/>
          </w:tcPr>
          <w:p w14:paraId="01D1986D"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6C4C7239" w14:textId="77777777">
        <w:trPr>
          <w:cantSplit/>
          <w:tblHeader/>
        </w:trPr>
        <w:tc>
          <w:tcPr>
            <w:tcW w:w="1890" w:type="dxa"/>
            <w:vAlign w:val="center"/>
          </w:tcPr>
          <w:p w14:paraId="53E0286D"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Giblet %</w:t>
            </w:r>
          </w:p>
        </w:tc>
        <w:tc>
          <w:tcPr>
            <w:tcW w:w="1890" w:type="dxa"/>
            <w:vAlign w:val="center"/>
          </w:tcPr>
          <w:p w14:paraId="597BB291"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5.42±0.16*</w:t>
            </w:r>
          </w:p>
        </w:tc>
        <w:tc>
          <w:tcPr>
            <w:tcW w:w="1980" w:type="dxa"/>
            <w:vAlign w:val="center"/>
          </w:tcPr>
          <w:p w14:paraId="797E3DC3"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4.66±0.05</w:t>
            </w:r>
          </w:p>
        </w:tc>
        <w:tc>
          <w:tcPr>
            <w:tcW w:w="1248" w:type="dxa"/>
            <w:vAlign w:val="center"/>
          </w:tcPr>
          <w:p w14:paraId="7B1460EA"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4.43</w:t>
            </w:r>
          </w:p>
        </w:tc>
        <w:tc>
          <w:tcPr>
            <w:tcW w:w="1586" w:type="dxa"/>
            <w:vAlign w:val="center"/>
          </w:tcPr>
          <w:p w14:paraId="57D6F39B"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0E508D24" w14:textId="77777777">
        <w:trPr>
          <w:cantSplit/>
          <w:tblHeader/>
        </w:trPr>
        <w:tc>
          <w:tcPr>
            <w:tcW w:w="1890" w:type="dxa"/>
            <w:vAlign w:val="center"/>
          </w:tcPr>
          <w:p w14:paraId="4BC6EAA5"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Bursa%</w:t>
            </w:r>
          </w:p>
        </w:tc>
        <w:tc>
          <w:tcPr>
            <w:tcW w:w="1890" w:type="dxa"/>
            <w:vAlign w:val="center"/>
          </w:tcPr>
          <w:p w14:paraId="29249230"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0.18±0.08</w:t>
            </w:r>
          </w:p>
        </w:tc>
        <w:tc>
          <w:tcPr>
            <w:tcW w:w="1980" w:type="dxa"/>
            <w:vAlign w:val="center"/>
          </w:tcPr>
          <w:p w14:paraId="7B08F188"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0.17±0.04</w:t>
            </w:r>
          </w:p>
        </w:tc>
        <w:tc>
          <w:tcPr>
            <w:tcW w:w="1248" w:type="dxa"/>
            <w:vAlign w:val="center"/>
          </w:tcPr>
          <w:p w14:paraId="2126F428"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0.34</w:t>
            </w:r>
          </w:p>
        </w:tc>
        <w:tc>
          <w:tcPr>
            <w:tcW w:w="1586" w:type="dxa"/>
            <w:vAlign w:val="center"/>
          </w:tcPr>
          <w:p w14:paraId="6E715ED9"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0.367</w:t>
            </w:r>
          </w:p>
        </w:tc>
      </w:tr>
      <w:tr w:rsidR="004C78D6" w14:paraId="4F008E7F" w14:textId="77777777">
        <w:trPr>
          <w:cantSplit/>
          <w:tblHeader/>
        </w:trPr>
        <w:tc>
          <w:tcPr>
            <w:tcW w:w="1890" w:type="dxa"/>
            <w:vAlign w:val="center"/>
          </w:tcPr>
          <w:p w14:paraId="43435D8B"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Spleen%</w:t>
            </w:r>
          </w:p>
        </w:tc>
        <w:tc>
          <w:tcPr>
            <w:tcW w:w="1890" w:type="dxa"/>
            <w:vAlign w:val="center"/>
          </w:tcPr>
          <w:p w14:paraId="0A687192"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0.21±0.00*</w:t>
            </w:r>
          </w:p>
        </w:tc>
        <w:tc>
          <w:tcPr>
            <w:tcW w:w="1980" w:type="dxa"/>
            <w:vAlign w:val="center"/>
          </w:tcPr>
          <w:p w14:paraId="63D999DF"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0.18±0.00</w:t>
            </w:r>
          </w:p>
        </w:tc>
        <w:tc>
          <w:tcPr>
            <w:tcW w:w="1248" w:type="dxa"/>
            <w:vAlign w:val="center"/>
          </w:tcPr>
          <w:p w14:paraId="2DF0E3D1"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6.31</w:t>
            </w:r>
          </w:p>
        </w:tc>
        <w:tc>
          <w:tcPr>
            <w:tcW w:w="1586" w:type="dxa"/>
            <w:vAlign w:val="center"/>
          </w:tcPr>
          <w:p w14:paraId="0D60A0AC"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556119A3" w14:textId="77777777">
        <w:trPr>
          <w:cantSplit/>
          <w:tblHeader/>
        </w:trPr>
        <w:tc>
          <w:tcPr>
            <w:tcW w:w="1890" w:type="dxa"/>
            <w:vAlign w:val="center"/>
          </w:tcPr>
          <w:p w14:paraId="636777D3"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Abdominal fat%</w:t>
            </w:r>
          </w:p>
        </w:tc>
        <w:tc>
          <w:tcPr>
            <w:tcW w:w="1890" w:type="dxa"/>
            <w:vAlign w:val="center"/>
          </w:tcPr>
          <w:p w14:paraId="136CC3C1"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0.70±0.02*</w:t>
            </w:r>
          </w:p>
        </w:tc>
        <w:tc>
          <w:tcPr>
            <w:tcW w:w="1980" w:type="dxa"/>
            <w:vAlign w:val="center"/>
          </w:tcPr>
          <w:p w14:paraId="4E9E7E62"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0.36±0.02</w:t>
            </w:r>
          </w:p>
        </w:tc>
        <w:tc>
          <w:tcPr>
            <w:tcW w:w="1248" w:type="dxa"/>
            <w:vAlign w:val="center"/>
          </w:tcPr>
          <w:p w14:paraId="31634314"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10.75</w:t>
            </w:r>
          </w:p>
        </w:tc>
        <w:tc>
          <w:tcPr>
            <w:tcW w:w="1586" w:type="dxa"/>
            <w:vAlign w:val="center"/>
          </w:tcPr>
          <w:p w14:paraId="48112910"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61EFF5D9" w14:textId="77777777">
        <w:trPr>
          <w:cantSplit/>
          <w:tblHeader/>
        </w:trPr>
        <w:tc>
          <w:tcPr>
            <w:tcW w:w="1890" w:type="dxa"/>
            <w:vAlign w:val="center"/>
          </w:tcPr>
          <w:p w14:paraId="09215F5B"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Heart %</w:t>
            </w:r>
          </w:p>
        </w:tc>
        <w:tc>
          <w:tcPr>
            <w:tcW w:w="1890" w:type="dxa"/>
            <w:vAlign w:val="center"/>
          </w:tcPr>
          <w:p w14:paraId="6053D111"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0.55±0.01*</w:t>
            </w:r>
          </w:p>
        </w:tc>
        <w:tc>
          <w:tcPr>
            <w:tcW w:w="1980" w:type="dxa"/>
            <w:vAlign w:val="center"/>
          </w:tcPr>
          <w:p w14:paraId="0A885D0F"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0.42±0.01</w:t>
            </w:r>
          </w:p>
        </w:tc>
        <w:tc>
          <w:tcPr>
            <w:tcW w:w="1248" w:type="dxa"/>
            <w:vAlign w:val="center"/>
          </w:tcPr>
          <w:p w14:paraId="2C66C0CC"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10.85</w:t>
            </w:r>
          </w:p>
        </w:tc>
        <w:tc>
          <w:tcPr>
            <w:tcW w:w="1586" w:type="dxa"/>
            <w:vAlign w:val="center"/>
          </w:tcPr>
          <w:p w14:paraId="7CFF1C5C"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51FECB25" w14:textId="77777777">
        <w:trPr>
          <w:cantSplit/>
          <w:tblHeader/>
        </w:trPr>
        <w:tc>
          <w:tcPr>
            <w:tcW w:w="1890" w:type="dxa"/>
            <w:vAlign w:val="center"/>
          </w:tcPr>
          <w:p w14:paraId="4DB76C8F" w14:textId="77777777" w:rsidR="004C78D6" w:rsidRDefault="00000000">
            <w:pPr>
              <w:pBdr>
                <w:top w:val="nil"/>
                <w:left w:val="nil"/>
                <w:bottom w:val="nil"/>
                <w:right w:val="nil"/>
                <w:between w:val="nil"/>
              </w:pBd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Liver%</w:t>
            </w:r>
          </w:p>
        </w:tc>
        <w:tc>
          <w:tcPr>
            <w:tcW w:w="1890" w:type="dxa"/>
            <w:vAlign w:val="center"/>
          </w:tcPr>
          <w:p w14:paraId="10CC84EA"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1.74±0.01</w:t>
            </w:r>
          </w:p>
        </w:tc>
        <w:tc>
          <w:tcPr>
            <w:tcW w:w="1980" w:type="dxa"/>
            <w:vAlign w:val="center"/>
          </w:tcPr>
          <w:p w14:paraId="1113CC1E"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1.81±0.01*</w:t>
            </w:r>
          </w:p>
        </w:tc>
        <w:tc>
          <w:tcPr>
            <w:tcW w:w="1248" w:type="dxa"/>
            <w:vAlign w:val="center"/>
          </w:tcPr>
          <w:p w14:paraId="3F8A5CD6"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-9.00</w:t>
            </w:r>
          </w:p>
        </w:tc>
        <w:tc>
          <w:tcPr>
            <w:tcW w:w="1586" w:type="dxa"/>
            <w:vAlign w:val="center"/>
          </w:tcPr>
          <w:p w14:paraId="3A185196"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r w:rsidR="004C78D6" w14:paraId="53960D85" w14:textId="77777777">
        <w:trPr>
          <w:cantSplit/>
          <w:tblHeader/>
        </w:trPr>
        <w:tc>
          <w:tcPr>
            <w:tcW w:w="1890" w:type="dxa"/>
            <w:vAlign w:val="center"/>
          </w:tcPr>
          <w:p w14:paraId="36C43A9C" w14:textId="77777777" w:rsidR="004C78D6" w:rsidRDefault="00000000">
            <w:pPr>
              <w:pBdr>
                <w:top w:val="nil"/>
                <w:left w:val="nil"/>
                <w:bottom w:val="nil"/>
                <w:right w:val="nil"/>
                <w:between w:val="nil"/>
              </w:pBd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Gizzard%</w:t>
            </w:r>
          </w:p>
        </w:tc>
        <w:tc>
          <w:tcPr>
            <w:tcW w:w="1890" w:type="dxa"/>
            <w:vAlign w:val="center"/>
          </w:tcPr>
          <w:p w14:paraId="2109494B"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1.77±0.01</w:t>
            </w:r>
          </w:p>
        </w:tc>
        <w:tc>
          <w:tcPr>
            <w:tcW w:w="1980" w:type="dxa"/>
            <w:vAlign w:val="center"/>
          </w:tcPr>
          <w:p w14:paraId="7C4D74D2" w14:textId="77777777" w:rsidR="004C78D6"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1.81±0.01*</w:t>
            </w:r>
          </w:p>
        </w:tc>
        <w:tc>
          <w:tcPr>
            <w:tcW w:w="1248" w:type="dxa"/>
            <w:vAlign w:val="center"/>
          </w:tcPr>
          <w:p w14:paraId="42878D6E"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-2.85</w:t>
            </w:r>
          </w:p>
        </w:tc>
        <w:tc>
          <w:tcPr>
            <w:tcW w:w="1586" w:type="dxa"/>
            <w:vAlign w:val="center"/>
          </w:tcPr>
          <w:p w14:paraId="65499996" w14:textId="77777777" w:rsidR="004C78D6"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0.001</w:t>
            </w:r>
          </w:p>
        </w:tc>
      </w:tr>
    </w:tbl>
    <w:p w14:paraId="3E919516" w14:textId="77777777" w:rsidR="004C78D6" w:rsidRDefault="00000000">
      <w:pPr>
        <w:pBdr>
          <w:top w:val="nil"/>
          <w:left w:val="nil"/>
          <w:bottom w:val="nil"/>
          <w:right w:val="nil"/>
          <w:between w:val="nil"/>
        </w:pBdr>
        <w:spacing w:line="276"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*Indicates significant difference (p&lt;0.001)</w:t>
      </w:r>
    </w:p>
    <w:p w14:paraId="72114ACD" w14:textId="77777777" w:rsidR="004C78D6" w:rsidRDefault="00000000">
      <w:pPr>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4. Conclusion</w:t>
      </w:r>
    </w:p>
    <w:p w14:paraId="1C6F8433" w14:textId="77777777" w:rsidR="004C78D6" w:rsidRDefault="00000000">
      <w:pPr>
        <w:pBdr>
          <w:top w:val="nil"/>
          <w:left w:val="nil"/>
          <w:bottom w:val="nil"/>
          <w:right w:val="nil"/>
          <w:between w:val="nil"/>
        </w:pBdr>
        <w:spacing w:before="280" w:after="28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study showed clear differences in carcass traits between Cari-Debendra and Cari-Nirbheek chickens reared under the eastern plain</w:t>
      </w:r>
      <w:r>
        <w:rPr>
          <w:rFonts w:ascii="Times New Roman" w:eastAsia="Times New Roman" w:hAnsi="Times New Roman" w:cs="Times New Roman"/>
          <w:color w:val="000000"/>
          <w:sz w:val="22"/>
          <w:szCs w:val="22"/>
          <w:highlight w:val="yellow"/>
        </w:rPr>
        <w:t>-</w:t>
      </w:r>
      <w:r>
        <w:rPr>
          <w:rFonts w:ascii="Times New Roman" w:eastAsia="Times New Roman" w:hAnsi="Times New Roman" w:cs="Times New Roman"/>
          <w:color w:val="000000"/>
          <w:sz w:val="22"/>
          <w:szCs w:val="22"/>
        </w:rPr>
        <w:t xml:space="preserve">zone conditions of Uttar Pradesh. Cari-Debendra recorded higher pre-slaughter live weight, dressing percentage, breast yield, giblet yield, abdominal fat, spleen weight, and heart weight. Cari-Nirbheek showed comparatively higher </w:t>
      </w:r>
      <w:r>
        <w:rPr>
          <w:rFonts w:ascii="Times New Roman" w:eastAsia="Times New Roman" w:hAnsi="Times New Roman" w:cs="Times New Roman"/>
          <w:color w:val="000000"/>
          <w:sz w:val="22"/>
          <w:szCs w:val="22"/>
        </w:rPr>
        <w:lastRenderedPageBreak/>
        <w:t xml:space="preserve">relative values for wings, back and neck, liver, and gizzard. Blood yield, leg percentage, and bursa percentage showed little difference between the two </w:t>
      </w:r>
      <w:r>
        <w:rPr>
          <w:rFonts w:ascii="Times New Roman" w:eastAsia="Times New Roman" w:hAnsi="Times New Roman" w:cs="Times New Roman"/>
          <w:color w:val="000000"/>
          <w:sz w:val="22"/>
          <w:szCs w:val="22"/>
          <w:highlight w:val="yellow"/>
        </w:rPr>
        <w:t>va</w:t>
      </w:r>
      <w:r>
        <w:rPr>
          <w:rFonts w:ascii="Times New Roman" w:eastAsia="Times New Roman" w:hAnsi="Times New Roman" w:cs="Times New Roman"/>
          <w:color w:val="000000"/>
          <w:sz w:val="22"/>
          <w:szCs w:val="22"/>
        </w:rPr>
        <w:t>r</w:t>
      </w:r>
      <w:r>
        <w:rPr>
          <w:rFonts w:ascii="Times New Roman" w:eastAsia="Times New Roman" w:hAnsi="Times New Roman" w:cs="Times New Roman"/>
          <w:color w:val="000000"/>
          <w:sz w:val="22"/>
          <w:szCs w:val="22"/>
          <w:highlight w:val="yellow"/>
        </w:rPr>
        <w:t>i</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ti</w:t>
      </w:r>
      <w:r>
        <w:rPr>
          <w:rFonts w:ascii="Times New Roman" w:eastAsia="Times New Roman" w:hAnsi="Times New Roman" w:cs="Times New Roman"/>
          <w:color w:val="000000"/>
          <w:sz w:val="22"/>
          <w:szCs w:val="22"/>
        </w:rPr>
        <w:t>es. These findings suggest that Cari-Debendra may be preferred for higher overall carcass and breast meat yield under the present management conditions, whe</w:t>
      </w:r>
      <w:r>
        <w:rPr>
          <w:rFonts w:ascii="Times New Roman" w:eastAsia="Times New Roman" w:hAnsi="Times New Roman" w:cs="Times New Roman"/>
          <w:color w:val="000000"/>
          <w:sz w:val="22"/>
          <w:szCs w:val="22"/>
          <w:highlight w:val="yellow"/>
        </w:rPr>
        <w:t>reas</w:t>
      </w:r>
      <w:r>
        <w:rPr>
          <w:rFonts w:ascii="Times New Roman" w:eastAsia="Times New Roman" w:hAnsi="Times New Roman" w:cs="Times New Roman"/>
          <w:color w:val="000000"/>
          <w:sz w:val="22"/>
          <w:szCs w:val="22"/>
        </w:rPr>
        <w:t xml:space="preserve"> Cari-Nirbheek shows carcass distribution traits associated with its native genetic background. Further evaluation under different production systems may help confirm the practical utility of both </w:t>
      </w:r>
      <w:r>
        <w:rPr>
          <w:rFonts w:ascii="Times New Roman" w:eastAsia="Times New Roman" w:hAnsi="Times New Roman" w:cs="Times New Roman"/>
          <w:color w:val="000000"/>
          <w:sz w:val="22"/>
          <w:szCs w:val="22"/>
          <w:highlight w:val="yellow"/>
        </w:rPr>
        <w:t>va</w:t>
      </w:r>
      <w:r>
        <w:rPr>
          <w:rFonts w:ascii="Times New Roman" w:eastAsia="Times New Roman" w:hAnsi="Times New Roman" w:cs="Times New Roman"/>
          <w:color w:val="000000"/>
          <w:sz w:val="22"/>
          <w:szCs w:val="22"/>
        </w:rPr>
        <w:t>r</w:t>
      </w:r>
      <w:r>
        <w:rPr>
          <w:rFonts w:ascii="Times New Roman" w:eastAsia="Times New Roman" w:hAnsi="Times New Roman" w:cs="Times New Roman"/>
          <w:color w:val="000000"/>
          <w:sz w:val="22"/>
          <w:szCs w:val="22"/>
          <w:highlight w:val="yellow"/>
        </w:rPr>
        <w:t>i</w:t>
      </w: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highlight w:val="yellow"/>
        </w:rPr>
        <w:t>ti</w:t>
      </w:r>
      <w:r>
        <w:rPr>
          <w:rFonts w:ascii="Times New Roman" w:eastAsia="Times New Roman" w:hAnsi="Times New Roman" w:cs="Times New Roman"/>
          <w:color w:val="000000"/>
          <w:sz w:val="22"/>
          <w:szCs w:val="22"/>
        </w:rPr>
        <w:t>es.</w:t>
      </w:r>
    </w:p>
    <w:p w14:paraId="7D2F5764" w14:textId="5B0C1F64" w:rsidR="004C78D6" w:rsidRDefault="00000000">
      <w:pPr>
        <w:pBdr>
          <w:top w:val="nil"/>
          <w:left w:val="nil"/>
          <w:bottom w:val="nil"/>
          <w:right w:val="nil"/>
          <w:between w:val="nil"/>
        </w:pBdr>
        <w:spacing w:before="280" w:after="280" w:line="276"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Limitations</w:t>
      </w:r>
      <w:r>
        <w:rPr>
          <w:rFonts w:ascii="Times New Roman" w:eastAsia="Times New Roman" w:hAnsi="Times New Roman" w:cs="Times New Roman"/>
          <w:color w:val="000000"/>
          <w:sz w:val="22"/>
          <w:szCs w:val="22"/>
        </w:rPr>
        <w:br/>
      </w:r>
      <w:r w:rsidR="00C50F30" w:rsidRPr="00C50F30">
        <w:rPr>
          <w:rFonts w:ascii="Times New Roman" w:eastAsia="Times New Roman" w:hAnsi="Times New Roman" w:cs="Times New Roman"/>
          <w:color w:val="000000"/>
          <w:sz w:val="22"/>
          <w:szCs w:val="22"/>
        </w:rPr>
        <w:t>This study evaluated only two chicken varieties under a single management system and within one agro-climatic zone. Carcass assessment was conducted at one slaughter age using a limited number of birds from each variety. Meat-quality characteristics, sensory attributes, feed conversion efficiency, production economics, and consumer preferences were not examined. The results should therefore be interpreted within the experimental conditions and validated through larger, multi-location studies covering different management systems, seasons, and slaughter ages.</w:t>
      </w:r>
    </w:p>
    <w:p w14:paraId="3EA1D631" w14:textId="77777777" w:rsidR="004C78D6" w:rsidRDefault="00000000">
      <w:pPr>
        <w:pBdr>
          <w:top w:val="nil"/>
          <w:left w:val="nil"/>
          <w:bottom w:val="nil"/>
          <w:right w:val="nil"/>
          <w:between w:val="nil"/>
        </w:pBd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Declaration of AI Use</w:t>
      </w:r>
    </w:p>
    <w:p w14:paraId="61A2DE2E" w14:textId="77777777" w:rsidR="004C78D6" w:rsidRDefault="004C78D6">
      <w:pPr>
        <w:pBdr>
          <w:top w:val="nil"/>
          <w:left w:val="nil"/>
          <w:bottom w:val="nil"/>
          <w:right w:val="nil"/>
          <w:between w:val="nil"/>
        </w:pBdr>
        <w:rPr>
          <w:rFonts w:ascii="Times New Roman" w:eastAsia="Times New Roman" w:hAnsi="Times New Roman" w:cs="Times New Roman"/>
          <w:color w:val="000000"/>
          <w:sz w:val="22"/>
          <w:szCs w:val="22"/>
        </w:rPr>
      </w:pPr>
    </w:p>
    <w:p w14:paraId="40327662" w14:textId="77777777" w:rsidR="004C78D6"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w:t>
      </w:r>
      <w:r>
        <w:rPr>
          <w:rFonts w:ascii="Times New Roman" w:eastAsia="Times New Roman" w:hAnsi="Times New Roman" w:cs="Times New Roman"/>
          <w:color w:val="000000"/>
          <w:sz w:val="22"/>
          <w:szCs w:val="22"/>
          <w:highlight w:val="yellow"/>
        </w:rPr>
        <w:t xml:space="preserve">and </w:t>
      </w:r>
      <w:r>
        <w:rPr>
          <w:rFonts w:ascii="Times New Roman" w:eastAsia="Times New Roman" w:hAnsi="Times New Roman" w:cs="Times New Roman"/>
          <w:color w:val="000000"/>
          <w:sz w:val="22"/>
          <w:szCs w:val="22"/>
        </w:rPr>
        <w:t>reference formatting. These AI-assisted tools were not used as authors and did not replace the intellectual contributions or scholarly judg</w:t>
      </w:r>
      <w:r>
        <w:rPr>
          <w:rFonts w:ascii="Times New Roman" w:eastAsia="Times New Roman" w:hAnsi="Times New Roman" w:cs="Times New Roman"/>
          <w:color w:val="000000"/>
          <w:sz w:val="22"/>
          <w:szCs w:val="22"/>
          <w:highlight w:val="yellow"/>
        </w:rPr>
        <w:t>e</w:t>
      </w:r>
      <w:r>
        <w:rPr>
          <w:rFonts w:ascii="Times New Roman" w:eastAsia="Times New Roman" w:hAnsi="Times New Roman" w:cs="Times New Roman"/>
          <w:color w:val="000000"/>
          <w:sz w:val="22"/>
          <w:szCs w:val="22"/>
        </w:rPr>
        <w:t>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AF4681D" w14:textId="77777777" w:rsidR="004C78D6" w:rsidRDefault="004C78D6">
      <w:pPr>
        <w:pBdr>
          <w:top w:val="nil"/>
          <w:left w:val="nil"/>
          <w:bottom w:val="nil"/>
          <w:right w:val="nil"/>
          <w:between w:val="nil"/>
        </w:pBdr>
        <w:jc w:val="both"/>
        <w:rPr>
          <w:rFonts w:ascii="Times New Roman" w:eastAsia="Times New Roman" w:hAnsi="Times New Roman" w:cs="Times New Roman"/>
          <w:color w:val="000000"/>
          <w:sz w:val="22"/>
          <w:szCs w:val="22"/>
        </w:rPr>
      </w:pPr>
    </w:p>
    <w:p w14:paraId="3D4B0A8F" w14:textId="77777777" w:rsidR="004C78D6" w:rsidRDefault="004C78D6">
      <w:pPr>
        <w:pBdr>
          <w:top w:val="nil"/>
          <w:left w:val="nil"/>
          <w:bottom w:val="nil"/>
          <w:right w:val="nil"/>
          <w:between w:val="nil"/>
        </w:pBdr>
        <w:jc w:val="both"/>
        <w:rPr>
          <w:rFonts w:ascii="Times New Roman" w:eastAsia="Times New Roman" w:hAnsi="Times New Roman" w:cs="Times New Roman"/>
          <w:color w:val="000000"/>
          <w:sz w:val="22"/>
          <w:szCs w:val="22"/>
        </w:rPr>
      </w:pPr>
    </w:p>
    <w:p w14:paraId="02E0EAB1" w14:textId="77777777" w:rsidR="004C78D6" w:rsidRDefault="00000000">
      <w:pPr>
        <w:pBdr>
          <w:top w:val="nil"/>
          <w:left w:val="nil"/>
          <w:bottom w:val="nil"/>
          <w:right w:val="nil"/>
          <w:between w:val="nil"/>
        </w:pBdr>
        <w:spacing w:after="200"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COMPETING INTERESTS DISCLAIMER:</w:t>
      </w:r>
    </w:p>
    <w:p w14:paraId="09983A82" w14:textId="77777777" w:rsidR="004C78D6" w:rsidRDefault="00000000">
      <w:p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Authors have declared that they have no known competing financial interests OR non-financial interests OR personal relationships that could have appeared to influence the work reported in this paper.</w:t>
      </w:r>
    </w:p>
    <w:p w14:paraId="3009352B" w14:textId="77777777" w:rsidR="004C78D6" w:rsidRDefault="004C78D6">
      <w:pPr>
        <w:pBdr>
          <w:top w:val="nil"/>
          <w:left w:val="nil"/>
          <w:bottom w:val="nil"/>
          <w:right w:val="nil"/>
          <w:between w:val="nil"/>
        </w:pBdr>
        <w:spacing w:before="280" w:after="280"/>
        <w:rPr>
          <w:rFonts w:ascii="Times New Roman" w:eastAsia="Times New Roman" w:hAnsi="Times New Roman" w:cs="Times New Roman"/>
          <w:color w:val="000000"/>
          <w:sz w:val="22"/>
          <w:szCs w:val="22"/>
        </w:rPr>
      </w:pPr>
    </w:p>
    <w:p w14:paraId="6C4975F8" w14:textId="77777777" w:rsidR="004C78D6" w:rsidRDefault="004C78D6">
      <w:pPr>
        <w:pBdr>
          <w:top w:val="nil"/>
          <w:left w:val="nil"/>
          <w:bottom w:val="nil"/>
          <w:right w:val="nil"/>
          <w:between w:val="nil"/>
        </w:pBdr>
        <w:rPr>
          <w:rFonts w:ascii="Times New Roman" w:eastAsia="Times New Roman" w:hAnsi="Times New Roman" w:cs="Times New Roman"/>
          <w:color w:val="000000"/>
          <w:sz w:val="22"/>
          <w:szCs w:val="22"/>
        </w:rPr>
      </w:pPr>
    </w:p>
    <w:p w14:paraId="593FA75C" w14:textId="77777777" w:rsidR="004C78D6"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References</w:t>
      </w:r>
    </w:p>
    <w:p w14:paraId="7A046B2E" w14:textId="77777777" w:rsidR="00615EFE"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 xml:space="preserve">Chaosap, C., Sivapirunthep, P., &amp; Adeyemi, K. D. (2024). Influence of age at slaughter and sex on carcass characteristics, meat quality, fatty acids, and ribonucleotides in white-tailed yellow native chickens. </w:t>
      </w:r>
      <w:r>
        <w:rPr>
          <w:rFonts w:ascii="Times New Roman" w:eastAsia="Times New Roman" w:hAnsi="Times New Roman"/>
          <w:b/>
          <w:i/>
          <w:highlight w:val="yellow"/>
        </w:rPr>
        <w:t>Tropical Animal Health and Production, 56</w:t>
      </w:r>
      <w:r>
        <w:rPr>
          <w:rFonts w:ascii="Times New Roman" w:eastAsia="Times New Roman" w:hAnsi="Times New Roman"/>
          <w:b/>
          <w:highlight w:val="yellow"/>
        </w:rPr>
        <w:t xml:space="preserve">, 313. </w:t>
      </w:r>
      <w:hyperlink r:id="rId6">
        <w:r>
          <w:rPr>
            <w:rFonts w:ascii="Times New Roman" w:eastAsia="Times New Roman" w:hAnsi="Times New Roman"/>
            <w:b/>
            <w:color w:val="000000"/>
            <w:highlight w:val="yellow"/>
          </w:rPr>
          <w:t>https://doi.org/10.1007/s11250-024-04121-9</w:t>
        </w:r>
      </w:hyperlink>
    </w:p>
    <w:p w14:paraId="1690C018"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Department of Animal Husbandry and Dairying. (2023). </w:t>
      </w:r>
      <w:r>
        <w:rPr>
          <w:rFonts w:ascii="Times New Roman" w:eastAsia="Times New Roman" w:hAnsi="Times New Roman"/>
          <w:i/>
          <w:color w:val="000000"/>
          <w:sz w:val="22"/>
        </w:rPr>
        <w:t>Basic animal husbandry statistics 2023</w:t>
      </w:r>
      <w:r>
        <w:rPr>
          <w:rFonts w:ascii="Times New Roman" w:eastAsia="Times New Roman" w:hAnsi="Times New Roman"/>
          <w:color w:val="000000"/>
          <w:sz w:val="22"/>
        </w:rPr>
        <w:t xml:space="preserve">. Ministry of Fisheries, Animal Husbandry and Dairying, Government of India. </w:t>
      </w:r>
      <w:hyperlink r:id="rId7">
        <w:r w:rsidR="004C78D6">
          <w:rPr>
            <w:rFonts w:ascii="Times New Roman" w:eastAsia="Times New Roman" w:hAnsi="Times New Roman"/>
            <w:color w:val="000000"/>
            <w:sz w:val="22"/>
          </w:rPr>
          <w:t>https://www.dahd.gov.in/node/2999</w:t>
        </w:r>
      </w:hyperlink>
    </w:p>
    <w:p w14:paraId="4A262046"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Devatkal, S. K., Vishnuraj, M. R., Kulkarni, V. V., &amp; Kotaiah, T. (2018). Carcass and meat quality characterization of indigenous and improved variety of chicken genotypes. </w:t>
      </w:r>
      <w:r>
        <w:rPr>
          <w:rFonts w:ascii="Times New Roman" w:eastAsia="Times New Roman" w:hAnsi="Times New Roman"/>
          <w:i/>
          <w:color w:val="000000"/>
          <w:sz w:val="22"/>
        </w:rPr>
        <w:t>Poultry Science, 97</w:t>
      </w:r>
      <w:r>
        <w:rPr>
          <w:rFonts w:ascii="Times New Roman" w:eastAsia="Times New Roman" w:hAnsi="Times New Roman"/>
          <w:color w:val="000000"/>
          <w:sz w:val="22"/>
        </w:rPr>
        <w:t xml:space="preserve">(8), 2947–2956. </w:t>
      </w:r>
      <w:hyperlink r:id="rId8">
        <w:r w:rsidR="004C78D6">
          <w:rPr>
            <w:rFonts w:ascii="Times New Roman" w:eastAsia="Times New Roman" w:hAnsi="Times New Roman"/>
            <w:color w:val="000000"/>
            <w:sz w:val="22"/>
          </w:rPr>
          <w:t>https://doi.org/10.3382/ps/pey108</w:t>
        </w:r>
      </w:hyperlink>
    </w:p>
    <w:p w14:paraId="33B1092D" w14:textId="77777777" w:rsidR="00615EFE"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 xml:space="preserve">Dzungwe, J. T., Adjei-Mensah, B., Chrysostome, C. A. A. M., &amp; Tozo, K. (2024). Effect of crossbreeding on growth performance, meat quality, and the economics of production of the </w:t>
      </w:r>
      <w:r>
        <w:rPr>
          <w:rFonts w:ascii="Times New Roman" w:eastAsia="Times New Roman" w:hAnsi="Times New Roman"/>
          <w:b/>
          <w:highlight w:val="yellow"/>
        </w:rPr>
        <w:lastRenderedPageBreak/>
        <w:t xml:space="preserve">pure and reciprocal crosses between the Sasso and Wassachie chickens. </w:t>
      </w:r>
      <w:r>
        <w:rPr>
          <w:rFonts w:ascii="Times New Roman" w:eastAsia="Times New Roman" w:hAnsi="Times New Roman"/>
          <w:b/>
          <w:i/>
          <w:highlight w:val="yellow"/>
        </w:rPr>
        <w:t>Poultry Science, 103</w:t>
      </w:r>
      <w:r>
        <w:rPr>
          <w:rFonts w:ascii="Times New Roman" w:eastAsia="Times New Roman" w:hAnsi="Times New Roman"/>
          <w:b/>
          <w:highlight w:val="yellow"/>
        </w:rPr>
        <w:t xml:space="preserve">(8), 103823. </w:t>
      </w:r>
      <w:hyperlink r:id="rId9">
        <w:r>
          <w:rPr>
            <w:rFonts w:ascii="Times New Roman" w:eastAsia="Times New Roman" w:hAnsi="Times New Roman"/>
            <w:b/>
            <w:color w:val="000000"/>
            <w:highlight w:val="yellow"/>
          </w:rPr>
          <w:t>https://doi.org/10.1016/j.psj.2024.103823</w:t>
        </w:r>
      </w:hyperlink>
    </w:p>
    <w:p w14:paraId="29B9E4D5" w14:textId="77777777" w:rsidR="00615EFE"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 xml:space="preserve">Guni, F. S., Mbaga, S. H., &amp; Katule, A. M. (2023). Study on carcass characteristics of two improved chicken breeds reared under intensive management system in Tanzania. </w:t>
      </w:r>
      <w:r>
        <w:rPr>
          <w:rFonts w:ascii="Times New Roman" w:eastAsia="Times New Roman" w:hAnsi="Times New Roman"/>
          <w:b/>
          <w:i/>
          <w:highlight w:val="yellow"/>
        </w:rPr>
        <w:t>Asian Journal of Research in Animal and Veterinary Sciences, 6</w:t>
      </w:r>
      <w:r>
        <w:rPr>
          <w:rFonts w:ascii="Times New Roman" w:eastAsia="Times New Roman" w:hAnsi="Times New Roman"/>
          <w:b/>
          <w:highlight w:val="yellow"/>
        </w:rPr>
        <w:t xml:space="preserve">(3), 224–230. </w:t>
      </w:r>
      <w:hyperlink r:id="rId10">
        <w:r>
          <w:rPr>
            <w:rFonts w:ascii="Times New Roman" w:eastAsia="Times New Roman" w:hAnsi="Times New Roman"/>
            <w:b/>
            <w:color w:val="000000"/>
            <w:highlight w:val="yellow"/>
          </w:rPr>
          <w:t>https://doi.org/10.9734/ajravs/2023/v6i3249</w:t>
        </w:r>
      </w:hyperlink>
    </w:p>
    <w:p w14:paraId="5B8C7EEB" w14:textId="77777777" w:rsidR="00615EFE"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 xml:space="preserve">Hemanth, M., Venugopal, S., Devaraj, C., Shashank, C. G., Ponnuvel, P., Mandal, P. K., &amp; Sejian, V. (2024). Comparative assessment of growth performance, heat resistance and carcass traits in four poultry genotypes reared in hot-humid tropical environment. </w:t>
      </w:r>
      <w:r>
        <w:rPr>
          <w:rFonts w:ascii="Times New Roman" w:eastAsia="Times New Roman" w:hAnsi="Times New Roman"/>
          <w:b/>
          <w:i/>
          <w:highlight w:val="yellow"/>
        </w:rPr>
        <w:t>Journal of Animal Physiology and Animal Nutrition, 108</w:t>
      </w:r>
      <w:r>
        <w:rPr>
          <w:rFonts w:ascii="Times New Roman" w:eastAsia="Times New Roman" w:hAnsi="Times New Roman"/>
          <w:b/>
          <w:highlight w:val="yellow"/>
        </w:rPr>
        <w:t xml:space="preserve">(5), 1510–1523. </w:t>
      </w:r>
      <w:hyperlink r:id="rId11">
        <w:r>
          <w:rPr>
            <w:rFonts w:ascii="Times New Roman" w:eastAsia="Times New Roman" w:hAnsi="Times New Roman"/>
            <w:b/>
            <w:color w:val="000000"/>
            <w:highlight w:val="yellow"/>
          </w:rPr>
          <w:t>https://doi.org/10.1111/jpn.13994</w:t>
        </w:r>
      </w:hyperlink>
    </w:p>
    <w:p w14:paraId="37EDD869"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Indian Council of Agricultural Research. (n.d.). </w:t>
      </w:r>
      <w:r>
        <w:rPr>
          <w:rFonts w:ascii="Times New Roman" w:eastAsia="Times New Roman" w:hAnsi="Times New Roman"/>
          <w:i/>
          <w:color w:val="000000"/>
          <w:sz w:val="22"/>
        </w:rPr>
        <w:t>CARI-NIRBHEEK: Pride of backyard poultry farming</w:t>
      </w:r>
      <w:r>
        <w:rPr>
          <w:rFonts w:ascii="Times New Roman" w:eastAsia="Times New Roman" w:hAnsi="Times New Roman"/>
          <w:color w:val="000000"/>
          <w:sz w:val="22"/>
        </w:rPr>
        <w:t xml:space="preserve">. </w:t>
      </w:r>
      <w:hyperlink r:id="rId12">
        <w:r w:rsidR="004C78D6">
          <w:rPr>
            <w:rFonts w:ascii="Times New Roman" w:eastAsia="Times New Roman" w:hAnsi="Times New Roman"/>
            <w:color w:val="000000"/>
            <w:sz w:val="22"/>
          </w:rPr>
          <w:t>https://icar.gov.in/en/cari-nirbheek-pride-backyard-poultry-farming-0</w:t>
        </w:r>
      </w:hyperlink>
    </w:p>
    <w:p w14:paraId="3A940238"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Jaturasitha, S., Srikanchai, T., Kreuzer, M., &amp; Wicke, M. (2008). Differences in carcass and meat characteristics between chicken indigenous to northern Thailand (Black-boned and Thai native) and imported extensive breeds (Bresse and Rhode Island Red). </w:t>
      </w:r>
      <w:r>
        <w:rPr>
          <w:rFonts w:ascii="Times New Roman" w:eastAsia="Times New Roman" w:hAnsi="Times New Roman"/>
          <w:i/>
          <w:color w:val="000000"/>
          <w:sz w:val="22"/>
        </w:rPr>
        <w:t>Poultry Science, 87</w:t>
      </w:r>
      <w:r>
        <w:rPr>
          <w:rFonts w:ascii="Times New Roman" w:eastAsia="Times New Roman" w:hAnsi="Times New Roman"/>
          <w:color w:val="000000"/>
          <w:sz w:val="22"/>
        </w:rPr>
        <w:t xml:space="preserve">(1), 160–169. </w:t>
      </w:r>
      <w:hyperlink r:id="rId13">
        <w:r w:rsidR="004C78D6">
          <w:rPr>
            <w:rFonts w:ascii="Times New Roman" w:eastAsia="Times New Roman" w:hAnsi="Times New Roman"/>
            <w:color w:val="000000"/>
            <w:sz w:val="22"/>
          </w:rPr>
          <w:t>https://doi.org/10.3382/ps.2006-00398</w:t>
        </w:r>
      </w:hyperlink>
    </w:p>
    <w:p w14:paraId="5B260286"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Jayasena, D. D., Jung, S., Kim, H. J., Bae, Y. S., Yong, H. I., Lee, J. H., Kim, J. G., &amp; Jo, C. (2013). Comparison of quality traits of meat from Korean native chickens and broilers used in two different traditional Korean cuisines. </w:t>
      </w:r>
      <w:r>
        <w:rPr>
          <w:rFonts w:ascii="Times New Roman" w:eastAsia="Times New Roman" w:hAnsi="Times New Roman"/>
          <w:i/>
          <w:color w:val="000000"/>
          <w:sz w:val="22"/>
        </w:rPr>
        <w:t>Asian-Australasian Journal of Animal Sciences, 26</w:t>
      </w:r>
      <w:r>
        <w:rPr>
          <w:rFonts w:ascii="Times New Roman" w:eastAsia="Times New Roman" w:hAnsi="Times New Roman"/>
          <w:color w:val="000000"/>
          <w:sz w:val="22"/>
        </w:rPr>
        <w:t xml:space="preserve">(7), 1038–1046. </w:t>
      </w:r>
      <w:hyperlink r:id="rId14">
        <w:r w:rsidR="004C78D6">
          <w:rPr>
            <w:rFonts w:ascii="Times New Roman" w:eastAsia="Times New Roman" w:hAnsi="Times New Roman"/>
            <w:color w:val="000000"/>
            <w:sz w:val="22"/>
          </w:rPr>
          <w:t>https://doi.org/10.5713/ajas.2012.12684</w:t>
        </w:r>
      </w:hyperlink>
    </w:p>
    <w:p w14:paraId="5C3BA2E6"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Kaewkot, C., Ruangsuriya, J., Kreuzer, M., &amp; Jaturasitha, S. (2020). Carcass and meat quality of crossbreds of Thai indigenous chickens and Rhode Island Red layer chickens as compared with the purebreds and with broilers. </w:t>
      </w:r>
      <w:r>
        <w:rPr>
          <w:rFonts w:ascii="Times New Roman" w:eastAsia="Times New Roman" w:hAnsi="Times New Roman"/>
          <w:i/>
          <w:color w:val="000000"/>
          <w:sz w:val="22"/>
        </w:rPr>
        <w:t>Animal Production Science, 60</w:t>
      </w:r>
      <w:r>
        <w:rPr>
          <w:rFonts w:ascii="Times New Roman" w:eastAsia="Times New Roman" w:hAnsi="Times New Roman"/>
          <w:color w:val="000000"/>
          <w:sz w:val="22"/>
        </w:rPr>
        <w:t xml:space="preserve">(3), 454–463. </w:t>
      </w:r>
      <w:hyperlink r:id="rId15">
        <w:r w:rsidR="004C78D6">
          <w:rPr>
            <w:rFonts w:ascii="Times New Roman" w:eastAsia="Times New Roman" w:hAnsi="Times New Roman"/>
            <w:color w:val="000000"/>
            <w:sz w:val="22"/>
          </w:rPr>
          <w:t>https://doi.org/10.1071/AN18759</w:t>
        </w:r>
      </w:hyperlink>
    </w:p>
    <w:p w14:paraId="76E531AF"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Kokoszyński, D., Żochowska-Kujawska, J., Kotowicz, M., Sobczak, M., Piwczyński, D., Stęczny, K., Majrowska, M., &amp; Saleh, M. (2022). Carcass characteristics and selected meat quality traits from commercial broiler chickens of different origin. </w:t>
      </w:r>
      <w:r>
        <w:rPr>
          <w:rFonts w:ascii="Times New Roman" w:eastAsia="Times New Roman" w:hAnsi="Times New Roman"/>
          <w:i/>
          <w:color w:val="000000"/>
          <w:sz w:val="22"/>
        </w:rPr>
        <w:t>Animal Science Journal, 93</w:t>
      </w:r>
      <w:r>
        <w:rPr>
          <w:rFonts w:ascii="Times New Roman" w:eastAsia="Times New Roman" w:hAnsi="Times New Roman"/>
          <w:color w:val="000000"/>
          <w:sz w:val="22"/>
        </w:rPr>
        <w:t xml:space="preserve">(1), e13709. </w:t>
      </w:r>
      <w:hyperlink r:id="rId16">
        <w:r w:rsidR="004C78D6">
          <w:rPr>
            <w:rFonts w:ascii="Times New Roman" w:eastAsia="Times New Roman" w:hAnsi="Times New Roman"/>
            <w:color w:val="000000"/>
            <w:sz w:val="22"/>
          </w:rPr>
          <w:t>https://doi.org/10.1111/asj.13709</w:t>
        </w:r>
      </w:hyperlink>
    </w:p>
    <w:p w14:paraId="51B00880"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Kumar, V., Rajkumar, U., Prince, L. L. L., Rama Rao, S. V., &amp; Chatterjee, R. N. (2022). Geographical distribution and impact of backyard chicken varieties in India: A retrospective assessment. </w:t>
      </w:r>
      <w:r>
        <w:rPr>
          <w:rFonts w:ascii="Times New Roman" w:eastAsia="Times New Roman" w:hAnsi="Times New Roman"/>
          <w:i/>
          <w:color w:val="000000"/>
          <w:sz w:val="22"/>
        </w:rPr>
        <w:t>The Indian Journal of Animal Sciences, 92</w:t>
      </w:r>
      <w:r>
        <w:rPr>
          <w:rFonts w:ascii="Times New Roman" w:eastAsia="Times New Roman" w:hAnsi="Times New Roman"/>
          <w:color w:val="000000"/>
          <w:sz w:val="22"/>
        </w:rPr>
        <w:t xml:space="preserve">(4), 452–459. </w:t>
      </w:r>
      <w:hyperlink r:id="rId17">
        <w:r w:rsidR="004C78D6">
          <w:rPr>
            <w:rFonts w:ascii="Times New Roman" w:eastAsia="Times New Roman" w:hAnsi="Times New Roman"/>
            <w:color w:val="000000"/>
            <w:sz w:val="22"/>
          </w:rPr>
          <w:t>https://doi.org/10.56093/ijans.v92i4.124064</w:t>
        </w:r>
      </w:hyperlink>
    </w:p>
    <w:p w14:paraId="6942EF23"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i/>
          <w:iCs/>
          <w:color w:val="000000"/>
          <w:sz w:val="22"/>
          <w:szCs w:val="22"/>
        </w:rPr>
      </w:pPr>
      <w:r>
        <w:rPr>
          <w:rFonts w:ascii="Times New Roman" w:eastAsia="Times New Roman" w:hAnsi="Times New Roman"/>
          <w:color w:val="000000"/>
          <w:sz w:val="22"/>
        </w:rPr>
        <w:t xml:space="preserve">Le Bihan-Duval, E., Millet, N., &amp; Remignon, H. (1999). Broiler meat quality: Effect of selection for increased carcass quality and estimates of genetic parameters. </w:t>
      </w:r>
      <w:r>
        <w:rPr>
          <w:rFonts w:ascii="Times New Roman" w:eastAsia="Times New Roman" w:hAnsi="Times New Roman"/>
          <w:i/>
          <w:color w:val="000000"/>
          <w:sz w:val="22"/>
        </w:rPr>
        <w:t>Poultry Science, 78</w:t>
      </w:r>
      <w:r>
        <w:rPr>
          <w:rFonts w:ascii="Times New Roman" w:eastAsia="Times New Roman" w:hAnsi="Times New Roman"/>
          <w:color w:val="000000"/>
          <w:sz w:val="22"/>
        </w:rPr>
        <w:t xml:space="preserve">(6), 822–826. </w:t>
      </w:r>
      <w:hyperlink r:id="rId18">
        <w:r w:rsidR="004C78D6">
          <w:rPr>
            <w:rFonts w:ascii="Times New Roman" w:eastAsia="Times New Roman" w:hAnsi="Times New Roman"/>
            <w:color w:val="000000"/>
            <w:sz w:val="22"/>
          </w:rPr>
          <w:t>https://doi.org/10.1093/ps/78.6.822</w:t>
        </w:r>
      </w:hyperlink>
    </w:p>
    <w:p w14:paraId="47DD0D59"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Mottet, A., &amp; Tempio, G. (2017). Global poultry production: Current state and future outlook and challenges. </w:t>
      </w:r>
      <w:r>
        <w:rPr>
          <w:rFonts w:ascii="Times New Roman" w:eastAsia="Times New Roman" w:hAnsi="Times New Roman"/>
          <w:i/>
          <w:color w:val="000000"/>
          <w:sz w:val="22"/>
        </w:rPr>
        <w:t>World’s Poultry Science Journal, 73</w:t>
      </w:r>
      <w:r>
        <w:rPr>
          <w:rFonts w:ascii="Times New Roman" w:eastAsia="Times New Roman" w:hAnsi="Times New Roman"/>
          <w:color w:val="000000"/>
          <w:sz w:val="22"/>
        </w:rPr>
        <w:t xml:space="preserve">(2), 245–256. </w:t>
      </w:r>
      <w:hyperlink r:id="rId19">
        <w:r w:rsidR="004C78D6">
          <w:rPr>
            <w:rFonts w:ascii="Times New Roman" w:eastAsia="Times New Roman" w:hAnsi="Times New Roman"/>
            <w:color w:val="000000"/>
            <w:sz w:val="22"/>
          </w:rPr>
          <w:t>https://doi.org/10.1017/S0043933917000071</w:t>
        </w:r>
      </w:hyperlink>
    </w:p>
    <w:p w14:paraId="0655DDF0"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Mueller, S., Kreuzer, M., Siegrist, M., Mannale, K., Messikommer, R. E., &amp; Gangnat, I. D. M. (2018). Carcass and meat quality of dual-purpose chickens (Lohmann Dual, Belgian Malines, Schweizerhuhn) in comparison to broiler and layer chicken types. </w:t>
      </w:r>
      <w:r>
        <w:rPr>
          <w:rFonts w:ascii="Times New Roman" w:eastAsia="Times New Roman" w:hAnsi="Times New Roman"/>
          <w:i/>
          <w:color w:val="000000"/>
          <w:sz w:val="22"/>
        </w:rPr>
        <w:t>Poultry Science, 97</w:t>
      </w:r>
      <w:r>
        <w:rPr>
          <w:rFonts w:ascii="Times New Roman" w:eastAsia="Times New Roman" w:hAnsi="Times New Roman"/>
          <w:color w:val="000000"/>
          <w:sz w:val="22"/>
        </w:rPr>
        <w:t xml:space="preserve">(9), 3325–3336. </w:t>
      </w:r>
      <w:hyperlink r:id="rId20">
        <w:r w:rsidR="004C78D6">
          <w:rPr>
            <w:rFonts w:ascii="Times New Roman" w:eastAsia="Times New Roman" w:hAnsi="Times New Roman"/>
            <w:color w:val="000000"/>
            <w:sz w:val="22"/>
          </w:rPr>
          <w:t>https://doi.org/10.3382/ps/pey172</w:t>
        </w:r>
      </w:hyperlink>
    </w:p>
    <w:p w14:paraId="272FE20F"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Nassar, F. S. (2026). Strategic role of poultry production sciences in shaping the future of global food security and strengthen sustainability. </w:t>
      </w:r>
      <w:r>
        <w:rPr>
          <w:rFonts w:ascii="Times New Roman" w:eastAsia="Times New Roman" w:hAnsi="Times New Roman"/>
          <w:i/>
          <w:color w:val="000000"/>
          <w:sz w:val="22"/>
        </w:rPr>
        <w:t>Poultry Science, 105</w:t>
      </w:r>
      <w:r>
        <w:rPr>
          <w:rFonts w:ascii="Times New Roman" w:eastAsia="Times New Roman" w:hAnsi="Times New Roman"/>
          <w:color w:val="000000"/>
          <w:sz w:val="22"/>
        </w:rPr>
        <w:t xml:space="preserve">(5), 106617. </w:t>
      </w:r>
      <w:hyperlink r:id="rId21">
        <w:r w:rsidR="004C78D6">
          <w:rPr>
            <w:rFonts w:ascii="Times New Roman" w:eastAsia="Times New Roman" w:hAnsi="Times New Roman"/>
            <w:color w:val="000000"/>
            <w:sz w:val="22"/>
          </w:rPr>
          <w:t>https://doi.org/10.1016/j.psj.2026.106617</w:t>
        </w:r>
      </w:hyperlink>
    </w:p>
    <w:p w14:paraId="730010D2"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Niranjan, M., Sharma, R. P., Rajkumar, U., Reddy, B. L. N., Chatterjee, R. N., &amp; Battacharya, T. K. (2008). Comparative evaluation of production performance in improved chicken varieties for backyard farming. </w:t>
      </w:r>
      <w:r>
        <w:rPr>
          <w:rFonts w:ascii="Times New Roman" w:eastAsia="Times New Roman" w:hAnsi="Times New Roman"/>
          <w:i/>
          <w:color w:val="000000"/>
          <w:sz w:val="22"/>
        </w:rPr>
        <w:t>International Journal of Poultry Science, 7</w:t>
      </w:r>
      <w:r>
        <w:rPr>
          <w:rFonts w:ascii="Times New Roman" w:eastAsia="Times New Roman" w:hAnsi="Times New Roman"/>
          <w:color w:val="000000"/>
          <w:sz w:val="22"/>
        </w:rPr>
        <w:t xml:space="preserve">(11), 1128–1131. </w:t>
      </w:r>
      <w:hyperlink r:id="rId22">
        <w:r w:rsidR="004C78D6">
          <w:rPr>
            <w:rFonts w:ascii="Times New Roman" w:eastAsia="Times New Roman" w:hAnsi="Times New Roman"/>
            <w:color w:val="000000"/>
            <w:sz w:val="22"/>
          </w:rPr>
          <w:t>https://doi.org/10.3923/ijps.2008.1128.1131</w:t>
        </w:r>
      </w:hyperlink>
    </w:p>
    <w:p w14:paraId="64922B0B"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Padhi, M. K. (2016). Importance of indigenous breeds of chicken for rural economy and their improvements for higher production performance. </w:t>
      </w:r>
      <w:r>
        <w:rPr>
          <w:rFonts w:ascii="Times New Roman" w:eastAsia="Times New Roman" w:hAnsi="Times New Roman"/>
          <w:i/>
          <w:color w:val="000000"/>
          <w:sz w:val="22"/>
        </w:rPr>
        <w:t>Scientifica, 2016</w:t>
      </w:r>
      <w:r>
        <w:rPr>
          <w:rFonts w:ascii="Times New Roman" w:eastAsia="Times New Roman" w:hAnsi="Times New Roman"/>
          <w:color w:val="000000"/>
          <w:sz w:val="22"/>
        </w:rPr>
        <w:t xml:space="preserve">, 2604685. </w:t>
      </w:r>
      <w:hyperlink r:id="rId23">
        <w:r w:rsidR="004C78D6">
          <w:rPr>
            <w:rFonts w:ascii="Times New Roman" w:eastAsia="Times New Roman" w:hAnsi="Times New Roman"/>
            <w:color w:val="000000"/>
            <w:sz w:val="22"/>
          </w:rPr>
          <w:t>https://doi.org/10.1155/2016/2604685</w:t>
        </w:r>
      </w:hyperlink>
    </w:p>
    <w:p w14:paraId="568A2E6B" w14:textId="77777777" w:rsidR="00615EFE"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b/>
          <w:highlight w:val="yellow"/>
        </w:rPr>
        <w:t>Prasanth, A., Churchil, R. R., Meignanalakshmi, S., Valavan, S. E., Bhalaji, P., &amp; Ambasankar, K. (2026). Evaluation of dietary inclusion of red seaweed (</w:t>
      </w:r>
      <w:r>
        <w:rPr>
          <w:rFonts w:ascii="Times New Roman" w:eastAsia="Times New Roman" w:hAnsi="Times New Roman"/>
          <w:b/>
          <w:i/>
          <w:highlight w:val="yellow"/>
        </w:rPr>
        <w:t>Gracilaria tenuistipitata</w:t>
      </w:r>
      <w:r>
        <w:rPr>
          <w:rFonts w:ascii="Times New Roman" w:eastAsia="Times New Roman" w:hAnsi="Times New Roman"/>
          <w:b/>
          <w:highlight w:val="yellow"/>
        </w:rPr>
        <w:t xml:space="preserve">) on carcass characteristics, relative organ weights and economic performance of commercial broiler </w:t>
      </w:r>
      <w:r>
        <w:rPr>
          <w:rFonts w:ascii="Times New Roman" w:eastAsia="Times New Roman" w:hAnsi="Times New Roman"/>
          <w:b/>
          <w:highlight w:val="yellow"/>
        </w:rPr>
        <w:lastRenderedPageBreak/>
        <w:t xml:space="preserve">chickens. </w:t>
      </w:r>
      <w:r>
        <w:rPr>
          <w:rFonts w:ascii="Times New Roman" w:eastAsia="Times New Roman" w:hAnsi="Times New Roman"/>
          <w:b/>
          <w:i/>
          <w:highlight w:val="yellow"/>
        </w:rPr>
        <w:t>Journal of Biology and Nature, 18</w:t>
      </w:r>
      <w:r>
        <w:rPr>
          <w:rFonts w:ascii="Times New Roman" w:eastAsia="Times New Roman" w:hAnsi="Times New Roman"/>
          <w:b/>
          <w:highlight w:val="yellow"/>
        </w:rPr>
        <w:t xml:space="preserve">(1), 541–550. </w:t>
      </w:r>
      <w:hyperlink r:id="rId24">
        <w:r>
          <w:rPr>
            <w:rFonts w:ascii="Times New Roman" w:eastAsia="Times New Roman" w:hAnsi="Times New Roman"/>
            <w:b/>
            <w:color w:val="000000"/>
            <w:highlight w:val="yellow"/>
          </w:rPr>
          <w:t>https://doi.org/10.56557/joban/2026/v18i110532</w:t>
        </w:r>
      </w:hyperlink>
    </w:p>
    <w:p w14:paraId="0E23AE85"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Rajkumar, U., Muthukumar, M., Haunshi, S., Niranjan, M., Raju, M. V. L. N., Rama Rao, S. V., &amp; Chatterjee, R. N. (2016). Comparative evaluation of carcass traits and meat quality in native Aseel chickens and commercial broilers. </w:t>
      </w:r>
      <w:r>
        <w:rPr>
          <w:rFonts w:ascii="Times New Roman" w:eastAsia="Times New Roman" w:hAnsi="Times New Roman"/>
          <w:i/>
          <w:color w:val="000000"/>
          <w:sz w:val="22"/>
        </w:rPr>
        <w:t>British Poultry Science, 57</w:t>
      </w:r>
      <w:r>
        <w:rPr>
          <w:rFonts w:ascii="Times New Roman" w:eastAsia="Times New Roman" w:hAnsi="Times New Roman"/>
          <w:color w:val="000000"/>
          <w:sz w:val="22"/>
        </w:rPr>
        <w:t xml:space="preserve">(3), 339–347. </w:t>
      </w:r>
      <w:hyperlink r:id="rId25">
        <w:r w:rsidR="004C78D6">
          <w:rPr>
            <w:rFonts w:ascii="Times New Roman" w:eastAsia="Times New Roman" w:hAnsi="Times New Roman"/>
            <w:color w:val="000000"/>
            <w:sz w:val="22"/>
          </w:rPr>
          <w:t>https://doi.org/10.1080/00071668.2016.1162282</w:t>
        </w:r>
      </w:hyperlink>
    </w:p>
    <w:p w14:paraId="09EACA29"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Rajkumar, U., Haunshi, S., Paswan, C., Raju, M. V. L. N., Rama Rao, S. V., &amp; Chatterjee, R. N. (2017). Characterization of indigenous Aseel chicken breed for morphological, growth, production, and meat composition traits from India. </w:t>
      </w:r>
      <w:r>
        <w:rPr>
          <w:rFonts w:ascii="Times New Roman" w:eastAsia="Times New Roman" w:hAnsi="Times New Roman"/>
          <w:i/>
          <w:color w:val="000000"/>
          <w:sz w:val="22"/>
        </w:rPr>
        <w:t>Poultry Science, 96</w:t>
      </w:r>
      <w:r>
        <w:rPr>
          <w:rFonts w:ascii="Times New Roman" w:eastAsia="Times New Roman" w:hAnsi="Times New Roman"/>
          <w:color w:val="000000"/>
          <w:sz w:val="22"/>
        </w:rPr>
        <w:t xml:space="preserve">(7), 2120–2126. </w:t>
      </w:r>
      <w:hyperlink r:id="rId26">
        <w:r w:rsidR="004C78D6">
          <w:rPr>
            <w:rFonts w:ascii="Times New Roman" w:eastAsia="Times New Roman" w:hAnsi="Times New Roman"/>
            <w:color w:val="000000"/>
            <w:sz w:val="22"/>
          </w:rPr>
          <w:t>https://doi.org/10.3382/ps/pew492</w:t>
        </w:r>
      </w:hyperlink>
    </w:p>
    <w:p w14:paraId="0F5A2FF5" w14:textId="77777777" w:rsidR="004C78D6" w:rsidRDefault="00000000">
      <w:pPr>
        <w:pBdr>
          <w:top w:val="nil"/>
          <w:left w:val="nil"/>
          <w:bottom w:val="nil"/>
          <w:right w:val="nil"/>
          <w:between w:val="nil"/>
        </w:pBdr>
        <w:ind w:left="360" w:hanging="360"/>
        <w:jc w:val="both"/>
        <w:rPr>
          <w:rFonts w:ascii="Times New Roman" w:eastAsia="Times New Roman" w:hAnsi="Times New Roman" w:cs="Times New Roman"/>
          <w:color w:val="000000"/>
          <w:sz w:val="22"/>
          <w:szCs w:val="22"/>
        </w:rPr>
      </w:pPr>
      <w:r>
        <w:rPr>
          <w:rFonts w:ascii="Times New Roman" w:eastAsia="Times New Roman" w:hAnsi="Times New Roman"/>
          <w:color w:val="000000"/>
          <w:sz w:val="22"/>
        </w:rPr>
        <w:t xml:space="preserve">Rajkumar, U., Rama Rao, S. V., Raju, M. V. L. N., &amp; Chatterjee, R. N. (2021). Backyard poultry farming for sustained production and enhanced nutritional and livelihood security with special reference to India: A review. </w:t>
      </w:r>
      <w:r>
        <w:rPr>
          <w:rFonts w:ascii="Times New Roman" w:eastAsia="Times New Roman" w:hAnsi="Times New Roman"/>
          <w:i/>
          <w:color w:val="000000"/>
          <w:sz w:val="22"/>
        </w:rPr>
        <w:t>Tropical Animal Health and Production, 53</w:t>
      </w:r>
      <w:r>
        <w:rPr>
          <w:rFonts w:ascii="Times New Roman" w:eastAsia="Times New Roman" w:hAnsi="Times New Roman"/>
          <w:color w:val="000000"/>
          <w:sz w:val="22"/>
        </w:rPr>
        <w:t xml:space="preserve">, 176. </w:t>
      </w:r>
      <w:hyperlink r:id="rId27">
        <w:r w:rsidR="004C78D6">
          <w:rPr>
            <w:rFonts w:ascii="Times New Roman" w:eastAsia="Times New Roman" w:hAnsi="Times New Roman"/>
            <w:color w:val="000000"/>
            <w:sz w:val="22"/>
          </w:rPr>
          <w:t>https://doi.org/10.1007/s11250-021-02621-6</w:t>
        </w:r>
      </w:hyperlink>
    </w:p>
    <w:sectPr w:rsidR="004C78D6">
      <w:headerReference w:type="even" r:id="rId28"/>
      <w:headerReference w:type="default" r:id="rId29"/>
      <w:footerReference w:type="even" r:id="rId30"/>
      <w:footerReference w:type="default" r:id="rId31"/>
      <w:headerReference w:type="first" r:id="rId32"/>
      <w:footerReference w:type="first" r:id="rId33"/>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4FAA4" w14:textId="77777777" w:rsidR="00C30417" w:rsidRDefault="00C30417">
      <w:r>
        <w:separator/>
      </w:r>
    </w:p>
  </w:endnote>
  <w:endnote w:type="continuationSeparator" w:id="0">
    <w:p w14:paraId="626A14AD" w14:textId="77777777" w:rsidR="00C30417" w:rsidRDefault="00C3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568190F-721A-4C74-B85A-90388152CFA1}"/>
    <w:embedBold r:id="rId2" w:fontKey="{E60BD055-C75B-4E7A-BED4-54BC63287F5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85B8705-D5A2-4EFF-9B24-33398F40D077}"/>
  </w:font>
  <w:font w:name="Cambria">
    <w:panose1 w:val="02040503050406030204"/>
    <w:charset w:val="00"/>
    <w:family w:val="roman"/>
    <w:pitch w:val="variable"/>
    <w:sig w:usb0="E00006FF" w:usb1="420024FF" w:usb2="02000000" w:usb3="00000000" w:csb0="0000019F" w:csb1="00000000"/>
    <w:embedRegular r:id="rId4" w:fontKey="{3359A0E1-C5C9-4E25-AAC9-69A84DC6FE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0B3A" w14:textId="77777777" w:rsidR="004C78D6" w:rsidRDefault="004C78D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35AD" w14:textId="77777777" w:rsidR="004C78D6" w:rsidRDefault="004C78D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434A" w14:textId="77777777" w:rsidR="004C78D6" w:rsidRDefault="004C78D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8676B" w14:textId="77777777" w:rsidR="00C30417" w:rsidRDefault="00C30417">
      <w:r>
        <w:separator/>
      </w:r>
    </w:p>
  </w:footnote>
  <w:footnote w:type="continuationSeparator" w:id="0">
    <w:p w14:paraId="794248B6" w14:textId="77777777" w:rsidR="00C30417" w:rsidRDefault="00C3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14F3" w14:textId="77777777" w:rsidR="004C78D6" w:rsidRDefault="00000000">
    <w:pPr>
      <w:pBdr>
        <w:top w:val="nil"/>
        <w:left w:val="nil"/>
        <w:bottom w:val="nil"/>
        <w:right w:val="nil"/>
        <w:between w:val="nil"/>
      </w:pBdr>
      <w:tabs>
        <w:tab w:val="center" w:pos="4680"/>
        <w:tab w:val="right" w:pos="9360"/>
      </w:tabs>
      <w:rPr>
        <w:color w:val="000000"/>
      </w:rPr>
    </w:pPr>
    <w:r>
      <w:rPr>
        <w:color w:val="000000"/>
      </w:rPr>
      <w:pict w14:anchorId="759F4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493.05pt;height:92.45pt;rotation:315;z-index:-25165772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12B2" w14:textId="77777777" w:rsidR="004C78D6" w:rsidRDefault="00000000">
    <w:pPr>
      <w:pBdr>
        <w:top w:val="nil"/>
        <w:left w:val="nil"/>
        <w:bottom w:val="nil"/>
        <w:right w:val="nil"/>
        <w:between w:val="nil"/>
      </w:pBdr>
      <w:tabs>
        <w:tab w:val="center" w:pos="4680"/>
        <w:tab w:val="right" w:pos="9360"/>
      </w:tabs>
      <w:rPr>
        <w:color w:val="000000"/>
      </w:rPr>
    </w:pPr>
    <w:r>
      <w:rPr>
        <w:color w:val="000000"/>
      </w:rPr>
      <w:pict w14:anchorId="7A25F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493.05pt;height:92.45pt;rotation:315;z-index:-25165977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2767" w14:textId="77777777" w:rsidR="004C78D6" w:rsidRDefault="00000000">
    <w:pPr>
      <w:pBdr>
        <w:top w:val="nil"/>
        <w:left w:val="nil"/>
        <w:bottom w:val="nil"/>
        <w:right w:val="nil"/>
        <w:between w:val="nil"/>
      </w:pBdr>
      <w:tabs>
        <w:tab w:val="center" w:pos="4680"/>
        <w:tab w:val="right" w:pos="9360"/>
      </w:tabs>
      <w:rPr>
        <w:color w:val="000000"/>
      </w:rPr>
    </w:pPr>
    <w:r>
      <w:rPr>
        <w:color w:val="000000"/>
      </w:rPr>
      <w:pict w14:anchorId="1DDB8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93.05pt;height:92.45pt;rotation:315;z-index:-25165875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3sDS0MDYxtbAwMzBV0lEKTi0uzszPAykwrAUAnDQ7zCwAAAA="/>
  </w:docVars>
  <w:rsids>
    <w:rsidRoot w:val="004C78D6"/>
    <w:rsid w:val="001E2F6D"/>
    <w:rsid w:val="004C78D6"/>
    <w:rsid w:val="00615EFE"/>
    <w:rsid w:val="007B349D"/>
    <w:rsid w:val="007F513F"/>
    <w:rsid w:val="00B95DD7"/>
    <w:rsid w:val="00C30417"/>
    <w:rsid w:val="00C50F30"/>
    <w:rsid w:val="00E70D45"/>
    <w:rsid w:val="00EC6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9E63C"/>
  <w15:docId w15:val="{F9464CAA-EB37-40D9-815B-15222D56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82/ps.2006-00398" TargetMode="External"/><Relationship Id="rId18" Type="http://schemas.openxmlformats.org/officeDocument/2006/relationships/hyperlink" Target="https://doi.org/10.1093/ps/78.6.822" TargetMode="External"/><Relationship Id="rId26" Type="http://schemas.openxmlformats.org/officeDocument/2006/relationships/hyperlink" Target="https://doi.org/10.3382/ps/pew492" TargetMode="External"/><Relationship Id="rId3" Type="http://schemas.openxmlformats.org/officeDocument/2006/relationships/webSettings" Target="webSettings.xml"/><Relationship Id="rId21" Type="http://schemas.openxmlformats.org/officeDocument/2006/relationships/hyperlink" Target="https://doi.org/10.1016/j.psj.2026.106617" TargetMode="External"/><Relationship Id="rId34" Type="http://schemas.openxmlformats.org/officeDocument/2006/relationships/fontTable" Target="fontTable.xml"/><Relationship Id="rId7" Type="http://schemas.openxmlformats.org/officeDocument/2006/relationships/hyperlink" Target="https://www.dahd.gov.in/node/2999" TargetMode="External"/><Relationship Id="rId12" Type="http://schemas.openxmlformats.org/officeDocument/2006/relationships/hyperlink" Target="https://icar.gov.in/en/cari-nirbheek-pride-backyard-poultry-farming-0" TargetMode="External"/><Relationship Id="rId17" Type="http://schemas.openxmlformats.org/officeDocument/2006/relationships/hyperlink" Target="https://doi.org/10.56093/ijans.v92i4.124064" TargetMode="External"/><Relationship Id="rId25" Type="http://schemas.openxmlformats.org/officeDocument/2006/relationships/hyperlink" Target="https://doi.org/10.1080/00071668.2016.1162282" TargetMode="External"/><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doi.org/10.1111/asj.13709" TargetMode="External"/><Relationship Id="rId20" Type="http://schemas.openxmlformats.org/officeDocument/2006/relationships/hyperlink" Target="https://doi.org/10.3382/ps/pey172"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i.org/10.1007/s11250-024-04121-9" TargetMode="External"/><Relationship Id="rId11" Type="http://schemas.openxmlformats.org/officeDocument/2006/relationships/hyperlink" Target="https://doi.org/10.1111/jpn.13994" TargetMode="External"/><Relationship Id="rId24" Type="http://schemas.openxmlformats.org/officeDocument/2006/relationships/hyperlink" Target="https://doi.org/10.56557/joban/2026/v18i110532" TargetMode="External"/><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1071/AN18759" TargetMode="External"/><Relationship Id="rId23" Type="http://schemas.openxmlformats.org/officeDocument/2006/relationships/hyperlink" Target="https://doi.org/10.1155/2016/2604685" TargetMode="External"/><Relationship Id="rId28" Type="http://schemas.openxmlformats.org/officeDocument/2006/relationships/header" Target="header1.xml"/><Relationship Id="rId10" Type="http://schemas.openxmlformats.org/officeDocument/2006/relationships/hyperlink" Target="https://doi.org/10.9734/ajravs/2023/v6i3249" TargetMode="External"/><Relationship Id="rId19" Type="http://schemas.openxmlformats.org/officeDocument/2006/relationships/hyperlink" Target="https://doi.org/10.1017/S0043933917000071"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doi.org/10.1016/j.psj.2024.103823" TargetMode="External"/><Relationship Id="rId14" Type="http://schemas.openxmlformats.org/officeDocument/2006/relationships/hyperlink" Target="https://doi.org/10.5713/ajas.2012.12684" TargetMode="External"/><Relationship Id="rId22" Type="http://schemas.openxmlformats.org/officeDocument/2006/relationships/hyperlink" Target="https://doi.org/10.3923/ijps.2008.1128.1131" TargetMode="External"/><Relationship Id="rId27" Type="http://schemas.openxmlformats.org/officeDocument/2006/relationships/hyperlink" Target="https://doi.org/10.1007/s11250-021-02621-6"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doi.org/10.3382/ps/pey10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3973</Words>
  <Characters>22650</Characters>
  <Application>Microsoft Office Word</Application>
  <DocSecurity>0</DocSecurity>
  <Lines>188</Lines>
  <Paragraphs>53</Paragraphs>
  <ScaleCrop>false</ScaleCrop>
  <Company/>
  <LinksUpToDate>false</LinksUpToDate>
  <CharactersWithSpaces>26570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1020</cp:lastModifiedBy>
  <cp:revision>5</cp:revision>
  <dcterms:created xsi:type="dcterms:W3CDTF">2026-07-28T09:13:00Z</dcterms:created>
  <dcterms:modified xsi:type="dcterms:W3CDTF">2026-07-28T10:46:00Z</dcterms:modified>
</cp:coreProperties>
</file>