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D5D8" w14:textId="77777777" w:rsidR="0075461E" w:rsidRPr="00C422EB" w:rsidRDefault="0075461E" w:rsidP="00897F1C">
      <w:pPr>
        <w:jc w:val="both"/>
        <w:rPr>
          <w:rFonts w:ascii="Times New Roman" w:hAnsi="Times New Roman" w:cs="Times New Roman"/>
        </w:rPr>
      </w:pPr>
    </w:p>
    <w:p w14:paraId="19BF9411" w14:textId="77777777" w:rsidR="0052058A" w:rsidRPr="00D50E1A" w:rsidRDefault="0052058A" w:rsidP="006D4089">
      <w:pPr>
        <w:jc w:val="center"/>
        <w:rPr>
          <w:rFonts w:ascii="Times New Roman" w:hAnsi="Times New Roman" w:cs="Times New Roman"/>
          <w:b/>
          <w:bCs/>
          <w:sz w:val="28"/>
          <w:szCs w:val="28"/>
        </w:rPr>
      </w:pPr>
      <w:r w:rsidRPr="00D50E1A">
        <w:rPr>
          <w:rFonts w:ascii="Times New Roman" w:hAnsi="Times New Roman" w:cs="Times New Roman"/>
          <w:b/>
          <w:bCs/>
          <w:sz w:val="28"/>
          <w:szCs w:val="28"/>
        </w:rPr>
        <w:t xml:space="preserve">Augmenting poultry feed with essential oil of </w:t>
      </w:r>
      <w:r w:rsidRPr="00D50E1A">
        <w:rPr>
          <w:rFonts w:ascii="Times New Roman" w:hAnsi="Times New Roman" w:cs="Times New Roman"/>
          <w:b/>
          <w:bCs/>
          <w:i/>
          <w:iCs/>
          <w:sz w:val="28"/>
          <w:szCs w:val="28"/>
        </w:rPr>
        <w:t>Thymus vulgaris</w:t>
      </w:r>
      <w:r w:rsidRPr="00D50E1A">
        <w:rPr>
          <w:rFonts w:ascii="Times New Roman" w:hAnsi="Times New Roman" w:cs="Times New Roman"/>
          <w:b/>
          <w:bCs/>
          <w:sz w:val="28"/>
          <w:szCs w:val="28"/>
        </w:rPr>
        <w:t xml:space="preserve"> </w:t>
      </w:r>
      <w:r w:rsidR="00B3171F" w:rsidRPr="00D50E1A">
        <w:rPr>
          <w:rFonts w:ascii="Times New Roman" w:hAnsi="Times New Roman" w:cs="Times New Roman"/>
          <w:b/>
          <w:bCs/>
          <w:sz w:val="28"/>
          <w:szCs w:val="28"/>
        </w:rPr>
        <w:t xml:space="preserve">and </w:t>
      </w:r>
      <w:r w:rsidR="00B3171F" w:rsidRPr="00D50E1A">
        <w:rPr>
          <w:rFonts w:ascii="Times New Roman" w:hAnsi="Times New Roman" w:cs="Times New Roman"/>
          <w:b/>
          <w:bCs/>
          <w:i/>
          <w:iCs/>
          <w:sz w:val="28"/>
          <w:szCs w:val="28"/>
        </w:rPr>
        <w:t>Melaleuca alternifolia</w:t>
      </w:r>
      <w:r w:rsidR="00B3171F" w:rsidRPr="00D50E1A">
        <w:rPr>
          <w:rFonts w:ascii="Times New Roman" w:hAnsi="Times New Roman" w:cs="Times New Roman"/>
          <w:b/>
          <w:bCs/>
          <w:sz w:val="28"/>
          <w:szCs w:val="28"/>
        </w:rPr>
        <w:t xml:space="preserve"> </w:t>
      </w:r>
      <w:r w:rsidRPr="00D50E1A">
        <w:rPr>
          <w:rFonts w:ascii="Times New Roman" w:hAnsi="Times New Roman" w:cs="Times New Roman"/>
          <w:b/>
          <w:bCs/>
          <w:sz w:val="28"/>
          <w:szCs w:val="28"/>
        </w:rPr>
        <w:t>as an infection control agent in broiler chickens</w:t>
      </w:r>
    </w:p>
    <w:p w14:paraId="65A0066C" w14:textId="77777777" w:rsidR="00843E2B" w:rsidRPr="00D50E1A" w:rsidRDefault="00843E2B" w:rsidP="006D4089">
      <w:pPr>
        <w:jc w:val="center"/>
        <w:rPr>
          <w:rFonts w:ascii="Times New Roman" w:hAnsi="Times New Roman" w:cs="Times New Roman"/>
          <w:b/>
          <w:bCs/>
          <w:sz w:val="28"/>
          <w:szCs w:val="28"/>
        </w:rPr>
      </w:pPr>
    </w:p>
    <w:p w14:paraId="47234A8E" w14:textId="77777777" w:rsidR="00843E2B" w:rsidRPr="00D50E1A" w:rsidRDefault="00843E2B" w:rsidP="006D4089">
      <w:pPr>
        <w:jc w:val="center"/>
        <w:rPr>
          <w:rFonts w:ascii="Times New Roman" w:hAnsi="Times New Roman" w:cs="Times New Roman"/>
          <w:b/>
          <w:bCs/>
          <w:sz w:val="24"/>
          <w:szCs w:val="24"/>
        </w:rPr>
      </w:pPr>
    </w:p>
    <w:p w14:paraId="2FF003F3" w14:textId="77777777" w:rsidR="0052058A" w:rsidRPr="00D50E1A" w:rsidRDefault="0052058A" w:rsidP="00897F1C">
      <w:pPr>
        <w:jc w:val="both"/>
        <w:rPr>
          <w:rFonts w:ascii="Times New Roman" w:hAnsi="Times New Roman" w:cs="Times New Roman"/>
          <w:b/>
          <w:bCs/>
          <w:sz w:val="24"/>
          <w:szCs w:val="24"/>
        </w:rPr>
      </w:pPr>
      <w:r w:rsidRPr="00D50E1A">
        <w:rPr>
          <w:rFonts w:ascii="Times New Roman" w:hAnsi="Times New Roman" w:cs="Times New Roman"/>
          <w:b/>
          <w:bCs/>
          <w:sz w:val="24"/>
          <w:szCs w:val="24"/>
        </w:rPr>
        <w:t xml:space="preserve">Abstract </w:t>
      </w:r>
    </w:p>
    <w:p w14:paraId="25D45D5E" w14:textId="77777777" w:rsidR="00B3171F" w:rsidRPr="00D50E1A" w:rsidRDefault="0052058A" w:rsidP="00897F1C">
      <w:pPr>
        <w:jc w:val="both"/>
        <w:rPr>
          <w:rFonts w:ascii="Times New Roman" w:hAnsi="Times New Roman" w:cs="Times New Roman"/>
          <w:sz w:val="24"/>
          <w:szCs w:val="24"/>
        </w:rPr>
      </w:pPr>
      <w:r w:rsidRPr="00D50E1A">
        <w:t xml:space="preserve">Poultry is widely recognised as an important source of protein, vitamins, minerals, and fats. However, poultry production is frequently affected by infections in birds, which adversely affect the prospects of the industry. Consequently, poultry farmers have made extensive use of antibiotics to control infections. This practice has contributed to the development of antibiotic resistance among common pathogens encountered in the poultry industry. The present study was therefore conducted to evaluate the potential of the essential oils of </w:t>
      </w:r>
      <w:r w:rsidRPr="00D50E1A">
        <w:rPr>
          <w:i/>
        </w:rPr>
        <w:t>Thymus vulgaris</w:t>
      </w:r>
      <w:r w:rsidRPr="00D50E1A">
        <w:t xml:space="preserve"> and </w:t>
      </w:r>
      <w:r w:rsidRPr="00D50E1A">
        <w:rPr>
          <w:i/>
        </w:rPr>
        <w:t>Melaleuca alternifolia</w:t>
      </w:r>
      <w:r w:rsidRPr="00D50E1A">
        <w:t xml:space="preserve"> (thyme oil and tea tree oil, respectively) as antimicrobial agents against broiler pathogens and for possible use in poultry feed. Both oils were assessed for antibacterial activity against pathogens isolated from infected chickens, namely </w:t>
      </w:r>
      <w:r w:rsidRPr="00D50E1A">
        <w:rPr>
          <w:i/>
        </w:rPr>
        <w:t>Escherichia coli</w:t>
      </w:r>
      <w:r w:rsidRPr="00D50E1A">
        <w:t xml:space="preserve">, </w:t>
      </w:r>
      <w:r w:rsidRPr="00D50E1A">
        <w:rPr>
          <w:i/>
        </w:rPr>
        <w:t>Staphylococcus aureus</w:t>
      </w:r>
      <w:r w:rsidRPr="00D50E1A">
        <w:t xml:space="preserve">, </w:t>
      </w:r>
      <w:r w:rsidRPr="00D50E1A">
        <w:rPr>
          <w:i/>
        </w:rPr>
        <w:t>Staphylococcus carnosus</w:t>
      </w:r>
      <w:r w:rsidRPr="00D50E1A">
        <w:t xml:space="preserve">, and </w:t>
      </w:r>
      <w:r w:rsidRPr="00D50E1A">
        <w:rPr>
          <w:i/>
        </w:rPr>
        <w:t xml:space="preserve">Salmonella </w:t>
      </w:r>
      <w:proofErr w:type="spellStart"/>
      <w:r w:rsidRPr="00D50E1A">
        <w:rPr>
          <w:i/>
        </w:rPr>
        <w:t>gallinarum</w:t>
      </w:r>
      <w:proofErr w:type="spellEnd"/>
      <w:r w:rsidRPr="00D50E1A">
        <w:t>. Antimicrobial activity was assessed using the disc diffusion method, and the minimum inhibitory concentrations (MICs) of the oils were determined using a 96-well microbroth dilution method. The diameters of the zones of inhibition ranged from 19 to 34 mm. MIC values ranged from 0.07% to 0.15% for tea tree oil and from 0.019% to 0.039% for thyme oil. A feeding trial was subsequently conducted using standard procedures, in which Indian broiler chickens received feed augmented or fortified with essential oils for six weeks. The experimental birds had a lower recorded prevalence of infection. The birds also gained substantial body weight during the trial, indicating that essential-oil supplementation did not adversely affect their health.</w:t>
      </w:r>
    </w:p>
    <w:p w14:paraId="3A55A25A" w14:textId="77777777" w:rsidR="00954FF8" w:rsidRDefault="0052058A" w:rsidP="00954FF8">
      <w:pPr>
        <w:pStyle w:val="pdq2pgselectionanchorcontainer"/>
      </w:pPr>
      <w:r w:rsidRPr="00D50E1A">
        <w:t xml:space="preserve">Keywords: </w:t>
      </w:r>
      <w:r w:rsidR="00954FF8">
        <w:t>Broiler chickens; thyme essential oil; tea tree oil; phytogenic feed additives; antimicrobial activity; bacterial pathogens; minimum inhibitory concentration; infection prevalence; antibiotic alternatives; live body weight</w:t>
      </w:r>
    </w:p>
    <w:p w14:paraId="5F0E9BB0" w14:textId="02422A52" w:rsidR="0052058A" w:rsidRPr="00D50E1A" w:rsidRDefault="0052058A" w:rsidP="00897F1C">
      <w:pPr>
        <w:jc w:val="both"/>
        <w:rPr>
          <w:rFonts w:ascii="Times New Roman" w:hAnsi="Times New Roman" w:cs="Times New Roman"/>
          <w:sz w:val="24"/>
          <w:szCs w:val="24"/>
        </w:rPr>
      </w:pPr>
    </w:p>
    <w:p w14:paraId="4E77A626" w14:textId="77777777" w:rsidR="0052058A" w:rsidRPr="00D50E1A" w:rsidRDefault="0052058A" w:rsidP="00897F1C">
      <w:pPr>
        <w:jc w:val="both"/>
        <w:rPr>
          <w:rFonts w:ascii="Times New Roman" w:hAnsi="Times New Roman" w:cs="Times New Roman"/>
        </w:rPr>
      </w:pPr>
    </w:p>
    <w:p w14:paraId="5F2DD944" w14:textId="77777777" w:rsidR="00043AC4" w:rsidRPr="00D50E1A" w:rsidRDefault="00043AC4" w:rsidP="00043AC4">
      <w:pPr>
        <w:jc w:val="both"/>
        <w:rPr>
          <w:rFonts w:ascii="Times New Roman" w:hAnsi="Times New Roman" w:cs="Times New Roman"/>
          <w:b/>
          <w:bCs/>
          <w:sz w:val="24"/>
          <w:szCs w:val="24"/>
        </w:rPr>
      </w:pPr>
      <w:r w:rsidRPr="00D50E1A">
        <w:rPr>
          <w:rFonts w:ascii="Times New Roman" w:hAnsi="Times New Roman" w:cs="Times New Roman"/>
          <w:b/>
          <w:bCs/>
          <w:sz w:val="24"/>
          <w:szCs w:val="24"/>
        </w:rPr>
        <w:t>Introduction:</w:t>
      </w:r>
    </w:p>
    <w:p w14:paraId="7CF50142" w14:textId="77777777" w:rsidR="00155B7E" w:rsidRPr="00D50E1A" w:rsidRDefault="00155B7E" w:rsidP="00043AC4">
      <w:pPr>
        <w:jc w:val="both"/>
        <w:rPr>
          <w:rFonts w:ascii="Times New Roman" w:hAnsi="Times New Roman" w:cs="Times New Roman"/>
          <w:sz w:val="24"/>
          <w:szCs w:val="24"/>
        </w:rPr>
      </w:pPr>
    </w:p>
    <w:p w14:paraId="5E3E2EF8" w14:textId="77777777" w:rsidR="00155B7E" w:rsidRPr="00D50E1A" w:rsidRDefault="00155B7E" w:rsidP="00155B7E">
      <w:pPr>
        <w:jc w:val="both"/>
        <w:rPr>
          <w:rFonts w:ascii="Times New Roman" w:hAnsi="Times New Roman" w:cs="Times New Roman"/>
          <w:sz w:val="24"/>
          <w:szCs w:val="24"/>
        </w:rPr>
      </w:pPr>
      <w:r w:rsidRPr="00D50E1A">
        <w:rPr>
          <w:rFonts w:ascii="Times New Roman" w:hAnsi="Times New Roman" w:cs="Times New Roman"/>
          <w:sz w:val="24"/>
          <w:szCs w:val="24"/>
        </w:rPr>
        <w:t xml:space="preserve">Poultry birds require an adequate supply of dietary energy to support optimal growth, efficient egg production, and overall physiological health. Furthermore, growth performance is closely associated with the health status of the birds, particularly their ability to remain free from infectious diseases. Consequently, achieving the desired growth rate necessitates not only the provision of nutritionally balanced feed but also the effective prevention and control of infections. Therefore, the careful selection of poultry feed ingredients is of paramount </w:t>
      </w:r>
      <w:r w:rsidRPr="00D50E1A">
        <w:rPr>
          <w:rFonts w:ascii="Times New Roman" w:hAnsi="Times New Roman" w:cs="Times New Roman"/>
          <w:sz w:val="24"/>
          <w:szCs w:val="24"/>
        </w:rPr>
        <w:lastRenderedPageBreak/>
        <w:t>importance and warrants considerable attention to ensure the sustainable development of the poultry industry.</w:t>
      </w:r>
    </w:p>
    <w:p w14:paraId="129CD2D0" w14:textId="77777777" w:rsidR="00155B7E" w:rsidRPr="00D50E1A" w:rsidRDefault="00155B7E" w:rsidP="00155B7E">
      <w:pPr>
        <w:jc w:val="both"/>
        <w:rPr>
          <w:rFonts w:ascii="Times New Roman" w:hAnsi="Times New Roman" w:cs="Times New Roman"/>
          <w:sz w:val="24"/>
          <w:szCs w:val="24"/>
        </w:rPr>
      </w:pPr>
    </w:p>
    <w:p w14:paraId="25502C90" w14:textId="77777777" w:rsidR="00155B7E" w:rsidRPr="00D50E1A" w:rsidRDefault="00155B7E" w:rsidP="00155B7E">
      <w:pPr>
        <w:jc w:val="both"/>
        <w:rPr>
          <w:rFonts w:ascii="Times New Roman" w:hAnsi="Times New Roman" w:cs="Times New Roman"/>
          <w:sz w:val="24"/>
          <w:szCs w:val="24"/>
        </w:rPr>
      </w:pPr>
      <w:r w:rsidRPr="00D50E1A">
        <w:t>In addition to nutritional considerations, one of the major challenges confronting the poultry sector is the high mortality of birds resulting from a wide range of infectious diseases, which impose substantial economic losses on producers. Accordingly, there is a pressing need for reliable and effective agents capable of preventing and combating such infections. Among the various plant-derived bioactive compounds, essential oils have attracted considerable interest owing to their diverse biological activities and wide-ranging applications. Essential oils comprise complex mixtures of volatile phytochemical constituents (Hadizadeh et al., 2009), many of which exhibit broad-spectrum antimicrobial activity against numerous pathogenic microorganisms. Owing to these antimicrobial properties, essential oils have been utilised for centuries in both traditional and contemporary applications for the control of microbial infections (Holley &amp; Patel, 2005). Their potential incorporation into poultry production systems offers a promising natural approach to improving bird health, reducing disease incidence, and enhancing the sustainability of poultry farming.</w:t>
      </w:r>
    </w:p>
    <w:p w14:paraId="0FCA503B" w14:textId="77777777" w:rsidR="00043AC4" w:rsidRPr="00D50E1A" w:rsidRDefault="00043AC4" w:rsidP="00043AC4">
      <w:pPr>
        <w:jc w:val="both"/>
        <w:rPr>
          <w:rFonts w:ascii="Times New Roman" w:hAnsi="Times New Roman" w:cs="Times New Roman"/>
          <w:sz w:val="24"/>
          <w:szCs w:val="24"/>
        </w:rPr>
      </w:pPr>
      <w:r w:rsidRPr="00D50E1A">
        <w:t xml:space="preserve">In addition, antifungal, antiviral, insecticidal, food-preservative, and antioxidant properties have been reported for essential oils (Faridi et al., 2008; </w:t>
      </w:r>
      <w:proofErr w:type="spellStart"/>
      <w:r w:rsidRPr="00D50E1A">
        <w:t>Mohagheghzadeh</w:t>
      </w:r>
      <w:proofErr w:type="spellEnd"/>
      <w:r w:rsidRPr="00D50E1A">
        <w:t xml:space="preserve"> et al., 2010; </w:t>
      </w:r>
      <w:proofErr w:type="spellStart"/>
      <w:r w:rsidRPr="00D50E1A">
        <w:t>Prabuseenivasan</w:t>
      </w:r>
      <w:proofErr w:type="spellEnd"/>
      <w:r w:rsidRPr="00D50E1A">
        <w:t xml:space="preserve"> et al., 2006). In India and other South-East Asian countries, the antimicrobial properties of essential oils have been recognised for many years. Moreover, several constituents of plant oils are considered to possess biological activity because of the bioactive compounds they contain.</w:t>
      </w:r>
    </w:p>
    <w:p w14:paraId="5F749896" w14:textId="77777777" w:rsidR="00155B7E" w:rsidRPr="00D50E1A" w:rsidRDefault="00155B7E" w:rsidP="00043AC4">
      <w:pPr>
        <w:jc w:val="both"/>
        <w:rPr>
          <w:rFonts w:ascii="Times New Roman" w:hAnsi="Times New Roman" w:cs="Times New Roman"/>
          <w:sz w:val="24"/>
          <w:szCs w:val="24"/>
        </w:rPr>
      </w:pPr>
    </w:p>
    <w:p w14:paraId="170E9254" w14:textId="77777777" w:rsidR="00155B7E" w:rsidRPr="00D50E1A" w:rsidRDefault="00155B7E" w:rsidP="00155B7E">
      <w:pPr>
        <w:jc w:val="both"/>
        <w:rPr>
          <w:rFonts w:ascii="Times New Roman" w:hAnsi="Times New Roman" w:cs="Times New Roman"/>
          <w:sz w:val="24"/>
          <w:szCs w:val="24"/>
        </w:rPr>
      </w:pPr>
      <w:r w:rsidRPr="00D50E1A">
        <w:t xml:space="preserve">The antimicrobial activity of essential oils has been extensively investigated over the past several decades (Janssen et al., 1987; </w:t>
      </w:r>
      <w:proofErr w:type="spellStart"/>
      <w:r w:rsidRPr="00D50E1A">
        <w:t>Hili</w:t>
      </w:r>
      <w:proofErr w:type="spellEnd"/>
      <w:r w:rsidRPr="00D50E1A">
        <w:t xml:space="preserve"> et al., 1997; Dorman &amp; Deans, 2000). Numerous studies have demonstrated their inhibitory effects against a broad spectrum of pathogenic microorganisms, highlighting their potential as natural antimicrobial agents. Nevertheless, despite the substantial body of research, the precise mechanisms underlying the antimicrobial activity of many essential oils and their individual constituents remain incompletely understood. Similarly, the modes of action through which these bioactive compounds exert their antimicrobial effects require further systematic investigation.</w:t>
      </w:r>
    </w:p>
    <w:p w14:paraId="25106035" w14:textId="77777777" w:rsidR="00155B7E" w:rsidRPr="00D50E1A" w:rsidRDefault="00155B7E" w:rsidP="00155B7E">
      <w:pPr>
        <w:jc w:val="both"/>
        <w:rPr>
          <w:rFonts w:ascii="Times New Roman" w:hAnsi="Times New Roman" w:cs="Times New Roman"/>
          <w:sz w:val="24"/>
          <w:szCs w:val="24"/>
        </w:rPr>
      </w:pPr>
    </w:p>
    <w:p w14:paraId="004793DF" w14:textId="77777777" w:rsidR="00155B7E" w:rsidRPr="00D50E1A" w:rsidRDefault="00155B7E" w:rsidP="00155B7E">
      <w:pPr>
        <w:jc w:val="both"/>
        <w:rPr>
          <w:rFonts w:ascii="Times New Roman" w:hAnsi="Times New Roman" w:cs="Times New Roman"/>
          <w:sz w:val="24"/>
          <w:szCs w:val="24"/>
        </w:rPr>
      </w:pPr>
      <w:r w:rsidRPr="00D50E1A">
        <w:rPr>
          <w:rFonts w:ascii="Times New Roman" w:hAnsi="Times New Roman" w:cs="Times New Roman"/>
          <w:sz w:val="24"/>
          <w:szCs w:val="24"/>
        </w:rPr>
        <w:t>The evaluation of the antimicrobial efficacy of essential oils is further complicated by several inherent physicochemical characteristics. In particular, their high volatility at ambient temperature, limited solubility in water, and chemically complex composition present considerable challenges for the accurate assessment of their biological activity (</w:t>
      </w:r>
      <w:proofErr w:type="spellStart"/>
      <w:r w:rsidRPr="00D50E1A">
        <w:rPr>
          <w:rFonts w:ascii="Times New Roman" w:hAnsi="Times New Roman" w:cs="Times New Roman"/>
          <w:sz w:val="24"/>
          <w:szCs w:val="24"/>
        </w:rPr>
        <w:t>Hili</w:t>
      </w:r>
      <w:proofErr w:type="spellEnd"/>
      <w:r w:rsidRPr="00D50E1A">
        <w:rPr>
          <w:rFonts w:ascii="Times New Roman" w:hAnsi="Times New Roman" w:cs="Times New Roman"/>
          <w:sz w:val="24"/>
          <w:szCs w:val="24"/>
        </w:rPr>
        <w:t xml:space="preserve"> et al., 1997). Moreover, variations in the chemical profiles of essential oils, together with differences in experimental methodologies and assay conditions, may contribute to inconsistencies in reported antimicrobial efficacy. Although a variety of in vitro techniques have been developed to evaluate the antimicrobial properties of essential oils, each employing distinct experimental protocols and analytical approaches, the primary objective </w:t>
      </w:r>
      <w:r w:rsidRPr="00D50E1A">
        <w:rPr>
          <w:rFonts w:ascii="Times New Roman" w:hAnsi="Times New Roman" w:cs="Times New Roman"/>
          <w:sz w:val="24"/>
          <w:szCs w:val="24"/>
        </w:rPr>
        <w:lastRenderedPageBreak/>
        <w:t>of the present study was not to investigate their chemical characteristics or mechanisms of antimicrobial action. Rather, the study was designed to evaluate the practical potential of essential oils as natural antimicrobial additives in poultry feed, with the broader aim of enhancing poultry health and supporting sustainable production systems.</w:t>
      </w:r>
    </w:p>
    <w:p w14:paraId="5500717B" w14:textId="77777777" w:rsidR="00DE41C5" w:rsidRPr="00D50E1A" w:rsidRDefault="00000000">
      <w:pPr>
        <w:rPr>
          <w:rFonts w:ascii="Times New Roman" w:hAnsi="Times New Roman" w:cs="Times New Roman"/>
        </w:rPr>
      </w:pPr>
      <w:r w:rsidRPr="00D50E1A">
        <w:t>Recent poultry-nutrition reviews describe essential oils as phytogenic feed additives with antimicrobial and antioxidant properties; however, responses are influenced by oil composition, inclusion level, delivery route, basal diet, management system, and microbial challenge. Therefore, essential-oil supplementation should be evaluated under defined experimental conditions before it is proposed for routine farm use (Abd El-Hack et al., 2022; Choi et al., 2022; Oladokun et al., 2022; Tiihonen et al., 2010).</w:t>
      </w:r>
    </w:p>
    <w:p w14:paraId="0D0E609E" w14:textId="77777777" w:rsidR="00DE41C5" w:rsidRPr="00D50E1A" w:rsidRDefault="00000000">
      <w:pPr>
        <w:rPr>
          <w:rFonts w:ascii="Times New Roman" w:hAnsi="Times New Roman" w:cs="Times New Roman"/>
        </w:rPr>
      </w:pPr>
      <w:r w:rsidRPr="00D50E1A">
        <w:rPr>
          <w:rFonts w:ascii="Times New Roman" w:hAnsi="Times New Roman" w:cs="Times New Roman"/>
          <w:sz w:val="24"/>
        </w:rPr>
        <w:t>Tea tree oil has been reviewed as an antimicrobial and antioxidant candidate for poultry production, while thyme essential oil has been studied as a dietary additive in broiler chickens. The available evidence supports cautious investigation of these oils, but it does not justify broad therapeutic claims without dose standardization, safety evaluation, and statistically robust in vivo testing (</w:t>
      </w:r>
      <w:proofErr w:type="spellStart"/>
      <w:r w:rsidRPr="00D50E1A">
        <w:rPr>
          <w:rFonts w:ascii="Times New Roman" w:hAnsi="Times New Roman" w:cs="Times New Roman"/>
          <w:sz w:val="24"/>
        </w:rPr>
        <w:t>Noruzi</w:t>
      </w:r>
      <w:proofErr w:type="spellEnd"/>
      <w:r w:rsidRPr="00D50E1A">
        <w:rPr>
          <w:rFonts w:ascii="Times New Roman" w:hAnsi="Times New Roman" w:cs="Times New Roman"/>
          <w:sz w:val="24"/>
        </w:rPr>
        <w:t xml:space="preserve"> et al., 2022; Puvača et al., 2019; Vlaicu et al., 2023).</w:t>
      </w:r>
    </w:p>
    <w:p w14:paraId="7B9D4298" w14:textId="77777777" w:rsidR="00DE41C5" w:rsidRPr="00D50E1A" w:rsidRDefault="00000000">
      <w:pPr>
        <w:rPr>
          <w:rFonts w:ascii="Times New Roman" w:hAnsi="Times New Roman" w:cs="Times New Roman"/>
        </w:rPr>
      </w:pPr>
      <w:r w:rsidRPr="00D50E1A">
        <w:rPr>
          <w:rFonts w:ascii="Times New Roman" w:hAnsi="Times New Roman" w:cs="Times New Roman"/>
          <w:sz w:val="24"/>
        </w:rPr>
        <w:t xml:space="preserve">The antimicrobial properties of essential oils are generally attributed to their volatile and lipophilic constituents, including phenolic and terpene compounds that may disrupt microbial cell membranes. At the same time, methodological factors such as oil solubility, volatility, emulsification, inoculum size, and assay medium can affect inhibition-zone and MIC values, which should be considered when interpreting essential-oil activity (Carson &amp; Riley, 1995; Dorman &amp; Deans, 2000; </w:t>
      </w:r>
      <w:proofErr w:type="spellStart"/>
      <w:r w:rsidRPr="00D50E1A">
        <w:rPr>
          <w:rFonts w:ascii="Times New Roman" w:hAnsi="Times New Roman" w:cs="Times New Roman"/>
          <w:sz w:val="24"/>
        </w:rPr>
        <w:t>Hili</w:t>
      </w:r>
      <w:proofErr w:type="spellEnd"/>
      <w:r w:rsidRPr="00D50E1A">
        <w:rPr>
          <w:rFonts w:ascii="Times New Roman" w:hAnsi="Times New Roman" w:cs="Times New Roman"/>
          <w:sz w:val="24"/>
        </w:rPr>
        <w:t xml:space="preserve"> et al., 1997; Holley &amp; Patel, 2005).</w:t>
      </w:r>
    </w:p>
    <w:p w14:paraId="5B10C012" w14:textId="77777777" w:rsidR="00DE41C5" w:rsidRPr="00D50E1A" w:rsidRDefault="00000000">
      <w:pPr>
        <w:rPr>
          <w:rFonts w:ascii="Times New Roman" w:hAnsi="Times New Roman" w:cs="Times New Roman"/>
        </w:rPr>
      </w:pPr>
      <w:r w:rsidRPr="00D50E1A">
        <w:rPr>
          <w:rFonts w:ascii="Times New Roman" w:hAnsi="Times New Roman" w:cs="Times New Roman"/>
          <w:sz w:val="24"/>
        </w:rPr>
        <w:t>Reports on other aromatic essential oils also support the need for product-specific testing, because antimicrobial activity depends on botanical source, chemical profile, and target microorganism (Ghasemi et al., 2005).</w:t>
      </w:r>
    </w:p>
    <w:p w14:paraId="2CA5604F" w14:textId="08A16EF8" w:rsidR="003656A6" w:rsidRPr="00D50E1A" w:rsidRDefault="00000000">
      <w:pPr>
        <w:rPr>
          <w:rFonts w:ascii="Times New Roman" w:hAnsi="Times New Roman" w:cs="Times New Roman"/>
        </w:rPr>
      </w:pPr>
      <w:r w:rsidRPr="00D50E1A">
        <w:rPr>
          <w:rFonts w:ascii="Times New Roman" w:hAnsi="Times New Roman" w:cs="Times New Roman"/>
          <w:b/>
          <w:sz w:val="24"/>
        </w:rPr>
        <w:t xml:space="preserve">Recent investigations report that phytogenic feed additives and essential-oil blends may affect growth performance, nutrient utilisation, intestinal morphology, antioxidant status, microbial populations, and meat-quality traits in broilers; however, responses vary with formulation, dose, delivery route, and experimental conditions (Barad, 2026; </w:t>
      </w:r>
      <w:proofErr w:type="spellStart"/>
      <w:r w:rsidRPr="00D50E1A">
        <w:rPr>
          <w:rFonts w:ascii="Times New Roman" w:hAnsi="Times New Roman" w:cs="Times New Roman"/>
          <w:b/>
          <w:sz w:val="24"/>
        </w:rPr>
        <w:t>Ashayerizadeh</w:t>
      </w:r>
      <w:proofErr w:type="spellEnd"/>
      <w:r w:rsidRPr="00D50E1A">
        <w:rPr>
          <w:rFonts w:ascii="Times New Roman" w:hAnsi="Times New Roman" w:cs="Times New Roman"/>
          <w:b/>
          <w:sz w:val="24"/>
        </w:rPr>
        <w:t xml:space="preserve"> et al., 2025; </w:t>
      </w:r>
      <w:proofErr w:type="spellStart"/>
      <w:r w:rsidRPr="00D50E1A">
        <w:rPr>
          <w:rFonts w:ascii="Times New Roman" w:hAnsi="Times New Roman" w:cs="Times New Roman"/>
          <w:b/>
          <w:sz w:val="24"/>
        </w:rPr>
        <w:t>Kahiel</w:t>
      </w:r>
      <w:proofErr w:type="spellEnd"/>
      <w:r w:rsidRPr="00D50E1A">
        <w:rPr>
          <w:rFonts w:ascii="Times New Roman" w:hAnsi="Times New Roman" w:cs="Times New Roman"/>
          <w:b/>
          <w:sz w:val="24"/>
        </w:rPr>
        <w:t xml:space="preserve"> et al., 2025; </w:t>
      </w:r>
      <w:r w:rsidR="0042463F" w:rsidRPr="0042463F">
        <w:rPr>
          <w:rFonts w:ascii="Times New Roman" w:hAnsi="Times New Roman" w:cs="Times New Roman"/>
          <w:b/>
          <w:sz w:val="24"/>
        </w:rPr>
        <w:t>Muhammad</w:t>
      </w:r>
      <w:r w:rsidR="0042463F" w:rsidRPr="0042463F">
        <w:rPr>
          <w:rFonts w:ascii="Times New Roman" w:hAnsi="Times New Roman" w:cs="Times New Roman"/>
          <w:b/>
          <w:sz w:val="24"/>
        </w:rPr>
        <w:t xml:space="preserve"> </w:t>
      </w:r>
      <w:r w:rsidRPr="00D50E1A">
        <w:rPr>
          <w:rFonts w:ascii="Times New Roman" w:hAnsi="Times New Roman" w:cs="Times New Roman"/>
          <w:b/>
          <w:sz w:val="24"/>
        </w:rPr>
        <w:t>Khan et al., 2026).</w:t>
      </w:r>
    </w:p>
    <w:p w14:paraId="5F6C9482" w14:textId="77777777" w:rsidR="003656A6" w:rsidRPr="00D50E1A" w:rsidRDefault="00000000">
      <w:pPr>
        <w:rPr>
          <w:rFonts w:ascii="Times New Roman" w:hAnsi="Times New Roman" w:cs="Times New Roman"/>
        </w:rPr>
      </w:pPr>
      <w:r w:rsidRPr="00D50E1A">
        <w:rPr>
          <w:rFonts w:ascii="Times New Roman" w:hAnsi="Times New Roman" w:cs="Times New Roman"/>
          <w:b/>
          <w:sz w:val="24"/>
        </w:rPr>
        <w:t xml:space="preserve">In vitro evidence further indicates that thyme essential oil can inhibit </w:t>
      </w:r>
      <w:r w:rsidRPr="00D50E1A">
        <w:rPr>
          <w:rFonts w:ascii="Times New Roman" w:hAnsi="Times New Roman" w:cs="Times New Roman"/>
          <w:b/>
          <w:i/>
          <w:sz w:val="24"/>
        </w:rPr>
        <w:t>Escherichia coli</w:t>
      </w:r>
      <w:r w:rsidRPr="00D50E1A">
        <w:rPr>
          <w:rFonts w:ascii="Times New Roman" w:hAnsi="Times New Roman" w:cs="Times New Roman"/>
          <w:b/>
          <w:sz w:val="24"/>
        </w:rPr>
        <w:t xml:space="preserve">, </w:t>
      </w:r>
      <w:r w:rsidRPr="00D50E1A">
        <w:rPr>
          <w:rFonts w:ascii="Times New Roman" w:hAnsi="Times New Roman" w:cs="Times New Roman"/>
          <w:b/>
          <w:i/>
          <w:sz w:val="24"/>
        </w:rPr>
        <w:t>Staphylococcus aureus</w:t>
      </w:r>
      <w:r w:rsidRPr="00D50E1A">
        <w:rPr>
          <w:rFonts w:ascii="Times New Roman" w:hAnsi="Times New Roman" w:cs="Times New Roman"/>
          <w:b/>
          <w:sz w:val="24"/>
        </w:rPr>
        <w:t xml:space="preserve">, and </w:t>
      </w:r>
      <w:r w:rsidRPr="00D50E1A">
        <w:rPr>
          <w:rFonts w:ascii="Times New Roman" w:hAnsi="Times New Roman" w:cs="Times New Roman"/>
          <w:b/>
          <w:i/>
          <w:sz w:val="24"/>
        </w:rPr>
        <w:t>Salmonella enterica</w:t>
      </w:r>
      <w:r w:rsidRPr="00D50E1A">
        <w:rPr>
          <w:rFonts w:ascii="Times New Roman" w:hAnsi="Times New Roman" w:cs="Times New Roman"/>
          <w:b/>
          <w:sz w:val="24"/>
        </w:rPr>
        <w:t>, supporting product-specific antimicrobial assessment while not substituting for controlled poultry trials (Afam-</w:t>
      </w:r>
      <w:proofErr w:type="spellStart"/>
      <w:r w:rsidRPr="00D50E1A">
        <w:rPr>
          <w:rFonts w:ascii="Times New Roman" w:hAnsi="Times New Roman" w:cs="Times New Roman"/>
          <w:b/>
          <w:sz w:val="24"/>
        </w:rPr>
        <w:t>Ezeaku</w:t>
      </w:r>
      <w:proofErr w:type="spellEnd"/>
      <w:r w:rsidRPr="00D50E1A">
        <w:rPr>
          <w:rFonts w:ascii="Times New Roman" w:hAnsi="Times New Roman" w:cs="Times New Roman"/>
          <w:b/>
          <w:sz w:val="24"/>
        </w:rPr>
        <w:t xml:space="preserve"> et al., 2024).</w:t>
      </w:r>
    </w:p>
    <w:p w14:paraId="638A28F3" w14:textId="77777777" w:rsidR="003656A6" w:rsidRPr="00D50E1A" w:rsidRDefault="00000000">
      <w:pPr>
        <w:jc w:val="both"/>
        <w:rPr>
          <w:rFonts w:ascii="Times New Roman" w:hAnsi="Times New Roman" w:cs="Times New Roman"/>
          <w:b/>
          <w:bCs/>
          <w:sz w:val="24"/>
          <w:szCs w:val="24"/>
        </w:rPr>
      </w:pPr>
      <w:r w:rsidRPr="00D50E1A">
        <w:rPr>
          <w:rFonts w:ascii="Times New Roman" w:hAnsi="Times New Roman" w:cs="Times New Roman"/>
          <w:b/>
          <w:sz w:val="24"/>
        </w:rPr>
        <w:t>Research gap</w:t>
      </w:r>
    </w:p>
    <w:p w14:paraId="4651D76E" w14:textId="77777777" w:rsidR="003656A6" w:rsidRPr="00D50E1A" w:rsidRDefault="00000000">
      <w:pPr>
        <w:rPr>
          <w:rFonts w:ascii="Times New Roman" w:hAnsi="Times New Roman" w:cs="Times New Roman"/>
        </w:rPr>
      </w:pPr>
      <w:r w:rsidRPr="00D50E1A">
        <w:rPr>
          <w:rFonts w:ascii="Times New Roman" w:hAnsi="Times New Roman" w:cs="Times New Roman"/>
          <w:b/>
          <w:sz w:val="24"/>
        </w:rPr>
        <w:t>Within the scope of the evidence reviewed in this manuscript, a research gap remains regarding the assessment of both the in vitro inhibitory activity of thyme and tea tree oils against bacterial pathogens isolated from infected broiler chickens and the effects of their dietary supplementation within the same experimental study.</w:t>
      </w:r>
    </w:p>
    <w:p w14:paraId="4CC2790B" w14:textId="77777777" w:rsidR="003656A6" w:rsidRPr="00D50E1A" w:rsidRDefault="00000000">
      <w:pPr>
        <w:jc w:val="both"/>
        <w:rPr>
          <w:rFonts w:ascii="Times New Roman" w:hAnsi="Times New Roman" w:cs="Times New Roman"/>
          <w:b/>
          <w:bCs/>
          <w:sz w:val="24"/>
          <w:szCs w:val="24"/>
        </w:rPr>
      </w:pPr>
      <w:r w:rsidRPr="00D50E1A">
        <w:rPr>
          <w:rFonts w:ascii="Times New Roman" w:hAnsi="Times New Roman" w:cs="Times New Roman"/>
          <w:b/>
          <w:sz w:val="24"/>
        </w:rPr>
        <w:lastRenderedPageBreak/>
        <w:t>Objective</w:t>
      </w:r>
    </w:p>
    <w:p w14:paraId="5BAA6BEB" w14:textId="77777777" w:rsidR="003656A6" w:rsidRPr="00D50E1A" w:rsidRDefault="00000000">
      <w:pPr>
        <w:rPr>
          <w:rFonts w:ascii="Times New Roman" w:hAnsi="Times New Roman" w:cs="Times New Roman"/>
        </w:rPr>
      </w:pPr>
      <w:r w:rsidRPr="00D50E1A">
        <w:rPr>
          <w:rFonts w:ascii="Times New Roman" w:hAnsi="Times New Roman" w:cs="Times New Roman"/>
          <w:b/>
          <w:sz w:val="24"/>
        </w:rPr>
        <w:t xml:space="preserve">The objective of the present study was to evaluate the inhibitory activity of </w:t>
      </w:r>
      <w:r w:rsidRPr="00D50E1A">
        <w:rPr>
          <w:rFonts w:ascii="Times New Roman" w:hAnsi="Times New Roman" w:cs="Times New Roman"/>
          <w:b/>
          <w:i/>
          <w:sz w:val="24"/>
        </w:rPr>
        <w:t>Thymus vulgaris</w:t>
      </w:r>
      <w:r w:rsidRPr="00D50E1A">
        <w:rPr>
          <w:rFonts w:ascii="Times New Roman" w:hAnsi="Times New Roman" w:cs="Times New Roman"/>
          <w:b/>
          <w:sz w:val="24"/>
        </w:rPr>
        <w:t xml:space="preserve"> and </w:t>
      </w:r>
      <w:r w:rsidRPr="00D50E1A">
        <w:rPr>
          <w:rFonts w:ascii="Times New Roman" w:hAnsi="Times New Roman" w:cs="Times New Roman"/>
          <w:b/>
          <w:i/>
          <w:sz w:val="24"/>
        </w:rPr>
        <w:t>Melaleuca alternifolia</w:t>
      </w:r>
      <w:r w:rsidRPr="00D50E1A">
        <w:rPr>
          <w:rFonts w:ascii="Times New Roman" w:hAnsi="Times New Roman" w:cs="Times New Roman"/>
          <w:b/>
          <w:sz w:val="24"/>
        </w:rPr>
        <w:t xml:space="preserve"> essential oils against bacterial pathogens isolated from infected broiler chickens and to assess the effects of dietary supplementation with these oils on the recorded prevalence of infection and live body weight during the six-week feeding trial.</w:t>
      </w:r>
    </w:p>
    <w:p w14:paraId="33FAF6CE" w14:textId="77777777" w:rsidR="00DB400E" w:rsidRPr="00D50E1A" w:rsidRDefault="00DB400E" w:rsidP="00DB400E">
      <w:pPr>
        <w:jc w:val="both"/>
        <w:rPr>
          <w:rFonts w:ascii="Times New Roman" w:hAnsi="Times New Roman" w:cs="Times New Roman"/>
          <w:b/>
          <w:bCs/>
          <w:sz w:val="24"/>
          <w:szCs w:val="24"/>
        </w:rPr>
      </w:pPr>
      <w:r w:rsidRPr="00D50E1A">
        <w:rPr>
          <w:rFonts w:ascii="Times New Roman" w:hAnsi="Times New Roman" w:cs="Times New Roman"/>
          <w:b/>
          <w:bCs/>
          <w:sz w:val="24"/>
          <w:szCs w:val="24"/>
        </w:rPr>
        <w:t>2.0</w:t>
      </w:r>
      <w:r w:rsidR="00F504C1" w:rsidRPr="00D50E1A">
        <w:rPr>
          <w:rFonts w:ascii="Times New Roman" w:hAnsi="Times New Roman" w:cs="Times New Roman"/>
          <w:b/>
          <w:bCs/>
          <w:sz w:val="24"/>
          <w:szCs w:val="24"/>
        </w:rPr>
        <w:t xml:space="preserve">: </w:t>
      </w:r>
      <w:r w:rsidRPr="00D50E1A">
        <w:rPr>
          <w:rFonts w:ascii="Times New Roman" w:hAnsi="Times New Roman" w:cs="Times New Roman"/>
          <w:b/>
          <w:bCs/>
          <w:sz w:val="24"/>
          <w:szCs w:val="24"/>
        </w:rPr>
        <w:t xml:space="preserve"> Materials and Methods</w:t>
      </w:r>
    </w:p>
    <w:p w14:paraId="3DDB0DE9" w14:textId="77777777" w:rsidR="00DB400E" w:rsidRPr="00D50E1A" w:rsidRDefault="00DB400E" w:rsidP="00DB400E">
      <w:pPr>
        <w:jc w:val="both"/>
        <w:rPr>
          <w:rFonts w:ascii="Times New Roman" w:hAnsi="Times New Roman" w:cs="Times New Roman"/>
          <w:sz w:val="24"/>
          <w:szCs w:val="24"/>
        </w:rPr>
      </w:pPr>
      <w:r w:rsidRPr="00D50E1A">
        <w:t xml:space="preserve"> </w:t>
      </w:r>
      <w:r w:rsidRPr="00D50E1A">
        <w:rPr>
          <w:b/>
        </w:rPr>
        <w:t>2.1: Isolation of pathogens:</w:t>
      </w:r>
      <w:r w:rsidRPr="00D50E1A">
        <w:t xml:space="preserve"> The avian pathogens were isolated and identified on the basis of clinical findings observed during the post-mortem examination of infected birds. Samples were collected from cases exhibiting perihepatitis, pericarditis, gangrenous dermatitis, and necrotic spots on the liver. The isolates were confirmed by plating on selective media, including MacConkey agar, eosin methylene blue (EMB) agar, xylose lysine deoxycholate agar, and mannitol salt agar, followed by biochemical testing.</w:t>
      </w:r>
    </w:p>
    <w:p w14:paraId="17B16BA7" w14:textId="77777777" w:rsidR="00DB400E" w:rsidRPr="00D50E1A" w:rsidRDefault="00DB400E" w:rsidP="00DB400E">
      <w:pPr>
        <w:jc w:val="both"/>
        <w:rPr>
          <w:rFonts w:ascii="Times New Roman" w:hAnsi="Times New Roman" w:cs="Times New Roman"/>
          <w:sz w:val="24"/>
          <w:szCs w:val="24"/>
        </w:rPr>
      </w:pPr>
      <w:r w:rsidRPr="00D50E1A">
        <w:rPr>
          <w:b/>
        </w:rPr>
        <w:t>2.2: Serotyping:</w:t>
      </w:r>
      <w:r w:rsidRPr="00D50E1A">
        <w:t xml:space="preserve"> Serotyping of </w:t>
      </w:r>
      <w:r w:rsidRPr="00D50E1A">
        <w:rPr>
          <w:i/>
        </w:rPr>
        <w:t>Escherichia coli</w:t>
      </w:r>
      <w:r w:rsidRPr="00D50E1A">
        <w:t xml:space="preserve"> isolates was conducted at the National Salmonella and Escherichia Centre, </w:t>
      </w:r>
      <w:proofErr w:type="spellStart"/>
      <w:r w:rsidRPr="00D50E1A">
        <w:t>Kasauli</w:t>
      </w:r>
      <w:proofErr w:type="spellEnd"/>
      <w:r w:rsidRPr="00D50E1A">
        <w:t>, Himachal Pradesh, India.</w:t>
      </w:r>
    </w:p>
    <w:p w14:paraId="0C7BAE80" w14:textId="77777777" w:rsidR="00DB400E" w:rsidRPr="00D50E1A" w:rsidRDefault="00DB400E" w:rsidP="00DB400E">
      <w:pPr>
        <w:jc w:val="both"/>
        <w:rPr>
          <w:rFonts w:ascii="Times New Roman" w:hAnsi="Times New Roman" w:cs="Times New Roman"/>
          <w:sz w:val="24"/>
          <w:szCs w:val="24"/>
        </w:rPr>
      </w:pPr>
      <w:r w:rsidRPr="00D50E1A">
        <w:rPr>
          <w:b/>
        </w:rPr>
        <w:t>2.3: Inhibitory action of essential oils:</w:t>
      </w:r>
      <w:r w:rsidRPr="00D50E1A">
        <w:t xml:space="preserve"> The antimicrobial activities of the essential oils of </w:t>
      </w:r>
      <w:r w:rsidRPr="00D50E1A">
        <w:rPr>
          <w:i/>
        </w:rPr>
        <w:t>Thymus vulgaris</w:t>
      </w:r>
      <w:r w:rsidRPr="00D50E1A">
        <w:t xml:space="preserve"> (thyme oil) and </w:t>
      </w:r>
      <w:r w:rsidRPr="00D50E1A">
        <w:rPr>
          <w:i/>
        </w:rPr>
        <w:t>Melaleuca alternifolia</w:t>
      </w:r>
      <w:r w:rsidRPr="00D50E1A">
        <w:t xml:space="preserve"> (tea tree oil) were evaluated using the disc diffusion method, whereas minimum inhibitory concentrations were determined using the broth microdilution method in 96-well </w:t>
      </w:r>
      <w:proofErr w:type="spellStart"/>
      <w:r w:rsidRPr="00D50E1A">
        <w:t>microtitre</w:t>
      </w:r>
      <w:proofErr w:type="spellEnd"/>
      <w:r w:rsidRPr="00D50E1A">
        <w:t xml:space="preserve"> plates. The antibacterial activity of the essential oils was tested using the Kirby-Bauer method (Bauer et al., 1966). Sterilised blank Whatman filter-paper discs, 6 mm in diameter, were impregnated separately with thyme oil and tea tree oil for 20 minutes and placed in a slanted position to drain the excess oil. The discs were then placed at the centre of Mueller-Hinton agar plates inoculated with lawn cultures of the isolated pathogens. All plates were refrigerated for 30 minutes to facilitate diffusion and were then incubated at 37 °C for 24 h. After incubation, the zones of growth inhibition were measured in millimetres and recorded.</w:t>
      </w:r>
    </w:p>
    <w:p w14:paraId="7FE22D40" w14:textId="77777777" w:rsidR="0082152A" w:rsidRPr="00D50E1A" w:rsidRDefault="0082152A" w:rsidP="00DB400E">
      <w:pPr>
        <w:jc w:val="both"/>
        <w:rPr>
          <w:rFonts w:ascii="Times New Roman" w:hAnsi="Times New Roman" w:cs="Times New Roman"/>
          <w:sz w:val="24"/>
          <w:szCs w:val="24"/>
        </w:rPr>
      </w:pPr>
      <w:r w:rsidRPr="00D50E1A">
        <w:t xml:space="preserve">The minimum inhibitory concentrations (MICs) of both oils were determined using the broth microdilution method. A 5% Tween 80 emulsifier base was prepared in Mueller-Hinton broth (MHB), and a 5% solution of each essential oil was prepared in this base. Serial twofold dilutions of the oils, with final concentrations ranging from 2.5% to 0.00488% (v/v), were prepared in 96-well </w:t>
      </w:r>
      <w:proofErr w:type="spellStart"/>
      <w:r w:rsidRPr="00D50E1A">
        <w:t>microtitre</w:t>
      </w:r>
      <w:proofErr w:type="spellEnd"/>
      <w:r w:rsidRPr="00D50E1A">
        <w:t xml:space="preserve"> plates. To prepare the bacterial </w:t>
      </w:r>
      <w:proofErr w:type="spellStart"/>
      <w:r w:rsidRPr="00D50E1A">
        <w:t>inocula</w:t>
      </w:r>
      <w:proofErr w:type="spellEnd"/>
      <w:r w:rsidRPr="00D50E1A">
        <w:t>, one or two morphologically similar colonies were selected, and an aliquot was transferred to a test tube containing nutrient broth and incubated at 37 °C for 4 h. The density of the suspension was standardised against a 0.5 McFarland standard. A 5.0 µL aliquot of the inoculum was added to all wells except the negative-control well. After incubation, the highest dilution of essential oil showing no growth was reported as the MIC. The absence of growth was determined by visually assessing the lack of turbidity in the well with the aid of a reading mirror.</w:t>
      </w:r>
    </w:p>
    <w:p w14:paraId="22EEFEC4" w14:textId="77777777" w:rsidR="00DB400E" w:rsidRPr="00D50E1A" w:rsidRDefault="00DB400E" w:rsidP="00DB400E">
      <w:pPr>
        <w:jc w:val="both"/>
        <w:rPr>
          <w:rFonts w:ascii="Times New Roman" w:hAnsi="Times New Roman" w:cs="Times New Roman"/>
          <w:sz w:val="24"/>
          <w:szCs w:val="24"/>
        </w:rPr>
      </w:pPr>
      <w:r w:rsidRPr="00D50E1A">
        <w:rPr>
          <w:b/>
        </w:rPr>
        <w:t>2.4: Effect of feeding trials:</w:t>
      </w:r>
      <w:r w:rsidRPr="00D50E1A">
        <w:t xml:space="preserve"> The effects of thyme oil and tea tree oil on the prevalence of infection in the experimental birds were assessed by feeding the birds antibiotic-free feed augmented or blended with the essential oils, whereas the control birds were fed commercially available feed.</w:t>
      </w:r>
    </w:p>
    <w:p w14:paraId="45B06B43" w14:textId="77777777" w:rsidR="00712536" w:rsidRPr="00D50E1A" w:rsidRDefault="00712536" w:rsidP="00712536">
      <w:pPr>
        <w:jc w:val="both"/>
        <w:rPr>
          <w:rFonts w:ascii="Times New Roman" w:hAnsi="Times New Roman" w:cs="Times New Roman"/>
          <w:sz w:val="24"/>
          <w:szCs w:val="24"/>
        </w:rPr>
      </w:pPr>
      <w:r w:rsidRPr="00D50E1A">
        <w:lastRenderedPageBreak/>
        <w:t>For the control group, pre-starter, starter, and finisher feeds containing blended antibiotics were used, whereas the same types of feed without antibiotics were procured for the experimental trials.</w:t>
      </w:r>
    </w:p>
    <w:p w14:paraId="1C0FBCD0" w14:textId="77777777" w:rsidR="000970A5" w:rsidRPr="00D50E1A" w:rsidRDefault="000970A5" w:rsidP="000970A5">
      <w:pPr>
        <w:jc w:val="both"/>
        <w:rPr>
          <w:rFonts w:ascii="Times New Roman" w:hAnsi="Times New Roman" w:cs="Times New Roman"/>
          <w:sz w:val="24"/>
          <w:szCs w:val="24"/>
        </w:rPr>
      </w:pPr>
      <w:r w:rsidRPr="00D50E1A">
        <w:rPr>
          <w:b/>
        </w:rPr>
        <w:t>Group 1/Treatment A: Control chicks -</w:t>
      </w:r>
      <w:r w:rsidRPr="00D50E1A">
        <w:t xml:space="preserve"> The chicks were fed commercially available pre-starter feed containing an antibiotic, but without essential oils, for 10 days. This was followed by starter feed from days 11 to 20 and finisher feed for the remaining period.</w:t>
      </w:r>
    </w:p>
    <w:p w14:paraId="22CB3861" w14:textId="77777777" w:rsidR="000970A5" w:rsidRPr="00D50E1A" w:rsidRDefault="000970A5" w:rsidP="000970A5">
      <w:pPr>
        <w:jc w:val="both"/>
        <w:rPr>
          <w:rFonts w:ascii="Times New Roman" w:hAnsi="Times New Roman" w:cs="Times New Roman"/>
          <w:sz w:val="24"/>
          <w:szCs w:val="24"/>
        </w:rPr>
      </w:pPr>
      <w:r w:rsidRPr="00D50E1A">
        <w:rPr>
          <w:b/>
        </w:rPr>
        <w:t>Group 2/Treatment B: Experimental chicks -</w:t>
      </w:r>
      <w:r w:rsidRPr="00D50E1A">
        <w:t xml:space="preserve"> The chicks were fed commercially available antibiotic-free pre-starter feed containing tea tree oil (2 mL/kg) for 10 days. This was followed by starter feed containing tea tree oil (2 mL/kg) from days 11 to 20 and finisher feed containing tea tree oil (2 mL/kg) for the remaining period.</w:t>
      </w:r>
    </w:p>
    <w:p w14:paraId="693E9948" w14:textId="77777777" w:rsidR="000970A5" w:rsidRPr="00D50E1A" w:rsidRDefault="000970A5" w:rsidP="000970A5">
      <w:pPr>
        <w:jc w:val="both"/>
        <w:rPr>
          <w:rFonts w:ascii="Times New Roman" w:hAnsi="Times New Roman" w:cs="Times New Roman"/>
          <w:sz w:val="24"/>
          <w:szCs w:val="24"/>
        </w:rPr>
      </w:pPr>
      <w:r w:rsidRPr="00D50E1A">
        <w:rPr>
          <w:b/>
        </w:rPr>
        <w:t>Group 3/Treatment C: Experimental chicks -</w:t>
      </w:r>
      <w:r w:rsidRPr="00D50E1A">
        <w:t xml:space="preserve"> The chicks were fed commercially available antibiotic-free pre-starter feed containing thyme oil (2 mL/kg) for 10 days (Hoffman-Pennesi &amp; Wu, 2010). This was followed by starter feed containing thyme oil (2 mL/kg) from days 11 to 20 and finisher feed containing thyme oil (2 mL/kg) for the remaining period.</w:t>
      </w:r>
    </w:p>
    <w:p w14:paraId="218B5A44" w14:textId="77777777" w:rsidR="000970A5" w:rsidRPr="00D50E1A" w:rsidRDefault="000970A5" w:rsidP="000970A5">
      <w:pPr>
        <w:jc w:val="both"/>
        <w:rPr>
          <w:rFonts w:ascii="Times New Roman" w:hAnsi="Times New Roman" w:cs="Times New Roman"/>
          <w:sz w:val="24"/>
          <w:szCs w:val="24"/>
        </w:rPr>
      </w:pPr>
      <w:r w:rsidRPr="00D50E1A">
        <w:t>The chickens in all three groups were weighed weekly for up to six weeks. Mortality and infection percentages were also assessed in both the control and experimental birds.</w:t>
      </w:r>
    </w:p>
    <w:p w14:paraId="7A12A6E2" w14:textId="77777777" w:rsidR="00DB400E" w:rsidRPr="00D50E1A" w:rsidRDefault="00DB400E" w:rsidP="00DB400E">
      <w:pPr>
        <w:jc w:val="both"/>
        <w:rPr>
          <w:rFonts w:ascii="Times New Roman" w:hAnsi="Times New Roman" w:cs="Times New Roman"/>
          <w:b/>
          <w:bCs/>
          <w:sz w:val="24"/>
          <w:szCs w:val="24"/>
        </w:rPr>
      </w:pPr>
      <w:r w:rsidRPr="00D50E1A">
        <w:rPr>
          <w:rFonts w:ascii="Times New Roman" w:hAnsi="Times New Roman" w:cs="Times New Roman"/>
          <w:b/>
          <w:bCs/>
          <w:sz w:val="24"/>
          <w:szCs w:val="24"/>
        </w:rPr>
        <w:t>3.0</w:t>
      </w:r>
      <w:r w:rsidR="00F504C1" w:rsidRPr="00D50E1A">
        <w:rPr>
          <w:rFonts w:ascii="Times New Roman" w:hAnsi="Times New Roman" w:cs="Times New Roman"/>
          <w:b/>
          <w:bCs/>
          <w:sz w:val="24"/>
          <w:szCs w:val="24"/>
        </w:rPr>
        <w:t>:</w:t>
      </w:r>
      <w:r w:rsidRPr="00D50E1A">
        <w:rPr>
          <w:rFonts w:ascii="Times New Roman" w:hAnsi="Times New Roman" w:cs="Times New Roman"/>
          <w:b/>
          <w:bCs/>
          <w:sz w:val="24"/>
          <w:szCs w:val="24"/>
        </w:rPr>
        <w:t xml:space="preserve"> Results and Discussion </w:t>
      </w:r>
    </w:p>
    <w:p w14:paraId="3899378B" w14:textId="77777777" w:rsidR="00DB400E" w:rsidRPr="00D50E1A" w:rsidRDefault="00DB400E" w:rsidP="00DB400E">
      <w:pPr>
        <w:jc w:val="both"/>
        <w:rPr>
          <w:rFonts w:ascii="Times New Roman" w:hAnsi="Times New Roman" w:cs="Times New Roman"/>
          <w:b/>
          <w:bCs/>
          <w:sz w:val="24"/>
          <w:szCs w:val="24"/>
        </w:rPr>
      </w:pPr>
      <w:r w:rsidRPr="00D50E1A">
        <w:rPr>
          <w:rFonts w:ascii="Times New Roman" w:hAnsi="Times New Roman" w:cs="Times New Roman"/>
          <w:b/>
          <w:bCs/>
          <w:sz w:val="24"/>
          <w:szCs w:val="24"/>
        </w:rPr>
        <w:t>3.1</w:t>
      </w:r>
      <w:r w:rsidR="00F504C1" w:rsidRPr="00D50E1A">
        <w:rPr>
          <w:rFonts w:ascii="Times New Roman" w:hAnsi="Times New Roman" w:cs="Times New Roman"/>
          <w:b/>
          <w:bCs/>
          <w:sz w:val="24"/>
          <w:szCs w:val="24"/>
        </w:rPr>
        <w:t>:</w:t>
      </w:r>
      <w:r w:rsidRPr="00D50E1A">
        <w:rPr>
          <w:rFonts w:ascii="Times New Roman" w:hAnsi="Times New Roman" w:cs="Times New Roman"/>
          <w:b/>
          <w:bCs/>
          <w:sz w:val="24"/>
          <w:szCs w:val="24"/>
        </w:rPr>
        <w:t xml:space="preserve"> Pathogens isolated from the </w:t>
      </w:r>
      <w:r w:rsidR="009361A4" w:rsidRPr="00D50E1A">
        <w:rPr>
          <w:rFonts w:ascii="Times New Roman" w:hAnsi="Times New Roman" w:cs="Times New Roman"/>
          <w:b/>
          <w:bCs/>
          <w:color w:val="000000"/>
          <w:sz w:val="24"/>
          <w:szCs w:val="24"/>
          <w:shd w:val="clear" w:color="auto" w:fill="FFFFFF"/>
        </w:rPr>
        <w:t>broiler chickens</w:t>
      </w:r>
    </w:p>
    <w:p w14:paraId="68F4AAAF" w14:textId="77777777" w:rsidR="00043AC4" w:rsidRPr="00D50E1A" w:rsidRDefault="00DB400E" w:rsidP="00DB400E">
      <w:pPr>
        <w:jc w:val="both"/>
        <w:rPr>
          <w:rFonts w:ascii="Times New Roman" w:hAnsi="Times New Roman" w:cs="Times New Roman"/>
          <w:sz w:val="24"/>
          <w:szCs w:val="24"/>
        </w:rPr>
      </w:pPr>
      <w:r w:rsidRPr="00D50E1A">
        <w:t>The pathogens isolated from the broiler chickens and the corresponding sites of isolation are presented in Table 1.</w:t>
      </w:r>
    </w:p>
    <w:p w14:paraId="0D44D797" w14:textId="77777777" w:rsidR="00F504C1" w:rsidRPr="00D50E1A" w:rsidRDefault="005F11BF" w:rsidP="00DB400E">
      <w:pPr>
        <w:jc w:val="both"/>
        <w:rPr>
          <w:rFonts w:ascii="Times New Roman" w:hAnsi="Times New Roman" w:cs="Times New Roman"/>
          <w:sz w:val="24"/>
          <w:szCs w:val="24"/>
        </w:rPr>
      </w:pPr>
      <w:r w:rsidRPr="00D50E1A">
        <w:rPr>
          <w:rFonts w:ascii="Times New Roman" w:hAnsi="Times New Roman" w:cs="Times New Roman"/>
          <w:sz w:val="24"/>
        </w:rPr>
        <w:t>Table 1. Pathogens isolated from broiler chickens and the corresponding site of isolation.</w:t>
      </w:r>
    </w:p>
    <w:tbl>
      <w:tblPr>
        <w:tblW w:w="8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4864"/>
        <w:gridCol w:w="3368"/>
      </w:tblGrid>
      <w:tr w:rsidR="00036C70" w:rsidRPr="00D50E1A" w14:paraId="39DC95F0" w14:textId="77777777" w:rsidTr="00E378D4">
        <w:trPr>
          <w:trHeight w:val="375"/>
          <w:jc w:val="center"/>
        </w:trPr>
        <w:tc>
          <w:tcPr>
            <w:tcW w:w="597" w:type="dxa"/>
          </w:tcPr>
          <w:p w14:paraId="250F716E" w14:textId="77777777" w:rsidR="00036C70" w:rsidRPr="00D50E1A" w:rsidRDefault="00036C70" w:rsidP="00E378D4">
            <w:pPr>
              <w:spacing w:after="0" w:line="360" w:lineRule="auto"/>
              <w:jc w:val="center"/>
              <w:rPr>
                <w:rFonts w:ascii="Times New Roman" w:eastAsia="Times New Roman" w:hAnsi="Times New Roman" w:cs="Times New Roman"/>
                <w:b/>
                <w:iCs/>
                <w:color w:val="000000"/>
                <w:sz w:val="24"/>
                <w:szCs w:val="24"/>
                <w:lang w:eastAsia="en-IN"/>
              </w:rPr>
            </w:pPr>
            <w:r w:rsidRPr="00D50E1A">
              <w:rPr>
                <w:rFonts w:ascii="Times New Roman" w:eastAsia="Times New Roman" w:hAnsi="Times New Roman" w:cs="Times New Roman"/>
                <w:b/>
                <w:iCs/>
                <w:color w:val="000000"/>
                <w:sz w:val="24"/>
                <w:szCs w:val="24"/>
                <w:lang w:eastAsia="en-IN"/>
              </w:rPr>
              <w:t>SN</w:t>
            </w:r>
          </w:p>
        </w:tc>
        <w:tc>
          <w:tcPr>
            <w:tcW w:w="4864" w:type="dxa"/>
            <w:noWrap/>
            <w:hideMark/>
          </w:tcPr>
          <w:p w14:paraId="5C7F5DEE" w14:textId="77777777" w:rsidR="00036C70" w:rsidRPr="00D50E1A" w:rsidRDefault="00036C70" w:rsidP="00E378D4">
            <w:pPr>
              <w:spacing w:after="0" w:line="360" w:lineRule="auto"/>
              <w:rPr>
                <w:rFonts w:ascii="Times New Roman" w:eastAsia="Times New Roman" w:hAnsi="Times New Roman" w:cs="Times New Roman"/>
                <w:b/>
                <w:iCs/>
                <w:color w:val="000000"/>
                <w:sz w:val="24"/>
                <w:szCs w:val="24"/>
                <w:lang w:eastAsia="en-IN"/>
              </w:rPr>
            </w:pPr>
            <w:r w:rsidRPr="00D50E1A">
              <w:rPr>
                <w:rFonts w:ascii="Times New Roman" w:eastAsia="Times New Roman" w:hAnsi="Times New Roman" w:cs="Times New Roman"/>
                <w:b/>
                <w:iCs/>
                <w:color w:val="000000"/>
                <w:sz w:val="24"/>
                <w:szCs w:val="24"/>
                <w:lang w:eastAsia="en-IN"/>
              </w:rPr>
              <w:t>Pathogen</w:t>
            </w:r>
          </w:p>
        </w:tc>
        <w:tc>
          <w:tcPr>
            <w:tcW w:w="3368" w:type="dxa"/>
          </w:tcPr>
          <w:p w14:paraId="1D434C8E" w14:textId="77777777" w:rsidR="00036C70" w:rsidRPr="00D50E1A" w:rsidRDefault="00036C70" w:rsidP="00E378D4">
            <w:pPr>
              <w:spacing w:after="0" w:line="360" w:lineRule="auto"/>
              <w:rPr>
                <w:rFonts w:ascii="Times New Roman" w:eastAsia="Times New Roman" w:hAnsi="Times New Roman" w:cs="Times New Roman"/>
                <w:b/>
                <w:iCs/>
                <w:color w:val="000000"/>
                <w:sz w:val="24"/>
                <w:szCs w:val="24"/>
                <w:lang w:eastAsia="en-IN"/>
              </w:rPr>
            </w:pPr>
            <w:r w:rsidRPr="00D50E1A">
              <w:rPr>
                <w:rFonts w:ascii="Times New Roman" w:eastAsia="Times New Roman" w:hAnsi="Times New Roman" w:cs="Times New Roman"/>
                <w:b/>
                <w:iCs/>
                <w:color w:val="000000"/>
                <w:sz w:val="24"/>
                <w:szCs w:val="24"/>
                <w:lang w:eastAsia="en-IN"/>
              </w:rPr>
              <w:t>Isolated from</w:t>
            </w:r>
          </w:p>
        </w:tc>
      </w:tr>
      <w:tr w:rsidR="00036C70" w:rsidRPr="00D50E1A" w14:paraId="24C6743A" w14:textId="77777777" w:rsidTr="00E378D4">
        <w:trPr>
          <w:trHeight w:val="375"/>
          <w:jc w:val="center"/>
        </w:trPr>
        <w:tc>
          <w:tcPr>
            <w:tcW w:w="597" w:type="dxa"/>
          </w:tcPr>
          <w:p w14:paraId="5E70F46C" w14:textId="77777777" w:rsidR="00036C70" w:rsidRPr="00D50E1A" w:rsidRDefault="00036C70" w:rsidP="00E378D4">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1</w:t>
            </w:r>
          </w:p>
        </w:tc>
        <w:tc>
          <w:tcPr>
            <w:tcW w:w="4864" w:type="dxa"/>
            <w:noWrap/>
            <w:hideMark/>
          </w:tcPr>
          <w:p w14:paraId="2E5DC414" w14:textId="77777777" w:rsidR="00036C70" w:rsidRPr="00D50E1A" w:rsidRDefault="00036C70" w:rsidP="00E378D4">
            <w:pPr>
              <w:spacing w:after="0" w:line="360" w:lineRule="auto"/>
              <w:rPr>
                <w:rFonts w:ascii="Times New Roman" w:eastAsia="Times New Roman" w:hAnsi="Times New Roman" w:cs="Times New Roman"/>
                <w:i/>
                <w:iCs/>
                <w:color w:val="000000"/>
                <w:sz w:val="24"/>
                <w:szCs w:val="24"/>
                <w:lang w:eastAsia="en-IN"/>
              </w:rPr>
            </w:pPr>
            <w:r w:rsidRPr="00D50E1A">
              <w:rPr>
                <w:rFonts w:ascii="Times New Roman" w:eastAsia="Times New Roman" w:hAnsi="Times New Roman" w:cs="Times New Roman"/>
                <w:i/>
                <w:iCs/>
                <w:color w:val="000000"/>
                <w:sz w:val="24"/>
                <w:szCs w:val="24"/>
                <w:lang w:eastAsia="en-IN"/>
              </w:rPr>
              <w:t>E. coli E4 (O84), E8 (O153), E14(O170), E27 (O106), E30(O143), E 9, E18, E13, E1 and E33</w:t>
            </w:r>
          </w:p>
        </w:tc>
        <w:tc>
          <w:tcPr>
            <w:tcW w:w="3368" w:type="dxa"/>
          </w:tcPr>
          <w:p w14:paraId="5E37FBDF" w14:textId="77777777" w:rsidR="00036C70" w:rsidRPr="00D50E1A" w:rsidRDefault="00036C70" w:rsidP="00E378D4">
            <w:pPr>
              <w:spacing w:after="0" w:line="360" w:lineRule="auto"/>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from liver and heart</w:t>
            </w:r>
          </w:p>
        </w:tc>
      </w:tr>
      <w:tr w:rsidR="00036C70" w:rsidRPr="00D50E1A" w14:paraId="785F8E42" w14:textId="77777777" w:rsidTr="00E378D4">
        <w:trPr>
          <w:trHeight w:val="375"/>
          <w:jc w:val="center"/>
        </w:trPr>
        <w:tc>
          <w:tcPr>
            <w:tcW w:w="597" w:type="dxa"/>
          </w:tcPr>
          <w:p w14:paraId="6C65A338" w14:textId="77777777" w:rsidR="00036C70" w:rsidRPr="00D50E1A" w:rsidRDefault="00036C70" w:rsidP="00E378D4">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2</w:t>
            </w:r>
          </w:p>
        </w:tc>
        <w:tc>
          <w:tcPr>
            <w:tcW w:w="4864" w:type="dxa"/>
            <w:noWrap/>
            <w:hideMark/>
          </w:tcPr>
          <w:p w14:paraId="1233867F" w14:textId="77777777" w:rsidR="00036C70" w:rsidRPr="00D50E1A" w:rsidRDefault="00036C70" w:rsidP="00E378D4">
            <w:pPr>
              <w:spacing w:after="0" w:line="360" w:lineRule="auto"/>
              <w:rPr>
                <w:rFonts w:ascii="Times New Roman" w:eastAsia="Times New Roman" w:hAnsi="Times New Roman" w:cs="Times New Roman"/>
                <w:i/>
                <w:iCs/>
                <w:color w:val="000000"/>
                <w:sz w:val="24"/>
                <w:szCs w:val="24"/>
                <w:lang w:eastAsia="en-IN"/>
              </w:rPr>
            </w:pPr>
            <w:r w:rsidRPr="00D50E1A">
              <w:rPr>
                <w:rFonts w:ascii="Times New Roman" w:eastAsia="Times New Roman" w:hAnsi="Times New Roman" w:cs="Times New Roman"/>
                <w:i/>
                <w:iCs/>
                <w:color w:val="000000"/>
                <w:sz w:val="24"/>
                <w:szCs w:val="24"/>
                <w:lang w:eastAsia="en-IN"/>
              </w:rPr>
              <w:t xml:space="preserve">Staphylococcus aureus </w:t>
            </w:r>
          </w:p>
        </w:tc>
        <w:tc>
          <w:tcPr>
            <w:tcW w:w="3368" w:type="dxa"/>
          </w:tcPr>
          <w:p w14:paraId="5DBB6005" w14:textId="77777777" w:rsidR="00036C70" w:rsidRPr="00D50E1A" w:rsidRDefault="00036C70" w:rsidP="00E378D4">
            <w:pPr>
              <w:spacing w:after="0" w:line="360" w:lineRule="auto"/>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from blood</w:t>
            </w:r>
            <w:r w:rsidR="003B43B1" w:rsidRPr="00D50E1A">
              <w:rPr>
                <w:rFonts w:ascii="Times New Roman" w:eastAsia="Times New Roman" w:hAnsi="Times New Roman" w:cs="Times New Roman"/>
                <w:iCs/>
                <w:color w:val="000000"/>
                <w:sz w:val="24"/>
                <w:szCs w:val="24"/>
                <w:lang w:eastAsia="en-IN"/>
              </w:rPr>
              <w:t xml:space="preserve"> and from gangrenous dermatitis case</w:t>
            </w:r>
          </w:p>
        </w:tc>
      </w:tr>
      <w:tr w:rsidR="00036C70" w:rsidRPr="00D50E1A" w14:paraId="2646FD38" w14:textId="77777777" w:rsidTr="00E378D4">
        <w:trPr>
          <w:trHeight w:val="375"/>
          <w:jc w:val="center"/>
        </w:trPr>
        <w:tc>
          <w:tcPr>
            <w:tcW w:w="597" w:type="dxa"/>
          </w:tcPr>
          <w:p w14:paraId="04E17024" w14:textId="77777777" w:rsidR="00036C70" w:rsidRPr="00D50E1A" w:rsidRDefault="00036C70" w:rsidP="00E378D4">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3</w:t>
            </w:r>
          </w:p>
        </w:tc>
        <w:tc>
          <w:tcPr>
            <w:tcW w:w="4864" w:type="dxa"/>
            <w:noWrap/>
            <w:hideMark/>
          </w:tcPr>
          <w:p w14:paraId="5797D9C9" w14:textId="77777777" w:rsidR="00036C70" w:rsidRPr="00D50E1A" w:rsidRDefault="00036C70" w:rsidP="00E378D4">
            <w:pPr>
              <w:spacing w:after="0" w:line="360" w:lineRule="auto"/>
              <w:rPr>
                <w:rFonts w:ascii="Times New Roman" w:eastAsia="Times New Roman" w:hAnsi="Times New Roman" w:cs="Times New Roman"/>
                <w:i/>
                <w:iCs/>
                <w:color w:val="000000"/>
                <w:sz w:val="24"/>
                <w:szCs w:val="24"/>
                <w:lang w:eastAsia="en-IN"/>
              </w:rPr>
            </w:pPr>
            <w:r w:rsidRPr="00D50E1A">
              <w:rPr>
                <w:rFonts w:ascii="Times New Roman" w:eastAsia="Times New Roman" w:hAnsi="Times New Roman" w:cs="Times New Roman"/>
                <w:i/>
                <w:iCs/>
                <w:color w:val="000000"/>
                <w:sz w:val="24"/>
                <w:szCs w:val="24"/>
                <w:lang w:eastAsia="en-IN"/>
              </w:rPr>
              <w:t xml:space="preserve">Staphylococcus carnosus </w:t>
            </w:r>
          </w:p>
        </w:tc>
        <w:tc>
          <w:tcPr>
            <w:tcW w:w="3368" w:type="dxa"/>
          </w:tcPr>
          <w:p w14:paraId="778AE382" w14:textId="77777777" w:rsidR="00036C70" w:rsidRPr="00D50E1A" w:rsidRDefault="00036C70" w:rsidP="00E378D4">
            <w:pPr>
              <w:spacing w:after="0" w:line="360" w:lineRule="auto"/>
              <w:rPr>
                <w:rFonts w:ascii="Times New Roman" w:eastAsia="Times New Roman" w:hAnsi="Times New Roman" w:cs="Times New Roman"/>
                <w:i/>
                <w:iCs/>
                <w:color w:val="000000"/>
                <w:sz w:val="24"/>
                <w:szCs w:val="24"/>
                <w:lang w:eastAsia="en-IN"/>
              </w:rPr>
            </w:pPr>
            <w:r w:rsidRPr="00D50E1A">
              <w:rPr>
                <w:rFonts w:ascii="Times New Roman" w:eastAsia="Times New Roman" w:hAnsi="Times New Roman" w:cs="Times New Roman"/>
                <w:iCs/>
                <w:color w:val="000000"/>
                <w:sz w:val="24"/>
                <w:szCs w:val="24"/>
                <w:lang w:eastAsia="en-IN"/>
              </w:rPr>
              <w:t>from blood</w:t>
            </w:r>
          </w:p>
        </w:tc>
      </w:tr>
      <w:tr w:rsidR="00036C70" w:rsidRPr="00D50E1A" w14:paraId="7E4FF1D6" w14:textId="77777777" w:rsidTr="00E378D4">
        <w:trPr>
          <w:trHeight w:val="375"/>
          <w:jc w:val="center"/>
        </w:trPr>
        <w:tc>
          <w:tcPr>
            <w:tcW w:w="597" w:type="dxa"/>
          </w:tcPr>
          <w:p w14:paraId="0C6D2517" w14:textId="77777777" w:rsidR="00036C70" w:rsidRPr="00D50E1A" w:rsidRDefault="00CE0548"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4</w:t>
            </w:r>
          </w:p>
        </w:tc>
        <w:tc>
          <w:tcPr>
            <w:tcW w:w="4864" w:type="dxa"/>
            <w:noWrap/>
            <w:hideMark/>
          </w:tcPr>
          <w:p w14:paraId="52348B5E" w14:textId="77777777" w:rsidR="00036C70" w:rsidRPr="00D50E1A" w:rsidRDefault="00036C70" w:rsidP="00E378D4">
            <w:pPr>
              <w:spacing w:after="0" w:line="360" w:lineRule="auto"/>
              <w:rPr>
                <w:rFonts w:ascii="Times New Roman" w:eastAsia="Times New Roman" w:hAnsi="Times New Roman" w:cs="Times New Roman"/>
                <w:i/>
                <w:color w:val="000000"/>
                <w:sz w:val="24"/>
                <w:szCs w:val="24"/>
                <w:lang w:eastAsia="en-IN"/>
              </w:rPr>
            </w:pPr>
            <w:r w:rsidRPr="00D50E1A">
              <w:rPr>
                <w:rFonts w:ascii="Times New Roman" w:eastAsia="Times New Roman" w:hAnsi="Times New Roman" w:cs="Times New Roman"/>
                <w:i/>
                <w:color w:val="000000"/>
                <w:sz w:val="24"/>
                <w:szCs w:val="24"/>
                <w:lang w:eastAsia="en-IN"/>
              </w:rPr>
              <w:t xml:space="preserve">Salmonella </w:t>
            </w:r>
            <w:proofErr w:type="spellStart"/>
            <w:r w:rsidRPr="00D50E1A">
              <w:rPr>
                <w:rFonts w:ascii="Times New Roman" w:eastAsia="Times New Roman" w:hAnsi="Times New Roman" w:cs="Times New Roman"/>
                <w:i/>
                <w:color w:val="000000"/>
                <w:sz w:val="24"/>
                <w:szCs w:val="24"/>
                <w:lang w:eastAsia="en-IN"/>
              </w:rPr>
              <w:t>gallinarum</w:t>
            </w:r>
            <w:proofErr w:type="spellEnd"/>
            <w:r w:rsidRPr="00D50E1A">
              <w:rPr>
                <w:rFonts w:ascii="Times New Roman" w:eastAsia="Times New Roman" w:hAnsi="Times New Roman" w:cs="Times New Roman"/>
                <w:i/>
                <w:color w:val="000000"/>
                <w:sz w:val="24"/>
                <w:szCs w:val="24"/>
                <w:lang w:eastAsia="en-IN"/>
              </w:rPr>
              <w:t xml:space="preserve"> </w:t>
            </w:r>
          </w:p>
        </w:tc>
        <w:tc>
          <w:tcPr>
            <w:tcW w:w="3368" w:type="dxa"/>
          </w:tcPr>
          <w:p w14:paraId="44D36ED6" w14:textId="77777777" w:rsidR="00036C70" w:rsidRPr="00D50E1A" w:rsidRDefault="00036C70" w:rsidP="00E378D4">
            <w:pPr>
              <w:spacing w:after="0" w:line="360" w:lineRule="auto"/>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from liver</w:t>
            </w:r>
          </w:p>
        </w:tc>
      </w:tr>
    </w:tbl>
    <w:p w14:paraId="5BFDA6BC" w14:textId="77777777" w:rsidR="00F504C1" w:rsidRPr="00D50E1A" w:rsidRDefault="00F504C1" w:rsidP="00DB400E">
      <w:pPr>
        <w:jc w:val="both"/>
        <w:rPr>
          <w:rFonts w:ascii="Times New Roman" w:hAnsi="Times New Roman" w:cs="Times New Roman"/>
          <w:sz w:val="24"/>
          <w:szCs w:val="24"/>
        </w:rPr>
      </w:pPr>
    </w:p>
    <w:p w14:paraId="2CF26E36" w14:textId="77777777" w:rsidR="00E0698E" w:rsidRPr="00D50E1A"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D50E1A">
        <w:rPr>
          <w:b/>
          <w:i/>
        </w:rPr>
        <w:t>Escherichia coli:</w:t>
      </w:r>
      <w:r w:rsidRPr="00D50E1A">
        <w:t xml:space="preserve"> The study results showed that </w:t>
      </w:r>
      <w:r w:rsidRPr="00D50E1A">
        <w:rPr>
          <w:i/>
        </w:rPr>
        <w:t>Escherichia coli</w:t>
      </w:r>
      <w:r w:rsidRPr="00D50E1A">
        <w:t xml:space="preserve"> serotypes E4 (O84), E8 (O153), E14 (O170), E27 (O106), E30 (O143), E9, E18, E13, E1, and E33 were isolated from the liver and heart of the birds (Fig. 1).</w:t>
      </w:r>
    </w:p>
    <w:p w14:paraId="6B7AE761" w14:textId="77777777" w:rsidR="00E0698E" w:rsidRPr="00D50E1A"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D50E1A">
        <w:rPr>
          <w:b/>
          <w:i/>
        </w:rPr>
        <w:t>Staphylococcus aureus:</w:t>
      </w:r>
      <w:r w:rsidRPr="00D50E1A">
        <w:t xml:space="preserve"> The study results showed that </w:t>
      </w:r>
      <w:r w:rsidRPr="00D50E1A">
        <w:rPr>
          <w:i/>
        </w:rPr>
        <w:t>Staphylococcus aureus</w:t>
      </w:r>
      <w:r w:rsidRPr="00D50E1A">
        <w:t xml:space="preserve"> was isolated from blood samples of infected birds and from a case of gangrenous dermatitis.</w:t>
      </w:r>
    </w:p>
    <w:p w14:paraId="650B654E" w14:textId="77777777" w:rsidR="00E0698E" w:rsidRPr="00D50E1A"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D50E1A">
        <w:rPr>
          <w:b/>
          <w:i/>
        </w:rPr>
        <w:lastRenderedPageBreak/>
        <w:t>Staphylococcus carnosus:</w:t>
      </w:r>
      <w:r w:rsidRPr="00D50E1A">
        <w:t xml:space="preserve"> The study results showed that </w:t>
      </w:r>
      <w:r w:rsidRPr="00D50E1A">
        <w:rPr>
          <w:i/>
        </w:rPr>
        <w:t>Staphylococcus carnosus</w:t>
      </w:r>
      <w:r w:rsidRPr="00D50E1A">
        <w:t xml:space="preserve"> was isolated from the blood of broiler chickens.</w:t>
      </w:r>
    </w:p>
    <w:p w14:paraId="013A3EED" w14:textId="77777777" w:rsidR="00E0698E" w:rsidRPr="00D50E1A"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D50E1A">
        <w:rPr>
          <w:b/>
          <w:i/>
        </w:rPr>
        <w:t xml:space="preserve">Salmonella </w:t>
      </w:r>
      <w:proofErr w:type="spellStart"/>
      <w:r w:rsidRPr="00D50E1A">
        <w:rPr>
          <w:b/>
          <w:i/>
        </w:rPr>
        <w:t>gallinarum</w:t>
      </w:r>
      <w:proofErr w:type="spellEnd"/>
      <w:r w:rsidRPr="00D50E1A">
        <w:rPr>
          <w:b/>
          <w:i/>
        </w:rPr>
        <w:t>:</w:t>
      </w:r>
      <w:r w:rsidRPr="00D50E1A">
        <w:t xml:space="preserve"> The study results showed that </w:t>
      </w:r>
      <w:r w:rsidRPr="00D50E1A">
        <w:rPr>
          <w:i/>
        </w:rPr>
        <w:t xml:space="preserve">Salmonella </w:t>
      </w:r>
      <w:proofErr w:type="spellStart"/>
      <w:r w:rsidRPr="00D50E1A">
        <w:rPr>
          <w:i/>
        </w:rPr>
        <w:t>gallinarum</w:t>
      </w:r>
      <w:proofErr w:type="spellEnd"/>
      <w:r w:rsidRPr="00D50E1A">
        <w:t xml:space="preserve"> was isolated from the livers of the birds.</w:t>
      </w:r>
    </w:p>
    <w:p w14:paraId="328CB88E" w14:textId="31B4EF91" w:rsidR="00DE41C5" w:rsidRPr="00D50E1A" w:rsidRDefault="00000000">
      <w:pPr>
        <w:rPr>
          <w:rFonts w:ascii="Times New Roman" w:hAnsi="Times New Roman" w:cs="Times New Roman"/>
        </w:rPr>
      </w:pPr>
      <w:r w:rsidRPr="00D50E1A">
        <w:rPr>
          <w:rFonts w:ascii="Times New Roman" w:hAnsi="Times New Roman" w:cs="Times New Roman"/>
          <w:sz w:val="24"/>
        </w:rPr>
        <w:t>The isolation of Escherichia coli from liver and heart lesions is consistent with reports of avian colibacillosis, where avian pathogenic E. coli is commonly associated with pericarditis, perihepatitis, and systemic lesions in chickens (</w:t>
      </w:r>
      <w:proofErr w:type="spellStart"/>
      <w:r w:rsidRPr="00D50E1A">
        <w:rPr>
          <w:rFonts w:ascii="Times New Roman" w:hAnsi="Times New Roman" w:cs="Times New Roman"/>
          <w:sz w:val="24"/>
        </w:rPr>
        <w:t>Mohsenifard</w:t>
      </w:r>
      <w:proofErr w:type="spellEnd"/>
      <w:r w:rsidRPr="00D50E1A">
        <w:rPr>
          <w:rFonts w:ascii="Times New Roman" w:hAnsi="Times New Roman" w:cs="Times New Roman"/>
          <w:sz w:val="24"/>
        </w:rPr>
        <w:t xml:space="preserve"> et al., 2019; </w:t>
      </w:r>
      <w:r w:rsidR="0042463F" w:rsidRPr="0042463F">
        <w:rPr>
          <w:rFonts w:ascii="Times New Roman" w:hAnsi="Times New Roman" w:cs="Times New Roman"/>
          <w:sz w:val="24"/>
        </w:rPr>
        <w:t>Dziva</w:t>
      </w:r>
      <w:r w:rsidRPr="00D50E1A">
        <w:rPr>
          <w:rFonts w:ascii="Times New Roman" w:hAnsi="Times New Roman" w:cs="Times New Roman"/>
          <w:sz w:val="24"/>
        </w:rPr>
        <w:t xml:space="preserve"> et al., 20</w:t>
      </w:r>
      <w:r w:rsidR="0042463F">
        <w:rPr>
          <w:rFonts w:ascii="Times New Roman" w:hAnsi="Times New Roman" w:cs="Times New Roman"/>
          <w:sz w:val="24"/>
        </w:rPr>
        <w:t>08</w:t>
      </w:r>
      <w:r w:rsidRPr="00D50E1A">
        <w:rPr>
          <w:rFonts w:ascii="Times New Roman" w:hAnsi="Times New Roman" w:cs="Times New Roman"/>
          <w:sz w:val="24"/>
        </w:rPr>
        <w:t>).</w:t>
      </w:r>
    </w:p>
    <w:p w14:paraId="5B90EABD" w14:textId="77777777" w:rsidR="00DE41C5" w:rsidRPr="00D50E1A" w:rsidRDefault="00000000">
      <w:pPr>
        <w:rPr>
          <w:rFonts w:ascii="Times New Roman" w:hAnsi="Times New Roman" w:cs="Times New Roman"/>
        </w:rPr>
      </w:pPr>
      <w:r w:rsidRPr="00D50E1A">
        <w:rPr>
          <w:rFonts w:ascii="Times New Roman" w:hAnsi="Times New Roman" w:cs="Times New Roman"/>
          <w:sz w:val="24"/>
        </w:rPr>
        <w:t xml:space="preserve">The recovery of Salmonella </w:t>
      </w:r>
      <w:proofErr w:type="spellStart"/>
      <w:r w:rsidRPr="00D50E1A">
        <w:rPr>
          <w:rFonts w:ascii="Times New Roman" w:hAnsi="Times New Roman" w:cs="Times New Roman"/>
          <w:sz w:val="24"/>
        </w:rPr>
        <w:t>gallinarum</w:t>
      </w:r>
      <w:proofErr w:type="spellEnd"/>
      <w:r w:rsidRPr="00D50E1A">
        <w:rPr>
          <w:rFonts w:ascii="Times New Roman" w:hAnsi="Times New Roman" w:cs="Times New Roman"/>
          <w:sz w:val="24"/>
        </w:rPr>
        <w:t xml:space="preserve"> from liver samples is also biologically plausible, because host-adapted Salmonella enterica serovar </w:t>
      </w:r>
      <w:proofErr w:type="spellStart"/>
      <w:r w:rsidRPr="00D50E1A">
        <w:rPr>
          <w:rFonts w:ascii="Times New Roman" w:hAnsi="Times New Roman" w:cs="Times New Roman"/>
          <w:sz w:val="24"/>
        </w:rPr>
        <w:t>Gallinarum</w:t>
      </w:r>
      <w:proofErr w:type="spellEnd"/>
      <w:r w:rsidRPr="00D50E1A">
        <w:rPr>
          <w:rFonts w:ascii="Times New Roman" w:hAnsi="Times New Roman" w:cs="Times New Roman"/>
          <w:sz w:val="24"/>
        </w:rPr>
        <w:t xml:space="preserve"> is associated with fowl typhoid and systemic involvement in poultry. This interpretation should remain limited to the isolates and diagnostic procedures used in the present study (Azzahra et al., 2025; Farhat et al., 2024).</w:t>
      </w:r>
    </w:p>
    <w:p w14:paraId="618A411E" w14:textId="77777777" w:rsidR="00DE41C5" w:rsidRPr="00D50E1A" w:rsidRDefault="00000000">
      <w:pPr>
        <w:rPr>
          <w:rFonts w:ascii="Times New Roman" w:hAnsi="Times New Roman" w:cs="Times New Roman"/>
        </w:rPr>
      </w:pPr>
      <w:r w:rsidRPr="00D50E1A">
        <w:rPr>
          <w:rFonts w:ascii="Times New Roman" w:hAnsi="Times New Roman" w:cs="Times New Roman"/>
          <w:sz w:val="24"/>
        </w:rPr>
        <w:t xml:space="preserve">The detection of Staphylococcus aureus in blood and gangrenous dermatitis cases is relevant to broiler health, as gangrenous dermatitis outbreaks may involve staphylococcal agents either alone or with other bacteria. Confirmation of this finding would be strengthened by complete phenotypic identification and, where feasible, molecular confirmation of the isolates (Li et al., 2010; </w:t>
      </w:r>
      <w:proofErr w:type="spellStart"/>
      <w:r w:rsidRPr="00D50E1A">
        <w:rPr>
          <w:rFonts w:ascii="Times New Roman" w:hAnsi="Times New Roman" w:cs="Times New Roman"/>
          <w:sz w:val="24"/>
        </w:rPr>
        <w:t>Mudumbai</w:t>
      </w:r>
      <w:proofErr w:type="spellEnd"/>
      <w:r w:rsidRPr="00D50E1A">
        <w:rPr>
          <w:rFonts w:ascii="Times New Roman" w:hAnsi="Times New Roman" w:cs="Times New Roman"/>
          <w:sz w:val="24"/>
        </w:rPr>
        <w:t xml:space="preserve"> &amp; Velaga, 2024).</w:t>
      </w:r>
    </w:p>
    <w:p w14:paraId="0FF10600" w14:textId="77777777" w:rsidR="00C40E55" w:rsidRPr="00D50E1A" w:rsidRDefault="00C40E55" w:rsidP="00C40E55">
      <w:pPr>
        <w:spacing w:after="0" w:line="360" w:lineRule="auto"/>
        <w:ind w:left="720"/>
        <w:jc w:val="both"/>
        <w:rPr>
          <w:rFonts w:ascii="Times New Roman" w:hAnsi="Times New Roman" w:cs="Times New Roman"/>
          <w:color w:val="000000"/>
          <w:sz w:val="24"/>
          <w:szCs w:val="24"/>
          <w:shd w:val="clear" w:color="auto" w:fill="FFFFFF"/>
        </w:rPr>
      </w:pPr>
      <w:r w:rsidRPr="00D50E1A">
        <w:rPr>
          <w:rFonts w:ascii="Times New Roman" w:hAnsi="Times New Roman" w:cs="Times New Roman"/>
          <w:noProof/>
          <w:color w:val="000000"/>
          <w:sz w:val="24"/>
          <w:szCs w:val="24"/>
          <w:shd w:val="clear" w:color="auto" w:fill="FFFFFF"/>
        </w:rPr>
        <w:drawing>
          <wp:inline distT="0" distB="0" distL="0" distR="0" wp14:anchorId="7F6BEF69" wp14:editId="1C39842C">
            <wp:extent cx="2476500" cy="1912620"/>
            <wp:effectExtent l="76200" t="76200" r="133350" b="125730"/>
            <wp:docPr id="3" name="Picture 2" descr="F:\P9120016.JPG"/>
            <wp:cNvGraphicFramePr/>
            <a:graphic xmlns:a="http://schemas.openxmlformats.org/drawingml/2006/main">
              <a:graphicData uri="http://schemas.openxmlformats.org/drawingml/2006/picture">
                <pic:pic xmlns:pic="http://schemas.openxmlformats.org/drawingml/2006/picture">
                  <pic:nvPicPr>
                    <pic:cNvPr id="3" name="Picture 2" descr="F:\P9120016.JPG"/>
                    <pic:cNvPicPr/>
                  </pic:nvPicPr>
                  <pic:blipFill>
                    <a:blip r:embed="rId7" cstate="print">
                      <a:lum bright="-10000" contrast="40000"/>
                    </a:blip>
                    <a:srcRect l="7980" t="-770" r="15762" b="42216"/>
                    <a:stretch>
                      <a:fillRect/>
                    </a:stretch>
                  </pic:blipFill>
                  <pic:spPr bwMode="auto">
                    <a:xfrm>
                      <a:off x="0" y="0"/>
                      <a:ext cx="2476627" cy="19127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D50E1A">
        <w:rPr>
          <w:rFonts w:ascii="Times New Roman" w:hAnsi="Times New Roman" w:cs="Times New Roman"/>
          <w:noProof/>
          <w:color w:val="000000"/>
          <w:sz w:val="24"/>
          <w:szCs w:val="24"/>
          <w:shd w:val="clear" w:color="auto" w:fill="FFFFFF"/>
        </w:rPr>
        <w:drawing>
          <wp:inline distT="0" distB="0" distL="0" distR="0" wp14:anchorId="0BEA6B72" wp14:editId="2CD3AC4C">
            <wp:extent cx="2331720" cy="1996440"/>
            <wp:effectExtent l="76200" t="76200" r="125730" b="137160"/>
            <wp:docPr id="2" name="Content Placeholder 3" descr="F:\P912002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Content Placeholder 3" descr="F:\P9120021.JPG"/>
                    <pic:cNvPicPr>
                      <a:picLocks/>
                    </pic:cNvPicPr>
                  </pic:nvPicPr>
                  <pic:blipFill>
                    <a:blip r:embed="rId8" cstate="print">
                      <a:lum bright="-20000" contrast="40000"/>
                    </a:blip>
                    <a:srcRect l="11051" t="28451"/>
                    <a:stretch>
                      <a:fillRect/>
                    </a:stretch>
                  </pic:blipFill>
                  <pic:spPr bwMode="auto">
                    <a:xfrm>
                      <a:off x="0" y="0"/>
                      <a:ext cx="2331720" cy="19964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C7FE945" w14:textId="77777777" w:rsidR="00C40E55" w:rsidRPr="00D50E1A" w:rsidRDefault="00C40E55" w:rsidP="003B43B1">
      <w:pPr>
        <w:spacing w:after="0" w:line="360" w:lineRule="auto"/>
        <w:ind w:left="720"/>
        <w:jc w:val="center"/>
        <w:rPr>
          <w:rFonts w:ascii="Times New Roman" w:hAnsi="Times New Roman" w:cs="Times New Roman"/>
          <w:b/>
          <w:bCs/>
          <w:color w:val="000000"/>
          <w:sz w:val="20"/>
          <w:szCs w:val="20"/>
          <w:shd w:val="clear" w:color="auto" w:fill="FFFFFF"/>
        </w:rPr>
      </w:pPr>
      <w:r w:rsidRPr="00D50E1A">
        <w:rPr>
          <w:rFonts w:ascii="Times New Roman" w:hAnsi="Times New Roman" w:cs="Times New Roman"/>
          <w:sz w:val="24"/>
        </w:rPr>
        <w:t>Figure 1. Postmortem images of broilers showing pericarditis and perihepatitis (infected heart and infected liver, respectively).</w:t>
      </w:r>
    </w:p>
    <w:p w14:paraId="4224C98B" w14:textId="77777777" w:rsidR="003B43B1" w:rsidRPr="00D50E1A" w:rsidRDefault="003B43B1" w:rsidP="003B43B1">
      <w:pPr>
        <w:spacing w:after="0" w:line="360" w:lineRule="auto"/>
        <w:ind w:left="720"/>
        <w:jc w:val="center"/>
        <w:rPr>
          <w:rFonts w:ascii="Times New Roman" w:hAnsi="Times New Roman" w:cs="Times New Roman"/>
          <w:b/>
          <w:bCs/>
          <w:color w:val="000000"/>
          <w:sz w:val="20"/>
          <w:szCs w:val="20"/>
          <w:shd w:val="clear" w:color="auto" w:fill="FFFFFF"/>
        </w:rPr>
      </w:pPr>
    </w:p>
    <w:p w14:paraId="1854AC4B" w14:textId="77777777" w:rsidR="003B43B1" w:rsidRPr="00D50E1A" w:rsidRDefault="003B43B1" w:rsidP="00E0698E">
      <w:pPr>
        <w:spacing w:after="0" w:line="360" w:lineRule="auto"/>
        <w:jc w:val="both"/>
        <w:rPr>
          <w:rFonts w:ascii="Times New Roman" w:hAnsi="Times New Roman" w:cs="Times New Roman"/>
          <w:b/>
          <w:color w:val="000000"/>
          <w:sz w:val="24"/>
          <w:szCs w:val="24"/>
          <w:shd w:val="clear" w:color="auto" w:fill="FFFFFF"/>
        </w:rPr>
      </w:pPr>
    </w:p>
    <w:p w14:paraId="03628813" w14:textId="77777777" w:rsidR="003B43B1" w:rsidRPr="00D50E1A" w:rsidRDefault="003B43B1" w:rsidP="00E0698E">
      <w:pPr>
        <w:spacing w:after="0" w:line="360" w:lineRule="auto"/>
        <w:jc w:val="both"/>
        <w:rPr>
          <w:rFonts w:ascii="Times New Roman" w:hAnsi="Times New Roman" w:cs="Times New Roman"/>
          <w:b/>
          <w:color w:val="000000"/>
          <w:sz w:val="24"/>
          <w:szCs w:val="24"/>
          <w:shd w:val="clear" w:color="auto" w:fill="FFFFFF"/>
        </w:rPr>
      </w:pPr>
    </w:p>
    <w:p w14:paraId="760AF7AC" w14:textId="77777777" w:rsidR="00E0698E" w:rsidRPr="00D50E1A" w:rsidRDefault="00E0698E" w:rsidP="00E0698E">
      <w:pPr>
        <w:spacing w:after="0" w:line="360" w:lineRule="auto"/>
        <w:jc w:val="both"/>
        <w:rPr>
          <w:rFonts w:ascii="Times New Roman" w:hAnsi="Times New Roman" w:cs="Times New Roman"/>
          <w:b/>
          <w:color w:val="000000"/>
          <w:sz w:val="24"/>
          <w:szCs w:val="24"/>
          <w:shd w:val="clear" w:color="auto" w:fill="FFFFFF"/>
        </w:rPr>
      </w:pPr>
      <w:r w:rsidRPr="00D50E1A">
        <w:rPr>
          <w:rFonts w:ascii="Times New Roman" w:hAnsi="Times New Roman" w:cs="Times New Roman"/>
          <w:b/>
          <w:color w:val="000000"/>
          <w:sz w:val="24"/>
          <w:szCs w:val="24"/>
          <w:shd w:val="clear" w:color="auto" w:fill="FFFFFF"/>
        </w:rPr>
        <w:t>3.2:</w:t>
      </w:r>
      <w:r w:rsidRPr="00D50E1A">
        <w:rPr>
          <w:rFonts w:ascii="Times New Roman" w:hAnsi="Times New Roman" w:cs="Times New Roman"/>
          <w:b/>
          <w:color w:val="000000"/>
          <w:sz w:val="24"/>
          <w:szCs w:val="24"/>
          <w:shd w:val="clear" w:color="auto" w:fill="FFFFFF"/>
        </w:rPr>
        <w:tab/>
        <w:t>Impact (inhibitory action) of essential oils on the pathogens isolated from the broilers</w:t>
      </w:r>
    </w:p>
    <w:p w14:paraId="1DCC7939" w14:textId="77777777" w:rsidR="00AB2D25" w:rsidRPr="00D50E1A" w:rsidRDefault="00AB2D25" w:rsidP="00E0698E">
      <w:pPr>
        <w:spacing w:after="0" w:line="360" w:lineRule="auto"/>
        <w:jc w:val="both"/>
        <w:rPr>
          <w:rFonts w:ascii="Times New Roman" w:hAnsi="Times New Roman" w:cs="Times New Roman"/>
          <w:bCs/>
          <w:color w:val="000000"/>
          <w:sz w:val="24"/>
          <w:szCs w:val="24"/>
          <w:shd w:val="clear" w:color="auto" w:fill="FFFFFF"/>
        </w:rPr>
      </w:pPr>
      <w:r w:rsidRPr="00D50E1A">
        <w:t xml:space="preserve">The experimental results revealed that the essential oils of both thyme and tea tree possessed antibacterial activity of varying magnitude. Table 2 presents the antibacterial activity of the tested oils. A zone of inhibition (ZOI) greater than 11 mm in diameter was considered a positive result. Thyme oil showed the greatest activity against all tested bacterial species, followed by tea tree oil. </w:t>
      </w:r>
      <w:r w:rsidRPr="00D50E1A">
        <w:lastRenderedPageBreak/>
        <w:t>The essential oils showed activity against both Gram-positive and Gram-negative organisms, with inhibition-zone diameters ranging from 19 to 34 mm.</w:t>
      </w:r>
    </w:p>
    <w:p w14:paraId="48533D5F" w14:textId="77777777" w:rsidR="00E0698E" w:rsidRPr="00D50E1A" w:rsidRDefault="00E0698E" w:rsidP="00E0698E">
      <w:pPr>
        <w:spacing w:after="0" w:line="360" w:lineRule="auto"/>
        <w:jc w:val="both"/>
        <w:rPr>
          <w:rFonts w:ascii="Times New Roman" w:hAnsi="Times New Roman" w:cs="Times New Roman"/>
          <w:color w:val="000000"/>
          <w:sz w:val="24"/>
          <w:szCs w:val="24"/>
          <w:shd w:val="clear" w:color="auto" w:fill="FFFFFF"/>
        </w:rPr>
      </w:pPr>
      <w:r w:rsidRPr="00D50E1A">
        <w:rPr>
          <w:rFonts w:ascii="Times New Roman" w:hAnsi="Times New Roman" w:cs="Times New Roman"/>
          <w:sz w:val="24"/>
        </w:rPr>
        <w:t>Table 2. Inhibitory action of essential oils of Thymus vulgaris (thyme oil) and Melaleuca alternifolia (tea tree oil) against pathogens isolated from broiler chickens.</w:t>
      </w:r>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2641"/>
        <w:gridCol w:w="1417"/>
        <w:gridCol w:w="1418"/>
        <w:gridCol w:w="1418"/>
        <w:gridCol w:w="1418"/>
      </w:tblGrid>
      <w:tr w:rsidR="00AB2D25" w:rsidRPr="00D50E1A" w14:paraId="7462BECD" w14:textId="77777777" w:rsidTr="00AB2D25">
        <w:trPr>
          <w:trHeight w:val="375"/>
          <w:jc w:val="center"/>
        </w:trPr>
        <w:tc>
          <w:tcPr>
            <w:tcW w:w="586" w:type="dxa"/>
          </w:tcPr>
          <w:p w14:paraId="3C665229" w14:textId="77777777" w:rsidR="00AB2D25" w:rsidRPr="00D50E1A" w:rsidRDefault="00AB2D25" w:rsidP="00AB2D25">
            <w:pPr>
              <w:spacing w:after="0" w:line="360" w:lineRule="auto"/>
              <w:jc w:val="center"/>
              <w:rPr>
                <w:rFonts w:ascii="Times New Roman" w:eastAsia="Times New Roman" w:hAnsi="Times New Roman" w:cs="Times New Roman"/>
                <w:b/>
                <w:iCs/>
                <w:color w:val="000000"/>
                <w:sz w:val="24"/>
                <w:szCs w:val="24"/>
                <w:lang w:eastAsia="en-IN"/>
              </w:rPr>
            </w:pPr>
            <w:r w:rsidRPr="00D50E1A">
              <w:rPr>
                <w:rFonts w:ascii="Times New Roman" w:eastAsia="Times New Roman" w:hAnsi="Times New Roman" w:cs="Times New Roman"/>
                <w:b/>
                <w:iCs/>
                <w:color w:val="000000"/>
                <w:sz w:val="24"/>
                <w:szCs w:val="24"/>
                <w:lang w:eastAsia="en-IN"/>
              </w:rPr>
              <w:t>SN</w:t>
            </w:r>
          </w:p>
        </w:tc>
        <w:tc>
          <w:tcPr>
            <w:tcW w:w="2641" w:type="dxa"/>
            <w:noWrap/>
            <w:hideMark/>
          </w:tcPr>
          <w:p w14:paraId="3C6AB0E8" w14:textId="77777777" w:rsidR="00AB2D25" w:rsidRPr="00D50E1A" w:rsidRDefault="00AB2D25" w:rsidP="00AB2D25">
            <w:pPr>
              <w:spacing w:after="0" w:line="360" w:lineRule="auto"/>
              <w:rPr>
                <w:rFonts w:ascii="Times New Roman" w:eastAsia="Times New Roman" w:hAnsi="Times New Roman" w:cs="Times New Roman"/>
                <w:b/>
                <w:iCs/>
                <w:color w:val="000000"/>
                <w:sz w:val="24"/>
                <w:szCs w:val="24"/>
                <w:lang w:eastAsia="en-IN"/>
              </w:rPr>
            </w:pPr>
            <w:r w:rsidRPr="00D50E1A">
              <w:rPr>
                <w:rFonts w:ascii="Times New Roman" w:eastAsia="Times New Roman" w:hAnsi="Times New Roman" w:cs="Times New Roman"/>
                <w:b/>
                <w:iCs/>
                <w:color w:val="000000"/>
                <w:sz w:val="24"/>
                <w:szCs w:val="24"/>
                <w:lang w:eastAsia="en-IN"/>
              </w:rPr>
              <w:t>Pathogen</w:t>
            </w:r>
          </w:p>
        </w:tc>
        <w:tc>
          <w:tcPr>
            <w:tcW w:w="1417" w:type="dxa"/>
          </w:tcPr>
          <w:p w14:paraId="64118F18" w14:textId="77777777" w:rsidR="00AB2D25" w:rsidRPr="00D50E1A" w:rsidRDefault="00AB2D25" w:rsidP="00AB2D25">
            <w:pPr>
              <w:spacing w:after="0" w:line="360" w:lineRule="auto"/>
              <w:rPr>
                <w:rFonts w:ascii="Times New Roman" w:eastAsia="Times New Roman" w:hAnsi="Times New Roman" w:cs="Times New Roman"/>
                <w:b/>
                <w:iCs/>
                <w:color w:val="000000"/>
                <w:sz w:val="24"/>
                <w:szCs w:val="24"/>
                <w:lang w:eastAsia="en-IN"/>
              </w:rPr>
            </w:pPr>
            <w:r w:rsidRPr="00D50E1A">
              <w:rPr>
                <w:rFonts w:ascii="Times New Roman" w:eastAsia="Times New Roman" w:hAnsi="Times New Roman" w:cs="Times New Roman"/>
                <w:b/>
                <w:iCs/>
                <w:color w:val="000000"/>
                <w:sz w:val="24"/>
                <w:szCs w:val="24"/>
                <w:lang w:eastAsia="en-IN"/>
              </w:rPr>
              <w:t>ZOI of Thyme oil (mm)</w:t>
            </w:r>
          </w:p>
        </w:tc>
        <w:tc>
          <w:tcPr>
            <w:tcW w:w="1418" w:type="dxa"/>
          </w:tcPr>
          <w:p w14:paraId="10AB6B41" w14:textId="77777777" w:rsidR="00AB2D25" w:rsidRPr="00D50E1A" w:rsidRDefault="00AB2D25" w:rsidP="00AB2D25">
            <w:pPr>
              <w:spacing w:after="0" w:line="360" w:lineRule="auto"/>
              <w:rPr>
                <w:rFonts w:ascii="Times New Roman" w:eastAsia="Times New Roman" w:hAnsi="Times New Roman" w:cs="Times New Roman"/>
                <w:b/>
                <w:iCs/>
                <w:color w:val="000000"/>
                <w:sz w:val="24"/>
                <w:szCs w:val="24"/>
                <w:lang w:eastAsia="en-IN"/>
              </w:rPr>
            </w:pPr>
            <w:r w:rsidRPr="00D50E1A">
              <w:rPr>
                <w:rFonts w:ascii="Times New Roman" w:eastAsia="Times New Roman" w:hAnsi="Times New Roman" w:cs="Times New Roman"/>
                <w:b/>
                <w:iCs/>
                <w:color w:val="000000"/>
                <w:sz w:val="24"/>
                <w:szCs w:val="24"/>
                <w:lang w:eastAsia="en-IN"/>
              </w:rPr>
              <w:t>Inhibitory action of Thyme oil</w:t>
            </w:r>
          </w:p>
        </w:tc>
        <w:tc>
          <w:tcPr>
            <w:tcW w:w="1418" w:type="dxa"/>
          </w:tcPr>
          <w:p w14:paraId="1B3E66CB" w14:textId="77777777" w:rsidR="00AB2D25" w:rsidRPr="00D50E1A" w:rsidRDefault="00AB2D25" w:rsidP="00AB2D25">
            <w:pPr>
              <w:spacing w:after="0" w:line="360" w:lineRule="auto"/>
              <w:rPr>
                <w:rFonts w:ascii="Times New Roman" w:eastAsia="Times New Roman" w:hAnsi="Times New Roman" w:cs="Times New Roman"/>
                <w:b/>
                <w:iCs/>
                <w:color w:val="000000"/>
                <w:sz w:val="24"/>
                <w:szCs w:val="24"/>
                <w:lang w:eastAsia="en-IN"/>
              </w:rPr>
            </w:pPr>
            <w:r w:rsidRPr="00D50E1A">
              <w:rPr>
                <w:rFonts w:ascii="Times New Roman" w:eastAsia="Times New Roman" w:hAnsi="Times New Roman" w:cs="Times New Roman"/>
                <w:b/>
                <w:iCs/>
                <w:color w:val="000000"/>
                <w:sz w:val="24"/>
                <w:szCs w:val="24"/>
                <w:lang w:eastAsia="en-IN"/>
              </w:rPr>
              <w:t>ZOI of Tea tree oil (mm)</w:t>
            </w:r>
          </w:p>
        </w:tc>
        <w:tc>
          <w:tcPr>
            <w:tcW w:w="1418" w:type="dxa"/>
          </w:tcPr>
          <w:p w14:paraId="43FA4CD7" w14:textId="77777777" w:rsidR="00AB2D25" w:rsidRPr="00D50E1A" w:rsidRDefault="00AB2D25" w:rsidP="00AB2D25">
            <w:pPr>
              <w:spacing w:after="0" w:line="360" w:lineRule="auto"/>
              <w:rPr>
                <w:rFonts w:ascii="Times New Roman" w:eastAsia="Times New Roman" w:hAnsi="Times New Roman" w:cs="Times New Roman"/>
                <w:b/>
                <w:iCs/>
                <w:color w:val="000000"/>
                <w:sz w:val="24"/>
                <w:szCs w:val="24"/>
                <w:lang w:eastAsia="en-IN"/>
              </w:rPr>
            </w:pPr>
            <w:r w:rsidRPr="00D50E1A">
              <w:rPr>
                <w:rFonts w:ascii="Times New Roman" w:eastAsia="Times New Roman" w:hAnsi="Times New Roman" w:cs="Times New Roman"/>
                <w:b/>
                <w:iCs/>
                <w:color w:val="000000"/>
                <w:sz w:val="24"/>
                <w:szCs w:val="24"/>
                <w:lang w:eastAsia="en-IN"/>
              </w:rPr>
              <w:t>Inhibitory action of Tea tree oil</w:t>
            </w:r>
          </w:p>
        </w:tc>
      </w:tr>
      <w:tr w:rsidR="00AB2D25" w:rsidRPr="00D50E1A" w14:paraId="5C7C1645" w14:textId="77777777" w:rsidTr="00AB2D25">
        <w:trPr>
          <w:trHeight w:val="375"/>
          <w:jc w:val="center"/>
        </w:trPr>
        <w:tc>
          <w:tcPr>
            <w:tcW w:w="586" w:type="dxa"/>
          </w:tcPr>
          <w:p w14:paraId="0B3EB17E" w14:textId="77777777" w:rsidR="00AB2D25" w:rsidRPr="00D50E1A" w:rsidRDefault="00AB2D25"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1</w:t>
            </w:r>
          </w:p>
        </w:tc>
        <w:tc>
          <w:tcPr>
            <w:tcW w:w="2641" w:type="dxa"/>
            <w:noWrap/>
            <w:hideMark/>
          </w:tcPr>
          <w:p w14:paraId="7F2BDB5A" w14:textId="77777777" w:rsidR="00AB2D25" w:rsidRPr="00D50E1A" w:rsidRDefault="00AB2D25" w:rsidP="00AB2D25">
            <w:pPr>
              <w:spacing w:after="0" w:line="360" w:lineRule="auto"/>
              <w:rPr>
                <w:rFonts w:ascii="Times New Roman" w:eastAsia="Times New Roman" w:hAnsi="Times New Roman" w:cs="Times New Roman"/>
                <w:i/>
                <w:iCs/>
                <w:color w:val="000000"/>
                <w:sz w:val="24"/>
                <w:szCs w:val="24"/>
                <w:lang w:eastAsia="en-IN"/>
              </w:rPr>
            </w:pPr>
            <w:r w:rsidRPr="00D50E1A">
              <w:rPr>
                <w:rFonts w:ascii="Times New Roman" w:eastAsia="Times New Roman" w:hAnsi="Times New Roman" w:cs="Times New Roman"/>
                <w:i/>
                <w:iCs/>
                <w:color w:val="000000"/>
                <w:sz w:val="24"/>
                <w:szCs w:val="24"/>
                <w:lang w:eastAsia="en-IN"/>
              </w:rPr>
              <w:t>Escherichia coli</w:t>
            </w:r>
          </w:p>
        </w:tc>
        <w:tc>
          <w:tcPr>
            <w:tcW w:w="1417" w:type="dxa"/>
          </w:tcPr>
          <w:p w14:paraId="508B0ED2" w14:textId="77777777" w:rsidR="00AB2D25" w:rsidRPr="00D50E1A" w:rsidRDefault="00AB2D25"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28±2</w:t>
            </w:r>
          </w:p>
        </w:tc>
        <w:tc>
          <w:tcPr>
            <w:tcW w:w="1418" w:type="dxa"/>
          </w:tcPr>
          <w:p w14:paraId="01C46356" w14:textId="77777777" w:rsidR="00AB2D25" w:rsidRPr="00D50E1A" w:rsidRDefault="00AB2D25"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w:t>
            </w:r>
          </w:p>
        </w:tc>
        <w:tc>
          <w:tcPr>
            <w:tcW w:w="1418" w:type="dxa"/>
          </w:tcPr>
          <w:p w14:paraId="662393EF" w14:textId="77777777" w:rsidR="00AB2D25" w:rsidRPr="00D50E1A" w:rsidRDefault="00AB2D25"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22±3</w:t>
            </w:r>
          </w:p>
        </w:tc>
        <w:tc>
          <w:tcPr>
            <w:tcW w:w="1418" w:type="dxa"/>
          </w:tcPr>
          <w:p w14:paraId="7DEF32C8" w14:textId="77777777" w:rsidR="00AB2D25" w:rsidRPr="00D50E1A" w:rsidRDefault="00AB2D25"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w:t>
            </w:r>
          </w:p>
        </w:tc>
      </w:tr>
      <w:tr w:rsidR="00AB2D25" w:rsidRPr="00D50E1A" w14:paraId="21AC3287" w14:textId="77777777" w:rsidTr="00AB2D25">
        <w:trPr>
          <w:trHeight w:val="375"/>
          <w:jc w:val="center"/>
        </w:trPr>
        <w:tc>
          <w:tcPr>
            <w:tcW w:w="586" w:type="dxa"/>
          </w:tcPr>
          <w:p w14:paraId="1F6F3966" w14:textId="77777777" w:rsidR="00AB2D25" w:rsidRPr="00D50E1A" w:rsidRDefault="00AB2D25"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2</w:t>
            </w:r>
          </w:p>
        </w:tc>
        <w:tc>
          <w:tcPr>
            <w:tcW w:w="2641" w:type="dxa"/>
            <w:noWrap/>
            <w:hideMark/>
          </w:tcPr>
          <w:p w14:paraId="08F9B9DA" w14:textId="77777777" w:rsidR="00AB2D25" w:rsidRPr="00D50E1A" w:rsidRDefault="00AB2D25" w:rsidP="00AB2D25">
            <w:pPr>
              <w:spacing w:after="0" w:line="360" w:lineRule="auto"/>
              <w:rPr>
                <w:rFonts w:ascii="Times New Roman" w:eastAsia="Times New Roman" w:hAnsi="Times New Roman" w:cs="Times New Roman"/>
                <w:i/>
                <w:iCs/>
                <w:color w:val="000000"/>
                <w:sz w:val="24"/>
                <w:szCs w:val="24"/>
                <w:lang w:eastAsia="en-IN"/>
              </w:rPr>
            </w:pPr>
            <w:r w:rsidRPr="00D50E1A">
              <w:rPr>
                <w:rFonts w:ascii="Times New Roman" w:eastAsia="Times New Roman" w:hAnsi="Times New Roman" w:cs="Times New Roman"/>
                <w:i/>
                <w:iCs/>
                <w:color w:val="000000"/>
                <w:sz w:val="24"/>
                <w:szCs w:val="24"/>
                <w:lang w:eastAsia="en-IN"/>
              </w:rPr>
              <w:t xml:space="preserve">Staphylococcus aureus </w:t>
            </w:r>
          </w:p>
        </w:tc>
        <w:tc>
          <w:tcPr>
            <w:tcW w:w="1417" w:type="dxa"/>
          </w:tcPr>
          <w:p w14:paraId="6F5B91B8" w14:textId="77777777" w:rsidR="00AB2D25" w:rsidRPr="00D50E1A" w:rsidRDefault="00AB2D25"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30±2</w:t>
            </w:r>
          </w:p>
        </w:tc>
        <w:tc>
          <w:tcPr>
            <w:tcW w:w="1418" w:type="dxa"/>
          </w:tcPr>
          <w:p w14:paraId="26F24285" w14:textId="77777777" w:rsidR="00AB2D25" w:rsidRPr="00D50E1A" w:rsidRDefault="00AB2D25"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w:t>
            </w:r>
            <w:r w:rsidR="00AE6F19" w:rsidRPr="00D50E1A">
              <w:rPr>
                <w:rFonts w:ascii="Times New Roman" w:eastAsia="Times New Roman" w:hAnsi="Times New Roman" w:cs="Times New Roman"/>
                <w:iCs/>
                <w:color w:val="000000"/>
                <w:sz w:val="24"/>
                <w:szCs w:val="24"/>
                <w:lang w:eastAsia="en-IN"/>
              </w:rPr>
              <w:t>+</w:t>
            </w:r>
          </w:p>
        </w:tc>
        <w:tc>
          <w:tcPr>
            <w:tcW w:w="1418" w:type="dxa"/>
          </w:tcPr>
          <w:p w14:paraId="36EEB9C4" w14:textId="77777777" w:rsidR="00AB2D25" w:rsidRPr="00D50E1A" w:rsidRDefault="00AB2D25"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23±2</w:t>
            </w:r>
          </w:p>
        </w:tc>
        <w:tc>
          <w:tcPr>
            <w:tcW w:w="1418" w:type="dxa"/>
          </w:tcPr>
          <w:p w14:paraId="7F5958AF" w14:textId="77777777" w:rsidR="00AB2D25" w:rsidRPr="00D50E1A" w:rsidRDefault="00AB2D25"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w:t>
            </w:r>
          </w:p>
        </w:tc>
      </w:tr>
      <w:tr w:rsidR="00AB2D25" w:rsidRPr="00D50E1A" w14:paraId="492DE0C4" w14:textId="77777777" w:rsidTr="00AB2D25">
        <w:trPr>
          <w:trHeight w:val="375"/>
          <w:jc w:val="center"/>
        </w:trPr>
        <w:tc>
          <w:tcPr>
            <w:tcW w:w="586" w:type="dxa"/>
          </w:tcPr>
          <w:p w14:paraId="661B2FBF" w14:textId="77777777" w:rsidR="00AB2D25" w:rsidRPr="00D50E1A" w:rsidRDefault="00AB2D25"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3</w:t>
            </w:r>
          </w:p>
        </w:tc>
        <w:tc>
          <w:tcPr>
            <w:tcW w:w="2641" w:type="dxa"/>
            <w:noWrap/>
            <w:hideMark/>
          </w:tcPr>
          <w:p w14:paraId="3C038FE6" w14:textId="77777777" w:rsidR="00AB2D25" w:rsidRPr="00D50E1A" w:rsidRDefault="00AB2D25" w:rsidP="00AB2D25">
            <w:pPr>
              <w:spacing w:after="0" w:line="360" w:lineRule="auto"/>
              <w:rPr>
                <w:rFonts w:ascii="Times New Roman" w:eastAsia="Times New Roman" w:hAnsi="Times New Roman" w:cs="Times New Roman"/>
                <w:i/>
                <w:iCs/>
                <w:color w:val="000000"/>
                <w:sz w:val="24"/>
                <w:szCs w:val="24"/>
                <w:lang w:eastAsia="en-IN"/>
              </w:rPr>
            </w:pPr>
            <w:r w:rsidRPr="00D50E1A">
              <w:rPr>
                <w:rFonts w:ascii="Times New Roman" w:eastAsia="Times New Roman" w:hAnsi="Times New Roman" w:cs="Times New Roman"/>
                <w:i/>
                <w:iCs/>
                <w:color w:val="000000"/>
                <w:sz w:val="24"/>
                <w:szCs w:val="24"/>
                <w:lang w:eastAsia="en-IN"/>
              </w:rPr>
              <w:t xml:space="preserve">Staphylococcus carnosus </w:t>
            </w:r>
          </w:p>
        </w:tc>
        <w:tc>
          <w:tcPr>
            <w:tcW w:w="1417" w:type="dxa"/>
          </w:tcPr>
          <w:p w14:paraId="6FB43867" w14:textId="77777777" w:rsidR="00AB2D25" w:rsidRPr="00D50E1A" w:rsidRDefault="00AE6F19"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31±2</w:t>
            </w:r>
          </w:p>
        </w:tc>
        <w:tc>
          <w:tcPr>
            <w:tcW w:w="1418" w:type="dxa"/>
          </w:tcPr>
          <w:p w14:paraId="6FE4BD0E" w14:textId="77777777" w:rsidR="00AB2D25" w:rsidRPr="00D50E1A" w:rsidRDefault="00AB2D25" w:rsidP="00AB2D25">
            <w:pPr>
              <w:spacing w:after="0" w:line="360" w:lineRule="auto"/>
              <w:jc w:val="center"/>
              <w:rPr>
                <w:rFonts w:ascii="Times New Roman" w:eastAsia="Times New Roman" w:hAnsi="Times New Roman" w:cs="Times New Roman"/>
                <w:i/>
                <w:iCs/>
                <w:color w:val="000000"/>
                <w:sz w:val="24"/>
                <w:szCs w:val="24"/>
                <w:lang w:eastAsia="en-IN"/>
              </w:rPr>
            </w:pPr>
            <w:r w:rsidRPr="00D50E1A">
              <w:rPr>
                <w:rFonts w:ascii="Times New Roman" w:eastAsia="Times New Roman" w:hAnsi="Times New Roman" w:cs="Times New Roman"/>
                <w:iCs/>
                <w:color w:val="000000"/>
                <w:sz w:val="24"/>
                <w:szCs w:val="24"/>
                <w:lang w:eastAsia="en-IN"/>
              </w:rPr>
              <w:t>+</w:t>
            </w:r>
            <w:r w:rsidR="00AE6F19" w:rsidRPr="00D50E1A">
              <w:rPr>
                <w:rFonts w:ascii="Times New Roman" w:eastAsia="Times New Roman" w:hAnsi="Times New Roman" w:cs="Times New Roman"/>
                <w:iCs/>
                <w:color w:val="000000"/>
                <w:sz w:val="24"/>
                <w:szCs w:val="24"/>
                <w:lang w:eastAsia="en-IN"/>
              </w:rPr>
              <w:t>++</w:t>
            </w:r>
          </w:p>
        </w:tc>
        <w:tc>
          <w:tcPr>
            <w:tcW w:w="1418" w:type="dxa"/>
          </w:tcPr>
          <w:p w14:paraId="3535A2D2" w14:textId="77777777" w:rsidR="00AB2D25" w:rsidRPr="00D50E1A" w:rsidRDefault="00AE6F19"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23±3</w:t>
            </w:r>
          </w:p>
        </w:tc>
        <w:tc>
          <w:tcPr>
            <w:tcW w:w="1418" w:type="dxa"/>
          </w:tcPr>
          <w:p w14:paraId="65B418F2" w14:textId="77777777" w:rsidR="00AB2D25" w:rsidRPr="00D50E1A" w:rsidRDefault="00AB2D25"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w:t>
            </w:r>
          </w:p>
        </w:tc>
      </w:tr>
      <w:tr w:rsidR="00AB2D25" w:rsidRPr="00D50E1A" w14:paraId="3B6A95D7" w14:textId="77777777" w:rsidTr="00AB2D25">
        <w:trPr>
          <w:trHeight w:val="375"/>
          <w:jc w:val="center"/>
        </w:trPr>
        <w:tc>
          <w:tcPr>
            <w:tcW w:w="586" w:type="dxa"/>
          </w:tcPr>
          <w:p w14:paraId="0014ABC7" w14:textId="77777777" w:rsidR="00AB2D25" w:rsidRPr="00D50E1A" w:rsidRDefault="00AB2D25" w:rsidP="00AB2D25">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4</w:t>
            </w:r>
          </w:p>
        </w:tc>
        <w:tc>
          <w:tcPr>
            <w:tcW w:w="2641" w:type="dxa"/>
            <w:noWrap/>
            <w:hideMark/>
          </w:tcPr>
          <w:p w14:paraId="340EAC56" w14:textId="77777777" w:rsidR="00AB2D25" w:rsidRPr="00D50E1A" w:rsidRDefault="00AB2D25" w:rsidP="00AB2D25">
            <w:pPr>
              <w:spacing w:after="0" w:line="360" w:lineRule="auto"/>
              <w:rPr>
                <w:rFonts w:ascii="Times New Roman" w:eastAsia="Times New Roman" w:hAnsi="Times New Roman" w:cs="Times New Roman"/>
                <w:i/>
                <w:color w:val="000000"/>
                <w:sz w:val="24"/>
                <w:szCs w:val="24"/>
                <w:lang w:eastAsia="en-IN"/>
              </w:rPr>
            </w:pPr>
            <w:r w:rsidRPr="00D50E1A">
              <w:rPr>
                <w:rFonts w:ascii="Times New Roman" w:eastAsia="Times New Roman" w:hAnsi="Times New Roman" w:cs="Times New Roman"/>
                <w:i/>
                <w:color w:val="000000"/>
                <w:sz w:val="24"/>
                <w:szCs w:val="24"/>
                <w:lang w:eastAsia="en-IN"/>
              </w:rPr>
              <w:t xml:space="preserve">Salmonella </w:t>
            </w:r>
            <w:proofErr w:type="spellStart"/>
            <w:r w:rsidRPr="00D50E1A">
              <w:rPr>
                <w:rFonts w:ascii="Times New Roman" w:eastAsia="Times New Roman" w:hAnsi="Times New Roman" w:cs="Times New Roman"/>
                <w:i/>
                <w:color w:val="000000"/>
                <w:sz w:val="24"/>
                <w:szCs w:val="24"/>
                <w:lang w:eastAsia="en-IN"/>
              </w:rPr>
              <w:t>gallinarum</w:t>
            </w:r>
            <w:proofErr w:type="spellEnd"/>
            <w:r w:rsidRPr="00D50E1A">
              <w:rPr>
                <w:rFonts w:ascii="Times New Roman" w:eastAsia="Times New Roman" w:hAnsi="Times New Roman" w:cs="Times New Roman"/>
                <w:i/>
                <w:color w:val="000000"/>
                <w:sz w:val="24"/>
                <w:szCs w:val="24"/>
                <w:lang w:eastAsia="en-IN"/>
              </w:rPr>
              <w:t xml:space="preserve"> </w:t>
            </w:r>
          </w:p>
        </w:tc>
        <w:tc>
          <w:tcPr>
            <w:tcW w:w="1417" w:type="dxa"/>
          </w:tcPr>
          <w:p w14:paraId="31F63E2E" w14:textId="77777777" w:rsidR="00AB2D25" w:rsidRPr="00D50E1A" w:rsidRDefault="00AE6F19"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33 ± 1</w:t>
            </w:r>
          </w:p>
        </w:tc>
        <w:tc>
          <w:tcPr>
            <w:tcW w:w="1418" w:type="dxa"/>
          </w:tcPr>
          <w:p w14:paraId="4EBC3125" w14:textId="77777777" w:rsidR="00AB2D25" w:rsidRPr="00D50E1A" w:rsidRDefault="00AB2D25" w:rsidP="00AB2D25">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iCs/>
                <w:color w:val="000000"/>
                <w:sz w:val="24"/>
                <w:szCs w:val="24"/>
                <w:lang w:eastAsia="en-IN"/>
              </w:rPr>
              <w:t>+++</w:t>
            </w:r>
          </w:p>
        </w:tc>
        <w:tc>
          <w:tcPr>
            <w:tcW w:w="1418" w:type="dxa"/>
          </w:tcPr>
          <w:p w14:paraId="24B62864" w14:textId="77777777" w:rsidR="00AB2D25" w:rsidRPr="00D50E1A" w:rsidRDefault="00AE6F19"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25 ± 1</w:t>
            </w:r>
          </w:p>
        </w:tc>
        <w:tc>
          <w:tcPr>
            <w:tcW w:w="1418" w:type="dxa"/>
          </w:tcPr>
          <w:p w14:paraId="7B3856E5" w14:textId="77777777" w:rsidR="00AB2D25" w:rsidRPr="00D50E1A" w:rsidRDefault="00AB2D25" w:rsidP="00AB2D25">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w:t>
            </w:r>
          </w:p>
        </w:tc>
      </w:tr>
    </w:tbl>
    <w:p w14:paraId="03031C52" w14:textId="77777777" w:rsidR="00E0698E" w:rsidRPr="00D50E1A" w:rsidRDefault="00E0698E" w:rsidP="00E0698E">
      <w:pPr>
        <w:spacing w:after="0" w:line="360" w:lineRule="auto"/>
        <w:jc w:val="center"/>
        <w:rPr>
          <w:rFonts w:ascii="Times New Roman" w:eastAsia="Times New Roman" w:hAnsi="Times New Roman" w:cs="Times New Roman"/>
          <w:iCs/>
          <w:color w:val="000000"/>
          <w:szCs w:val="24"/>
          <w:lang w:eastAsia="en-IN"/>
        </w:rPr>
      </w:pPr>
      <w:r w:rsidRPr="00D50E1A">
        <w:rPr>
          <w:rFonts w:ascii="Times New Roman" w:eastAsia="Times New Roman" w:hAnsi="Times New Roman" w:cs="Times New Roman"/>
          <w:b/>
          <w:iCs/>
          <w:color w:val="000000"/>
          <w:sz w:val="24"/>
          <w:szCs w:val="24"/>
          <w:lang w:eastAsia="en-IN"/>
        </w:rPr>
        <w:t>+</w:t>
      </w:r>
      <w:r w:rsidRPr="00D50E1A">
        <w:rPr>
          <w:rFonts w:ascii="Times New Roman" w:eastAsia="Times New Roman" w:hAnsi="Times New Roman" w:cs="Times New Roman"/>
          <w:iCs/>
          <w:color w:val="000000"/>
          <w:sz w:val="24"/>
          <w:szCs w:val="24"/>
          <w:lang w:eastAsia="en-IN"/>
        </w:rPr>
        <w:t xml:space="preserve">: Moderate inhibitory action; </w:t>
      </w:r>
      <w:r w:rsidRPr="00D50E1A">
        <w:rPr>
          <w:rFonts w:ascii="Times New Roman" w:eastAsia="Times New Roman" w:hAnsi="Times New Roman" w:cs="Times New Roman"/>
          <w:b/>
          <w:iCs/>
          <w:color w:val="000000"/>
          <w:sz w:val="24"/>
          <w:szCs w:val="24"/>
          <w:lang w:eastAsia="en-IN"/>
        </w:rPr>
        <w:t>++</w:t>
      </w:r>
      <w:r w:rsidRPr="00D50E1A">
        <w:rPr>
          <w:rFonts w:ascii="Times New Roman" w:eastAsia="Times New Roman" w:hAnsi="Times New Roman" w:cs="Times New Roman"/>
          <w:iCs/>
          <w:color w:val="000000"/>
          <w:sz w:val="24"/>
          <w:szCs w:val="24"/>
          <w:lang w:eastAsia="en-IN"/>
        </w:rPr>
        <w:t xml:space="preserve">: High inhibitory action; </w:t>
      </w:r>
      <w:r w:rsidRPr="00D50E1A">
        <w:rPr>
          <w:rFonts w:ascii="Times New Roman" w:eastAsia="Times New Roman" w:hAnsi="Times New Roman" w:cs="Times New Roman"/>
          <w:b/>
          <w:iCs/>
          <w:color w:val="000000"/>
          <w:sz w:val="24"/>
          <w:szCs w:val="24"/>
          <w:lang w:eastAsia="en-IN"/>
        </w:rPr>
        <w:t>+++</w:t>
      </w:r>
      <w:r w:rsidRPr="00D50E1A">
        <w:rPr>
          <w:rFonts w:ascii="Times New Roman" w:eastAsia="Times New Roman" w:hAnsi="Times New Roman" w:cs="Times New Roman"/>
          <w:iCs/>
          <w:color w:val="000000"/>
          <w:sz w:val="24"/>
          <w:szCs w:val="24"/>
          <w:lang w:eastAsia="en-IN"/>
        </w:rPr>
        <w:t>: Very high inhibitory action</w:t>
      </w:r>
    </w:p>
    <w:p w14:paraId="296226A5" w14:textId="77777777" w:rsidR="00E0698E" w:rsidRPr="00D50E1A"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p>
    <w:p w14:paraId="35714BE8" w14:textId="77777777" w:rsidR="009C4D53" w:rsidRPr="00D50E1A" w:rsidRDefault="009C4D53" w:rsidP="00E0698E">
      <w:pPr>
        <w:spacing w:after="0" w:line="360" w:lineRule="auto"/>
        <w:jc w:val="both"/>
        <w:rPr>
          <w:rFonts w:ascii="Times New Roman" w:hAnsi="Times New Roman" w:cs="Times New Roman"/>
          <w:sz w:val="24"/>
        </w:rPr>
      </w:pPr>
      <w:r w:rsidRPr="00D50E1A">
        <w:t>The minimum inhibitory concentrations (MICs) of the oils, as shown in Table 3, ranged from 0.019% to 0.15%. Thyme oil showed the greatest activity, with MIC values ranging from 0.019% to 0.039%, followed by tea tree oil, with MIC values ranging from 0.07% to 0.15% against the isolated pathogens.</w:t>
      </w:r>
    </w:p>
    <w:p w14:paraId="5679C418" w14:textId="77777777" w:rsidR="00BD7C77" w:rsidRPr="00D50E1A" w:rsidRDefault="00BD7C77" w:rsidP="00E0698E">
      <w:pPr>
        <w:spacing w:after="0" w:line="360" w:lineRule="auto"/>
        <w:jc w:val="both"/>
        <w:rPr>
          <w:rFonts w:ascii="Times New Roman" w:hAnsi="Times New Roman" w:cs="Times New Roman"/>
          <w:sz w:val="24"/>
        </w:rPr>
      </w:pPr>
    </w:p>
    <w:p w14:paraId="1864AB22" w14:textId="77777777" w:rsidR="00E0698E" w:rsidRPr="00D50E1A" w:rsidRDefault="00E0698E" w:rsidP="00E0698E">
      <w:pPr>
        <w:spacing w:after="0" w:line="360" w:lineRule="auto"/>
        <w:jc w:val="both"/>
        <w:rPr>
          <w:rFonts w:ascii="Times New Roman" w:hAnsi="Times New Roman" w:cs="Times New Roman"/>
          <w:color w:val="000000"/>
          <w:sz w:val="24"/>
          <w:szCs w:val="24"/>
          <w:shd w:val="clear" w:color="auto" w:fill="FFFFFF"/>
        </w:rPr>
      </w:pPr>
      <w:r w:rsidRPr="00D50E1A">
        <w:rPr>
          <w:rFonts w:ascii="Times New Roman" w:hAnsi="Times New Roman" w:cs="Times New Roman"/>
          <w:b/>
          <w:bCs/>
          <w:sz w:val="24"/>
        </w:rPr>
        <w:t>Table 3.</w:t>
      </w:r>
      <w:r w:rsidRPr="00D50E1A">
        <w:rPr>
          <w:rFonts w:ascii="Times New Roman" w:hAnsi="Times New Roman" w:cs="Times New Roman"/>
          <w:sz w:val="24"/>
        </w:rPr>
        <w:t xml:space="preserve"> Minimum inhibitory concentration (MIC) of essential oils of Thymus vulgaris (thyme oil) and Melaleuca alternifolia (tea tree oil) against pathogens isolated from broiler chickens.</w:t>
      </w:r>
    </w:p>
    <w:p w14:paraId="6905E5BB" w14:textId="77777777" w:rsidR="00E0698E" w:rsidRPr="00D50E1A"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p>
    <w:tbl>
      <w:tblPr>
        <w:tblW w:w="8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4344"/>
        <w:gridCol w:w="1688"/>
        <w:gridCol w:w="1763"/>
      </w:tblGrid>
      <w:tr w:rsidR="00E0698E" w:rsidRPr="00D50E1A" w14:paraId="253845A2" w14:textId="77777777" w:rsidTr="00CE0548">
        <w:trPr>
          <w:trHeight w:val="375"/>
          <w:jc w:val="center"/>
        </w:trPr>
        <w:tc>
          <w:tcPr>
            <w:tcW w:w="597" w:type="dxa"/>
          </w:tcPr>
          <w:p w14:paraId="224B217C" w14:textId="77777777" w:rsidR="00E0698E" w:rsidRPr="00D50E1A" w:rsidRDefault="00E0698E" w:rsidP="00E378D4">
            <w:pPr>
              <w:spacing w:after="0" w:line="360" w:lineRule="auto"/>
              <w:jc w:val="center"/>
              <w:rPr>
                <w:rFonts w:ascii="Times New Roman" w:eastAsia="Times New Roman" w:hAnsi="Times New Roman" w:cs="Times New Roman"/>
                <w:b/>
                <w:iCs/>
                <w:color w:val="000000"/>
                <w:sz w:val="24"/>
                <w:szCs w:val="24"/>
                <w:lang w:eastAsia="en-IN"/>
              </w:rPr>
            </w:pPr>
            <w:r w:rsidRPr="00D50E1A">
              <w:rPr>
                <w:rFonts w:ascii="Times New Roman" w:eastAsia="Times New Roman" w:hAnsi="Times New Roman" w:cs="Times New Roman"/>
                <w:b/>
                <w:iCs/>
                <w:color w:val="000000"/>
                <w:sz w:val="24"/>
                <w:szCs w:val="24"/>
                <w:lang w:eastAsia="en-IN"/>
              </w:rPr>
              <w:t>SN</w:t>
            </w:r>
          </w:p>
        </w:tc>
        <w:tc>
          <w:tcPr>
            <w:tcW w:w="4344" w:type="dxa"/>
            <w:noWrap/>
            <w:hideMark/>
          </w:tcPr>
          <w:p w14:paraId="375050C3" w14:textId="77777777" w:rsidR="00E0698E" w:rsidRPr="00D50E1A" w:rsidRDefault="00E0698E" w:rsidP="00E378D4">
            <w:pPr>
              <w:spacing w:after="0" w:line="360" w:lineRule="auto"/>
              <w:rPr>
                <w:rFonts w:ascii="Times New Roman" w:eastAsia="Times New Roman" w:hAnsi="Times New Roman" w:cs="Times New Roman"/>
                <w:b/>
                <w:iCs/>
                <w:color w:val="000000"/>
                <w:sz w:val="24"/>
                <w:szCs w:val="24"/>
                <w:lang w:eastAsia="en-IN"/>
              </w:rPr>
            </w:pPr>
            <w:r w:rsidRPr="00D50E1A">
              <w:rPr>
                <w:rFonts w:ascii="Times New Roman" w:eastAsia="Times New Roman" w:hAnsi="Times New Roman" w:cs="Times New Roman"/>
                <w:b/>
                <w:iCs/>
                <w:color w:val="000000"/>
                <w:sz w:val="24"/>
                <w:szCs w:val="24"/>
                <w:lang w:eastAsia="en-IN"/>
              </w:rPr>
              <w:t>Pathogen</w:t>
            </w:r>
          </w:p>
        </w:tc>
        <w:tc>
          <w:tcPr>
            <w:tcW w:w="1688" w:type="dxa"/>
          </w:tcPr>
          <w:p w14:paraId="1F3723F4" w14:textId="77777777" w:rsidR="00E0698E" w:rsidRPr="00D50E1A" w:rsidRDefault="008422F2" w:rsidP="00E378D4">
            <w:pPr>
              <w:spacing w:after="0" w:line="360" w:lineRule="auto"/>
              <w:rPr>
                <w:rFonts w:ascii="Times New Roman" w:eastAsia="Times New Roman" w:hAnsi="Times New Roman" w:cs="Times New Roman"/>
                <w:b/>
                <w:iCs/>
                <w:color w:val="000000"/>
                <w:sz w:val="24"/>
                <w:szCs w:val="24"/>
                <w:lang w:eastAsia="en-IN"/>
              </w:rPr>
            </w:pPr>
            <w:r w:rsidRPr="00D50E1A">
              <w:rPr>
                <w:rFonts w:ascii="Times New Roman" w:eastAsia="Times New Roman" w:hAnsi="Times New Roman" w:cs="Times New Roman"/>
                <w:b/>
                <w:iCs/>
                <w:color w:val="000000"/>
                <w:sz w:val="24"/>
                <w:szCs w:val="24"/>
                <w:lang w:eastAsia="en-IN"/>
              </w:rPr>
              <w:t xml:space="preserve">MIC of </w:t>
            </w:r>
            <w:r w:rsidR="00E0698E" w:rsidRPr="00D50E1A">
              <w:rPr>
                <w:rFonts w:ascii="Times New Roman" w:eastAsia="Times New Roman" w:hAnsi="Times New Roman" w:cs="Times New Roman"/>
                <w:b/>
                <w:iCs/>
                <w:color w:val="000000"/>
                <w:sz w:val="24"/>
                <w:szCs w:val="24"/>
                <w:lang w:eastAsia="en-IN"/>
              </w:rPr>
              <w:t>Tea tree oil</w:t>
            </w:r>
            <w:r w:rsidR="003B43B1" w:rsidRPr="00D50E1A">
              <w:rPr>
                <w:rFonts w:ascii="Times New Roman" w:eastAsia="Times New Roman" w:hAnsi="Times New Roman" w:cs="Times New Roman"/>
                <w:b/>
                <w:iCs/>
                <w:color w:val="000000"/>
                <w:sz w:val="24"/>
                <w:szCs w:val="24"/>
                <w:lang w:eastAsia="en-IN"/>
              </w:rPr>
              <w:t xml:space="preserve"> (%)</w:t>
            </w:r>
          </w:p>
        </w:tc>
        <w:tc>
          <w:tcPr>
            <w:tcW w:w="1763" w:type="dxa"/>
          </w:tcPr>
          <w:p w14:paraId="216B1CB0" w14:textId="77777777" w:rsidR="00E0698E" w:rsidRPr="00D50E1A" w:rsidRDefault="008422F2" w:rsidP="00E378D4">
            <w:pPr>
              <w:spacing w:after="0" w:line="360" w:lineRule="auto"/>
              <w:rPr>
                <w:rFonts w:ascii="Times New Roman" w:eastAsia="Times New Roman" w:hAnsi="Times New Roman" w:cs="Times New Roman"/>
                <w:b/>
                <w:iCs/>
                <w:color w:val="000000"/>
                <w:sz w:val="24"/>
                <w:szCs w:val="24"/>
                <w:lang w:eastAsia="en-IN"/>
              </w:rPr>
            </w:pPr>
            <w:r w:rsidRPr="00D50E1A">
              <w:rPr>
                <w:rFonts w:ascii="Times New Roman" w:eastAsia="Times New Roman" w:hAnsi="Times New Roman" w:cs="Times New Roman"/>
                <w:b/>
                <w:iCs/>
                <w:color w:val="000000"/>
                <w:sz w:val="24"/>
                <w:szCs w:val="24"/>
                <w:lang w:eastAsia="en-IN"/>
              </w:rPr>
              <w:t xml:space="preserve">MIC of </w:t>
            </w:r>
            <w:r w:rsidR="00E0698E" w:rsidRPr="00D50E1A">
              <w:rPr>
                <w:rFonts w:ascii="Times New Roman" w:eastAsia="Times New Roman" w:hAnsi="Times New Roman" w:cs="Times New Roman"/>
                <w:b/>
                <w:iCs/>
                <w:color w:val="000000"/>
                <w:sz w:val="24"/>
                <w:szCs w:val="24"/>
                <w:lang w:eastAsia="en-IN"/>
              </w:rPr>
              <w:t>Thyme oil</w:t>
            </w:r>
            <w:r w:rsidR="00CE0548" w:rsidRPr="00D50E1A">
              <w:rPr>
                <w:rFonts w:ascii="Times New Roman" w:eastAsia="Times New Roman" w:hAnsi="Times New Roman" w:cs="Times New Roman"/>
                <w:b/>
                <w:iCs/>
                <w:color w:val="000000"/>
                <w:sz w:val="24"/>
                <w:szCs w:val="24"/>
                <w:lang w:eastAsia="en-IN"/>
              </w:rPr>
              <w:t xml:space="preserve"> (%)</w:t>
            </w:r>
          </w:p>
        </w:tc>
      </w:tr>
      <w:tr w:rsidR="00E0698E" w:rsidRPr="00D50E1A" w14:paraId="1E343360" w14:textId="77777777" w:rsidTr="00CE0548">
        <w:trPr>
          <w:trHeight w:val="541"/>
          <w:jc w:val="center"/>
        </w:trPr>
        <w:tc>
          <w:tcPr>
            <w:tcW w:w="597" w:type="dxa"/>
          </w:tcPr>
          <w:p w14:paraId="7AD42C71" w14:textId="77777777" w:rsidR="00E0698E" w:rsidRPr="00D50E1A"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1</w:t>
            </w:r>
          </w:p>
        </w:tc>
        <w:tc>
          <w:tcPr>
            <w:tcW w:w="4344" w:type="dxa"/>
            <w:noWrap/>
            <w:hideMark/>
          </w:tcPr>
          <w:p w14:paraId="38B9EE07" w14:textId="77777777" w:rsidR="00E0698E" w:rsidRPr="00D50E1A" w:rsidRDefault="00E0698E" w:rsidP="00E378D4">
            <w:pPr>
              <w:spacing w:after="0" w:line="360" w:lineRule="auto"/>
              <w:rPr>
                <w:rFonts w:ascii="Times New Roman" w:eastAsia="Times New Roman" w:hAnsi="Times New Roman" w:cs="Times New Roman"/>
                <w:i/>
                <w:iCs/>
                <w:color w:val="000000"/>
                <w:sz w:val="24"/>
                <w:szCs w:val="24"/>
                <w:lang w:eastAsia="en-IN"/>
              </w:rPr>
            </w:pPr>
            <w:r w:rsidRPr="00D50E1A">
              <w:rPr>
                <w:rFonts w:ascii="Times New Roman" w:eastAsia="Times New Roman" w:hAnsi="Times New Roman" w:cs="Times New Roman"/>
                <w:i/>
                <w:iCs/>
                <w:color w:val="000000"/>
                <w:sz w:val="24"/>
                <w:szCs w:val="24"/>
                <w:lang w:eastAsia="en-IN"/>
              </w:rPr>
              <w:t>Escherichia coli</w:t>
            </w:r>
          </w:p>
        </w:tc>
        <w:tc>
          <w:tcPr>
            <w:tcW w:w="1688" w:type="dxa"/>
          </w:tcPr>
          <w:p w14:paraId="4FED4980" w14:textId="77777777" w:rsidR="00E0698E" w:rsidRPr="00D50E1A" w:rsidRDefault="003B43B1" w:rsidP="00E378D4">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0.15</w:t>
            </w:r>
          </w:p>
        </w:tc>
        <w:tc>
          <w:tcPr>
            <w:tcW w:w="1763" w:type="dxa"/>
          </w:tcPr>
          <w:p w14:paraId="5D298DDD" w14:textId="77777777" w:rsidR="00E0698E" w:rsidRPr="00D50E1A" w:rsidRDefault="00CE0548" w:rsidP="00E378D4">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0.03</w:t>
            </w:r>
          </w:p>
        </w:tc>
      </w:tr>
      <w:tr w:rsidR="00E0698E" w:rsidRPr="00D50E1A" w14:paraId="277CC6D3" w14:textId="77777777" w:rsidTr="00CE0548">
        <w:trPr>
          <w:trHeight w:val="375"/>
          <w:jc w:val="center"/>
        </w:trPr>
        <w:tc>
          <w:tcPr>
            <w:tcW w:w="597" w:type="dxa"/>
          </w:tcPr>
          <w:p w14:paraId="53A3A66B" w14:textId="77777777" w:rsidR="00E0698E" w:rsidRPr="00D50E1A"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2</w:t>
            </w:r>
          </w:p>
        </w:tc>
        <w:tc>
          <w:tcPr>
            <w:tcW w:w="4344" w:type="dxa"/>
            <w:noWrap/>
            <w:hideMark/>
          </w:tcPr>
          <w:p w14:paraId="483427B8" w14:textId="77777777" w:rsidR="00E0698E" w:rsidRPr="00D50E1A" w:rsidRDefault="00E0698E" w:rsidP="00E378D4">
            <w:pPr>
              <w:spacing w:after="0" w:line="360" w:lineRule="auto"/>
              <w:rPr>
                <w:rFonts w:ascii="Times New Roman" w:eastAsia="Times New Roman" w:hAnsi="Times New Roman" w:cs="Times New Roman"/>
                <w:i/>
                <w:iCs/>
                <w:color w:val="000000"/>
                <w:sz w:val="24"/>
                <w:szCs w:val="24"/>
                <w:lang w:eastAsia="en-IN"/>
              </w:rPr>
            </w:pPr>
            <w:r w:rsidRPr="00D50E1A">
              <w:rPr>
                <w:rFonts w:ascii="Times New Roman" w:eastAsia="Times New Roman" w:hAnsi="Times New Roman" w:cs="Times New Roman"/>
                <w:i/>
                <w:iCs/>
                <w:color w:val="000000"/>
                <w:sz w:val="24"/>
                <w:szCs w:val="24"/>
                <w:lang w:eastAsia="en-IN"/>
              </w:rPr>
              <w:t xml:space="preserve">Staphylococcus aureus </w:t>
            </w:r>
          </w:p>
        </w:tc>
        <w:tc>
          <w:tcPr>
            <w:tcW w:w="1688" w:type="dxa"/>
          </w:tcPr>
          <w:p w14:paraId="13E49750" w14:textId="77777777" w:rsidR="00E0698E" w:rsidRPr="00D50E1A" w:rsidRDefault="003B43B1" w:rsidP="00E378D4">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0.07</w:t>
            </w:r>
          </w:p>
        </w:tc>
        <w:tc>
          <w:tcPr>
            <w:tcW w:w="1763" w:type="dxa"/>
          </w:tcPr>
          <w:p w14:paraId="438D86E5" w14:textId="77777777" w:rsidR="00E0698E" w:rsidRPr="00D50E1A" w:rsidRDefault="00CE0548" w:rsidP="00E378D4">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0.019</w:t>
            </w:r>
          </w:p>
        </w:tc>
      </w:tr>
      <w:tr w:rsidR="00E0698E" w:rsidRPr="00D50E1A" w14:paraId="4A40F2CC" w14:textId="77777777" w:rsidTr="00CE0548">
        <w:trPr>
          <w:trHeight w:val="375"/>
          <w:jc w:val="center"/>
        </w:trPr>
        <w:tc>
          <w:tcPr>
            <w:tcW w:w="597" w:type="dxa"/>
          </w:tcPr>
          <w:p w14:paraId="78E45900" w14:textId="77777777" w:rsidR="00E0698E" w:rsidRPr="00D50E1A"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D50E1A">
              <w:rPr>
                <w:rFonts w:ascii="Times New Roman" w:eastAsia="Times New Roman" w:hAnsi="Times New Roman" w:cs="Times New Roman"/>
                <w:iCs/>
                <w:color w:val="000000"/>
                <w:sz w:val="24"/>
                <w:szCs w:val="24"/>
                <w:lang w:eastAsia="en-IN"/>
              </w:rPr>
              <w:t>3</w:t>
            </w:r>
          </w:p>
        </w:tc>
        <w:tc>
          <w:tcPr>
            <w:tcW w:w="4344" w:type="dxa"/>
            <w:noWrap/>
            <w:hideMark/>
          </w:tcPr>
          <w:p w14:paraId="6B3758B9" w14:textId="77777777" w:rsidR="00E0698E" w:rsidRPr="00D50E1A" w:rsidRDefault="00E0698E" w:rsidP="00E378D4">
            <w:pPr>
              <w:spacing w:after="0" w:line="360" w:lineRule="auto"/>
              <w:rPr>
                <w:rFonts w:ascii="Times New Roman" w:eastAsia="Times New Roman" w:hAnsi="Times New Roman" w:cs="Times New Roman"/>
                <w:i/>
                <w:iCs/>
                <w:color w:val="000000"/>
                <w:sz w:val="24"/>
                <w:szCs w:val="24"/>
                <w:lang w:eastAsia="en-IN"/>
              </w:rPr>
            </w:pPr>
            <w:r w:rsidRPr="00D50E1A">
              <w:rPr>
                <w:rFonts w:ascii="Times New Roman" w:eastAsia="Times New Roman" w:hAnsi="Times New Roman" w:cs="Times New Roman"/>
                <w:i/>
                <w:iCs/>
                <w:color w:val="000000"/>
                <w:sz w:val="24"/>
                <w:szCs w:val="24"/>
                <w:lang w:eastAsia="en-IN"/>
              </w:rPr>
              <w:t xml:space="preserve">Staphylococcus carnosus </w:t>
            </w:r>
          </w:p>
        </w:tc>
        <w:tc>
          <w:tcPr>
            <w:tcW w:w="1688" w:type="dxa"/>
          </w:tcPr>
          <w:p w14:paraId="455397A2" w14:textId="77777777" w:rsidR="00E0698E" w:rsidRPr="00D50E1A" w:rsidRDefault="003B43B1"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0.07</w:t>
            </w:r>
          </w:p>
        </w:tc>
        <w:tc>
          <w:tcPr>
            <w:tcW w:w="1763" w:type="dxa"/>
          </w:tcPr>
          <w:p w14:paraId="32ED0761" w14:textId="77777777" w:rsidR="00E0698E" w:rsidRPr="00D50E1A" w:rsidRDefault="00CE0548"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0.019</w:t>
            </w:r>
          </w:p>
        </w:tc>
      </w:tr>
      <w:tr w:rsidR="00E0698E" w:rsidRPr="00D50E1A" w14:paraId="011184C8" w14:textId="77777777" w:rsidTr="00CE0548">
        <w:trPr>
          <w:trHeight w:val="375"/>
          <w:jc w:val="center"/>
        </w:trPr>
        <w:tc>
          <w:tcPr>
            <w:tcW w:w="597" w:type="dxa"/>
          </w:tcPr>
          <w:p w14:paraId="38AF5ECA" w14:textId="77777777" w:rsidR="00E0698E" w:rsidRPr="00D50E1A" w:rsidRDefault="003B43B1"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4</w:t>
            </w:r>
          </w:p>
        </w:tc>
        <w:tc>
          <w:tcPr>
            <w:tcW w:w="4344" w:type="dxa"/>
            <w:noWrap/>
            <w:hideMark/>
          </w:tcPr>
          <w:p w14:paraId="3AD44DB0" w14:textId="77777777" w:rsidR="00E0698E" w:rsidRPr="00D50E1A" w:rsidRDefault="00E0698E" w:rsidP="00E378D4">
            <w:pPr>
              <w:spacing w:after="0" w:line="360" w:lineRule="auto"/>
              <w:rPr>
                <w:rFonts w:ascii="Times New Roman" w:eastAsia="Times New Roman" w:hAnsi="Times New Roman" w:cs="Times New Roman"/>
                <w:i/>
                <w:color w:val="000000"/>
                <w:sz w:val="24"/>
                <w:szCs w:val="24"/>
                <w:lang w:eastAsia="en-IN"/>
              </w:rPr>
            </w:pPr>
            <w:r w:rsidRPr="00D50E1A">
              <w:rPr>
                <w:rFonts w:ascii="Times New Roman" w:eastAsia="Times New Roman" w:hAnsi="Times New Roman" w:cs="Times New Roman"/>
                <w:i/>
                <w:color w:val="000000"/>
                <w:sz w:val="24"/>
                <w:szCs w:val="24"/>
                <w:lang w:eastAsia="en-IN"/>
              </w:rPr>
              <w:t xml:space="preserve">Salmonella </w:t>
            </w:r>
            <w:proofErr w:type="spellStart"/>
            <w:r w:rsidRPr="00D50E1A">
              <w:rPr>
                <w:rFonts w:ascii="Times New Roman" w:eastAsia="Times New Roman" w:hAnsi="Times New Roman" w:cs="Times New Roman"/>
                <w:i/>
                <w:color w:val="000000"/>
                <w:sz w:val="24"/>
                <w:szCs w:val="24"/>
                <w:lang w:eastAsia="en-IN"/>
              </w:rPr>
              <w:t>gallinarum</w:t>
            </w:r>
            <w:proofErr w:type="spellEnd"/>
            <w:r w:rsidRPr="00D50E1A">
              <w:rPr>
                <w:rFonts w:ascii="Times New Roman" w:eastAsia="Times New Roman" w:hAnsi="Times New Roman" w:cs="Times New Roman"/>
                <w:i/>
                <w:color w:val="000000"/>
                <w:sz w:val="24"/>
                <w:szCs w:val="24"/>
                <w:lang w:eastAsia="en-IN"/>
              </w:rPr>
              <w:t xml:space="preserve"> </w:t>
            </w:r>
          </w:p>
        </w:tc>
        <w:tc>
          <w:tcPr>
            <w:tcW w:w="1688" w:type="dxa"/>
          </w:tcPr>
          <w:p w14:paraId="7DB53EC3" w14:textId="77777777" w:rsidR="00E0698E" w:rsidRPr="00D50E1A" w:rsidRDefault="003B43B1"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iCs/>
                <w:color w:val="000000"/>
                <w:sz w:val="24"/>
                <w:szCs w:val="24"/>
                <w:lang w:eastAsia="en-IN"/>
              </w:rPr>
              <w:t>0.07</w:t>
            </w:r>
          </w:p>
        </w:tc>
        <w:tc>
          <w:tcPr>
            <w:tcW w:w="1763" w:type="dxa"/>
          </w:tcPr>
          <w:p w14:paraId="2D35B946" w14:textId="77777777" w:rsidR="00E0698E" w:rsidRPr="00D50E1A" w:rsidRDefault="00CE0548"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0.039</w:t>
            </w:r>
          </w:p>
        </w:tc>
      </w:tr>
    </w:tbl>
    <w:p w14:paraId="181F91AC" w14:textId="77777777" w:rsidR="00E0698E" w:rsidRPr="00D50E1A"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p>
    <w:p w14:paraId="0E2442FD" w14:textId="77777777" w:rsidR="00E0698E" w:rsidRPr="00D50E1A"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p>
    <w:p w14:paraId="202A982D" w14:textId="77777777" w:rsidR="00E0698E" w:rsidRPr="00D50E1A"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r w:rsidRPr="00D50E1A">
        <w:t>Tables 2 and 3 show the inhibitory effects of the essential oils on the pathogens isolated from broiler chickens.</w:t>
      </w:r>
    </w:p>
    <w:p w14:paraId="1D1CB148" w14:textId="77777777" w:rsidR="00DE41C5" w:rsidRPr="00D50E1A" w:rsidRDefault="00000000">
      <w:pPr>
        <w:rPr>
          <w:rFonts w:ascii="Times New Roman" w:hAnsi="Times New Roman" w:cs="Times New Roman"/>
        </w:rPr>
      </w:pPr>
      <w:r w:rsidRPr="00D50E1A">
        <w:rPr>
          <w:rFonts w:ascii="Times New Roman" w:hAnsi="Times New Roman" w:cs="Times New Roman"/>
          <w:sz w:val="24"/>
        </w:rPr>
        <w:lastRenderedPageBreak/>
        <w:t xml:space="preserve">The observed inhibitory pattern is broadly consistent with peer-reviewed studies reporting antibacterial activity of thyme and tea tree oil constituents against Gram-positive and Gram-negative bacteria; however, zone-of-inhibition and MIC outcomes can vary with oil chemistry, solvent system, inoculum density, and broth or agar methods (Carson &amp; Riley, 1995; Dorman &amp; Deans, 2000; </w:t>
      </w:r>
      <w:proofErr w:type="spellStart"/>
      <w:r w:rsidRPr="00D50E1A">
        <w:rPr>
          <w:rFonts w:ascii="Times New Roman" w:hAnsi="Times New Roman" w:cs="Times New Roman"/>
          <w:sz w:val="24"/>
        </w:rPr>
        <w:t>Hili</w:t>
      </w:r>
      <w:proofErr w:type="spellEnd"/>
      <w:r w:rsidRPr="00D50E1A">
        <w:rPr>
          <w:rFonts w:ascii="Times New Roman" w:hAnsi="Times New Roman" w:cs="Times New Roman"/>
          <w:sz w:val="24"/>
        </w:rPr>
        <w:t xml:space="preserve"> et al., 1997; </w:t>
      </w:r>
      <w:proofErr w:type="spellStart"/>
      <w:r w:rsidRPr="00D50E1A">
        <w:rPr>
          <w:rFonts w:ascii="Times New Roman" w:hAnsi="Times New Roman" w:cs="Times New Roman"/>
          <w:sz w:val="24"/>
        </w:rPr>
        <w:t>Prabuseenivasan</w:t>
      </w:r>
      <w:proofErr w:type="spellEnd"/>
      <w:r w:rsidRPr="00D50E1A">
        <w:rPr>
          <w:rFonts w:ascii="Times New Roman" w:hAnsi="Times New Roman" w:cs="Times New Roman"/>
          <w:sz w:val="24"/>
        </w:rPr>
        <w:t xml:space="preserve"> et al., 2006).</w:t>
      </w:r>
    </w:p>
    <w:p w14:paraId="70C9D874" w14:textId="77777777" w:rsidR="00DE41C5" w:rsidRPr="00D50E1A" w:rsidRDefault="00000000">
      <w:pPr>
        <w:rPr>
          <w:rFonts w:ascii="Times New Roman" w:hAnsi="Times New Roman" w:cs="Times New Roman"/>
        </w:rPr>
      </w:pPr>
      <w:r w:rsidRPr="00D50E1A">
        <w:rPr>
          <w:rFonts w:ascii="Times New Roman" w:hAnsi="Times New Roman" w:cs="Times New Roman"/>
          <w:sz w:val="24"/>
        </w:rPr>
        <w:t xml:space="preserve">The comparatively low MIC values reported for thyme oil against </w:t>
      </w:r>
      <w:r w:rsidRPr="00D50E1A">
        <w:rPr>
          <w:rFonts w:ascii="Times New Roman" w:hAnsi="Times New Roman" w:cs="Times New Roman"/>
          <w:i/>
          <w:iCs/>
          <w:sz w:val="24"/>
        </w:rPr>
        <w:t>Escherichia coli</w:t>
      </w:r>
      <w:r w:rsidRPr="00D50E1A">
        <w:rPr>
          <w:rFonts w:ascii="Times New Roman" w:hAnsi="Times New Roman" w:cs="Times New Roman"/>
          <w:sz w:val="24"/>
        </w:rPr>
        <w:t xml:space="preserve"> and </w:t>
      </w:r>
      <w:r w:rsidRPr="00D50E1A">
        <w:rPr>
          <w:rFonts w:ascii="Times New Roman" w:hAnsi="Times New Roman" w:cs="Times New Roman"/>
          <w:i/>
          <w:iCs/>
          <w:sz w:val="24"/>
        </w:rPr>
        <w:t>Staphylococcus</w:t>
      </w:r>
      <w:r w:rsidRPr="00D50E1A">
        <w:rPr>
          <w:rFonts w:ascii="Times New Roman" w:hAnsi="Times New Roman" w:cs="Times New Roman"/>
          <w:sz w:val="24"/>
        </w:rPr>
        <w:t xml:space="preserve"> spp. may be related to the activity of phenolic monoterpenes present in thyme oil, but these results should be interpreted as strain-specific in vitro observations rather than evidence of therapeutic efficacy in birds (Brito-Junior et al., 2025; Dorman &amp; Deans, 2000; Holley &amp; Patel, 2005).</w:t>
      </w:r>
    </w:p>
    <w:p w14:paraId="0A81D2AB" w14:textId="77777777" w:rsidR="00DE41C5" w:rsidRPr="00D50E1A" w:rsidRDefault="00000000">
      <w:pPr>
        <w:rPr>
          <w:rFonts w:ascii="Times New Roman" w:hAnsi="Times New Roman" w:cs="Times New Roman"/>
        </w:rPr>
      </w:pPr>
      <w:r w:rsidRPr="00D50E1A">
        <w:rPr>
          <w:rFonts w:ascii="Times New Roman" w:hAnsi="Times New Roman" w:cs="Times New Roman"/>
          <w:sz w:val="24"/>
        </w:rPr>
        <w:t xml:space="preserve">For </w:t>
      </w:r>
      <w:r w:rsidRPr="00D50E1A">
        <w:rPr>
          <w:rFonts w:ascii="Times New Roman" w:hAnsi="Times New Roman" w:cs="Times New Roman"/>
          <w:i/>
          <w:iCs/>
          <w:sz w:val="24"/>
        </w:rPr>
        <w:t xml:space="preserve">Salmonella </w:t>
      </w:r>
      <w:proofErr w:type="spellStart"/>
      <w:r w:rsidRPr="00D50E1A">
        <w:rPr>
          <w:rFonts w:ascii="Times New Roman" w:hAnsi="Times New Roman" w:cs="Times New Roman"/>
          <w:i/>
          <w:iCs/>
          <w:sz w:val="24"/>
        </w:rPr>
        <w:t>gallinarum</w:t>
      </w:r>
      <w:proofErr w:type="spellEnd"/>
      <w:r w:rsidRPr="00D50E1A">
        <w:rPr>
          <w:rFonts w:ascii="Times New Roman" w:hAnsi="Times New Roman" w:cs="Times New Roman"/>
          <w:sz w:val="24"/>
        </w:rPr>
        <w:t>, the very high inhibitory action observed for both oils is relevant to poultry-health research, but in vitro inhibition alone cannot confirm disease prevention under production conditions without controlled challenge studies, adequate replication, and safety evaluation at dietary inclusion levels (Choi et al., 2022; Farhat et al., 2024; Jang et al., 2007).</w:t>
      </w:r>
    </w:p>
    <w:p w14:paraId="317B9103" w14:textId="77777777" w:rsidR="00BD7C77" w:rsidRPr="00D50E1A" w:rsidRDefault="00E0698E" w:rsidP="00BD7C77">
      <w:pPr>
        <w:spacing w:after="0" w:line="360" w:lineRule="auto"/>
        <w:ind w:left="360"/>
        <w:jc w:val="both"/>
        <w:rPr>
          <w:rFonts w:ascii="Times New Roman" w:hAnsi="Times New Roman" w:cs="Times New Roman"/>
          <w:color w:val="000000"/>
          <w:sz w:val="24"/>
          <w:szCs w:val="24"/>
          <w:shd w:val="clear" w:color="auto" w:fill="FFFFFF"/>
        </w:rPr>
      </w:pPr>
      <w:r w:rsidRPr="00D50E1A">
        <w:rPr>
          <w:rFonts w:ascii="Times New Roman" w:eastAsia="Times New Roman" w:hAnsi="Times New Roman" w:cs="Times New Roman"/>
          <w:i/>
          <w:iCs/>
          <w:color w:val="000000"/>
          <w:sz w:val="24"/>
          <w:szCs w:val="24"/>
          <w:lang w:eastAsia="en-IN"/>
        </w:rPr>
        <w:t xml:space="preserve"> </w:t>
      </w:r>
    </w:p>
    <w:p w14:paraId="6C76DDFA" w14:textId="77777777" w:rsidR="00E0698E" w:rsidRPr="00D50E1A" w:rsidRDefault="00E0698E" w:rsidP="00E0698E">
      <w:pPr>
        <w:spacing w:after="0" w:line="360" w:lineRule="auto"/>
        <w:ind w:left="720"/>
        <w:jc w:val="both"/>
        <w:rPr>
          <w:rFonts w:ascii="Times New Roman" w:hAnsi="Times New Roman" w:cs="Times New Roman"/>
          <w:color w:val="000000"/>
          <w:sz w:val="24"/>
          <w:szCs w:val="24"/>
          <w:shd w:val="clear" w:color="auto" w:fill="FFFFFF"/>
        </w:rPr>
      </w:pPr>
    </w:p>
    <w:p w14:paraId="272EC160" w14:textId="77777777" w:rsidR="00E0698E" w:rsidRPr="00D50E1A" w:rsidRDefault="00E0698E" w:rsidP="00E0698E">
      <w:pPr>
        <w:spacing w:after="0" w:line="360" w:lineRule="auto"/>
        <w:jc w:val="both"/>
        <w:rPr>
          <w:rFonts w:ascii="Times New Roman" w:eastAsia="Times New Roman" w:hAnsi="Times New Roman" w:cs="Times New Roman"/>
          <w:b/>
          <w:color w:val="000000"/>
          <w:sz w:val="24"/>
          <w:szCs w:val="24"/>
          <w:lang w:eastAsia="en-IN"/>
        </w:rPr>
      </w:pPr>
      <w:r w:rsidRPr="00D50E1A">
        <w:rPr>
          <w:rFonts w:ascii="Times New Roman" w:hAnsi="Times New Roman" w:cs="Times New Roman"/>
          <w:b/>
          <w:color w:val="000000"/>
          <w:sz w:val="24"/>
          <w:szCs w:val="24"/>
          <w:shd w:val="clear" w:color="auto" w:fill="FFFFFF"/>
        </w:rPr>
        <w:t>3.3</w:t>
      </w:r>
      <w:r w:rsidRPr="00D50E1A">
        <w:rPr>
          <w:rFonts w:ascii="Times New Roman" w:hAnsi="Times New Roman" w:cs="Times New Roman"/>
          <w:color w:val="000000"/>
          <w:sz w:val="24"/>
          <w:szCs w:val="24"/>
          <w:shd w:val="clear" w:color="auto" w:fill="FFFFFF"/>
        </w:rPr>
        <w:tab/>
      </w:r>
      <w:r w:rsidRPr="00D50E1A">
        <w:rPr>
          <w:rFonts w:ascii="Times New Roman" w:hAnsi="Times New Roman" w:cs="Times New Roman"/>
          <w:b/>
          <w:color w:val="000000"/>
          <w:sz w:val="24"/>
          <w:szCs w:val="24"/>
          <w:shd w:val="clear" w:color="auto" w:fill="FFFFFF"/>
        </w:rPr>
        <w:t>Impact of Thyme</w:t>
      </w:r>
      <w:r w:rsidRPr="00D50E1A">
        <w:rPr>
          <w:rFonts w:ascii="Times New Roman" w:eastAsia="Times New Roman" w:hAnsi="Times New Roman" w:cs="Times New Roman"/>
          <w:b/>
          <w:color w:val="000000"/>
          <w:sz w:val="24"/>
          <w:szCs w:val="24"/>
          <w:lang w:eastAsia="en-IN"/>
        </w:rPr>
        <w:t xml:space="preserve"> oil on the prevalence of infection in the selected birds </w:t>
      </w:r>
    </w:p>
    <w:p w14:paraId="47BD3599" w14:textId="77777777" w:rsidR="00E0698E" w:rsidRPr="00D50E1A" w:rsidRDefault="00E0698E" w:rsidP="00E0698E">
      <w:pPr>
        <w:spacing w:after="0" w:line="360" w:lineRule="auto"/>
        <w:jc w:val="both"/>
        <w:rPr>
          <w:rFonts w:ascii="Times New Roman" w:eastAsia="Times New Roman" w:hAnsi="Times New Roman" w:cs="Times New Roman"/>
          <w:b/>
          <w:color w:val="000000"/>
          <w:sz w:val="24"/>
          <w:szCs w:val="24"/>
          <w:lang w:eastAsia="en-IN"/>
        </w:rPr>
      </w:pPr>
      <w:r w:rsidRPr="00D50E1A">
        <w:rPr>
          <w:rFonts w:ascii="Times New Roman" w:eastAsia="Times New Roman" w:hAnsi="Times New Roman" w:cs="Times New Roman"/>
          <w:b/>
          <w:color w:val="000000"/>
          <w:sz w:val="24"/>
          <w:szCs w:val="24"/>
          <w:lang w:eastAsia="en-IN"/>
        </w:rPr>
        <w:t>3.3.1</w:t>
      </w:r>
      <w:r w:rsidRPr="00D50E1A">
        <w:rPr>
          <w:rFonts w:ascii="Times New Roman" w:eastAsia="Times New Roman" w:hAnsi="Times New Roman" w:cs="Times New Roman"/>
          <w:b/>
          <w:color w:val="000000"/>
          <w:sz w:val="24"/>
          <w:szCs w:val="24"/>
          <w:lang w:eastAsia="en-IN"/>
        </w:rPr>
        <w:tab/>
        <w:t>Experiment – 1: Thyme oil</w:t>
      </w:r>
    </w:p>
    <w:p w14:paraId="40BE117D" w14:textId="77777777" w:rsidR="00DE41C5" w:rsidRPr="00D50E1A" w:rsidRDefault="00000000">
      <w:pPr>
        <w:rPr>
          <w:rFonts w:ascii="Times New Roman" w:hAnsi="Times New Roman" w:cs="Times New Roman"/>
        </w:rPr>
      </w:pPr>
      <w:r w:rsidRPr="00D50E1A">
        <w:rPr>
          <w:rFonts w:ascii="Times New Roman" w:hAnsi="Times New Roman" w:cs="Times New Roman"/>
          <w:sz w:val="24"/>
        </w:rPr>
        <w:t>Table 4. Effect of Thymus vulgaris (thyme oil) supplementation on the prevalence of infection in broiler chickens.</w:t>
      </w:r>
    </w:p>
    <w:tbl>
      <w:tblPr>
        <w:tblW w:w="8804" w:type="dxa"/>
        <w:tblInd w:w="93" w:type="dxa"/>
        <w:tblLook w:val="04A0" w:firstRow="1" w:lastRow="0" w:firstColumn="1" w:lastColumn="0" w:noHBand="0" w:noVBand="1"/>
      </w:tblPr>
      <w:tblGrid>
        <w:gridCol w:w="1765"/>
        <w:gridCol w:w="2064"/>
        <w:gridCol w:w="1787"/>
        <w:gridCol w:w="3188"/>
      </w:tblGrid>
      <w:tr w:rsidR="00E0698E" w:rsidRPr="00D50E1A" w14:paraId="3939908A" w14:textId="77777777" w:rsidTr="00E378D4">
        <w:trPr>
          <w:trHeight w:val="300"/>
        </w:trPr>
        <w:tc>
          <w:tcPr>
            <w:tcW w:w="1765" w:type="dxa"/>
            <w:tcBorders>
              <w:top w:val="single" w:sz="4" w:space="0" w:color="auto"/>
              <w:left w:val="single" w:sz="4" w:space="0" w:color="auto"/>
              <w:bottom w:val="single" w:sz="4" w:space="0" w:color="auto"/>
              <w:right w:val="single" w:sz="4" w:space="0" w:color="auto"/>
            </w:tcBorders>
            <w:noWrap/>
            <w:vAlign w:val="bottom"/>
            <w:hideMark/>
          </w:tcPr>
          <w:p w14:paraId="56B1B942" w14:textId="77777777" w:rsidR="00E0698E" w:rsidRPr="00D50E1A" w:rsidRDefault="00E0698E" w:rsidP="00E378D4">
            <w:pPr>
              <w:spacing w:after="0" w:line="360" w:lineRule="auto"/>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b/>
                <w:color w:val="000000"/>
                <w:sz w:val="24"/>
                <w:szCs w:val="24"/>
                <w:lang w:eastAsia="en-IN"/>
              </w:rPr>
              <w:t> </w:t>
            </w:r>
          </w:p>
        </w:tc>
        <w:tc>
          <w:tcPr>
            <w:tcW w:w="2064" w:type="dxa"/>
            <w:tcBorders>
              <w:top w:val="single" w:sz="4" w:space="0" w:color="auto"/>
              <w:left w:val="nil"/>
              <w:bottom w:val="single" w:sz="4" w:space="0" w:color="auto"/>
              <w:right w:val="single" w:sz="4" w:space="0" w:color="auto"/>
            </w:tcBorders>
            <w:noWrap/>
            <w:vAlign w:val="bottom"/>
            <w:hideMark/>
          </w:tcPr>
          <w:p w14:paraId="7B1CF270" w14:textId="77777777" w:rsidR="00E0698E" w:rsidRPr="00D50E1A"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D50E1A">
              <w:rPr>
                <w:rFonts w:ascii="Times New Roman" w:eastAsia="Times New Roman" w:hAnsi="Times New Roman" w:cs="Times New Roman"/>
                <w:b/>
                <w:color w:val="000000"/>
                <w:sz w:val="24"/>
                <w:szCs w:val="24"/>
                <w:lang w:eastAsia="en-IN"/>
              </w:rPr>
              <w:t>Number of birds</w:t>
            </w:r>
          </w:p>
        </w:tc>
        <w:tc>
          <w:tcPr>
            <w:tcW w:w="1787" w:type="dxa"/>
            <w:tcBorders>
              <w:top w:val="single" w:sz="4" w:space="0" w:color="auto"/>
              <w:left w:val="nil"/>
              <w:bottom w:val="single" w:sz="4" w:space="0" w:color="auto"/>
              <w:right w:val="single" w:sz="4" w:space="0" w:color="auto"/>
            </w:tcBorders>
            <w:noWrap/>
            <w:vAlign w:val="bottom"/>
            <w:hideMark/>
          </w:tcPr>
          <w:p w14:paraId="208DAE3F" w14:textId="77777777" w:rsidR="00E0698E" w:rsidRPr="00D50E1A"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D50E1A">
              <w:rPr>
                <w:rFonts w:ascii="Times New Roman" w:eastAsia="Times New Roman" w:hAnsi="Times New Roman" w:cs="Times New Roman"/>
                <w:b/>
                <w:color w:val="000000"/>
                <w:sz w:val="24"/>
                <w:szCs w:val="24"/>
                <w:lang w:eastAsia="en-IN"/>
              </w:rPr>
              <w:t>Infected birds</w:t>
            </w:r>
          </w:p>
        </w:tc>
        <w:tc>
          <w:tcPr>
            <w:tcW w:w="3188" w:type="dxa"/>
            <w:tcBorders>
              <w:top w:val="single" w:sz="4" w:space="0" w:color="auto"/>
              <w:left w:val="nil"/>
              <w:bottom w:val="single" w:sz="4" w:space="0" w:color="auto"/>
              <w:right w:val="single" w:sz="4" w:space="0" w:color="auto"/>
            </w:tcBorders>
            <w:noWrap/>
            <w:vAlign w:val="bottom"/>
            <w:hideMark/>
          </w:tcPr>
          <w:p w14:paraId="76626E97" w14:textId="77777777" w:rsidR="00E0698E" w:rsidRPr="00D50E1A"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D50E1A">
              <w:rPr>
                <w:rFonts w:ascii="Times New Roman" w:eastAsia="Times New Roman" w:hAnsi="Times New Roman" w:cs="Times New Roman"/>
                <w:b/>
                <w:color w:val="000000"/>
                <w:sz w:val="24"/>
                <w:szCs w:val="24"/>
                <w:lang w:eastAsia="en-IN"/>
              </w:rPr>
              <w:t>Percentage of infected birds</w:t>
            </w:r>
          </w:p>
        </w:tc>
      </w:tr>
      <w:tr w:rsidR="00E0698E" w:rsidRPr="00D50E1A" w14:paraId="5F99E8D0" w14:textId="77777777" w:rsidTr="00E378D4">
        <w:trPr>
          <w:trHeight w:val="300"/>
        </w:trPr>
        <w:tc>
          <w:tcPr>
            <w:tcW w:w="1765" w:type="dxa"/>
            <w:tcBorders>
              <w:top w:val="nil"/>
              <w:left w:val="single" w:sz="4" w:space="0" w:color="auto"/>
              <w:bottom w:val="single" w:sz="4" w:space="0" w:color="auto"/>
              <w:right w:val="single" w:sz="4" w:space="0" w:color="auto"/>
            </w:tcBorders>
            <w:noWrap/>
            <w:vAlign w:val="bottom"/>
            <w:hideMark/>
          </w:tcPr>
          <w:p w14:paraId="706AD75F" w14:textId="77777777" w:rsidR="00E0698E" w:rsidRPr="00D50E1A" w:rsidRDefault="00E0698E" w:rsidP="00E378D4">
            <w:pPr>
              <w:spacing w:after="0" w:line="360" w:lineRule="auto"/>
              <w:rPr>
                <w:rFonts w:ascii="Times New Roman" w:eastAsia="Times New Roman" w:hAnsi="Times New Roman" w:cs="Times New Roman"/>
                <w:b/>
                <w:color w:val="000000"/>
                <w:sz w:val="24"/>
                <w:szCs w:val="24"/>
                <w:lang w:eastAsia="en-IN"/>
              </w:rPr>
            </w:pPr>
            <w:r w:rsidRPr="00D50E1A">
              <w:rPr>
                <w:rFonts w:ascii="Times New Roman" w:eastAsia="Times New Roman" w:hAnsi="Times New Roman" w:cs="Times New Roman"/>
                <w:b/>
                <w:color w:val="000000"/>
                <w:sz w:val="24"/>
                <w:szCs w:val="24"/>
                <w:lang w:eastAsia="en-IN"/>
              </w:rPr>
              <w:t>Control</w:t>
            </w:r>
          </w:p>
        </w:tc>
        <w:tc>
          <w:tcPr>
            <w:tcW w:w="2064" w:type="dxa"/>
            <w:tcBorders>
              <w:top w:val="nil"/>
              <w:left w:val="nil"/>
              <w:bottom w:val="single" w:sz="4" w:space="0" w:color="auto"/>
              <w:right w:val="single" w:sz="4" w:space="0" w:color="auto"/>
            </w:tcBorders>
            <w:noWrap/>
            <w:vAlign w:val="bottom"/>
            <w:hideMark/>
          </w:tcPr>
          <w:p w14:paraId="4DD53E2A" w14:textId="77777777" w:rsidR="00E0698E" w:rsidRPr="00D50E1A"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20</w:t>
            </w:r>
          </w:p>
        </w:tc>
        <w:tc>
          <w:tcPr>
            <w:tcW w:w="1787" w:type="dxa"/>
            <w:tcBorders>
              <w:top w:val="nil"/>
              <w:left w:val="nil"/>
              <w:bottom w:val="single" w:sz="4" w:space="0" w:color="auto"/>
              <w:right w:val="single" w:sz="4" w:space="0" w:color="auto"/>
            </w:tcBorders>
            <w:noWrap/>
            <w:vAlign w:val="bottom"/>
            <w:hideMark/>
          </w:tcPr>
          <w:p w14:paraId="08BEA568" w14:textId="77777777" w:rsidR="00E0698E" w:rsidRPr="00D50E1A"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5</w:t>
            </w:r>
          </w:p>
        </w:tc>
        <w:tc>
          <w:tcPr>
            <w:tcW w:w="3188" w:type="dxa"/>
            <w:tcBorders>
              <w:top w:val="nil"/>
              <w:left w:val="nil"/>
              <w:bottom w:val="single" w:sz="4" w:space="0" w:color="auto"/>
              <w:right w:val="single" w:sz="4" w:space="0" w:color="auto"/>
            </w:tcBorders>
            <w:noWrap/>
            <w:vAlign w:val="bottom"/>
            <w:hideMark/>
          </w:tcPr>
          <w:p w14:paraId="14DC3996" w14:textId="77777777" w:rsidR="00E0698E" w:rsidRPr="00D50E1A"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25</w:t>
            </w:r>
          </w:p>
        </w:tc>
      </w:tr>
      <w:tr w:rsidR="00E0698E" w:rsidRPr="00D50E1A" w14:paraId="2D39974D" w14:textId="77777777" w:rsidTr="00E378D4">
        <w:trPr>
          <w:trHeight w:val="300"/>
        </w:trPr>
        <w:tc>
          <w:tcPr>
            <w:tcW w:w="1765" w:type="dxa"/>
            <w:tcBorders>
              <w:top w:val="nil"/>
              <w:left w:val="single" w:sz="4" w:space="0" w:color="auto"/>
              <w:bottom w:val="single" w:sz="4" w:space="0" w:color="auto"/>
              <w:right w:val="single" w:sz="4" w:space="0" w:color="auto"/>
            </w:tcBorders>
            <w:noWrap/>
            <w:vAlign w:val="bottom"/>
            <w:hideMark/>
          </w:tcPr>
          <w:p w14:paraId="2E854BAE" w14:textId="77777777" w:rsidR="00E0698E" w:rsidRPr="00D50E1A" w:rsidRDefault="00E0698E" w:rsidP="00E378D4">
            <w:pPr>
              <w:spacing w:after="0" w:line="360" w:lineRule="auto"/>
              <w:rPr>
                <w:rFonts w:ascii="Times New Roman" w:eastAsia="Times New Roman" w:hAnsi="Times New Roman" w:cs="Times New Roman"/>
                <w:b/>
                <w:color w:val="000000"/>
                <w:sz w:val="24"/>
                <w:szCs w:val="24"/>
                <w:lang w:eastAsia="en-IN"/>
              </w:rPr>
            </w:pPr>
            <w:r w:rsidRPr="00D50E1A">
              <w:rPr>
                <w:rFonts w:ascii="Times New Roman" w:eastAsia="Times New Roman" w:hAnsi="Times New Roman" w:cs="Times New Roman"/>
                <w:b/>
                <w:color w:val="000000"/>
                <w:sz w:val="24"/>
                <w:szCs w:val="24"/>
                <w:lang w:eastAsia="en-IN"/>
              </w:rPr>
              <w:t>Experimental</w:t>
            </w:r>
          </w:p>
        </w:tc>
        <w:tc>
          <w:tcPr>
            <w:tcW w:w="2064" w:type="dxa"/>
            <w:tcBorders>
              <w:top w:val="nil"/>
              <w:left w:val="nil"/>
              <w:bottom w:val="single" w:sz="4" w:space="0" w:color="auto"/>
              <w:right w:val="single" w:sz="4" w:space="0" w:color="auto"/>
            </w:tcBorders>
            <w:noWrap/>
            <w:vAlign w:val="bottom"/>
            <w:hideMark/>
          </w:tcPr>
          <w:p w14:paraId="4AB51D10" w14:textId="77777777" w:rsidR="00E0698E" w:rsidRPr="00D50E1A"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20</w:t>
            </w:r>
          </w:p>
        </w:tc>
        <w:tc>
          <w:tcPr>
            <w:tcW w:w="1787" w:type="dxa"/>
            <w:tcBorders>
              <w:top w:val="nil"/>
              <w:left w:val="nil"/>
              <w:bottom w:val="single" w:sz="4" w:space="0" w:color="auto"/>
              <w:right w:val="single" w:sz="4" w:space="0" w:color="auto"/>
            </w:tcBorders>
            <w:noWrap/>
            <w:vAlign w:val="bottom"/>
            <w:hideMark/>
          </w:tcPr>
          <w:p w14:paraId="2128DA43" w14:textId="77777777" w:rsidR="00E0698E" w:rsidRPr="00D50E1A"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0</w:t>
            </w:r>
          </w:p>
        </w:tc>
        <w:tc>
          <w:tcPr>
            <w:tcW w:w="3188" w:type="dxa"/>
            <w:tcBorders>
              <w:top w:val="nil"/>
              <w:left w:val="nil"/>
              <w:bottom w:val="single" w:sz="4" w:space="0" w:color="auto"/>
              <w:right w:val="single" w:sz="4" w:space="0" w:color="auto"/>
            </w:tcBorders>
            <w:noWrap/>
            <w:vAlign w:val="bottom"/>
            <w:hideMark/>
          </w:tcPr>
          <w:p w14:paraId="374A01F3" w14:textId="77777777" w:rsidR="00E0698E" w:rsidRPr="00D50E1A"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0</w:t>
            </w:r>
          </w:p>
        </w:tc>
      </w:tr>
    </w:tbl>
    <w:p w14:paraId="156E3E84" w14:textId="77777777" w:rsidR="00036C70" w:rsidRPr="00D50E1A" w:rsidRDefault="00036C70" w:rsidP="00DB400E">
      <w:pPr>
        <w:jc w:val="both"/>
        <w:rPr>
          <w:rFonts w:ascii="Times New Roman" w:hAnsi="Times New Roman" w:cs="Times New Roman"/>
          <w:sz w:val="24"/>
          <w:szCs w:val="24"/>
        </w:rPr>
      </w:pPr>
    </w:p>
    <w:p w14:paraId="416103C0" w14:textId="77777777" w:rsidR="00E0698E" w:rsidRPr="00D50E1A"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r w:rsidRPr="00D50E1A">
        <w:t xml:space="preserve">Table 4 shows the effect of </w:t>
      </w:r>
      <w:r w:rsidRPr="00D50E1A">
        <w:rPr>
          <w:i/>
        </w:rPr>
        <w:t>Thymus vulgaris</w:t>
      </w:r>
      <w:r w:rsidRPr="00D50E1A">
        <w:t xml:space="preserve"> (thyme oil) on broiler chickens. Following the consumption of feed supplemented with thyme oil, none of the 20 experimental birds had a recorded infection. In contrast, 5 of the 20 birds in the control group (25%) were recorded as infected.</w:t>
      </w:r>
    </w:p>
    <w:p w14:paraId="41D9C6A0" w14:textId="77777777" w:rsidR="00E0698E" w:rsidRPr="00D50E1A" w:rsidRDefault="00E0698E" w:rsidP="00E0698E">
      <w:pPr>
        <w:spacing w:after="0" w:line="360" w:lineRule="auto"/>
        <w:jc w:val="both"/>
        <w:rPr>
          <w:rFonts w:ascii="Times New Roman" w:eastAsia="Times New Roman" w:hAnsi="Times New Roman" w:cs="Times New Roman"/>
          <w:b/>
          <w:color w:val="000000"/>
          <w:sz w:val="24"/>
          <w:szCs w:val="24"/>
          <w:lang w:eastAsia="en-IN"/>
        </w:rPr>
      </w:pPr>
      <w:r w:rsidRPr="00D50E1A">
        <w:rPr>
          <w:rFonts w:ascii="Times New Roman" w:hAnsi="Times New Roman" w:cs="Times New Roman"/>
          <w:b/>
          <w:color w:val="000000"/>
          <w:sz w:val="24"/>
          <w:szCs w:val="24"/>
          <w:shd w:val="clear" w:color="auto" w:fill="FFFFFF"/>
        </w:rPr>
        <w:t>3.3.2</w:t>
      </w:r>
      <w:r w:rsidRPr="00D50E1A">
        <w:rPr>
          <w:rFonts w:ascii="Times New Roman" w:hAnsi="Times New Roman" w:cs="Times New Roman"/>
          <w:b/>
          <w:color w:val="000000"/>
          <w:sz w:val="24"/>
          <w:szCs w:val="24"/>
          <w:shd w:val="clear" w:color="auto" w:fill="FFFFFF"/>
        </w:rPr>
        <w:tab/>
        <w:t xml:space="preserve">Impact of Tea tree </w:t>
      </w:r>
      <w:r w:rsidRPr="00D50E1A">
        <w:rPr>
          <w:rFonts w:ascii="Times New Roman" w:eastAsia="Times New Roman" w:hAnsi="Times New Roman" w:cs="Times New Roman"/>
          <w:b/>
          <w:color w:val="000000"/>
          <w:sz w:val="24"/>
          <w:szCs w:val="24"/>
          <w:lang w:eastAsia="en-IN"/>
        </w:rPr>
        <w:t xml:space="preserve">oil on the </w:t>
      </w:r>
      <w:r w:rsidR="009361A4" w:rsidRPr="00D50E1A">
        <w:rPr>
          <w:rFonts w:ascii="Times New Roman" w:hAnsi="Times New Roman" w:cs="Times New Roman"/>
          <w:b/>
          <w:bCs/>
          <w:color w:val="000000"/>
          <w:sz w:val="24"/>
          <w:szCs w:val="24"/>
          <w:shd w:val="clear" w:color="auto" w:fill="FFFFFF"/>
        </w:rPr>
        <w:t>broiler chickens</w:t>
      </w:r>
      <w:r w:rsidRPr="00D50E1A">
        <w:rPr>
          <w:rFonts w:ascii="Times New Roman" w:eastAsia="Times New Roman" w:hAnsi="Times New Roman" w:cs="Times New Roman"/>
          <w:b/>
          <w:color w:val="000000"/>
          <w:sz w:val="24"/>
          <w:szCs w:val="24"/>
          <w:lang w:eastAsia="en-IN"/>
        </w:rPr>
        <w:t xml:space="preserve"> </w:t>
      </w:r>
    </w:p>
    <w:p w14:paraId="5AA5B4DA" w14:textId="77777777" w:rsidR="00E0698E" w:rsidRPr="00D50E1A" w:rsidRDefault="00E0698E" w:rsidP="00E0698E">
      <w:pPr>
        <w:spacing w:after="0" w:line="360" w:lineRule="auto"/>
        <w:jc w:val="both"/>
        <w:rPr>
          <w:rFonts w:ascii="Times New Roman" w:eastAsia="Times New Roman" w:hAnsi="Times New Roman" w:cs="Times New Roman"/>
          <w:b/>
          <w:color w:val="000000"/>
          <w:sz w:val="24"/>
          <w:szCs w:val="24"/>
          <w:lang w:eastAsia="en-IN"/>
        </w:rPr>
      </w:pPr>
      <w:r w:rsidRPr="00D50E1A">
        <w:rPr>
          <w:rFonts w:ascii="Times New Roman" w:eastAsia="Times New Roman" w:hAnsi="Times New Roman" w:cs="Times New Roman"/>
          <w:b/>
          <w:color w:val="000000"/>
          <w:sz w:val="24"/>
          <w:szCs w:val="24"/>
          <w:lang w:eastAsia="en-IN"/>
        </w:rPr>
        <w:t>Experiment – 2: Tea tree oil</w:t>
      </w:r>
    </w:p>
    <w:p w14:paraId="2217E909" w14:textId="77777777" w:rsidR="00DE41C5" w:rsidRPr="00D50E1A" w:rsidRDefault="00000000">
      <w:pPr>
        <w:rPr>
          <w:rFonts w:ascii="Times New Roman" w:hAnsi="Times New Roman" w:cs="Times New Roman"/>
        </w:rPr>
      </w:pPr>
      <w:r w:rsidRPr="00D50E1A">
        <w:rPr>
          <w:rFonts w:ascii="Times New Roman" w:hAnsi="Times New Roman" w:cs="Times New Roman"/>
          <w:sz w:val="24"/>
        </w:rPr>
        <w:t>Table 5. Effect of Melaleuca alternifolia (tea tree oil) supplementation on the prevalence of infection in broiler chickens.</w:t>
      </w:r>
    </w:p>
    <w:tbl>
      <w:tblPr>
        <w:tblW w:w="8804" w:type="dxa"/>
        <w:tblInd w:w="93" w:type="dxa"/>
        <w:tblLook w:val="04A0" w:firstRow="1" w:lastRow="0" w:firstColumn="1" w:lastColumn="0" w:noHBand="0" w:noVBand="1"/>
      </w:tblPr>
      <w:tblGrid>
        <w:gridCol w:w="1765"/>
        <w:gridCol w:w="2064"/>
        <w:gridCol w:w="1787"/>
        <w:gridCol w:w="3188"/>
      </w:tblGrid>
      <w:tr w:rsidR="00E0698E" w:rsidRPr="00D50E1A" w14:paraId="29BF4E57" w14:textId="77777777" w:rsidTr="00E378D4">
        <w:trPr>
          <w:trHeight w:val="300"/>
        </w:trPr>
        <w:tc>
          <w:tcPr>
            <w:tcW w:w="1765" w:type="dxa"/>
            <w:tcBorders>
              <w:top w:val="single" w:sz="4" w:space="0" w:color="auto"/>
              <w:left w:val="single" w:sz="4" w:space="0" w:color="auto"/>
              <w:bottom w:val="single" w:sz="4" w:space="0" w:color="auto"/>
              <w:right w:val="single" w:sz="4" w:space="0" w:color="auto"/>
            </w:tcBorders>
            <w:noWrap/>
            <w:vAlign w:val="bottom"/>
            <w:hideMark/>
          </w:tcPr>
          <w:p w14:paraId="0A53CFF2" w14:textId="77777777" w:rsidR="00E0698E" w:rsidRPr="00D50E1A" w:rsidRDefault="00E0698E" w:rsidP="00E378D4">
            <w:pPr>
              <w:spacing w:after="0" w:line="360" w:lineRule="auto"/>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b/>
                <w:color w:val="000000"/>
                <w:sz w:val="24"/>
                <w:szCs w:val="24"/>
                <w:lang w:eastAsia="en-IN"/>
              </w:rPr>
              <w:t> </w:t>
            </w:r>
          </w:p>
        </w:tc>
        <w:tc>
          <w:tcPr>
            <w:tcW w:w="2064" w:type="dxa"/>
            <w:tcBorders>
              <w:top w:val="single" w:sz="4" w:space="0" w:color="auto"/>
              <w:left w:val="nil"/>
              <w:bottom w:val="single" w:sz="4" w:space="0" w:color="auto"/>
              <w:right w:val="single" w:sz="4" w:space="0" w:color="auto"/>
            </w:tcBorders>
            <w:noWrap/>
            <w:vAlign w:val="bottom"/>
            <w:hideMark/>
          </w:tcPr>
          <w:p w14:paraId="4C5D29F1" w14:textId="77777777" w:rsidR="00E0698E" w:rsidRPr="00D50E1A"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D50E1A">
              <w:rPr>
                <w:rFonts w:ascii="Times New Roman" w:eastAsia="Times New Roman" w:hAnsi="Times New Roman" w:cs="Times New Roman"/>
                <w:b/>
                <w:color w:val="000000"/>
                <w:sz w:val="24"/>
                <w:szCs w:val="24"/>
                <w:lang w:eastAsia="en-IN"/>
              </w:rPr>
              <w:t>Number of birds</w:t>
            </w:r>
          </w:p>
        </w:tc>
        <w:tc>
          <w:tcPr>
            <w:tcW w:w="1787" w:type="dxa"/>
            <w:tcBorders>
              <w:top w:val="single" w:sz="4" w:space="0" w:color="auto"/>
              <w:left w:val="nil"/>
              <w:bottom w:val="single" w:sz="4" w:space="0" w:color="auto"/>
              <w:right w:val="single" w:sz="4" w:space="0" w:color="auto"/>
            </w:tcBorders>
            <w:noWrap/>
            <w:vAlign w:val="bottom"/>
            <w:hideMark/>
          </w:tcPr>
          <w:p w14:paraId="2D1ED0C7" w14:textId="77777777" w:rsidR="00E0698E" w:rsidRPr="00D50E1A"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D50E1A">
              <w:rPr>
                <w:rFonts w:ascii="Times New Roman" w:eastAsia="Times New Roman" w:hAnsi="Times New Roman" w:cs="Times New Roman"/>
                <w:b/>
                <w:color w:val="000000"/>
                <w:sz w:val="24"/>
                <w:szCs w:val="24"/>
                <w:lang w:eastAsia="en-IN"/>
              </w:rPr>
              <w:t>Infected birds</w:t>
            </w:r>
          </w:p>
        </w:tc>
        <w:tc>
          <w:tcPr>
            <w:tcW w:w="3188" w:type="dxa"/>
            <w:tcBorders>
              <w:top w:val="single" w:sz="4" w:space="0" w:color="auto"/>
              <w:left w:val="nil"/>
              <w:bottom w:val="single" w:sz="4" w:space="0" w:color="auto"/>
              <w:right w:val="single" w:sz="4" w:space="0" w:color="auto"/>
            </w:tcBorders>
            <w:noWrap/>
            <w:vAlign w:val="bottom"/>
            <w:hideMark/>
          </w:tcPr>
          <w:p w14:paraId="123C2E0C" w14:textId="77777777" w:rsidR="00E0698E" w:rsidRPr="00D50E1A"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D50E1A">
              <w:rPr>
                <w:rFonts w:ascii="Times New Roman" w:eastAsia="Times New Roman" w:hAnsi="Times New Roman" w:cs="Times New Roman"/>
                <w:b/>
                <w:color w:val="000000"/>
                <w:sz w:val="24"/>
                <w:szCs w:val="24"/>
                <w:lang w:eastAsia="en-IN"/>
              </w:rPr>
              <w:t>Percentage of infected birds</w:t>
            </w:r>
          </w:p>
        </w:tc>
      </w:tr>
      <w:tr w:rsidR="00E0698E" w:rsidRPr="00D50E1A" w14:paraId="57004A66" w14:textId="77777777" w:rsidTr="00E378D4">
        <w:trPr>
          <w:trHeight w:val="300"/>
        </w:trPr>
        <w:tc>
          <w:tcPr>
            <w:tcW w:w="1765" w:type="dxa"/>
            <w:tcBorders>
              <w:top w:val="nil"/>
              <w:left w:val="single" w:sz="4" w:space="0" w:color="auto"/>
              <w:bottom w:val="single" w:sz="4" w:space="0" w:color="auto"/>
              <w:right w:val="single" w:sz="4" w:space="0" w:color="auto"/>
            </w:tcBorders>
            <w:noWrap/>
            <w:vAlign w:val="bottom"/>
            <w:hideMark/>
          </w:tcPr>
          <w:p w14:paraId="2B2D1A20" w14:textId="77777777" w:rsidR="00E0698E" w:rsidRPr="00D50E1A" w:rsidRDefault="00E0698E" w:rsidP="00E378D4">
            <w:pPr>
              <w:spacing w:after="0" w:line="360" w:lineRule="auto"/>
              <w:rPr>
                <w:rFonts w:ascii="Times New Roman" w:eastAsia="Times New Roman" w:hAnsi="Times New Roman" w:cs="Times New Roman"/>
                <w:b/>
                <w:color w:val="000000"/>
                <w:sz w:val="24"/>
                <w:szCs w:val="24"/>
                <w:lang w:eastAsia="en-IN"/>
              </w:rPr>
            </w:pPr>
            <w:r w:rsidRPr="00D50E1A">
              <w:rPr>
                <w:rFonts w:ascii="Times New Roman" w:eastAsia="Times New Roman" w:hAnsi="Times New Roman" w:cs="Times New Roman"/>
                <w:b/>
                <w:color w:val="000000"/>
                <w:sz w:val="24"/>
                <w:szCs w:val="24"/>
                <w:lang w:eastAsia="en-IN"/>
              </w:rPr>
              <w:t>Control</w:t>
            </w:r>
          </w:p>
        </w:tc>
        <w:tc>
          <w:tcPr>
            <w:tcW w:w="2064" w:type="dxa"/>
            <w:tcBorders>
              <w:top w:val="nil"/>
              <w:left w:val="nil"/>
              <w:bottom w:val="single" w:sz="4" w:space="0" w:color="auto"/>
              <w:right w:val="single" w:sz="4" w:space="0" w:color="auto"/>
            </w:tcBorders>
            <w:noWrap/>
            <w:vAlign w:val="bottom"/>
            <w:hideMark/>
          </w:tcPr>
          <w:p w14:paraId="7C501224" w14:textId="77777777" w:rsidR="00E0698E" w:rsidRPr="00D50E1A"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20</w:t>
            </w:r>
          </w:p>
        </w:tc>
        <w:tc>
          <w:tcPr>
            <w:tcW w:w="1787" w:type="dxa"/>
            <w:tcBorders>
              <w:top w:val="nil"/>
              <w:left w:val="nil"/>
              <w:bottom w:val="single" w:sz="4" w:space="0" w:color="auto"/>
              <w:right w:val="single" w:sz="4" w:space="0" w:color="auto"/>
            </w:tcBorders>
            <w:noWrap/>
            <w:vAlign w:val="bottom"/>
            <w:hideMark/>
          </w:tcPr>
          <w:p w14:paraId="26D4EB16" w14:textId="77777777" w:rsidR="00E0698E" w:rsidRPr="00D50E1A"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5</w:t>
            </w:r>
          </w:p>
        </w:tc>
        <w:tc>
          <w:tcPr>
            <w:tcW w:w="3188" w:type="dxa"/>
            <w:tcBorders>
              <w:top w:val="nil"/>
              <w:left w:val="nil"/>
              <w:bottom w:val="single" w:sz="4" w:space="0" w:color="auto"/>
              <w:right w:val="single" w:sz="4" w:space="0" w:color="auto"/>
            </w:tcBorders>
            <w:noWrap/>
            <w:vAlign w:val="bottom"/>
            <w:hideMark/>
          </w:tcPr>
          <w:p w14:paraId="514B7625" w14:textId="77777777" w:rsidR="00E0698E" w:rsidRPr="00D50E1A"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25</w:t>
            </w:r>
          </w:p>
        </w:tc>
      </w:tr>
      <w:tr w:rsidR="00E0698E" w:rsidRPr="00D50E1A" w14:paraId="7AE5F2C5" w14:textId="77777777" w:rsidTr="00E378D4">
        <w:trPr>
          <w:trHeight w:val="300"/>
        </w:trPr>
        <w:tc>
          <w:tcPr>
            <w:tcW w:w="1765" w:type="dxa"/>
            <w:tcBorders>
              <w:top w:val="nil"/>
              <w:left w:val="single" w:sz="4" w:space="0" w:color="auto"/>
              <w:bottom w:val="single" w:sz="4" w:space="0" w:color="auto"/>
              <w:right w:val="single" w:sz="4" w:space="0" w:color="auto"/>
            </w:tcBorders>
            <w:noWrap/>
            <w:vAlign w:val="bottom"/>
            <w:hideMark/>
          </w:tcPr>
          <w:p w14:paraId="4133068B" w14:textId="77777777" w:rsidR="00E0698E" w:rsidRPr="00D50E1A" w:rsidRDefault="00E0698E" w:rsidP="00E378D4">
            <w:pPr>
              <w:spacing w:after="0" w:line="360" w:lineRule="auto"/>
              <w:rPr>
                <w:rFonts w:ascii="Times New Roman" w:eastAsia="Times New Roman" w:hAnsi="Times New Roman" w:cs="Times New Roman"/>
                <w:b/>
                <w:color w:val="000000"/>
                <w:sz w:val="24"/>
                <w:szCs w:val="24"/>
                <w:lang w:eastAsia="en-IN"/>
              </w:rPr>
            </w:pPr>
            <w:r w:rsidRPr="00D50E1A">
              <w:rPr>
                <w:rFonts w:ascii="Times New Roman" w:eastAsia="Times New Roman" w:hAnsi="Times New Roman" w:cs="Times New Roman"/>
                <w:b/>
                <w:color w:val="000000"/>
                <w:sz w:val="24"/>
                <w:szCs w:val="24"/>
                <w:lang w:eastAsia="en-IN"/>
              </w:rPr>
              <w:lastRenderedPageBreak/>
              <w:t>Experimental</w:t>
            </w:r>
          </w:p>
        </w:tc>
        <w:tc>
          <w:tcPr>
            <w:tcW w:w="2064" w:type="dxa"/>
            <w:tcBorders>
              <w:top w:val="nil"/>
              <w:left w:val="nil"/>
              <w:bottom w:val="single" w:sz="4" w:space="0" w:color="auto"/>
              <w:right w:val="single" w:sz="4" w:space="0" w:color="auto"/>
            </w:tcBorders>
            <w:noWrap/>
            <w:vAlign w:val="bottom"/>
            <w:hideMark/>
          </w:tcPr>
          <w:p w14:paraId="5D8ED404" w14:textId="77777777" w:rsidR="00E0698E" w:rsidRPr="00D50E1A"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20</w:t>
            </w:r>
          </w:p>
        </w:tc>
        <w:tc>
          <w:tcPr>
            <w:tcW w:w="1787" w:type="dxa"/>
            <w:tcBorders>
              <w:top w:val="nil"/>
              <w:left w:val="nil"/>
              <w:bottom w:val="single" w:sz="4" w:space="0" w:color="auto"/>
              <w:right w:val="single" w:sz="4" w:space="0" w:color="auto"/>
            </w:tcBorders>
            <w:noWrap/>
            <w:vAlign w:val="bottom"/>
            <w:hideMark/>
          </w:tcPr>
          <w:p w14:paraId="4B688F45" w14:textId="77777777" w:rsidR="00E0698E" w:rsidRPr="00D50E1A"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1</w:t>
            </w:r>
          </w:p>
        </w:tc>
        <w:tc>
          <w:tcPr>
            <w:tcW w:w="3188" w:type="dxa"/>
            <w:tcBorders>
              <w:top w:val="nil"/>
              <w:left w:val="nil"/>
              <w:bottom w:val="single" w:sz="4" w:space="0" w:color="auto"/>
              <w:right w:val="single" w:sz="4" w:space="0" w:color="auto"/>
            </w:tcBorders>
            <w:noWrap/>
            <w:vAlign w:val="bottom"/>
            <w:hideMark/>
          </w:tcPr>
          <w:p w14:paraId="054D208A" w14:textId="77777777" w:rsidR="00E0698E" w:rsidRPr="00D50E1A"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D50E1A">
              <w:rPr>
                <w:rFonts w:ascii="Times New Roman" w:eastAsia="Times New Roman" w:hAnsi="Times New Roman" w:cs="Times New Roman"/>
                <w:color w:val="000000"/>
                <w:sz w:val="24"/>
                <w:szCs w:val="24"/>
                <w:lang w:eastAsia="en-IN"/>
              </w:rPr>
              <w:t>5</w:t>
            </w:r>
          </w:p>
        </w:tc>
      </w:tr>
    </w:tbl>
    <w:p w14:paraId="629F68F3" w14:textId="77777777" w:rsidR="00E0698E" w:rsidRPr="00D50E1A"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r w:rsidRPr="00D50E1A">
        <w:t xml:space="preserve">Table 5 shows the effect of </w:t>
      </w:r>
      <w:r w:rsidRPr="00D50E1A">
        <w:rPr>
          <w:i/>
        </w:rPr>
        <w:t>Melaleuca alternifolia</w:t>
      </w:r>
      <w:r w:rsidRPr="00D50E1A">
        <w:t xml:space="preserve"> (tea tree oil) on broiler chickens. Following the consumption of feed supplemented with tea tree oil, 1 of the 20 experimental birds (5%) remained infected with the pathogens.</w:t>
      </w:r>
    </w:p>
    <w:p w14:paraId="188A1602" w14:textId="77777777" w:rsidR="00963EAF" w:rsidRPr="00D50E1A" w:rsidRDefault="00963EAF" w:rsidP="00963EAF">
      <w:pPr>
        <w:spacing w:after="0" w:line="360" w:lineRule="auto"/>
        <w:jc w:val="both"/>
        <w:rPr>
          <w:rFonts w:ascii="Times New Roman" w:eastAsia="Times New Roman" w:hAnsi="Times New Roman" w:cs="Times New Roman"/>
          <w:b/>
          <w:color w:val="000000"/>
          <w:sz w:val="24"/>
          <w:szCs w:val="24"/>
          <w:lang w:eastAsia="en-IN"/>
        </w:rPr>
      </w:pPr>
      <w:r w:rsidRPr="00D50E1A">
        <w:rPr>
          <w:rFonts w:ascii="Times New Roman" w:hAnsi="Times New Roman" w:cs="Times New Roman"/>
          <w:b/>
          <w:color w:val="000000"/>
          <w:sz w:val="24"/>
          <w:szCs w:val="24"/>
          <w:shd w:val="clear" w:color="auto" w:fill="FFFFFF"/>
        </w:rPr>
        <w:t>3.3.3</w:t>
      </w:r>
      <w:r w:rsidRPr="00D50E1A">
        <w:rPr>
          <w:rFonts w:ascii="Times New Roman" w:hAnsi="Times New Roman" w:cs="Times New Roman"/>
          <w:b/>
          <w:color w:val="000000"/>
          <w:sz w:val="24"/>
          <w:szCs w:val="24"/>
          <w:shd w:val="clear" w:color="auto" w:fill="FFFFFF"/>
        </w:rPr>
        <w:tab/>
        <w:t xml:space="preserve">Impact of Tea tree </w:t>
      </w:r>
      <w:r w:rsidRPr="00D50E1A">
        <w:rPr>
          <w:rFonts w:ascii="Times New Roman" w:eastAsia="Times New Roman" w:hAnsi="Times New Roman" w:cs="Times New Roman"/>
          <w:b/>
          <w:color w:val="000000"/>
          <w:sz w:val="24"/>
          <w:szCs w:val="24"/>
          <w:lang w:eastAsia="en-IN"/>
        </w:rPr>
        <w:t xml:space="preserve">oil and thyme oil augmented feed on </w:t>
      </w:r>
      <w:r w:rsidR="007F556B" w:rsidRPr="00D50E1A">
        <w:rPr>
          <w:rFonts w:ascii="Times New Roman" w:eastAsia="Times New Roman" w:hAnsi="Times New Roman" w:cs="Times New Roman"/>
          <w:b/>
          <w:color w:val="000000"/>
          <w:sz w:val="24"/>
          <w:szCs w:val="24"/>
          <w:lang w:eastAsia="en-IN"/>
        </w:rPr>
        <w:t xml:space="preserve">live body weight of </w:t>
      </w:r>
      <w:r w:rsidRPr="00D50E1A">
        <w:rPr>
          <w:rFonts w:ascii="Times New Roman" w:hAnsi="Times New Roman" w:cs="Times New Roman"/>
          <w:b/>
          <w:bCs/>
          <w:color w:val="000000"/>
          <w:sz w:val="24"/>
          <w:szCs w:val="24"/>
          <w:shd w:val="clear" w:color="auto" w:fill="FFFFFF"/>
        </w:rPr>
        <w:t>broiler chickens</w:t>
      </w:r>
      <w:r w:rsidRPr="00D50E1A">
        <w:rPr>
          <w:rFonts w:ascii="Times New Roman" w:eastAsia="Times New Roman" w:hAnsi="Times New Roman" w:cs="Times New Roman"/>
          <w:b/>
          <w:color w:val="000000"/>
          <w:sz w:val="24"/>
          <w:szCs w:val="24"/>
          <w:lang w:eastAsia="en-IN"/>
        </w:rPr>
        <w:t xml:space="preserve"> </w:t>
      </w:r>
    </w:p>
    <w:p w14:paraId="047B1B81" w14:textId="77777777" w:rsidR="00963EAF" w:rsidRPr="00D50E1A" w:rsidRDefault="007F556B" w:rsidP="00963EAF">
      <w:pPr>
        <w:spacing w:line="360" w:lineRule="auto"/>
        <w:jc w:val="both"/>
        <w:rPr>
          <w:rFonts w:ascii="Times New Roman" w:hAnsi="Times New Roman" w:cs="Times New Roman"/>
          <w:bCs/>
          <w:color w:val="000000"/>
          <w:sz w:val="24"/>
          <w:szCs w:val="24"/>
        </w:rPr>
      </w:pPr>
      <w:r w:rsidRPr="00D50E1A">
        <w:t>Three treatment groups were used to evaluate the effects of commercial feed containing an antibiotic growth promoter (AGP), tea tree oil-augmented feed, and thyme oil-augmented feed on the live body weight of broiler chickens. The results are shown in Table 6.</w:t>
      </w:r>
    </w:p>
    <w:p w14:paraId="01DAD000" w14:textId="77777777" w:rsidR="00C422EB" w:rsidRPr="00D50E1A" w:rsidRDefault="00C422EB" w:rsidP="00C422EB">
      <w:pPr>
        <w:spacing w:line="360" w:lineRule="auto"/>
        <w:rPr>
          <w:rFonts w:ascii="Times New Roman" w:hAnsi="Times New Roman" w:cs="Times New Roman"/>
          <w:color w:val="000000"/>
          <w:sz w:val="24"/>
          <w:szCs w:val="24"/>
          <w:lang w:eastAsia="en-IN"/>
        </w:rPr>
      </w:pPr>
      <w:r w:rsidRPr="00D50E1A">
        <w:rPr>
          <w:rFonts w:ascii="Times New Roman" w:hAnsi="Times New Roman" w:cs="Times New Roman"/>
          <w:b/>
          <w:color w:val="000000"/>
          <w:sz w:val="24"/>
          <w:szCs w:val="24"/>
        </w:rPr>
        <w:t>Table 6:</w:t>
      </w:r>
      <w:r w:rsidRPr="00D50E1A">
        <w:rPr>
          <w:rFonts w:ascii="Times New Roman" w:hAnsi="Times New Roman" w:cs="Times New Roman"/>
          <w:color w:val="000000"/>
          <w:sz w:val="24"/>
          <w:szCs w:val="24"/>
        </w:rPr>
        <w:t xml:space="preserve"> Live </w:t>
      </w:r>
      <w:r w:rsidRPr="00D50E1A">
        <w:rPr>
          <w:rFonts w:ascii="Times New Roman" w:hAnsi="Times New Roman" w:cs="Times New Roman"/>
          <w:color w:val="000000"/>
          <w:sz w:val="24"/>
          <w:szCs w:val="24"/>
          <w:lang w:eastAsia="en-IN"/>
        </w:rPr>
        <w:t>Body Weight of broiler chickens after 6 weeks</w:t>
      </w:r>
    </w:p>
    <w:tbl>
      <w:tblPr>
        <w:tblW w:w="8184" w:type="dxa"/>
        <w:jc w:val="center"/>
        <w:tblLayout w:type="fixed"/>
        <w:tblLook w:val="04A0" w:firstRow="1" w:lastRow="0" w:firstColumn="1" w:lastColumn="0" w:noHBand="0" w:noVBand="1"/>
      </w:tblPr>
      <w:tblGrid>
        <w:gridCol w:w="827"/>
        <w:gridCol w:w="1530"/>
        <w:gridCol w:w="990"/>
        <w:gridCol w:w="810"/>
        <w:gridCol w:w="810"/>
        <w:gridCol w:w="810"/>
        <w:gridCol w:w="900"/>
        <w:gridCol w:w="810"/>
        <w:gridCol w:w="697"/>
      </w:tblGrid>
      <w:tr w:rsidR="00C422EB" w:rsidRPr="00D50E1A" w14:paraId="553B0922" w14:textId="77777777" w:rsidTr="00C422EB">
        <w:trPr>
          <w:trHeight w:val="495"/>
          <w:jc w:val="center"/>
        </w:trPr>
        <w:tc>
          <w:tcPr>
            <w:tcW w:w="827" w:type="dxa"/>
            <w:tcBorders>
              <w:top w:val="single" w:sz="4" w:space="0" w:color="auto"/>
              <w:left w:val="single" w:sz="4" w:space="0" w:color="auto"/>
              <w:bottom w:val="single" w:sz="4" w:space="0" w:color="auto"/>
              <w:right w:val="single" w:sz="4" w:space="0" w:color="auto"/>
            </w:tcBorders>
            <w:noWrap/>
            <w:vAlign w:val="bottom"/>
          </w:tcPr>
          <w:p w14:paraId="426A42F4" w14:textId="77777777" w:rsidR="00C422EB" w:rsidRPr="00D50E1A" w:rsidRDefault="00C422EB" w:rsidP="00115022">
            <w:pPr>
              <w:spacing w:before="40" w:after="40"/>
              <w:rPr>
                <w:rFonts w:ascii="Times New Roman" w:hAnsi="Times New Roman" w:cs="Times New Roman"/>
                <w:color w:val="000000"/>
                <w:sz w:val="24"/>
                <w:szCs w:val="24"/>
              </w:rPr>
            </w:pPr>
            <w:r w:rsidRPr="00D50E1A">
              <w:rPr>
                <w:rFonts w:ascii="Times New Roman" w:hAnsi="Times New Roman" w:cs="Times New Roman"/>
                <w:color w:val="000000"/>
                <w:sz w:val="24"/>
                <w:szCs w:val="24"/>
              </w:rPr>
              <w:t> </w:t>
            </w:r>
          </w:p>
        </w:tc>
        <w:tc>
          <w:tcPr>
            <w:tcW w:w="1530" w:type="dxa"/>
            <w:tcBorders>
              <w:top w:val="single" w:sz="4" w:space="0" w:color="auto"/>
              <w:left w:val="nil"/>
              <w:bottom w:val="single" w:sz="4" w:space="0" w:color="auto"/>
              <w:right w:val="single" w:sz="4" w:space="0" w:color="auto"/>
            </w:tcBorders>
            <w:noWrap/>
            <w:vAlign w:val="bottom"/>
          </w:tcPr>
          <w:p w14:paraId="019751E7" w14:textId="77777777" w:rsidR="00C422EB" w:rsidRPr="00D50E1A" w:rsidRDefault="00C422EB" w:rsidP="00115022">
            <w:pPr>
              <w:spacing w:before="40" w:after="40"/>
              <w:rPr>
                <w:rFonts w:ascii="Times New Roman" w:hAnsi="Times New Roman" w:cs="Times New Roman"/>
                <w:color w:val="000000"/>
                <w:sz w:val="24"/>
                <w:szCs w:val="24"/>
              </w:rPr>
            </w:pPr>
            <w:r w:rsidRPr="00D50E1A">
              <w:rPr>
                <w:rFonts w:ascii="Times New Roman" w:hAnsi="Times New Roman" w:cs="Times New Roman"/>
                <w:color w:val="000000"/>
                <w:sz w:val="24"/>
                <w:szCs w:val="24"/>
              </w:rPr>
              <w:t> </w:t>
            </w:r>
          </w:p>
        </w:tc>
        <w:tc>
          <w:tcPr>
            <w:tcW w:w="990" w:type="dxa"/>
            <w:tcBorders>
              <w:top w:val="single" w:sz="4" w:space="0" w:color="auto"/>
              <w:left w:val="nil"/>
              <w:bottom w:val="single" w:sz="4" w:space="0" w:color="auto"/>
              <w:right w:val="single" w:sz="4" w:space="0" w:color="auto"/>
            </w:tcBorders>
            <w:vAlign w:val="bottom"/>
          </w:tcPr>
          <w:p w14:paraId="252DCB6F" w14:textId="77777777" w:rsidR="00C422EB" w:rsidRPr="00D50E1A" w:rsidRDefault="00C422EB" w:rsidP="00115022">
            <w:pPr>
              <w:spacing w:before="40" w:after="40"/>
              <w:jc w:val="center"/>
              <w:rPr>
                <w:rFonts w:ascii="Times New Roman" w:hAnsi="Times New Roman" w:cs="Times New Roman"/>
                <w:b/>
                <w:bCs/>
                <w:color w:val="000000"/>
                <w:sz w:val="24"/>
                <w:szCs w:val="24"/>
              </w:rPr>
            </w:pPr>
            <w:r w:rsidRPr="00D50E1A">
              <w:rPr>
                <w:rFonts w:ascii="Times New Roman" w:hAnsi="Times New Roman" w:cs="Times New Roman"/>
                <w:b/>
                <w:bCs/>
                <w:color w:val="000000"/>
                <w:sz w:val="24"/>
                <w:szCs w:val="24"/>
              </w:rPr>
              <w:t>Mean</w:t>
            </w:r>
          </w:p>
        </w:tc>
        <w:tc>
          <w:tcPr>
            <w:tcW w:w="810" w:type="dxa"/>
            <w:tcBorders>
              <w:top w:val="single" w:sz="4" w:space="0" w:color="auto"/>
              <w:left w:val="nil"/>
              <w:bottom w:val="single" w:sz="4" w:space="0" w:color="auto"/>
              <w:right w:val="single" w:sz="4" w:space="0" w:color="auto"/>
            </w:tcBorders>
            <w:vAlign w:val="bottom"/>
          </w:tcPr>
          <w:p w14:paraId="68E223DC" w14:textId="77777777" w:rsidR="00C422EB" w:rsidRPr="00D50E1A" w:rsidRDefault="00C422EB" w:rsidP="00115022">
            <w:pPr>
              <w:spacing w:before="40" w:after="40"/>
              <w:jc w:val="center"/>
              <w:rPr>
                <w:rFonts w:ascii="Times New Roman" w:hAnsi="Times New Roman" w:cs="Times New Roman"/>
                <w:b/>
                <w:bCs/>
                <w:color w:val="000000"/>
                <w:sz w:val="24"/>
                <w:szCs w:val="24"/>
              </w:rPr>
            </w:pPr>
            <w:r w:rsidRPr="00D50E1A">
              <w:rPr>
                <w:rFonts w:ascii="Times New Roman" w:hAnsi="Times New Roman" w:cs="Times New Roman"/>
                <w:b/>
                <w:bCs/>
                <w:color w:val="000000"/>
                <w:sz w:val="24"/>
                <w:szCs w:val="24"/>
                <w:lang w:eastAsia="en-IN"/>
              </w:rPr>
              <w:t>±</w:t>
            </w:r>
            <w:r w:rsidRPr="00D50E1A">
              <w:rPr>
                <w:rFonts w:ascii="Times New Roman" w:hAnsi="Times New Roman" w:cs="Times New Roman"/>
                <w:b/>
                <w:bCs/>
                <w:color w:val="000000"/>
                <w:sz w:val="24"/>
                <w:szCs w:val="24"/>
              </w:rPr>
              <w:t>SD</w:t>
            </w:r>
          </w:p>
        </w:tc>
        <w:tc>
          <w:tcPr>
            <w:tcW w:w="810" w:type="dxa"/>
            <w:tcBorders>
              <w:top w:val="single" w:sz="4" w:space="0" w:color="auto"/>
              <w:left w:val="nil"/>
              <w:bottom w:val="single" w:sz="4" w:space="0" w:color="auto"/>
              <w:right w:val="single" w:sz="4" w:space="0" w:color="auto"/>
            </w:tcBorders>
            <w:vAlign w:val="bottom"/>
          </w:tcPr>
          <w:p w14:paraId="46869FA7" w14:textId="77777777" w:rsidR="00C422EB" w:rsidRPr="00D50E1A" w:rsidRDefault="00C422EB" w:rsidP="00115022">
            <w:pPr>
              <w:spacing w:before="40" w:after="40"/>
              <w:jc w:val="center"/>
              <w:rPr>
                <w:rFonts w:ascii="Times New Roman" w:hAnsi="Times New Roman" w:cs="Times New Roman"/>
                <w:b/>
                <w:bCs/>
                <w:color w:val="000000"/>
                <w:sz w:val="24"/>
                <w:szCs w:val="24"/>
              </w:rPr>
            </w:pPr>
            <w:r w:rsidRPr="00D50E1A">
              <w:rPr>
                <w:rFonts w:ascii="Times New Roman" w:hAnsi="Times New Roman" w:cs="Times New Roman"/>
                <w:b/>
                <w:bCs/>
                <w:color w:val="000000"/>
                <w:sz w:val="24"/>
                <w:szCs w:val="24"/>
              </w:rPr>
              <w:t>SE</w:t>
            </w:r>
          </w:p>
        </w:tc>
        <w:tc>
          <w:tcPr>
            <w:tcW w:w="810" w:type="dxa"/>
            <w:tcBorders>
              <w:top w:val="single" w:sz="4" w:space="0" w:color="auto"/>
              <w:left w:val="nil"/>
              <w:bottom w:val="single" w:sz="4" w:space="0" w:color="auto"/>
              <w:right w:val="single" w:sz="4" w:space="0" w:color="auto"/>
            </w:tcBorders>
            <w:vAlign w:val="bottom"/>
          </w:tcPr>
          <w:p w14:paraId="35A79B0B" w14:textId="77777777" w:rsidR="00C422EB" w:rsidRPr="00D50E1A" w:rsidRDefault="00C422EB" w:rsidP="00115022">
            <w:pPr>
              <w:spacing w:before="40" w:after="40"/>
              <w:jc w:val="center"/>
              <w:rPr>
                <w:rFonts w:ascii="Times New Roman" w:hAnsi="Times New Roman" w:cs="Times New Roman"/>
                <w:b/>
                <w:bCs/>
                <w:color w:val="000000"/>
                <w:sz w:val="24"/>
                <w:szCs w:val="24"/>
              </w:rPr>
            </w:pPr>
            <w:r w:rsidRPr="00D50E1A">
              <w:rPr>
                <w:rFonts w:ascii="Times New Roman" w:hAnsi="Times New Roman" w:cs="Times New Roman"/>
                <w:b/>
                <w:bCs/>
                <w:color w:val="000000"/>
                <w:sz w:val="24"/>
                <w:szCs w:val="24"/>
              </w:rPr>
              <w:t>Min</w:t>
            </w:r>
          </w:p>
        </w:tc>
        <w:tc>
          <w:tcPr>
            <w:tcW w:w="900" w:type="dxa"/>
            <w:tcBorders>
              <w:top w:val="single" w:sz="4" w:space="0" w:color="auto"/>
              <w:left w:val="nil"/>
              <w:bottom w:val="single" w:sz="4" w:space="0" w:color="auto"/>
              <w:right w:val="single" w:sz="4" w:space="0" w:color="auto"/>
            </w:tcBorders>
            <w:vAlign w:val="bottom"/>
          </w:tcPr>
          <w:p w14:paraId="79F3B282" w14:textId="77777777" w:rsidR="00C422EB" w:rsidRPr="00D50E1A" w:rsidRDefault="00C422EB" w:rsidP="00115022">
            <w:pPr>
              <w:spacing w:before="40" w:after="40"/>
              <w:jc w:val="center"/>
              <w:rPr>
                <w:rFonts w:ascii="Times New Roman" w:hAnsi="Times New Roman" w:cs="Times New Roman"/>
                <w:b/>
                <w:bCs/>
                <w:color w:val="000000"/>
                <w:sz w:val="24"/>
                <w:szCs w:val="24"/>
              </w:rPr>
            </w:pPr>
            <w:r w:rsidRPr="00D50E1A">
              <w:rPr>
                <w:rFonts w:ascii="Times New Roman" w:hAnsi="Times New Roman" w:cs="Times New Roman"/>
                <w:b/>
                <w:bCs/>
                <w:color w:val="000000"/>
                <w:sz w:val="24"/>
                <w:szCs w:val="24"/>
              </w:rPr>
              <w:t>Max</w:t>
            </w:r>
          </w:p>
        </w:tc>
        <w:tc>
          <w:tcPr>
            <w:tcW w:w="810" w:type="dxa"/>
            <w:tcBorders>
              <w:top w:val="single" w:sz="4" w:space="0" w:color="auto"/>
              <w:left w:val="nil"/>
              <w:bottom w:val="single" w:sz="4" w:space="0" w:color="auto"/>
              <w:right w:val="single" w:sz="4" w:space="0" w:color="auto"/>
            </w:tcBorders>
            <w:vAlign w:val="bottom"/>
          </w:tcPr>
          <w:p w14:paraId="15142A4D" w14:textId="77777777" w:rsidR="00C422EB" w:rsidRPr="00D50E1A" w:rsidRDefault="00C422EB" w:rsidP="00115022">
            <w:pPr>
              <w:spacing w:before="40" w:after="40"/>
              <w:jc w:val="center"/>
              <w:rPr>
                <w:rFonts w:ascii="Times New Roman" w:hAnsi="Times New Roman" w:cs="Times New Roman"/>
                <w:b/>
                <w:bCs/>
                <w:color w:val="000000"/>
                <w:sz w:val="24"/>
                <w:szCs w:val="24"/>
              </w:rPr>
            </w:pPr>
            <w:r w:rsidRPr="00D50E1A">
              <w:rPr>
                <w:rFonts w:ascii="Times New Roman" w:hAnsi="Times New Roman" w:cs="Times New Roman"/>
                <w:b/>
                <w:bCs/>
                <w:color w:val="000000"/>
                <w:sz w:val="24"/>
                <w:szCs w:val="24"/>
              </w:rPr>
              <w:t>F</w:t>
            </w:r>
          </w:p>
        </w:tc>
        <w:tc>
          <w:tcPr>
            <w:tcW w:w="697" w:type="dxa"/>
            <w:tcBorders>
              <w:top w:val="single" w:sz="4" w:space="0" w:color="auto"/>
              <w:left w:val="nil"/>
              <w:bottom w:val="single" w:sz="4" w:space="0" w:color="auto"/>
              <w:right w:val="single" w:sz="4" w:space="0" w:color="auto"/>
            </w:tcBorders>
            <w:vAlign w:val="bottom"/>
          </w:tcPr>
          <w:p w14:paraId="41A7963A" w14:textId="77777777" w:rsidR="00C422EB" w:rsidRPr="00D50E1A" w:rsidRDefault="00C422EB" w:rsidP="00115022">
            <w:pPr>
              <w:spacing w:before="40" w:after="40"/>
              <w:jc w:val="center"/>
              <w:rPr>
                <w:rFonts w:ascii="Times New Roman" w:hAnsi="Times New Roman" w:cs="Times New Roman"/>
                <w:b/>
                <w:bCs/>
                <w:color w:val="000000"/>
                <w:sz w:val="24"/>
                <w:szCs w:val="24"/>
              </w:rPr>
            </w:pPr>
            <w:r w:rsidRPr="00D50E1A">
              <w:rPr>
                <w:rFonts w:ascii="Times New Roman" w:hAnsi="Times New Roman" w:cs="Times New Roman"/>
                <w:b/>
                <w:bCs/>
                <w:color w:val="000000"/>
                <w:sz w:val="24"/>
                <w:szCs w:val="24"/>
              </w:rPr>
              <w:t>Sig.</w:t>
            </w:r>
          </w:p>
        </w:tc>
      </w:tr>
      <w:tr w:rsidR="00C422EB" w:rsidRPr="00D50E1A" w14:paraId="41AE859A" w14:textId="77777777" w:rsidTr="00C422EB">
        <w:trPr>
          <w:trHeight w:val="300"/>
          <w:jc w:val="center"/>
        </w:trPr>
        <w:tc>
          <w:tcPr>
            <w:tcW w:w="827" w:type="dxa"/>
            <w:vMerge w:val="restart"/>
            <w:tcBorders>
              <w:top w:val="nil"/>
              <w:left w:val="single" w:sz="4" w:space="0" w:color="auto"/>
              <w:bottom w:val="single" w:sz="4" w:space="0" w:color="auto"/>
              <w:right w:val="single" w:sz="4" w:space="0" w:color="auto"/>
            </w:tcBorders>
          </w:tcPr>
          <w:p w14:paraId="54DA43ED" w14:textId="77777777" w:rsidR="00C422EB" w:rsidRPr="00D50E1A" w:rsidRDefault="00C422EB" w:rsidP="00115022">
            <w:pPr>
              <w:spacing w:before="40" w:after="40"/>
              <w:rPr>
                <w:rFonts w:ascii="Times New Roman" w:hAnsi="Times New Roman" w:cs="Times New Roman"/>
                <w:color w:val="000000"/>
                <w:sz w:val="24"/>
                <w:szCs w:val="24"/>
              </w:rPr>
            </w:pPr>
            <w:r w:rsidRPr="00D50E1A">
              <w:rPr>
                <w:rFonts w:ascii="Times New Roman" w:hAnsi="Times New Roman" w:cs="Times New Roman"/>
                <w:color w:val="000000"/>
                <w:sz w:val="24"/>
                <w:szCs w:val="24"/>
              </w:rPr>
              <w:t>LBW (g)</w:t>
            </w:r>
          </w:p>
        </w:tc>
        <w:tc>
          <w:tcPr>
            <w:tcW w:w="1530" w:type="dxa"/>
            <w:tcBorders>
              <w:top w:val="nil"/>
              <w:left w:val="nil"/>
              <w:bottom w:val="single" w:sz="4" w:space="0" w:color="auto"/>
              <w:right w:val="single" w:sz="4" w:space="0" w:color="auto"/>
            </w:tcBorders>
          </w:tcPr>
          <w:p w14:paraId="546CCE7C" w14:textId="77777777" w:rsidR="00C422EB" w:rsidRPr="00D50E1A" w:rsidRDefault="00C422EB" w:rsidP="00115022">
            <w:pPr>
              <w:spacing w:before="40" w:after="40"/>
              <w:rPr>
                <w:rFonts w:ascii="Times New Roman" w:hAnsi="Times New Roman" w:cs="Times New Roman"/>
                <w:color w:val="000000"/>
                <w:sz w:val="24"/>
                <w:szCs w:val="24"/>
              </w:rPr>
            </w:pPr>
            <w:r w:rsidRPr="00D50E1A">
              <w:rPr>
                <w:rFonts w:ascii="Times New Roman" w:hAnsi="Times New Roman" w:cs="Times New Roman"/>
                <w:color w:val="000000"/>
                <w:sz w:val="24"/>
                <w:szCs w:val="24"/>
              </w:rPr>
              <w:t>Treatment-A</w:t>
            </w:r>
          </w:p>
        </w:tc>
        <w:tc>
          <w:tcPr>
            <w:tcW w:w="990" w:type="dxa"/>
            <w:tcBorders>
              <w:top w:val="nil"/>
              <w:left w:val="nil"/>
              <w:bottom w:val="single" w:sz="4" w:space="0" w:color="auto"/>
              <w:right w:val="single" w:sz="4" w:space="0" w:color="auto"/>
            </w:tcBorders>
            <w:noWrap/>
          </w:tcPr>
          <w:p w14:paraId="6D3A60C2"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3061</w:t>
            </w:r>
          </w:p>
        </w:tc>
        <w:tc>
          <w:tcPr>
            <w:tcW w:w="810" w:type="dxa"/>
            <w:tcBorders>
              <w:top w:val="nil"/>
              <w:left w:val="nil"/>
              <w:bottom w:val="single" w:sz="4" w:space="0" w:color="auto"/>
              <w:right w:val="single" w:sz="4" w:space="0" w:color="auto"/>
            </w:tcBorders>
            <w:noWrap/>
          </w:tcPr>
          <w:p w14:paraId="739EDA06"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57.7</w:t>
            </w:r>
          </w:p>
        </w:tc>
        <w:tc>
          <w:tcPr>
            <w:tcW w:w="810" w:type="dxa"/>
            <w:tcBorders>
              <w:top w:val="nil"/>
              <w:left w:val="nil"/>
              <w:bottom w:val="single" w:sz="4" w:space="0" w:color="auto"/>
              <w:right w:val="single" w:sz="4" w:space="0" w:color="auto"/>
            </w:tcBorders>
            <w:noWrap/>
          </w:tcPr>
          <w:p w14:paraId="301F1995"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33.3</w:t>
            </w:r>
          </w:p>
        </w:tc>
        <w:tc>
          <w:tcPr>
            <w:tcW w:w="810" w:type="dxa"/>
            <w:tcBorders>
              <w:top w:val="nil"/>
              <w:left w:val="nil"/>
              <w:bottom w:val="single" w:sz="4" w:space="0" w:color="auto"/>
              <w:right w:val="single" w:sz="4" w:space="0" w:color="auto"/>
            </w:tcBorders>
            <w:noWrap/>
          </w:tcPr>
          <w:p w14:paraId="34253748"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3011</w:t>
            </w:r>
          </w:p>
        </w:tc>
        <w:tc>
          <w:tcPr>
            <w:tcW w:w="900" w:type="dxa"/>
            <w:tcBorders>
              <w:top w:val="nil"/>
              <w:left w:val="nil"/>
              <w:bottom w:val="single" w:sz="4" w:space="0" w:color="auto"/>
              <w:right w:val="single" w:sz="4" w:space="0" w:color="auto"/>
            </w:tcBorders>
            <w:noWrap/>
          </w:tcPr>
          <w:p w14:paraId="12C689F2"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3124</w:t>
            </w:r>
          </w:p>
        </w:tc>
        <w:tc>
          <w:tcPr>
            <w:tcW w:w="810" w:type="dxa"/>
            <w:tcBorders>
              <w:top w:val="nil"/>
              <w:left w:val="nil"/>
              <w:bottom w:val="single" w:sz="4" w:space="0" w:color="auto"/>
              <w:right w:val="single" w:sz="4" w:space="0" w:color="auto"/>
            </w:tcBorders>
            <w:noWrap/>
          </w:tcPr>
          <w:p w14:paraId="65A6B2A6"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7.727</w:t>
            </w:r>
          </w:p>
        </w:tc>
        <w:tc>
          <w:tcPr>
            <w:tcW w:w="697" w:type="dxa"/>
            <w:tcBorders>
              <w:top w:val="nil"/>
              <w:left w:val="nil"/>
              <w:bottom w:val="single" w:sz="4" w:space="0" w:color="auto"/>
              <w:right w:val="single" w:sz="4" w:space="0" w:color="auto"/>
            </w:tcBorders>
            <w:noWrap/>
          </w:tcPr>
          <w:p w14:paraId="47206AD0"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.022</w:t>
            </w:r>
          </w:p>
        </w:tc>
      </w:tr>
      <w:tr w:rsidR="00C422EB" w:rsidRPr="00D50E1A" w14:paraId="511740EF" w14:textId="77777777" w:rsidTr="00C422EB">
        <w:trPr>
          <w:trHeight w:val="300"/>
          <w:jc w:val="center"/>
        </w:trPr>
        <w:tc>
          <w:tcPr>
            <w:tcW w:w="827" w:type="dxa"/>
            <w:vMerge/>
            <w:tcBorders>
              <w:top w:val="nil"/>
              <w:left w:val="single" w:sz="4" w:space="0" w:color="auto"/>
              <w:bottom w:val="single" w:sz="4" w:space="0" w:color="auto"/>
              <w:right w:val="single" w:sz="4" w:space="0" w:color="auto"/>
            </w:tcBorders>
            <w:vAlign w:val="center"/>
          </w:tcPr>
          <w:p w14:paraId="5F484F31" w14:textId="77777777" w:rsidR="00C422EB" w:rsidRPr="00D50E1A" w:rsidRDefault="00C422EB" w:rsidP="00115022">
            <w:pPr>
              <w:spacing w:before="40" w:after="40"/>
              <w:rPr>
                <w:rFonts w:ascii="Times New Roman" w:hAnsi="Times New Roman" w:cs="Times New Roman"/>
                <w:color w:val="000000"/>
                <w:sz w:val="24"/>
                <w:szCs w:val="24"/>
              </w:rPr>
            </w:pPr>
          </w:p>
        </w:tc>
        <w:tc>
          <w:tcPr>
            <w:tcW w:w="1530" w:type="dxa"/>
            <w:tcBorders>
              <w:top w:val="nil"/>
              <w:left w:val="nil"/>
              <w:bottom w:val="single" w:sz="4" w:space="0" w:color="auto"/>
              <w:right w:val="single" w:sz="4" w:space="0" w:color="auto"/>
            </w:tcBorders>
          </w:tcPr>
          <w:p w14:paraId="7412FA5E" w14:textId="77777777" w:rsidR="00C422EB" w:rsidRPr="00D50E1A" w:rsidRDefault="00C422EB" w:rsidP="00115022">
            <w:pPr>
              <w:spacing w:before="40" w:after="40"/>
              <w:rPr>
                <w:rFonts w:ascii="Times New Roman" w:hAnsi="Times New Roman" w:cs="Times New Roman"/>
                <w:color w:val="000000"/>
                <w:sz w:val="24"/>
                <w:szCs w:val="24"/>
              </w:rPr>
            </w:pPr>
            <w:r w:rsidRPr="00D50E1A">
              <w:rPr>
                <w:rFonts w:ascii="Times New Roman" w:hAnsi="Times New Roman" w:cs="Times New Roman"/>
                <w:color w:val="000000"/>
                <w:sz w:val="24"/>
                <w:szCs w:val="24"/>
              </w:rPr>
              <w:t>Treatment-B</w:t>
            </w:r>
          </w:p>
        </w:tc>
        <w:tc>
          <w:tcPr>
            <w:tcW w:w="990" w:type="dxa"/>
            <w:tcBorders>
              <w:top w:val="nil"/>
              <w:left w:val="nil"/>
              <w:bottom w:val="single" w:sz="4" w:space="0" w:color="auto"/>
              <w:right w:val="single" w:sz="4" w:space="0" w:color="auto"/>
            </w:tcBorders>
            <w:noWrap/>
          </w:tcPr>
          <w:p w14:paraId="171BD3C0"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3179</w:t>
            </w:r>
          </w:p>
        </w:tc>
        <w:tc>
          <w:tcPr>
            <w:tcW w:w="810" w:type="dxa"/>
            <w:tcBorders>
              <w:top w:val="nil"/>
              <w:left w:val="nil"/>
              <w:bottom w:val="single" w:sz="4" w:space="0" w:color="auto"/>
              <w:right w:val="single" w:sz="4" w:space="0" w:color="auto"/>
            </w:tcBorders>
            <w:noWrap/>
          </w:tcPr>
          <w:p w14:paraId="219719EF"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0.6</w:t>
            </w:r>
          </w:p>
        </w:tc>
        <w:tc>
          <w:tcPr>
            <w:tcW w:w="810" w:type="dxa"/>
            <w:tcBorders>
              <w:top w:val="nil"/>
              <w:left w:val="nil"/>
              <w:bottom w:val="single" w:sz="4" w:space="0" w:color="auto"/>
              <w:right w:val="single" w:sz="4" w:space="0" w:color="auto"/>
            </w:tcBorders>
            <w:noWrap/>
          </w:tcPr>
          <w:p w14:paraId="3CCAAD9B"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0.3</w:t>
            </w:r>
          </w:p>
        </w:tc>
        <w:tc>
          <w:tcPr>
            <w:tcW w:w="810" w:type="dxa"/>
            <w:tcBorders>
              <w:top w:val="nil"/>
              <w:left w:val="nil"/>
              <w:bottom w:val="single" w:sz="4" w:space="0" w:color="auto"/>
              <w:right w:val="single" w:sz="4" w:space="0" w:color="auto"/>
            </w:tcBorders>
            <w:noWrap/>
          </w:tcPr>
          <w:p w14:paraId="4672ED99"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3178</w:t>
            </w:r>
          </w:p>
        </w:tc>
        <w:tc>
          <w:tcPr>
            <w:tcW w:w="900" w:type="dxa"/>
            <w:tcBorders>
              <w:top w:val="nil"/>
              <w:left w:val="nil"/>
              <w:bottom w:val="single" w:sz="4" w:space="0" w:color="auto"/>
              <w:right w:val="single" w:sz="4" w:space="0" w:color="auto"/>
            </w:tcBorders>
            <w:noWrap/>
          </w:tcPr>
          <w:p w14:paraId="4211DBB3"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3179</w:t>
            </w:r>
          </w:p>
        </w:tc>
        <w:tc>
          <w:tcPr>
            <w:tcW w:w="810" w:type="dxa"/>
            <w:tcBorders>
              <w:top w:val="nil"/>
              <w:left w:val="nil"/>
              <w:bottom w:val="single" w:sz="4" w:space="0" w:color="auto"/>
              <w:right w:val="single" w:sz="4" w:space="0" w:color="auto"/>
            </w:tcBorders>
          </w:tcPr>
          <w:p w14:paraId="4226490E"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 </w:t>
            </w:r>
          </w:p>
        </w:tc>
        <w:tc>
          <w:tcPr>
            <w:tcW w:w="697" w:type="dxa"/>
            <w:tcBorders>
              <w:top w:val="nil"/>
              <w:left w:val="nil"/>
              <w:bottom w:val="single" w:sz="4" w:space="0" w:color="auto"/>
              <w:right w:val="single" w:sz="4" w:space="0" w:color="auto"/>
            </w:tcBorders>
          </w:tcPr>
          <w:p w14:paraId="51CD6E8F"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 </w:t>
            </w:r>
          </w:p>
        </w:tc>
      </w:tr>
      <w:tr w:rsidR="00C422EB" w:rsidRPr="00D50E1A" w14:paraId="332EFAF2" w14:textId="77777777" w:rsidTr="00C422EB">
        <w:trPr>
          <w:trHeight w:val="300"/>
          <w:jc w:val="center"/>
        </w:trPr>
        <w:tc>
          <w:tcPr>
            <w:tcW w:w="827" w:type="dxa"/>
            <w:vMerge/>
            <w:tcBorders>
              <w:top w:val="nil"/>
              <w:left w:val="single" w:sz="4" w:space="0" w:color="auto"/>
              <w:bottom w:val="single" w:sz="4" w:space="0" w:color="auto"/>
              <w:right w:val="single" w:sz="4" w:space="0" w:color="auto"/>
            </w:tcBorders>
            <w:vAlign w:val="center"/>
          </w:tcPr>
          <w:p w14:paraId="0422FAA0" w14:textId="77777777" w:rsidR="00C422EB" w:rsidRPr="00D50E1A" w:rsidRDefault="00C422EB" w:rsidP="00115022">
            <w:pPr>
              <w:spacing w:before="40" w:after="40"/>
              <w:rPr>
                <w:rFonts w:ascii="Times New Roman" w:hAnsi="Times New Roman" w:cs="Times New Roman"/>
                <w:color w:val="000000"/>
                <w:sz w:val="24"/>
                <w:szCs w:val="24"/>
              </w:rPr>
            </w:pPr>
          </w:p>
        </w:tc>
        <w:tc>
          <w:tcPr>
            <w:tcW w:w="1530" w:type="dxa"/>
            <w:tcBorders>
              <w:top w:val="nil"/>
              <w:left w:val="nil"/>
              <w:bottom w:val="single" w:sz="4" w:space="0" w:color="auto"/>
              <w:right w:val="single" w:sz="4" w:space="0" w:color="auto"/>
            </w:tcBorders>
          </w:tcPr>
          <w:p w14:paraId="4CF591E2" w14:textId="77777777" w:rsidR="00C422EB" w:rsidRPr="00D50E1A" w:rsidRDefault="00C422EB" w:rsidP="00115022">
            <w:pPr>
              <w:spacing w:before="40" w:after="40"/>
              <w:rPr>
                <w:rFonts w:ascii="Times New Roman" w:hAnsi="Times New Roman" w:cs="Times New Roman"/>
                <w:color w:val="000000"/>
                <w:sz w:val="24"/>
                <w:szCs w:val="24"/>
              </w:rPr>
            </w:pPr>
            <w:r w:rsidRPr="00D50E1A">
              <w:rPr>
                <w:rFonts w:ascii="Times New Roman" w:hAnsi="Times New Roman" w:cs="Times New Roman"/>
                <w:color w:val="000000"/>
                <w:sz w:val="24"/>
                <w:szCs w:val="24"/>
              </w:rPr>
              <w:t>Treatment-C</w:t>
            </w:r>
          </w:p>
        </w:tc>
        <w:tc>
          <w:tcPr>
            <w:tcW w:w="990" w:type="dxa"/>
            <w:tcBorders>
              <w:top w:val="nil"/>
              <w:left w:val="nil"/>
              <w:bottom w:val="single" w:sz="4" w:space="0" w:color="auto"/>
              <w:right w:val="single" w:sz="4" w:space="0" w:color="auto"/>
            </w:tcBorders>
            <w:noWrap/>
          </w:tcPr>
          <w:p w14:paraId="03EA6911"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3195</w:t>
            </w:r>
          </w:p>
        </w:tc>
        <w:tc>
          <w:tcPr>
            <w:tcW w:w="810" w:type="dxa"/>
            <w:tcBorders>
              <w:top w:val="nil"/>
              <w:left w:val="nil"/>
              <w:bottom w:val="single" w:sz="4" w:space="0" w:color="auto"/>
              <w:right w:val="single" w:sz="4" w:space="0" w:color="auto"/>
            </w:tcBorders>
            <w:noWrap/>
          </w:tcPr>
          <w:p w14:paraId="52CD5C1C"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54.1</w:t>
            </w:r>
          </w:p>
        </w:tc>
        <w:tc>
          <w:tcPr>
            <w:tcW w:w="810" w:type="dxa"/>
            <w:tcBorders>
              <w:top w:val="nil"/>
              <w:left w:val="nil"/>
              <w:bottom w:val="single" w:sz="4" w:space="0" w:color="auto"/>
              <w:right w:val="single" w:sz="4" w:space="0" w:color="auto"/>
            </w:tcBorders>
            <w:noWrap/>
          </w:tcPr>
          <w:p w14:paraId="2B537B16"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31.2</w:t>
            </w:r>
          </w:p>
        </w:tc>
        <w:tc>
          <w:tcPr>
            <w:tcW w:w="810" w:type="dxa"/>
            <w:tcBorders>
              <w:top w:val="nil"/>
              <w:left w:val="nil"/>
              <w:bottom w:val="single" w:sz="4" w:space="0" w:color="auto"/>
              <w:right w:val="single" w:sz="4" w:space="0" w:color="auto"/>
            </w:tcBorders>
            <w:noWrap/>
          </w:tcPr>
          <w:p w14:paraId="3CA5B776"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3150</w:t>
            </w:r>
          </w:p>
        </w:tc>
        <w:tc>
          <w:tcPr>
            <w:tcW w:w="900" w:type="dxa"/>
            <w:tcBorders>
              <w:top w:val="nil"/>
              <w:left w:val="nil"/>
              <w:bottom w:val="single" w:sz="4" w:space="0" w:color="auto"/>
              <w:right w:val="single" w:sz="4" w:space="0" w:color="auto"/>
            </w:tcBorders>
            <w:noWrap/>
          </w:tcPr>
          <w:p w14:paraId="3C7BF3BF"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3255</w:t>
            </w:r>
          </w:p>
        </w:tc>
        <w:tc>
          <w:tcPr>
            <w:tcW w:w="810" w:type="dxa"/>
            <w:tcBorders>
              <w:top w:val="nil"/>
              <w:left w:val="nil"/>
              <w:bottom w:val="single" w:sz="4" w:space="0" w:color="auto"/>
              <w:right w:val="single" w:sz="4" w:space="0" w:color="auto"/>
            </w:tcBorders>
          </w:tcPr>
          <w:p w14:paraId="7A42C3F8"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 </w:t>
            </w:r>
          </w:p>
        </w:tc>
        <w:tc>
          <w:tcPr>
            <w:tcW w:w="697" w:type="dxa"/>
            <w:tcBorders>
              <w:top w:val="nil"/>
              <w:left w:val="nil"/>
              <w:bottom w:val="single" w:sz="4" w:space="0" w:color="auto"/>
              <w:right w:val="single" w:sz="4" w:space="0" w:color="auto"/>
            </w:tcBorders>
          </w:tcPr>
          <w:p w14:paraId="6E64FC46" w14:textId="77777777" w:rsidR="00C422EB" w:rsidRPr="00D50E1A" w:rsidRDefault="00C422EB" w:rsidP="00115022">
            <w:pPr>
              <w:spacing w:before="40" w:after="40"/>
              <w:jc w:val="center"/>
              <w:rPr>
                <w:rFonts w:ascii="Times New Roman" w:hAnsi="Times New Roman" w:cs="Times New Roman"/>
                <w:color w:val="000000"/>
                <w:sz w:val="24"/>
                <w:szCs w:val="24"/>
              </w:rPr>
            </w:pPr>
            <w:r w:rsidRPr="00D50E1A">
              <w:rPr>
                <w:rFonts w:ascii="Times New Roman" w:hAnsi="Times New Roman" w:cs="Times New Roman"/>
                <w:color w:val="000000"/>
                <w:sz w:val="24"/>
                <w:szCs w:val="24"/>
              </w:rPr>
              <w:t> </w:t>
            </w:r>
          </w:p>
        </w:tc>
      </w:tr>
    </w:tbl>
    <w:p w14:paraId="2C5DF6F3" w14:textId="77777777" w:rsidR="00556C4A" w:rsidRPr="00D50E1A" w:rsidRDefault="00C422EB" w:rsidP="00C422EB">
      <w:pPr>
        <w:jc w:val="center"/>
        <w:rPr>
          <w:rFonts w:ascii="Times New Roman" w:hAnsi="Times New Roman" w:cs="Times New Roman"/>
          <w:color w:val="000000"/>
          <w:sz w:val="24"/>
          <w:szCs w:val="24"/>
          <w:lang w:eastAsia="en-IN"/>
        </w:rPr>
      </w:pPr>
      <w:r w:rsidRPr="00D50E1A">
        <w:rPr>
          <w:rFonts w:ascii="Times New Roman" w:hAnsi="Times New Roman" w:cs="Times New Roman"/>
          <w:b/>
          <w:color w:val="000000"/>
          <w:sz w:val="24"/>
          <w:szCs w:val="24"/>
          <w:lang w:eastAsia="en-IN"/>
        </w:rPr>
        <w:t>Treatment A</w:t>
      </w:r>
      <w:r w:rsidRPr="00D50E1A">
        <w:rPr>
          <w:rFonts w:ascii="Times New Roman" w:hAnsi="Times New Roman" w:cs="Times New Roman"/>
          <w:color w:val="000000"/>
          <w:sz w:val="24"/>
          <w:szCs w:val="24"/>
          <w:lang w:eastAsia="en-IN"/>
        </w:rPr>
        <w:t xml:space="preserve">: Feed with antibiotic (control group); </w:t>
      </w:r>
      <w:r w:rsidRPr="00D50E1A">
        <w:rPr>
          <w:rFonts w:ascii="Times New Roman" w:hAnsi="Times New Roman" w:cs="Times New Roman"/>
          <w:b/>
          <w:color w:val="000000"/>
          <w:sz w:val="24"/>
          <w:szCs w:val="24"/>
          <w:lang w:eastAsia="en-IN"/>
        </w:rPr>
        <w:t>Treatment B (experimental group)</w:t>
      </w:r>
      <w:r w:rsidRPr="00D50E1A">
        <w:rPr>
          <w:rFonts w:ascii="Times New Roman" w:hAnsi="Times New Roman" w:cs="Times New Roman"/>
          <w:color w:val="000000"/>
          <w:sz w:val="24"/>
          <w:szCs w:val="24"/>
          <w:lang w:eastAsia="en-IN"/>
        </w:rPr>
        <w:t xml:space="preserve">: Feed without antibiotic + 2 ml/kg </w:t>
      </w:r>
      <w:r w:rsidRPr="00D50E1A">
        <w:rPr>
          <w:rFonts w:ascii="Times New Roman" w:hAnsi="Times New Roman" w:cs="Times New Roman"/>
          <w:i/>
          <w:color w:val="000000"/>
          <w:sz w:val="24"/>
          <w:szCs w:val="24"/>
        </w:rPr>
        <w:t>tea tree</w:t>
      </w:r>
      <w:r w:rsidRPr="00D50E1A">
        <w:rPr>
          <w:rFonts w:ascii="Times New Roman" w:hAnsi="Times New Roman" w:cs="Times New Roman"/>
          <w:color w:val="000000"/>
          <w:sz w:val="24"/>
          <w:szCs w:val="24"/>
          <w:lang w:eastAsia="en-IN"/>
        </w:rPr>
        <w:t xml:space="preserve"> oil; </w:t>
      </w:r>
      <w:r w:rsidRPr="00D50E1A">
        <w:rPr>
          <w:rFonts w:ascii="Times New Roman" w:hAnsi="Times New Roman" w:cs="Times New Roman"/>
          <w:b/>
          <w:color w:val="000000"/>
          <w:sz w:val="24"/>
          <w:szCs w:val="24"/>
          <w:lang w:eastAsia="en-IN"/>
        </w:rPr>
        <w:t>Treatment C (experimental group)</w:t>
      </w:r>
      <w:r w:rsidRPr="00D50E1A">
        <w:rPr>
          <w:rFonts w:ascii="Times New Roman" w:hAnsi="Times New Roman" w:cs="Times New Roman"/>
          <w:color w:val="000000"/>
          <w:sz w:val="24"/>
          <w:szCs w:val="24"/>
          <w:lang w:eastAsia="en-IN"/>
        </w:rPr>
        <w:t xml:space="preserve">: Feed without antibiotic + 2 ml/kg </w:t>
      </w:r>
      <w:r w:rsidRPr="00D50E1A">
        <w:rPr>
          <w:rFonts w:ascii="Times New Roman" w:hAnsi="Times New Roman" w:cs="Times New Roman"/>
          <w:i/>
          <w:iCs/>
          <w:color w:val="000000"/>
          <w:sz w:val="24"/>
          <w:szCs w:val="24"/>
          <w:lang w:eastAsia="en-IN"/>
        </w:rPr>
        <w:t xml:space="preserve">thyme </w:t>
      </w:r>
      <w:r w:rsidRPr="00D50E1A">
        <w:rPr>
          <w:rFonts w:ascii="Times New Roman" w:hAnsi="Times New Roman" w:cs="Times New Roman"/>
          <w:color w:val="000000"/>
          <w:sz w:val="24"/>
          <w:szCs w:val="24"/>
          <w:lang w:eastAsia="en-IN"/>
        </w:rPr>
        <w:t>oil</w:t>
      </w:r>
    </w:p>
    <w:p w14:paraId="2BD7845F" w14:textId="77777777" w:rsidR="00C422EB" w:rsidRPr="00D50E1A" w:rsidRDefault="00C422EB" w:rsidP="00C422EB">
      <w:pPr>
        <w:jc w:val="center"/>
        <w:rPr>
          <w:rFonts w:ascii="Times New Roman" w:hAnsi="Times New Roman" w:cs="Times New Roman"/>
          <w:color w:val="000000"/>
          <w:sz w:val="24"/>
          <w:szCs w:val="24"/>
          <w:lang w:eastAsia="en-IN"/>
        </w:rPr>
      </w:pPr>
      <w:r w:rsidRPr="00D50E1A">
        <w:rPr>
          <w:b/>
          <w:noProof/>
          <w:color w:val="000000"/>
          <w:sz w:val="26"/>
          <w:szCs w:val="26"/>
        </w:rPr>
        <w:drawing>
          <wp:inline distT="0" distB="0" distL="0" distR="0" wp14:anchorId="139FFFD0" wp14:editId="7C257BD1">
            <wp:extent cx="5230495" cy="2508885"/>
            <wp:effectExtent l="19050" t="0" r="27069" b="5317"/>
            <wp:docPr id="4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FDFDEB" w14:textId="77777777" w:rsidR="00C422EB" w:rsidRPr="00D50E1A" w:rsidRDefault="00C422EB" w:rsidP="00C422EB">
      <w:pPr>
        <w:jc w:val="center"/>
        <w:rPr>
          <w:rFonts w:ascii="Times New Roman" w:hAnsi="Times New Roman" w:cs="Times New Roman"/>
          <w:b/>
          <w:color w:val="000000"/>
          <w:sz w:val="24"/>
          <w:szCs w:val="24"/>
          <w:lang w:eastAsia="en-IN"/>
        </w:rPr>
      </w:pPr>
      <w:r w:rsidRPr="00D50E1A">
        <w:rPr>
          <w:rFonts w:ascii="Times New Roman" w:hAnsi="Times New Roman" w:cs="Times New Roman"/>
          <w:b/>
          <w:color w:val="000000"/>
          <w:sz w:val="24"/>
          <w:szCs w:val="24"/>
        </w:rPr>
        <w:t>Fig. 2:</w:t>
      </w:r>
      <w:r w:rsidRPr="00D50E1A">
        <w:rPr>
          <w:rFonts w:ascii="Times New Roman" w:hAnsi="Times New Roman" w:cs="Times New Roman"/>
          <w:color w:val="000000"/>
          <w:sz w:val="24"/>
          <w:szCs w:val="24"/>
        </w:rPr>
        <w:t xml:space="preserve"> Live </w:t>
      </w:r>
      <w:r w:rsidRPr="00D50E1A">
        <w:rPr>
          <w:rFonts w:ascii="Times New Roman" w:hAnsi="Times New Roman" w:cs="Times New Roman"/>
          <w:color w:val="000000"/>
          <w:sz w:val="24"/>
          <w:szCs w:val="24"/>
          <w:lang w:eastAsia="en-IN"/>
        </w:rPr>
        <w:t>Body Weight after 6 weeks</w:t>
      </w:r>
    </w:p>
    <w:p w14:paraId="7C02C5D5" w14:textId="77777777" w:rsidR="00C422EB" w:rsidRPr="00D50E1A" w:rsidRDefault="00C422EB" w:rsidP="00C422EB">
      <w:pPr>
        <w:jc w:val="center"/>
        <w:rPr>
          <w:rFonts w:ascii="Times New Roman" w:hAnsi="Times New Roman" w:cs="Times New Roman"/>
          <w:color w:val="000000"/>
          <w:sz w:val="24"/>
          <w:szCs w:val="24"/>
          <w:lang w:eastAsia="en-IN"/>
        </w:rPr>
      </w:pPr>
    </w:p>
    <w:p w14:paraId="116C75B1" w14:textId="77777777" w:rsidR="00C422EB" w:rsidRPr="00D50E1A" w:rsidRDefault="00C422EB" w:rsidP="00C422EB">
      <w:pPr>
        <w:pStyle w:val="ListParagraph"/>
        <w:spacing w:line="336" w:lineRule="auto"/>
        <w:ind w:left="0" w:firstLine="720"/>
        <w:jc w:val="both"/>
        <w:rPr>
          <w:rFonts w:ascii="Times New Roman" w:hAnsi="Times New Roman" w:cs="Times New Roman"/>
          <w:color w:val="000000"/>
          <w:sz w:val="24"/>
          <w:szCs w:val="24"/>
        </w:rPr>
      </w:pPr>
      <w:r w:rsidRPr="00D50E1A">
        <w:t xml:space="preserve">Table 6 and Fig. 2 present the live body weights of the poultry birds after six weeks of feeding. The mean live body weight of birds receiving Treatment A was 3061 ± 57.7 g, compared with </w:t>
      </w:r>
      <w:r w:rsidRPr="00D50E1A">
        <w:lastRenderedPageBreak/>
        <w:t>3179 ± 0.6 g for Treatment B and 3195 ± 54.1 g for Treatment C. Treatment C therefore had the highest recorded mean live body weight after six weeks.</w:t>
      </w:r>
    </w:p>
    <w:p w14:paraId="08EBBDC7" w14:textId="77777777" w:rsidR="00C422EB" w:rsidRPr="00D50E1A" w:rsidRDefault="00C422EB" w:rsidP="00C422EB">
      <w:pPr>
        <w:pStyle w:val="ListParagraph"/>
        <w:spacing w:line="336" w:lineRule="auto"/>
        <w:ind w:left="0" w:firstLine="720"/>
        <w:jc w:val="both"/>
        <w:rPr>
          <w:rFonts w:ascii="Times New Roman" w:hAnsi="Times New Roman" w:cs="Times New Roman"/>
          <w:color w:val="000000"/>
        </w:rPr>
      </w:pPr>
      <w:r w:rsidRPr="00D50E1A">
        <w:t xml:space="preserve">Previous researchers have investigated the use of essential oils in poultry feed. For example, </w:t>
      </w:r>
      <w:proofErr w:type="spellStart"/>
      <w:r w:rsidRPr="00D50E1A">
        <w:t>Masouri</w:t>
      </w:r>
      <w:proofErr w:type="spellEnd"/>
      <w:r w:rsidRPr="00D50E1A">
        <w:t xml:space="preserve"> et al. (2017) supplemented broiler feed with </w:t>
      </w:r>
      <w:proofErr w:type="spellStart"/>
      <w:r w:rsidRPr="00D50E1A">
        <w:rPr>
          <w:i/>
        </w:rPr>
        <w:t>Satureja</w:t>
      </w:r>
      <w:proofErr w:type="spellEnd"/>
      <w:r w:rsidRPr="00D50E1A">
        <w:rPr>
          <w:i/>
        </w:rPr>
        <w:t xml:space="preserve"> </w:t>
      </w:r>
      <w:proofErr w:type="spellStart"/>
      <w:r w:rsidRPr="00D50E1A">
        <w:rPr>
          <w:i/>
        </w:rPr>
        <w:t>khuzistanica</w:t>
      </w:r>
      <w:proofErr w:type="spellEnd"/>
      <w:r w:rsidRPr="00D50E1A">
        <w:t xml:space="preserve"> essential oil in wheat- or maize-based diets and reported an improvement in the feed conversion ratio. The authors also stated that dietary supplementation with the essential oil increased the caecal population of </w:t>
      </w:r>
      <w:r w:rsidRPr="00D50E1A">
        <w:rPr>
          <w:i/>
        </w:rPr>
        <w:t>Lactobacillus</w:t>
      </w:r>
      <w:r w:rsidRPr="00D50E1A">
        <w:t xml:space="preserve"> and reduced the total bacterial and </w:t>
      </w:r>
      <w:r w:rsidRPr="00D50E1A">
        <w:rPr>
          <w:i/>
        </w:rPr>
        <w:t>Escherichia coli</w:t>
      </w:r>
      <w:r w:rsidRPr="00D50E1A">
        <w:t xml:space="preserve"> counts, indicating antimicrobial activity. Consistent with the findings reported for </w:t>
      </w:r>
      <w:proofErr w:type="spellStart"/>
      <w:r w:rsidRPr="00D50E1A">
        <w:rPr>
          <w:i/>
        </w:rPr>
        <w:t>Satureja</w:t>
      </w:r>
      <w:proofErr w:type="spellEnd"/>
      <w:r w:rsidRPr="00D50E1A">
        <w:rPr>
          <w:i/>
        </w:rPr>
        <w:t xml:space="preserve"> </w:t>
      </w:r>
      <w:proofErr w:type="spellStart"/>
      <w:r w:rsidRPr="00D50E1A">
        <w:rPr>
          <w:i/>
        </w:rPr>
        <w:t>khuzistanica</w:t>
      </w:r>
      <w:proofErr w:type="spellEnd"/>
      <w:r w:rsidRPr="00D50E1A">
        <w:t xml:space="preserve"> essential-oil supplementation, the present results also showed a positive effect of essential-oil addition on body-weight gain.</w:t>
      </w:r>
    </w:p>
    <w:p w14:paraId="56DC30CA" w14:textId="77777777" w:rsidR="00155B7E" w:rsidRPr="00D50E1A" w:rsidRDefault="00155B7E" w:rsidP="006F0A80">
      <w:pPr>
        <w:spacing w:after="0" w:line="360" w:lineRule="auto"/>
        <w:jc w:val="both"/>
        <w:rPr>
          <w:rFonts w:ascii="Times New Roman" w:hAnsi="Times New Roman" w:cs="Times New Roman"/>
          <w:color w:val="000000"/>
          <w:sz w:val="24"/>
          <w:szCs w:val="24"/>
          <w:shd w:val="clear" w:color="auto" w:fill="FFFFFF"/>
          <w:lang w:val="en-US"/>
        </w:rPr>
      </w:pPr>
    </w:p>
    <w:p w14:paraId="5848A9BF" w14:textId="77777777" w:rsidR="00155B7E" w:rsidRPr="00D50E1A" w:rsidRDefault="00155B7E" w:rsidP="00155B7E">
      <w:pPr>
        <w:spacing w:after="0" w:line="360" w:lineRule="auto"/>
        <w:jc w:val="both"/>
        <w:rPr>
          <w:rFonts w:ascii="Times New Roman" w:hAnsi="Times New Roman" w:cs="Times New Roman"/>
          <w:color w:val="000000"/>
          <w:sz w:val="24"/>
          <w:szCs w:val="24"/>
          <w:shd w:val="clear" w:color="auto" w:fill="FFFFFF"/>
          <w:lang w:val="en-US"/>
        </w:rPr>
      </w:pPr>
      <w:r w:rsidRPr="00D50E1A">
        <w:t>The birds assigned to Treatments B and C exhibited several favourable health indicators compared with the control group. These indicators included an erect posture, with the head and tail held high; well-developed facial features; bright and alert eyes; and smooth, clean, and well-maintained plumage. In addition, the birds had well-developed legs with smooth joints that were cool to the touch, together with body weights appropriate for their breed, age, and production stage. They also displayed vigorous and coordinated movement when handled, indicating satisfactory musculoskeletal development and physical condition.</w:t>
      </w:r>
    </w:p>
    <w:p w14:paraId="76A4E198" w14:textId="77777777" w:rsidR="00155B7E" w:rsidRPr="00D50E1A" w:rsidRDefault="00155B7E" w:rsidP="00155B7E">
      <w:pPr>
        <w:spacing w:after="0" w:line="360" w:lineRule="auto"/>
        <w:jc w:val="both"/>
        <w:rPr>
          <w:rFonts w:ascii="Times New Roman" w:hAnsi="Times New Roman" w:cs="Times New Roman"/>
          <w:color w:val="000000"/>
          <w:sz w:val="24"/>
          <w:szCs w:val="24"/>
          <w:shd w:val="clear" w:color="auto" w:fill="FFFFFF"/>
          <w:lang w:val="en-US"/>
        </w:rPr>
      </w:pPr>
    </w:p>
    <w:p w14:paraId="2E6F82ED" w14:textId="77777777" w:rsidR="00155B7E" w:rsidRPr="00D50E1A" w:rsidRDefault="00155B7E" w:rsidP="00155B7E">
      <w:pPr>
        <w:spacing w:after="0" w:line="360" w:lineRule="auto"/>
        <w:jc w:val="both"/>
        <w:rPr>
          <w:rFonts w:ascii="Times New Roman" w:hAnsi="Times New Roman" w:cs="Times New Roman"/>
          <w:color w:val="000000"/>
          <w:sz w:val="24"/>
          <w:szCs w:val="24"/>
          <w:shd w:val="clear" w:color="auto" w:fill="FFFFFF"/>
          <w:lang w:val="en-US"/>
        </w:rPr>
      </w:pPr>
      <w:r w:rsidRPr="00D50E1A">
        <w:t>Furthermore, the scales on the legs and feet appeared clean, smooth, and waxy, whereas skin pigmentation was characteristic of the respective breed, strain, age, and physiological status of the birds. The birds maintained normal feeding and drinking behaviour, indicating a satisfactory appetite and general well-being. None of the birds in Treatments B or C exhibited clinical signs of respiratory distress, such as laboured breathing, gasping, nasal discharge, or abnormal respiratory sounds. Collectively, these observations indicate that the birds receiving Treatments B and C maintained favourable recorded health indicators throughout the experimental period.</w:t>
      </w:r>
    </w:p>
    <w:p w14:paraId="06FE7792" w14:textId="77777777" w:rsidR="00155B7E" w:rsidRPr="00D50E1A" w:rsidRDefault="00155B7E" w:rsidP="00155B7E">
      <w:pPr>
        <w:spacing w:after="0" w:line="360" w:lineRule="auto"/>
        <w:jc w:val="both"/>
        <w:rPr>
          <w:rFonts w:ascii="Times New Roman" w:hAnsi="Times New Roman" w:cs="Times New Roman"/>
          <w:color w:val="000000"/>
          <w:sz w:val="24"/>
          <w:szCs w:val="24"/>
          <w:shd w:val="clear" w:color="auto" w:fill="FFFFFF"/>
          <w:lang w:val="en-US"/>
        </w:rPr>
      </w:pPr>
    </w:p>
    <w:p w14:paraId="6B3DDBBA" w14:textId="77777777" w:rsidR="006313CA" w:rsidRPr="00D50E1A" w:rsidRDefault="006313CA" w:rsidP="006313CA">
      <w:pPr>
        <w:tabs>
          <w:tab w:val="num" w:pos="720"/>
        </w:tabs>
        <w:spacing w:after="0" w:line="360" w:lineRule="auto"/>
        <w:jc w:val="both"/>
        <w:rPr>
          <w:rFonts w:ascii="Times New Roman" w:hAnsi="Times New Roman" w:cs="Times New Roman"/>
          <w:color w:val="000000"/>
          <w:sz w:val="24"/>
          <w:szCs w:val="24"/>
          <w:shd w:val="clear" w:color="auto" w:fill="FFFFFF"/>
        </w:rPr>
      </w:pPr>
      <w:r w:rsidRPr="00D50E1A">
        <w:t>The study showed that tea tree oil and thyme oil had antimicrobial activity and may have potential as alternatives to commercially used antibiotics in poultry feed for infection control. The oils may also have potential as alternatives to antibiotic growth promoters such as bacitracin and colistin, which are still used in some countries.</w:t>
      </w:r>
    </w:p>
    <w:p w14:paraId="3F23578C" w14:textId="77777777" w:rsidR="006313CA" w:rsidRPr="00D50E1A" w:rsidRDefault="006313CA" w:rsidP="00E0698E">
      <w:pPr>
        <w:spacing w:after="0" w:line="360" w:lineRule="auto"/>
        <w:ind w:firstLine="720"/>
        <w:jc w:val="both"/>
        <w:rPr>
          <w:rFonts w:ascii="Times New Roman" w:hAnsi="Times New Roman" w:cs="Times New Roman"/>
          <w:color w:val="000000"/>
          <w:sz w:val="24"/>
          <w:szCs w:val="24"/>
          <w:shd w:val="clear" w:color="auto" w:fill="FFFFFF"/>
        </w:rPr>
      </w:pPr>
    </w:p>
    <w:p w14:paraId="49E25BC4" w14:textId="77777777" w:rsidR="00C40E55" w:rsidRPr="00D50E1A" w:rsidRDefault="00C40E55" w:rsidP="00C40E55">
      <w:pPr>
        <w:spacing w:after="0" w:line="360" w:lineRule="auto"/>
        <w:jc w:val="both"/>
        <w:rPr>
          <w:rFonts w:ascii="Times New Roman" w:eastAsia="Times New Roman" w:hAnsi="Times New Roman" w:cs="Times New Roman"/>
          <w:b/>
          <w:color w:val="000000"/>
          <w:sz w:val="24"/>
          <w:szCs w:val="24"/>
          <w:lang w:eastAsia="en-IN"/>
        </w:rPr>
      </w:pPr>
      <w:r w:rsidRPr="00D50E1A">
        <w:rPr>
          <w:rFonts w:ascii="Times New Roman" w:eastAsia="Times New Roman" w:hAnsi="Times New Roman" w:cs="Times New Roman"/>
          <w:b/>
          <w:color w:val="000000"/>
          <w:sz w:val="24"/>
          <w:szCs w:val="24"/>
          <w:lang w:eastAsia="en-IN"/>
        </w:rPr>
        <w:t>4.0</w:t>
      </w:r>
      <w:r w:rsidRPr="00D50E1A">
        <w:rPr>
          <w:rFonts w:ascii="Times New Roman" w:eastAsia="Times New Roman" w:hAnsi="Times New Roman" w:cs="Times New Roman"/>
          <w:b/>
          <w:color w:val="000000"/>
          <w:sz w:val="24"/>
          <w:szCs w:val="24"/>
          <w:lang w:eastAsia="en-IN"/>
        </w:rPr>
        <w:tab/>
        <w:t xml:space="preserve">Conclusions: </w:t>
      </w:r>
    </w:p>
    <w:p w14:paraId="0BE75A1A" w14:textId="77777777" w:rsidR="00E57A24" w:rsidRPr="00D50E1A" w:rsidRDefault="00E57A24" w:rsidP="00E57A24">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D50E1A">
        <w:lastRenderedPageBreak/>
        <w:t xml:space="preserve">The study indicates that the essential oils of </w:t>
      </w:r>
      <w:r w:rsidRPr="00D50E1A">
        <w:rPr>
          <w:i/>
        </w:rPr>
        <w:t>Thymus vulgaris</w:t>
      </w:r>
      <w:r w:rsidRPr="00D50E1A">
        <w:t xml:space="preserve"> and </w:t>
      </w:r>
      <w:r w:rsidRPr="00D50E1A">
        <w:rPr>
          <w:i/>
        </w:rPr>
        <w:t>Melaleuca alternifolia</w:t>
      </w:r>
      <w:r w:rsidRPr="00D50E1A">
        <w:t xml:space="preserve"> had inhibitory activity against selected bacterial pathogens isolated from broiler chickens. The identified pathogens included </w:t>
      </w:r>
      <w:r w:rsidRPr="00D50E1A">
        <w:rPr>
          <w:i/>
        </w:rPr>
        <w:t>Escherichia coli</w:t>
      </w:r>
      <w:r w:rsidRPr="00D50E1A">
        <w:t xml:space="preserve"> serotypes, </w:t>
      </w:r>
      <w:r w:rsidRPr="00D50E1A">
        <w:rPr>
          <w:i/>
        </w:rPr>
        <w:t>Staphylococcus aureus</w:t>
      </w:r>
      <w:r w:rsidRPr="00D50E1A">
        <w:t xml:space="preserve">, </w:t>
      </w:r>
      <w:r w:rsidRPr="00D50E1A">
        <w:rPr>
          <w:i/>
        </w:rPr>
        <w:t>Staphylococcus carnosus</w:t>
      </w:r>
      <w:r w:rsidRPr="00D50E1A">
        <w:t xml:space="preserve">, and </w:t>
      </w:r>
      <w:r w:rsidRPr="00D50E1A">
        <w:rPr>
          <w:i/>
        </w:rPr>
        <w:t xml:space="preserve">Salmonella </w:t>
      </w:r>
      <w:proofErr w:type="spellStart"/>
      <w:r w:rsidRPr="00D50E1A">
        <w:rPr>
          <w:i/>
        </w:rPr>
        <w:t>gallinarum</w:t>
      </w:r>
      <w:proofErr w:type="spellEnd"/>
      <w:r w:rsidRPr="00D50E1A">
        <w:t xml:space="preserve">. Thyme oil showed comparatively greater inhibitory activity against </w:t>
      </w:r>
      <w:r w:rsidRPr="00D50E1A">
        <w:rPr>
          <w:i/>
        </w:rPr>
        <w:t>Escherichia coli</w:t>
      </w:r>
      <w:r w:rsidRPr="00D50E1A">
        <w:t xml:space="preserve"> and the staphylococcal isolates, whereas both oils showed very high inhibitory activity against </w:t>
      </w:r>
      <w:r w:rsidRPr="00D50E1A">
        <w:rPr>
          <w:i/>
        </w:rPr>
        <w:t xml:space="preserve">Salmonella </w:t>
      </w:r>
      <w:proofErr w:type="spellStart"/>
      <w:r w:rsidRPr="00D50E1A">
        <w:rPr>
          <w:i/>
        </w:rPr>
        <w:t>gallinarum</w:t>
      </w:r>
      <w:proofErr w:type="spellEnd"/>
      <w:r w:rsidRPr="00D50E1A">
        <w:t>. In the feeding trial, birds receiving thyme oil or tea tree oil had a lower recorded prevalence of infection than the control birds. These results suggest that the tested essential oils may have supportive value as antimicrobial feed additives in broiler production. However, broader validation is required before practical field-level recommendations can be made.</w:t>
      </w:r>
    </w:p>
    <w:p w14:paraId="45786080" w14:textId="77777777" w:rsidR="00E57A24" w:rsidRPr="00D50E1A" w:rsidRDefault="00E57A24" w:rsidP="00E57A24">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D50E1A">
        <w:rPr>
          <w:rFonts w:ascii="Times New Roman" w:eastAsia="Times New Roman" w:hAnsi="Times New Roman" w:cs="Times New Roman"/>
          <w:b/>
          <w:bCs/>
          <w:kern w:val="0"/>
          <w:sz w:val="36"/>
          <w:szCs w:val="36"/>
          <w:lang w:val="en-US"/>
          <w14:ligatures w14:val="none"/>
        </w:rPr>
        <w:t>Limitation</w:t>
      </w:r>
    </w:p>
    <w:p w14:paraId="4C00CA97" w14:textId="77777777" w:rsidR="00402D6F" w:rsidRDefault="00402D6F" w:rsidP="00E57A24">
      <w:pPr>
        <w:spacing w:after="0" w:line="240" w:lineRule="auto"/>
      </w:pPr>
      <w:r w:rsidRPr="00402D6F">
        <w:t>The study was limited by the small group size, the brief description of randomisation, housing, feed composition, and statistical procedures, and the absence of essential-oil chemical profiling. The infection assessment and health observations were not supported by a controlled pathogen-challenge design or detailed diagnostic follow-up. Although a dietary inclusion level of 2 mL/kg was reported, dose-response and safety assessments were not undertaken. The short trial duration and single experimental setting also limit generalisability. Larger replicated studies with predefined outcomes, detailed statistical methods, chemical characterisation of the oils, and appropriate ethical documentation are needed.</w:t>
      </w:r>
    </w:p>
    <w:p w14:paraId="3648A369" w14:textId="77777777" w:rsidR="00402D6F" w:rsidRDefault="00402D6F" w:rsidP="00E57A24">
      <w:pPr>
        <w:spacing w:after="0" w:line="240" w:lineRule="auto"/>
      </w:pPr>
    </w:p>
    <w:p w14:paraId="41E2BCAF" w14:textId="5568F33F" w:rsidR="00E57A24" w:rsidRPr="00D50E1A" w:rsidRDefault="00E57A24" w:rsidP="00E57A24">
      <w:pPr>
        <w:spacing w:after="0" w:line="240" w:lineRule="auto"/>
        <w:rPr>
          <w:rFonts w:ascii="Times New Roman" w:eastAsia="Calibri" w:hAnsi="Times New Roman" w:cs="Times New Roman"/>
          <w:b/>
          <w:kern w:val="0"/>
          <w:lang w:val="en-US"/>
          <w14:ligatures w14:val="none"/>
        </w:rPr>
      </w:pPr>
      <w:r w:rsidRPr="00D50E1A">
        <w:rPr>
          <w:rFonts w:ascii="Times New Roman" w:eastAsia="Calibri" w:hAnsi="Times New Roman" w:cs="Times New Roman"/>
          <w:b/>
          <w:kern w:val="0"/>
          <w:lang w:val="en-US"/>
          <w14:ligatures w14:val="none"/>
        </w:rPr>
        <w:t>Declaration of AI Use</w:t>
      </w:r>
    </w:p>
    <w:p w14:paraId="326D4C9B" w14:textId="77777777" w:rsidR="00E57A24" w:rsidRPr="00D50E1A" w:rsidRDefault="00E57A24" w:rsidP="00E57A24">
      <w:pPr>
        <w:spacing w:after="0" w:line="240" w:lineRule="auto"/>
        <w:rPr>
          <w:rFonts w:ascii="Times New Roman" w:eastAsia="Calibri" w:hAnsi="Times New Roman" w:cs="Times New Roman"/>
          <w:kern w:val="0"/>
          <w:lang w:val="en-US"/>
          <w14:ligatures w14:val="none"/>
        </w:rPr>
      </w:pPr>
    </w:p>
    <w:p w14:paraId="2620B7A4" w14:textId="77777777" w:rsidR="00E57A24" w:rsidRPr="00D50E1A" w:rsidRDefault="00E57A24" w:rsidP="00E57A24">
      <w:pPr>
        <w:spacing w:after="0" w:line="240" w:lineRule="auto"/>
        <w:jc w:val="both"/>
        <w:rPr>
          <w:rFonts w:ascii="Times New Roman" w:eastAsia="Calibri" w:hAnsi="Times New Roman" w:cs="Times New Roman"/>
          <w:kern w:val="0"/>
          <w:lang w:val="en-US"/>
          <w14:ligatures w14:val="none"/>
        </w:rPr>
      </w:pPr>
      <w:r w:rsidRPr="00D50E1A">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031E68B" w14:textId="77777777" w:rsidR="00E57A24" w:rsidRPr="00D50E1A" w:rsidRDefault="00E57A24" w:rsidP="00E57A24">
      <w:pPr>
        <w:spacing w:after="0" w:line="240" w:lineRule="auto"/>
        <w:jc w:val="both"/>
        <w:rPr>
          <w:rFonts w:ascii="Times New Roman" w:eastAsia="Calibri" w:hAnsi="Times New Roman" w:cs="Times New Roman"/>
          <w:kern w:val="0"/>
          <w:lang w:val="en-US"/>
          <w14:ligatures w14:val="none"/>
        </w:rPr>
      </w:pPr>
    </w:p>
    <w:p w14:paraId="256645C7" w14:textId="77777777" w:rsidR="00E57A24" w:rsidRPr="00D50E1A" w:rsidRDefault="00E57A24" w:rsidP="00E57A24">
      <w:pPr>
        <w:spacing w:after="0" w:line="240" w:lineRule="auto"/>
        <w:jc w:val="both"/>
        <w:rPr>
          <w:rFonts w:ascii="Times New Roman" w:eastAsia="Calibri" w:hAnsi="Times New Roman" w:cs="Times New Roman"/>
          <w:kern w:val="0"/>
          <w:lang w:val="en-US"/>
          <w14:ligatures w14:val="none"/>
        </w:rPr>
      </w:pPr>
    </w:p>
    <w:p w14:paraId="5F8FB09E" w14:textId="77777777" w:rsidR="00E57A24" w:rsidRPr="00D50E1A" w:rsidRDefault="00E57A24" w:rsidP="00E57A24">
      <w:pPr>
        <w:rPr>
          <w:rFonts w:ascii="Times New Roman" w:eastAsia="Times New Roman" w:hAnsi="Times New Roman" w:cs="Times New Roman"/>
          <w:b/>
          <w:bCs/>
          <w:kern w:val="0"/>
          <w:lang w:val="en-GB" w:eastAsia="en-GB"/>
          <w14:ligatures w14:val="none"/>
        </w:rPr>
      </w:pPr>
      <w:r w:rsidRPr="00D50E1A">
        <w:rPr>
          <w:rFonts w:ascii="Times New Roman" w:eastAsia="Times New Roman" w:hAnsi="Times New Roman" w:cs="Times New Roman"/>
          <w:b/>
          <w:bCs/>
          <w:kern w:val="0"/>
          <w:lang w:val="en-GB" w:eastAsia="en-GB"/>
          <w14:ligatures w14:val="none"/>
        </w:rPr>
        <w:t>COMPETING INTERESTS:</w:t>
      </w:r>
    </w:p>
    <w:p w14:paraId="2677889F" w14:textId="77777777" w:rsidR="00E57A24" w:rsidRPr="00D50E1A" w:rsidRDefault="00E57A24" w:rsidP="00E57A24">
      <w:pPr>
        <w:rPr>
          <w:rFonts w:ascii="Times New Roman" w:eastAsia="Times New Roman" w:hAnsi="Times New Roman" w:cs="Times New Roman"/>
          <w:kern w:val="0"/>
          <w:lang w:val="en-GB" w:eastAsia="en-GB"/>
          <w14:ligatures w14:val="none"/>
        </w:rPr>
      </w:pPr>
      <w:r w:rsidRPr="00D50E1A">
        <w:rPr>
          <w:rFonts w:ascii="Times New Roman" w:eastAsia="Times New Roman" w:hAnsi="Times New Roman" w:cs="Times New Roman"/>
          <w:kern w:val="0"/>
          <w:lang w:val="en-GB" w:eastAsia="en-GB"/>
          <w14:ligatures w14:val="none"/>
        </w:rPr>
        <w:t>Authors have declared that they have no known competing financial interests OR non-financial interests OR personal relationships that could have appeared to influence the work reported in this paper.</w:t>
      </w:r>
    </w:p>
    <w:p w14:paraId="52C112D4" w14:textId="77777777" w:rsidR="00C40E55" w:rsidRPr="00D50E1A" w:rsidRDefault="00C40E55" w:rsidP="005F11BF">
      <w:pPr>
        <w:spacing w:after="0" w:line="360" w:lineRule="auto"/>
        <w:ind w:left="720"/>
        <w:jc w:val="both"/>
        <w:rPr>
          <w:rFonts w:ascii="Times New Roman" w:hAnsi="Times New Roman" w:cs="Times New Roman"/>
          <w:color w:val="000000"/>
          <w:sz w:val="24"/>
          <w:szCs w:val="24"/>
          <w:shd w:val="clear" w:color="auto" w:fill="FFFFFF"/>
        </w:rPr>
      </w:pPr>
    </w:p>
    <w:p w14:paraId="53FC2B67" w14:textId="77777777" w:rsidR="00E57A24" w:rsidRPr="00D50E1A" w:rsidRDefault="00E57A24" w:rsidP="005F11BF">
      <w:pPr>
        <w:spacing w:after="0" w:line="360" w:lineRule="auto"/>
        <w:ind w:left="720"/>
        <w:jc w:val="both"/>
        <w:rPr>
          <w:rFonts w:ascii="Times New Roman" w:hAnsi="Times New Roman" w:cs="Times New Roman"/>
          <w:color w:val="000000"/>
          <w:sz w:val="24"/>
          <w:szCs w:val="24"/>
          <w:shd w:val="clear" w:color="auto" w:fill="FFFFFF"/>
        </w:rPr>
      </w:pPr>
    </w:p>
    <w:p w14:paraId="0C19E6D6" w14:textId="77777777" w:rsidR="00E57A24" w:rsidRPr="00D50E1A" w:rsidRDefault="00E57A24" w:rsidP="005F11BF">
      <w:pPr>
        <w:spacing w:after="0" w:line="360" w:lineRule="auto"/>
        <w:ind w:left="720"/>
        <w:jc w:val="both"/>
        <w:rPr>
          <w:rFonts w:ascii="Times New Roman" w:hAnsi="Times New Roman" w:cs="Times New Roman"/>
          <w:color w:val="000000"/>
          <w:sz w:val="24"/>
          <w:szCs w:val="24"/>
          <w:shd w:val="clear" w:color="auto" w:fill="FFFFFF"/>
        </w:rPr>
      </w:pPr>
    </w:p>
    <w:p w14:paraId="58B9601B" w14:textId="77777777" w:rsidR="00C40E55" w:rsidRDefault="005F11BF" w:rsidP="005F11BF">
      <w:pPr>
        <w:spacing w:after="0" w:line="360" w:lineRule="auto"/>
        <w:ind w:left="360"/>
        <w:jc w:val="both"/>
        <w:rPr>
          <w:rFonts w:ascii="Times New Roman" w:hAnsi="Times New Roman" w:cs="Times New Roman"/>
          <w:b/>
          <w:color w:val="000000"/>
          <w:sz w:val="24"/>
          <w:szCs w:val="24"/>
          <w:shd w:val="clear" w:color="auto" w:fill="FFFFFF"/>
        </w:rPr>
      </w:pPr>
      <w:r w:rsidRPr="00D50E1A">
        <w:rPr>
          <w:rFonts w:ascii="Times New Roman" w:hAnsi="Times New Roman" w:cs="Times New Roman"/>
          <w:b/>
          <w:color w:val="000000"/>
          <w:sz w:val="24"/>
          <w:szCs w:val="24"/>
          <w:shd w:val="clear" w:color="auto" w:fill="FFFFFF"/>
        </w:rPr>
        <w:t>References</w:t>
      </w:r>
    </w:p>
    <w:p w14:paraId="35D2778B"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Abd El-Hack, M. E., El-</w:t>
      </w:r>
      <w:proofErr w:type="spellStart"/>
      <w:r w:rsidRPr="0042463F">
        <w:rPr>
          <w:rFonts w:ascii="Times New Roman" w:eastAsia="Times New Roman" w:hAnsi="Times New Roman" w:cs="Times New Roman"/>
          <w:kern w:val="0"/>
          <w:sz w:val="24"/>
          <w:szCs w:val="24"/>
          <w:lang w:val="en-US"/>
          <w14:ligatures w14:val="none"/>
        </w:rPr>
        <w:t>Saadony</w:t>
      </w:r>
      <w:proofErr w:type="spellEnd"/>
      <w:r w:rsidRPr="0042463F">
        <w:rPr>
          <w:rFonts w:ascii="Times New Roman" w:eastAsia="Times New Roman" w:hAnsi="Times New Roman" w:cs="Times New Roman"/>
          <w:kern w:val="0"/>
          <w:sz w:val="24"/>
          <w:szCs w:val="24"/>
          <w:lang w:val="en-US"/>
          <w14:ligatures w14:val="none"/>
        </w:rPr>
        <w:t xml:space="preserve">, M. T., Saad, A. M., Salem, H. M., Ashry, N. M., Abo Ghanima, M. M., </w:t>
      </w:r>
      <w:proofErr w:type="spellStart"/>
      <w:r w:rsidRPr="0042463F">
        <w:rPr>
          <w:rFonts w:ascii="Times New Roman" w:eastAsia="Times New Roman" w:hAnsi="Times New Roman" w:cs="Times New Roman"/>
          <w:kern w:val="0"/>
          <w:sz w:val="24"/>
          <w:szCs w:val="24"/>
          <w:lang w:val="en-US"/>
          <w14:ligatures w14:val="none"/>
        </w:rPr>
        <w:t>Shukry</w:t>
      </w:r>
      <w:proofErr w:type="spellEnd"/>
      <w:r w:rsidRPr="0042463F">
        <w:rPr>
          <w:rFonts w:ascii="Times New Roman" w:eastAsia="Times New Roman" w:hAnsi="Times New Roman" w:cs="Times New Roman"/>
          <w:kern w:val="0"/>
          <w:sz w:val="24"/>
          <w:szCs w:val="24"/>
          <w:lang w:val="en-US"/>
          <w14:ligatures w14:val="none"/>
        </w:rPr>
        <w:t xml:space="preserve">, M., </w:t>
      </w:r>
      <w:proofErr w:type="spellStart"/>
      <w:r w:rsidRPr="0042463F">
        <w:rPr>
          <w:rFonts w:ascii="Times New Roman" w:eastAsia="Times New Roman" w:hAnsi="Times New Roman" w:cs="Times New Roman"/>
          <w:kern w:val="0"/>
          <w:sz w:val="24"/>
          <w:szCs w:val="24"/>
          <w:lang w:val="en-US"/>
          <w14:ligatures w14:val="none"/>
        </w:rPr>
        <w:t>Swelum</w:t>
      </w:r>
      <w:proofErr w:type="spellEnd"/>
      <w:r w:rsidRPr="0042463F">
        <w:rPr>
          <w:rFonts w:ascii="Times New Roman" w:eastAsia="Times New Roman" w:hAnsi="Times New Roman" w:cs="Times New Roman"/>
          <w:kern w:val="0"/>
          <w:sz w:val="24"/>
          <w:szCs w:val="24"/>
          <w:lang w:val="en-US"/>
          <w14:ligatures w14:val="none"/>
        </w:rPr>
        <w:t xml:space="preserve">, A. A., Taha, A. E., El-Tahan, A. M., </w:t>
      </w:r>
      <w:proofErr w:type="spellStart"/>
      <w:r w:rsidRPr="0042463F">
        <w:rPr>
          <w:rFonts w:ascii="Times New Roman" w:eastAsia="Times New Roman" w:hAnsi="Times New Roman" w:cs="Times New Roman"/>
          <w:kern w:val="0"/>
          <w:sz w:val="24"/>
          <w:szCs w:val="24"/>
          <w:lang w:val="en-US"/>
          <w14:ligatures w14:val="none"/>
        </w:rPr>
        <w:t>AbuQamar</w:t>
      </w:r>
      <w:proofErr w:type="spellEnd"/>
      <w:r w:rsidRPr="0042463F">
        <w:rPr>
          <w:rFonts w:ascii="Times New Roman" w:eastAsia="Times New Roman" w:hAnsi="Times New Roman" w:cs="Times New Roman"/>
          <w:kern w:val="0"/>
          <w:sz w:val="24"/>
          <w:szCs w:val="24"/>
          <w:lang w:val="en-US"/>
          <w14:ligatures w14:val="none"/>
        </w:rPr>
        <w:t>, S. F., &amp; El-</w:t>
      </w:r>
      <w:proofErr w:type="spellStart"/>
      <w:r w:rsidRPr="0042463F">
        <w:rPr>
          <w:rFonts w:ascii="Times New Roman" w:eastAsia="Times New Roman" w:hAnsi="Times New Roman" w:cs="Times New Roman"/>
          <w:kern w:val="0"/>
          <w:sz w:val="24"/>
          <w:szCs w:val="24"/>
          <w:lang w:val="en-US"/>
          <w14:ligatures w14:val="none"/>
        </w:rPr>
        <w:t>Tarabily</w:t>
      </w:r>
      <w:proofErr w:type="spellEnd"/>
      <w:r w:rsidRPr="0042463F">
        <w:rPr>
          <w:rFonts w:ascii="Times New Roman" w:eastAsia="Times New Roman" w:hAnsi="Times New Roman" w:cs="Times New Roman"/>
          <w:kern w:val="0"/>
          <w:sz w:val="24"/>
          <w:szCs w:val="24"/>
          <w:lang w:val="en-US"/>
          <w14:ligatures w14:val="none"/>
        </w:rPr>
        <w:t xml:space="preserve">, K. A. (2022). Essential oils and their </w:t>
      </w:r>
      <w:proofErr w:type="spellStart"/>
      <w:r w:rsidRPr="0042463F">
        <w:rPr>
          <w:rFonts w:ascii="Times New Roman" w:eastAsia="Times New Roman" w:hAnsi="Times New Roman" w:cs="Times New Roman"/>
          <w:kern w:val="0"/>
          <w:sz w:val="24"/>
          <w:szCs w:val="24"/>
          <w:lang w:val="en-US"/>
          <w14:ligatures w14:val="none"/>
        </w:rPr>
        <w:t>nanoemulsions</w:t>
      </w:r>
      <w:proofErr w:type="spellEnd"/>
      <w:r w:rsidRPr="0042463F">
        <w:rPr>
          <w:rFonts w:ascii="Times New Roman" w:eastAsia="Times New Roman" w:hAnsi="Times New Roman" w:cs="Times New Roman"/>
          <w:kern w:val="0"/>
          <w:sz w:val="24"/>
          <w:szCs w:val="24"/>
          <w:lang w:val="en-US"/>
          <w14:ligatures w14:val="none"/>
        </w:rPr>
        <w:t xml:space="preserve"> as green alternatives to antibiotics in poultry nutrition: A comprehensive review. </w:t>
      </w:r>
      <w:r w:rsidRPr="0042463F">
        <w:rPr>
          <w:rFonts w:ascii="Times New Roman" w:eastAsia="Times New Roman" w:hAnsi="Times New Roman" w:cs="Times New Roman"/>
          <w:i/>
          <w:iCs/>
          <w:kern w:val="0"/>
          <w:sz w:val="24"/>
          <w:szCs w:val="24"/>
          <w:lang w:val="en-US"/>
          <w14:ligatures w14:val="none"/>
        </w:rPr>
        <w:t>Poultry Science, 101</w:t>
      </w:r>
      <w:r w:rsidRPr="0042463F">
        <w:rPr>
          <w:rFonts w:ascii="Times New Roman" w:eastAsia="Times New Roman" w:hAnsi="Times New Roman" w:cs="Times New Roman"/>
          <w:kern w:val="0"/>
          <w:sz w:val="24"/>
          <w:szCs w:val="24"/>
          <w:lang w:val="en-US"/>
          <w14:ligatures w14:val="none"/>
        </w:rPr>
        <w:t xml:space="preserve">(2), 101584. </w:t>
      </w:r>
      <w:hyperlink r:id="rId10" w:history="1">
        <w:r w:rsidRPr="0042463F">
          <w:rPr>
            <w:rFonts w:ascii="Times New Roman" w:eastAsia="Times New Roman" w:hAnsi="Times New Roman" w:cs="Times New Roman"/>
            <w:color w:val="0000FF"/>
            <w:kern w:val="0"/>
            <w:sz w:val="24"/>
            <w:szCs w:val="24"/>
            <w:u w:val="single"/>
            <w:lang w:val="en-US"/>
            <w14:ligatures w14:val="none"/>
          </w:rPr>
          <w:t>https://doi.org/10.1016/j.psj.2021.101584</w:t>
        </w:r>
      </w:hyperlink>
    </w:p>
    <w:p w14:paraId="6640D075"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lastRenderedPageBreak/>
        <w:t>Afam-</w:t>
      </w:r>
      <w:proofErr w:type="spellStart"/>
      <w:r w:rsidRPr="0042463F">
        <w:rPr>
          <w:rFonts w:ascii="Times New Roman" w:eastAsia="Times New Roman" w:hAnsi="Times New Roman" w:cs="Times New Roman"/>
          <w:kern w:val="0"/>
          <w:sz w:val="24"/>
          <w:szCs w:val="24"/>
          <w:lang w:val="en-US"/>
          <w14:ligatures w14:val="none"/>
        </w:rPr>
        <w:t>Ezeaku</w:t>
      </w:r>
      <w:proofErr w:type="spellEnd"/>
      <w:r w:rsidRPr="0042463F">
        <w:rPr>
          <w:rFonts w:ascii="Times New Roman" w:eastAsia="Times New Roman" w:hAnsi="Times New Roman" w:cs="Times New Roman"/>
          <w:kern w:val="0"/>
          <w:sz w:val="24"/>
          <w:szCs w:val="24"/>
          <w:lang w:val="en-US"/>
          <w14:ligatures w14:val="none"/>
        </w:rPr>
        <w:t xml:space="preserve">, C. E., Eze, H. N., </w:t>
      </w:r>
      <w:proofErr w:type="spellStart"/>
      <w:r w:rsidRPr="0042463F">
        <w:rPr>
          <w:rFonts w:ascii="Times New Roman" w:eastAsia="Times New Roman" w:hAnsi="Times New Roman" w:cs="Times New Roman"/>
          <w:kern w:val="0"/>
          <w:sz w:val="24"/>
          <w:szCs w:val="24"/>
          <w:lang w:val="en-US"/>
          <w14:ligatures w14:val="none"/>
        </w:rPr>
        <w:t>Anyanele</w:t>
      </w:r>
      <w:proofErr w:type="spellEnd"/>
      <w:r w:rsidRPr="0042463F">
        <w:rPr>
          <w:rFonts w:ascii="Times New Roman" w:eastAsia="Times New Roman" w:hAnsi="Times New Roman" w:cs="Times New Roman"/>
          <w:kern w:val="0"/>
          <w:sz w:val="24"/>
          <w:szCs w:val="24"/>
          <w:lang w:val="en-US"/>
          <w14:ligatures w14:val="none"/>
        </w:rPr>
        <w:t>, W. C., &amp; Ajah, N. (2024). Antimicrobial activity and antioxidant activity of clove (</w:t>
      </w:r>
      <w:proofErr w:type="spellStart"/>
      <w:r w:rsidRPr="0042463F">
        <w:rPr>
          <w:rFonts w:ascii="Times New Roman" w:eastAsia="Times New Roman" w:hAnsi="Times New Roman" w:cs="Times New Roman"/>
          <w:i/>
          <w:iCs/>
          <w:kern w:val="0"/>
          <w:sz w:val="24"/>
          <w:szCs w:val="24"/>
          <w:lang w:val="en-US"/>
          <w14:ligatures w14:val="none"/>
        </w:rPr>
        <w:t>Syzygium</w:t>
      </w:r>
      <w:proofErr w:type="spellEnd"/>
      <w:r w:rsidRPr="0042463F">
        <w:rPr>
          <w:rFonts w:ascii="Times New Roman" w:eastAsia="Times New Roman" w:hAnsi="Times New Roman" w:cs="Times New Roman"/>
          <w:i/>
          <w:iCs/>
          <w:kern w:val="0"/>
          <w:sz w:val="24"/>
          <w:szCs w:val="24"/>
          <w:lang w:val="en-US"/>
          <w14:ligatures w14:val="none"/>
        </w:rPr>
        <w:t xml:space="preserve"> </w:t>
      </w:r>
      <w:proofErr w:type="spellStart"/>
      <w:r w:rsidRPr="0042463F">
        <w:rPr>
          <w:rFonts w:ascii="Times New Roman" w:eastAsia="Times New Roman" w:hAnsi="Times New Roman" w:cs="Times New Roman"/>
          <w:i/>
          <w:iCs/>
          <w:kern w:val="0"/>
          <w:sz w:val="24"/>
          <w:szCs w:val="24"/>
          <w:lang w:val="en-US"/>
          <w14:ligatures w14:val="none"/>
        </w:rPr>
        <w:t>aromatium</w:t>
      </w:r>
      <w:proofErr w:type="spellEnd"/>
      <w:r w:rsidRPr="0042463F">
        <w:rPr>
          <w:rFonts w:ascii="Times New Roman" w:eastAsia="Times New Roman" w:hAnsi="Times New Roman" w:cs="Times New Roman"/>
          <w:kern w:val="0"/>
          <w:sz w:val="24"/>
          <w:szCs w:val="24"/>
          <w:lang w:val="en-US"/>
          <w14:ligatures w14:val="none"/>
        </w:rPr>
        <w:t>) and thyme (</w:t>
      </w:r>
      <w:r w:rsidRPr="0042463F">
        <w:rPr>
          <w:rFonts w:ascii="Times New Roman" w:eastAsia="Times New Roman" w:hAnsi="Times New Roman" w:cs="Times New Roman"/>
          <w:i/>
          <w:iCs/>
          <w:kern w:val="0"/>
          <w:sz w:val="24"/>
          <w:szCs w:val="24"/>
          <w:lang w:val="en-US"/>
          <w14:ligatures w14:val="none"/>
        </w:rPr>
        <w:t>Thymus vulgaris</w:t>
      </w:r>
      <w:r w:rsidRPr="0042463F">
        <w:rPr>
          <w:rFonts w:ascii="Times New Roman" w:eastAsia="Times New Roman" w:hAnsi="Times New Roman" w:cs="Times New Roman"/>
          <w:kern w:val="0"/>
          <w:sz w:val="24"/>
          <w:szCs w:val="24"/>
          <w:lang w:val="en-US"/>
          <w14:ligatures w14:val="none"/>
        </w:rPr>
        <w:t xml:space="preserve">) traditionally used as food packaging against foodborne pathogens. </w:t>
      </w:r>
      <w:r w:rsidRPr="0042463F">
        <w:rPr>
          <w:rFonts w:ascii="Times New Roman" w:eastAsia="Times New Roman" w:hAnsi="Times New Roman" w:cs="Times New Roman"/>
          <w:i/>
          <w:iCs/>
          <w:kern w:val="0"/>
          <w:sz w:val="24"/>
          <w:szCs w:val="24"/>
          <w:lang w:val="en-US"/>
          <w14:ligatures w14:val="none"/>
        </w:rPr>
        <w:t>Asian Journal of Research in Biology, 7</w:t>
      </w:r>
      <w:r w:rsidRPr="0042463F">
        <w:rPr>
          <w:rFonts w:ascii="Times New Roman" w:eastAsia="Times New Roman" w:hAnsi="Times New Roman" w:cs="Times New Roman"/>
          <w:kern w:val="0"/>
          <w:sz w:val="24"/>
          <w:szCs w:val="24"/>
          <w:lang w:val="en-US"/>
          <w14:ligatures w14:val="none"/>
        </w:rPr>
        <w:t xml:space="preserve">(1), 71–88. </w:t>
      </w:r>
      <w:hyperlink r:id="rId11" w:history="1">
        <w:r w:rsidRPr="0042463F">
          <w:rPr>
            <w:rFonts w:ascii="Times New Roman" w:eastAsia="Times New Roman" w:hAnsi="Times New Roman" w:cs="Times New Roman"/>
            <w:color w:val="0000FF"/>
            <w:kern w:val="0"/>
            <w:sz w:val="24"/>
            <w:szCs w:val="24"/>
            <w:u w:val="single"/>
            <w:lang w:val="en-US"/>
            <w14:ligatures w14:val="none"/>
          </w:rPr>
          <w:t>https://doi.org/10.56557/ajrib/2024/v7i140</w:t>
        </w:r>
      </w:hyperlink>
    </w:p>
    <w:p w14:paraId="5F8A04D9"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42463F">
        <w:rPr>
          <w:rFonts w:ascii="Times New Roman" w:eastAsia="Times New Roman" w:hAnsi="Times New Roman" w:cs="Times New Roman"/>
          <w:kern w:val="0"/>
          <w:sz w:val="24"/>
          <w:szCs w:val="24"/>
          <w:lang w:val="en-US"/>
          <w14:ligatures w14:val="none"/>
        </w:rPr>
        <w:t>Ashayerizadeh</w:t>
      </w:r>
      <w:proofErr w:type="spellEnd"/>
      <w:r w:rsidRPr="0042463F">
        <w:rPr>
          <w:rFonts w:ascii="Times New Roman" w:eastAsia="Times New Roman" w:hAnsi="Times New Roman" w:cs="Times New Roman"/>
          <w:kern w:val="0"/>
          <w:sz w:val="24"/>
          <w:szCs w:val="24"/>
          <w:lang w:val="en-US"/>
          <w14:ligatures w14:val="none"/>
        </w:rPr>
        <w:t xml:space="preserve">, A., Jafarzadeh Shirazi, M. R., Moradi, H. R., Kazemi, K., Karimi Akbarabadi, Z., &amp; </w:t>
      </w:r>
      <w:proofErr w:type="spellStart"/>
      <w:r w:rsidRPr="0042463F">
        <w:rPr>
          <w:rFonts w:ascii="Times New Roman" w:eastAsia="Times New Roman" w:hAnsi="Times New Roman" w:cs="Times New Roman"/>
          <w:kern w:val="0"/>
          <w:sz w:val="24"/>
          <w:szCs w:val="24"/>
          <w:lang w:val="en-US"/>
          <w14:ligatures w14:val="none"/>
        </w:rPr>
        <w:t>Jazi</w:t>
      </w:r>
      <w:proofErr w:type="spellEnd"/>
      <w:r w:rsidRPr="0042463F">
        <w:rPr>
          <w:rFonts w:ascii="Times New Roman" w:eastAsia="Times New Roman" w:hAnsi="Times New Roman" w:cs="Times New Roman"/>
          <w:kern w:val="0"/>
          <w:sz w:val="24"/>
          <w:szCs w:val="24"/>
          <w:lang w:val="en-US"/>
          <w14:ligatures w14:val="none"/>
        </w:rPr>
        <w:t xml:space="preserve">, V. (2025). Effects of drinking water supplemented with apple vinegar, essential oils, or colistin sulfate on growth performance, blood lipids, antioxidant status, intestinal morphology, and gut microflora of broiler chickens. </w:t>
      </w:r>
      <w:r w:rsidRPr="0042463F">
        <w:rPr>
          <w:rFonts w:ascii="Times New Roman" w:eastAsia="Times New Roman" w:hAnsi="Times New Roman" w:cs="Times New Roman"/>
          <w:i/>
          <w:iCs/>
          <w:kern w:val="0"/>
          <w:sz w:val="24"/>
          <w:szCs w:val="24"/>
          <w:lang w:val="en-US"/>
          <w14:ligatures w14:val="none"/>
        </w:rPr>
        <w:t>Poultry Science, 104</w:t>
      </w:r>
      <w:r w:rsidRPr="0042463F">
        <w:rPr>
          <w:rFonts w:ascii="Times New Roman" w:eastAsia="Times New Roman" w:hAnsi="Times New Roman" w:cs="Times New Roman"/>
          <w:kern w:val="0"/>
          <w:sz w:val="24"/>
          <w:szCs w:val="24"/>
          <w:lang w:val="en-US"/>
          <w14:ligatures w14:val="none"/>
        </w:rPr>
        <w:t xml:space="preserve">(2), 104801. </w:t>
      </w:r>
      <w:hyperlink r:id="rId12" w:history="1">
        <w:r w:rsidRPr="0042463F">
          <w:rPr>
            <w:rFonts w:ascii="Times New Roman" w:eastAsia="Times New Roman" w:hAnsi="Times New Roman" w:cs="Times New Roman"/>
            <w:color w:val="0000FF"/>
            <w:kern w:val="0"/>
            <w:sz w:val="24"/>
            <w:szCs w:val="24"/>
            <w:u w:val="single"/>
            <w:lang w:val="en-US"/>
            <w14:ligatures w14:val="none"/>
          </w:rPr>
          <w:t>https://doi.org/10.1016/j.psj.2025.104801</w:t>
        </w:r>
      </w:hyperlink>
    </w:p>
    <w:p w14:paraId="4CE8EBB2"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Azzahra, T., Maharani, D. A., </w:t>
      </w:r>
      <w:proofErr w:type="spellStart"/>
      <w:r w:rsidRPr="0042463F">
        <w:rPr>
          <w:rFonts w:ascii="Times New Roman" w:eastAsia="Times New Roman" w:hAnsi="Times New Roman" w:cs="Times New Roman"/>
          <w:kern w:val="0"/>
          <w:sz w:val="24"/>
          <w:szCs w:val="24"/>
          <w:lang w:val="en-US"/>
          <w14:ligatures w14:val="none"/>
        </w:rPr>
        <w:t>Tsevaot</w:t>
      </w:r>
      <w:proofErr w:type="spellEnd"/>
      <w:r w:rsidRPr="0042463F">
        <w:rPr>
          <w:rFonts w:ascii="Times New Roman" w:eastAsia="Times New Roman" w:hAnsi="Times New Roman" w:cs="Times New Roman"/>
          <w:kern w:val="0"/>
          <w:sz w:val="24"/>
          <w:szCs w:val="24"/>
          <w:lang w:val="en-US"/>
          <w14:ligatures w14:val="none"/>
        </w:rPr>
        <w:t xml:space="preserve">, A. A., </w:t>
      </w:r>
      <w:proofErr w:type="spellStart"/>
      <w:r w:rsidRPr="0042463F">
        <w:rPr>
          <w:rFonts w:ascii="Times New Roman" w:eastAsia="Times New Roman" w:hAnsi="Times New Roman" w:cs="Times New Roman"/>
          <w:kern w:val="0"/>
          <w:sz w:val="24"/>
          <w:szCs w:val="24"/>
          <w:lang w:val="en-US"/>
          <w14:ligatures w14:val="none"/>
        </w:rPr>
        <w:t>Hartady</w:t>
      </w:r>
      <w:proofErr w:type="spellEnd"/>
      <w:r w:rsidRPr="0042463F">
        <w:rPr>
          <w:rFonts w:ascii="Times New Roman" w:eastAsia="Times New Roman" w:hAnsi="Times New Roman" w:cs="Times New Roman"/>
          <w:kern w:val="0"/>
          <w:sz w:val="24"/>
          <w:szCs w:val="24"/>
          <w:lang w:val="en-US"/>
          <w14:ligatures w14:val="none"/>
        </w:rPr>
        <w:t xml:space="preserve">, T., </w:t>
      </w:r>
      <w:proofErr w:type="spellStart"/>
      <w:r w:rsidRPr="0042463F">
        <w:rPr>
          <w:rFonts w:ascii="Times New Roman" w:eastAsia="Times New Roman" w:hAnsi="Times New Roman" w:cs="Times New Roman"/>
          <w:kern w:val="0"/>
          <w:sz w:val="24"/>
          <w:szCs w:val="24"/>
          <w:lang w:val="en-US"/>
          <w14:ligatures w14:val="none"/>
        </w:rPr>
        <w:t>Prayugo</w:t>
      </w:r>
      <w:proofErr w:type="spellEnd"/>
      <w:r w:rsidRPr="0042463F">
        <w:rPr>
          <w:rFonts w:ascii="Times New Roman" w:eastAsia="Times New Roman" w:hAnsi="Times New Roman" w:cs="Times New Roman"/>
          <w:kern w:val="0"/>
          <w:sz w:val="24"/>
          <w:szCs w:val="24"/>
          <w:lang w:val="en-US"/>
          <w14:ligatures w14:val="none"/>
        </w:rPr>
        <w:t xml:space="preserve">, A. D., </w:t>
      </w:r>
      <w:proofErr w:type="spellStart"/>
      <w:r w:rsidRPr="0042463F">
        <w:rPr>
          <w:rFonts w:ascii="Times New Roman" w:eastAsia="Times New Roman" w:hAnsi="Times New Roman" w:cs="Times New Roman"/>
          <w:kern w:val="0"/>
          <w:sz w:val="24"/>
          <w:szCs w:val="24"/>
          <w:lang w:val="en-US"/>
          <w14:ligatures w14:val="none"/>
        </w:rPr>
        <w:t>Windria</w:t>
      </w:r>
      <w:proofErr w:type="spellEnd"/>
      <w:r w:rsidRPr="0042463F">
        <w:rPr>
          <w:rFonts w:ascii="Times New Roman" w:eastAsia="Times New Roman" w:hAnsi="Times New Roman" w:cs="Times New Roman"/>
          <w:kern w:val="0"/>
          <w:sz w:val="24"/>
          <w:szCs w:val="24"/>
          <w:lang w:val="en-US"/>
          <w14:ligatures w14:val="none"/>
        </w:rPr>
        <w:t xml:space="preserve">, S., </w:t>
      </w:r>
      <w:proofErr w:type="spellStart"/>
      <w:r w:rsidRPr="0042463F">
        <w:rPr>
          <w:rFonts w:ascii="Times New Roman" w:eastAsia="Times New Roman" w:hAnsi="Times New Roman" w:cs="Times New Roman"/>
          <w:kern w:val="0"/>
          <w:sz w:val="24"/>
          <w:szCs w:val="24"/>
          <w:lang w:val="en-US"/>
          <w14:ligatures w14:val="none"/>
        </w:rPr>
        <w:t>Krissanti</w:t>
      </w:r>
      <w:proofErr w:type="spellEnd"/>
      <w:r w:rsidRPr="0042463F">
        <w:rPr>
          <w:rFonts w:ascii="Times New Roman" w:eastAsia="Times New Roman" w:hAnsi="Times New Roman" w:cs="Times New Roman"/>
          <w:kern w:val="0"/>
          <w:sz w:val="24"/>
          <w:szCs w:val="24"/>
          <w:lang w:val="en-US"/>
          <w14:ligatures w14:val="none"/>
        </w:rPr>
        <w:t xml:space="preserve">, I., &amp; Satrio, F. A. (2025). Systemic fowl typhoid caused by </w:t>
      </w:r>
      <w:r w:rsidRPr="0042463F">
        <w:rPr>
          <w:rFonts w:ascii="Times New Roman" w:eastAsia="Times New Roman" w:hAnsi="Times New Roman" w:cs="Times New Roman"/>
          <w:i/>
          <w:iCs/>
          <w:kern w:val="0"/>
          <w:sz w:val="24"/>
          <w:szCs w:val="24"/>
          <w:lang w:val="en-US"/>
          <w14:ligatures w14:val="none"/>
        </w:rPr>
        <w:t xml:space="preserve">Salmonella </w:t>
      </w:r>
      <w:proofErr w:type="spellStart"/>
      <w:r w:rsidRPr="0042463F">
        <w:rPr>
          <w:rFonts w:ascii="Times New Roman" w:eastAsia="Times New Roman" w:hAnsi="Times New Roman" w:cs="Times New Roman"/>
          <w:i/>
          <w:iCs/>
          <w:kern w:val="0"/>
          <w:sz w:val="24"/>
          <w:szCs w:val="24"/>
          <w:lang w:val="en-US"/>
          <w14:ligatures w14:val="none"/>
        </w:rPr>
        <w:t>gallinarum</w:t>
      </w:r>
      <w:proofErr w:type="spellEnd"/>
      <w:r w:rsidRPr="0042463F">
        <w:rPr>
          <w:rFonts w:ascii="Times New Roman" w:eastAsia="Times New Roman" w:hAnsi="Times New Roman" w:cs="Times New Roman"/>
          <w:kern w:val="0"/>
          <w:sz w:val="24"/>
          <w:szCs w:val="24"/>
          <w:lang w:val="en-US"/>
          <w14:ligatures w14:val="none"/>
        </w:rPr>
        <w:t xml:space="preserve"> in broiler chickens: Pathological and microbiological evidence. </w:t>
      </w:r>
      <w:r w:rsidRPr="0042463F">
        <w:rPr>
          <w:rFonts w:ascii="Times New Roman" w:eastAsia="Times New Roman" w:hAnsi="Times New Roman" w:cs="Times New Roman"/>
          <w:i/>
          <w:iCs/>
          <w:kern w:val="0"/>
          <w:sz w:val="24"/>
          <w:szCs w:val="24"/>
          <w:lang w:val="en-US"/>
          <w14:ligatures w14:val="none"/>
        </w:rPr>
        <w:t>ARSHI Veterinary Letters, 9</w:t>
      </w:r>
      <w:r w:rsidRPr="0042463F">
        <w:rPr>
          <w:rFonts w:ascii="Times New Roman" w:eastAsia="Times New Roman" w:hAnsi="Times New Roman" w:cs="Times New Roman"/>
          <w:kern w:val="0"/>
          <w:sz w:val="24"/>
          <w:szCs w:val="24"/>
          <w:lang w:val="en-US"/>
          <w14:ligatures w14:val="none"/>
        </w:rPr>
        <w:t xml:space="preserve">(4), 99–100. </w:t>
      </w:r>
      <w:hyperlink r:id="rId13" w:history="1">
        <w:r w:rsidRPr="0042463F">
          <w:rPr>
            <w:rFonts w:ascii="Times New Roman" w:eastAsia="Times New Roman" w:hAnsi="Times New Roman" w:cs="Times New Roman"/>
            <w:color w:val="0000FF"/>
            <w:kern w:val="0"/>
            <w:sz w:val="24"/>
            <w:szCs w:val="24"/>
            <w:u w:val="single"/>
            <w:lang w:val="en-US"/>
            <w14:ligatures w14:val="none"/>
          </w:rPr>
          <w:t>https://doi.org/10.29244/avl.9.4.99-100</w:t>
        </w:r>
      </w:hyperlink>
    </w:p>
    <w:p w14:paraId="1EA6F6F7"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Barad, N. A. (2026). Phytogenic feed additives and strategic supplementation in poultry: A review. </w:t>
      </w:r>
      <w:r w:rsidRPr="0042463F">
        <w:rPr>
          <w:rFonts w:ascii="Times New Roman" w:eastAsia="Times New Roman" w:hAnsi="Times New Roman" w:cs="Times New Roman"/>
          <w:i/>
          <w:iCs/>
          <w:kern w:val="0"/>
          <w:sz w:val="24"/>
          <w:szCs w:val="24"/>
          <w:lang w:val="en-US"/>
          <w14:ligatures w14:val="none"/>
        </w:rPr>
        <w:t>Journal of Scientific Research and Reports, 32</w:t>
      </w:r>
      <w:r w:rsidRPr="0042463F">
        <w:rPr>
          <w:rFonts w:ascii="Times New Roman" w:eastAsia="Times New Roman" w:hAnsi="Times New Roman" w:cs="Times New Roman"/>
          <w:kern w:val="0"/>
          <w:sz w:val="24"/>
          <w:szCs w:val="24"/>
          <w:lang w:val="en-US"/>
          <w14:ligatures w14:val="none"/>
        </w:rPr>
        <w:t xml:space="preserve">(2), 129–136. </w:t>
      </w:r>
      <w:hyperlink r:id="rId14" w:history="1">
        <w:r w:rsidRPr="0042463F">
          <w:rPr>
            <w:rFonts w:ascii="Times New Roman" w:eastAsia="Times New Roman" w:hAnsi="Times New Roman" w:cs="Times New Roman"/>
            <w:color w:val="0000FF"/>
            <w:kern w:val="0"/>
            <w:sz w:val="24"/>
            <w:szCs w:val="24"/>
            <w:u w:val="single"/>
            <w:lang w:val="en-US"/>
            <w14:ligatures w14:val="none"/>
          </w:rPr>
          <w:t>https://doi.org/10.9734/jsrr/2026/v32i23954</w:t>
        </w:r>
      </w:hyperlink>
    </w:p>
    <w:p w14:paraId="065D1968"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Bauer, A. W., Kirby, W. M. M., Sherris, J. C., &amp; Turck, M. (1966). Antibiotic susceptibility testing by a standardized single disk method. </w:t>
      </w:r>
      <w:r w:rsidRPr="0042463F">
        <w:rPr>
          <w:rFonts w:ascii="Times New Roman" w:eastAsia="Times New Roman" w:hAnsi="Times New Roman" w:cs="Times New Roman"/>
          <w:i/>
          <w:iCs/>
          <w:kern w:val="0"/>
          <w:sz w:val="24"/>
          <w:szCs w:val="24"/>
          <w:lang w:val="en-US"/>
          <w14:ligatures w14:val="none"/>
        </w:rPr>
        <w:t>American Journal of Clinical Pathology, 45</w:t>
      </w:r>
      <w:r w:rsidRPr="0042463F">
        <w:rPr>
          <w:rFonts w:ascii="Times New Roman" w:eastAsia="Times New Roman" w:hAnsi="Times New Roman" w:cs="Times New Roman"/>
          <w:kern w:val="0"/>
          <w:sz w:val="24"/>
          <w:szCs w:val="24"/>
          <w:lang w:val="en-US"/>
          <w14:ligatures w14:val="none"/>
        </w:rPr>
        <w:t xml:space="preserve">(4), 493–496. </w:t>
      </w:r>
      <w:hyperlink r:id="rId15" w:history="1">
        <w:r w:rsidRPr="0042463F">
          <w:rPr>
            <w:rFonts w:ascii="Times New Roman" w:eastAsia="Times New Roman" w:hAnsi="Times New Roman" w:cs="Times New Roman"/>
            <w:color w:val="0000FF"/>
            <w:kern w:val="0"/>
            <w:sz w:val="24"/>
            <w:szCs w:val="24"/>
            <w:u w:val="single"/>
            <w:lang w:val="en-US"/>
            <w14:ligatures w14:val="none"/>
          </w:rPr>
          <w:t>https://doi.org/10.1093/ajcp/45.4_ts.493</w:t>
        </w:r>
      </w:hyperlink>
    </w:p>
    <w:p w14:paraId="3CA45CAF"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Brito-Junior, L., Brito, H. C., Simões, M. M., Farias, J. H. A., Santos, B., Marques, F. M. C., Medeiros, M. A. A., Alves, M. S., Pereira, C. T., Diniz, A. F., Vilela, V. L. R., &amp; Oliveira-Filho, A. (2025). Antibacterial potential of </w:t>
      </w:r>
      <w:r w:rsidRPr="0042463F">
        <w:rPr>
          <w:rFonts w:ascii="Times New Roman" w:eastAsia="Times New Roman" w:hAnsi="Times New Roman" w:cs="Times New Roman"/>
          <w:i/>
          <w:iCs/>
          <w:kern w:val="0"/>
          <w:sz w:val="24"/>
          <w:szCs w:val="24"/>
          <w:lang w:val="en-US"/>
          <w14:ligatures w14:val="none"/>
        </w:rPr>
        <w:t>Thymus vulgaris</w:t>
      </w:r>
      <w:r w:rsidRPr="0042463F">
        <w:rPr>
          <w:rFonts w:ascii="Times New Roman" w:eastAsia="Times New Roman" w:hAnsi="Times New Roman" w:cs="Times New Roman"/>
          <w:kern w:val="0"/>
          <w:sz w:val="24"/>
          <w:szCs w:val="24"/>
          <w:lang w:val="en-US"/>
          <w14:ligatures w14:val="none"/>
        </w:rPr>
        <w:t xml:space="preserve"> (thyme) oil against </w:t>
      </w:r>
      <w:r w:rsidRPr="0042463F">
        <w:rPr>
          <w:rFonts w:ascii="Times New Roman" w:eastAsia="Times New Roman" w:hAnsi="Times New Roman" w:cs="Times New Roman"/>
          <w:i/>
          <w:iCs/>
          <w:kern w:val="0"/>
          <w:sz w:val="24"/>
          <w:szCs w:val="24"/>
          <w:lang w:val="en-US"/>
          <w14:ligatures w14:val="none"/>
        </w:rPr>
        <w:t>Escherichia coli</w:t>
      </w:r>
      <w:r w:rsidRPr="0042463F">
        <w:rPr>
          <w:rFonts w:ascii="Times New Roman" w:eastAsia="Times New Roman" w:hAnsi="Times New Roman" w:cs="Times New Roman"/>
          <w:kern w:val="0"/>
          <w:sz w:val="24"/>
          <w:szCs w:val="24"/>
          <w:lang w:val="en-US"/>
          <w14:ligatures w14:val="none"/>
        </w:rPr>
        <w:t xml:space="preserve"> strains isolated from food. </w:t>
      </w:r>
      <w:r w:rsidRPr="0042463F">
        <w:rPr>
          <w:rFonts w:ascii="Times New Roman" w:eastAsia="Times New Roman" w:hAnsi="Times New Roman" w:cs="Times New Roman"/>
          <w:i/>
          <w:iCs/>
          <w:kern w:val="0"/>
          <w:sz w:val="24"/>
          <w:szCs w:val="24"/>
          <w:lang w:val="en-US"/>
          <w14:ligatures w14:val="none"/>
        </w:rPr>
        <w:t>Brazilian Journal of Biology, 85</w:t>
      </w:r>
      <w:r w:rsidRPr="0042463F">
        <w:rPr>
          <w:rFonts w:ascii="Times New Roman" w:eastAsia="Times New Roman" w:hAnsi="Times New Roman" w:cs="Times New Roman"/>
          <w:kern w:val="0"/>
          <w:sz w:val="24"/>
          <w:szCs w:val="24"/>
          <w:lang w:val="en-US"/>
          <w14:ligatures w14:val="none"/>
        </w:rPr>
        <w:t xml:space="preserve">, e292165. </w:t>
      </w:r>
      <w:hyperlink r:id="rId16" w:history="1">
        <w:r w:rsidRPr="0042463F">
          <w:rPr>
            <w:rFonts w:ascii="Times New Roman" w:eastAsia="Times New Roman" w:hAnsi="Times New Roman" w:cs="Times New Roman"/>
            <w:color w:val="0000FF"/>
            <w:kern w:val="0"/>
            <w:sz w:val="24"/>
            <w:szCs w:val="24"/>
            <w:u w:val="single"/>
            <w:lang w:val="en-US"/>
            <w14:ligatures w14:val="none"/>
          </w:rPr>
          <w:t>https://doi.org/10.1590/1519-6984.292165</w:t>
        </w:r>
      </w:hyperlink>
    </w:p>
    <w:p w14:paraId="08847E5E"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Carson, C. F., &amp; Riley, T. V. (1995). Antimicrobial activity of the major components of the essential oil of </w:t>
      </w:r>
      <w:r w:rsidRPr="0042463F">
        <w:rPr>
          <w:rFonts w:ascii="Times New Roman" w:eastAsia="Times New Roman" w:hAnsi="Times New Roman" w:cs="Times New Roman"/>
          <w:i/>
          <w:iCs/>
          <w:kern w:val="0"/>
          <w:sz w:val="24"/>
          <w:szCs w:val="24"/>
          <w:lang w:val="en-US"/>
          <w14:ligatures w14:val="none"/>
        </w:rPr>
        <w:t>Melaleuca alternifolia</w:t>
      </w:r>
      <w:r w:rsidRPr="0042463F">
        <w:rPr>
          <w:rFonts w:ascii="Times New Roman" w:eastAsia="Times New Roman" w:hAnsi="Times New Roman" w:cs="Times New Roman"/>
          <w:kern w:val="0"/>
          <w:sz w:val="24"/>
          <w:szCs w:val="24"/>
          <w:lang w:val="en-US"/>
          <w14:ligatures w14:val="none"/>
        </w:rPr>
        <w:t xml:space="preserve">. </w:t>
      </w:r>
      <w:r w:rsidRPr="0042463F">
        <w:rPr>
          <w:rFonts w:ascii="Times New Roman" w:eastAsia="Times New Roman" w:hAnsi="Times New Roman" w:cs="Times New Roman"/>
          <w:i/>
          <w:iCs/>
          <w:kern w:val="0"/>
          <w:sz w:val="24"/>
          <w:szCs w:val="24"/>
          <w:lang w:val="en-US"/>
          <w14:ligatures w14:val="none"/>
        </w:rPr>
        <w:t>Journal of Applied Bacteriology, 78</w:t>
      </w:r>
      <w:r w:rsidRPr="0042463F">
        <w:rPr>
          <w:rFonts w:ascii="Times New Roman" w:eastAsia="Times New Roman" w:hAnsi="Times New Roman" w:cs="Times New Roman"/>
          <w:kern w:val="0"/>
          <w:sz w:val="24"/>
          <w:szCs w:val="24"/>
          <w:lang w:val="en-US"/>
          <w14:ligatures w14:val="none"/>
        </w:rPr>
        <w:t xml:space="preserve">(3), 264–269. </w:t>
      </w:r>
      <w:hyperlink r:id="rId17" w:history="1">
        <w:r w:rsidRPr="0042463F">
          <w:rPr>
            <w:rFonts w:ascii="Times New Roman" w:eastAsia="Times New Roman" w:hAnsi="Times New Roman" w:cs="Times New Roman"/>
            <w:color w:val="0000FF"/>
            <w:kern w:val="0"/>
            <w:sz w:val="24"/>
            <w:szCs w:val="24"/>
            <w:u w:val="single"/>
            <w:lang w:val="en-US"/>
            <w14:ligatures w14:val="none"/>
          </w:rPr>
          <w:t>https://doi.org/10.1111/j.1365-2672.1995.tb05025.x</w:t>
        </w:r>
      </w:hyperlink>
    </w:p>
    <w:p w14:paraId="5DF098FD"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Choi, J., Singh, A. K., Chen, X., </w:t>
      </w:r>
      <w:proofErr w:type="spellStart"/>
      <w:r w:rsidRPr="0042463F">
        <w:rPr>
          <w:rFonts w:ascii="Times New Roman" w:eastAsia="Times New Roman" w:hAnsi="Times New Roman" w:cs="Times New Roman"/>
          <w:kern w:val="0"/>
          <w:sz w:val="24"/>
          <w:szCs w:val="24"/>
          <w:lang w:val="en-US"/>
          <w14:ligatures w14:val="none"/>
        </w:rPr>
        <w:t>Lv</w:t>
      </w:r>
      <w:proofErr w:type="spellEnd"/>
      <w:r w:rsidRPr="0042463F">
        <w:rPr>
          <w:rFonts w:ascii="Times New Roman" w:eastAsia="Times New Roman" w:hAnsi="Times New Roman" w:cs="Times New Roman"/>
          <w:kern w:val="0"/>
          <w:sz w:val="24"/>
          <w:szCs w:val="24"/>
          <w:lang w:val="en-US"/>
          <w14:ligatures w14:val="none"/>
        </w:rPr>
        <w:t xml:space="preserve">, J., &amp; Kim, W. K. (2022). Application of organic acids and essential oils as alternatives to antibiotic growth promoters in broiler chickens. </w:t>
      </w:r>
      <w:r w:rsidRPr="0042463F">
        <w:rPr>
          <w:rFonts w:ascii="Times New Roman" w:eastAsia="Times New Roman" w:hAnsi="Times New Roman" w:cs="Times New Roman"/>
          <w:i/>
          <w:iCs/>
          <w:kern w:val="0"/>
          <w:sz w:val="24"/>
          <w:szCs w:val="24"/>
          <w:lang w:val="en-US"/>
          <w14:ligatures w14:val="none"/>
        </w:rPr>
        <w:t>Animals, 12</w:t>
      </w:r>
      <w:r w:rsidRPr="0042463F">
        <w:rPr>
          <w:rFonts w:ascii="Times New Roman" w:eastAsia="Times New Roman" w:hAnsi="Times New Roman" w:cs="Times New Roman"/>
          <w:kern w:val="0"/>
          <w:sz w:val="24"/>
          <w:szCs w:val="24"/>
          <w:lang w:val="en-US"/>
          <w14:ligatures w14:val="none"/>
        </w:rPr>
        <w:t xml:space="preserve">(17), 2178. </w:t>
      </w:r>
      <w:hyperlink r:id="rId18" w:history="1">
        <w:r w:rsidRPr="0042463F">
          <w:rPr>
            <w:rFonts w:ascii="Times New Roman" w:eastAsia="Times New Roman" w:hAnsi="Times New Roman" w:cs="Times New Roman"/>
            <w:color w:val="0000FF"/>
            <w:kern w:val="0"/>
            <w:sz w:val="24"/>
            <w:szCs w:val="24"/>
            <w:u w:val="single"/>
            <w:lang w:val="en-US"/>
            <w14:ligatures w14:val="none"/>
          </w:rPr>
          <w:t>https://doi.org/10.3390/ani12172178</w:t>
        </w:r>
      </w:hyperlink>
    </w:p>
    <w:p w14:paraId="722A0EA1"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Dorman, H. J. D., &amp; Deans, S. G. (2000). Antimicrobial agents from plants: Antibacterial activity of plant volatile oils. </w:t>
      </w:r>
      <w:r w:rsidRPr="0042463F">
        <w:rPr>
          <w:rFonts w:ascii="Times New Roman" w:eastAsia="Times New Roman" w:hAnsi="Times New Roman" w:cs="Times New Roman"/>
          <w:i/>
          <w:iCs/>
          <w:kern w:val="0"/>
          <w:sz w:val="24"/>
          <w:szCs w:val="24"/>
          <w:lang w:val="en-US"/>
          <w14:ligatures w14:val="none"/>
        </w:rPr>
        <w:t>Journal of Applied Microbiology, 88</w:t>
      </w:r>
      <w:r w:rsidRPr="0042463F">
        <w:rPr>
          <w:rFonts w:ascii="Times New Roman" w:eastAsia="Times New Roman" w:hAnsi="Times New Roman" w:cs="Times New Roman"/>
          <w:kern w:val="0"/>
          <w:sz w:val="24"/>
          <w:szCs w:val="24"/>
          <w:lang w:val="en-US"/>
          <w14:ligatures w14:val="none"/>
        </w:rPr>
        <w:t xml:space="preserve">(2), 308–316. </w:t>
      </w:r>
      <w:hyperlink r:id="rId19" w:history="1">
        <w:r w:rsidRPr="0042463F">
          <w:rPr>
            <w:rFonts w:ascii="Times New Roman" w:eastAsia="Times New Roman" w:hAnsi="Times New Roman" w:cs="Times New Roman"/>
            <w:color w:val="0000FF"/>
            <w:kern w:val="0"/>
            <w:sz w:val="24"/>
            <w:szCs w:val="24"/>
            <w:u w:val="single"/>
            <w:lang w:val="en-US"/>
            <w14:ligatures w14:val="none"/>
          </w:rPr>
          <w:t>https://doi.org/10.1046/j.1365-2672.2000.00969.x</w:t>
        </w:r>
      </w:hyperlink>
    </w:p>
    <w:p w14:paraId="528025D5"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Farhat, M., </w:t>
      </w:r>
      <w:proofErr w:type="spellStart"/>
      <w:r w:rsidRPr="0042463F">
        <w:rPr>
          <w:rFonts w:ascii="Times New Roman" w:eastAsia="Times New Roman" w:hAnsi="Times New Roman" w:cs="Times New Roman"/>
          <w:kern w:val="0"/>
          <w:sz w:val="24"/>
          <w:szCs w:val="24"/>
          <w:lang w:val="en-US"/>
          <w14:ligatures w14:val="none"/>
        </w:rPr>
        <w:t>Khayi</w:t>
      </w:r>
      <w:proofErr w:type="spellEnd"/>
      <w:r w:rsidRPr="0042463F">
        <w:rPr>
          <w:rFonts w:ascii="Times New Roman" w:eastAsia="Times New Roman" w:hAnsi="Times New Roman" w:cs="Times New Roman"/>
          <w:kern w:val="0"/>
          <w:sz w:val="24"/>
          <w:szCs w:val="24"/>
          <w:lang w:val="en-US"/>
          <w14:ligatures w14:val="none"/>
        </w:rPr>
        <w:t xml:space="preserve">, S., Berrada, J., </w:t>
      </w:r>
      <w:proofErr w:type="spellStart"/>
      <w:r w:rsidRPr="0042463F">
        <w:rPr>
          <w:rFonts w:ascii="Times New Roman" w:eastAsia="Times New Roman" w:hAnsi="Times New Roman" w:cs="Times New Roman"/>
          <w:kern w:val="0"/>
          <w:sz w:val="24"/>
          <w:szCs w:val="24"/>
          <w:lang w:val="en-US"/>
          <w14:ligatures w14:val="none"/>
        </w:rPr>
        <w:t>Mouahid</w:t>
      </w:r>
      <w:proofErr w:type="spellEnd"/>
      <w:r w:rsidRPr="0042463F">
        <w:rPr>
          <w:rFonts w:ascii="Times New Roman" w:eastAsia="Times New Roman" w:hAnsi="Times New Roman" w:cs="Times New Roman"/>
          <w:kern w:val="0"/>
          <w:sz w:val="24"/>
          <w:szCs w:val="24"/>
          <w:lang w:val="en-US"/>
          <w14:ligatures w14:val="none"/>
        </w:rPr>
        <w:t xml:space="preserve">, M., Ameur, N., El-Adawy, H., &amp; Fellahi, S. (2024). </w:t>
      </w:r>
      <w:r w:rsidRPr="0042463F">
        <w:rPr>
          <w:rFonts w:ascii="Times New Roman" w:eastAsia="Times New Roman" w:hAnsi="Times New Roman" w:cs="Times New Roman"/>
          <w:i/>
          <w:iCs/>
          <w:kern w:val="0"/>
          <w:sz w:val="24"/>
          <w:szCs w:val="24"/>
          <w:lang w:val="en-US"/>
          <w14:ligatures w14:val="none"/>
        </w:rPr>
        <w:t>Salmonella enterica</w:t>
      </w:r>
      <w:r w:rsidRPr="0042463F">
        <w:rPr>
          <w:rFonts w:ascii="Times New Roman" w:eastAsia="Times New Roman" w:hAnsi="Times New Roman" w:cs="Times New Roman"/>
          <w:kern w:val="0"/>
          <w:sz w:val="24"/>
          <w:szCs w:val="24"/>
          <w:lang w:val="en-US"/>
          <w14:ligatures w14:val="none"/>
        </w:rPr>
        <w:t xml:space="preserve"> serovar </w:t>
      </w:r>
      <w:proofErr w:type="spellStart"/>
      <w:r w:rsidRPr="0042463F">
        <w:rPr>
          <w:rFonts w:ascii="Times New Roman" w:eastAsia="Times New Roman" w:hAnsi="Times New Roman" w:cs="Times New Roman"/>
          <w:kern w:val="0"/>
          <w:sz w:val="24"/>
          <w:szCs w:val="24"/>
          <w:lang w:val="en-US"/>
          <w14:ligatures w14:val="none"/>
        </w:rPr>
        <w:t>Gallinarum</w:t>
      </w:r>
      <w:proofErr w:type="spellEnd"/>
      <w:r w:rsidRPr="0042463F">
        <w:rPr>
          <w:rFonts w:ascii="Times New Roman" w:eastAsia="Times New Roman" w:hAnsi="Times New Roman" w:cs="Times New Roman"/>
          <w:kern w:val="0"/>
          <w:sz w:val="24"/>
          <w:szCs w:val="24"/>
          <w:lang w:val="en-US"/>
          <w14:ligatures w14:val="none"/>
        </w:rPr>
        <w:t xml:space="preserve"> biovars Pullorum and </w:t>
      </w:r>
      <w:proofErr w:type="spellStart"/>
      <w:r w:rsidRPr="0042463F">
        <w:rPr>
          <w:rFonts w:ascii="Times New Roman" w:eastAsia="Times New Roman" w:hAnsi="Times New Roman" w:cs="Times New Roman"/>
          <w:kern w:val="0"/>
          <w:sz w:val="24"/>
          <w:szCs w:val="24"/>
          <w:lang w:val="en-US"/>
          <w14:ligatures w14:val="none"/>
        </w:rPr>
        <w:t>Gallinarum</w:t>
      </w:r>
      <w:proofErr w:type="spellEnd"/>
      <w:r w:rsidRPr="0042463F">
        <w:rPr>
          <w:rFonts w:ascii="Times New Roman" w:eastAsia="Times New Roman" w:hAnsi="Times New Roman" w:cs="Times New Roman"/>
          <w:kern w:val="0"/>
          <w:sz w:val="24"/>
          <w:szCs w:val="24"/>
          <w:lang w:val="en-US"/>
          <w14:ligatures w14:val="none"/>
        </w:rPr>
        <w:t xml:space="preserve"> in poultry: Review of pathogenesis, antibiotic resistance, diagnosis and control in the genomic era. </w:t>
      </w:r>
      <w:r w:rsidRPr="0042463F">
        <w:rPr>
          <w:rFonts w:ascii="Times New Roman" w:eastAsia="Times New Roman" w:hAnsi="Times New Roman" w:cs="Times New Roman"/>
          <w:i/>
          <w:iCs/>
          <w:kern w:val="0"/>
          <w:sz w:val="24"/>
          <w:szCs w:val="24"/>
          <w:lang w:val="en-US"/>
          <w14:ligatures w14:val="none"/>
        </w:rPr>
        <w:t>Antibiotics, 13</w:t>
      </w:r>
      <w:r w:rsidRPr="0042463F">
        <w:rPr>
          <w:rFonts w:ascii="Times New Roman" w:eastAsia="Times New Roman" w:hAnsi="Times New Roman" w:cs="Times New Roman"/>
          <w:kern w:val="0"/>
          <w:sz w:val="24"/>
          <w:szCs w:val="24"/>
          <w:lang w:val="en-US"/>
          <w14:ligatures w14:val="none"/>
        </w:rPr>
        <w:t xml:space="preserve">(1), 23. </w:t>
      </w:r>
      <w:hyperlink r:id="rId20" w:history="1">
        <w:r w:rsidRPr="0042463F">
          <w:rPr>
            <w:rFonts w:ascii="Times New Roman" w:eastAsia="Times New Roman" w:hAnsi="Times New Roman" w:cs="Times New Roman"/>
            <w:color w:val="0000FF"/>
            <w:kern w:val="0"/>
            <w:sz w:val="24"/>
            <w:szCs w:val="24"/>
            <w:u w:val="single"/>
            <w:lang w:val="en-US"/>
            <w14:ligatures w14:val="none"/>
          </w:rPr>
          <w:t>https://doi.org/10.3390/antibiotics13010023</w:t>
        </w:r>
      </w:hyperlink>
    </w:p>
    <w:p w14:paraId="19383339"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Faridi, P., Ghasemi, Y., Gholami, A., Mehregan, I., &amp; </w:t>
      </w:r>
      <w:proofErr w:type="spellStart"/>
      <w:r w:rsidRPr="0042463F">
        <w:rPr>
          <w:rFonts w:ascii="Times New Roman" w:eastAsia="Times New Roman" w:hAnsi="Times New Roman" w:cs="Times New Roman"/>
          <w:kern w:val="0"/>
          <w:sz w:val="24"/>
          <w:szCs w:val="24"/>
          <w:lang w:val="en-US"/>
          <w14:ligatures w14:val="none"/>
        </w:rPr>
        <w:t>Mohagheghzadeh</w:t>
      </w:r>
      <w:proofErr w:type="spellEnd"/>
      <w:r w:rsidRPr="0042463F">
        <w:rPr>
          <w:rFonts w:ascii="Times New Roman" w:eastAsia="Times New Roman" w:hAnsi="Times New Roman" w:cs="Times New Roman"/>
          <w:kern w:val="0"/>
          <w:sz w:val="24"/>
          <w:szCs w:val="24"/>
          <w:lang w:val="en-US"/>
          <w14:ligatures w14:val="none"/>
        </w:rPr>
        <w:t xml:space="preserve">, A. (2008). Antimicrobial essential oil from </w:t>
      </w:r>
      <w:proofErr w:type="spellStart"/>
      <w:r w:rsidRPr="0042463F">
        <w:rPr>
          <w:rFonts w:ascii="Times New Roman" w:eastAsia="Times New Roman" w:hAnsi="Times New Roman" w:cs="Times New Roman"/>
          <w:i/>
          <w:iCs/>
          <w:kern w:val="0"/>
          <w:sz w:val="24"/>
          <w:szCs w:val="24"/>
          <w:lang w:val="en-US"/>
          <w14:ligatures w14:val="none"/>
        </w:rPr>
        <w:t>Smyrniopsis</w:t>
      </w:r>
      <w:proofErr w:type="spellEnd"/>
      <w:r w:rsidRPr="0042463F">
        <w:rPr>
          <w:rFonts w:ascii="Times New Roman" w:eastAsia="Times New Roman" w:hAnsi="Times New Roman" w:cs="Times New Roman"/>
          <w:i/>
          <w:iCs/>
          <w:kern w:val="0"/>
          <w:sz w:val="24"/>
          <w:szCs w:val="24"/>
          <w:lang w:val="en-US"/>
          <w14:ligatures w14:val="none"/>
        </w:rPr>
        <w:t xml:space="preserve"> </w:t>
      </w:r>
      <w:proofErr w:type="spellStart"/>
      <w:r w:rsidRPr="0042463F">
        <w:rPr>
          <w:rFonts w:ascii="Times New Roman" w:eastAsia="Times New Roman" w:hAnsi="Times New Roman" w:cs="Times New Roman"/>
          <w:i/>
          <w:iCs/>
          <w:kern w:val="0"/>
          <w:sz w:val="24"/>
          <w:szCs w:val="24"/>
          <w:lang w:val="en-US"/>
          <w14:ligatures w14:val="none"/>
        </w:rPr>
        <w:t>aucheri</w:t>
      </w:r>
      <w:proofErr w:type="spellEnd"/>
      <w:r w:rsidRPr="0042463F">
        <w:rPr>
          <w:rFonts w:ascii="Times New Roman" w:eastAsia="Times New Roman" w:hAnsi="Times New Roman" w:cs="Times New Roman"/>
          <w:kern w:val="0"/>
          <w:sz w:val="24"/>
          <w:szCs w:val="24"/>
          <w:lang w:val="en-US"/>
          <w14:ligatures w14:val="none"/>
        </w:rPr>
        <w:t xml:space="preserve">. </w:t>
      </w:r>
      <w:r w:rsidRPr="0042463F">
        <w:rPr>
          <w:rFonts w:ascii="Times New Roman" w:eastAsia="Times New Roman" w:hAnsi="Times New Roman" w:cs="Times New Roman"/>
          <w:i/>
          <w:iCs/>
          <w:kern w:val="0"/>
          <w:sz w:val="24"/>
          <w:szCs w:val="24"/>
          <w:lang w:val="en-US"/>
          <w14:ligatures w14:val="none"/>
        </w:rPr>
        <w:t>Chemistry of Natural Compounds, 44</w:t>
      </w:r>
      <w:r w:rsidRPr="0042463F">
        <w:rPr>
          <w:rFonts w:ascii="Times New Roman" w:eastAsia="Times New Roman" w:hAnsi="Times New Roman" w:cs="Times New Roman"/>
          <w:kern w:val="0"/>
          <w:sz w:val="24"/>
          <w:szCs w:val="24"/>
          <w:lang w:val="en-US"/>
          <w14:ligatures w14:val="none"/>
        </w:rPr>
        <w:t xml:space="preserve">(1), 116–118. </w:t>
      </w:r>
      <w:hyperlink r:id="rId21" w:history="1">
        <w:r w:rsidRPr="0042463F">
          <w:rPr>
            <w:rFonts w:ascii="Times New Roman" w:eastAsia="Times New Roman" w:hAnsi="Times New Roman" w:cs="Times New Roman"/>
            <w:color w:val="0000FF"/>
            <w:kern w:val="0"/>
            <w:sz w:val="24"/>
            <w:szCs w:val="24"/>
            <w:u w:val="single"/>
            <w:lang w:val="en-US"/>
            <w14:ligatures w14:val="none"/>
          </w:rPr>
          <w:t>https://doi.org/10.1007/s10600-008-0035-7</w:t>
        </w:r>
      </w:hyperlink>
    </w:p>
    <w:p w14:paraId="1C11D931"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lastRenderedPageBreak/>
        <w:t xml:space="preserve">Ghasemi, Y., Faridi, P., Mehregan, I., &amp; </w:t>
      </w:r>
      <w:proofErr w:type="spellStart"/>
      <w:r w:rsidRPr="0042463F">
        <w:rPr>
          <w:rFonts w:ascii="Times New Roman" w:eastAsia="Times New Roman" w:hAnsi="Times New Roman" w:cs="Times New Roman"/>
          <w:kern w:val="0"/>
          <w:sz w:val="24"/>
          <w:szCs w:val="24"/>
          <w:lang w:val="en-US"/>
          <w14:ligatures w14:val="none"/>
        </w:rPr>
        <w:t>Mohagheghzadeh</w:t>
      </w:r>
      <w:proofErr w:type="spellEnd"/>
      <w:r w:rsidRPr="0042463F">
        <w:rPr>
          <w:rFonts w:ascii="Times New Roman" w:eastAsia="Times New Roman" w:hAnsi="Times New Roman" w:cs="Times New Roman"/>
          <w:kern w:val="0"/>
          <w:sz w:val="24"/>
          <w:szCs w:val="24"/>
          <w:lang w:val="en-US"/>
          <w14:ligatures w14:val="none"/>
        </w:rPr>
        <w:t xml:space="preserve">, A. (2005). </w:t>
      </w:r>
      <w:proofErr w:type="spellStart"/>
      <w:r w:rsidRPr="0042463F">
        <w:rPr>
          <w:rFonts w:ascii="Times New Roman" w:eastAsia="Times New Roman" w:hAnsi="Times New Roman" w:cs="Times New Roman"/>
          <w:i/>
          <w:iCs/>
          <w:kern w:val="0"/>
          <w:sz w:val="24"/>
          <w:szCs w:val="24"/>
          <w:lang w:val="en-US"/>
          <w14:ligatures w14:val="none"/>
        </w:rPr>
        <w:t>Ferula</w:t>
      </w:r>
      <w:proofErr w:type="spellEnd"/>
      <w:r w:rsidRPr="0042463F">
        <w:rPr>
          <w:rFonts w:ascii="Times New Roman" w:eastAsia="Times New Roman" w:hAnsi="Times New Roman" w:cs="Times New Roman"/>
          <w:i/>
          <w:iCs/>
          <w:kern w:val="0"/>
          <w:sz w:val="24"/>
          <w:szCs w:val="24"/>
          <w:lang w:val="en-US"/>
          <w14:ligatures w14:val="none"/>
        </w:rPr>
        <w:t xml:space="preserve"> </w:t>
      </w:r>
      <w:proofErr w:type="spellStart"/>
      <w:r w:rsidRPr="0042463F">
        <w:rPr>
          <w:rFonts w:ascii="Times New Roman" w:eastAsia="Times New Roman" w:hAnsi="Times New Roman" w:cs="Times New Roman"/>
          <w:i/>
          <w:iCs/>
          <w:kern w:val="0"/>
          <w:sz w:val="24"/>
          <w:szCs w:val="24"/>
          <w:lang w:val="en-US"/>
          <w14:ligatures w14:val="none"/>
        </w:rPr>
        <w:t>gummosa</w:t>
      </w:r>
      <w:proofErr w:type="spellEnd"/>
      <w:r w:rsidRPr="0042463F">
        <w:rPr>
          <w:rFonts w:ascii="Times New Roman" w:eastAsia="Times New Roman" w:hAnsi="Times New Roman" w:cs="Times New Roman"/>
          <w:kern w:val="0"/>
          <w:sz w:val="24"/>
          <w:szCs w:val="24"/>
          <w:lang w:val="en-US"/>
          <w14:ligatures w14:val="none"/>
        </w:rPr>
        <w:t xml:space="preserve"> fruits: An aromatic antimicrobial agent. </w:t>
      </w:r>
      <w:r w:rsidRPr="0042463F">
        <w:rPr>
          <w:rFonts w:ascii="Times New Roman" w:eastAsia="Times New Roman" w:hAnsi="Times New Roman" w:cs="Times New Roman"/>
          <w:i/>
          <w:iCs/>
          <w:kern w:val="0"/>
          <w:sz w:val="24"/>
          <w:szCs w:val="24"/>
          <w:lang w:val="en-US"/>
          <w14:ligatures w14:val="none"/>
        </w:rPr>
        <w:t>Chemistry of Natural Compounds, 41</w:t>
      </w:r>
      <w:r w:rsidRPr="0042463F">
        <w:rPr>
          <w:rFonts w:ascii="Times New Roman" w:eastAsia="Times New Roman" w:hAnsi="Times New Roman" w:cs="Times New Roman"/>
          <w:kern w:val="0"/>
          <w:sz w:val="24"/>
          <w:szCs w:val="24"/>
          <w:lang w:val="en-US"/>
          <w14:ligatures w14:val="none"/>
        </w:rPr>
        <w:t xml:space="preserve">(3), 311–314. </w:t>
      </w:r>
      <w:hyperlink r:id="rId22" w:history="1">
        <w:r w:rsidRPr="0042463F">
          <w:rPr>
            <w:rFonts w:ascii="Times New Roman" w:eastAsia="Times New Roman" w:hAnsi="Times New Roman" w:cs="Times New Roman"/>
            <w:color w:val="0000FF"/>
            <w:kern w:val="0"/>
            <w:sz w:val="24"/>
            <w:szCs w:val="24"/>
            <w:u w:val="single"/>
            <w:lang w:val="en-US"/>
            <w14:ligatures w14:val="none"/>
          </w:rPr>
          <w:t>https://doi.org/10.1007/s10600-005-0138-3</w:t>
        </w:r>
      </w:hyperlink>
    </w:p>
    <w:p w14:paraId="73C5EB37"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Hadizadeh, I., </w:t>
      </w:r>
      <w:proofErr w:type="spellStart"/>
      <w:r w:rsidRPr="0042463F">
        <w:rPr>
          <w:rFonts w:ascii="Times New Roman" w:eastAsia="Times New Roman" w:hAnsi="Times New Roman" w:cs="Times New Roman"/>
          <w:kern w:val="0"/>
          <w:sz w:val="24"/>
          <w:szCs w:val="24"/>
          <w:lang w:val="en-US"/>
          <w14:ligatures w14:val="none"/>
        </w:rPr>
        <w:t>Peivastegan</w:t>
      </w:r>
      <w:proofErr w:type="spellEnd"/>
      <w:r w:rsidRPr="0042463F">
        <w:rPr>
          <w:rFonts w:ascii="Times New Roman" w:eastAsia="Times New Roman" w:hAnsi="Times New Roman" w:cs="Times New Roman"/>
          <w:kern w:val="0"/>
          <w:sz w:val="24"/>
          <w:szCs w:val="24"/>
          <w:lang w:val="en-US"/>
          <w14:ligatures w14:val="none"/>
        </w:rPr>
        <w:t xml:space="preserve">, B., &amp; </w:t>
      </w:r>
      <w:proofErr w:type="spellStart"/>
      <w:r w:rsidRPr="0042463F">
        <w:rPr>
          <w:rFonts w:ascii="Times New Roman" w:eastAsia="Times New Roman" w:hAnsi="Times New Roman" w:cs="Times New Roman"/>
          <w:kern w:val="0"/>
          <w:sz w:val="24"/>
          <w:szCs w:val="24"/>
          <w:lang w:val="en-US"/>
          <w14:ligatures w14:val="none"/>
        </w:rPr>
        <w:t>Hamzehzarghani</w:t>
      </w:r>
      <w:proofErr w:type="spellEnd"/>
      <w:r w:rsidRPr="0042463F">
        <w:rPr>
          <w:rFonts w:ascii="Times New Roman" w:eastAsia="Times New Roman" w:hAnsi="Times New Roman" w:cs="Times New Roman"/>
          <w:kern w:val="0"/>
          <w:sz w:val="24"/>
          <w:szCs w:val="24"/>
          <w:lang w:val="en-US"/>
          <w14:ligatures w14:val="none"/>
        </w:rPr>
        <w:t xml:space="preserve">, H. (2009). Antifungal activity of essential oils from some medicinal plants of Iran against </w:t>
      </w:r>
      <w:r w:rsidRPr="0042463F">
        <w:rPr>
          <w:rFonts w:ascii="Times New Roman" w:eastAsia="Times New Roman" w:hAnsi="Times New Roman" w:cs="Times New Roman"/>
          <w:i/>
          <w:iCs/>
          <w:kern w:val="0"/>
          <w:sz w:val="24"/>
          <w:szCs w:val="24"/>
          <w:lang w:val="en-US"/>
          <w14:ligatures w14:val="none"/>
        </w:rPr>
        <w:t xml:space="preserve">Alternaria </w:t>
      </w:r>
      <w:proofErr w:type="spellStart"/>
      <w:r w:rsidRPr="0042463F">
        <w:rPr>
          <w:rFonts w:ascii="Times New Roman" w:eastAsia="Times New Roman" w:hAnsi="Times New Roman" w:cs="Times New Roman"/>
          <w:i/>
          <w:iCs/>
          <w:kern w:val="0"/>
          <w:sz w:val="24"/>
          <w:szCs w:val="24"/>
          <w:lang w:val="en-US"/>
          <w14:ligatures w14:val="none"/>
        </w:rPr>
        <w:t>alternata</w:t>
      </w:r>
      <w:proofErr w:type="spellEnd"/>
      <w:r w:rsidRPr="0042463F">
        <w:rPr>
          <w:rFonts w:ascii="Times New Roman" w:eastAsia="Times New Roman" w:hAnsi="Times New Roman" w:cs="Times New Roman"/>
          <w:kern w:val="0"/>
          <w:sz w:val="24"/>
          <w:szCs w:val="24"/>
          <w:lang w:val="en-US"/>
          <w14:ligatures w14:val="none"/>
        </w:rPr>
        <w:t xml:space="preserve">. </w:t>
      </w:r>
      <w:r w:rsidRPr="0042463F">
        <w:rPr>
          <w:rFonts w:ascii="Times New Roman" w:eastAsia="Times New Roman" w:hAnsi="Times New Roman" w:cs="Times New Roman"/>
          <w:i/>
          <w:iCs/>
          <w:kern w:val="0"/>
          <w:sz w:val="24"/>
          <w:szCs w:val="24"/>
          <w:lang w:val="en-US"/>
          <w14:ligatures w14:val="none"/>
        </w:rPr>
        <w:t>American Journal of Applied Sciences, 6</w:t>
      </w:r>
      <w:r w:rsidRPr="0042463F">
        <w:rPr>
          <w:rFonts w:ascii="Times New Roman" w:eastAsia="Times New Roman" w:hAnsi="Times New Roman" w:cs="Times New Roman"/>
          <w:kern w:val="0"/>
          <w:sz w:val="24"/>
          <w:szCs w:val="24"/>
          <w:lang w:val="en-US"/>
          <w14:ligatures w14:val="none"/>
        </w:rPr>
        <w:t xml:space="preserve">(5), 857–861. </w:t>
      </w:r>
      <w:hyperlink r:id="rId23" w:history="1">
        <w:r w:rsidRPr="0042463F">
          <w:rPr>
            <w:rFonts w:ascii="Times New Roman" w:eastAsia="Times New Roman" w:hAnsi="Times New Roman" w:cs="Times New Roman"/>
            <w:color w:val="0000FF"/>
            <w:kern w:val="0"/>
            <w:sz w:val="24"/>
            <w:szCs w:val="24"/>
            <w:u w:val="single"/>
            <w:lang w:val="en-US"/>
            <w14:ligatures w14:val="none"/>
          </w:rPr>
          <w:t>https://doi.org/10.3844/ajassp.2009.857.861</w:t>
        </w:r>
      </w:hyperlink>
    </w:p>
    <w:p w14:paraId="0ADD8296"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42463F">
        <w:rPr>
          <w:rFonts w:ascii="Times New Roman" w:eastAsia="Times New Roman" w:hAnsi="Times New Roman" w:cs="Times New Roman"/>
          <w:kern w:val="0"/>
          <w:sz w:val="24"/>
          <w:szCs w:val="24"/>
          <w:lang w:val="en-US"/>
          <w14:ligatures w14:val="none"/>
        </w:rPr>
        <w:t>Hili</w:t>
      </w:r>
      <w:proofErr w:type="spellEnd"/>
      <w:r w:rsidRPr="0042463F">
        <w:rPr>
          <w:rFonts w:ascii="Times New Roman" w:eastAsia="Times New Roman" w:hAnsi="Times New Roman" w:cs="Times New Roman"/>
          <w:kern w:val="0"/>
          <w:sz w:val="24"/>
          <w:szCs w:val="24"/>
          <w:lang w:val="en-US"/>
          <w14:ligatures w14:val="none"/>
        </w:rPr>
        <w:t xml:space="preserve">, P., Evans, C. S., &amp; Veness, R. G. (1997). Antimicrobial action of essential oils: The effect of </w:t>
      </w:r>
      <w:proofErr w:type="spellStart"/>
      <w:r w:rsidRPr="0042463F">
        <w:rPr>
          <w:rFonts w:ascii="Times New Roman" w:eastAsia="Times New Roman" w:hAnsi="Times New Roman" w:cs="Times New Roman"/>
          <w:kern w:val="0"/>
          <w:sz w:val="24"/>
          <w:szCs w:val="24"/>
          <w:lang w:val="en-US"/>
          <w14:ligatures w14:val="none"/>
        </w:rPr>
        <w:t>dimethylsulphoxide</w:t>
      </w:r>
      <w:proofErr w:type="spellEnd"/>
      <w:r w:rsidRPr="0042463F">
        <w:rPr>
          <w:rFonts w:ascii="Times New Roman" w:eastAsia="Times New Roman" w:hAnsi="Times New Roman" w:cs="Times New Roman"/>
          <w:kern w:val="0"/>
          <w:sz w:val="24"/>
          <w:szCs w:val="24"/>
          <w:lang w:val="en-US"/>
          <w14:ligatures w14:val="none"/>
        </w:rPr>
        <w:t xml:space="preserve"> on the activity of cinnamon oil. </w:t>
      </w:r>
      <w:r w:rsidRPr="0042463F">
        <w:rPr>
          <w:rFonts w:ascii="Times New Roman" w:eastAsia="Times New Roman" w:hAnsi="Times New Roman" w:cs="Times New Roman"/>
          <w:i/>
          <w:iCs/>
          <w:kern w:val="0"/>
          <w:sz w:val="24"/>
          <w:szCs w:val="24"/>
          <w:lang w:val="en-US"/>
          <w14:ligatures w14:val="none"/>
        </w:rPr>
        <w:t>Letters in Applied Microbiology, 24</w:t>
      </w:r>
      <w:r w:rsidRPr="0042463F">
        <w:rPr>
          <w:rFonts w:ascii="Times New Roman" w:eastAsia="Times New Roman" w:hAnsi="Times New Roman" w:cs="Times New Roman"/>
          <w:kern w:val="0"/>
          <w:sz w:val="24"/>
          <w:szCs w:val="24"/>
          <w:lang w:val="en-US"/>
          <w14:ligatures w14:val="none"/>
        </w:rPr>
        <w:t xml:space="preserve">(4), 269–275. </w:t>
      </w:r>
      <w:hyperlink r:id="rId24" w:history="1">
        <w:r w:rsidRPr="0042463F">
          <w:rPr>
            <w:rFonts w:ascii="Times New Roman" w:eastAsia="Times New Roman" w:hAnsi="Times New Roman" w:cs="Times New Roman"/>
            <w:color w:val="0000FF"/>
            <w:kern w:val="0"/>
            <w:sz w:val="24"/>
            <w:szCs w:val="24"/>
            <w:u w:val="single"/>
            <w:lang w:val="en-US"/>
            <w14:ligatures w14:val="none"/>
          </w:rPr>
          <w:t>https://doi.org/10.1046/j.1472-765X.1997.00073.x</w:t>
        </w:r>
      </w:hyperlink>
    </w:p>
    <w:p w14:paraId="6EE773A7"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Hoffman-Pennesi, D., &amp; Wu, C. (2010). The effect of thymol and thyme oil feed supplementation on growth performance, serum antioxidant levels, and cecal </w:t>
      </w:r>
      <w:r w:rsidRPr="0042463F">
        <w:rPr>
          <w:rFonts w:ascii="Times New Roman" w:eastAsia="Times New Roman" w:hAnsi="Times New Roman" w:cs="Times New Roman"/>
          <w:i/>
          <w:iCs/>
          <w:kern w:val="0"/>
          <w:sz w:val="24"/>
          <w:szCs w:val="24"/>
          <w:lang w:val="en-US"/>
          <w14:ligatures w14:val="none"/>
        </w:rPr>
        <w:t>Salmonella</w:t>
      </w:r>
      <w:r w:rsidRPr="0042463F">
        <w:rPr>
          <w:rFonts w:ascii="Times New Roman" w:eastAsia="Times New Roman" w:hAnsi="Times New Roman" w:cs="Times New Roman"/>
          <w:kern w:val="0"/>
          <w:sz w:val="24"/>
          <w:szCs w:val="24"/>
          <w:lang w:val="en-US"/>
          <w14:ligatures w14:val="none"/>
        </w:rPr>
        <w:t xml:space="preserve"> population in broilers. </w:t>
      </w:r>
      <w:r w:rsidRPr="0042463F">
        <w:rPr>
          <w:rFonts w:ascii="Times New Roman" w:eastAsia="Times New Roman" w:hAnsi="Times New Roman" w:cs="Times New Roman"/>
          <w:i/>
          <w:iCs/>
          <w:kern w:val="0"/>
          <w:sz w:val="24"/>
          <w:szCs w:val="24"/>
          <w:lang w:val="en-US"/>
          <w14:ligatures w14:val="none"/>
        </w:rPr>
        <w:t>Journal of Applied Poultry Research, 19</w:t>
      </w:r>
      <w:r w:rsidRPr="0042463F">
        <w:rPr>
          <w:rFonts w:ascii="Times New Roman" w:eastAsia="Times New Roman" w:hAnsi="Times New Roman" w:cs="Times New Roman"/>
          <w:kern w:val="0"/>
          <w:sz w:val="24"/>
          <w:szCs w:val="24"/>
          <w:lang w:val="en-US"/>
          <w14:ligatures w14:val="none"/>
        </w:rPr>
        <w:t xml:space="preserve">(4), 432–443. </w:t>
      </w:r>
      <w:hyperlink r:id="rId25" w:history="1">
        <w:r w:rsidRPr="0042463F">
          <w:rPr>
            <w:rFonts w:ascii="Times New Roman" w:eastAsia="Times New Roman" w:hAnsi="Times New Roman" w:cs="Times New Roman"/>
            <w:color w:val="0000FF"/>
            <w:kern w:val="0"/>
            <w:sz w:val="24"/>
            <w:szCs w:val="24"/>
            <w:u w:val="single"/>
            <w:lang w:val="en-US"/>
            <w14:ligatures w14:val="none"/>
          </w:rPr>
          <w:t>https://doi.org/10.3382/japr.2009-00141</w:t>
        </w:r>
      </w:hyperlink>
    </w:p>
    <w:p w14:paraId="404CD297"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Holley, R. A., &amp; Patel, D. (2005). Improvement in shelf-life and safety of perishable foods by plant essential oils and smoke antimicrobials. </w:t>
      </w:r>
      <w:r w:rsidRPr="0042463F">
        <w:rPr>
          <w:rFonts w:ascii="Times New Roman" w:eastAsia="Times New Roman" w:hAnsi="Times New Roman" w:cs="Times New Roman"/>
          <w:i/>
          <w:iCs/>
          <w:kern w:val="0"/>
          <w:sz w:val="24"/>
          <w:szCs w:val="24"/>
          <w:lang w:val="en-US"/>
          <w14:ligatures w14:val="none"/>
        </w:rPr>
        <w:t>Food Microbiology, 22</w:t>
      </w:r>
      <w:r w:rsidRPr="0042463F">
        <w:rPr>
          <w:rFonts w:ascii="Times New Roman" w:eastAsia="Times New Roman" w:hAnsi="Times New Roman" w:cs="Times New Roman"/>
          <w:kern w:val="0"/>
          <w:sz w:val="24"/>
          <w:szCs w:val="24"/>
          <w:lang w:val="en-US"/>
          <w14:ligatures w14:val="none"/>
        </w:rPr>
        <w:t xml:space="preserve">(4), 273–292. </w:t>
      </w:r>
      <w:hyperlink r:id="rId26" w:history="1">
        <w:r w:rsidRPr="0042463F">
          <w:rPr>
            <w:rFonts w:ascii="Times New Roman" w:eastAsia="Times New Roman" w:hAnsi="Times New Roman" w:cs="Times New Roman"/>
            <w:color w:val="0000FF"/>
            <w:kern w:val="0"/>
            <w:sz w:val="24"/>
            <w:szCs w:val="24"/>
            <w:u w:val="single"/>
            <w:lang w:val="en-US"/>
            <w14:ligatures w14:val="none"/>
          </w:rPr>
          <w:t>https://doi.org/10.1016/j.fm.2004.08.006</w:t>
        </w:r>
      </w:hyperlink>
    </w:p>
    <w:p w14:paraId="5E37CDAF"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Jang, I. S., Ko, Y. H., Kang, S. Y., &amp; Lee, C. Y. (2007). Effect of a commercial essential oil on growth performance, digestive enzyme activity and intestinal microflora population in broiler chickens. </w:t>
      </w:r>
      <w:r w:rsidRPr="0042463F">
        <w:rPr>
          <w:rFonts w:ascii="Times New Roman" w:eastAsia="Times New Roman" w:hAnsi="Times New Roman" w:cs="Times New Roman"/>
          <w:i/>
          <w:iCs/>
          <w:kern w:val="0"/>
          <w:sz w:val="24"/>
          <w:szCs w:val="24"/>
          <w:lang w:val="en-US"/>
          <w14:ligatures w14:val="none"/>
        </w:rPr>
        <w:t>Animal Feed Science and Technology, 134</w:t>
      </w:r>
      <w:r w:rsidRPr="0042463F">
        <w:rPr>
          <w:rFonts w:ascii="Times New Roman" w:eastAsia="Times New Roman" w:hAnsi="Times New Roman" w:cs="Times New Roman"/>
          <w:kern w:val="0"/>
          <w:sz w:val="24"/>
          <w:szCs w:val="24"/>
          <w:lang w:val="en-US"/>
          <w14:ligatures w14:val="none"/>
        </w:rPr>
        <w:t xml:space="preserve">(3–4), 304–315. </w:t>
      </w:r>
      <w:hyperlink r:id="rId27" w:history="1">
        <w:r w:rsidRPr="0042463F">
          <w:rPr>
            <w:rFonts w:ascii="Times New Roman" w:eastAsia="Times New Roman" w:hAnsi="Times New Roman" w:cs="Times New Roman"/>
            <w:color w:val="0000FF"/>
            <w:kern w:val="0"/>
            <w:sz w:val="24"/>
            <w:szCs w:val="24"/>
            <w:u w:val="single"/>
            <w:lang w:val="en-US"/>
            <w14:ligatures w14:val="none"/>
          </w:rPr>
          <w:t>https://doi.org/10.1016/j.anifeedsci.2006.06.009</w:t>
        </w:r>
      </w:hyperlink>
    </w:p>
    <w:p w14:paraId="1DDAA2D2"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Janssen, A. M., Scheffer, J. J. C., &amp; </w:t>
      </w:r>
      <w:proofErr w:type="spellStart"/>
      <w:r w:rsidRPr="0042463F">
        <w:rPr>
          <w:rFonts w:ascii="Times New Roman" w:eastAsia="Times New Roman" w:hAnsi="Times New Roman" w:cs="Times New Roman"/>
          <w:kern w:val="0"/>
          <w:sz w:val="24"/>
          <w:szCs w:val="24"/>
          <w:lang w:val="en-US"/>
          <w14:ligatures w14:val="none"/>
        </w:rPr>
        <w:t>Baerheim</w:t>
      </w:r>
      <w:proofErr w:type="spellEnd"/>
      <w:r w:rsidRPr="0042463F">
        <w:rPr>
          <w:rFonts w:ascii="Times New Roman" w:eastAsia="Times New Roman" w:hAnsi="Times New Roman" w:cs="Times New Roman"/>
          <w:kern w:val="0"/>
          <w:sz w:val="24"/>
          <w:szCs w:val="24"/>
          <w:lang w:val="en-US"/>
          <w14:ligatures w14:val="none"/>
        </w:rPr>
        <w:t xml:space="preserve"> Svendsen, A. (1987). Antimicrobial activity of essential oils: A 1976–1986 literature review. Aspects of the test methods. </w:t>
      </w:r>
      <w:r w:rsidRPr="0042463F">
        <w:rPr>
          <w:rFonts w:ascii="Times New Roman" w:eastAsia="Times New Roman" w:hAnsi="Times New Roman" w:cs="Times New Roman"/>
          <w:i/>
          <w:iCs/>
          <w:kern w:val="0"/>
          <w:sz w:val="24"/>
          <w:szCs w:val="24"/>
          <w:lang w:val="en-US"/>
          <w14:ligatures w14:val="none"/>
        </w:rPr>
        <w:t>Planta Medica, 53</w:t>
      </w:r>
      <w:r w:rsidRPr="0042463F">
        <w:rPr>
          <w:rFonts w:ascii="Times New Roman" w:eastAsia="Times New Roman" w:hAnsi="Times New Roman" w:cs="Times New Roman"/>
          <w:kern w:val="0"/>
          <w:sz w:val="24"/>
          <w:szCs w:val="24"/>
          <w:lang w:val="en-US"/>
          <w14:ligatures w14:val="none"/>
        </w:rPr>
        <w:t xml:space="preserve">(5), 395–398. </w:t>
      </w:r>
      <w:hyperlink r:id="rId28" w:history="1">
        <w:r w:rsidRPr="0042463F">
          <w:rPr>
            <w:rFonts w:ascii="Times New Roman" w:eastAsia="Times New Roman" w:hAnsi="Times New Roman" w:cs="Times New Roman"/>
            <w:color w:val="0000FF"/>
            <w:kern w:val="0"/>
            <w:sz w:val="24"/>
            <w:szCs w:val="24"/>
            <w:u w:val="single"/>
            <w:lang w:val="en-US"/>
            <w14:ligatures w14:val="none"/>
          </w:rPr>
          <w:t>https://doi.org/10.1055/s-2006-962755</w:t>
        </w:r>
      </w:hyperlink>
    </w:p>
    <w:p w14:paraId="67A50982"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Kahiel, M., Wang, K., Xu, H., Du, J., Li, S., Shen, D., &amp; Li, C. (2025). Effect of supplemental essential oils blend on broiler meat quality, fatty acid profile, and lipid quality. </w:t>
      </w:r>
      <w:r w:rsidRPr="0042463F">
        <w:rPr>
          <w:rFonts w:ascii="Times New Roman" w:eastAsia="Times New Roman" w:hAnsi="Times New Roman" w:cs="Times New Roman"/>
          <w:i/>
          <w:iCs/>
          <w:kern w:val="0"/>
          <w:sz w:val="24"/>
          <w:szCs w:val="24"/>
          <w:lang w:val="en-US"/>
          <w14:ligatures w14:val="none"/>
        </w:rPr>
        <w:t>Animals, 15</w:t>
      </w:r>
      <w:r w:rsidRPr="0042463F">
        <w:rPr>
          <w:rFonts w:ascii="Times New Roman" w:eastAsia="Times New Roman" w:hAnsi="Times New Roman" w:cs="Times New Roman"/>
          <w:kern w:val="0"/>
          <w:sz w:val="24"/>
          <w:szCs w:val="24"/>
          <w:lang w:val="en-US"/>
          <w14:ligatures w14:val="none"/>
        </w:rPr>
        <w:t xml:space="preserve">(7), 929. </w:t>
      </w:r>
      <w:hyperlink r:id="rId29" w:history="1">
        <w:r w:rsidRPr="0042463F">
          <w:rPr>
            <w:rFonts w:ascii="Times New Roman" w:eastAsia="Times New Roman" w:hAnsi="Times New Roman" w:cs="Times New Roman"/>
            <w:color w:val="0000FF"/>
            <w:kern w:val="0"/>
            <w:sz w:val="24"/>
            <w:szCs w:val="24"/>
            <w:u w:val="single"/>
            <w:lang w:val="en-US"/>
            <w14:ligatures w14:val="none"/>
          </w:rPr>
          <w:t>https://doi.org/10.3390/ani15070929</w:t>
        </w:r>
      </w:hyperlink>
    </w:p>
    <w:p w14:paraId="416ABB69" w14:textId="342AC87B"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Muhammad Khan, N., Tahir, M., Naz, S., Khan, R. U., </w:t>
      </w:r>
      <w:proofErr w:type="spellStart"/>
      <w:r w:rsidRPr="0042463F">
        <w:rPr>
          <w:rFonts w:ascii="Times New Roman" w:eastAsia="Times New Roman" w:hAnsi="Times New Roman" w:cs="Times New Roman"/>
          <w:kern w:val="0"/>
          <w:sz w:val="24"/>
          <w:szCs w:val="24"/>
          <w:lang w:val="en-US"/>
          <w14:ligatures w14:val="none"/>
        </w:rPr>
        <w:t>Alonaizan</w:t>
      </w:r>
      <w:proofErr w:type="spellEnd"/>
      <w:r w:rsidRPr="0042463F">
        <w:rPr>
          <w:rFonts w:ascii="Times New Roman" w:eastAsia="Times New Roman" w:hAnsi="Times New Roman" w:cs="Times New Roman"/>
          <w:kern w:val="0"/>
          <w:sz w:val="24"/>
          <w:szCs w:val="24"/>
          <w:lang w:val="en-US"/>
          <w14:ligatures w14:val="none"/>
        </w:rPr>
        <w:t xml:space="preserve">, R., Al-Akeel, R. K., </w:t>
      </w:r>
      <w:proofErr w:type="spellStart"/>
      <w:r w:rsidRPr="0042463F">
        <w:rPr>
          <w:rFonts w:ascii="Times New Roman" w:eastAsia="Times New Roman" w:hAnsi="Times New Roman" w:cs="Times New Roman"/>
          <w:kern w:val="0"/>
          <w:sz w:val="24"/>
          <w:szCs w:val="24"/>
          <w:lang w:val="en-US"/>
          <w14:ligatures w14:val="none"/>
        </w:rPr>
        <w:t>Abudabos</w:t>
      </w:r>
      <w:proofErr w:type="spellEnd"/>
      <w:r w:rsidRPr="0042463F">
        <w:rPr>
          <w:rFonts w:ascii="Times New Roman" w:eastAsia="Times New Roman" w:hAnsi="Times New Roman" w:cs="Times New Roman"/>
          <w:kern w:val="0"/>
          <w:sz w:val="24"/>
          <w:szCs w:val="24"/>
          <w:lang w:val="en-US"/>
          <w14:ligatures w14:val="none"/>
        </w:rPr>
        <w:t>, A., Al-</w:t>
      </w:r>
      <w:proofErr w:type="spellStart"/>
      <w:r w:rsidRPr="0042463F">
        <w:rPr>
          <w:rFonts w:ascii="Times New Roman" w:eastAsia="Times New Roman" w:hAnsi="Times New Roman" w:cs="Times New Roman"/>
          <w:kern w:val="0"/>
          <w:sz w:val="24"/>
          <w:szCs w:val="24"/>
          <w:lang w:val="en-US"/>
          <w14:ligatures w14:val="none"/>
        </w:rPr>
        <w:t>Atiyat</w:t>
      </w:r>
      <w:proofErr w:type="spellEnd"/>
      <w:r w:rsidRPr="0042463F">
        <w:rPr>
          <w:rFonts w:ascii="Times New Roman" w:eastAsia="Times New Roman" w:hAnsi="Times New Roman" w:cs="Times New Roman"/>
          <w:kern w:val="0"/>
          <w:sz w:val="24"/>
          <w:szCs w:val="24"/>
          <w:lang w:val="en-US"/>
          <w14:ligatures w14:val="none"/>
        </w:rPr>
        <w:t xml:space="preserve">, R. M., Haq, I., &amp; </w:t>
      </w:r>
      <w:proofErr w:type="spellStart"/>
      <w:r w:rsidRPr="0042463F">
        <w:rPr>
          <w:rFonts w:ascii="Times New Roman" w:eastAsia="Times New Roman" w:hAnsi="Times New Roman" w:cs="Times New Roman"/>
          <w:kern w:val="0"/>
          <w:sz w:val="24"/>
          <w:szCs w:val="24"/>
          <w:lang w:val="en-US"/>
          <w14:ligatures w14:val="none"/>
        </w:rPr>
        <w:t>Alhidary</w:t>
      </w:r>
      <w:proofErr w:type="spellEnd"/>
      <w:r w:rsidRPr="0042463F">
        <w:rPr>
          <w:rFonts w:ascii="Times New Roman" w:eastAsia="Times New Roman" w:hAnsi="Times New Roman" w:cs="Times New Roman"/>
          <w:kern w:val="0"/>
          <w:sz w:val="24"/>
          <w:szCs w:val="24"/>
          <w:lang w:val="en-US"/>
          <w14:ligatures w14:val="none"/>
        </w:rPr>
        <w:t xml:space="preserve">, I. A. (2026). Effects of essential oil blend supplementation on growth performance, nutrient digestibility, immune response, villus histology and cecal microbiota in broilers. </w:t>
      </w:r>
      <w:r w:rsidRPr="0042463F">
        <w:rPr>
          <w:rFonts w:ascii="Times New Roman" w:eastAsia="Times New Roman" w:hAnsi="Times New Roman" w:cs="Times New Roman"/>
          <w:i/>
          <w:iCs/>
          <w:kern w:val="0"/>
          <w:sz w:val="24"/>
          <w:szCs w:val="24"/>
          <w:lang w:val="en-US"/>
          <w14:ligatures w14:val="none"/>
        </w:rPr>
        <w:t>Archives Animal Breeding, 69</w:t>
      </w:r>
      <w:r w:rsidRPr="0042463F">
        <w:rPr>
          <w:rFonts w:ascii="Times New Roman" w:eastAsia="Times New Roman" w:hAnsi="Times New Roman" w:cs="Times New Roman"/>
          <w:kern w:val="0"/>
          <w:sz w:val="24"/>
          <w:szCs w:val="24"/>
          <w:lang w:val="en-US"/>
          <w14:ligatures w14:val="none"/>
        </w:rPr>
        <w:t xml:space="preserve">, 205–214. </w:t>
      </w:r>
      <w:hyperlink r:id="rId30" w:history="1">
        <w:r w:rsidRPr="0042463F">
          <w:rPr>
            <w:rFonts w:ascii="Times New Roman" w:eastAsia="Times New Roman" w:hAnsi="Times New Roman" w:cs="Times New Roman"/>
            <w:color w:val="0000FF"/>
            <w:kern w:val="0"/>
            <w:sz w:val="24"/>
            <w:szCs w:val="24"/>
            <w:u w:val="single"/>
            <w:lang w:val="en-US"/>
            <w14:ligatures w14:val="none"/>
          </w:rPr>
          <w:t>https://doi.org/10.5194/aab-69-205-2026</w:t>
        </w:r>
      </w:hyperlink>
      <w:r w:rsidRPr="0042463F">
        <w:rPr>
          <w:rFonts w:ascii="Times New Roman" w:eastAsia="Times New Roman" w:hAnsi="Times New Roman" w:cs="Times New Roman"/>
          <w:kern w:val="0"/>
          <w:sz w:val="24"/>
          <w:szCs w:val="24"/>
          <w:lang w:val="en-US"/>
          <w14:ligatures w14:val="none"/>
        </w:rPr>
        <w:br/>
      </w:r>
    </w:p>
    <w:p w14:paraId="36A4764C"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Li, G., Lillehoj, H. S., Lee, K. W., Jang, S. I., </w:t>
      </w:r>
      <w:proofErr w:type="spellStart"/>
      <w:r w:rsidRPr="0042463F">
        <w:rPr>
          <w:rFonts w:ascii="Times New Roman" w:eastAsia="Times New Roman" w:hAnsi="Times New Roman" w:cs="Times New Roman"/>
          <w:kern w:val="0"/>
          <w:sz w:val="24"/>
          <w:szCs w:val="24"/>
          <w:lang w:val="en-US"/>
          <w14:ligatures w14:val="none"/>
        </w:rPr>
        <w:t>Pagès</w:t>
      </w:r>
      <w:proofErr w:type="spellEnd"/>
      <w:r w:rsidRPr="0042463F">
        <w:rPr>
          <w:rFonts w:ascii="Times New Roman" w:eastAsia="Times New Roman" w:hAnsi="Times New Roman" w:cs="Times New Roman"/>
          <w:kern w:val="0"/>
          <w:sz w:val="24"/>
          <w:szCs w:val="24"/>
          <w:lang w:val="en-US"/>
          <w14:ligatures w14:val="none"/>
        </w:rPr>
        <w:t xml:space="preserve">, M., Gay, C. G., Ritter, G. D., Bautista, D. A., Phillips, K., Neumann, A. P., Rehberger, T. G., &amp; Siragusa, G. R. (2010). An outbreak of gangrenous dermatitis in commercial broiler chickens. </w:t>
      </w:r>
      <w:r w:rsidRPr="0042463F">
        <w:rPr>
          <w:rFonts w:ascii="Times New Roman" w:eastAsia="Times New Roman" w:hAnsi="Times New Roman" w:cs="Times New Roman"/>
          <w:i/>
          <w:iCs/>
          <w:kern w:val="0"/>
          <w:sz w:val="24"/>
          <w:szCs w:val="24"/>
          <w:lang w:val="en-US"/>
          <w14:ligatures w14:val="none"/>
        </w:rPr>
        <w:t>Avian Pathology, 39</w:t>
      </w:r>
      <w:r w:rsidRPr="0042463F">
        <w:rPr>
          <w:rFonts w:ascii="Times New Roman" w:eastAsia="Times New Roman" w:hAnsi="Times New Roman" w:cs="Times New Roman"/>
          <w:kern w:val="0"/>
          <w:sz w:val="24"/>
          <w:szCs w:val="24"/>
          <w:lang w:val="en-US"/>
          <w14:ligatures w14:val="none"/>
        </w:rPr>
        <w:t xml:space="preserve">(4), 247–253. </w:t>
      </w:r>
      <w:hyperlink r:id="rId31" w:history="1">
        <w:r w:rsidRPr="0042463F">
          <w:rPr>
            <w:rFonts w:ascii="Times New Roman" w:eastAsia="Times New Roman" w:hAnsi="Times New Roman" w:cs="Times New Roman"/>
            <w:color w:val="0000FF"/>
            <w:kern w:val="0"/>
            <w:sz w:val="24"/>
            <w:szCs w:val="24"/>
            <w:u w:val="single"/>
            <w:lang w:val="en-US"/>
            <w14:ligatures w14:val="none"/>
          </w:rPr>
          <w:t>https://doi.org/10.1080/03079457.2010.487517</w:t>
        </w:r>
      </w:hyperlink>
    </w:p>
    <w:p w14:paraId="5E5B2291"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42463F">
        <w:rPr>
          <w:rFonts w:ascii="Times New Roman" w:eastAsia="Times New Roman" w:hAnsi="Times New Roman" w:cs="Times New Roman"/>
          <w:kern w:val="0"/>
          <w:sz w:val="24"/>
          <w:szCs w:val="24"/>
          <w:lang w:val="en-US"/>
          <w14:ligatures w14:val="none"/>
        </w:rPr>
        <w:t>Masouri</w:t>
      </w:r>
      <w:proofErr w:type="spellEnd"/>
      <w:r w:rsidRPr="0042463F">
        <w:rPr>
          <w:rFonts w:ascii="Times New Roman" w:eastAsia="Times New Roman" w:hAnsi="Times New Roman" w:cs="Times New Roman"/>
          <w:kern w:val="0"/>
          <w:sz w:val="24"/>
          <w:szCs w:val="24"/>
          <w:lang w:val="en-US"/>
          <w14:ligatures w14:val="none"/>
        </w:rPr>
        <w:t xml:space="preserve">, L., Salari, S., Sari, M., Tabatabaei, S., &amp; </w:t>
      </w:r>
      <w:proofErr w:type="spellStart"/>
      <w:r w:rsidRPr="0042463F">
        <w:rPr>
          <w:rFonts w:ascii="Times New Roman" w:eastAsia="Times New Roman" w:hAnsi="Times New Roman" w:cs="Times New Roman"/>
          <w:kern w:val="0"/>
          <w:sz w:val="24"/>
          <w:szCs w:val="24"/>
          <w:lang w:val="en-US"/>
          <w14:ligatures w14:val="none"/>
        </w:rPr>
        <w:t>Masouri</w:t>
      </w:r>
      <w:proofErr w:type="spellEnd"/>
      <w:r w:rsidRPr="0042463F">
        <w:rPr>
          <w:rFonts w:ascii="Times New Roman" w:eastAsia="Times New Roman" w:hAnsi="Times New Roman" w:cs="Times New Roman"/>
          <w:kern w:val="0"/>
          <w:sz w:val="24"/>
          <w:szCs w:val="24"/>
          <w:lang w:val="en-US"/>
          <w14:ligatures w14:val="none"/>
        </w:rPr>
        <w:t xml:space="preserve">, B. (2017). Effect of feed supplementation with </w:t>
      </w:r>
      <w:proofErr w:type="spellStart"/>
      <w:r w:rsidRPr="0042463F">
        <w:rPr>
          <w:rFonts w:ascii="Times New Roman" w:eastAsia="Times New Roman" w:hAnsi="Times New Roman" w:cs="Times New Roman"/>
          <w:i/>
          <w:iCs/>
          <w:kern w:val="0"/>
          <w:sz w:val="24"/>
          <w:szCs w:val="24"/>
          <w:lang w:val="en-US"/>
          <w14:ligatures w14:val="none"/>
        </w:rPr>
        <w:t>Satureja</w:t>
      </w:r>
      <w:proofErr w:type="spellEnd"/>
      <w:r w:rsidRPr="0042463F">
        <w:rPr>
          <w:rFonts w:ascii="Times New Roman" w:eastAsia="Times New Roman" w:hAnsi="Times New Roman" w:cs="Times New Roman"/>
          <w:i/>
          <w:iCs/>
          <w:kern w:val="0"/>
          <w:sz w:val="24"/>
          <w:szCs w:val="24"/>
          <w:lang w:val="en-US"/>
          <w14:ligatures w14:val="none"/>
        </w:rPr>
        <w:t xml:space="preserve"> </w:t>
      </w:r>
      <w:proofErr w:type="spellStart"/>
      <w:r w:rsidRPr="0042463F">
        <w:rPr>
          <w:rFonts w:ascii="Times New Roman" w:eastAsia="Times New Roman" w:hAnsi="Times New Roman" w:cs="Times New Roman"/>
          <w:i/>
          <w:iCs/>
          <w:kern w:val="0"/>
          <w:sz w:val="24"/>
          <w:szCs w:val="24"/>
          <w:lang w:val="en-US"/>
          <w14:ligatures w14:val="none"/>
        </w:rPr>
        <w:t>khuzistanica</w:t>
      </w:r>
      <w:proofErr w:type="spellEnd"/>
      <w:r w:rsidRPr="0042463F">
        <w:rPr>
          <w:rFonts w:ascii="Times New Roman" w:eastAsia="Times New Roman" w:hAnsi="Times New Roman" w:cs="Times New Roman"/>
          <w:kern w:val="0"/>
          <w:sz w:val="24"/>
          <w:szCs w:val="24"/>
          <w:lang w:val="en-US"/>
          <w14:ligatures w14:val="none"/>
        </w:rPr>
        <w:t xml:space="preserve"> essential oil on performance and physiological parameters of broilers fed on wheat- or maize-based diets. </w:t>
      </w:r>
      <w:r w:rsidRPr="0042463F">
        <w:rPr>
          <w:rFonts w:ascii="Times New Roman" w:eastAsia="Times New Roman" w:hAnsi="Times New Roman" w:cs="Times New Roman"/>
          <w:i/>
          <w:iCs/>
          <w:kern w:val="0"/>
          <w:sz w:val="24"/>
          <w:szCs w:val="24"/>
          <w:lang w:val="en-US"/>
          <w14:ligatures w14:val="none"/>
        </w:rPr>
        <w:t>British Poultry Science, 58</w:t>
      </w:r>
      <w:r w:rsidRPr="0042463F">
        <w:rPr>
          <w:rFonts w:ascii="Times New Roman" w:eastAsia="Times New Roman" w:hAnsi="Times New Roman" w:cs="Times New Roman"/>
          <w:kern w:val="0"/>
          <w:sz w:val="24"/>
          <w:szCs w:val="24"/>
          <w:lang w:val="en-US"/>
          <w14:ligatures w14:val="none"/>
        </w:rPr>
        <w:t xml:space="preserve">(4), 425–434. </w:t>
      </w:r>
      <w:hyperlink r:id="rId32" w:history="1">
        <w:r w:rsidRPr="0042463F">
          <w:rPr>
            <w:rFonts w:ascii="Times New Roman" w:eastAsia="Times New Roman" w:hAnsi="Times New Roman" w:cs="Times New Roman"/>
            <w:color w:val="0000FF"/>
            <w:kern w:val="0"/>
            <w:sz w:val="24"/>
            <w:szCs w:val="24"/>
            <w:u w:val="single"/>
            <w:lang w:val="en-US"/>
            <w14:ligatures w14:val="none"/>
          </w:rPr>
          <w:t>https://doi.org/10.1080/00071668.2017.1327701</w:t>
        </w:r>
      </w:hyperlink>
    </w:p>
    <w:p w14:paraId="6949F029"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42463F">
        <w:rPr>
          <w:rFonts w:ascii="Times New Roman" w:eastAsia="Times New Roman" w:hAnsi="Times New Roman" w:cs="Times New Roman"/>
          <w:kern w:val="0"/>
          <w:sz w:val="24"/>
          <w:szCs w:val="24"/>
          <w:lang w:val="en-US"/>
          <w14:ligatures w14:val="none"/>
        </w:rPr>
        <w:lastRenderedPageBreak/>
        <w:t>Mohagheghzadeh</w:t>
      </w:r>
      <w:proofErr w:type="spellEnd"/>
      <w:r w:rsidRPr="0042463F">
        <w:rPr>
          <w:rFonts w:ascii="Times New Roman" w:eastAsia="Times New Roman" w:hAnsi="Times New Roman" w:cs="Times New Roman"/>
          <w:kern w:val="0"/>
          <w:sz w:val="24"/>
          <w:szCs w:val="24"/>
          <w:lang w:val="en-US"/>
          <w14:ligatures w14:val="none"/>
        </w:rPr>
        <w:t xml:space="preserve">, A., Faridi, P., &amp; Ghasemi, Y. (2010). Analysis of Mount Atlas mastic smoke: A potential food preservative. </w:t>
      </w:r>
      <w:proofErr w:type="spellStart"/>
      <w:r w:rsidRPr="0042463F">
        <w:rPr>
          <w:rFonts w:ascii="Times New Roman" w:eastAsia="Times New Roman" w:hAnsi="Times New Roman" w:cs="Times New Roman"/>
          <w:i/>
          <w:iCs/>
          <w:kern w:val="0"/>
          <w:sz w:val="24"/>
          <w:szCs w:val="24"/>
          <w:lang w:val="en-US"/>
          <w14:ligatures w14:val="none"/>
        </w:rPr>
        <w:t>Fitoterapia</w:t>
      </w:r>
      <w:proofErr w:type="spellEnd"/>
      <w:r w:rsidRPr="0042463F">
        <w:rPr>
          <w:rFonts w:ascii="Times New Roman" w:eastAsia="Times New Roman" w:hAnsi="Times New Roman" w:cs="Times New Roman"/>
          <w:i/>
          <w:iCs/>
          <w:kern w:val="0"/>
          <w:sz w:val="24"/>
          <w:szCs w:val="24"/>
          <w:lang w:val="en-US"/>
          <w14:ligatures w14:val="none"/>
        </w:rPr>
        <w:t>, 81</w:t>
      </w:r>
      <w:r w:rsidRPr="0042463F">
        <w:rPr>
          <w:rFonts w:ascii="Times New Roman" w:eastAsia="Times New Roman" w:hAnsi="Times New Roman" w:cs="Times New Roman"/>
          <w:kern w:val="0"/>
          <w:sz w:val="24"/>
          <w:szCs w:val="24"/>
          <w:lang w:val="en-US"/>
          <w14:ligatures w14:val="none"/>
        </w:rPr>
        <w:t xml:space="preserve">(6), 577–580. </w:t>
      </w:r>
      <w:hyperlink r:id="rId33" w:history="1">
        <w:r w:rsidRPr="0042463F">
          <w:rPr>
            <w:rFonts w:ascii="Times New Roman" w:eastAsia="Times New Roman" w:hAnsi="Times New Roman" w:cs="Times New Roman"/>
            <w:color w:val="0000FF"/>
            <w:kern w:val="0"/>
            <w:sz w:val="24"/>
            <w:szCs w:val="24"/>
            <w:u w:val="single"/>
            <w:lang w:val="en-US"/>
            <w14:ligatures w14:val="none"/>
          </w:rPr>
          <w:t>https://doi.org/10.1016/j.fitote.2010.01.022</w:t>
        </w:r>
      </w:hyperlink>
    </w:p>
    <w:p w14:paraId="548F4CC7"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42463F">
        <w:rPr>
          <w:rFonts w:ascii="Times New Roman" w:eastAsia="Times New Roman" w:hAnsi="Times New Roman" w:cs="Times New Roman"/>
          <w:kern w:val="0"/>
          <w:sz w:val="24"/>
          <w:szCs w:val="24"/>
          <w:lang w:val="en-US"/>
          <w14:ligatures w14:val="none"/>
        </w:rPr>
        <w:t>Mohsenifard</w:t>
      </w:r>
      <w:proofErr w:type="spellEnd"/>
      <w:r w:rsidRPr="0042463F">
        <w:rPr>
          <w:rFonts w:ascii="Times New Roman" w:eastAsia="Times New Roman" w:hAnsi="Times New Roman" w:cs="Times New Roman"/>
          <w:kern w:val="0"/>
          <w:sz w:val="24"/>
          <w:szCs w:val="24"/>
          <w:lang w:val="en-US"/>
          <w14:ligatures w14:val="none"/>
        </w:rPr>
        <w:t xml:space="preserve">, E., </w:t>
      </w:r>
      <w:proofErr w:type="spellStart"/>
      <w:r w:rsidRPr="0042463F">
        <w:rPr>
          <w:rFonts w:ascii="Times New Roman" w:eastAsia="Times New Roman" w:hAnsi="Times New Roman" w:cs="Times New Roman"/>
          <w:kern w:val="0"/>
          <w:sz w:val="24"/>
          <w:szCs w:val="24"/>
          <w:lang w:val="en-US"/>
          <w14:ligatures w14:val="none"/>
        </w:rPr>
        <w:t>Basaki</w:t>
      </w:r>
      <w:proofErr w:type="spellEnd"/>
      <w:r w:rsidRPr="0042463F">
        <w:rPr>
          <w:rFonts w:ascii="Times New Roman" w:eastAsia="Times New Roman" w:hAnsi="Times New Roman" w:cs="Times New Roman"/>
          <w:kern w:val="0"/>
          <w:sz w:val="24"/>
          <w:szCs w:val="24"/>
          <w:lang w:val="en-US"/>
          <w14:ligatures w14:val="none"/>
        </w:rPr>
        <w:t xml:space="preserve">, M., Asasi, K., </w:t>
      </w:r>
      <w:proofErr w:type="spellStart"/>
      <w:r w:rsidRPr="0042463F">
        <w:rPr>
          <w:rFonts w:ascii="Times New Roman" w:eastAsia="Times New Roman" w:hAnsi="Times New Roman" w:cs="Times New Roman"/>
          <w:kern w:val="0"/>
          <w:sz w:val="24"/>
          <w:szCs w:val="24"/>
          <w:lang w:val="en-US"/>
          <w14:ligatures w14:val="none"/>
        </w:rPr>
        <w:t>Sharifiyazdi</w:t>
      </w:r>
      <w:proofErr w:type="spellEnd"/>
      <w:r w:rsidRPr="0042463F">
        <w:rPr>
          <w:rFonts w:ascii="Times New Roman" w:eastAsia="Times New Roman" w:hAnsi="Times New Roman" w:cs="Times New Roman"/>
          <w:kern w:val="0"/>
          <w:sz w:val="24"/>
          <w:szCs w:val="24"/>
          <w:lang w:val="en-US"/>
          <w14:ligatures w14:val="none"/>
        </w:rPr>
        <w:t>, H., &amp; Abdi-</w:t>
      </w:r>
      <w:proofErr w:type="spellStart"/>
      <w:r w:rsidRPr="0042463F">
        <w:rPr>
          <w:rFonts w:ascii="Times New Roman" w:eastAsia="Times New Roman" w:hAnsi="Times New Roman" w:cs="Times New Roman"/>
          <w:kern w:val="0"/>
          <w:sz w:val="24"/>
          <w:szCs w:val="24"/>
          <w:lang w:val="en-US"/>
          <w14:ligatures w14:val="none"/>
        </w:rPr>
        <w:t>Hachesoo</w:t>
      </w:r>
      <w:proofErr w:type="spellEnd"/>
      <w:r w:rsidRPr="0042463F">
        <w:rPr>
          <w:rFonts w:ascii="Times New Roman" w:eastAsia="Times New Roman" w:hAnsi="Times New Roman" w:cs="Times New Roman"/>
          <w:kern w:val="0"/>
          <w:sz w:val="24"/>
          <w:szCs w:val="24"/>
          <w:lang w:val="en-US"/>
          <w14:ligatures w14:val="none"/>
        </w:rPr>
        <w:t xml:space="preserve">, B. (2019). Pathogenicity of the avian </w:t>
      </w:r>
      <w:r w:rsidRPr="0042463F">
        <w:rPr>
          <w:rFonts w:ascii="Times New Roman" w:eastAsia="Times New Roman" w:hAnsi="Times New Roman" w:cs="Times New Roman"/>
          <w:i/>
          <w:iCs/>
          <w:kern w:val="0"/>
          <w:sz w:val="24"/>
          <w:szCs w:val="24"/>
          <w:lang w:val="en-US"/>
          <w14:ligatures w14:val="none"/>
        </w:rPr>
        <w:t>Escherichia coli</w:t>
      </w:r>
      <w:r w:rsidRPr="0042463F">
        <w:rPr>
          <w:rFonts w:ascii="Times New Roman" w:eastAsia="Times New Roman" w:hAnsi="Times New Roman" w:cs="Times New Roman"/>
          <w:kern w:val="0"/>
          <w:sz w:val="24"/>
          <w:szCs w:val="24"/>
          <w:lang w:val="en-US"/>
          <w14:ligatures w14:val="none"/>
        </w:rPr>
        <w:t xml:space="preserve"> isolates from pericarditis and femoral head necrosis lesions of colibacillosis in experimentally infected chicks. </w:t>
      </w:r>
      <w:r w:rsidRPr="0042463F">
        <w:rPr>
          <w:rFonts w:ascii="Times New Roman" w:eastAsia="Times New Roman" w:hAnsi="Times New Roman" w:cs="Times New Roman"/>
          <w:i/>
          <w:iCs/>
          <w:kern w:val="0"/>
          <w:sz w:val="24"/>
          <w:szCs w:val="24"/>
          <w:lang w:val="en-US"/>
          <w14:ligatures w14:val="none"/>
        </w:rPr>
        <w:t>The Indian Journal of Animal Sciences, 89</w:t>
      </w:r>
      <w:r w:rsidRPr="0042463F">
        <w:rPr>
          <w:rFonts w:ascii="Times New Roman" w:eastAsia="Times New Roman" w:hAnsi="Times New Roman" w:cs="Times New Roman"/>
          <w:kern w:val="0"/>
          <w:sz w:val="24"/>
          <w:szCs w:val="24"/>
          <w:lang w:val="en-US"/>
          <w14:ligatures w14:val="none"/>
        </w:rPr>
        <w:t xml:space="preserve">(2), 128–132. </w:t>
      </w:r>
      <w:hyperlink r:id="rId34" w:history="1">
        <w:r w:rsidRPr="0042463F">
          <w:rPr>
            <w:rFonts w:ascii="Times New Roman" w:eastAsia="Times New Roman" w:hAnsi="Times New Roman" w:cs="Times New Roman"/>
            <w:color w:val="0000FF"/>
            <w:kern w:val="0"/>
            <w:sz w:val="24"/>
            <w:szCs w:val="24"/>
            <w:u w:val="single"/>
            <w:lang w:val="en-US"/>
            <w14:ligatures w14:val="none"/>
          </w:rPr>
          <w:t>https://doi.org/10.56093/ijans.v89i2.87323</w:t>
        </w:r>
      </w:hyperlink>
    </w:p>
    <w:p w14:paraId="1881601D"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42463F">
        <w:rPr>
          <w:rFonts w:ascii="Times New Roman" w:eastAsia="Times New Roman" w:hAnsi="Times New Roman" w:cs="Times New Roman"/>
          <w:kern w:val="0"/>
          <w:sz w:val="24"/>
          <w:szCs w:val="24"/>
          <w:lang w:val="en-US"/>
          <w14:ligatures w14:val="none"/>
        </w:rPr>
        <w:t>Mudumbai</w:t>
      </w:r>
      <w:proofErr w:type="spellEnd"/>
      <w:r w:rsidRPr="0042463F">
        <w:rPr>
          <w:rFonts w:ascii="Times New Roman" w:eastAsia="Times New Roman" w:hAnsi="Times New Roman" w:cs="Times New Roman"/>
          <w:kern w:val="0"/>
          <w:sz w:val="24"/>
          <w:szCs w:val="24"/>
          <w:lang w:val="en-US"/>
          <w14:ligatures w14:val="none"/>
        </w:rPr>
        <w:t xml:space="preserve">, H., &amp; Velaga, L. (2024). Prevalence of </w:t>
      </w:r>
      <w:r w:rsidRPr="0042463F">
        <w:rPr>
          <w:rFonts w:ascii="Times New Roman" w:eastAsia="Times New Roman" w:hAnsi="Times New Roman" w:cs="Times New Roman"/>
          <w:i/>
          <w:iCs/>
          <w:kern w:val="0"/>
          <w:sz w:val="24"/>
          <w:szCs w:val="24"/>
          <w:lang w:val="en-US"/>
          <w14:ligatures w14:val="none"/>
        </w:rPr>
        <w:t>Staphylococcus aureus</w:t>
      </w:r>
      <w:r w:rsidRPr="0042463F">
        <w:rPr>
          <w:rFonts w:ascii="Times New Roman" w:eastAsia="Times New Roman" w:hAnsi="Times New Roman" w:cs="Times New Roman"/>
          <w:kern w:val="0"/>
          <w:sz w:val="24"/>
          <w:szCs w:val="24"/>
          <w:lang w:val="en-US"/>
          <w14:ligatures w14:val="none"/>
        </w:rPr>
        <w:t xml:space="preserve"> in clinical cases of buffaloes with mastitis and broiler chicken with gangrenous dermatitis. </w:t>
      </w:r>
      <w:r w:rsidRPr="0042463F">
        <w:rPr>
          <w:rFonts w:ascii="Times New Roman" w:eastAsia="Times New Roman" w:hAnsi="Times New Roman" w:cs="Times New Roman"/>
          <w:i/>
          <w:iCs/>
          <w:kern w:val="0"/>
          <w:sz w:val="24"/>
          <w:szCs w:val="24"/>
          <w:lang w:val="en-US"/>
          <w14:ligatures w14:val="none"/>
        </w:rPr>
        <w:t xml:space="preserve">Revista Electronica de </w:t>
      </w:r>
      <w:proofErr w:type="spellStart"/>
      <w:r w:rsidRPr="0042463F">
        <w:rPr>
          <w:rFonts w:ascii="Times New Roman" w:eastAsia="Times New Roman" w:hAnsi="Times New Roman" w:cs="Times New Roman"/>
          <w:i/>
          <w:iCs/>
          <w:kern w:val="0"/>
          <w:sz w:val="24"/>
          <w:szCs w:val="24"/>
          <w:lang w:val="en-US"/>
          <w14:ligatures w14:val="none"/>
        </w:rPr>
        <w:t>Veterinaria</w:t>
      </w:r>
      <w:proofErr w:type="spellEnd"/>
      <w:r w:rsidRPr="0042463F">
        <w:rPr>
          <w:rFonts w:ascii="Times New Roman" w:eastAsia="Times New Roman" w:hAnsi="Times New Roman" w:cs="Times New Roman"/>
          <w:i/>
          <w:iCs/>
          <w:kern w:val="0"/>
          <w:sz w:val="24"/>
          <w:szCs w:val="24"/>
          <w:lang w:val="en-US"/>
          <w14:ligatures w14:val="none"/>
        </w:rPr>
        <w:t>, 25</w:t>
      </w:r>
      <w:r w:rsidRPr="0042463F">
        <w:rPr>
          <w:rFonts w:ascii="Times New Roman" w:eastAsia="Times New Roman" w:hAnsi="Times New Roman" w:cs="Times New Roman"/>
          <w:kern w:val="0"/>
          <w:sz w:val="24"/>
          <w:szCs w:val="24"/>
          <w:lang w:val="en-US"/>
          <w14:ligatures w14:val="none"/>
        </w:rPr>
        <w:t xml:space="preserve">(1), 2862–2866. </w:t>
      </w:r>
      <w:hyperlink r:id="rId35" w:history="1">
        <w:r w:rsidRPr="0042463F">
          <w:rPr>
            <w:rFonts w:ascii="Times New Roman" w:eastAsia="Times New Roman" w:hAnsi="Times New Roman" w:cs="Times New Roman"/>
            <w:color w:val="0000FF"/>
            <w:kern w:val="0"/>
            <w:sz w:val="24"/>
            <w:szCs w:val="24"/>
            <w:u w:val="single"/>
            <w:lang w:val="en-US"/>
            <w14:ligatures w14:val="none"/>
          </w:rPr>
          <w:t>https://doi.org/10.69980/redvet.v25i1.1409</w:t>
        </w:r>
      </w:hyperlink>
    </w:p>
    <w:p w14:paraId="3650E8A4"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42463F">
        <w:rPr>
          <w:rFonts w:ascii="Times New Roman" w:eastAsia="Times New Roman" w:hAnsi="Times New Roman" w:cs="Times New Roman"/>
          <w:kern w:val="0"/>
          <w:sz w:val="24"/>
          <w:szCs w:val="24"/>
          <w:lang w:val="en-US"/>
          <w14:ligatures w14:val="none"/>
        </w:rPr>
        <w:t>Noruzi</w:t>
      </w:r>
      <w:proofErr w:type="spellEnd"/>
      <w:r w:rsidRPr="0042463F">
        <w:rPr>
          <w:rFonts w:ascii="Times New Roman" w:eastAsia="Times New Roman" w:hAnsi="Times New Roman" w:cs="Times New Roman"/>
          <w:kern w:val="0"/>
          <w:sz w:val="24"/>
          <w:szCs w:val="24"/>
          <w:lang w:val="en-US"/>
          <w14:ligatures w14:val="none"/>
        </w:rPr>
        <w:t>, S., Torki, M., &amp; Mohammadi, H. (2022). Effects of supplementing diet with thyme (</w:t>
      </w:r>
      <w:proofErr w:type="spellStart"/>
      <w:r w:rsidRPr="0042463F">
        <w:rPr>
          <w:rFonts w:ascii="Times New Roman" w:eastAsia="Times New Roman" w:hAnsi="Times New Roman" w:cs="Times New Roman"/>
          <w:i/>
          <w:iCs/>
          <w:kern w:val="0"/>
          <w:sz w:val="24"/>
          <w:szCs w:val="24"/>
          <w:lang w:val="en-US"/>
          <w14:ligatures w14:val="none"/>
        </w:rPr>
        <w:t>Thymuas</w:t>
      </w:r>
      <w:proofErr w:type="spellEnd"/>
      <w:r w:rsidRPr="0042463F">
        <w:rPr>
          <w:rFonts w:ascii="Times New Roman" w:eastAsia="Times New Roman" w:hAnsi="Times New Roman" w:cs="Times New Roman"/>
          <w:i/>
          <w:iCs/>
          <w:kern w:val="0"/>
          <w:sz w:val="24"/>
          <w:szCs w:val="24"/>
          <w:lang w:val="en-US"/>
          <w14:ligatures w14:val="none"/>
        </w:rPr>
        <w:t xml:space="preserve"> vulgaris</w:t>
      </w:r>
      <w:r w:rsidRPr="0042463F">
        <w:rPr>
          <w:rFonts w:ascii="Times New Roman" w:eastAsia="Times New Roman" w:hAnsi="Times New Roman" w:cs="Times New Roman"/>
          <w:kern w:val="0"/>
          <w:sz w:val="24"/>
          <w:szCs w:val="24"/>
          <w:lang w:val="en-US"/>
          <w14:ligatures w14:val="none"/>
        </w:rPr>
        <w:t xml:space="preserve"> L.) essential oil and/or selenium yeast on production performance and blood variables of broiler chickens. </w:t>
      </w:r>
      <w:r w:rsidRPr="0042463F">
        <w:rPr>
          <w:rFonts w:ascii="Times New Roman" w:eastAsia="Times New Roman" w:hAnsi="Times New Roman" w:cs="Times New Roman"/>
          <w:i/>
          <w:iCs/>
          <w:kern w:val="0"/>
          <w:sz w:val="24"/>
          <w:szCs w:val="24"/>
          <w:lang w:val="en-US"/>
          <w14:ligatures w14:val="none"/>
        </w:rPr>
        <w:t>Veterinary Medicine and Science, 8</w:t>
      </w:r>
      <w:r w:rsidRPr="0042463F">
        <w:rPr>
          <w:rFonts w:ascii="Times New Roman" w:eastAsia="Times New Roman" w:hAnsi="Times New Roman" w:cs="Times New Roman"/>
          <w:kern w:val="0"/>
          <w:sz w:val="24"/>
          <w:szCs w:val="24"/>
          <w:lang w:val="en-US"/>
          <w14:ligatures w14:val="none"/>
        </w:rPr>
        <w:t xml:space="preserve">(3), 1137–1145. </w:t>
      </w:r>
      <w:hyperlink r:id="rId36" w:history="1">
        <w:r w:rsidRPr="0042463F">
          <w:rPr>
            <w:rFonts w:ascii="Times New Roman" w:eastAsia="Times New Roman" w:hAnsi="Times New Roman" w:cs="Times New Roman"/>
            <w:color w:val="0000FF"/>
            <w:kern w:val="0"/>
            <w:sz w:val="24"/>
            <w:szCs w:val="24"/>
            <w:u w:val="single"/>
            <w:lang w:val="en-US"/>
            <w14:ligatures w14:val="none"/>
          </w:rPr>
          <w:t>https://doi.org/10.1002/vms3.736</w:t>
        </w:r>
      </w:hyperlink>
    </w:p>
    <w:p w14:paraId="58F9A695"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Oladokun, S., Clark, K. F., &amp; Adewole, D. I. (2022). Microbiota and transcriptomic effects of an essential oil blend and its delivery route compared to an antibiotic growth promoter in broiler chickens. </w:t>
      </w:r>
      <w:r w:rsidRPr="0042463F">
        <w:rPr>
          <w:rFonts w:ascii="Times New Roman" w:eastAsia="Times New Roman" w:hAnsi="Times New Roman" w:cs="Times New Roman"/>
          <w:i/>
          <w:iCs/>
          <w:kern w:val="0"/>
          <w:sz w:val="24"/>
          <w:szCs w:val="24"/>
          <w:lang w:val="en-US"/>
          <w14:ligatures w14:val="none"/>
        </w:rPr>
        <w:t>Microorganisms, 10</w:t>
      </w:r>
      <w:r w:rsidRPr="0042463F">
        <w:rPr>
          <w:rFonts w:ascii="Times New Roman" w:eastAsia="Times New Roman" w:hAnsi="Times New Roman" w:cs="Times New Roman"/>
          <w:kern w:val="0"/>
          <w:sz w:val="24"/>
          <w:szCs w:val="24"/>
          <w:lang w:val="en-US"/>
          <w14:ligatures w14:val="none"/>
        </w:rPr>
        <w:t xml:space="preserve">(5), 861. </w:t>
      </w:r>
      <w:hyperlink r:id="rId37" w:history="1">
        <w:r w:rsidRPr="0042463F">
          <w:rPr>
            <w:rFonts w:ascii="Times New Roman" w:eastAsia="Times New Roman" w:hAnsi="Times New Roman" w:cs="Times New Roman"/>
            <w:color w:val="0000FF"/>
            <w:kern w:val="0"/>
            <w:sz w:val="24"/>
            <w:szCs w:val="24"/>
            <w:u w:val="single"/>
            <w:lang w:val="en-US"/>
            <w14:ligatures w14:val="none"/>
          </w:rPr>
          <w:t>https://doi.org/10.3390/microorganisms10050861</w:t>
        </w:r>
      </w:hyperlink>
    </w:p>
    <w:p w14:paraId="7C787525" w14:textId="04E047FE"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Dziva, F., &amp; Stevens, M. P. (2008). Colibacillosis in poultry: Unravelling the molecular basis of virulence of avian pathogenic Escherichia coli in their natural hosts. Avian Pathology, 37(4), 355–366. </w:t>
      </w:r>
      <w:hyperlink r:id="rId38" w:history="1">
        <w:r w:rsidRPr="0042463F">
          <w:rPr>
            <w:rFonts w:ascii="Times New Roman" w:eastAsia="Times New Roman" w:hAnsi="Times New Roman" w:cs="Times New Roman"/>
            <w:color w:val="0000FF"/>
            <w:kern w:val="0"/>
            <w:sz w:val="24"/>
            <w:szCs w:val="24"/>
            <w:u w:val="single"/>
            <w:lang w:val="en-US"/>
            <w14:ligatures w14:val="none"/>
          </w:rPr>
          <w:t>https://doi.org/10.1080/03079450802216652</w:t>
        </w:r>
      </w:hyperlink>
    </w:p>
    <w:p w14:paraId="34331689"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42463F">
        <w:rPr>
          <w:rFonts w:ascii="Times New Roman" w:eastAsia="Times New Roman" w:hAnsi="Times New Roman" w:cs="Times New Roman"/>
          <w:kern w:val="0"/>
          <w:sz w:val="24"/>
          <w:szCs w:val="24"/>
          <w:lang w:val="en-US"/>
          <w14:ligatures w14:val="none"/>
        </w:rPr>
        <w:t>Prabuseenivasan</w:t>
      </w:r>
      <w:proofErr w:type="spellEnd"/>
      <w:r w:rsidRPr="0042463F">
        <w:rPr>
          <w:rFonts w:ascii="Times New Roman" w:eastAsia="Times New Roman" w:hAnsi="Times New Roman" w:cs="Times New Roman"/>
          <w:kern w:val="0"/>
          <w:sz w:val="24"/>
          <w:szCs w:val="24"/>
          <w:lang w:val="en-US"/>
          <w14:ligatures w14:val="none"/>
        </w:rPr>
        <w:t xml:space="preserve">, S., Jayakumar, M., &amp; </w:t>
      </w:r>
      <w:proofErr w:type="spellStart"/>
      <w:r w:rsidRPr="0042463F">
        <w:rPr>
          <w:rFonts w:ascii="Times New Roman" w:eastAsia="Times New Roman" w:hAnsi="Times New Roman" w:cs="Times New Roman"/>
          <w:kern w:val="0"/>
          <w:sz w:val="24"/>
          <w:szCs w:val="24"/>
          <w:lang w:val="en-US"/>
          <w14:ligatures w14:val="none"/>
        </w:rPr>
        <w:t>Ignacimuthu</w:t>
      </w:r>
      <w:proofErr w:type="spellEnd"/>
      <w:r w:rsidRPr="0042463F">
        <w:rPr>
          <w:rFonts w:ascii="Times New Roman" w:eastAsia="Times New Roman" w:hAnsi="Times New Roman" w:cs="Times New Roman"/>
          <w:kern w:val="0"/>
          <w:sz w:val="24"/>
          <w:szCs w:val="24"/>
          <w:lang w:val="en-US"/>
          <w14:ligatures w14:val="none"/>
        </w:rPr>
        <w:t xml:space="preserve">, S. (2006). In vitro antibacterial activity of some plant essential oils. </w:t>
      </w:r>
      <w:r w:rsidRPr="0042463F">
        <w:rPr>
          <w:rFonts w:ascii="Times New Roman" w:eastAsia="Times New Roman" w:hAnsi="Times New Roman" w:cs="Times New Roman"/>
          <w:i/>
          <w:iCs/>
          <w:kern w:val="0"/>
          <w:sz w:val="24"/>
          <w:szCs w:val="24"/>
          <w:lang w:val="en-US"/>
          <w14:ligatures w14:val="none"/>
        </w:rPr>
        <w:t>BMC Complementary and Alternative Medicine, 6</w:t>
      </w:r>
      <w:r w:rsidRPr="0042463F">
        <w:rPr>
          <w:rFonts w:ascii="Times New Roman" w:eastAsia="Times New Roman" w:hAnsi="Times New Roman" w:cs="Times New Roman"/>
          <w:kern w:val="0"/>
          <w:sz w:val="24"/>
          <w:szCs w:val="24"/>
          <w:lang w:val="en-US"/>
          <w14:ligatures w14:val="none"/>
        </w:rPr>
        <w:t xml:space="preserve">, 39. </w:t>
      </w:r>
      <w:hyperlink r:id="rId39" w:history="1">
        <w:r w:rsidRPr="0042463F">
          <w:rPr>
            <w:rFonts w:ascii="Times New Roman" w:eastAsia="Times New Roman" w:hAnsi="Times New Roman" w:cs="Times New Roman"/>
            <w:color w:val="0000FF"/>
            <w:kern w:val="0"/>
            <w:sz w:val="24"/>
            <w:szCs w:val="24"/>
            <w:u w:val="single"/>
            <w:lang w:val="en-US"/>
            <w14:ligatures w14:val="none"/>
          </w:rPr>
          <w:t>https://doi.org/10.1186/1472-6882-6-39</w:t>
        </w:r>
      </w:hyperlink>
    </w:p>
    <w:p w14:paraId="26F4569E"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Puvača, N., </w:t>
      </w:r>
      <w:proofErr w:type="spellStart"/>
      <w:r w:rsidRPr="0042463F">
        <w:rPr>
          <w:rFonts w:ascii="Times New Roman" w:eastAsia="Times New Roman" w:hAnsi="Times New Roman" w:cs="Times New Roman"/>
          <w:kern w:val="0"/>
          <w:sz w:val="24"/>
          <w:szCs w:val="24"/>
          <w:lang w:val="en-US"/>
          <w14:ligatures w14:val="none"/>
        </w:rPr>
        <w:t>Čabarkapa</w:t>
      </w:r>
      <w:proofErr w:type="spellEnd"/>
      <w:r w:rsidRPr="0042463F">
        <w:rPr>
          <w:rFonts w:ascii="Times New Roman" w:eastAsia="Times New Roman" w:hAnsi="Times New Roman" w:cs="Times New Roman"/>
          <w:kern w:val="0"/>
          <w:sz w:val="24"/>
          <w:szCs w:val="24"/>
          <w:lang w:val="en-US"/>
          <w14:ligatures w14:val="none"/>
        </w:rPr>
        <w:t xml:space="preserve">, I., Petrović, A., </w:t>
      </w:r>
      <w:proofErr w:type="spellStart"/>
      <w:r w:rsidRPr="0042463F">
        <w:rPr>
          <w:rFonts w:ascii="Times New Roman" w:eastAsia="Times New Roman" w:hAnsi="Times New Roman" w:cs="Times New Roman"/>
          <w:kern w:val="0"/>
          <w:sz w:val="24"/>
          <w:szCs w:val="24"/>
          <w:lang w:val="en-US"/>
          <w14:ligatures w14:val="none"/>
        </w:rPr>
        <w:t>Bursić</w:t>
      </w:r>
      <w:proofErr w:type="spellEnd"/>
      <w:r w:rsidRPr="0042463F">
        <w:rPr>
          <w:rFonts w:ascii="Times New Roman" w:eastAsia="Times New Roman" w:hAnsi="Times New Roman" w:cs="Times New Roman"/>
          <w:kern w:val="0"/>
          <w:sz w:val="24"/>
          <w:szCs w:val="24"/>
          <w:lang w:val="en-US"/>
          <w14:ligatures w14:val="none"/>
        </w:rPr>
        <w:t xml:space="preserve">, V., Prodanović, R., </w:t>
      </w:r>
      <w:proofErr w:type="spellStart"/>
      <w:r w:rsidRPr="0042463F">
        <w:rPr>
          <w:rFonts w:ascii="Times New Roman" w:eastAsia="Times New Roman" w:hAnsi="Times New Roman" w:cs="Times New Roman"/>
          <w:kern w:val="0"/>
          <w:sz w:val="24"/>
          <w:szCs w:val="24"/>
          <w:lang w:val="en-US"/>
          <w14:ligatures w14:val="none"/>
        </w:rPr>
        <w:t>Soleša</w:t>
      </w:r>
      <w:proofErr w:type="spellEnd"/>
      <w:r w:rsidRPr="0042463F">
        <w:rPr>
          <w:rFonts w:ascii="Times New Roman" w:eastAsia="Times New Roman" w:hAnsi="Times New Roman" w:cs="Times New Roman"/>
          <w:kern w:val="0"/>
          <w:sz w:val="24"/>
          <w:szCs w:val="24"/>
          <w:lang w:val="en-US"/>
          <w14:ligatures w14:val="none"/>
        </w:rPr>
        <w:t xml:space="preserve">, D., &amp; </w:t>
      </w:r>
      <w:proofErr w:type="spellStart"/>
      <w:r w:rsidRPr="0042463F">
        <w:rPr>
          <w:rFonts w:ascii="Times New Roman" w:eastAsia="Times New Roman" w:hAnsi="Times New Roman" w:cs="Times New Roman"/>
          <w:kern w:val="0"/>
          <w:sz w:val="24"/>
          <w:szCs w:val="24"/>
          <w:lang w:val="en-US"/>
          <w14:ligatures w14:val="none"/>
        </w:rPr>
        <w:t>Lević</w:t>
      </w:r>
      <w:proofErr w:type="spellEnd"/>
      <w:r w:rsidRPr="0042463F">
        <w:rPr>
          <w:rFonts w:ascii="Times New Roman" w:eastAsia="Times New Roman" w:hAnsi="Times New Roman" w:cs="Times New Roman"/>
          <w:kern w:val="0"/>
          <w:sz w:val="24"/>
          <w:szCs w:val="24"/>
          <w:lang w:val="en-US"/>
          <w14:ligatures w14:val="none"/>
        </w:rPr>
        <w:t>, J. (2019). Tea tree (</w:t>
      </w:r>
      <w:r w:rsidRPr="0042463F">
        <w:rPr>
          <w:rFonts w:ascii="Times New Roman" w:eastAsia="Times New Roman" w:hAnsi="Times New Roman" w:cs="Times New Roman"/>
          <w:i/>
          <w:iCs/>
          <w:kern w:val="0"/>
          <w:sz w:val="24"/>
          <w:szCs w:val="24"/>
          <w:lang w:val="en-US"/>
          <w14:ligatures w14:val="none"/>
        </w:rPr>
        <w:t>Melaleuca alternifolia</w:t>
      </w:r>
      <w:r w:rsidRPr="0042463F">
        <w:rPr>
          <w:rFonts w:ascii="Times New Roman" w:eastAsia="Times New Roman" w:hAnsi="Times New Roman" w:cs="Times New Roman"/>
          <w:kern w:val="0"/>
          <w:sz w:val="24"/>
          <w:szCs w:val="24"/>
          <w:lang w:val="en-US"/>
          <w14:ligatures w14:val="none"/>
        </w:rPr>
        <w:t xml:space="preserve">) and its essential oil: Antimicrobial, antioxidant and acaricidal effects in poultry production. </w:t>
      </w:r>
      <w:r w:rsidRPr="0042463F">
        <w:rPr>
          <w:rFonts w:ascii="Times New Roman" w:eastAsia="Times New Roman" w:hAnsi="Times New Roman" w:cs="Times New Roman"/>
          <w:i/>
          <w:iCs/>
          <w:kern w:val="0"/>
          <w:sz w:val="24"/>
          <w:szCs w:val="24"/>
          <w:lang w:val="en-US"/>
          <w14:ligatures w14:val="none"/>
        </w:rPr>
        <w:t>World’s Poultry Science Journal, 75</w:t>
      </w:r>
      <w:r w:rsidRPr="0042463F">
        <w:rPr>
          <w:rFonts w:ascii="Times New Roman" w:eastAsia="Times New Roman" w:hAnsi="Times New Roman" w:cs="Times New Roman"/>
          <w:kern w:val="0"/>
          <w:sz w:val="24"/>
          <w:szCs w:val="24"/>
          <w:lang w:val="en-US"/>
          <w14:ligatures w14:val="none"/>
        </w:rPr>
        <w:t xml:space="preserve">(2), 235–246. </w:t>
      </w:r>
      <w:hyperlink r:id="rId40" w:history="1">
        <w:r w:rsidRPr="0042463F">
          <w:rPr>
            <w:rFonts w:ascii="Times New Roman" w:eastAsia="Times New Roman" w:hAnsi="Times New Roman" w:cs="Times New Roman"/>
            <w:color w:val="0000FF"/>
            <w:kern w:val="0"/>
            <w:sz w:val="24"/>
            <w:szCs w:val="24"/>
            <w:u w:val="single"/>
            <w:lang w:val="en-US"/>
            <w14:ligatures w14:val="none"/>
          </w:rPr>
          <w:t>https://doi.org/10.1017/S0043933919000229</w:t>
        </w:r>
      </w:hyperlink>
    </w:p>
    <w:p w14:paraId="06ABC4DE"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Tiihonen, K., Kettunen, H., Bento, M. H. L., Saarinen, M., Lahtinen, S., Ouwehand, A. C., Schulze, H., &amp; </w:t>
      </w:r>
      <w:proofErr w:type="spellStart"/>
      <w:r w:rsidRPr="0042463F">
        <w:rPr>
          <w:rFonts w:ascii="Times New Roman" w:eastAsia="Times New Roman" w:hAnsi="Times New Roman" w:cs="Times New Roman"/>
          <w:kern w:val="0"/>
          <w:sz w:val="24"/>
          <w:szCs w:val="24"/>
          <w:lang w:val="en-US"/>
          <w14:ligatures w14:val="none"/>
        </w:rPr>
        <w:t>Rautonen</w:t>
      </w:r>
      <w:proofErr w:type="spellEnd"/>
      <w:r w:rsidRPr="0042463F">
        <w:rPr>
          <w:rFonts w:ascii="Times New Roman" w:eastAsia="Times New Roman" w:hAnsi="Times New Roman" w:cs="Times New Roman"/>
          <w:kern w:val="0"/>
          <w:sz w:val="24"/>
          <w:szCs w:val="24"/>
          <w:lang w:val="en-US"/>
          <w14:ligatures w14:val="none"/>
        </w:rPr>
        <w:t xml:space="preserve">, N. (2010). The effect of feeding essential oils on broiler performance and gut microbiota. </w:t>
      </w:r>
      <w:r w:rsidRPr="0042463F">
        <w:rPr>
          <w:rFonts w:ascii="Times New Roman" w:eastAsia="Times New Roman" w:hAnsi="Times New Roman" w:cs="Times New Roman"/>
          <w:i/>
          <w:iCs/>
          <w:kern w:val="0"/>
          <w:sz w:val="24"/>
          <w:szCs w:val="24"/>
          <w:lang w:val="en-US"/>
          <w14:ligatures w14:val="none"/>
        </w:rPr>
        <w:t>British Poultry Science, 51</w:t>
      </w:r>
      <w:r w:rsidRPr="0042463F">
        <w:rPr>
          <w:rFonts w:ascii="Times New Roman" w:eastAsia="Times New Roman" w:hAnsi="Times New Roman" w:cs="Times New Roman"/>
          <w:kern w:val="0"/>
          <w:sz w:val="24"/>
          <w:szCs w:val="24"/>
          <w:lang w:val="en-US"/>
          <w14:ligatures w14:val="none"/>
        </w:rPr>
        <w:t xml:space="preserve">(3), 381–392. </w:t>
      </w:r>
      <w:hyperlink r:id="rId41" w:history="1">
        <w:r w:rsidRPr="0042463F">
          <w:rPr>
            <w:rFonts w:ascii="Times New Roman" w:eastAsia="Times New Roman" w:hAnsi="Times New Roman" w:cs="Times New Roman"/>
            <w:color w:val="0000FF"/>
            <w:kern w:val="0"/>
            <w:sz w:val="24"/>
            <w:szCs w:val="24"/>
            <w:u w:val="single"/>
            <w:lang w:val="en-US"/>
            <w14:ligatures w14:val="none"/>
          </w:rPr>
          <w:t>https://doi.org/10.1080/00071668.2010.496446</w:t>
        </w:r>
      </w:hyperlink>
    </w:p>
    <w:p w14:paraId="06AC277C" w14:textId="77777777" w:rsidR="0042463F" w:rsidRPr="0042463F" w:rsidRDefault="0042463F" w:rsidP="0042463F">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463F">
        <w:rPr>
          <w:rFonts w:ascii="Times New Roman" w:eastAsia="Times New Roman" w:hAnsi="Times New Roman" w:cs="Times New Roman"/>
          <w:kern w:val="0"/>
          <w:sz w:val="24"/>
          <w:szCs w:val="24"/>
          <w:lang w:val="en-US"/>
          <w14:ligatures w14:val="none"/>
        </w:rPr>
        <w:t xml:space="preserve">Vlaicu, P. A., Untea, A. E., Panaite, T. D., </w:t>
      </w:r>
      <w:proofErr w:type="spellStart"/>
      <w:r w:rsidRPr="0042463F">
        <w:rPr>
          <w:rFonts w:ascii="Times New Roman" w:eastAsia="Times New Roman" w:hAnsi="Times New Roman" w:cs="Times New Roman"/>
          <w:kern w:val="0"/>
          <w:sz w:val="24"/>
          <w:szCs w:val="24"/>
          <w:lang w:val="en-US"/>
          <w14:ligatures w14:val="none"/>
        </w:rPr>
        <w:t>Saracila</w:t>
      </w:r>
      <w:proofErr w:type="spellEnd"/>
      <w:r w:rsidRPr="0042463F">
        <w:rPr>
          <w:rFonts w:ascii="Times New Roman" w:eastAsia="Times New Roman" w:hAnsi="Times New Roman" w:cs="Times New Roman"/>
          <w:kern w:val="0"/>
          <w:sz w:val="24"/>
          <w:szCs w:val="24"/>
          <w:lang w:val="en-US"/>
          <w14:ligatures w14:val="none"/>
        </w:rPr>
        <w:t xml:space="preserve">, M., Turcu, R. P., &amp; Dumitru, M. (2023). Effect of basil, thyme and sage essential oils as phytogenic feed additives on production performances, meat quality and intestinal microbiota in broiler chickens. </w:t>
      </w:r>
      <w:r w:rsidRPr="0042463F">
        <w:rPr>
          <w:rFonts w:ascii="Times New Roman" w:eastAsia="Times New Roman" w:hAnsi="Times New Roman" w:cs="Times New Roman"/>
          <w:i/>
          <w:iCs/>
          <w:kern w:val="0"/>
          <w:sz w:val="24"/>
          <w:szCs w:val="24"/>
          <w:lang w:val="en-US"/>
          <w14:ligatures w14:val="none"/>
        </w:rPr>
        <w:t>Agriculture, 13</w:t>
      </w:r>
      <w:r w:rsidRPr="0042463F">
        <w:rPr>
          <w:rFonts w:ascii="Times New Roman" w:eastAsia="Times New Roman" w:hAnsi="Times New Roman" w:cs="Times New Roman"/>
          <w:kern w:val="0"/>
          <w:sz w:val="24"/>
          <w:szCs w:val="24"/>
          <w:lang w:val="en-US"/>
          <w14:ligatures w14:val="none"/>
        </w:rPr>
        <w:t xml:space="preserve">(4), 874. </w:t>
      </w:r>
      <w:hyperlink r:id="rId42" w:history="1">
        <w:r w:rsidRPr="0042463F">
          <w:rPr>
            <w:rFonts w:ascii="Times New Roman" w:eastAsia="Times New Roman" w:hAnsi="Times New Roman" w:cs="Times New Roman"/>
            <w:color w:val="0000FF"/>
            <w:kern w:val="0"/>
            <w:sz w:val="24"/>
            <w:szCs w:val="24"/>
            <w:u w:val="single"/>
            <w:lang w:val="en-US"/>
            <w14:ligatures w14:val="none"/>
          </w:rPr>
          <w:t>https://doi.org/10.3390/agriculture13040874</w:t>
        </w:r>
      </w:hyperlink>
    </w:p>
    <w:p w14:paraId="1D4B39BD" w14:textId="77777777" w:rsidR="0042463F" w:rsidRPr="00D50E1A" w:rsidRDefault="0042463F" w:rsidP="005F11BF">
      <w:pPr>
        <w:spacing w:after="0" w:line="360" w:lineRule="auto"/>
        <w:ind w:left="360"/>
        <w:jc w:val="both"/>
        <w:rPr>
          <w:rFonts w:ascii="Times New Roman" w:hAnsi="Times New Roman" w:cs="Times New Roman"/>
          <w:b/>
          <w:color w:val="000000"/>
          <w:sz w:val="24"/>
          <w:szCs w:val="24"/>
          <w:shd w:val="clear" w:color="auto" w:fill="FFFFFF"/>
        </w:rPr>
      </w:pPr>
    </w:p>
    <w:sectPr w:rsidR="0042463F" w:rsidRPr="00D50E1A">
      <w:headerReference w:type="even" r:id="rId43"/>
      <w:headerReference w:type="default" r:id="rId44"/>
      <w:footerReference w:type="even" r:id="rId45"/>
      <w:footerReference w:type="default" r:id="rId46"/>
      <w:headerReference w:type="first" r:id="rId47"/>
      <w:footerReference w:type="firs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026C0" w14:textId="77777777" w:rsidR="00160825" w:rsidRDefault="00160825" w:rsidP="00841FB1">
      <w:pPr>
        <w:spacing w:after="0" w:line="240" w:lineRule="auto"/>
      </w:pPr>
      <w:r>
        <w:separator/>
      </w:r>
    </w:p>
  </w:endnote>
  <w:endnote w:type="continuationSeparator" w:id="0">
    <w:p w14:paraId="0A5FB263" w14:textId="77777777" w:rsidR="00160825" w:rsidRDefault="00160825" w:rsidP="00841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15EA1" w14:textId="77777777" w:rsidR="00841FB1" w:rsidRDefault="00841F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79950" w14:textId="77777777" w:rsidR="00841FB1" w:rsidRDefault="00841F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A80E1" w14:textId="77777777" w:rsidR="00841FB1" w:rsidRDefault="00841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A526C" w14:textId="77777777" w:rsidR="00160825" w:rsidRDefault="00160825" w:rsidP="00841FB1">
      <w:pPr>
        <w:spacing w:after="0" w:line="240" w:lineRule="auto"/>
      </w:pPr>
      <w:r>
        <w:separator/>
      </w:r>
    </w:p>
  </w:footnote>
  <w:footnote w:type="continuationSeparator" w:id="0">
    <w:p w14:paraId="13D097FD" w14:textId="77777777" w:rsidR="00160825" w:rsidRDefault="00160825" w:rsidP="00841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2B3E" w14:textId="77777777" w:rsidR="00841FB1" w:rsidRDefault="00000000">
    <w:pPr>
      <w:pStyle w:val="Header"/>
    </w:pPr>
    <w:r>
      <w:rPr>
        <w:noProof/>
      </w:rPr>
      <w:pict w14:anchorId="08D5BC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48195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51FD" w14:textId="77777777" w:rsidR="00841FB1" w:rsidRDefault="00000000">
    <w:pPr>
      <w:pStyle w:val="Header"/>
    </w:pPr>
    <w:r>
      <w:rPr>
        <w:noProof/>
      </w:rPr>
      <w:pict w14:anchorId="2124C3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48195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8490" w14:textId="77777777" w:rsidR="00841FB1" w:rsidRDefault="00000000">
    <w:pPr>
      <w:pStyle w:val="Header"/>
    </w:pPr>
    <w:r>
      <w:rPr>
        <w:noProof/>
      </w:rPr>
      <w:pict w14:anchorId="2670AD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48195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E01A6"/>
    <w:multiLevelType w:val="hybridMultilevel"/>
    <w:tmpl w:val="37D8B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F428A"/>
    <w:multiLevelType w:val="hybridMultilevel"/>
    <w:tmpl w:val="CAE2F2FA"/>
    <w:lvl w:ilvl="0" w:tplc="0650ACCA">
      <w:start w:val="1"/>
      <w:numFmt w:val="bullet"/>
      <w:lvlText w:val=""/>
      <w:lvlJc w:val="left"/>
      <w:pPr>
        <w:tabs>
          <w:tab w:val="num" w:pos="720"/>
        </w:tabs>
        <w:ind w:left="720" w:hanging="360"/>
      </w:pPr>
      <w:rPr>
        <w:rFonts w:ascii="Wingdings" w:hAnsi="Wingdings" w:hint="default"/>
      </w:rPr>
    </w:lvl>
    <w:lvl w:ilvl="1" w:tplc="47AE4808" w:tentative="1">
      <w:start w:val="1"/>
      <w:numFmt w:val="bullet"/>
      <w:lvlText w:val=""/>
      <w:lvlJc w:val="left"/>
      <w:pPr>
        <w:tabs>
          <w:tab w:val="num" w:pos="1440"/>
        </w:tabs>
        <w:ind w:left="1440" w:hanging="360"/>
      </w:pPr>
      <w:rPr>
        <w:rFonts w:ascii="Wingdings" w:hAnsi="Wingdings" w:hint="default"/>
      </w:rPr>
    </w:lvl>
    <w:lvl w:ilvl="2" w:tplc="A9BC080A" w:tentative="1">
      <w:start w:val="1"/>
      <w:numFmt w:val="bullet"/>
      <w:lvlText w:val=""/>
      <w:lvlJc w:val="left"/>
      <w:pPr>
        <w:tabs>
          <w:tab w:val="num" w:pos="2160"/>
        </w:tabs>
        <w:ind w:left="2160" w:hanging="360"/>
      </w:pPr>
      <w:rPr>
        <w:rFonts w:ascii="Wingdings" w:hAnsi="Wingdings" w:hint="default"/>
      </w:rPr>
    </w:lvl>
    <w:lvl w:ilvl="3" w:tplc="BB26589E" w:tentative="1">
      <w:start w:val="1"/>
      <w:numFmt w:val="bullet"/>
      <w:lvlText w:val=""/>
      <w:lvlJc w:val="left"/>
      <w:pPr>
        <w:tabs>
          <w:tab w:val="num" w:pos="2880"/>
        </w:tabs>
        <w:ind w:left="2880" w:hanging="360"/>
      </w:pPr>
      <w:rPr>
        <w:rFonts w:ascii="Wingdings" w:hAnsi="Wingdings" w:hint="default"/>
      </w:rPr>
    </w:lvl>
    <w:lvl w:ilvl="4" w:tplc="2DC8A940" w:tentative="1">
      <w:start w:val="1"/>
      <w:numFmt w:val="bullet"/>
      <w:lvlText w:val=""/>
      <w:lvlJc w:val="left"/>
      <w:pPr>
        <w:tabs>
          <w:tab w:val="num" w:pos="3600"/>
        </w:tabs>
        <w:ind w:left="3600" w:hanging="360"/>
      </w:pPr>
      <w:rPr>
        <w:rFonts w:ascii="Wingdings" w:hAnsi="Wingdings" w:hint="default"/>
      </w:rPr>
    </w:lvl>
    <w:lvl w:ilvl="5" w:tplc="8C9E283E" w:tentative="1">
      <w:start w:val="1"/>
      <w:numFmt w:val="bullet"/>
      <w:lvlText w:val=""/>
      <w:lvlJc w:val="left"/>
      <w:pPr>
        <w:tabs>
          <w:tab w:val="num" w:pos="4320"/>
        </w:tabs>
        <w:ind w:left="4320" w:hanging="360"/>
      </w:pPr>
      <w:rPr>
        <w:rFonts w:ascii="Wingdings" w:hAnsi="Wingdings" w:hint="default"/>
      </w:rPr>
    </w:lvl>
    <w:lvl w:ilvl="6" w:tplc="23FE2020" w:tentative="1">
      <w:start w:val="1"/>
      <w:numFmt w:val="bullet"/>
      <w:lvlText w:val=""/>
      <w:lvlJc w:val="left"/>
      <w:pPr>
        <w:tabs>
          <w:tab w:val="num" w:pos="5040"/>
        </w:tabs>
        <w:ind w:left="5040" w:hanging="360"/>
      </w:pPr>
      <w:rPr>
        <w:rFonts w:ascii="Wingdings" w:hAnsi="Wingdings" w:hint="default"/>
      </w:rPr>
    </w:lvl>
    <w:lvl w:ilvl="7" w:tplc="D51624B6" w:tentative="1">
      <w:start w:val="1"/>
      <w:numFmt w:val="bullet"/>
      <w:lvlText w:val=""/>
      <w:lvlJc w:val="left"/>
      <w:pPr>
        <w:tabs>
          <w:tab w:val="num" w:pos="5760"/>
        </w:tabs>
        <w:ind w:left="5760" w:hanging="360"/>
      </w:pPr>
      <w:rPr>
        <w:rFonts w:ascii="Wingdings" w:hAnsi="Wingdings" w:hint="default"/>
      </w:rPr>
    </w:lvl>
    <w:lvl w:ilvl="8" w:tplc="9F10AD1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9075C0"/>
    <w:multiLevelType w:val="hybridMultilevel"/>
    <w:tmpl w:val="50BA5F6A"/>
    <w:lvl w:ilvl="0" w:tplc="C1E63798">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434DBF"/>
    <w:multiLevelType w:val="hybridMultilevel"/>
    <w:tmpl w:val="9F728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F968A8"/>
    <w:multiLevelType w:val="hybridMultilevel"/>
    <w:tmpl w:val="A6B6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2A0F8C"/>
    <w:multiLevelType w:val="hybridMultilevel"/>
    <w:tmpl w:val="558E7FBA"/>
    <w:lvl w:ilvl="0" w:tplc="97D06BB8">
      <w:start w:val="1"/>
      <w:numFmt w:val="bullet"/>
      <w:lvlText w:val="•"/>
      <w:lvlJc w:val="left"/>
      <w:pPr>
        <w:tabs>
          <w:tab w:val="num" w:pos="720"/>
        </w:tabs>
        <w:ind w:left="720" w:hanging="360"/>
      </w:pPr>
      <w:rPr>
        <w:rFonts w:ascii="Arial" w:hAnsi="Arial" w:hint="default"/>
      </w:rPr>
    </w:lvl>
    <w:lvl w:ilvl="1" w:tplc="EBB404EC" w:tentative="1">
      <w:start w:val="1"/>
      <w:numFmt w:val="bullet"/>
      <w:lvlText w:val="•"/>
      <w:lvlJc w:val="left"/>
      <w:pPr>
        <w:tabs>
          <w:tab w:val="num" w:pos="1440"/>
        </w:tabs>
        <w:ind w:left="1440" w:hanging="360"/>
      </w:pPr>
      <w:rPr>
        <w:rFonts w:ascii="Arial" w:hAnsi="Arial" w:hint="default"/>
      </w:rPr>
    </w:lvl>
    <w:lvl w:ilvl="2" w:tplc="39086C1C" w:tentative="1">
      <w:start w:val="1"/>
      <w:numFmt w:val="bullet"/>
      <w:lvlText w:val="•"/>
      <w:lvlJc w:val="left"/>
      <w:pPr>
        <w:tabs>
          <w:tab w:val="num" w:pos="2160"/>
        </w:tabs>
        <w:ind w:left="2160" w:hanging="360"/>
      </w:pPr>
      <w:rPr>
        <w:rFonts w:ascii="Arial" w:hAnsi="Arial" w:hint="default"/>
      </w:rPr>
    </w:lvl>
    <w:lvl w:ilvl="3" w:tplc="0532A1D2" w:tentative="1">
      <w:start w:val="1"/>
      <w:numFmt w:val="bullet"/>
      <w:lvlText w:val="•"/>
      <w:lvlJc w:val="left"/>
      <w:pPr>
        <w:tabs>
          <w:tab w:val="num" w:pos="2880"/>
        </w:tabs>
        <w:ind w:left="2880" w:hanging="360"/>
      </w:pPr>
      <w:rPr>
        <w:rFonts w:ascii="Arial" w:hAnsi="Arial" w:hint="default"/>
      </w:rPr>
    </w:lvl>
    <w:lvl w:ilvl="4" w:tplc="5D12D6A4" w:tentative="1">
      <w:start w:val="1"/>
      <w:numFmt w:val="bullet"/>
      <w:lvlText w:val="•"/>
      <w:lvlJc w:val="left"/>
      <w:pPr>
        <w:tabs>
          <w:tab w:val="num" w:pos="3600"/>
        </w:tabs>
        <w:ind w:left="3600" w:hanging="360"/>
      </w:pPr>
      <w:rPr>
        <w:rFonts w:ascii="Arial" w:hAnsi="Arial" w:hint="default"/>
      </w:rPr>
    </w:lvl>
    <w:lvl w:ilvl="5" w:tplc="F264A47A" w:tentative="1">
      <w:start w:val="1"/>
      <w:numFmt w:val="bullet"/>
      <w:lvlText w:val="•"/>
      <w:lvlJc w:val="left"/>
      <w:pPr>
        <w:tabs>
          <w:tab w:val="num" w:pos="4320"/>
        </w:tabs>
        <w:ind w:left="4320" w:hanging="360"/>
      </w:pPr>
      <w:rPr>
        <w:rFonts w:ascii="Arial" w:hAnsi="Arial" w:hint="default"/>
      </w:rPr>
    </w:lvl>
    <w:lvl w:ilvl="6" w:tplc="6D26AE24" w:tentative="1">
      <w:start w:val="1"/>
      <w:numFmt w:val="bullet"/>
      <w:lvlText w:val="•"/>
      <w:lvlJc w:val="left"/>
      <w:pPr>
        <w:tabs>
          <w:tab w:val="num" w:pos="5040"/>
        </w:tabs>
        <w:ind w:left="5040" w:hanging="360"/>
      </w:pPr>
      <w:rPr>
        <w:rFonts w:ascii="Arial" w:hAnsi="Arial" w:hint="default"/>
      </w:rPr>
    </w:lvl>
    <w:lvl w:ilvl="7" w:tplc="4CD04610" w:tentative="1">
      <w:start w:val="1"/>
      <w:numFmt w:val="bullet"/>
      <w:lvlText w:val="•"/>
      <w:lvlJc w:val="left"/>
      <w:pPr>
        <w:tabs>
          <w:tab w:val="num" w:pos="5760"/>
        </w:tabs>
        <w:ind w:left="5760" w:hanging="360"/>
      </w:pPr>
      <w:rPr>
        <w:rFonts w:ascii="Arial" w:hAnsi="Arial" w:hint="default"/>
      </w:rPr>
    </w:lvl>
    <w:lvl w:ilvl="8" w:tplc="4BC2BDE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B4E54D8"/>
    <w:multiLevelType w:val="hybridMultilevel"/>
    <w:tmpl w:val="D5FEF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D4B2176"/>
    <w:multiLevelType w:val="hybridMultilevel"/>
    <w:tmpl w:val="A9489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6E28BE"/>
    <w:multiLevelType w:val="hybridMultilevel"/>
    <w:tmpl w:val="043E2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1D57CF"/>
    <w:multiLevelType w:val="hybridMultilevel"/>
    <w:tmpl w:val="B1B4CF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39044291">
    <w:abstractNumId w:val="7"/>
  </w:num>
  <w:num w:numId="2" w16cid:durableId="972641871">
    <w:abstractNumId w:val="4"/>
  </w:num>
  <w:num w:numId="3" w16cid:durableId="1493788151">
    <w:abstractNumId w:val="3"/>
  </w:num>
  <w:num w:numId="4" w16cid:durableId="175383543">
    <w:abstractNumId w:val="8"/>
  </w:num>
  <w:num w:numId="5" w16cid:durableId="2049450656">
    <w:abstractNumId w:val="0"/>
  </w:num>
  <w:num w:numId="6" w16cid:durableId="2134204386">
    <w:abstractNumId w:val="9"/>
  </w:num>
  <w:num w:numId="7" w16cid:durableId="857155902">
    <w:abstractNumId w:val="5"/>
  </w:num>
  <w:num w:numId="8" w16cid:durableId="523590499">
    <w:abstractNumId w:val="1"/>
  </w:num>
  <w:num w:numId="9" w16cid:durableId="1916745226">
    <w:abstractNumId w:val="6"/>
  </w:num>
  <w:num w:numId="10" w16cid:durableId="245460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3MDK0tDA2MTMzNjBR0lEKTi0uzszPAykwrAUADTc/gCwAAAA="/>
  </w:docVars>
  <w:rsids>
    <w:rsidRoot w:val="00173AD9"/>
    <w:rsid w:val="00036C70"/>
    <w:rsid w:val="00043AC4"/>
    <w:rsid w:val="00092E15"/>
    <w:rsid w:val="000970A5"/>
    <w:rsid w:val="000B2399"/>
    <w:rsid w:val="00105F9F"/>
    <w:rsid w:val="00155B7E"/>
    <w:rsid w:val="00156746"/>
    <w:rsid w:val="00160825"/>
    <w:rsid w:val="00173AD9"/>
    <w:rsid w:val="001909FE"/>
    <w:rsid w:val="002027E2"/>
    <w:rsid w:val="002D31BD"/>
    <w:rsid w:val="003430C9"/>
    <w:rsid w:val="00344AE8"/>
    <w:rsid w:val="003656A6"/>
    <w:rsid w:val="003B43B1"/>
    <w:rsid w:val="00402D6F"/>
    <w:rsid w:val="0042463F"/>
    <w:rsid w:val="00481CF8"/>
    <w:rsid w:val="0052058A"/>
    <w:rsid w:val="00556C4A"/>
    <w:rsid w:val="005F11BF"/>
    <w:rsid w:val="0061693D"/>
    <w:rsid w:val="006260F8"/>
    <w:rsid w:val="00627319"/>
    <w:rsid w:val="006313CA"/>
    <w:rsid w:val="00633664"/>
    <w:rsid w:val="00655474"/>
    <w:rsid w:val="00696804"/>
    <w:rsid w:val="006D4089"/>
    <w:rsid w:val="006F0A80"/>
    <w:rsid w:val="00712536"/>
    <w:rsid w:val="0073550C"/>
    <w:rsid w:val="00752928"/>
    <w:rsid w:val="0075461E"/>
    <w:rsid w:val="007E0311"/>
    <w:rsid w:val="007F556B"/>
    <w:rsid w:val="0082152A"/>
    <w:rsid w:val="00841FB1"/>
    <w:rsid w:val="008422F2"/>
    <w:rsid w:val="00843E2B"/>
    <w:rsid w:val="00897F1C"/>
    <w:rsid w:val="008B71D3"/>
    <w:rsid w:val="00927D42"/>
    <w:rsid w:val="009361A4"/>
    <w:rsid w:val="00954FF8"/>
    <w:rsid w:val="00963EAF"/>
    <w:rsid w:val="009C4D53"/>
    <w:rsid w:val="009F68AB"/>
    <w:rsid w:val="00A309F3"/>
    <w:rsid w:val="00A35AB4"/>
    <w:rsid w:val="00A95FBD"/>
    <w:rsid w:val="00AB2D25"/>
    <w:rsid w:val="00AE6F19"/>
    <w:rsid w:val="00AF1DA7"/>
    <w:rsid w:val="00B3171F"/>
    <w:rsid w:val="00B71A5D"/>
    <w:rsid w:val="00B7503A"/>
    <w:rsid w:val="00B952E3"/>
    <w:rsid w:val="00BA563C"/>
    <w:rsid w:val="00BD0D12"/>
    <w:rsid w:val="00BD7C77"/>
    <w:rsid w:val="00BE4887"/>
    <w:rsid w:val="00C40E55"/>
    <w:rsid w:val="00C422EB"/>
    <w:rsid w:val="00C67B6B"/>
    <w:rsid w:val="00CB0FF5"/>
    <w:rsid w:val="00CB7D38"/>
    <w:rsid w:val="00CE0548"/>
    <w:rsid w:val="00D50E1A"/>
    <w:rsid w:val="00D6777D"/>
    <w:rsid w:val="00DB400E"/>
    <w:rsid w:val="00DE41C5"/>
    <w:rsid w:val="00E01CCC"/>
    <w:rsid w:val="00E0698E"/>
    <w:rsid w:val="00E4774C"/>
    <w:rsid w:val="00E57A24"/>
    <w:rsid w:val="00E806DB"/>
    <w:rsid w:val="00EC20C0"/>
    <w:rsid w:val="00EC7858"/>
    <w:rsid w:val="00F504C1"/>
    <w:rsid w:val="00F62B35"/>
    <w:rsid w:val="00FF5F8A"/>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CADFB"/>
  <w15:chartTrackingRefBased/>
  <w15:docId w15:val="{2EF44DE2-A04B-4BE5-B889-832DA7B90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3A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73A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73A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73A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73A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73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A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A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A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73A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73A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73A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73A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73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AD9"/>
    <w:rPr>
      <w:rFonts w:eastAsiaTheme="majorEastAsia" w:cstheme="majorBidi"/>
      <w:color w:val="272727" w:themeColor="text1" w:themeTint="D8"/>
    </w:rPr>
  </w:style>
  <w:style w:type="paragraph" w:styleId="Title">
    <w:name w:val="Title"/>
    <w:basedOn w:val="Normal"/>
    <w:next w:val="Normal"/>
    <w:link w:val="TitleChar"/>
    <w:uiPriority w:val="10"/>
    <w:qFormat/>
    <w:rsid w:val="00173A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A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A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3AD9"/>
    <w:rPr>
      <w:i/>
      <w:iCs/>
      <w:color w:val="404040" w:themeColor="text1" w:themeTint="BF"/>
    </w:rPr>
  </w:style>
  <w:style w:type="paragraph" w:styleId="ListParagraph">
    <w:name w:val="List Paragraph"/>
    <w:basedOn w:val="Normal"/>
    <w:uiPriority w:val="34"/>
    <w:qFormat/>
    <w:rsid w:val="00173AD9"/>
    <w:pPr>
      <w:ind w:left="720"/>
      <w:contextualSpacing/>
    </w:pPr>
  </w:style>
  <w:style w:type="character" w:styleId="IntenseEmphasis">
    <w:name w:val="Intense Emphasis"/>
    <w:basedOn w:val="DefaultParagraphFont"/>
    <w:uiPriority w:val="21"/>
    <w:qFormat/>
    <w:rsid w:val="00173AD9"/>
    <w:rPr>
      <w:i/>
      <w:iCs/>
      <w:color w:val="365F91" w:themeColor="accent1" w:themeShade="BF"/>
    </w:rPr>
  </w:style>
  <w:style w:type="paragraph" w:styleId="IntenseQuote">
    <w:name w:val="Intense Quote"/>
    <w:basedOn w:val="Normal"/>
    <w:next w:val="Normal"/>
    <w:link w:val="IntenseQuoteChar"/>
    <w:uiPriority w:val="30"/>
    <w:qFormat/>
    <w:rsid w:val="00173A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73AD9"/>
    <w:rPr>
      <w:i/>
      <w:iCs/>
      <w:color w:val="365F91" w:themeColor="accent1" w:themeShade="BF"/>
    </w:rPr>
  </w:style>
  <w:style w:type="character" w:styleId="IntenseReference">
    <w:name w:val="Intense Reference"/>
    <w:basedOn w:val="DefaultParagraphFont"/>
    <w:uiPriority w:val="32"/>
    <w:qFormat/>
    <w:rsid w:val="00173AD9"/>
    <w:rPr>
      <w:b/>
      <w:bCs/>
      <w:smallCaps/>
      <w:color w:val="365F91" w:themeColor="accent1" w:themeShade="BF"/>
      <w:spacing w:val="5"/>
    </w:rPr>
  </w:style>
  <w:style w:type="character" w:styleId="Hyperlink">
    <w:name w:val="Hyperlink"/>
    <w:basedOn w:val="DefaultParagraphFont"/>
    <w:uiPriority w:val="99"/>
    <w:unhideWhenUsed/>
    <w:rsid w:val="00843E2B"/>
    <w:rPr>
      <w:color w:val="0000FF" w:themeColor="hyperlink"/>
      <w:u w:val="single"/>
    </w:rPr>
  </w:style>
  <w:style w:type="character" w:styleId="UnresolvedMention">
    <w:name w:val="Unresolved Mention"/>
    <w:basedOn w:val="DefaultParagraphFont"/>
    <w:uiPriority w:val="99"/>
    <w:semiHidden/>
    <w:unhideWhenUsed/>
    <w:rsid w:val="00843E2B"/>
    <w:rPr>
      <w:color w:val="605E5C"/>
      <w:shd w:val="clear" w:color="auto" w:fill="E1DFDD"/>
    </w:rPr>
  </w:style>
  <w:style w:type="paragraph" w:styleId="Header">
    <w:name w:val="header"/>
    <w:basedOn w:val="Normal"/>
    <w:link w:val="HeaderChar"/>
    <w:uiPriority w:val="99"/>
    <w:unhideWhenUsed/>
    <w:rsid w:val="00841F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FB1"/>
  </w:style>
  <w:style w:type="paragraph" w:styleId="Footer">
    <w:name w:val="footer"/>
    <w:basedOn w:val="Normal"/>
    <w:link w:val="FooterChar"/>
    <w:uiPriority w:val="99"/>
    <w:unhideWhenUsed/>
    <w:rsid w:val="00841F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FB1"/>
  </w:style>
  <w:style w:type="paragraph" w:styleId="Revision">
    <w:name w:val="Revision"/>
    <w:hidden/>
    <w:uiPriority w:val="99"/>
    <w:semiHidden/>
    <w:rsid w:val="00155B7E"/>
    <w:pPr>
      <w:spacing w:after="0" w:line="240" w:lineRule="auto"/>
    </w:pPr>
  </w:style>
  <w:style w:type="paragraph" w:customStyle="1" w:styleId="pdq2pgselectionanchorcontainer">
    <w:name w:val="pdq2pg_selectionanchorcontainer"/>
    <w:basedOn w:val="Normal"/>
    <w:rsid w:val="00954FF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9244/avl.9.4.99-100" TargetMode="External"/><Relationship Id="rId18" Type="http://schemas.openxmlformats.org/officeDocument/2006/relationships/hyperlink" Target="https://doi.org/10.3390/ani12172178" TargetMode="External"/><Relationship Id="rId26" Type="http://schemas.openxmlformats.org/officeDocument/2006/relationships/hyperlink" Target="https://doi.org/10.1016/j.fm.2004.08.006" TargetMode="External"/><Relationship Id="rId39" Type="http://schemas.openxmlformats.org/officeDocument/2006/relationships/hyperlink" Target="https://doi.org/10.1186/1472-6882-6-39" TargetMode="External"/><Relationship Id="rId21" Type="http://schemas.openxmlformats.org/officeDocument/2006/relationships/hyperlink" Target="https://doi.org/10.1007/s10600-008-0035-7" TargetMode="External"/><Relationship Id="rId34" Type="http://schemas.openxmlformats.org/officeDocument/2006/relationships/hyperlink" Target="https://doi.org/10.56093/ijans.v89i2.87323" TargetMode="External"/><Relationship Id="rId42" Type="http://schemas.openxmlformats.org/officeDocument/2006/relationships/hyperlink" Target="https://doi.org/10.3390/agriculture13040874"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i.org/10.1590/1519-6984.292165" TargetMode="External"/><Relationship Id="rId29" Type="http://schemas.openxmlformats.org/officeDocument/2006/relationships/hyperlink" Target="https://doi.org/10.3390/ani15070929" TargetMode="External"/><Relationship Id="rId11" Type="http://schemas.openxmlformats.org/officeDocument/2006/relationships/hyperlink" Target="https://doi.org/10.56557/ajrib/2024/v7i140" TargetMode="External"/><Relationship Id="rId24" Type="http://schemas.openxmlformats.org/officeDocument/2006/relationships/hyperlink" Target="https://doi.org/10.1046/j.1472-765X.1997.00073.x" TargetMode="External"/><Relationship Id="rId32" Type="http://schemas.openxmlformats.org/officeDocument/2006/relationships/hyperlink" Target="https://doi.org/10.1080/00071668.2017.1327701" TargetMode="External"/><Relationship Id="rId37" Type="http://schemas.openxmlformats.org/officeDocument/2006/relationships/hyperlink" Target="https://doi.org/10.3390/microorganisms10050861" TargetMode="External"/><Relationship Id="rId40" Type="http://schemas.openxmlformats.org/officeDocument/2006/relationships/hyperlink" Target="https://doi.org/10.1017/S0043933919000229"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093/ajcp/45.4_ts.493" TargetMode="External"/><Relationship Id="rId23" Type="http://schemas.openxmlformats.org/officeDocument/2006/relationships/hyperlink" Target="https://doi.org/10.3844/ajassp.2009.857.861" TargetMode="External"/><Relationship Id="rId28" Type="http://schemas.openxmlformats.org/officeDocument/2006/relationships/hyperlink" Target="https://doi.org/10.1055/s-2006-962755" TargetMode="External"/><Relationship Id="rId36" Type="http://schemas.openxmlformats.org/officeDocument/2006/relationships/hyperlink" Target="https://doi.org/10.1002/vms3.736" TargetMode="External"/><Relationship Id="rId49" Type="http://schemas.openxmlformats.org/officeDocument/2006/relationships/fontTable" Target="fontTable.xml"/><Relationship Id="rId10" Type="http://schemas.openxmlformats.org/officeDocument/2006/relationships/hyperlink" Target="https://doi.org/10.1016/j.psj.2021.101584" TargetMode="External"/><Relationship Id="rId19" Type="http://schemas.openxmlformats.org/officeDocument/2006/relationships/hyperlink" Target="https://doi.org/10.1046/j.1365-2672.2000.00969.x" TargetMode="External"/><Relationship Id="rId31" Type="http://schemas.openxmlformats.org/officeDocument/2006/relationships/hyperlink" Target="https://doi.org/10.1080/03079457.2010.487517"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doi.org/10.9734/jsrr/2026/v32i23954" TargetMode="External"/><Relationship Id="rId22" Type="http://schemas.openxmlformats.org/officeDocument/2006/relationships/hyperlink" Target="https://doi.org/10.1007/s10600-005-0138-3" TargetMode="External"/><Relationship Id="rId27" Type="http://schemas.openxmlformats.org/officeDocument/2006/relationships/hyperlink" Target="https://doi.org/10.1016/j.anifeedsci.2006.06.009" TargetMode="External"/><Relationship Id="rId30" Type="http://schemas.openxmlformats.org/officeDocument/2006/relationships/hyperlink" Target="https://doi.org/10.5194/aab-69-205-2026" TargetMode="External"/><Relationship Id="rId35" Type="http://schemas.openxmlformats.org/officeDocument/2006/relationships/hyperlink" Target="https://doi.org/10.69980/redvet.v25i1.1409"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doi.org/10.1016/j.psj.2025.104801" TargetMode="External"/><Relationship Id="rId17" Type="http://schemas.openxmlformats.org/officeDocument/2006/relationships/hyperlink" Target="https://doi.org/10.1111/j.1365-2672.1995.tb05025.x" TargetMode="External"/><Relationship Id="rId25" Type="http://schemas.openxmlformats.org/officeDocument/2006/relationships/hyperlink" Target="https://doi.org/10.3382/japr.2009-00141" TargetMode="External"/><Relationship Id="rId33" Type="http://schemas.openxmlformats.org/officeDocument/2006/relationships/hyperlink" Target="https://doi.org/10.1016/j.fitote.2010.01.022" TargetMode="External"/><Relationship Id="rId38" Type="http://schemas.openxmlformats.org/officeDocument/2006/relationships/hyperlink" Target="https://doi.org/10.1080/03079450802216652" TargetMode="External"/><Relationship Id="rId46" Type="http://schemas.openxmlformats.org/officeDocument/2006/relationships/footer" Target="footer2.xml"/><Relationship Id="rId20" Type="http://schemas.openxmlformats.org/officeDocument/2006/relationships/hyperlink" Target="https://doi.org/10.3390/antibiotics13010023" TargetMode="External"/><Relationship Id="rId41" Type="http://schemas.openxmlformats.org/officeDocument/2006/relationships/hyperlink" Target="https://doi.org/10.1080/00071668.2010.496446" TargetMode="External"/><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2" Type="http://schemas.openxmlformats.org/officeDocument/2006/relationships/oleObject" Target="file:///\\Pallavi\work\Science\NimbarteSeema\lysosyme%20weekly%20data%20(1).xlsx" TargetMode="External"/><Relationship Id="rId1" Type="http://schemas.openxmlformats.org/officeDocument/2006/relationships/image" Target="../media/image3.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IN" sz="1200" b="1" i="0" u="none" strike="noStrike" kern="1200" baseline="0">
                <a:solidFill>
                  <a:schemeClr val="tx1"/>
                </a:solidFill>
                <a:latin typeface="+mn-lt"/>
                <a:ea typeface="+mn-ea"/>
                <a:cs typeface="+mn-cs"/>
              </a:defRPr>
            </a:pPr>
            <a:r>
              <a:rPr lang="en-US" sz="1200" b="1" i="0" u="none" strike="noStrike" baseline="0">
                <a:latin typeface="Times New Roman" panose="02020603050405020304" charset="0"/>
                <a:cs typeface="Times New Roman" panose="02020603050405020304" charset="0"/>
              </a:rPr>
              <a:t>Live </a:t>
            </a:r>
            <a:r>
              <a:rPr lang="en-IN" sz="1200" b="1" i="0" u="none" strike="noStrike" baseline="0">
                <a:latin typeface="Times New Roman" panose="02020603050405020304" charset="0"/>
                <a:cs typeface="Times New Roman" panose="02020603050405020304" charset="0"/>
              </a:rPr>
              <a:t>Body Weight after 6 weeks</a:t>
            </a:r>
            <a:endParaRPr lang="en-US" sz="1200">
              <a:latin typeface="Times New Roman" panose="02020603050405020304" charset="0"/>
              <a:cs typeface="Times New Roman" panose="02020603050405020304" charset="0"/>
            </a:endParaRPr>
          </a:p>
        </c:rich>
      </c:tx>
      <c:layout>
        <c:manualLayout>
          <c:xMode val="edge"/>
          <c:yMode val="edge"/>
          <c:x val="0.28434285714286101"/>
          <c:y val="3.94477195024866E-2"/>
        </c:manualLayout>
      </c:layout>
      <c:overlay val="1"/>
    </c:title>
    <c:autoTitleDeleted val="0"/>
    <c:plotArea>
      <c:layout>
        <c:manualLayout>
          <c:layoutTarget val="inner"/>
          <c:xMode val="edge"/>
          <c:yMode val="edge"/>
          <c:x val="0.156510036245471"/>
          <c:y val="0.181863926489331"/>
          <c:w val="0.81555345581802297"/>
          <c:h val="0.644455408178355"/>
        </c:manualLayout>
      </c:layout>
      <c:barChart>
        <c:barDir val="col"/>
        <c:grouping val="clustered"/>
        <c:varyColors val="0"/>
        <c:ser>
          <c:idx val="0"/>
          <c:order val="0"/>
          <c:spPr>
            <a:solidFill>
              <a:schemeClr val="accent2"/>
            </a:solidFill>
          </c:spPr>
          <c:invertIfNegative val="0"/>
          <c:dPt>
            <c:idx val="0"/>
            <c:invertIfNegative val="0"/>
            <c:bubble3D val="0"/>
            <c:spPr>
              <a:solidFill>
                <a:srgbClr val="002060"/>
              </a:solidFill>
            </c:spPr>
            <c:extLst>
              <c:ext xmlns:c16="http://schemas.microsoft.com/office/drawing/2014/chart" uri="{C3380CC4-5D6E-409C-BE32-E72D297353CC}">
                <c16:uniqueId val="{00000001-2A1C-4972-9155-3ACD9439C4A0}"/>
              </c:ext>
            </c:extLst>
          </c:dPt>
          <c:dPt>
            <c:idx val="1"/>
            <c:invertIfNegative val="0"/>
            <c:bubble3D val="0"/>
            <c:spPr>
              <a:solidFill>
                <a:srgbClr val="92D050"/>
              </a:solidFill>
            </c:spPr>
            <c:extLst>
              <c:ext xmlns:c16="http://schemas.microsoft.com/office/drawing/2014/chart" uri="{C3380CC4-5D6E-409C-BE32-E72D297353CC}">
                <c16:uniqueId val="{00000003-2A1C-4972-9155-3ACD9439C4A0}"/>
              </c:ext>
            </c:extLst>
          </c:dPt>
          <c:dLbls>
            <c:dLbl>
              <c:idx val="0"/>
              <c:layout>
                <c:manualLayout>
                  <c:x val="0"/>
                  <c:y val="-3.03672403630837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1C-4972-9155-3ACD9439C4A0}"/>
                </c:ext>
              </c:extLst>
            </c:dLbl>
            <c:dLbl>
              <c:idx val="1"/>
              <c:layout>
                <c:manualLayout>
                  <c:x val="1.21397946099694E-2"/>
                  <c:y val="-1.518362018154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A1C-4972-9155-3ACD9439C4A0}"/>
                </c:ext>
              </c:extLst>
            </c:dLbl>
            <c:dLbl>
              <c:idx val="2"/>
              <c:layout>
                <c:manualLayout>
                  <c:x val="4.8559178439876796E-3"/>
                  <c:y val="-1.01224134543613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A1C-4972-9155-3ACD9439C4A0}"/>
                </c:ext>
              </c:extLst>
            </c:dLbl>
            <c:spPr>
              <a:noFill/>
              <a:ln>
                <a:noFill/>
              </a:ln>
              <a:effectLst/>
            </c:spPr>
            <c:txPr>
              <a:bodyPr rot="0" spcFirstLastPara="0" vertOverflow="ellipsis" vert="horz" wrap="square" lIns="38100" tIns="19050" rIns="38100" bIns="19050" anchor="ctr" anchorCtr="1"/>
              <a:lstStyle/>
              <a:p>
                <a:pPr>
                  <a:defRPr lang="en-I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LastFourTables!$C$92:$C$94</c:f>
              <c:strCache>
                <c:ptCount val="3"/>
                <c:pt idx="0">
                  <c:v>Treatment-A</c:v>
                </c:pt>
                <c:pt idx="1">
                  <c:v>Treatment-B</c:v>
                </c:pt>
                <c:pt idx="2">
                  <c:v>Treatment-C</c:v>
                </c:pt>
              </c:strCache>
            </c:strRef>
          </c:cat>
          <c:val>
            <c:numRef>
              <c:f>LastFourTables!$E$92:$E$94</c:f>
              <c:numCache>
                <c:formatCode>0</c:formatCode>
                <c:ptCount val="3"/>
                <c:pt idx="0">
                  <c:v>3060.6666666666401</c:v>
                </c:pt>
                <c:pt idx="1">
                  <c:v>3178.6666666666401</c:v>
                </c:pt>
                <c:pt idx="2">
                  <c:v>3195</c:v>
                </c:pt>
              </c:numCache>
            </c:numRef>
          </c:val>
          <c:extLst>
            <c:ext xmlns:c16="http://schemas.microsoft.com/office/drawing/2014/chart" uri="{C3380CC4-5D6E-409C-BE32-E72D297353CC}">
              <c16:uniqueId val="{00000005-2A1C-4972-9155-3ACD9439C4A0}"/>
            </c:ext>
          </c:extLst>
        </c:ser>
        <c:dLbls>
          <c:showLegendKey val="0"/>
          <c:showVal val="1"/>
          <c:showCatName val="0"/>
          <c:showSerName val="0"/>
          <c:showPercent val="0"/>
          <c:showBubbleSize val="0"/>
        </c:dLbls>
        <c:gapWidth val="150"/>
        <c:axId val="232948864"/>
        <c:axId val="232950400"/>
      </c:barChart>
      <c:catAx>
        <c:axId val="23294886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IN" sz="105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32950400"/>
        <c:crosses val="autoZero"/>
        <c:auto val="1"/>
        <c:lblAlgn val="ctr"/>
        <c:lblOffset val="100"/>
        <c:noMultiLvlLbl val="0"/>
      </c:catAx>
      <c:valAx>
        <c:axId val="232950400"/>
        <c:scaling>
          <c:orientation val="minMax"/>
        </c:scaling>
        <c:delete val="0"/>
        <c:axPos val="l"/>
        <c:majorGridlines/>
        <c:title>
          <c:tx>
            <c:rich>
              <a:bodyPr rot="-5400000" spcFirstLastPara="0" vertOverflow="ellipsis" vert="horz" wrap="square" anchor="ctr" anchorCtr="1"/>
              <a:lstStyle/>
              <a:p>
                <a:pPr>
                  <a:defRPr lang="en-IN" sz="1000" b="1" i="0" u="none" strike="noStrike" kern="1200" baseline="0">
                    <a:solidFill>
                      <a:schemeClr val="tx1"/>
                    </a:solidFill>
                    <a:latin typeface="+mn-lt"/>
                    <a:ea typeface="+mn-ea"/>
                    <a:cs typeface="+mn-cs"/>
                  </a:defRPr>
                </a:pPr>
                <a:r>
                  <a:rPr lang="en-US" sz="1050">
                    <a:latin typeface="Times New Roman" panose="02020603050405020304" charset="0"/>
                    <a:cs typeface="Times New Roman" panose="02020603050405020304" charset="0"/>
                  </a:rPr>
                  <a:t>Mean</a:t>
                </a:r>
              </a:p>
            </c:rich>
          </c:tx>
          <c:layout>
            <c:manualLayout>
              <c:xMode val="edge"/>
              <c:yMode val="edge"/>
              <c:x val="1.94444444444444E-2"/>
              <c:y val="0.40880349956255702"/>
            </c:manualLayout>
          </c:layout>
          <c:overlay val="0"/>
        </c:title>
        <c:numFmt formatCode="0" sourceLinked="1"/>
        <c:majorTickMark val="out"/>
        <c:minorTickMark val="none"/>
        <c:tickLblPos val="nextTo"/>
        <c:txPr>
          <a:bodyPr rot="-60000000" spcFirstLastPara="0" vertOverflow="ellipsis" vert="horz" wrap="square" anchor="ctr" anchorCtr="1"/>
          <a:lstStyle/>
          <a:p>
            <a:pPr>
              <a:defRPr lang="en-I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32948864"/>
        <c:crosses val="autoZero"/>
        <c:crossBetween val="between"/>
      </c:valAx>
      <c:spPr>
        <a:blipFill>
          <a:blip xmlns:r="http://schemas.openxmlformats.org/officeDocument/2006/relationships" r:embed="rId1"/>
          <a:tile tx="0" ty="0" sx="100000" sy="100000" flip="none" algn="tl"/>
        </a:blipFill>
        <a:ln>
          <a:noFill/>
        </a:ln>
        <a:effectLst/>
      </c:spPr>
    </c:plotArea>
    <c:plotVisOnly val="1"/>
    <c:dispBlanksAs val="gap"/>
    <c:showDLblsOverMax val="0"/>
  </c:chart>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txPr>
    <a:bodyPr/>
    <a:lstStyle/>
    <a:p>
      <a:pPr>
        <a:defRPr lang="en-US"/>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14</Pages>
  <Words>5650</Words>
  <Characters>32209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Seema Nimbarate</dc:creator>
  <cp:keywords/>
  <dc:description/>
  <cp:lastModifiedBy>SDI 1087</cp:lastModifiedBy>
  <cp:revision>43</cp:revision>
  <dcterms:created xsi:type="dcterms:W3CDTF">2026-07-20T14:44:00Z</dcterms:created>
  <dcterms:modified xsi:type="dcterms:W3CDTF">2026-07-28T11:02:00Z</dcterms:modified>
</cp:coreProperties>
</file>