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41A6E" w14:textId="77777777" w:rsidR="005245B5" w:rsidRPr="00253980" w:rsidRDefault="00B5190A" w:rsidP="005245B5">
      <w:pPr>
        <w:spacing w:line="360" w:lineRule="auto"/>
        <w:jc w:val="center"/>
        <w:rPr>
          <w:rFonts w:ascii="Times New Roman" w:hAnsi="Times New Roman" w:cs="Times New Roman"/>
          <w:b/>
          <w:sz w:val="24"/>
          <w:szCs w:val="24"/>
        </w:rPr>
      </w:pPr>
      <w:r w:rsidRPr="00253980">
        <w:rPr>
          <w:rFonts w:ascii="Times New Roman" w:eastAsia="Times New Roman" w:hAnsi="Times New Roman" w:cs="Times New Roman"/>
          <w:sz w:val="24"/>
          <w:szCs w:val="24"/>
        </w:rPr>
        <w:t xml:space="preserve">Assess the </w:t>
      </w:r>
      <w:r w:rsidR="00933299" w:rsidRPr="00253980">
        <w:rPr>
          <w:rFonts w:ascii="Times New Roman" w:eastAsia="Times New Roman" w:hAnsi="Times New Roman" w:cs="Times New Roman"/>
          <w:sz w:val="24"/>
          <w:szCs w:val="24"/>
        </w:rPr>
        <w:t>I</w:t>
      </w:r>
      <w:r w:rsidRPr="00253980">
        <w:rPr>
          <w:rFonts w:ascii="Times New Roman" w:eastAsia="Times New Roman" w:hAnsi="Times New Roman" w:cs="Times New Roman"/>
          <w:sz w:val="24"/>
          <w:szCs w:val="24"/>
        </w:rPr>
        <w:t xml:space="preserve">mpact of </w:t>
      </w:r>
      <w:r w:rsidR="00933299" w:rsidRPr="00253980">
        <w:rPr>
          <w:rFonts w:ascii="Times New Roman" w:eastAsia="Times New Roman" w:hAnsi="Times New Roman" w:cs="Times New Roman"/>
          <w:sz w:val="24"/>
          <w:szCs w:val="24"/>
        </w:rPr>
        <w:t>D</w:t>
      </w:r>
      <w:r w:rsidRPr="00253980">
        <w:rPr>
          <w:rFonts w:ascii="Times New Roman" w:eastAsia="Times New Roman" w:hAnsi="Times New Roman" w:cs="Times New Roman"/>
          <w:sz w:val="24"/>
          <w:szCs w:val="24"/>
        </w:rPr>
        <w:t>uckweed (</w:t>
      </w:r>
      <w:r w:rsidRPr="00253980">
        <w:rPr>
          <w:rFonts w:ascii="Times New Roman" w:eastAsia="Times New Roman" w:hAnsi="Times New Roman" w:cs="Times New Roman"/>
          <w:i/>
          <w:sz w:val="24"/>
          <w:szCs w:val="24"/>
        </w:rPr>
        <w:t>L. minor</w:t>
      </w:r>
      <w:r w:rsidRPr="00253980">
        <w:rPr>
          <w:rFonts w:ascii="Times New Roman" w:eastAsia="Times New Roman" w:hAnsi="Times New Roman" w:cs="Times New Roman"/>
          <w:sz w:val="24"/>
          <w:szCs w:val="24"/>
        </w:rPr>
        <w:t xml:space="preserve">) on </w:t>
      </w:r>
      <w:r w:rsidR="00933299" w:rsidRPr="00253980">
        <w:rPr>
          <w:rFonts w:ascii="Times New Roman" w:eastAsia="Times New Roman" w:hAnsi="Times New Roman" w:cs="Times New Roman"/>
          <w:sz w:val="24"/>
          <w:szCs w:val="24"/>
        </w:rPr>
        <w:t>S</w:t>
      </w:r>
      <w:r w:rsidRPr="00253980">
        <w:rPr>
          <w:rFonts w:ascii="Times New Roman" w:eastAsia="Times New Roman" w:hAnsi="Times New Roman" w:cs="Times New Roman"/>
          <w:sz w:val="24"/>
          <w:szCs w:val="24"/>
        </w:rPr>
        <w:t xml:space="preserve">oil and </w:t>
      </w:r>
      <w:r w:rsidR="00933299" w:rsidRPr="00253980">
        <w:rPr>
          <w:rFonts w:ascii="Times New Roman" w:eastAsia="Times New Roman" w:hAnsi="Times New Roman" w:cs="Times New Roman"/>
          <w:sz w:val="24"/>
          <w:szCs w:val="24"/>
        </w:rPr>
        <w:t>W</w:t>
      </w:r>
      <w:r w:rsidRPr="00253980">
        <w:rPr>
          <w:rFonts w:ascii="Times New Roman" w:eastAsia="Times New Roman" w:hAnsi="Times New Roman" w:cs="Times New Roman"/>
          <w:sz w:val="24"/>
          <w:szCs w:val="24"/>
        </w:rPr>
        <w:t xml:space="preserve">ater </w:t>
      </w:r>
      <w:r w:rsidR="00933299" w:rsidRPr="00253980">
        <w:rPr>
          <w:rFonts w:ascii="Times New Roman" w:eastAsia="Times New Roman" w:hAnsi="Times New Roman" w:cs="Times New Roman"/>
          <w:sz w:val="24"/>
          <w:szCs w:val="24"/>
        </w:rPr>
        <w:t>Q</w:t>
      </w:r>
      <w:r w:rsidRPr="00253980">
        <w:rPr>
          <w:rFonts w:ascii="Times New Roman" w:eastAsia="Times New Roman" w:hAnsi="Times New Roman" w:cs="Times New Roman"/>
          <w:sz w:val="24"/>
          <w:szCs w:val="24"/>
        </w:rPr>
        <w:t xml:space="preserve">uality </w:t>
      </w:r>
      <w:r w:rsidR="00933299" w:rsidRPr="00253980">
        <w:rPr>
          <w:rFonts w:ascii="Times New Roman" w:eastAsia="Times New Roman" w:hAnsi="Times New Roman" w:cs="Times New Roman"/>
          <w:sz w:val="24"/>
          <w:szCs w:val="24"/>
        </w:rPr>
        <w:t>P</w:t>
      </w:r>
      <w:r w:rsidRPr="00253980">
        <w:rPr>
          <w:rFonts w:ascii="Times New Roman" w:eastAsia="Times New Roman" w:hAnsi="Times New Roman" w:cs="Times New Roman"/>
          <w:sz w:val="24"/>
          <w:szCs w:val="24"/>
        </w:rPr>
        <w:t xml:space="preserve">arameters of </w:t>
      </w:r>
      <w:r w:rsidR="00933299" w:rsidRPr="00253980">
        <w:rPr>
          <w:rFonts w:ascii="Times New Roman" w:eastAsia="Times New Roman" w:hAnsi="Times New Roman" w:cs="Times New Roman"/>
          <w:sz w:val="24"/>
          <w:szCs w:val="24"/>
        </w:rPr>
        <w:t>G</w:t>
      </w:r>
      <w:r w:rsidRPr="00253980">
        <w:rPr>
          <w:rFonts w:ascii="Times New Roman" w:eastAsia="Times New Roman" w:hAnsi="Times New Roman" w:cs="Times New Roman"/>
          <w:sz w:val="24"/>
          <w:szCs w:val="24"/>
        </w:rPr>
        <w:t>rass carp (</w:t>
      </w:r>
      <w:proofErr w:type="spellStart"/>
      <w:r w:rsidRPr="00253980">
        <w:rPr>
          <w:rFonts w:ascii="Times New Roman" w:eastAsia="Times New Roman" w:hAnsi="Times New Roman" w:cs="Times New Roman"/>
          <w:i/>
          <w:sz w:val="24"/>
          <w:szCs w:val="24"/>
        </w:rPr>
        <w:t>Ctenopharyngodon</w:t>
      </w:r>
      <w:proofErr w:type="spellEnd"/>
      <w:r w:rsidRPr="00253980">
        <w:rPr>
          <w:rFonts w:ascii="Times New Roman" w:eastAsia="Times New Roman" w:hAnsi="Times New Roman" w:cs="Times New Roman"/>
          <w:i/>
          <w:sz w:val="24"/>
          <w:szCs w:val="24"/>
        </w:rPr>
        <w:t xml:space="preserve"> </w:t>
      </w:r>
      <w:proofErr w:type="spellStart"/>
      <w:r w:rsidRPr="00253980">
        <w:rPr>
          <w:rFonts w:ascii="Times New Roman" w:eastAsia="Times New Roman" w:hAnsi="Times New Roman" w:cs="Times New Roman"/>
          <w:i/>
          <w:sz w:val="24"/>
          <w:szCs w:val="24"/>
        </w:rPr>
        <w:t>idella</w:t>
      </w:r>
      <w:proofErr w:type="spellEnd"/>
      <w:r w:rsidRPr="00253980">
        <w:rPr>
          <w:rFonts w:ascii="Times New Roman" w:eastAsia="Times New Roman" w:hAnsi="Times New Roman" w:cs="Times New Roman"/>
          <w:sz w:val="24"/>
          <w:szCs w:val="24"/>
        </w:rPr>
        <w:t>)</w:t>
      </w:r>
      <w:r w:rsidR="00933299" w:rsidRPr="00253980">
        <w:rPr>
          <w:rFonts w:ascii="Times New Roman" w:eastAsia="Times New Roman" w:hAnsi="Times New Roman" w:cs="Times New Roman"/>
          <w:sz w:val="24"/>
          <w:szCs w:val="24"/>
        </w:rPr>
        <w:t xml:space="preserve"> Culture</w:t>
      </w:r>
    </w:p>
    <w:p w14:paraId="2AA6B7D8" w14:textId="77777777" w:rsidR="00671F2B" w:rsidRPr="00253980" w:rsidRDefault="00275427"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Abstract</w:t>
      </w:r>
    </w:p>
    <w:p w14:paraId="277BEE1E" w14:textId="77777777" w:rsidR="00886AB6" w:rsidRDefault="00886AB6" w:rsidP="000B271F">
      <w:pPr>
        <w:spacing w:after="0" w:line="360" w:lineRule="auto"/>
        <w:jc w:val="both"/>
      </w:pPr>
      <w:r>
        <w:t>This study assessed the effects of graded dietary duckweed (</w:t>
      </w:r>
      <w:r>
        <w:rPr>
          <w:rStyle w:val="Emphasis"/>
        </w:rPr>
        <w:t>Lemna minor</w:t>
      </w:r>
      <w:r>
        <w:t>) inclusion on selected soil and water quality parameters in grass carp (</w:t>
      </w:r>
      <w:proofErr w:type="spellStart"/>
      <w:r>
        <w:rPr>
          <w:rStyle w:val="Emphasis"/>
        </w:rPr>
        <w:t>Ctenopharyngodon</w:t>
      </w:r>
      <w:proofErr w:type="spellEnd"/>
      <w:r>
        <w:rPr>
          <w:rStyle w:val="Emphasis"/>
        </w:rPr>
        <w:t xml:space="preserve"> </w:t>
      </w:r>
      <w:proofErr w:type="spellStart"/>
      <w:r>
        <w:rPr>
          <w:rStyle w:val="Emphasis"/>
        </w:rPr>
        <w:t>idella</w:t>
      </w:r>
      <w:proofErr w:type="spellEnd"/>
      <w:r>
        <w:t xml:space="preserve">) culture ponds. The 180-day feeding trial comprised a control and three dietary treatments containing 5%, 10%, and 20% duckweed, designated T1, T2, and T3, respectively. Two hundred fingerlings were distributed among the experimental ponds and fed at 5% of body weight twice daily. Water temperature, pH, alkalinity, dissolved oxygen, and total dissolved solids were monitored, while pond-soil pH, nitrogen, organic carbon, potassium, and phosphorus were also assessed. Water temperature ranged from 24.7 to 25.7°C, pH from 7.9 to 8.5, alkalinity from 110 to 200 mg/L, and dissolved oxygen from 5.0 to 8.0 mg/L. Total dissolved solids ranged from 430 to 608 mg/L. Soil pH varied from 7.4 to 8.1, while the measured soil nutrient values showed moderate differences among the control and treatment groups. Across the reported environmental measurements, dietary duckweed inclusion was not associated with clear deterioration in the selected pond-water parameters. However, the available data do not establish treatment-related effects on pond soil, fish growth, feed efficiency, survival, or profitability because the replication, statistical analysis, and performance data are incompletely reported. Further replicated field evaluation is therefore required before larger-scale adoption. </w:t>
      </w:r>
    </w:p>
    <w:p w14:paraId="10C705A9" w14:textId="77777777" w:rsidR="00886AB6" w:rsidRDefault="00886AB6" w:rsidP="000B271F">
      <w:pPr>
        <w:spacing w:after="0" w:line="360" w:lineRule="auto"/>
        <w:jc w:val="both"/>
      </w:pPr>
    </w:p>
    <w:p w14:paraId="52F62C4F" w14:textId="586AB5A3" w:rsidR="005638F3" w:rsidRDefault="00671F2B" w:rsidP="000B271F">
      <w:pPr>
        <w:spacing w:after="0" w:line="360" w:lineRule="auto"/>
        <w:jc w:val="both"/>
      </w:pPr>
      <w:r w:rsidRPr="00253980">
        <w:rPr>
          <w:rFonts w:ascii="Times New Roman" w:eastAsia="Times New Roman" w:hAnsi="Times New Roman" w:cs="Times New Roman"/>
          <w:b/>
          <w:sz w:val="24"/>
          <w:szCs w:val="24"/>
        </w:rPr>
        <w:t>Keywords:</w:t>
      </w:r>
      <w:r w:rsidRPr="00253980">
        <w:rPr>
          <w:rFonts w:ascii="Times New Roman" w:eastAsia="Times New Roman" w:hAnsi="Times New Roman" w:cs="Times New Roman"/>
          <w:sz w:val="24"/>
          <w:szCs w:val="24"/>
        </w:rPr>
        <w:t xml:space="preserve">  </w:t>
      </w:r>
      <w:r w:rsidR="005638F3">
        <w:t xml:space="preserve">Duckweed; </w:t>
      </w:r>
      <w:r w:rsidR="005638F3">
        <w:rPr>
          <w:rStyle w:val="Emphasis"/>
        </w:rPr>
        <w:t>Lemna minor</w:t>
      </w:r>
      <w:r w:rsidR="005638F3">
        <w:t xml:space="preserve">; grass carp; </w:t>
      </w:r>
      <w:proofErr w:type="spellStart"/>
      <w:r w:rsidR="005638F3">
        <w:rPr>
          <w:rStyle w:val="Emphasis"/>
        </w:rPr>
        <w:t>Ctenopharyngodon</w:t>
      </w:r>
      <w:proofErr w:type="spellEnd"/>
      <w:r w:rsidR="005638F3">
        <w:rPr>
          <w:rStyle w:val="Emphasis"/>
        </w:rPr>
        <w:t xml:space="preserve"> </w:t>
      </w:r>
      <w:proofErr w:type="spellStart"/>
      <w:r w:rsidR="005638F3">
        <w:rPr>
          <w:rStyle w:val="Emphasis"/>
        </w:rPr>
        <w:t>idella</w:t>
      </w:r>
      <w:proofErr w:type="spellEnd"/>
      <w:r w:rsidR="005638F3">
        <w:t>; pond water quality; pond soil quality; dissolved oxygen; alkalinity; total dissolved solids; freshwater aquaculture</w:t>
      </w:r>
    </w:p>
    <w:p w14:paraId="527F817F" w14:textId="77777777" w:rsidR="005638F3" w:rsidRDefault="005638F3" w:rsidP="000B271F">
      <w:pPr>
        <w:spacing w:after="0" w:line="360" w:lineRule="auto"/>
        <w:jc w:val="both"/>
      </w:pPr>
    </w:p>
    <w:p w14:paraId="02FF8F6B" w14:textId="490EA93E" w:rsidR="00671F2B" w:rsidRPr="00253980" w:rsidRDefault="00671F2B" w:rsidP="000B271F">
      <w:pPr>
        <w:spacing w:after="0" w:line="360" w:lineRule="auto"/>
        <w:jc w:val="both"/>
        <w:rPr>
          <w:rFonts w:ascii="Times New Roman" w:eastAsia="Times New Roman" w:hAnsi="Times New Roman" w:cs="Times New Roman"/>
          <w:b/>
          <w:sz w:val="24"/>
          <w:szCs w:val="24"/>
        </w:rPr>
      </w:pPr>
      <w:r w:rsidRPr="00253980">
        <w:rPr>
          <w:rFonts w:ascii="Times New Roman" w:eastAsia="Times New Roman" w:hAnsi="Times New Roman" w:cs="Times New Roman"/>
          <w:b/>
          <w:sz w:val="24"/>
          <w:szCs w:val="24"/>
        </w:rPr>
        <w:t>Introduction </w:t>
      </w:r>
    </w:p>
    <w:p w14:paraId="212DB678" w14:textId="77777777" w:rsidR="00B72328" w:rsidRPr="00253980" w:rsidRDefault="00671F2B"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 xml:space="preserve">Soil and water parameters play major roles in freshwater fish farming and must be considered for sustainable production. Pond-bottom soil stores many substances that accumulate in pond ecosystems, and the chemical and biological processes occurring in the surface layers of pond soil influence water quality and aquaculture production (Avnimelech &amp; Ritvo, 2003). The availability of good-quality water in sufficient quantities is one of the most important prerequisites for sustainable aquaculture (Boyd et al., 2020). Water-quality management involves the day-to-day regulation of water-quality parameters to maintain optimal conditions for the growth of the cultured species. Soil and water quality parameters are often overlooked in pond </w:t>
      </w:r>
      <w:r w:rsidRPr="00253980">
        <w:rPr>
          <w:rFonts w:ascii="Times New Roman" w:hAnsi="Times New Roman" w:cs="Times New Roman"/>
          <w:sz w:val="24"/>
          <w:szCs w:val="24"/>
        </w:rPr>
        <w:lastRenderedPageBreak/>
        <w:t>management. An understanding of basic water chemistry and soil parameters is necessary to prevent problems in aquaculture. Several soil and water quality parameters are particularly important for maintaining fish health and pond productivity (Colt, 2006). A reliable water supply is perhaps the single most important factor to consider when selecting a site for an aquaculture venture. Water of suitable quality and in sufficient quantity should be available throughout the aquaculture production cycle. Therefore, the water source and supply must be thoroughly investigated when selecting an aquaculture site. Water is essential for fish because it supports all their needs, including respiration, feeding, reproduction, and growth (Coche et al., 1996). Suitable soil promotes effective water retention, particularly in clay or sandy-clay soils, while good pond fertility is associated with clay-loam or silty-clay-loam soils. The most suitable soils for fish culture are sandy clay, silty clay loam, and clay loam (Coche, 1986). The physicochemical properties of pond water largely reflect the properties of the pond-bottom soil (Boyd &amp; Munsiri, 1996). The nutrient status of the water and soil is important in governing the primary productivity of fish ponds. Raigad district is one of the five coastal districts along the west coast of Maharashtra State and is located between 17°51′00″ and 19°08′00″ N and 72°50′00″ and 73°40′00″ E. The district covers a geographical area of 7,152 km² and has a cultivable area of 3,286 km². The perennial Savitri River is the main source of water for freshwater fish culture.</w:t>
      </w:r>
    </w:p>
    <w:p w14:paraId="71BDCEB8" w14:textId="77777777" w:rsidR="00344ADE" w:rsidRPr="00253980" w:rsidRDefault="00D478D1" w:rsidP="00D478D1">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In earthen-pond aquaculture, water quality and bottom-soil processes are closely coupled because sediment mineralization, nutrient exchange, alkalinity, and oxygen demand influence primary productivity and the physiological environment experienced by cultured fish. Temperature, pH, dissolved oxygen, alkalinity, and dissolved solids therefore provide complementary indicators of pond suitability rather than independent measures. In addition, duckweed has attracted attention as a locally producible feed ingredient because of its protein content and capacity to recover nutrients; however, its nutritional value varies with species, cultivation conditions, and processing, and inclusion levels should be evaluated in relation to diet digestibility and water-quality stability (Avnimelech &amp; Ritvo, 2003; Boyd et al., 2020; Minich &amp; Michael, 2024).</w:t>
      </w:r>
    </w:p>
    <w:p w14:paraId="19B0515F" w14:textId="77777777" w:rsidR="00F61AD1" w:rsidRPr="00253980" w:rsidRDefault="00F61AD1" w:rsidP="00D478D1">
      <w:pPr>
        <w:spacing w:line="360" w:lineRule="auto"/>
        <w:jc w:val="both"/>
        <w:rPr>
          <w:rFonts w:ascii="Times New Roman" w:hAnsi="Times New Roman" w:cs="Times New Roman"/>
          <w:sz w:val="24"/>
          <w:szCs w:val="24"/>
        </w:rPr>
      </w:pPr>
      <w:r w:rsidRPr="00253980">
        <w:rPr>
          <w:rFonts w:ascii="Times New Roman" w:hAnsi="Times New Roman"/>
          <w:b/>
          <w:sz w:val="24"/>
        </w:rPr>
        <w:t xml:space="preserve">Recent studies have further demonstrated that duckweed-based feeds can influence growth and feed utilisation in freshwater fish, with responses varying according to fish species and </w:t>
      </w:r>
      <w:r w:rsidRPr="00253980">
        <w:rPr>
          <w:rFonts w:ascii="Times New Roman" w:hAnsi="Times New Roman"/>
          <w:b/>
          <w:sz w:val="24"/>
        </w:rPr>
        <w:lastRenderedPageBreak/>
        <w:t>dietary inclusion level (Achoki et al., 2024; Song et al., 2026). More broadly, the suitability of aquatic plant biomass for aquafeeds is shaped by cultivation conditions, nutrient composition, and dietary inclusion strategy (Ed-Idoko et al., 2024; Kumar et al., 2025; Sosa et al., 2024).</w:t>
      </w:r>
    </w:p>
    <w:p w14:paraId="1C2E6BFA" w14:textId="77777777" w:rsidR="00AE7CF1" w:rsidRPr="00253980" w:rsidRDefault="00000000">
      <w:pPr>
        <w:spacing w:line="360" w:lineRule="auto"/>
        <w:jc w:val="both"/>
        <w:rPr>
          <w:rFonts w:ascii="Times New Roman" w:hAnsi="Times New Roman" w:cs="Times New Roman"/>
          <w:sz w:val="24"/>
          <w:szCs w:val="24"/>
        </w:rPr>
      </w:pPr>
      <w:r w:rsidRPr="00253980">
        <w:rPr>
          <w:rFonts w:ascii="Times New Roman" w:hAnsi="Times New Roman"/>
          <w:b/>
          <w:sz w:val="24"/>
        </w:rPr>
        <w:t xml:space="preserve">However, evidence remains limited on whether graded dietary inclusion of </w:t>
      </w:r>
      <w:r w:rsidRPr="00253980">
        <w:rPr>
          <w:rFonts w:ascii="Times New Roman" w:hAnsi="Times New Roman"/>
          <w:b/>
          <w:i/>
          <w:sz w:val="24"/>
        </w:rPr>
        <w:t>L. minor</w:t>
      </w:r>
      <w:r w:rsidRPr="00253980">
        <w:rPr>
          <w:rFonts w:ascii="Times New Roman" w:hAnsi="Times New Roman"/>
          <w:b/>
          <w:sz w:val="24"/>
        </w:rPr>
        <w:t xml:space="preserve"> alters the interacting soil and water quality conditions of earthen ponds used for grass carp culture. In particular, simultaneous evaluation of pond-water variables and bottom-soil nutrient characteristics under the same feeding treatments is needed to clarify environmental compatibility at the tested inclusion levels.</w:t>
      </w:r>
    </w:p>
    <w:p w14:paraId="3BF10DB8" w14:textId="77777777" w:rsidR="00AE7CF1" w:rsidRPr="00253980" w:rsidRDefault="00000000">
      <w:pPr>
        <w:spacing w:after="0" w:line="360" w:lineRule="auto"/>
        <w:jc w:val="both"/>
        <w:rPr>
          <w:rFonts w:ascii="Times New Roman" w:eastAsia="Times New Roman" w:hAnsi="Times New Roman" w:cs="Times New Roman"/>
          <w:b/>
          <w:sz w:val="24"/>
          <w:szCs w:val="24"/>
        </w:rPr>
      </w:pPr>
      <w:r w:rsidRPr="00253980">
        <w:rPr>
          <w:rFonts w:ascii="Times New Roman" w:hAnsi="Times New Roman"/>
          <w:b/>
          <w:sz w:val="24"/>
        </w:rPr>
        <w:t>Objective</w:t>
      </w:r>
    </w:p>
    <w:p w14:paraId="29A812A7" w14:textId="77777777" w:rsidR="00AE7CF1" w:rsidRPr="00253980" w:rsidRDefault="00000000">
      <w:pPr>
        <w:spacing w:line="360" w:lineRule="auto"/>
        <w:jc w:val="both"/>
        <w:rPr>
          <w:rFonts w:ascii="Times New Roman" w:hAnsi="Times New Roman" w:cs="Times New Roman"/>
          <w:sz w:val="24"/>
          <w:szCs w:val="24"/>
        </w:rPr>
      </w:pPr>
      <w:r w:rsidRPr="00253980">
        <w:rPr>
          <w:rFonts w:ascii="Times New Roman" w:hAnsi="Times New Roman"/>
          <w:b/>
          <w:sz w:val="24"/>
        </w:rPr>
        <w:t xml:space="preserve">The objective of this study was to assess the effects of dietary </w:t>
      </w:r>
      <w:r w:rsidRPr="00253980">
        <w:rPr>
          <w:rFonts w:ascii="Times New Roman" w:hAnsi="Times New Roman"/>
          <w:b/>
          <w:i/>
          <w:sz w:val="24"/>
        </w:rPr>
        <w:t>L. minor</w:t>
      </w:r>
      <w:r w:rsidRPr="00253980">
        <w:rPr>
          <w:rFonts w:ascii="Times New Roman" w:hAnsi="Times New Roman"/>
          <w:b/>
          <w:sz w:val="24"/>
        </w:rPr>
        <w:t xml:space="preserve"> inclusion at 5%, 10%, and 20% on selected soil and water quality parameters in grass carp culture ponds.</w:t>
      </w:r>
    </w:p>
    <w:p w14:paraId="2FE05D19" w14:textId="77777777" w:rsidR="00671F2B" w:rsidRPr="00253980" w:rsidRDefault="00671F2B"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Materials and Methods</w:t>
      </w:r>
    </w:p>
    <w:p w14:paraId="4D60460C" w14:textId="77777777" w:rsidR="00671F2B" w:rsidRPr="00253980" w:rsidRDefault="00671F2B"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 xml:space="preserve"> Experimental site</w:t>
      </w:r>
    </w:p>
    <w:p w14:paraId="016C1C85" w14:textId="77777777" w:rsidR="00671F2B" w:rsidRPr="00253980" w:rsidRDefault="00671F2B"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The study was conducted in 12 earthen ponds at Kunapur, Chatur bhu, Kheuri, Purba Medinipur, West Bengal.</w:t>
      </w:r>
    </w:p>
    <w:p w14:paraId="2B8ECBD8" w14:textId="77777777" w:rsidR="004904A3" w:rsidRPr="00253980" w:rsidRDefault="004904A3" w:rsidP="000B271F">
      <w:pPr>
        <w:pStyle w:val="Default"/>
        <w:spacing w:line="360" w:lineRule="auto"/>
        <w:jc w:val="both"/>
        <w:rPr>
          <w:rFonts w:ascii="Times New Roman" w:hAnsi="Times New Roman" w:cs="Times New Roman"/>
        </w:rPr>
      </w:pPr>
      <w:r w:rsidRPr="00253980">
        <w:rPr>
          <w:rFonts w:ascii="Times New Roman" w:hAnsi="Times New Roman" w:cs="Times New Roman"/>
          <w:b/>
          <w:bCs/>
        </w:rPr>
        <w:t xml:space="preserve"> Water Quality parameters </w:t>
      </w:r>
    </w:p>
    <w:p w14:paraId="202EF9C9"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The water-quality parameters in the present experiment, including temperature, pH, dissolved oxygen, and alkalinity, were analysed monthly according to American Public Health Association et al. (2005).</w:t>
      </w:r>
    </w:p>
    <w:p w14:paraId="45314A9B" w14:textId="77777777" w:rsidR="004904A3" w:rsidRPr="00253980"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Water Temperature</w:t>
      </w:r>
    </w:p>
    <w:p w14:paraId="0F07EF72" w14:textId="77777777" w:rsidR="004904A3" w:rsidRPr="00253980" w:rsidRDefault="004904A3" w:rsidP="000B271F">
      <w:pPr>
        <w:tabs>
          <w:tab w:val="left" w:pos="360"/>
        </w:tabs>
        <w:spacing w:before="120" w:after="120" w:line="360" w:lineRule="auto"/>
        <w:jc w:val="both"/>
        <w:rPr>
          <w:rFonts w:ascii="Times New Roman" w:hAnsi="Times New Roman" w:cs="Times New Roman"/>
          <w:sz w:val="24"/>
          <w:szCs w:val="24"/>
        </w:rPr>
      </w:pPr>
      <w:r w:rsidRPr="00253980">
        <w:rPr>
          <w:rFonts w:ascii="Times New Roman" w:hAnsi="Times New Roman" w:cs="Times New Roman"/>
          <w:sz w:val="24"/>
          <w:szCs w:val="24"/>
        </w:rPr>
        <w:t>Water temperature was measured by directly immersing a pen-type digital temperature meter in the water sample and recording the reading.</w:t>
      </w:r>
    </w:p>
    <w:p w14:paraId="3E799D04" w14:textId="77777777" w:rsidR="004904A3" w:rsidRPr="00253980"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pH</w:t>
      </w:r>
    </w:p>
    <w:p w14:paraId="5A89698F" w14:textId="77777777" w:rsidR="004904A3" w:rsidRPr="00253980" w:rsidRDefault="004904A3" w:rsidP="000B271F">
      <w:pPr>
        <w:tabs>
          <w:tab w:val="left" w:pos="360"/>
        </w:tabs>
        <w:spacing w:before="120" w:after="120" w:line="360" w:lineRule="auto"/>
        <w:jc w:val="both"/>
        <w:rPr>
          <w:rFonts w:ascii="Times New Roman" w:hAnsi="Times New Roman" w:cs="Times New Roman"/>
          <w:sz w:val="24"/>
          <w:szCs w:val="24"/>
        </w:rPr>
      </w:pPr>
      <w:r w:rsidRPr="00253980">
        <w:rPr>
          <w:rFonts w:ascii="Times New Roman" w:hAnsi="Times New Roman" w:cs="Times New Roman"/>
          <w:sz w:val="24"/>
          <w:szCs w:val="24"/>
        </w:rPr>
        <w:t>In the present trial, the hydrogen ion concentration of the water in all earthen ponds was measured using a pen-type pH meter.</w:t>
      </w:r>
    </w:p>
    <w:p w14:paraId="64A37B3F" w14:textId="77777777" w:rsidR="004904A3" w:rsidRPr="00253980"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 xml:space="preserve"> Electrical Conductivity</w:t>
      </w:r>
    </w:p>
    <w:p w14:paraId="6EBC1A18" w14:textId="77777777" w:rsidR="004904A3" w:rsidRPr="00253980" w:rsidRDefault="004904A3" w:rsidP="000B271F">
      <w:pPr>
        <w:tabs>
          <w:tab w:val="left" w:pos="360"/>
        </w:tabs>
        <w:spacing w:before="120" w:after="120" w:line="360" w:lineRule="auto"/>
        <w:jc w:val="both"/>
        <w:rPr>
          <w:rFonts w:ascii="Times New Roman" w:hAnsi="Times New Roman" w:cs="Times New Roman"/>
          <w:sz w:val="24"/>
          <w:szCs w:val="24"/>
        </w:rPr>
      </w:pPr>
      <w:r w:rsidRPr="00253980">
        <w:rPr>
          <w:rFonts w:ascii="Times New Roman" w:hAnsi="Times New Roman" w:cs="Times New Roman"/>
          <w:b/>
          <w:sz w:val="24"/>
          <w:szCs w:val="24"/>
        </w:rPr>
        <w:lastRenderedPageBreak/>
        <w:t>The electrical conductivity (EC) of the experimental water was measured using a mini EC meter.</w:t>
      </w:r>
    </w:p>
    <w:p w14:paraId="4141EE60" w14:textId="77777777" w:rsidR="004904A3" w:rsidRPr="00253980"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Total Dissolved Solids</w:t>
      </w:r>
    </w:p>
    <w:p w14:paraId="1962A2D5" w14:textId="77777777" w:rsidR="004904A3" w:rsidRPr="00253980" w:rsidRDefault="004904A3" w:rsidP="000B271F">
      <w:pPr>
        <w:tabs>
          <w:tab w:val="left" w:pos="360"/>
        </w:tabs>
        <w:spacing w:before="120" w:after="120" w:line="360" w:lineRule="auto"/>
        <w:jc w:val="both"/>
        <w:rPr>
          <w:rFonts w:ascii="Times New Roman" w:hAnsi="Times New Roman" w:cs="Times New Roman"/>
          <w:sz w:val="24"/>
          <w:szCs w:val="24"/>
        </w:rPr>
      </w:pPr>
      <w:r w:rsidRPr="00253980">
        <w:rPr>
          <w:rFonts w:ascii="Times New Roman" w:hAnsi="Times New Roman" w:cs="Times New Roman"/>
          <w:sz w:val="24"/>
          <w:szCs w:val="24"/>
        </w:rPr>
        <w:t>The total dissolved solids (TDS) content of the experimental water was measured using a digital pen-type TDS meter.</w:t>
      </w:r>
    </w:p>
    <w:p w14:paraId="780D8391" w14:textId="77777777" w:rsidR="004904A3" w:rsidRPr="00253980"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 xml:space="preserve">Dissolved Oxygen (D.O) </w:t>
      </w:r>
    </w:p>
    <w:p w14:paraId="397D48BD" w14:textId="77777777" w:rsidR="004904A3" w:rsidRPr="00253980" w:rsidRDefault="004904A3" w:rsidP="000B271F">
      <w:pPr>
        <w:tabs>
          <w:tab w:val="left" w:pos="360"/>
        </w:tabs>
        <w:spacing w:before="120" w:after="120" w:line="360" w:lineRule="auto"/>
        <w:jc w:val="both"/>
        <w:rPr>
          <w:rFonts w:ascii="Times New Roman" w:hAnsi="Times New Roman" w:cs="Times New Roman"/>
          <w:sz w:val="24"/>
          <w:szCs w:val="24"/>
        </w:rPr>
      </w:pPr>
      <w:r w:rsidRPr="00253980">
        <w:rPr>
          <w:rFonts w:ascii="Times New Roman" w:hAnsi="Times New Roman" w:cs="Times New Roman"/>
          <w:sz w:val="24"/>
          <w:szCs w:val="24"/>
        </w:rPr>
        <w:t>For the analysis of dissolved oxygen, the modified Winkler method was followed. In this method, dissolved oxygen reacts with Mg (OH)2, producing a hydroxide precipitate. After acidification, the precipitate releases iodine in proportion to the oxygen present. The iodine-containing mixture was titrated with standard Na2S2O3.H2O (sodium thiosulphate) solution, and starch solution was used as an indicator. The steps used to determine dissolved oxygen are described below:</w:t>
      </w:r>
    </w:p>
    <w:p w14:paraId="165C4644" w14:textId="77777777" w:rsidR="004904A3" w:rsidRPr="00253980" w:rsidRDefault="004904A3" w:rsidP="000B271F">
      <w:pPr>
        <w:tabs>
          <w:tab w:val="left" w:pos="360"/>
        </w:tabs>
        <w:spacing w:before="120" w:after="120" w:line="360" w:lineRule="auto"/>
        <w:jc w:val="both"/>
        <w:rPr>
          <w:rFonts w:ascii="Times New Roman" w:hAnsi="Times New Roman" w:cs="Times New Roman"/>
          <w:sz w:val="24"/>
          <w:szCs w:val="24"/>
        </w:rPr>
      </w:pPr>
      <w:r w:rsidRPr="00253980">
        <w:rPr>
          <w:rFonts w:ascii="Times New Roman" w:hAnsi="Times New Roman" w:cs="Times New Roman"/>
          <w:sz w:val="24"/>
          <w:szCs w:val="24"/>
        </w:rPr>
        <w:t>(i) First, samples were collected in 250 mL glass bottles without introducing air bubbles.</w:t>
      </w:r>
    </w:p>
    <w:p w14:paraId="6D005CBE" w14:textId="77777777" w:rsidR="004904A3" w:rsidRPr="00253980" w:rsidRDefault="004904A3" w:rsidP="000B271F">
      <w:pPr>
        <w:tabs>
          <w:tab w:val="left" w:pos="360"/>
        </w:tabs>
        <w:spacing w:before="120" w:after="120" w:line="360" w:lineRule="auto"/>
        <w:ind w:left="720" w:hanging="720"/>
        <w:jc w:val="both"/>
        <w:rPr>
          <w:rFonts w:ascii="Times New Roman" w:hAnsi="Times New Roman" w:cs="Times New Roman"/>
          <w:sz w:val="24"/>
          <w:szCs w:val="24"/>
        </w:rPr>
      </w:pPr>
      <w:r w:rsidRPr="00253980">
        <w:rPr>
          <w:rFonts w:ascii="Times New Roman" w:hAnsi="Times New Roman" w:cs="Times New Roman"/>
          <w:sz w:val="24"/>
          <w:szCs w:val="24"/>
        </w:rPr>
        <w:t>(ii) Then, 1 mL of Winkler A (Mg (OH)2) and 1 mL of Winkler B (alkaline iodine) were added to each sample bottle, and the bottle was stoppered.</w:t>
      </w:r>
    </w:p>
    <w:p w14:paraId="41F2CE26" w14:textId="77777777" w:rsidR="004904A3" w:rsidRPr="00253980" w:rsidRDefault="004904A3" w:rsidP="000B271F">
      <w:pPr>
        <w:tabs>
          <w:tab w:val="left" w:pos="360"/>
        </w:tabs>
        <w:spacing w:before="120" w:after="120" w:line="360" w:lineRule="auto"/>
        <w:ind w:left="720" w:hanging="720"/>
        <w:jc w:val="both"/>
        <w:rPr>
          <w:rFonts w:ascii="Times New Roman" w:hAnsi="Times New Roman" w:cs="Times New Roman"/>
          <w:sz w:val="24"/>
          <w:szCs w:val="24"/>
        </w:rPr>
      </w:pPr>
      <w:r w:rsidRPr="00253980">
        <w:rPr>
          <w:rFonts w:ascii="Times New Roman" w:hAnsi="Times New Roman" w:cs="Times New Roman"/>
          <w:sz w:val="24"/>
          <w:szCs w:val="24"/>
        </w:rPr>
        <w:t>(iii) The bottles were inverted 5–6 times to mix the contents and then allowed to stand until the brown-orange precipitate settled.</w:t>
      </w:r>
    </w:p>
    <w:p w14:paraId="1ADB5BA7" w14:textId="77777777" w:rsidR="004904A3" w:rsidRPr="00253980"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253980">
        <w:rPr>
          <w:rFonts w:ascii="Times New Roman" w:hAnsi="Times New Roman" w:cs="Times New Roman"/>
          <w:sz w:val="24"/>
          <w:szCs w:val="24"/>
        </w:rPr>
        <w:t>(iv) One millilitre of sulphuric acid was added to dissolve the precipitate, and the bottle was shaken after the stopper was replaced.</w:t>
      </w:r>
    </w:p>
    <w:p w14:paraId="6C57D2F5" w14:textId="77777777" w:rsidR="004904A3" w:rsidRPr="00253980"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253980">
        <w:rPr>
          <w:rFonts w:ascii="Times New Roman" w:hAnsi="Times New Roman" w:cs="Times New Roman"/>
          <w:sz w:val="24"/>
          <w:szCs w:val="24"/>
        </w:rPr>
        <w:t>(v) A 50 mL aliquot was transferred to a conical flask and titrated against Na2S2O3. 5H2O (0.025 N).</w:t>
      </w:r>
    </w:p>
    <w:p w14:paraId="0044F12D" w14:textId="77777777" w:rsidR="004904A3" w:rsidRPr="00253980"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253980">
        <w:rPr>
          <w:rFonts w:ascii="Times New Roman" w:hAnsi="Times New Roman" w:cs="Times New Roman"/>
          <w:sz w:val="24"/>
          <w:szCs w:val="24"/>
        </w:rPr>
        <w:t>(vi) Two drops of starch indicator were added, and titration was continued until the blue colour disappeared completely.</w:t>
      </w:r>
    </w:p>
    <w:p w14:paraId="6FE4FBAC" w14:textId="77777777" w:rsidR="004904A3" w:rsidRPr="00253980"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253980">
        <w:rPr>
          <w:rFonts w:ascii="Times New Roman" w:hAnsi="Times New Roman" w:cs="Times New Roman"/>
          <w:sz w:val="24"/>
          <w:szCs w:val="24"/>
        </w:rPr>
        <w:t>(vii) The volume of Na2S2O3. 5H2O used was recorded, and the dissolved oxygen concentration was calculated using the formula below.</w:t>
      </w:r>
    </w:p>
    <w:p w14:paraId="3E97FBC2" w14:textId="77777777" w:rsidR="004904A3" w:rsidRPr="00253980" w:rsidRDefault="004904A3" w:rsidP="000B271F">
      <w:pPr>
        <w:spacing w:line="360" w:lineRule="auto"/>
        <w:jc w:val="both"/>
        <w:rPr>
          <w:rFonts w:ascii="Times New Roman" w:hAnsi="Times New Roman" w:cs="Times New Roman"/>
          <w:b/>
          <w:sz w:val="24"/>
          <w:szCs w:val="24"/>
        </w:rPr>
      </w:pPr>
      <w:r w:rsidRPr="00253980">
        <w:rPr>
          <w:rFonts w:ascii="Times New Roman" w:hAnsi="Times New Roman" w:cs="Times New Roman"/>
          <w:sz w:val="24"/>
          <w:szCs w:val="24"/>
          <w:lang w:val="en-IN"/>
        </w:rPr>
        <w:t xml:space="preserve">D.O (mg/l) = [  </w:t>
      </w:r>
      <m:oMath>
        <m:f>
          <m:fPr>
            <m:ctrlPr>
              <w:rPr>
                <w:rFonts w:ascii="Cambria Math" w:hAnsi="Cambria Math" w:cs="Times New Roman"/>
                <w:sz w:val="24"/>
                <w:szCs w:val="24"/>
                <w:lang w:val="en-IN"/>
              </w:rPr>
            </m:ctrlPr>
          </m:fPr>
          <m:num>
            <m:r>
              <m:rPr>
                <m:sty m:val="p"/>
              </m:rPr>
              <w:rPr>
                <w:rFonts w:ascii="Cambria Math" w:hAnsi="Cambria Math" w:cs="Times New Roman"/>
                <w:sz w:val="24"/>
                <w:szCs w:val="24"/>
                <w:lang w:val="en-IN"/>
              </w:rPr>
              <m:t>8 x 1000x N</m:t>
            </m:r>
          </m:num>
          <m:den>
            <m:r>
              <m:rPr>
                <m:sty m:val="p"/>
              </m:rPr>
              <w:rPr>
                <w:rFonts w:ascii="Cambria Math" w:hAnsi="Cambria Math" w:cs="Times New Roman"/>
                <w:sz w:val="24"/>
                <w:szCs w:val="24"/>
                <w:lang w:val="en-IN"/>
              </w:rPr>
              <m:t>V1</m:t>
            </m:r>
          </m:den>
        </m:f>
      </m:oMath>
      <w:r w:rsidRPr="00253980">
        <w:rPr>
          <w:rFonts w:ascii="Times New Roman" w:hAnsi="Times New Roman" w:cs="Times New Roman"/>
          <w:sz w:val="24"/>
          <w:szCs w:val="24"/>
        </w:rPr>
        <w:t>XV</w:t>
      </w:r>
      <w:r w:rsidRPr="00253980">
        <w:rPr>
          <w:rFonts w:ascii="Times New Roman" w:hAnsi="Times New Roman" w:cs="Times New Roman"/>
          <w:sz w:val="24"/>
          <w:szCs w:val="24"/>
          <w:vertAlign w:val="subscript"/>
        </w:rPr>
        <w:t>2</w:t>
      </w:r>
      <w:r w:rsidRPr="00253980">
        <w:rPr>
          <w:rFonts w:ascii="Times New Roman" w:hAnsi="Times New Roman" w:cs="Times New Roman"/>
          <w:sz w:val="24"/>
          <w:szCs w:val="24"/>
        </w:rPr>
        <w:t>]</w:t>
      </w:r>
    </w:p>
    <w:p w14:paraId="67A21685" w14:textId="77777777" w:rsidR="004904A3" w:rsidRPr="00253980" w:rsidRDefault="004904A3" w:rsidP="000B271F">
      <w:pPr>
        <w:spacing w:line="360" w:lineRule="auto"/>
        <w:jc w:val="both"/>
        <w:rPr>
          <w:rFonts w:ascii="Times New Roman" w:hAnsi="Times New Roman" w:cs="Times New Roman"/>
          <w:sz w:val="24"/>
          <w:szCs w:val="24"/>
        </w:rPr>
      </w:pPr>
    </w:p>
    <w:p w14:paraId="5046CC60"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lastRenderedPageBreak/>
        <w:t>Where,</w:t>
      </w:r>
    </w:p>
    <w:p w14:paraId="471B5378"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N = normality of the titrant (0.025 N)</w:t>
      </w:r>
    </w:p>
    <w:p w14:paraId="7E5DFF34"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V1 = sample volume (mL)</w:t>
      </w:r>
    </w:p>
    <w:p w14:paraId="77145B35"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V2 = volume of titrant (mL)</w:t>
      </w:r>
    </w:p>
    <w:p w14:paraId="62FC010E" w14:textId="77777777" w:rsidR="004904A3" w:rsidRPr="00253980" w:rsidRDefault="004904A3" w:rsidP="000B271F">
      <w:pPr>
        <w:pStyle w:val="ListParagraph"/>
        <w:numPr>
          <w:ilvl w:val="0"/>
          <w:numId w:val="1"/>
        </w:num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Alkalinity</w:t>
      </w:r>
    </w:p>
    <w:p w14:paraId="78C15937"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The alkalinity of the water sample was measured by titration against 0.02 N H₂SO₄ (sulphuric acid) using a 50 mL sample. A sequential double-indicator method was used to identify two endpoints: the phenolphthalein endpoint at pH 8.3, followed by the methyl orange endpoint at pH 4.5.</w:t>
      </w:r>
    </w:p>
    <w:p w14:paraId="2C8878BC"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The experimental procedure was conducted using the following steps:</w:t>
      </w:r>
    </w:p>
    <w:p w14:paraId="0A8C918D" w14:textId="77777777" w:rsidR="004904A3" w:rsidRPr="00253980" w:rsidRDefault="004904A3" w:rsidP="000B271F">
      <w:pPr>
        <w:spacing w:line="360" w:lineRule="auto"/>
        <w:ind w:left="630"/>
        <w:jc w:val="both"/>
        <w:rPr>
          <w:rFonts w:ascii="Times New Roman" w:hAnsi="Times New Roman" w:cs="Times New Roman"/>
          <w:sz w:val="24"/>
          <w:szCs w:val="24"/>
        </w:rPr>
      </w:pPr>
      <w:r w:rsidRPr="00253980">
        <w:rPr>
          <w:rFonts w:ascii="Times New Roman" w:hAnsi="Times New Roman" w:cs="Times New Roman"/>
          <w:sz w:val="24"/>
          <w:szCs w:val="24"/>
        </w:rPr>
        <w:t>(i) A 50 mL aliquot of the sample was transferred to a flask, and two drops of phenolphthalein indicator were added.</w:t>
      </w:r>
    </w:p>
    <w:p w14:paraId="4DB88C1D" w14:textId="77777777" w:rsidR="004904A3" w:rsidRPr="00253980" w:rsidRDefault="004904A3" w:rsidP="000B271F">
      <w:pPr>
        <w:spacing w:line="360" w:lineRule="auto"/>
        <w:ind w:left="630"/>
        <w:jc w:val="both"/>
        <w:rPr>
          <w:rFonts w:ascii="Times New Roman" w:hAnsi="Times New Roman" w:cs="Times New Roman"/>
          <w:sz w:val="24"/>
          <w:szCs w:val="24"/>
        </w:rPr>
      </w:pPr>
      <w:r w:rsidRPr="00253980">
        <w:rPr>
          <w:rFonts w:ascii="Times New Roman" w:hAnsi="Times New Roman" w:cs="Times New Roman"/>
          <w:sz w:val="24"/>
          <w:szCs w:val="24"/>
        </w:rPr>
        <w:t>(ii) If the solution developed a light pink colour, it was titrated with standard 0.02 N sulphuric acid until the pink colour disappeared and the solution became colourless. The volume of acid used to reach this endpoint was recorded as value ‘p’.</w:t>
      </w:r>
    </w:p>
    <w:p w14:paraId="3BE40FB9" w14:textId="77777777" w:rsidR="004904A3" w:rsidRPr="00253980" w:rsidRDefault="004904A3" w:rsidP="000B271F">
      <w:pPr>
        <w:spacing w:line="360" w:lineRule="auto"/>
        <w:ind w:left="630"/>
        <w:jc w:val="both"/>
        <w:rPr>
          <w:rFonts w:ascii="Times New Roman" w:hAnsi="Times New Roman" w:cs="Times New Roman"/>
          <w:sz w:val="24"/>
          <w:szCs w:val="24"/>
        </w:rPr>
      </w:pPr>
      <w:r w:rsidRPr="00253980">
        <w:rPr>
          <w:rFonts w:ascii="Times New Roman" w:hAnsi="Times New Roman" w:cs="Times New Roman"/>
          <w:sz w:val="24"/>
          <w:szCs w:val="24"/>
        </w:rPr>
        <w:t>(iii) Thereafter, two drops of methyl orange indicator were added to the same reaction flask. Titration with H₂SO₄ was continued until the solution changed from yellow to orange.</w:t>
      </w:r>
    </w:p>
    <w:p w14:paraId="373C0838" w14:textId="77777777" w:rsidR="004904A3" w:rsidRPr="00253980" w:rsidRDefault="004904A3" w:rsidP="000B271F">
      <w:pPr>
        <w:spacing w:line="360" w:lineRule="auto"/>
        <w:ind w:left="630"/>
        <w:jc w:val="both"/>
        <w:rPr>
          <w:rFonts w:ascii="Times New Roman" w:hAnsi="Times New Roman" w:cs="Times New Roman"/>
          <w:sz w:val="24"/>
          <w:szCs w:val="24"/>
        </w:rPr>
      </w:pPr>
      <w:r w:rsidRPr="00253980">
        <w:rPr>
          <w:rFonts w:ascii="Times New Roman" w:hAnsi="Times New Roman" w:cs="Times New Roman"/>
          <w:sz w:val="24"/>
          <w:szCs w:val="24"/>
        </w:rPr>
        <w:t>(iv) The final cumulative burette reading, representing the total volume of titrant used across both titration stages, was recorded as value ‘t’. Total alkalinity in the water samples was calculated using the formula below:</w:t>
      </w:r>
    </w:p>
    <w:p w14:paraId="15142849" w14:textId="77777777" w:rsidR="004904A3" w:rsidRPr="00253980" w:rsidRDefault="004904A3" w:rsidP="000B271F">
      <w:pPr>
        <w:spacing w:line="360" w:lineRule="auto"/>
        <w:ind w:left="630"/>
        <w:jc w:val="both"/>
        <w:rPr>
          <w:rFonts w:ascii="Times New Roman" w:eastAsiaTheme="minorEastAsia" w:hAnsi="Times New Roman" w:cs="Times New Roman"/>
          <w:sz w:val="24"/>
          <w:szCs w:val="24"/>
          <w:lang w:val="en-IN"/>
        </w:rPr>
      </w:pPr>
      <w:r w:rsidRPr="00253980">
        <w:rPr>
          <w:rFonts w:ascii="Times New Roman" w:hAnsi="Times New Roman" w:cs="Times New Roman"/>
          <w:sz w:val="24"/>
          <w:szCs w:val="24"/>
          <w:lang w:val="en-IN"/>
        </w:rPr>
        <w:t xml:space="preserve">Total alkalinity (mg/l) =    </w:t>
      </w:r>
      <m:oMath>
        <m:f>
          <m:fPr>
            <m:ctrlPr>
              <w:rPr>
                <w:rFonts w:ascii="Cambria Math" w:hAnsi="Cambria Math" w:cs="Times New Roman"/>
                <w:sz w:val="24"/>
                <w:szCs w:val="24"/>
                <w:lang w:val="en-IN"/>
              </w:rPr>
            </m:ctrlPr>
          </m:fPr>
          <m:num>
            <m:r>
              <m:rPr>
                <m:sty m:val="p"/>
              </m:rPr>
              <w:rPr>
                <w:rFonts w:ascii="Cambria Math" w:hAnsi="Cambria Math" w:cs="Times New Roman"/>
                <w:sz w:val="24"/>
                <w:szCs w:val="24"/>
                <w:lang w:val="en-IN"/>
              </w:rPr>
              <m:t>ml of titrant used 't'</m:t>
            </m:r>
          </m:num>
          <m:den>
            <m:r>
              <m:rPr>
                <m:sty m:val="p"/>
              </m:rPr>
              <w:rPr>
                <w:rFonts w:ascii="Cambria Math" w:hAnsi="Cambria Math" w:cs="Times New Roman"/>
                <w:sz w:val="24"/>
                <w:szCs w:val="24"/>
                <w:lang w:val="en-IN"/>
              </w:rPr>
              <m:t xml:space="preserve">ml of sample </m:t>
            </m:r>
          </m:den>
        </m:f>
        <m:r>
          <m:rPr>
            <m:sty m:val="p"/>
          </m:rPr>
          <w:rPr>
            <w:rFonts w:ascii="Cambria Math" w:hAnsi="Cambria Math" w:cs="Times New Roman"/>
            <w:sz w:val="24"/>
            <w:szCs w:val="24"/>
            <w:lang w:val="en-IN"/>
          </w:rPr>
          <m:t>X 1000</m:t>
        </m:r>
      </m:oMath>
    </w:p>
    <w:p w14:paraId="415A2720" w14:textId="77777777" w:rsidR="004904A3" w:rsidRPr="00253980" w:rsidRDefault="004904A3" w:rsidP="000B271F">
      <w:pPr>
        <w:pStyle w:val="Default"/>
        <w:spacing w:line="360" w:lineRule="auto"/>
        <w:jc w:val="both"/>
        <w:rPr>
          <w:rFonts w:ascii="Times New Roman" w:hAnsi="Times New Roman" w:cs="Times New Roman"/>
        </w:rPr>
      </w:pPr>
      <w:r w:rsidRPr="00253980">
        <w:rPr>
          <w:rFonts w:ascii="Times New Roman" w:hAnsi="Times New Roman" w:cs="Times New Roman"/>
          <w:b/>
          <w:bCs/>
        </w:rPr>
        <w:t xml:space="preserve"> Soil parameters </w:t>
      </w:r>
    </w:p>
    <w:p w14:paraId="3A9BCFB7" w14:textId="77777777" w:rsidR="004904A3" w:rsidRPr="00253980" w:rsidRDefault="004904A3" w:rsidP="000B271F">
      <w:pPr>
        <w:spacing w:line="360" w:lineRule="auto"/>
        <w:jc w:val="both"/>
        <w:rPr>
          <w:rFonts w:ascii="Times New Roman" w:hAnsi="Times New Roman" w:cs="Times New Roman"/>
          <w:b/>
          <w:sz w:val="24"/>
          <w:szCs w:val="24"/>
        </w:rPr>
      </w:pPr>
      <w:r w:rsidRPr="00253980">
        <w:rPr>
          <w:rFonts w:ascii="Times New Roman" w:hAnsi="Times New Roman" w:cs="Times New Roman"/>
          <w:sz w:val="24"/>
          <w:szCs w:val="24"/>
        </w:rPr>
        <w:t xml:space="preserve">Soil suitability for freshwater culture was assessed by collecting samples from four locations at each site at a depth of 30–40 cm. Composite samples were prepared by thoroughly mixing the </w:t>
      </w:r>
      <w:r w:rsidRPr="00253980">
        <w:rPr>
          <w:rFonts w:ascii="Times New Roman" w:hAnsi="Times New Roman" w:cs="Times New Roman"/>
          <w:sz w:val="24"/>
          <w:szCs w:val="24"/>
        </w:rPr>
        <w:lastRenderedPageBreak/>
        <w:t>subsamples collected from the pits on an enamel tray. Standard analytical procedures were used to measure selected quality parameters: pH, organic matter, total nitrogen, potassium, and phosphorus. The soil parameters were assessed before the experiment, including soil pH, soil nitrogen (N2), and available phosphorus (P2O5) (Food and Agriculture Organization of the United Nations [FAO], n.d.).</w:t>
      </w:r>
    </w:p>
    <w:p w14:paraId="067C7833" w14:textId="77777777" w:rsidR="004904A3" w:rsidRPr="00253980" w:rsidRDefault="00E04087"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a)</w:t>
      </w:r>
      <w:r w:rsidR="004904A3" w:rsidRPr="00253980">
        <w:rPr>
          <w:rFonts w:ascii="Times New Roman" w:hAnsi="Times New Roman" w:cs="Times New Roman"/>
          <w:b/>
          <w:sz w:val="24"/>
          <w:szCs w:val="24"/>
        </w:rPr>
        <w:t xml:space="preserve"> Soil pH</w:t>
      </w:r>
    </w:p>
    <w:p w14:paraId="701BF266"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Soil pH was estimated using a corded pen-type pH meter. The probe was inserted into the soil sample, and the reading was recorded.</w:t>
      </w:r>
    </w:p>
    <w:p w14:paraId="7B2F23E5" w14:textId="77777777" w:rsidR="004904A3" w:rsidRPr="00253980" w:rsidRDefault="00E04087"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b)</w:t>
      </w:r>
      <w:r w:rsidR="004904A3" w:rsidRPr="00253980">
        <w:rPr>
          <w:rFonts w:ascii="Times New Roman" w:hAnsi="Times New Roman" w:cs="Times New Roman"/>
          <w:b/>
          <w:sz w:val="24"/>
          <w:szCs w:val="24"/>
        </w:rPr>
        <w:t xml:space="preserve"> Soil Nitrogen </w:t>
      </w:r>
    </w:p>
    <w:p w14:paraId="5A80F74F"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Available soil nitrogen (N2) was measured using a NICE Chemicals soil-testing kit (Code No. S25450) by comparing the sample colour with a standard colour chart.</w:t>
      </w:r>
    </w:p>
    <w:p w14:paraId="209C79ED" w14:textId="77777777" w:rsidR="004904A3" w:rsidRPr="00253980" w:rsidRDefault="00E04087"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c)</w:t>
      </w:r>
      <w:r w:rsidR="004904A3" w:rsidRPr="00253980">
        <w:rPr>
          <w:rFonts w:ascii="Times New Roman" w:hAnsi="Times New Roman" w:cs="Times New Roman"/>
          <w:b/>
          <w:sz w:val="24"/>
          <w:szCs w:val="24"/>
        </w:rPr>
        <w:t xml:space="preserve"> Soil Organic Matter</w:t>
      </w:r>
    </w:p>
    <w:p w14:paraId="2DFE45FA"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Available soil organic matter (OM) was measured using a NICE Chemicals soil-testing kit (Code No. S25450) by comparing the sample colour with a standard colour chart.</w:t>
      </w:r>
    </w:p>
    <w:p w14:paraId="0ECF493C" w14:textId="77777777" w:rsidR="004904A3" w:rsidRPr="00253980" w:rsidRDefault="00E04087"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d)</w:t>
      </w:r>
      <w:r w:rsidR="004904A3" w:rsidRPr="00253980">
        <w:rPr>
          <w:rFonts w:ascii="Times New Roman" w:hAnsi="Times New Roman" w:cs="Times New Roman"/>
          <w:b/>
          <w:sz w:val="24"/>
          <w:szCs w:val="24"/>
        </w:rPr>
        <w:t>Soil Potassium</w:t>
      </w:r>
    </w:p>
    <w:p w14:paraId="41394C3A"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Available soil potassium (K) was measured using a NICE Chemicals soil-testing kit (Code No. S25488) by comparing the sample colour with a standard colour chart.</w:t>
      </w:r>
    </w:p>
    <w:p w14:paraId="4E2E2735" w14:textId="77777777" w:rsidR="004904A3" w:rsidRPr="00253980" w:rsidRDefault="00E04087"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e)</w:t>
      </w:r>
      <w:r w:rsidR="005245B5" w:rsidRPr="00253980">
        <w:rPr>
          <w:rFonts w:ascii="Times New Roman" w:hAnsi="Times New Roman" w:cs="Times New Roman"/>
          <w:b/>
          <w:sz w:val="24"/>
          <w:szCs w:val="24"/>
        </w:rPr>
        <w:t xml:space="preserve"> </w:t>
      </w:r>
      <w:r w:rsidR="004904A3" w:rsidRPr="00253980">
        <w:rPr>
          <w:rFonts w:ascii="Times New Roman" w:hAnsi="Times New Roman" w:cs="Times New Roman"/>
          <w:b/>
          <w:sz w:val="24"/>
          <w:szCs w:val="24"/>
        </w:rPr>
        <w:t>Soil Phosphorus</w:t>
      </w:r>
    </w:p>
    <w:p w14:paraId="5BA309CC" w14:textId="77777777" w:rsidR="004904A3" w:rsidRPr="00253980" w:rsidRDefault="004904A3" w:rsidP="000B271F">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Available soil phosphorus (P) was measured using a NICE Chemicals soil-testing kit (Code No. S25345) by comparing the sample colour with a standard colour chart.</w:t>
      </w:r>
    </w:p>
    <w:p w14:paraId="18BBC661" w14:textId="77777777" w:rsidR="00B66020" w:rsidRPr="00253980" w:rsidRDefault="00CD44B6"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Results a</w:t>
      </w:r>
      <w:r w:rsidR="00E04087" w:rsidRPr="00253980">
        <w:rPr>
          <w:rFonts w:ascii="Times New Roman" w:hAnsi="Times New Roman" w:cs="Times New Roman"/>
          <w:b/>
          <w:sz w:val="24"/>
          <w:szCs w:val="24"/>
        </w:rPr>
        <w:t>nd Discussion</w:t>
      </w:r>
    </w:p>
    <w:p w14:paraId="76B646F5" w14:textId="77777777" w:rsidR="00B66020" w:rsidRPr="00253980" w:rsidRDefault="00B66020" w:rsidP="000B271F">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 xml:space="preserve"> Water Quality Parameters</w:t>
      </w:r>
    </w:p>
    <w:p w14:paraId="49CD2F65" w14:textId="77777777" w:rsidR="00344ADE" w:rsidRPr="00253980" w:rsidRDefault="00D478D1"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 xml:space="preserve">Interpretation of these variables should consider their interactions. Temperature affects fish metabolism and oxygen solubility, pH modifies the chemical form and potential toxicity of dissolved compounds, alkalinity buffers short-term pH fluctuations, and suspended or dissolved </w:t>
      </w:r>
      <w:r w:rsidRPr="00253980">
        <w:rPr>
          <w:rFonts w:ascii="Times New Roman" w:hAnsi="Times New Roman" w:cs="Times New Roman"/>
          <w:sz w:val="24"/>
          <w:szCs w:val="24"/>
        </w:rPr>
        <w:lastRenderedPageBreak/>
        <w:t>materials can alter light penetration and microbial oxygen demand. Consequently, the absence of large treatment-related shifts across several parameters provides stronger evidence of environmental stability than any single measurement considered alone (Boyd et al., 2007; Colt, 2006; Hargreaves, 1998).</w:t>
      </w:r>
    </w:p>
    <w:p w14:paraId="5FA02269" w14:textId="77777777" w:rsidR="00B66020" w:rsidRPr="00253980" w:rsidRDefault="00B66020"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To evaluate water quality during the trial, several physicochemical parameters, namely temperature, pH, dissolved oxygen (DO), alkalinity, and total dissolved solids (TDS), were recorded. Measurements were taken at the start of the study and subsequently at 30-day intervals. The observed trends were as follows:</w:t>
      </w:r>
    </w:p>
    <w:p w14:paraId="1D55057E" w14:textId="77777777" w:rsidR="00344ADE" w:rsidRPr="00253980" w:rsidRDefault="00D478D1"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The narrow temperature range observed among treatments suggests that the feeding treatments did not substantially alter pond thermal conditions. This is expected in outdoor earthen ponds, where seasonal radiation, air temperature, water depth, and mixing generally exert stronger control over water temperature than moderate dietary changes. Because temperature also regulates metabolic rate and dissolved-oxygen saturation, the limited between-treatment variation reduces the likelihood that temperature alone explains differences in fish performance (Boyd et al., 2020; Colt, 2006; Hargreaves, 1998).</w:t>
      </w:r>
    </w:p>
    <w:p w14:paraId="61C0631A" w14:textId="77777777" w:rsidR="00B66020" w:rsidRPr="00253980" w:rsidRDefault="00B66020" w:rsidP="00765C58">
      <w:pPr>
        <w:spacing w:line="360" w:lineRule="auto"/>
        <w:jc w:val="both"/>
        <w:rPr>
          <w:rFonts w:ascii="Times New Roman" w:hAnsi="Times New Roman" w:cs="Times New Roman"/>
          <w:b/>
          <w:color w:val="000000" w:themeColor="text1"/>
          <w:sz w:val="24"/>
          <w:szCs w:val="24"/>
        </w:rPr>
      </w:pPr>
      <w:r w:rsidRPr="00253980">
        <w:rPr>
          <w:rFonts w:ascii="Times New Roman" w:hAnsi="Times New Roman" w:cs="Times New Roman"/>
          <w:b/>
          <w:color w:val="000000" w:themeColor="text1"/>
          <w:sz w:val="24"/>
          <w:szCs w:val="24"/>
        </w:rPr>
        <w:t>Water temperature</w:t>
      </w:r>
    </w:p>
    <w:p w14:paraId="2CA6BC5B" w14:textId="77777777" w:rsidR="00344ADE" w:rsidRPr="00253980" w:rsidRDefault="00D478D1"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The slightly alkaline pH recorded across treatments is consistent with productive freshwater ponds in which photosynthesis, respiration, alkalinity, and sediment-water exchange jointly regulate daily pH dynamics. The small differences among treatment means should be interpreted cautiously because pH can vary diurnally, especially in ponds with active phytoplankton communities. Nevertheless, the observed range indicates adequate buffering and does not suggest pronounced acid-base stress during the sampling periods (</w:t>
      </w:r>
      <w:proofErr w:type="spellStart"/>
      <w:r w:rsidRPr="00253980">
        <w:rPr>
          <w:rFonts w:ascii="Times New Roman" w:hAnsi="Times New Roman" w:cs="Times New Roman"/>
          <w:sz w:val="24"/>
          <w:szCs w:val="24"/>
        </w:rPr>
        <w:t>Avnimelech</w:t>
      </w:r>
      <w:proofErr w:type="spellEnd"/>
      <w:r w:rsidRPr="00253980">
        <w:rPr>
          <w:rFonts w:ascii="Times New Roman" w:hAnsi="Times New Roman" w:cs="Times New Roman"/>
          <w:sz w:val="24"/>
          <w:szCs w:val="24"/>
        </w:rPr>
        <w:t xml:space="preserve"> &amp; </w:t>
      </w:r>
      <w:proofErr w:type="spellStart"/>
      <w:r w:rsidRPr="00253980">
        <w:rPr>
          <w:rFonts w:ascii="Times New Roman" w:hAnsi="Times New Roman" w:cs="Times New Roman"/>
          <w:sz w:val="24"/>
          <w:szCs w:val="24"/>
        </w:rPr>
        <w:t>Ritvo</w:t>
      </w:r>
      <w:proofErr w:type="spellEnd"/>
      <w:r w:rsidRPr="00253980">
        <w:rPr>
          <w:rFonts w:ascii="Times New Roman" w:hAnsi="Times New Roman" w:cs="Times New Roman"/>
          <w:sz w:val="24"/>
          <w:szCs w:val="24"/>
        </w:rPr>
        <w:t>, 2003; Boyd et al., 2007; Colt, 2006).</w:t>
      </w:r>
    </w:p>
    <w:p w14:paraId="1394B5B8" w14:textId="77777777" w:rsidR="00B66020" w:rsidRPr="00253980" w:rsidRDefault="00B66020"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 xml:space="preserve">Water temperature increased progressively after the start of the trial, a change attributed to the seasonal transition from late winter to summer. Temperatures ranged from a minimum of 24.7°C in T1 and T2 to a maximum of 25.7°C in T2 and T3. According to Table 1 and Figure 1, T3 had the highest mean temperature (25.3°C), whereas T1 had the lowest mean temperature (25.1°C). The observed temperatures were within a range generally compatible with warm-water </w:t>
      </w:r>
      <w:r w:rsidRPr="00253980">
        <w:rPr>
          <w:rFonts w:ascii="Times New Roman" w:hAnsi="Times New Roman" w:cs="Times New Roman"/>
          <w:sz w:val="24"/>
          <w:szCs w:val="24"/>
        </w:rPr>
        <w:lastRenderedPageBreak/>
        <w:t>aquaculture, although species- and life-stage-specific criteria should be applied (Boyd et al., 2020; Colt, 2006).</w:t>
      </w:r>
    </w:p>
    <w:p w14:paraId="4B0C1255" w14:textId="77777777" w:rsidR="00344ADE" w:rsidRPr="00253980" w:rsidRDefault="00D478D1"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The measured alkalinity indicates appreciable buffering capacity, which can reduce abrupt pH changes and support biological productivity. In earthen ponds, alkalinity is influenced by source-water chemistry, liming history, sediment reactions, and microbial processes; therefore, moderate treatment differences do not necessarily indicate a direct dietary effect. The broadly comparable values among groups are more consistent with stable carbonate buffering throughout the trial (</w:t>
      </w:r>
      <w:proofErr w:type="spellStart"/>
      <w:r w:rsidRPr="00253980">
        <w:rPr>
          <w:rFonts w:ascii="Times New Roman" w:hAnsi="Times New Roman" w:cs="Times New Roman"/>
          <w:sz w:val="24"/>
          <w:szCs w:val="24"/>
        </w:rPr>
        <w:t>Avnimelech</w:t>
      </w:r>
      <w:proofErr w:type="spellEnd"/>
      <w:r w:rsidRPr="00253980">
        <w:rPr>
          <w:rFonts w:ascii="Times New Roman" w:hAnsi="Times New Roman" w:cs="Times New Roman"/>
          <w:sz w:val="24"/>
          <w:szCs w:val="24"/>
        </w:rPr>
        <w:t xml:space="preserve"> &amp; </w:t>
      </w:r>
      <w:proofErr w:type="spellStart"/>
      <w:r w:rsidRPr="00253980">
        <w:rPr>
          <w:rFonts w:ascii="Times New Roman" w:hAnsi="Times New Roman" w:cs="Times New Roman"/>
          <w:sz w:val="24"/>
          <w:szCs w:val="24"/>
        </w:rPr>
        <w:t>Ritvo</w:t>
      </w:r>
      <w:proofErr w:type="spellEnd"/>
      <w:r w:rsidRPr="00253980">
        <w:rPr>
          <w:rFonts w:ascii="Times New Roman" w:hAnsi="Times New Roman" w:cs="Times New Roman"/>
          <w:sz w:val="24"/>
          <w:szCs w:val="24"/>
        </w:rPr>
        <w:t>, 2003; Boyd et al., 2020; Hargreaves, 1998).</w:t>
      </w:r>
    </w:p>
    <w:p w14:paraId="29283374" w14:textId="77777777" w:rsidR="00B66020" w:rsidRPr="00253980" w:rsidRDefault="00B66020" w:rsidP="00765C58">
      <w:pPr>
        <w:spacing w:line="360" w:lineRule="auto"/>
        <w:jc w:val="both"/>
        <w:rPr>
          <w:rFonts w:ascii="Times New Roman" w:hAnsi="Times New Roman" w:cs="Times New Roman"/>
          <w:sz w:val="24"/>
          <w:szCs w:val="24"/>
        </w:rPr>
      </w:pPr>
      <w:r w:rsidRPr="00253980">
        <w:rPr>
          <w:rFonts w:ascii="Times New Roman" w:hAnsi="Times New Roman" w:cs="Times New Roman"/>
          <w:b/>
          <w:sz w:val="24"/>
          <w:szCs w:val="24"/>
        </w:rPr>
        <w:t>pH</w:t>
      </w:r>
    </w:p>
    <w:p w14:paraId="064AA430" w14:textId="77777777" w:rsidR="00344ADE" w:rsidRPr="00253980" w:rsidRDefault="00D478D1"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Dissolved oxygen remained within a range compatible with aerobic metabolism, although the reported minima indicate that continued monitoring is important because oxygen concentrations can decline rapidly before sunrise or during periods of high microbial respiration. The relatively small treatment differences suggest that duckweed inclusion at the tested levels did not produce a clear deterioration in oxygen conditions. This interpretation should remain limited to the sampling schedule used, because single daytime measurements may not capture diel oxygen minima (Boyd et al., 2007; Colt, 2006; Hargreaves, 1998).</w:t>
      </w:r>
    </w:p>
    <w:p w14:paraId="78897E01" w14:textId="77777777" w:rsidR="00B66020" w:rsidRPr="00253980" w:rsidRDefault="00B66020"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All treatment groups maintained slightly alkaline water conditions, with pH values ranging from 7.9 to 8.5. The minimum value (7.9) was recorded in T2, whereas the maximum value (8.5) was recorded in C, T2, and T3 (Table 1). The highest mean pH (8.25) was recorded in C and T3, while the lowest mean pH (8.20) was recorded in T1 and T2. The observed pH range is generally compatible with freshwater aquaculture, although acceptable limits depend on the species, life stage, and interacting water-quality variables (Boyd et al., 2020; Colt, 2006).</w:t>
      </w:r>
    </w:p>
    <w:p w14:paraId="4DB3F1E3" w14:textId="77777777" w:rsidR="00344ADE" w:rsidRPr="00253980" w:rsidRDefault="00D478D1"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Total dissolved solids integrate the contribution of dissolved ions but do not identify their individual composition or biological effects. The treatment variation may reflect differences in source water, evaporation, sediment-water exchange, or nutrient inputs rather than a single causal factor. Accordingly, TDS should be interpreted together with conductivity, alkalinity, pH, and specific ion measurements before drawing conclusions about hardness or salinity-related effects on grass carp (</w:t>
      </w:r>
      <w:proofErr w:type="spellStart"/>
      <w:r w:rsidRPr="00253980">
        <w:rPr>
          <w:rFonts w:ascii="Times New Roman" w:hAnsi="Times New Roman" w:cs="Times New Roman"/>
          <w:sz w:val="24"/>
          <w:szCs w:val="24"/>
        </w:rPr>
        <w:t>Avnimelech</w:t>
      </w:r>
      <w:proofErr w:type="spellEnd"/>
      <w:r w:rsidRPr="00253980">
        <w:rPr>
          <w:rFonts w:ascii="Times New Roman" w:hAnsi="Times New Roman" w:cs="Times New Roman"/>
          <w:sz w:val="24"/>
          <w:szCs w:val="24"/>
        </w:rPr>
        <w:t xml:space="preserve"> &amp; </w:t>
      </w:r>
      <w:proofErr w:type="spellStart"/>
      <w:r w:rsidRPr="00253980">
        <w:rPr>
          <w:rFonts w:ascii="Times New Roman" w:hAnsi="Times New Roman" w:cs="Times New Roman"/>
          <w:sz w:val="24"/>
          <w:szCs w:val="24"/>
        </w:rPr>
        <w:t>Ritvo</w:t>
      </w:r>
      <w:proofErr w:type="spellEnd"/>
      <w:r w:rsidRPr="00253980">
        <w:rPr>
          <w:rFonts w:ascii="Times New Roman" w:hAnsi="Times New Roman" w:cs="Times New Roman"/>
          <w:sz w:val="24"/>
          <w:szCs w:val="24"/>
        </w:rPr>
        <w:t>, 2003; Boyd et al., 2007; Colt, 2006).</w:t>
      </w:r>
    </w:p>
    <w:p w14:paraId="0B535F52" w14:textId="77777777" w:rsidR="00B66020" w:rsidRPr="00253980" w:rsidRDefault="00B66020" w:rsidP="00765C58">
      <w:pPr>
        <w:spacing w:line="360" w:lineRule="auto"/>
        <w:jc w:val="both"/>
        <w:rPr>
          <w:rFonts w:ascii="Times New Roman" w:hAnsi="Times New Roman" w:cs="Times New Roman"/>
          <w:color w:val="000000" w:themeColor="text1"/>
          <w:sz w:val="24"/>
          <w:szCs w:val="24"/>
        </w:rPr>
      </w:pPr>
      <w:r w:rsidRPr="00253980">
        <w:rPr>
          <w:rFonts w:ascii="Times New Roman" w:hAnsi="Times New Roman" w:cs="Times New Roman"/>
          <w:b/>
          <w:color w:val="000000" w:themeColor="text1"/>
          <w:sz w:val="24"/>
          <w:szCs w:val="24"/>
        </w:rPr>
        <w:lastRenderedPageBreak/>
        <w:t xml:space="preserve">Alkalinity </w:t>
      </w:r>
    </w:p>
    <w:p w14:paraId="187C75B4" w14:textId="77777777" w:rsidR="00344ADE" w:rsidRPr="00253980" w:rsidRDefault="00D478D1"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The soil results indicate modest variation in pH and measured nutrient pools among treatments. Pond soils can act simultaneously as nutrient reservoirs and oxygen-demanding sinks, and their effects depend on mineralization, adsorption-desorption reactions, redox conditions, and exchange with the overlying water. Because the reported values were based on a limited sampling schedule, the findings support general comparability of pond soils but do not establish that the dietary treatments caused the observed differences (</w:t>
      </w:r>
      <w:proofErr w:type="spellStart"/>
      <w:r w:rsidRPr="00253980">
        <w:rPr>
          <w:rFonts w:ascii="Times New Roman" w:hAnsi="Times New Roman" w:cs="Times New Roman"/>
          <w:sz w:val="24"/>
          <w:szCs w:val="24"/>
        </w:rPr>
        <w:t>Avnimelech</w:t>
      </w:r>
      <w:proofErr w:type="spellEnd"/>
      <w:r w:rsidRPr="00253980">
        <w:rPr>
          <w:rFonts w:ascii="Times New Roman" w:hAnsi="Times New Roman" w:cs="Times New Roman"/>
          <w:sz w:val="24"/>
          <w:szCs w:val="24"/>
        </w:rPr>
        <w:t xml:space="preserve"> &amp; </w:t>
      </w:r>
      <w:proofErr w:type="spellStart"/>
      <w:r w:rsidRPr="00253980">
        <w:rPr>
          <w:rFonts w:ascii="Times New Roman" w:hAnsi="Times New Roman" w:cs="Times New Roman"/>
          <w:sz w:val="24"/>
          <w:szCs w:val="24"/>
        </w:rPr>
        <w:t>Ritvo</w:t>
      </w:r>
      <w:proofErr w:type="spellEnd"/>
      <w:r w:rsidRPr="00253980">
        <w:rPr>
          <w:rFonts w:ascii="Times New Roman" w:hAnsi="Times New Roman" w:cs="Times New Roman"/>
          <w:sz w:val="24"/>
          <w:szCs w:val="24"/>
        </w:rPr>
        <w:t>, 2003; Boyd et al., 2020; Hargreaves, 1998).</w:t>
      </w:r>
    </w:p>
    <w:p w14:paraId="79BC349B" w14:textId="77777777" w:rsidR="00B66020" w:rsidRPr="00253980" w:rsidRDefault="00B66020"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Total alkalinity in the trial water ranged from 110 to 200 mg/L. As shown in Table 1, both the lowest and highest individual values were recorded in T3. On average, C had the lowest alkalinity (140 mg/L), while T1 had the highest alkalinity (150 mg/L). The alkalinity values indicate appreciable buffering capacity, but treatment differences should not be interpreted as dietary effects without replicated statistical analysis (Avnimelech &amp; Ritvo, 2003; Boyd et al., 2020).</w:t>
      </w:r>
    </w:p>
    <w:p w14:paraId="443B23AE" w14:textId="77777777" w:rsidR="00B66020" w:rsidRPr="00253980" w:rsidRDefault="00B66020" w:rsidP="00765C58">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Dissolved oxygen</w:t>
      </w:r>
    </w:p>
    <w:p w14:paraId="2BD4B057" w14:textId="77777777" w:rsidR="00B66020" w:rsidRPr="00253980" w:rsidRDefault="00B66020"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During the study period, dissolved oxygen (DO) concentrations in all treatments and the control remained at or above 5.0 mg/L. As shown in Table 1 and Figure 1, variation in DO was limited. The highest mean concentration was recorded in T2 (6.5 mg/L), whereas the lowest mean concentration was recorded in T1 (5.5 mg/L). The overall maximum of 8.0 mg/L occurred in T2, while the minimum of 5.0 mg/L occurred in T1 and T2. Dissolved oxygen requirements vary with species, temperature, feeding rate, and time of day; therefore, the reported values should be interpreted alongside the sampling schedule (Boyd et al., 2020; Colt, 2006).</w:t>
      </w:r>
    </w:p>
    <w:p w14:paraId="197DC330" w14:textId="77777777" w:rsidR="00B66020" w:rsidRPr="00253980" w:rsidRDefault="00B66020" w:rsidP="00765C58">
      <w:pPr>
        <w:spacing w:line="360" w:lineRule="auto"/>
        <w:jc w:val="both"/>
        <w:rPr>
          <w:rFonts w:ascii="Times New Roman" w:hAnsi="Times New Roman" w:cs="Times New Roman"/>
          <w:b/>
          <w:sz w:val="24"/>
          <w:szCs w:val="24"/>
        </w:rPr>
      </w:pPr>
      <w:r w:rsidRPr="00253980">
        <w:rPr>
          <w:rFonts w:ascii="Times New Roman" w:hAnsi="Times New Roman" w:cs="Times New Roman"/>
          <w:b/>
          <w:sz w:val="24"/>
          <w:szCs w:val="24"/>
        </w:rPr>
        <w:t>Total Dissolved Solids</w:t>
      </w:r>
    </w:p>
    <w:p w14:paraId="08B5CA27" w14:textId="77777777" w:rsidR="004904A3" w:rsidRPr="00253980" w:rsidRDefault="00B66020"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Total dissolved solids concentrations ranged from 430 to 608 mg/L. According to Table 1, the highest mean concentration (579 mg/L) was recorded in T1, whereas the lowest mean concentration (475 mg/L) was recorded in C. These trends are also illustrated in Figure 1. TDS alone does not establish hardness or biological suitability and should be interpreted together with conductivity, alkalinity, and ionic composition (Boyd et al., 2007; Colt, 2006).</w:t>
      </w:r>
    </w:p>
    <w:p w14:paraId="4118F91C" w14:textId="77777777" w:rsidR="00CD44B6" w:rsidRPr="00253980" w:rsidRDefault="00CD44B6" w:rsidP="00765C58">
      <w:pPr>
        <w:tabs>
          <w:tab w:val="left" w:pos="360"/>
        </w:tabs>
        <w:spacing w:before="120" w:after="120" w:line="360" w:lineRule="auto"/>
        <w:jc w:val="both"/>
        <w:rPr>
          <w:rFonts w:ascii="Times New Roman" w:hAnsi="Times New Roman" w:cs="Times New Roman"/>
          <w:b/>
          <w:sz w:val="24"/>
          <w:szCs w:val="24"/>
        </w:rPr>
      </w:pPr>
      <w:r w:rsidRPr="00253980">
        <w:rPr>
          <w:rFonts w:ascii="Times New Roman" w:hAnsi="Times New Roman" w:cs="Times New Roman"/>
          <w:b/>
          <w:sz w:val="24"/>
          <w:szCs w:val="24"/>
        </w:rPr>
        <w:lastRenderedPageBreak/>
        <w:t xml:space="preserve">Soil Parameters </w:t>
      </w:r>
    </w:p>
    <w:p w14:paraId="761970D3" w14:textId="77777777" w:rsidR="00EC0944" w:rsidRPr="00253980" w:rsidRDefault="00CD44B6" w:rsidP="00765C58">
      <w:pPr>
        <w:spacing w:line="360" w:lineRule="auto"/>
        <w:jc w:val="both"/>
        <w:rPr>
          <w:rFonts w:ascii="Times New Roman" w:hAnsi="Times New Roman" w:cs="Times New Roman"/>
          <w:sz w:val="24"/>
          <w:szCs w:val="24"/>
        </w:rPr>
      </w:pPr>
      <w:r w:rsidRPr="00253980">
        <w:rPr>
          <w:rFonts w:ascii="Times New Roman" w:hAnsi="Times New Roman" w:cs="Times New Roman"/>
          <w:sz w:val="24"/>
          <w:szCs w:val="24"/>
        </w:rPr>
        <w:t>Soil parameters are important for optimum fish growth and plankton development in culture systems. In the present study, the measured soil parameters varied moderately among the experimental ponds. The maximum soil pH (8.1) was recorded in T3, and the minimum (7.4) was recorded in C. The maximum soil nitrogen concentration (75 mg/100 g) was recorded in T2, and the minimum (65 mg/100 g) was recorded in C. The maximum organic carbon content (1.0%) was recorded in C, and the minimum (0.85%) was recorded in T3. The maximum potassium concentration (7.40 mg/100 g) was recorded in T2, and the minimum (6.00 mg/100 g) was recorded in C. The maximum phosphorus concentration (4.80 mg/100 g) was recorded in C, and the minimum (4.40 mg/100 g) was recorded in T2. Soil parameters may influence grass carp culture through their relationships with pond productivity, nutrient cycling, and overall ecological stability. Although water quality often receives primary attention, pond soil acts as a nutrient reservoir that directly influences water quality (Avnimelech &amp; Ritvo, 2003; Boyd &amp; Munsiri, 1996; Hargreaves, 1998). Overall, the soil parameters were broadly similar among the treatment and control groups.</w:t>
      </w:r>
    </w:p>
    <w:p w14:paraId="490A3DB2" w14:textId="77777777" w:rsidR="00182638" w:rsidRPr="00253980" w:rsidRDefault="00CD44B6" w:rsidP="00765C58">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253980">
        <w:rPr>
          <w:rFonts w:ascii="Times New Roman" w:hAnsi="Times New Roman" w:cs="Times New Roman"/>
          <w:sz w:val="24"/>
          <w:szCs w:val="24"/>
        </w:rPr>
        <w:t xml:space="preserve">  </w:t>
      </w:r>
      <w:r w:rsidR="00182638" w:rsidRPr="00253980">
        <w:rPr>
          <w:rFonts w:ascii="Times New Roman" w:eastAsia="Times New Roman" w:hAnsi="Times New Roman" w:cs="Times New Roman"/>
          <w:b/>
          <w:bCs/>
          <w:sz w:val="24"/>
          <w:szCs w:val="24"/>
        </w:rPr>
        <w:t>Conclusions</w:t>
      </w:r>
    </w:p>
    <w:p w14:paraId="38AB7A7C" w14:textId="77777777" w:rsidR="00785458" w:rsidRDefault="00785458" w:rsidP="00765C58">
      <w:pPr>
        <w:spacing w:before="100" w:beforeAutospacing="1" w:after="100" w:afterAutospacing="1" w:line="360" w:lineRule="auto"/>
        <w:jc w:val="both"/>
        <w:outlineLvl w:val="1"/>
        <w:rPr>
          <w:rFonts w:ascii="Times New Roman" w:eastAsia="Times New Roman" w:hAnsi="Times New Roman" w:cs="Times New Roman"/>
          <w:sz w:val="24"/>
          <w:szCs w:val="24"/>
        </w:rPr>
      </w:pPr>
      <w:r w:rsidRPr="00785458">
        <w:rPr>
          <w:rFonts w:ascii="Times New Roman" w:eastAsia="Times New Roman" w:hAnsi="Times New Roman" w:cs="Times New Roman"/>
          <w:sz w:val="24"/>
          <w:szCs w:val="24"/>
        </w:rPr>
        <w:t xml:space="preserve">The 180-day trial showed that the measured pond-water variables remained within relatively narrow ranges across the control and duckweed treatments. Temperature varied from 24.7 to 25.7°C, pH from 7.9 to 8.5, alkalinity from 110 to 200 mg/L, dissolved oxygen from 5.0 to 8.0 mg/L, and total dissolved solids from 430 to 608 mg/L. Pond-soil pH and the measured nitrogen, organic carbon, potassium, and phosphorus values also differed moderately among groups. On the basis of these environmental measurements, dietary Lemna minor inclusion at 5%, 10%, and 20% was not associated with clear deterioration in the selected water-quality parameters. Nevertheless, the available evidence is insufficient to attribute the observed differences to the feeding treatments. The manuscript does not provide complete pond-level replication, variability estimates, statistical procedures, or fish growth, survival, feed-conversion, body-composition, and economic data. Consequently, the findings support only a cautious interpretation of environmental compatibility under the reported conditions. Replicated field trials with clearly </w:t>
      </w:r>
      <w:r w:rsidRPr="00785458">
        <w:rPr>
          <w:rFonts w:ascii="Times New Roman" w:eastAsia="Times New Roman" w:hAnsi="Times New Roman" w:cs="Times New Roman"/>
          <w:sz w:val="24"/>
          <w:szCs w:val="24"/>
        </w:rPr>
        <w:lastRenderedPageBreak/>
        <w:t>described sampling schedules and complete performance analyses are needed before this feeding strategy can be recommended for wider use.</w:t>
      </w:r>
    </w:p>
    <w:p w14:paraId="3C49A5A8" w14:textId="77777777" w:rsidR="00785458" w:rsidRDefault="00785458" w:rsidP="00765C58">
      <w:pPr>
        <w:spacing w:before="100" w:beforeAutospacing="1" w:after="100" w:afterAutospacing="1" w:line="360" w:lineRule="auto"/>
        <w:jc w:val="both"/>
        <w:outlineLvl w:val="1"/>
        <w:rPr>
          <w:rFonts w:ascii="Times New Roman" w:eastAsia="Times New Roman" w:hAnsi="Times New Roman" w:cs="Times New Roman"/>
          <w:sz w:val="24"/>
          <w:szCs w:val="24"/>
        </w:rPr>
      </w:pPr>
    </w:p>
    <w:p w14:paraId="42922C9A" w14:textId="2586B7E5" w:rsidR="00182638" w:rsidRPr="00253980" w:rsidRDefault="00182638" w:rsidP="00765C58">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253980">
        <w:rPr>
          <w:rFonts w:ascii="Times New Roman" w:eastAsia="Times New Roman" w:hAnsi="Times New Roman" w:cs="Times New Roman"/>
          <w:b/>
          <w:bCs/>
          <w:sz w:val="24"/>
          <w:szCs w:val="24"/>
        </w:rPr>
        <w:t>Limitations</w:t>
      </w:r>
    </w:p>
    <w:p w14:paraId="5110C565" w14:textId="29DA9333" w:rsidR="00182638" w:rsidRDefault="00A34EC7" w:rsidP="00765C58">
      <w:pPr>
        <w:spacing w:line="360" w:lineRule="auto"/>
        <w:jc w:val="both"/>
        <w:rPr>
          <w:rFonts w:ascii="Times New Roman" w:eastAsia="Times New Roman" w:hAnsi="Times New Roman" w:cs="Times New Roman"/>
          <w:sz w:val="24"/>
          <w:szCs w:val="24"/>
        </w:rPr>
      </w:pPr>
      <w:r w:rsidRPr="00A34EC7">
        <w:rPr>
          <w:rFonts w:ascii="Times New Roman" w:eastAsia="Times New Roman" w:hAnsi="Times New Roman" w:cs="Times New Roman"/>
          <w:sz w:val="24"/>
          <w:szCs w:val="24"/>
        </w:rPr>
        <w:t xml:space="preserve">The study was limited by unclear pond allocation and replication, with differences in the reported number of experimental ponds and study location. Monthly water-quality measurements may not have captured short-term or diel fluctuations, particularly in dissolved oxygen and </w:t>
      </w:r>
      <w:proofErr w:type="spellStart"/>
      <w:r w:rsidRPr="00A34EC7">
        <w:rPr>
          <w:rFonts w:ascii="Times New Roman" w:eastAsia="Times New Roman" w:hAnsi="Times New Roman" w:cs="Times New Roman"/>
          <w:sz w:val="24"/>
          <w:szCs w:val="24"/>
        </w:rPr>
        <w:t>pH.</w:t>
      </w:r>
      <w:proofErr w:type="spellEnd"/>
      <w:r w:rsidRPr="00A34EC7">
        <w:rPr>
          <w:rFonts w:ascii="Times New Roman" w:eastAsia="Times New Roman" w:hAnsi="Times New Roman" w:cs="Times New Roman"/>
          <w:sz w:val="24"/>
          <w:szCs w:val="24"/>
        </w:rPr>
        <w:t xml:space="preserve"> Soil parameters were assessed using field testing kits, and detailed validation, variability estimates, and statistical analyses were not reported. Fish growth, survival, feed conversion, body composition, and economic performance were also not presented. Future studies should use clearly replicated designs, </w:t>
      </w:r>
      <w:proofErr w:type="spellStart"/>
      <w:r w:rsidRPr="00A34EC7">
        <w:rPr>
          <w:rFonts w:ascii="Times New Roman" w:eastAsia="Times New Roman" w:hAnsi="Times New Roman" w:cs="Times New Roman"/>
          <w:sz w:val="24"/>
          <w:szCs w:val="24"/>
        </w:rPr>
        <w:t>standardised</w:t>
      </w:r>
      <w:proofErr w:type="spellEnd"/>
      <w:r w:rsidRPr="00A34EC7">
        <w:rPr>
          <w:rFonts w:ascii="Times New Roman" w:eastAsia="Times New Roman" w:hAnsi="Times New Roman" w:cs="Times New Roman"/>
          <w:sz w:val="24"/>
          <w:szCs w:val="24"/>
        </w:rPr>
        <w:t xml:space="preserve"> analytical methods, frequent sampling, and complete statistical and performance assessments to improve reliability and </w:t>
      </w:r>
      <w:proofErr w:type="spellStart"/>
      <w:r w:rsidRPr="00A34EC7">
        <w:rPr>
          <w:rFonts w:ascii="Times New Roman" w:eastAsia="Times New Roman" w:hAnsi="Times New Roman" w:cs="Times New Roman"/>
          <w:sz w:val="24"/>
          <w:szCs w:val="24"/>
        </w:rPr>
        <w:t>generalisability</w:t>
      </w:r>
      <w:proofErr w:type="spellEnd"/>
      <w:r w:rsidRPr="00A34EC7">
        <w:rPr>
          <w:rFonts w:ascii="Times New Roman" w:eastAsia="Times New Roman" w:hAnsi="Times New Roman" w:cs="Times New Roman"/>
          <w:sz w:val="24"/>
          <w:szCs w:val="24"/>
        </w:rPr>
        <w:t>.</w:t>
      </w:r>
    </w:p>
    <w:p w14:paraId="63F21DFE" w14:textId="77777777" w:rsidR="00A34EC7" w:rsidRDefault="00A34EC7" w:rsidP="00765C58">
      <w:pPr>
        <w:spacing w:line="360" w:lineRule="auto"/>
        <w:jc w:val="both"/>
        <w:rPr>
          <w:rFonts w:ascii="Times New Roman" w:eastAsia="Times New Roman" w:hAnsi="Times New Roman" w:cs="Times New Roman"/>
          <w:sz w:val="24"/>
          <w:szCs w:val="24"/>
        </w:rPr>
      </w:pPr>
    </w:p>
    <w:p w14:paraId="68719E53" w14:textId="77777777" w:rsidR="00A34EC7" w:rsidRPr="00253980" w:rsidRDefault="00A34EC7" w:rsidP="00765C58">
      <w:pPr>
        <w:spacing w:line="360" w:lineRule="auto"/>
        <w:jc w:val="both"/>
        <w:rPr>
          <w:rFonts w:ascii="Times New Roman" w:eastAsia="Calibri" w:hAnsi="Times New Roman" w:cs="Times New Roman"/>
          <w:sz w:val="24"/>
          <w:szCs w:val="24"/>
          <w:lang w:val="en-GB"/>
        </w:rPr>
      </w:pPr>
    </w:p>
    <w:p w14:paraId="0B719EEB" w14:textId="77777777" w:rsidR="00182638" w:rsidRPr="00253980" w:rsidRDefault="00182638" w:rsidP="00765C58">
      <w:pPr>
        <w:spacing w:after="0" w:line="360" w:lineRule="auto"/>
        <w:jc w:val="both"/>
        <w:rPr>
          <w:rFonts w:ascii="Times New Roman" w:eastAsia="Calibri" w:hAnsi="Times New Roman" w:cs="Times New Roman"/>
          <w:b/>
          <w:sz w:val="24"/>
          <w:szCs w:val="24"/>
        </w:rPr>
      </w:pPr>
      <w:r w:rsidRPr="00253980">
        <w:rPr>
          <w:rFonts w:ascii="Times New Roman" w:eastAsia="Calibri" w:hAnsi="Times New Roman" w:cs="Times New Roman"/>
          <w:b/>
          <w:sz w:val="24"/>
          <w:szCs w:val="24"/>
        </w:rPr>
        <w:t>Declaration of AI Use</w:t>
      </w:r>
    </w:p>
    <w:p w14:paraId="20EA4E14" w14:textId="77777777" w:rsidR="00182638" w:rsidRPr="00253980" w:rsidRDefault="00182638" w:rsidP="00765C58">
      <w:pPr>
        <w:spacing w:after="0" w:line="360" w:lineRule="auto"/>
        <w:jc w:val="both"/>
        <w:rPr>
          <w:rFonts w:ascii="Times New Roman" w:eastAsia="Calibri" w:hAnsi="Times New Roman" w:cs="Times New Roman"/>
          <w:sz w:val="24"/>
          <w:szCs w:val="24"/>
        </w:rPr>
      </w:pPr>
    </w:p>
    <w:p w14:paraId="57C20B4A" w14:textId="77777777" w:rsidR="00182638" w:rsidRPr="00253980" w:rsidRDefault="00182638" w:rsidP="00765C58">
      <w:pPr>
        <w:spacing w:after="0" w:line="360" w:lineRule="auto"/>
        <w:jc w:val="both"/>
        <w:rPr>
          <w:rFonts w:ascii="Times New Roman" w:eastAsia="Calibri" w:hAnsi="Times New Roman" w:cs="Times New Roman"/>
          <w:sz w:val="24"/>
          <w:szCs w:val="24"/>
        </w:rPr>
      </w:pPr>
      <w:r w:rsidRPr="00253980">
        <w:rPr>
          <w:rFonts w:ascii="Times New Roman" w:eastAsia="Calibri" w:hAnsi="Times New Roman" w:cs="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A37EE4C" w14:textId="77777777" w:rsidR="007A692F" w:rsidRPr="00253980" w:rsidRDefault="007A692F" w:rsidP="00765C58">
      <w:pPr>
        <w:spacing w:after="0" w:line="360" w:lineRule="auto"/>
        <w:jc w:val="both"/>
        <w:rPr>
          <w:rFonts w:ascii="Times New Roman" w:eastAsia="Calibri" w:hAnsi="Times New Roman" w:cs="Times New Roman"/>
          <w:sz w:val="24"/>
          <w:szCs w:val="24"/>
        </w:rPr>
      </w:pPr>
    </w:p>
    <w:p w14:paraId="5EBDC056" w14:textId="77777777" w:rsidR="007A692F" w:rsidRPr="00253980" w:rsidRDefault="007A692F" w:rsidP="00765C58">
      <w:pPr>
        <w:spacing w:line="360" w:lineRule="auto"/>
        <w:jc w:val="both"/>
        <w:rPr>
          <w:rFonts w:ascii="Times New Roman" w:eastAsiaTheme="minorEastAsia" w:hAnsi="Times New Roman" w:cs="Times New Roman"/>
          <w:b/>
          <w:bCs/>
          <w:sz w:val="24"/>
          <w:szCs w:val="24"/>
          <w:lang w:val="en-GB" w:eastAsia="en-GB"/>
        </w:rPr>
      </w:pPr>
      <w:r w:rsidRPr="00253980">
        <w:rPr>
          <w:rFonts w:ascii="Times New Roman" w:eastAsiaTheme="minorEastAsia" w:hAnsi="Times New Roman" w:cs="Times New Roman"/>
          <w:b/>
          <w:bCs/>
          <w:sz w:val="24"/>
          <w:szCs w:val="24"/>
          <w:lang w:val="en-GB" w:eastAsia="en-GB"/>
        </w:rPr>
        <w:t>COMPETING INTERESTS DISCLAIMER:</w:t>
      </w:r>
    </w:p>
    <w:p w14:paraId="30887E35" w14:textId="77777777" w:rsidR="00182638" w:rsidRPr="00253980" w:rsidRDefault="007A692F" w:rsidP="00765C58">
      <w:pPr>
        <w:spacing w:line="360" w:lineRule="auto"/>
        <w:jc w:val="both"/>
        <w:rPr>
          <w:rFonts w:ascii="Times New Roman" w:eastAsiaTheme="minorEastAsia" w:hAnsi="Times New Roman" w:cs="Times New Roman"/>
          <w:sz w:val="24"/>
          <w:szCs w:val="24"/>
          <w:lang w:val="en-GB" w:eastAsia="en-GB"/>
        </w:rPr>
      </w:pPr>
      <w:r w:rsidRPr="00253980">
        <w:rPr>
          <w:rFonts w:ascii="Times New Roman" w:eastAsiaTheme="minorEastAsia" w:hAnsi="Times New Roman" w:cs="Times New Roman"/>
          <w:sz w:val="24"/>
          <w:szCs w:val="24"/>
          <w:lang w:val="en-GB" w:eastAsia="en-GB"/>
        </w:rPr>
        <w:lastRenderedPageBreak/>
        <w:t>Authors have declared that they have no known competing financial interests OR non-financial interests OR personal relationships that could have appeared to influence the work reported in this paper.</w:t>
      </w:r>
    </w:p>
    <w:p w14:paraId="7F5E7E5B" w14:textId="77777777" w:rsidR="00BD1FDB" w:rsidRPr="00253980" w:rsidRDefault="00B5190A" w:rsidP="00B5190A">
      <w:pPr>
        <w:spacing w:line="360" w:lineRule="auto"/>
        <w:rPr>
          <w:rFonts w:ascii="Times New Roman" w:hAnsi="Times New Roman" w:cs="Times New Roman"/>
          <w:b/>
          <w:sz w:val="24"/>
          <w:szCs w:val="24"/>
        </w:rPr>
      </w:pPr>
      <w:r w:rsidRPr="00253980">
        <w:rPr>
          <w:rFonts w:ascii="Times New Roman" w:hAnsi="Times New Roman"/>
          <w:b/>
          <w:color w:val="000000"/>
          <w:sz w:val="24"/>
        </w:rPr>
        <w:t>References</w:t>
      </w:r>
    </w:p>
    <w:p w14:paraId="672277B8" w14:textId="77777777" w:rsidR="00AE7CF1" w:rsidRPr="00253980" w:rsidRDefault="00000000">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b/>
          <w:sz w:val="24"/>
        </w:rPr>
        <w:t>Achoki, J. K., Kaingu, C. K., Oduma, J. A., Orina, P. S., Ondiba, R. N., Nyabwanga, R. N., &amp; Getabu, A. M. (2024). Does duckweed (</w:t>
      </w:r>
      <w:r w:rsidRPr="00253980">
        <w:rPr>
          <w:rFonts w:ascii="Times New Roman" w:hAnsi="Times New Roman"/>
          <w:b/>
          <w:i/>
          <w:sz w:val="24"/>
        </w:rPr>
        <w:t>Lemna minor</w:t>
      </w:r>
      <w:r w:rsidRPr="00253980">
        <w:rPr>
          <w:rFonts w:ascii="Times New Roman" w:hAnsi="Times New Roman"/>
          <w:b/>
          <w:sz w:val="24"/>
        </w:rPr>
        <w:t>) feed inclusion play a role on growth, feed conversion ratio and reproductive performance (fertilization, hatchability and survivability rates) in omnivorous fish? Evidence in Nile tilapia (</w:t>
      </w:r>
      <w:r w:rsidRPr="00253980">
        <w:rPr>
          <w:rFonts w:ascii="Times New Roman" w:hAnsi="Times New Roman"/>
          <w:b/>
          <w:i/>
          <w:sz w:val="24"/>
        </w:rPr>
        <w:t>Oreochromis niloticus</w:t>
      </w:r>
      <w:r w:rsidRPr="00253980">
        <w:rPr>
          <w:rFonts w:ascii="Times New Roman" w:hAnsi="Times New Roman"/>
          <w:b/>
          <w:sz w:val="24"/>
        </w:rPr>
        <w:t xml:space="preserve">-Linnaeus, 1758). </w:t>
      </w:r>
      <w:r w:rsidRPr="00253980">
        <w:rPr>
          <w:rFonts w:ascii="Times New Roman" w:hAnsi="Times New Roman"/>
          <w:b/>
          <w:i/>
          <w:sz w:val="24"/>
        </w:rPr>
        <w:t>Aquaculture, Fish and Fisheries, 4</w:t>
      </w:r>
      <w:r w:rsidRPr="00253980">
        <w:rPr>
          <w:rFonts w:ascii="Times New Roman" w:hAnsi="Times New Roman"/>
          <w:b/>
          <w:sz w:val="24"/>
        </w:rPr>
        <w:t xml:space="preserve">(4), e70000. </w:t>
      </w:r>
      <w:hyperlink r:id="rId7">
        <w:r w:rsidRPr="00253980">
          <w:rPr>
            <w:rFonts w:ascii="Times New Roman" w:hAnsi="Times New Roman"/>
            <w:b/>
            <w:color w:val="000000"/>
            <w:sz w:val="24"/>
            <w:szCs w:val="24"/>
          </w:rPr>
          <w:t>https://doi.org/10.1002/aff2.70000</w:t>
        </w:r>
      </w:hyperlink>
    </w:p>
    <w:p w14:paraId="3057C80E" w14:textId="77777777" w:rsidR="00BD1FDB" w:rsidRPr="00253980" w:rsidRDefault="00BD1FDB" w:rsidP="00BD1FDB">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color w:val="000000"/>
          <w:sz w:val="24"/>
        </w:rPr>
        <w:t xml:space="preserve">American Public Health Association, American Water Works Association, &amp; Water Environment Federation. (2005). </w:t>
      </w:r>
      <w:r w:rsidRPr="00253980">
        <w:rPr>
          <w:rFonts w:ascii="Times New Roman" w:hAnsi="Times New Roman"/>
          <w:i/>
          <w:color w:val="000000"/>
          <w:sz w:val="24"/>
        </w:rPr>
        <w:t>Standard methods for the examination of water and wastewater</w:t>
      </w:r>
      <w:r w:rsidRPr="00253980">
        <w:rPr>
          <w:rFonts w:ascii="Times New Roman" w:hAnsi="Times New Roman"/>
          <w:color w:val="000000"/>
          <w:sz w:val="24"/>
        </w:rPr>
        <w:t xml:space="preserve"> (21st ed.). American Public Health Association. </w:t>
      </w:r>
      <w:hyperlink r:id="rId8">
        <w:r w:rsidRPr="00253980">
          <w:rPr>
            <w:rFonts w:ascii="Times New Roman" w:hAnsi="Times New Roman"/>
            <w:color w:val="000000"/>
            <w:sz w:val="24"/>
          </w:rPr>
          <w:t>https://search.worldcat.org/title/156744115</w:t>
        </w:r>
      </w:hyperlink>
    </w:p>
    <w:p w14:paraId="32A27E61" w14:textId="77777777" w:rsidR="00B5190A" w:rsidRPr="00253980" w:rsidRDefault="00BD1FDB" w:rsidP="00B5190A">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color w:val="000000"/>
          <w:sz w:val="24"/>
        </w:rPr>
        <w:t xml:space="preserve">Avnimelech, Y., &amp; Ritvo, G. (2003). Shrimp and fish pond soils: Processes and management. </w:t>
      </w:r>
      <w:r w:rsidRPr="00253980">
        <w:rPr>
          <w:rFonts w:ascii="Times New Roman" w:hAnsi="Times New Roman"/>
          <w:i/>
          <w:color w:val="000000"/>
          <w:sz w:val="24"/>
        </w:rPr>
        <w:t>Aquaculture, 220</w:t>
      </w:r>
      <w:r w:rsidRPr="00253980">
        <w:rPr>
          <w:rFonts w:ascii="Times New Roman" w:hAnsi="Times New Roman"/>
          <w:color w:val="000000"/>
          <w:sz w:val="24"/>
        </w:rPr>
        <w:t xml:space="preserve">(1-4), 549-567. </w:t>
      </w:r>
      <w:hyperlink r:id="rId9">
        <w:r w:rsidRPr="00253980">
          <w:rPr>
            <w:rFonts w:ascii="Times New Roman" w:hAnsi="Times New Roman"/>
            <w:color w:val="000000"/>
            <w:sz w:val="24"/>
          </w:rPr>
          <w:t>https://doi.org/10.1016/S0044-8486(02)00641-5</w:t>
        </w:r>
      </w:hyperlink>
    </w:p>
    <w:p w14:paraId="1ED7190C" w14:textId="77777777" w:rsidR="00B5190A" w:rsidRPr="00253980" w:rsidRDefault="00BD1FDB" w:rsidP="00B5190A">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color w:val="000000"/>
          <w:sz w:val="24"/>
        </w:rPr>
        <w:t xml:space="preserve">Boyd, C. E., D'Abramo, L. R., Glencross, B. D., Huyben, D. C., Juarez, L. M., Lockwood, G. S., McNevin, A. A., Tacon, A. G. J., Teletchea, F., Tomasso, J. R., Jr., Tucker, C. S., &amp; Valenti, W. C. (2020). Achieving sustainable aquaculture: Historical and current perspectives and future needs and challenges. </w:t>
      </w:r>
      <w:r w:rsidRPr="00253980">
        <w:rPr>
          <w:rFonts w:ascii="Times New Roman" w:hAnsi="Times New Roman"/>
          <w:i/>
          <w:color w:val="000000"/>
          <w:sz w:val="24"/>
        </w:rPr>
        <w:t>Journal of the World Aquaculture Society, 51</w:t>
      </w:r>
      <w:r w:rsidRPr="00253980">
        <w:rPr>
          <w:rFonts w:ascii="Times New Roman" w:hAnsi="Times New Roman"/>
          <w:color w:val="000000"/>
          <w:sz w:val="24"/>
        </w:rPr>
        <w:t xml:space="preserve">(3), 578-633. </w:t>
      </w:r>
      <w:hyperlink r:id="rId10">
        <w:r w:rsidRPr="00253980">
          <w:rPr>
            <w:rFonts w:ascii="Times New Roman" w:hAnsi="Times New Roman"/>
            <w:color w:val="000000"/>
            <w:sz w:val="24"/>
          </w:rPr>
          <w:t>https://doi.org/10.1111/jwas.12714</w:t>
        </w:r>
      </w:hyperlink>
    </w:p>
    <w:p w14:paraId="3CE8919D" w14:textId="77777777" w:rsidR="00BD1FDB" w:rsidRPr="00253980" w:rsidRDefault="00BD1FDB" w:rsidP="00B5190A">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color w:val="000000"/>
          <w:sz w:val="24"/>
        </w:rPr>
        <w:t xml:space="preserve">Boyd, C. E., &amp; Munsiri, P. (1996). Phosphorus adsorption capacity and availability of added phosphorus in soils from aquaculture areas in Thailand. </w:t>
      </w:r>
      <w:r w:rsidRPr="00253980">
        <w:rPr>
          <w:rFonts w:ascii="Times New Roman" w:hAnsi="Times New Roman"/>
          <w:i/>
          <w:color w:val="000000"/>
          <w:sz w:val="24"/>
        </w:rPr>
        <w:t>Journal of the World Aquaculture Society, 27</w:t>
      </w:r>
      <w:r w:rsidRPr="00253980">
        <w:rPr>
          <w:rFonts w:ascii="Times New Roman" w:hAnsi="Times New Roman"/>
          <w:color w:val="000000"/>
          <w:sz w:val="24"/>
        </w:rPr>
        <w:t xml:space="preserve">(2), 160-167. </w:t>
      </w:r>
      <w:hyperlink r:id="rId11">
        <w:r w:rsidRPr="00253980">
          <w:rPr>
            <w:rFonts w:ascii="Times New Roman" w:hAnsi="Times New Roman"/>
            <w:color w:val="000000"/>
            <w:sz w:val="24"/>
          </w:rPr>
          <w:t>https://doi.org/10.1111/j.1749-7345.1996.tb00265.x</w:t>
        </w:r>
      </w:hyperlink>
    </w:p>
    <w:p w14:paraId="41270CFA" w14:textId="77777777" w:rsidR="00BD1FDB" w:rsidRPr="00253980" w:rsidRDefault="00BD1FDB" w:rsidP="00BD1FDB">
      <w:pPr>
        <w:spacing w:after="0" w:line="240" w:lineRule="auto"/>
        <w:ind w:left="432" w:hanging="432"/>
        <w:rPr>
          <w:rFonts w:ascii="Times New Roman" w:hAnsi="Times New Roman" w:cs="Times New Roman"/>
          <w:color w:val="000000" w:themeColor="text1"/>
          <w:sz w:val="24"/>
          <w:szCs w:val="24"/>
          <w:shd w:val="clear" w:color="auto" w:fill="FFFFFF"/>
        </w:rPr>
      </w:pPr>
      <w:r w:rsidRPr="00253980">
        <w:rPr>
          <w:rFonts w:ascii="Times New Roman" w:hAnsi="Times New Roman"/>
          <w:color w:val="000000"/>
          <w:sz w:val="24"/>
        </w:rPr>
        <w:t xml:space="preserve">Boyd, C. E., Tucker, C., McNevin, A., Bostick, K., &amp; Clay, J. (2007). Indicators of resource use efficiency and environmental performance in fish and crustacean aquaculture. </w:t>
      </w:r>
      <w:r w:rsidRPr="00253980">
        <w:rPr>
          <w:rFonts w:ascii="Times New Roman" w:hAnsi="Times New Roman"/>
          <w:i/>
          <w:color w:val="000000"/>
          <w:sz w:val="24"/>
        </w:rPr>
        <w:t>Reviews in Fisheries Science, 15</w:t>
      </w:r>
      <w:r w:rsidRPr="00253980">
        <w:rPr>
          <w:rFonts w:ascii="Times New Roman" w:hAnsi="Times New Roman"/>
          <w:color w:val="000000"/>
          <w:sz w:val="24"/>
        </w:rPr>
        <w:t xml:space="preserve">(4), 327-360. </w:t>
      </w:r>
      <w:hyperlink r:id="rId12">
        <w:r w:rsidRPr="00253980">
          <w:rPr>
            <w:rFonts w:ascii="Times New Roman" w:hAnsi="Times New Roman"/>
            <w:color w:val="000000"/>
            <w:sz w:val="24"/>
          </w:rPr>
          <w:t>https://doi.org/10.1080/10641260701624177</w:t>
        </w:r>
      </w:hyperlink>
    </w:p>
    <w:p w14:paraId="12299D9A" w14:textId="77777777" w:rsidR="00B5190A" w:rsidRPr="00253980" w:rsidRDefault="00BD1FDB" w:rsidP="00B5190A">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color w:val="000000"/>
          <w:sz w:val="24"/>
        </w:rPr>
        <w:t xml:space="preserve">Coche, A. G. (1986). </w:t>
      </w:r>
      <w:r w:rsidRPr="00253980">
        <w:rPr>
          <w:rFonts w:ascii="Times New Roman" w:hAnsi="Times New Roman"/>
          <w:i/>
          <w:color w:val="000000"/>
          <w:sz w:val="24"/>
        </w:rPr>
        <w:t>Soil and freshwater fish culture</w:t>
      </w:r>
      <w:r w:rsidRPr="00253980">
        <w:rPr>
          <w:rFonts w:ascii="Times New Roman" w:hAnsi="Times New Roman"/>
          <w:color w:val="000000"/>
          <w:sz w:val="24"/>
        </w:rPr>
        <w:t xml:space="preserve"> (FAO Training Series No. 6). Food and Agriculture Organization of the United Nations. </w:t>
      </w:r>
      <w:hyperlink r:id="rId13">
        <w:r w:rsidRPr="00253980">
          <w:rPr>
            <w:rFonts w:ascii="Times New Roman" w:hAnsi="Times New Roman"/>
            <w:color w:val="000000"/>
            <w:sz w:val="24"/>
          </w:rPr>
          <w:t>https://www.fao.org/fishery/docs/CDrom/FAO_Training/FAO_Training/General/x6706e/x6706e00.htm</w:t>
        </w:r>
      </w:hyperlink>
    </w:p>
    <w:p w14:paraId="618FDB0F" w14:textId="77777777" w:rsidR="00B5190A" w:rsidRPr="00253980" w:rsidRDefault="00BD1FDB" w:rsidP="00B5190A">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color w:val="000000"/>
          <w:sz w:val="24"/>
        </w:rPr>
        <w:t xml:space="preserve">Coche, A. G., Muir, J. F., &amp; Laughlin, T. (1996). </w:t>
      </w:r>
      <w:r w:rsidRPr="00253980">
        <w:rPr>
          <w:rFonts w:ascii="Times New Roman" w:hAnsi="Times New Roman"/>
          <w:i/>
          <w:color w:val="000000"/>
          <w:sz w:val="24"/>
        </w:rPr>
        <w:t>Management for freshwater fish culture: Ponds and water practices</w:t>
      </w:r>
      <w:r w:rsidRPr="00253980">
        <w:rPr>
          <w:rFonts w:ascii="Times New Roman" w:hAnsi="Times New Roman"/>
          <w:color w:val="000000"/>
          <w:sz w:val="24"/>
        </w:rPr>
        <w:t xml:space="preserve"> (FAO Training Series No. 21/1). Food and Agriculture Organization of the United Nations. </w:t>
      </w:r>
      <w:hyperlink r:id="rId14">
        <w:r w:rsidRPr="00253980">
          <w:rPr>
            <w:rFonts w:ascii="Times New Roman" w:hAnsi="Times New Roman"/>
            <w:color w:val="000000"/>
            <w:sz w:val="24"/>
          </w:rPr>
          <w:t>https://agris.fao.org/search/en/providers/122535/records/65ddfb5eb766d82b18fb9a2e</w:t>
        </w:r>
      </w:hyperlink>
    </w:p>
    <w:p w14:paraId="66D3BE8A" w14:textId="77777777" w:rsidR="00BD1FDB" w:rsidRPr="00253980" w:rsidRDefault="00BD1FDB" w:rsidP="00B5190A">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color w:val="000000"/>
          <w:sz w:val="24"/>
        </w:rPr>
        <w:t xml:space="preserve">Colt, J. (2006). Water quality requirements for reuse systems. </w:t>
      </w:r>
      <w:r w:rsidRPr="00253980">
        <w:rPr>
          <w:rFonts w:ascii="Times New Roman" w:hAnsi="Times New Roman"/>
          <w:i/>
          <w:color w:val="000000"/>
          <w:sz w:val="24"/>
        </w:rPr>
        <w:t>Aquacultural Engineering, 34</w:t>
      </w:r>
      <w:r w:rsidRPr="00253980">
        <w:rPr>
          <w:rFonts w:ascii="Times New Roman" w:hAnsi="Times New Roman"/>
          <w:color w:val="000000"/>
          <w:sz w:val="24"/>
        </w:rPr>
        <w:t xml:space="preserve">(3), 143-156. </w:t>
      </w:r>
      <w:hyperlink r:id="rId15">
        <w:r w:rsidRPr="00253980">
          <w:rPr>
            <w:rFonts w:ascii="Times New Roman" w:hAnsi="Times New Roman"/>
            <w:color w:val="000000"/>
            <w:sz w:val="24"/>
          </w:rPr>
          <w:t>https://doi.org/10.1016/j.aquaeng.2005.08.011</w:t>
        </w:r>
      </w:hyperlink>
    </w:p>
    <w:p w14:paraId="6441AA25" w14:textId="77777777" w:rsidR="00AE7CF1" w:rsidRPr="00253980" w:rsidRDefault="00000000">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b/>
          <w:sz w:val="24"/>
        </w:rPr>
        <w:t>Ed-Idoko, J. O., Apochi, J. O., Onah, M. O., &amp; Ibrahim, U. O. (2024). Culturing of duckweed (</w:t>
      </w:r>
      <w:r w:rsidRPr="00253980">
        <w:rPr>
          <w:rFonts w:ascii="Times New Roman" w:hAnsi="Times New Roman"/>
          <w:b/>
          <w:i/>
          <w:sz w:val="24"/>
        </w:rPr>
        <w:t>Lemna minor</w:t>
      </w:r>
      <w:r w:rsidRPr="00253980">
        <w:rPr>
          <w:rFonts w:ascii="Times New Roman" w:hAnsi="Times New Roman"/>
          <w:b/>
          <w:sz w:val="24"/>
        </w:rPr>
        <w:t xml:space="preserve">) under different chicken manure concentration in the lab. </w:t>
      </w:r>
      <w:r w:rsidRPr="00253980">
        <w:rPr>
          <w:rFonts w:ascii="Times New Roman" w:hAnsi="Times New Roman"/>
          <w:b/>
          <w:i/>
          <w:sz w:val="24"/>
        </w:rPr>
        <w:t>Asian Journal of Fisheries and Aquatic Research, 26</w:t>
      </w:r>
      <w:r w:rsidRPr="00253980">
        <w:rPr>
          <w:rFonts w:ascii="Times New Roman" w:hAnsi="Times New Roman"/>
          <w:b/>
          <w:sz w:val="24"/>
        </w:rPr>
        <w:t xml:space="preserve">(11), 129-137. </w:t>
      </w:r>
      <w:hyperlink r:id="rId16">
        <w:r w:rsidRPr="00253980">
          <w:rPr>
            <w:rFonts w:ascii="Times New Roman" w:hAnsi="Times New Roman"/>
            <w:b/>
            <w:color w:val="000000"/>
            <w:sz w:val="24"/>
            <w:szCs w:val="24"/>
          </w:rPr>
          <w:t>https://doi.org/10.9734/ajfar/2024/v26i11836</w:t>
        </w:r>
      </w:hyperlink>
    </w:p>
    <w:p w14:paraId="46292A81" w14:textId="77777777" w:rsidR="00BD1FDB" w:rsidRPr="00253980" w:rsidRDefault="00BD1FDB" w:rsidP="00D478D1">
      <w:pPr>
        <w:spacing w:after="0" w:line="240" w:lineRule="auto"/>
        <w:ind w:left="432" w:hanging="432"/>
        <w:rPr>
          <w:rFonts w:ascii="Times New Roman" w:hAnsi="Times New Roman" w:cs="Times New Roman"/>
          <w:color w:val="000000" w:themeColor="text1"/>
          <w:sz w:val="24"/>
          <w:szCs w:val="24"/>
          <w:shd w:val="clear" w:color="auto" w:fill="FFFFFF"/>
        </w:rPr>
      </w:pPr>
      <w:r w:rsidRPr="00253980">
        <w:rPr>
          <w:rFonts w:ascii="Times New Roman" w:hAnsi="Times New Roman"/>
          <w:color w:val="000000"/>
          <w:sz w:val="24"/>
        </w:rPr>
        <w:lastRenderedPageBreak/>
        <w:t xml:space="preserve">Food and Agriculture Organization of the United Nations. (n.d.). </w:t>
      </w:r>
      <w:r w:rsidRPr="00253980">
        <w:rPr>
          <w:rFonts w:ascii="Times New Roman" w:hAnsi="Times New Roman"/>
          <w:i/>
          <w:color w:val="000000"/>
          <w:sz w:val="24"/>
        </w:rPr>
        <w:t>Standard operating procedures</w:t>
      </w:r>
      <w:r w:rsidRPr="00253980">
        <w:rPr>
          <w:rFonts w:ascii="Times New Roman" w:hAnsi="Times New Roman"/>
          <w:color w:val="000000"/>
          <w:sz w:val="24"/>
        </w:rPr>
        <w:t xml:space="preserve">. Global Soil Partnership, Global Soil Laboratory Network. </w:t>
      </w:r>
      <w:hyperlink r:id="rId17">
        <w:r w:rsidRPr="00253980">
          <w:rPr>
            <w:rFonts w:ascii="Times New Roman" w:hAnsi="Times New Roman"/>
            <w:color w:val="000000"/>
            <w:sz w:val="24"/>
          </w:rPr>
          <w:t>https://www.fao.org/global-soil-partnership/glosolan-old/repository/standard-operating-procedures/en/</w:t>
        </w:r>
      </w:hyperlink>
    </w:p>
    <w:p w14:paraId="34506145" w14:textId="77777777" w:rsidR="00B5190A" w:rsidRPr="00253980" w:rsidRDefault="00BD1FDB" w:rsidP="00B5190A">
      <w:pPr>
        <w:spacing w:after="0" w:line="240" w:lineRule="auto"/>
        <w:ind w:left="432" w:hanging="432"/>
        <w:rPr>
          <w:rFonts w:ascii="Times New Roman" w:hAnsi="Times New Roman" w:cs="Times New Roman"/>
          <w:color w:val="000000" w:themeColor="text1"/>
          <w:sz w:val="24"/>
          <w:szCs w:val="24"/>
          <w:shd w:val="clear" w:color="auto" w:fill="FFFFFF"/>
        </w:rPr>
      </w:pPr>
      <w:r w:rsidRPr="00253980">
        <w:rPr>
          <w:rFonts w:ascii="Times New Roman" w:hAnsi="Times New Roman"/>
          <w:color w:val="000000"/>
          <w:sz w:val="24"/>
        </w:rPr>
        <w:t xml:space="preserve">Hargreaves, J. A. (1998). Nitrogen biogeochemistry of aquaculture ponds. </w:t>
      </w:r>
      <w:r w:rsidRPr="00253980">
        <w:rPr>
          <w:rFonts w:ascii="Times New Roman" w:hAnsi="Times New Roman"/>
          <w:i/>
          <w:color w:val="000000"/>
          <w:sz w:val="24"/>
        </w:rPr>
        <w:t>Aquaculture, 166</w:t>
      </w:r>
      <w:r w:rsidRPr="00253980">
        <w:rPr>
          <w:rFonts w:ascii="Times New Roman" w:hAnsi="Times New Roman"/>
          <w:color w:val="000000"/>
          <w:sz w:val="24"/>
        </w:rPr>
        <w:t xml:space="preserve">(3-4), 181-212. </w:t>
      </w:r>
      <w:hyperlink r:id="rId18">
        <w:r w:rsidRPr="00253980">
          <w:rPr>
            <w:rFonts w:ascii="Times New Roman" w:hAnsi="Times New Roman"/>
            <w:color w:val="000000"/>
            <w:sz w:val="24"/>
          </w:rPr>
          <w:t>https://doi.org/10.1016/S0044-8486(98)00298-1</w:t>
        </w:r>
      </w:hyperlink>
    </w:p>
    <w:p w14:paraId="0AB055B5" w14:textId="77777777" w:rsidR="00AE7CF1" w:rsidRPr="00253980" w:rsidRDefault="00000000">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b/>
          <w:sz w:val="24"/>
        </w:rPr>
        <w:t xml:space="preserve">Kumar, S., Das, R., Kher, D., &amp; Saxena, S. (2025). Evaluation of </w:t>
      </w:r>
      <w:r w:rsidRPr="00253980">
        <w:rPr>
          <w:rFonts w:ascii="Times New Roman" w:hAnsi="Times New Roman"/>
          <w:b/>
          <w:i/>
          <w:sz w:val="24"/>
        </w:rPr>
        <w:t>Azolla pinnata</w:t>
      </w:r>
      <w:r w:rsidRPr="00253980">
        <w:rPr>
          <w:rFonts w:ascii="Times New Roman" w:hAnsi="Times New Roman"/>
          <w:b/>
          <w:sz w:val="24"/>
        </w:rPr>
        <w:t xml:space="preserve"> as a feed supplement on growth, survival and economic effect on </w:t>
      </w:r>
      <w:r w:rsidRPr="00253980">
        <w:rPr>
          <w:rFonts w:ascii="Times New Roman" w:hAnsi="Times New Roman"/>
          <w:b/>
          <w:i/>
          <w:sz w:val="24"/>
        </w:rPr>
        <w:t>Labeo catla</w:t>
      </w:r>
      <w:r w:rsidRPr="00253980">
        <w:rPr>
          <w:rFonts w:ascii="Times New Roman" w:hAnsi="Times New Roman"/>
          <w:b/>
          <w:sz w:val="24"/>
        </w:rPr>
        <w:t xml:space="preserve">. </w:t>
      </w:r>
      <w:r w:rsidRPr="00253980">
        <w:rPr>
          <w:rFonts w:ascii="Times New Roman" w:hAnsi="Times New Roman"/>
          <w:b/>
          <w:i/>
          <w:sz w:val="24"/>
        </w:rPr>
        <w:t>Asian Journal of Current Research, 10</w:t>
      </w:r>
      <w:r w:rsidRPr="00253980">
        <w:rPr>
          <w:rFonts w:ascii="Times New Roman" w:hAnsi="Times New Roman"/>
          <w:b/>
          <w:sz w:val="24"/>
        </w:rPr>
        <w:t xml:space="preserve">(4), 194-200. </w:t>
      </w:r>
      <w:hyperlink r:id="rId19">
        <w:r w:rsidRPr="00253980">
          <w:rPr>
            <w:rFonts w:ascii="Times New Roman" w:hAnsi="Times New Roman"/>
            <w:b/>
            <w:color w:val="000000"/>
            <w:sz w:val="24"/>
            <w:szCs w:val="24"/>
          </w:rPr>
          <w:t>https://doi.org/10.56557/ajocr/2025/v10i49821</w:t>
        </w:r>
      </w:hyperlink>
    </w:p>
    <w:p w14:paraId="29D4B8BA" w14:textId="77777777" w:rsidR="00BD1FDB" w:rsidRPr="00253980" w:rsidRDefault="00BD1FDB" w:rsidP="00B5190A">
      <w:pPr>
        <w:spacing w:after="0" w:line="240" w:lineRule="auto"/>
        <w:ind w:left="432" w:hanging="432"/>
        <w:rPr>
          <w:rFonts w:ascii="Times New Roman" w:hAnsi="Times New Roman" w:cs="Times New Roman"/>
          <w:color w:val="000000" w:themeColor="text1"/>
          <w:sz w:val="24"/>
          <w:szCs w:val="24"/>
          <w:shd w:val="clear" w:color="auto" w:fill="FFFFFF"/>
        </w:rPr>
      </w:pPr>
      <w:r w:rsidRPr="00253980">
        <w:rPr>
          <w:rFonts w:ascii="Times New Roman" w:hAnsi="Times New Roman"/>
          <w:color w:val="000000"/>
          <w:sz w:val="24"/>
        </w:rPr>
        <w:t xml:space="preserve">Minich, J. J., &amp; Michael, T. P. (2024). A review of using duckweed (Lemnaceae) in fish feeds. </w:t>
      </w:r>
      <w:r w:rsidRPr="00253980">
        <w:rPr>
          <w:rFonts w:ascii="Times New Roman" w:hAnsi="Times New Roman"/>
          <w:i/>
          <w:color w:val="000000"/>
          <w:sz w:val="24"/>
        </w:rPr>
        <w:t>Reviews in Aquaculture, 16</w:t>
      </w:r>
      <w:r w:rsidRPr="00253980">
        <w:rPr>
          <w:rFonts w:ascii="Times New Roman" w:hAnsi="Times New Roman"/>
          <w:color w:val="000000"/>
          <w:sz w:val="24"/>
        </w:rPr>
        <w:t xml:space="preserve">(3), 1212-1228. </w:t>
      </w:r>
      <w:hyperlink r:id="rId20">
        <w:r w:rsidRPr="00253980">
          <w:rPr>
            <w:rFonts w:ascii="Times New Roman" w:hAnsi="Times New Roman"/>
            <w:color w:val="000000"/>
            <w:sz w:val="24"/>
          </w:rPr>
          <w:t>https://doi.org/10.1111/raq.12892</w:t>
        </w:r>
      </w:hyperlink>
    </w:p>
    <w:p w14:paraId="60BF8558" w14:textId="77777777" w:rsidR="00AE7CF1" w:rsidRPr="00253980" w:rsidRDefault="00000000">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b/>
          <w:sz w:val="24"/>
        </w:rPr>
        <w:t xml:space="preserve">Song, Y., Hu, Z., Yang, X., An, Y., &amp; Lu, Y. (2026). Duckweed as a sustainable aquafeed: Effects on growth, muscle composition, antioxidant and immune markers in grass carp. </w:t>
      </w:r>
      <w:r w:rsidRPr="00253980">
        <w:rPr>
          <w:rFonts w:ascii="Times New Roman" w:hAnsi="Times New Roman"/>
          <w:b/>
          <w:i/>
          <w:sz w:val="24"/>
        </w:rPr>
        <w:t>Animals, 16</w:t>
      </w:r>
      <w:r w:rsidRPr="00253980">
        <w:rPr>
          <w:rFonts w:ascii="Times New Roman" w:hAnsi="Times New Roman"/>
          <w:b/>
          <w:sz w:val="24"/>
        </w:rPr>
        <w:t xml:space="preserve">(1), 53. </w:t>
      </w:r>
      <w:hyperlink r:id="rId21">
        <w:r w:rsidRPr="00253980">
          <w:rPr>
            <w:rFonts w:ascii="Times New Roman" w:hAnsi="Times New Roman"/>
            <w:b/>
            <w:color w:val="000000"/>
            <w:sz w:val="24"/>
            <w:szCs w:val="24"/>
          </w:rPr>
          <w:t>https://doi.org/10.3390/ani16010053</w:t>
        </w:r>
      </w:hyperlink>
    </w:p>
    <w:p w14:paraId="2E6B6FA4" w14:textId="77777777" w:rsidR="00AE7CF1" w:rsidRPr="00253980" w:rsidRDefault="00000000">
      <w:pPr>
        <w:spacing w:after="0" w:line="240" w:lineRule="auto"/>
        <w:ind w:left="432" w:hanging="432"/>
        <w:rPr>
          <w:rFonts w:ascii="Times New Roman" w:hAnsi="Times New Roman" w:cs="Times New Roman"/>
          <w:color w:val="000000" w:themeColor="text1"/>
          <w:sz w:val="24"/>
          <w:szCs w:val="24"/>
        </w:rPr>
      </w:pPr>
      <w:r w:rsidRPr="00253980">
        <w:rPr>
          <w:rFonts w:ascii="Times New Roman" w:hAnsi="Times New Roman"/>
          <w:b/>
          <w:sz w:val="24"/>
        </w:rPr>
        <w:t xml:space="preserve">Sosa, D., Alves, F. M., Prieto, M. A., Pedrosa, M. C., Heleno, S. A., Barros, L., Feliciano, M., &amp; Carocho, M. (2024). </w:t>
      </w:r>
      <w:r w:rsidRPr="00253980">
        <w:rPr>
          <w:rFonts w:ascii="Times New Roman" w:hAnsi="Times New Roman"/>
          <w:b/>
          <w:i/>
          <w:sz w:val="24"/>
        </w:rPr>
        <w:t>Lemna minor</w:t>
      </w:r>
      <w:r w:rsidRPr="00253980">
        <w:rPr>
          <w:rFonts w:ascii="Times New Roman" w:hAnsi="Times New Roman"/>
          <w:b/>
          <w:sz w:val="24"/>
        </w:rPr>
        <w:t xml:space="preserve">: Unlocking the value of this duckweed for the food and feed industry. </w:t>
      </w:r>
      <w:r w:rsidRPr="00253980">
        <w:rPr>
          <w:rFonts w:ascii="Times New Roman" w:hAnsi="Times New Roman"/>
          <w:b/>
          <w:i/>
          <w:sz w:val="24"/>
        </w:rPr>
        <w:t>Foods, 13</w:t>
      </w:r>
      <w:r w:rsidRPr="00253980">
        <w:rPr>
          <w:rFonts w:ascii="Times New Roman" w:hAnsi="Times New Roman"/>
          <w:b/>
          <w:sz w:val="24"/>
        </w:rPr>
        <w:t xml:space="preserve">(10), 1435. </w:t>
      </w:r>
      <w:hyperlink r:id="rId22">
        <w:r w:rsidRPr="00253980">
          <w:rPr>
            <w:rFonts w:ascii="Times New Roman" w:hAnsi="Times New Roman"/>
            <w:b/>
            <w:color w:val="000000"/>
            <w:sz w:val="24"/>
            <w:szCs w:val="24"/>
          </w:rPr>
          <w:t>https://doi.org/10.3390/foods13101435</w:t>
        </w:r>
      </w:hyperlink>
    </w:p>
    <w:p w14:paraId="6AA6A4EB" w14:textId="77777777" w:rsidR="000B271F" w:rsidRPr="00253980" w:rsidRDefault="000B271F" w:rsidP="000B271F">
      <w:pPr>
        <w:spacing w:line="360" w:lineRule="auto"/>
        <w:jc w:val="both"/>
        <w:rPr>
          <w:rFonts w:ascii="Times New Roman" w:hAnsi="Times New Roman" w:cs="Times New Roman"/>
          <w:b/>
          <w:color w:val="000000" w:themeColor="text1"/>
          <w:sz w:val="24"/>
          <w:szCs w:val="24"/>
          <w:shd w:val="clear" w:color="auto" w:fill="FFFFFF"/>
        </w:rPr>
      </w:pPr>
    </w:p>
    <w:p w14:paraId="1611AA02" w14:textId="77777777" w:rsidR="00B5190A" w:rsidRPr="00253980" w:rsidRDefault="00B5190A" w:rsidP="000B271F">
      <w:pPr>
        <w:spacing w:line="360" w:lineRule="auto"/>
        <w:jc w:val="both"/>
        <w:rPr>
          <w:rFonts w:ascii="Times New Roman" w:hAnsi="Times New Roman" w:cs="Times New Roman"/>
          <w:b/>
          <w:color w:val="000000" w:themeColor="text1"/>
          <w:sz w:val="24"/>
          <w:szCs w:val="24"/>
          <w:shd w:val="clear" w:color="auto" w:fill="FFFFFF"/>
        </w:rPr>
      </w:pPr>
    </w:p>
    <w:p w14:paraId="3EB3D203" w14:textId="77777777" w:rsidR="00B5190A" w:rsidRPr="00253980" w:rsidRDefault="00B5190A" w:rsidP="000B271F">
      <w:pPr>
        <w:spacing w:line="360" w:lineRule="auto"/>
        <w:jc w:val="both"/>
        <w:rPr>
          <w:rFonts w:ascii="Times New Roman" w:hAnsi="Times New Roman" w:cs="Times New Roman"/>
          <w:b/>
          <w:color w:val="000000" w:themeColor="text1"/>
          <w:sz w:val="24"/>
          <w:szCs w:val="24"/>
          <w:shd w:val="clear" w:color="auto" w:fill="FFFFFF"/>
        </w:rPr>
      </w:pPr>
    </w:p>
    <w:p w14:paraId="138C9B47" w14:textId="77777777" w:rsidR="00B5190A" w:rsidRPr="00253980" w:rsidRDefault="00B5190A" w:rsidP="000B271F">
      <w:pPr>
        <w:spacing w:line="360" w:lineRule="auto"/>
        <w:jc w:val="both"/>
        <w:rPr>
          <w:rFonts w:ascii="Times New Roman" w:hAnsi="Times New Roman" w:cs="Times New Roman"/>
          <w:b/>
          <w:color w:val="000000" w:themeColor="text1"/>
          <w:sz w:val="24"/>
          <w:szCs w:val="24"/>
          <w:shd w:val="clear" w:color="auto" w:fill="FFFFFF"/>
        </w:rPr>
      </w:pPr>
    </w:p>
    <w:p w14:paraId="142DB2A3" w14:textId="77777777" w:rsidR="0018702D" w:rsidRPr="00253980" w:rsidRDefault="0018702D" w:rsidP="000B271F">
      <w:pPr>
        <w:spacing w:line="360" w:lineRule="auto"/>
        <w:jc w:val="both"/>
        <w:rPr>
          <w:rFonts w:ascii="Times New Roman" w:hAnsi="Times New Roman" w:cs="Times New Roman"/>
          <w:b/>
          <w:sz w:val="24"/>
          <w:szCs w:val="24"/>
        </w:rPr>
      </w:pPr>
      <w:r w:rsidRPr="00253980">
        <w:t xml:space="preserve">Table 1. Range and average values of selected water quality parameters in different treatments </w:t>
      </w:r>
    </w:p>
    <w:tbl>
      <w:tblPr>
        <w:tblStyle w:val="TableGrid"/>
        <w:tblW w:w="9378" w:type="dxa"/>
        <w:tblLook w:val="04A0" w:firstRow="1" w:lastRow="0" w:firstColumn="1" w:lastColumn="0" w:noHBand="0" w:noVBand="1"/>
      </w:tblPr>
      <w:tblGrid>
        <w:gridCol w:w="2053"/>
        <w:gridCol w:w="2105"/>
        <w:gridCol w:w="1800"/>
        <w:gridCol w:w="1620"/>
        <w:gridCol w:w="1800"/>
      </w:tblGrid>
      <w:tr w:rsidR="0018702D" w:rsidRPr="00253980" w14:paraId="6D992E78" w14:textId="77777777" w:rsidTr="00D478D1">
        <w:trPr>
          <w:trHeight w:val="443"/>
        </w:trPr>
        <w:tc>
          <w:tcPr>
            <w:tcW w:w="2053" w:type="dxa"/>
          </w:tcPr>
          <w:p w14:paraId="382AC166"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Parameters</w:t>
            </w:r>
          </w:p>
        </w:tc>
        <w:tc>
          <w:tcPr>
            <w:tcW w:w="2105" w:type="dxa"/>
          </w:tcPr>
          <w:p w14:paraId="5B4A4A02"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C</w:t>
            </w:r>
          </w:p>
        </w:tc>
        <w:tc>
          <w:tcPr>
            <w:tcW w:w="1800" w:type="dxa"/>
          </w:tcPr>
          <w:p w14:paraId="4C061467"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T</w:t>
            </w:r>
            <w:r w:rsidRPr="00253980">
              <w:rPr>
                <w:rFonts w:ascii="Times New Roman" w:hAnsi="Times New Roman" w:cs="Times New Roman"/>
                <w:b/>
                <w:color w:val="000000"/>
                <w:sz w:val="24"/>
                <w:szCs w:val="24"/>
                <w:vertAlign w:val="subscript"/>
              </w:rPr>
              <w:t>1</w:t>
            </w:r>
          </w:p>
        </w:tc>
        <w:tc>
          <w:tcPr>
            <w:tcW w:w="1620" w:type="dxa"/>
          </w:tcPr>
          <w:p w14:paraId="20499FEB"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T</w:t>
            </w:r>
            <w:r w:rsidRPr="00253980">
              <w:rPr>
                <w:rFonts w:ascii="Times New Roman" w:hAnsi="Times New Roman" w:cs="Times New Roman"/>
                <w:b/>
                <w:color w:val="000000"/>
                <w:sz w:val="24"/>
                <w:szCs w:val="24"/>
                <w:vertAlign w:val="subscript"/>
              </w:rPr>
              <w:t>2</w:t>
            </w:r>
          </w:p>
        </w:tc>
        <w:tc>
          <w:tcPr>
            <w:tcW w:w="1800" w:type="dxa"/>
          </w:tcPr>
          <w:p w14:paraId="4388AE72"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T</w:t>
            </w:r>
            <w:r w:rsidRPr="00253980">
              <w:rPr>
                <w:rFonts w:ascii="Times New Roman" w:hAnsi="Times New Roman" w:cs="Times New Roman"/>
                <w:b/>
                <w:color w:val="000000"/>
                <w:sz w:val="24"/>
                <w:szCs w:val="24"/>
                <w:vertAlign w:val="subscript"/>
              </w:rPr>
              <w:t>3</w:t>
            </w:r>
          </w:p>
        </w:tc>
      </w:tr>
      <w:tr w:rsidR="0018702D" w:rsidRPr="00253980" w14:paraId="016FD25E" w14:textId="77777777" w:rsidTr="00D478D1">
        <w:trPr>
          <w:trHeight w:val="870"/>
        </w:trPr>
        <w:tc>
          <w:tcPr>
            <w:tcW w:w="2053" w:type="dxa"/>
          </w:tcPr>
          <w:p w14:paraId="28989061"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Temperature(</w:t>
            </w:r>
            <w:r w:rsidRPr="00253980">
              <w:rPr>
                <w:rFonts w:ascii="Times New Roman" w:hAnsi="Times New Roman" w:cs="Times New Roman"/>
                <w:b/>
                <w:color w:val="000000"/>
                <w:sz w:val="24"/>
                <w:szCs w:val="24"/>
                <w:vertAlign w:val="superscript"/>
              </w:rPr>
              <w:t>0</w:t>
            </w:r>
            <w:r w:rsidRPr="00253980">
              <w:rPr>
                <w:rFonts w:ascii="Times New Roman" w:hAnsi="Times New Roman" w:cs="Times New Roman"/>
                <w:b/>
                <w:color w:val="000000"/>
                <w:sz w:val="24"/>
                <w:szCs w:val="24"/>
              </w:rPr>
              <w:t>C)</w:t>
            </w:r>
          </w:p>
        </w:tc>
        <w:tc>
          <w:tcPr>
            <w:tcW w:w="2105" w:type="dxa"/>
            <w:vAlign w:val="center"/>
          </w:tcPr>
          <w:p w14:paraId="7FE7AA88"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24.8-25.5</w:t>
            </w:r>
          </w:p>
          <w:p w14:paraId="758626AD"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eastAsia="Times New Roman" w:hAnsi="Times New Roman" w:cs="Times New Roman"/>
                <w:color w:val="000000"/>
                <w:sz w:val="24"/>
                <w:szCs w:val="24"/>
              </w:rPr>
              <w:t>25.15</w:t>
            </w:r>
          </w:p>
        </w:tc>
        <w:tc>
          <w:tcPr>
            <w:tcW w:w="1800" w:type="dxa"/>
            <w:vAlign w:val="center"/>
          </w:tcPr>
          <w:p w14:paraId="3686C40B"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24.7-25.5</w:t>
            </w:r>
          </w:p>
          <w:p w14:paraId="6B1BA3F3"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eastAsia="Times New Roman" w:hAnsi="Times New Roman" w:cs="Times New Roman"/>
                <w:color w:val="000000"/>
                <w:sz w:val="24"/>
                <w:szCs w:val="24"/>
              </w:rPr>
              <w:t>25.1</w:t>
            </w:r>
          </w:p>
        </w:tc>
        <w:tc>
          <w:tcPr>
            <w:tcW w:w="1620" w:type="dxa"/>
            <w:vAlign w:val="center"/>
          </w:tcPr>
          <w:p w14:paraId="1E6D85D5"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24.7-25.7</w:t>
            </w:r>
          </w:p>
          <w:p w14:paraId="6AB40D39"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eastAsia="Times New Roman" w:hAnsi="Times New Roman" w:cs="Times New Roman"/>
                <w:color w:val="000000"/>
                <w:sz w:val="24"/>
                <w:szCs w:val="24"/>
              </w:rPr>
              <w:t>25.2</w:t>
            </w:r>
          </w:p>
        </w:tc>
        <w:tc>
          <w:tcPr>
            <w:tcW w:w="1800" w:type="dxa"/>
            <w:vAlign w:val="center"/>
          </w:tcPr>
          <w:p w14:paraId="186C438A"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24.9-25.7</w:t>
            </w:r>
          </w:p>
          <w:p w14:paraId="0C67B3F7"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eastAsia="Times New Roman" w:hAnsi="Times New Roman" w:cs="Times New Roman"/>
                <w:color w:val="000000"/>
                <w:sz w:val="24"/>
                <w:szCs w:val="24"/>
              </w:rPr>
              <w:t>25.3</w:t>
            </w:r>
          </w:p>
        </w:tc>
      </w:tr>
      <w:tr w:rsidR="0018702D" w:rsidRPr="00253980" w14:paraId="5662378E" w14:textId="77777777" w:rsidTr="00D478D1">
        <w:trPr>
          <w:trHeight w:val="870"/>
        </w:trPr>
        <w:tc>
          <w:tcPr>
            <w:tcW w:w="2053" w:type="dxa"/>
          </w:tcPr>
          <w:p w14:paraId="39E60623"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pH</w:t>
            </w:r>
          </w:p>
        </w:tc>
        <w:tc>
          <w:tcPr>
            <w:tcW w:w="2105" w:type="dxa"/>
            <w:vAlign w:val="center"/>
          </w:tcPr>
          <w:p w14:paraId="48864A14"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8.0-8.5</w:t>
            </w:r>
          </w:p>
          <w:p w14:paraId="62D4ACA4"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8.25</w:t>
            </w:r>
          </w:p>
        </w:tc>
        <w:tc>
          <w:tcPr>
            <w:tcW w:w="1800" w:type="dxa"/>
            <w:vAlign w:val="center"/>
          </w:tcPr>
          <w:p w14:paraId="13F00571"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8.0-8.4</w:t>
            </w:r>
          </w:p>
          <w:p w14:paraId="7A0D8F2C"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8.2</w:t>
            </w:r>
          </w:p>
        </w:tc>
        <w:tc>
          <w:tcPr>
            <w:tcW w:w="1620" w:type="dxa"/>
            <w:vAlign w:val="center"/>
          </w:tcPr>
          <w:p w14:paraId="753A83FE"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7.9-8.5</w:t>
            </w:r>
          </w:p>
          <w:p w14:paraId="60E68E99"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8.2</w:t>
            </w:r>
          </w:p>
        </w:tc>
        <w:tc>
          <w:tcPr>
            <w:tcW w:w="1800" w:type="dxa"/>
            <w:vAlign w:val="center"/>
          </w:tcPr>
          <w:p w14:paraId="07F97002"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8.0-8.5</w:t>
            </w:r>
          </w:p>
          <w:p w14:paraId="074AA9D6"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8.25</w:t>
            </w:r>
          </w:p>
        </w:tc>
      </w:tr>
      <w:tr w:rsidR="0018702D" w:rsidRPr="00253980" w14:paraId="1E0E95F7" w14:textId="77777777" w:rsidTr="00D478D1">
        <w:trPr>
          <w:trHeight w:val="870"/>
        </w:trPr>
        <w:tc>
          <w:tcPr>
            <w:tcW w:w="2053" w:type="dxa"/>
          </w:tcPr>
          <w:p w14:paraId="10FA2100"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Alkalinity(mg/l)</w:t>
            </w:r>
          </w:p>
        </w:tc>
        <w:tc>
          <w:tcPr>
            <w:tcW w:w="2105" w:type="dxa"/>
            <w:vAlign w:val="center"/>
          </w:tcPr>
          <w:p w14:paraId="66D0AB61"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120-160</w:t>
            </w:r>
          </w:p>
          <w:p w14:paraId="6E4B92C9"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140</w:t>
            </w:r>
          </w:p>
        </w:tc>
        <w:tc>
          <w:tcPr>
            <w:tcW w:w="1800" w:type="dxa"/>
            <w:vAlign w:val="center"/>
          </w:tcPr>
          <w:p w14:paraId="644B0E19"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120-180</w:t>
            </w:r>
          </w:p>
          <w:p w14:paraId="2E68B045"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150</w:t>
            </w:r>
          </w:p>
        </w:tc>
        <w:tc>
          <w:tcPr>
            <w:tcW w:w="1620" w:type="dxa"/>
            <w:vAlign w:val="center"/>
          </w:tcPr>
          <w:p w14:paraId="013F2315"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120-190</w:t>
            </w:r>
          </w:p>
          <w:p w14:paraId="6E319233"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145</w:t>
            </w:r>
          </w:p>
        </w:tc>
        <w:tc>
          <w:tcPr>
            <w:tcW w:w="1800" w:type="dxa"/>
            <w:vAlign w:val="center"/>
          </w:tcPr>
          <w:p w14:paraId="7EC2A9DB"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110-200</w:t>
            </w:r>
          </w:p>
          <w:p w14:paraId="0CFB418E"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145</w:t>
            </w:r>
          </w:p>
        </w:tc>
      </w:tr>
      <w:tr w:rsidR="0018702D" w:rsidRPr="00253980" w14:paraId="7AD91D39" w14:textId="77777777" w:rsidTr="00D478D1">
        <w:trPr>
          <w:trHeight w:val="870"/>
        </w:trPr>
        <w:tc>
          <w:tcPr>
            <w:tcW w:w="2053" w:type="dxa"/>
          </w:tcPr>
          <w:p w14:paraId="309BF31B"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Dissolved oxygen (mg/l)</w:t>
            </w:r>
          </w:p>
        </w:tc>
        <w:tc>
          <w:tcPr>
            <w:tcW w:w="2105" w:type="dxa"/>
            <w:vAlign w:val="center"/>
          </w:tcPr>
          <w:p w14:paraId="69CA2C7F"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5.6-6.8</w:t>
            </w:r>
          </w:p>
          <w:p w14:paraId="0C19EE3D"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6.2</w:t>
            </w:r>
          </w:p>
        </w:tc>
        <w:tc>
          <w:tcPr>
            <w:tcW w:w="1800" w:type="dxa"/>
            <w:vAlign w:val="center"/>
          </w:tcPr>
          <w:p w14:paraId="59D5556D"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5.0-6.0</w:t>
            </w:r>
          </w:p>
          <w:p w14:paraId="683B2A6F"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5.5</w:t>
            </w:r>
          </w:p>
        </w:tc>
        <w:tc>
          <w:tcPr>
            <w:tcW w:w="1620" w:type="dxa"/>
            <w:vAlign w:val="center"/>
          </w:tcPr>
          <w:p w14:paraId="40D7DD7C"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5.0-8.0</w:t>
            </w:r>
          </w:p>
          <w:p w14:paraId="3458ACDF"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6.5</w:t>
            </w:r>
          </w:p>
        </w:tc>
        <w:tc>
          <w:tcPr>
            <w:tcW w:w="1800" w:type="dxa"/>
            <w:vAlign w:val="center"/>
          </w:tcPr>
          <w:p w14:paraId="48ECC426"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5.5-6.8</w:t>
            </w:r>
          </w:p>
          <w:p w14:paraId="3E2DB72D"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6.15</w:t>
            </w:r>
          </w:p>
        </w:tc>
      </w:tr>
      <w:tr w:rsidR="0018702D" w:rsidRPr="00253980" w14:paraId="5152FD45" w14:textId="77777777" w:rsidTr="00D478D1">
        <w:trPr>
          <w:trHeight w:val="870"/>
        </w:trPr>
        <w:tc>
          <w:tcPr>
            <w:tcW w:w="2053" w:type="dxa"/>
          </w:tcPr>
          <w:p w14:paraId="764318C7" w14:textId="77777777" w:rsidR="0018702D" w:rsidRPr="00253980" w:rsidRDefault="0018702D" w:rsidP="000B271F">
            <w:pPr>
              <w:spacing w:line="360" w:lineRule="auto"/>
              <w:jc w:val="center"/>
              <w:rPr>
                <w:rFonts w:ascii="Times New Roman" w:hAnsi="Times New Roman" w:cs="Times New Roman"/>
                <w:b/>
                <w:color w:val="000000"/>
                <w:sz w:val="24"/>
                <w:szCs w:val="24"/>
              </w:rPr>
            </w:pPr>
            <w:r w:rsidRPr="00253980">
              <w:rPr>
                <w:rFonts w:ascii="Times New Roman" w:hAnsi="Times New Roman" w:cs="Times New Roman"/>
                <w:b/>
                <w:color w:val="000000"/>
                <w:sz w:val="24"/>
                <w:szCs w:val="24"/>
              </w:rPr>
              <w:t>TDS(mg/l)</w:t>
            </w:r>
          </w:p>
        </w:tc>
        <w:tc>
          <w:tcPr>
            <w:tcW w:w="2105" w:type="dxa"/>
            <w:vAlign w:val="center"/>
          </w:tcPr>
          <w:p w14:paraId="071A7AEA"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430-520</w:t>
            </w:r>
          </w:p>
          <w:p w14:paraId="1DEA16C9"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475</w:t>
            </w:r>
          </w:p>
        </w:tc>
        <w:tc>
          <w:tcPr>
            <w:tcW w:w="1800" w:type="dxa"/>
            <w:vAlign w:val="center"/>
          </w:tcPr>
          <w:p w14:paraId="3878E434"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550-608</w:t>
            </w:r>
          </w:p>
          <w:p w14:paraId="10D767CD"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579</w:t>
            </w:r>
          </w:p>
        </w:tc>
        <w:tc>
          <w:tcPr>
            <w:tcW w:w="1620" w:type="dxa"/>
            <w:vAlign w:val="center"/>
          </w:tcPr>
          <w:p w14:paraId="32B5CCD6"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480-530</w:t>
            </w:r>
          </w:p>
          <w:p w14:paraId="037FEB6A"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505</w:t>
            </w:r>
          </w:p>
        </w:tc>
        <w:tc>
          <w:tcPr>
            <w:tcW w:w="1800" w:type="dxa"/>
            <w:vAlign w:val="center"/>
          </w:tcPr>
          <w:p w14:paraId="5D76E16D"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440-550</w:t>
            </w:r>
          </w:p>
          <w:p w14:paraId="34B2FAF9" w14:textId="77777777" w:rsidR="0018702D" w:rsidRPr="00253980" w:rsidRDefault="0018702D" w:rsidP="000B271F">
            <w:pPr>
              <w:spacing w:line="360" w:lineRule="auto"/>
              <w:jc w:val="center"/>
              <w:rPr>
                <w:rFonts w:ascii="Times New Roman" w:hAnsi="Times New Roman" w:cs="Times New Roman"/>
                <w:color w:val="000000"/>
                <w:sz w:val="24"/>
                <w:szCs w:val="24"/>
              </w:rPr>
            </w:pPr>
            <w:r w:rsidRPr="00253980">
              <w:rPr>
                <w:rFonts w:ascii="Times New Roman" w:hAnsi="Times New Roman" w:cs="Times New Roman"/>
                <w:color w:val="000000"/>
                <w:sz w:val="24"/>
                <w:szCs w:val="24"/>
              </w:rPr>
              <w:t>495</w:t>
            </w:r>
          </w:p>
        </w:tc>
      </w:tr>
    </w:tbl>
    <w:p w14:paraId="77CB1F99" w14:textId="77777777" w:rsidR="0018702D" w:rsidRPr="00253980" w:rsidRDefault="0018702D" w:rsidP="000B271F">
      <w:pPr>
        <w:spacing w:line="360" w:lineRule="auto"/>
        <w:jc w:val="both"/>
        <w:rPr>
          <w:rFonts w:ascii="Times New Roman" w:hAnsi="Times New Roman" w:cs="Times New Roman"/>
          <w:b/>
          <w:color w:val="000000" w:themeColor="text1"/>
          <w:sz w:val="24"/>
          <w:szCs w:val="24"/>
          <w:lang w:val="en-IN"/>
        </w:rPr>
      </w:pPr>
    </w:p>
    <w:p w14:paraId="46882120" w14:textId="77777777" w:rsidR="000B271F" w:rsidRPr="00253980" w:rsidRDefault="000B271F" w:rsidP="000B271F">
      <w:pPr>
        <w:spacing w:line="360" w:lineRule="auto"/>
        <w:jc w:val="both"/>
        <w:rPr>
          <w:rFonts w:ascii="Times New Roman" w:hAnsi="Times New Roman" w:cs="Times New Roman"/>
          <w:b/>
          <w:color w:val="000000" w:themeColor="text1"/>
          <w:sz w:val="24"/>
          <w:szCs w:val="24"/>
          <w:lang w:val="en-IN"/>
        </w:rPr>
      </w:pPr>
    </w:p>
    <w:tbl>
      <w:tblPr>
        <w:tblStyle w:val="TableGrid"/>
        <w:tblpPr w:leftFromText="180" w:rightFromText="180" w:vertAnchor="text" w:horzAnchor="page" w:tblpX="1474" w:tblpY="36"/>
        <w:tblW w:w="5000" w:type="pct"/>
        <w:tblLook w:val="04A0" w:firstRow="1" w:lastRow="0" w:firstColumn="1" w:lastColumn="0" w:noHBand="0" w:noVBand="1"/>
      </w:tblPr>
      <w:tblGrid>
        <w:gridCol w:w="1541"/>
        <w:gridCol w:w="1309"/>
        <w:gridCol w:w="1416"/>
        <w:gridCol w:w="1345"/>
        <w:gridCol w:w="1265"/>
        <w:gridCol w:w="1270"/>
        <w:gridCol w:w="1430"/>
      </w:tblGrid>
      <w:tr w:rsidR="0018702D" w:rsidRPr="00253980" w14:paraId="74138DD2" w14:textId="77777777" w:rsidTr="00C33548">
        <w:trPr>
          <w:trHeight w:val="414"/>
        </w:trPr>
        <w:tc>
          <w:tcPr>
            <w:tcW w:w="817" w:type="pct"/>
            <w:vMerge w:val="restart"/>
          </w:tcPr>
          <w:p w14:paraId="6F6B9BDE" w14:textId="77777777" w:rsidR="0018702D" w:rsidRPr="00253980" w:rsidRDefault="0018702D" w:rsidP="000B271F">
            <w:pPr>
              <w:spacing w:line="360" w:lineRule="auto"/>
              <w:jc w:val="center"/>
              <w:rPr>
                <w:rFonts w:ascii="Times New Roman" w:hAnsi="Times New Roman" w:cs="Times New Roman"/>
                <w:b/>
                <w:color w:val="000000" w:themeColor="text1"/>
                <w:sz w:val="24"/>
                <w:szCs w:val="24"/>
                <w:lang w:val="en-IN"/>
              </w:rPr>
            </w:pPr>
            <w:proofErr w:type="spellStart"/>
            <w:r w:rsidRPr="00253980">
              <w:rPr>
                <w:rFonts w:ascii="Times New Roman" w:hAnsi="Times New Roman" w:cs="Times New Roman"/>
                <w:b/>
                <w:color w:val="000000" w:themeColor="text1"/>
                <w:sz w:val="24"/>
                <w:szCs w:val="24"/>
                <w:lang w:val="en-IN"/>
              </w:rPr>
              <w:t>S.No</w:t>
            </w:r>
            <w:proofErr w:type="spellEnd"/>
          </w:p>
        </w:tc>
        <w:tc>
          <w:tcPr>
            <w:tcW w:w="689" w:type="pct"/>
            <w:vMerge w:val="restart"/>
          </w:tcPr>
          <w:p w14:paraId="0E478C49" w14:textId="77777777" w:rsidR="0018702D" w:rsidRPr="00253980" w:rsidRDefault="0018702D" w:rsidP="000B271F">
            <w:pPr>
              <w:spacing w:line="360" w:lineRule="auto"/>
              <w:jc w:val="center"/>
              <w:rPr>
                <w:rFonts w:ascii="Times New Roman" w:hAnsi="Times New Roman" w:cs="Times New Roman"/>
                <w:b/>
                <w:color w:val="000000" w:themeColor="text1"/>
                <w:sz w:val="24"/>
                <w:szCs w:val="24"/>
                <w:lang w:val="en-IN"/>
              </w:rPr>
            </w:pPr>
            <w:r w:rsidRPr="00253980">
              <w:rPr>
                <w:rFonts w:ascii="Times New Roman" w:hAnsi="Times New Roman" w:cs="Times New Roman"/>
                <w:b/>
                <w:color w:val="000000" w:themeColor="text1"/>
                <w:sz w:val="24"/>
                <w:szCs w:val="24"/>
                <w:lang w:val="en-IN"/>
              </w:rPr>
              <w:t>Treatment</w:t>
            </w:r>
          </w:p>
        </w:tc>
        <w:tc>
          <w:tcPr>
            <w:tcW w:w="3493" w:type="pct"/>
            <w:gridSpan w:val="5"/>
          </w:tcPr>
          <w:p w14:paraId="69DD9114" w14:textId="77777777" w:rsidR="0018702D" w:rsidRPr="00253980" w:rsidRDefault="0018702D" w:rsidP="000B271F">
            <w:pPr>
              <w:spacing w:line="360" w:lineRule="auto"/>
              <w:jc w:val="center"/>
              <w:rPr>
                <w:rFonts w:ascii="Times New Roman" w:hAnsi="Times New Roman" w:cs="Times New Roman"/>
                <w:b/>
                <w:sz w:val="24"/>
                <w:szCs w:val="24"/>
              </w:rPr>
            </w:pPr>
            <w:r w:rsidRPr="00253980">
              <w:rPr>
                <w:rFonts w:ascii="Times New Roman" w:hAnsi="Times New Roman" w:cs="Times New Roman"/>
                <w:b/>
                <w:sz w:val="24"/>
                <w:szCs w:val="24"/>
              </w:rPr>
              <w:t>Soil Parameters</w:t>
            </w:r>
          </w:p>
        </w:tc>
      </w:tr>
      <w:tr w:rsidR="0018702D" w:rsidRPr="00253980" w14:paraId="179D68F1" w14:textId="77777777" w:rsidTr="00C33548">
        <w:trPr>
          <w:trHeight w:val="117"/>
        </w:trPr>
        <w:tc>
          <w:tcPr>
            <w:tcW w:w="817" w:type="pct"/>
            <w:vMerge/>
          </w:tcPr>
          <w:p w14:paraId="2D349E29" w14:textId="77777777" w:rsidR="0018702D" w:rsidRPr="00253980" w:rsidRDefault="0018702D" w:rsidP="000B271F">
            <w:pPr>
              <w:spacing w:line="360" w:lineRule="auto"/>
              <w:jc w:val="center"/>
              <w:rPr>
                <w:rFonts w:ascii="Times New Roman" w:hAnsi="Times New Roman" w:cs="Times New Roman"/>
                <w:b/>
                <w:color w:val="000000" w:themeColor="text1"/>
                <w:sz w:val="24"/>
                <w:szCs w:val="24"/>
                <w:lang w:val="en-IN"/>
              </w:rPr>
            </w:pPr>
          </w:p>
        </w:tc>
        <w:tc>
          <w:tcPr>
            <w:tcW w:w="689" w:type="pct"/>
            <w:vMerge/>
          </w:tcPr>
          <w:p w14:paraId="56A461E3" w14:textId="77777777" w:rsidR="0018702D" w:rsidRPr="00253980" w:rsidRDefault="0018702D" w:rsidP="000B271F">
            <w:pPr>
              <w:spacing w:line="360" w:lineRule="auto"/>
              <w:jc w:val="center"/>
              <w:rPr>
                <w:rFonts w:ascii="Times New Roman" w:hAnsi="Times New Roman" w:cs="Times New Roman"/>
                <w:b/>
                <w:color w:val="000000" w:themeColor="text1"/>
                <w:sz w:val="24"/>
                <w:szCs w:val="24"/>
                <w:lang w:val="en-IN"/>
              </w:rPr>
            </w:pPr>
          </w:p>
        </w:tc>
        <w:tc>
          <w:tcPr>
            <w:tcW w:w="758" w:type="pct"/>
          </w:tcPr>
          <w:p w14:paraId="7B4C16E1" w14:textId="77777777" w:rsidR="0018702D" w:rsidRPr="00253980" w:rsidRDefault="0018702D" w:rsidP="000B271F">
            <w:pPr>
              <w:spacing w:line="360" w:lineRule="auto"/>
              <w:jc w:val="center"/>
              <w:rPr>
                <w:rFonts w:ascii="Times New Roman" w:hAnsi="Times New Roman" w:cs="Times New Roman"/>
                <w:b/>
                <w:color w:val="000000" w:themeColor="text1"/>
                <w:sz w:val="24"/>
                <w:szCs w:val="24"/>
                <w:lang w:val="en-IN"/>
              </w:rPr>
            </w:pPr>
            <w:r w:rsidRPr="00253980">
              <w:rPr>
                <w:rFonts w:ascii="Times New Roman" w:hAnsi="Times New Roman" w:cs="Times New Roman"/>
                <w:b/>
                <w:color w:val="000000" w:themeColor="text1"/>
                <w:sz w:val="24"/>
                <w:szCs w:val="24"/>
                <w:lang w:val="en-IN"/>
              </w:rPr>
              <w:t>Soil pH</w:t>
            </w:r>
          </w:p>
        </w:tc>
        <w:tc>
          <w:tcPr>
            <w:tcW w:w="715" w:type="pct"/>
          </w:tcPr>
          <w:p w14:paraId="3116B8A4" w14:textId="77777777" w:rsidR="0018702D" w:rsidRPr="00253980" w:rsidRDefault="0018702D" w:rsidP="000B271F">
            <w:pPr>
              <w:spacing w:line="360" w:lineRule="auto"/>
              <w:jc w:val="center"/>
              <w:rPr>
                <w:rFonts w:ascii="Times New Roman" w:hAnsi="Times New Roman" w:cs="Times New Roman"/>
                <w:b/>
                <w:color w:val="000000" w:themeColor="text1"/>
                <w:sz w:val="24"/>
                <w:szCs w:val="24"/>
                <w:lang w:val="en-IN"/>
              </w:rPr>
            </w:pPr>
            <w:r w:rsidRPr="00253980">
              <w:rPr>
                <w:rFonts w:ascii="Times New Roman" w:hAnsi="Times New Roman" w:cs="Times New Roman"/>
                <w:b/>
                <w:color w:val="000000" w:themeColor="text1"/>
                <w:sz w:val="24"/>
                <w:szCs w:val="24"/>
                <w:lang w:val="en-IN"/>
              </w:rPr>
              <w:t>Nitrogen (mg/100g)</w:t>
            </w:r>
          </w:p>
        </w:tc>
        <w:tc>
          <w:tcPr>
            <w:tcW w:w="673" w:type="pct"/>
          </w:tcPr>
          <w:p w14:paraId="4FB62BA4" w14:textId="77777777" w:rsidR="0018702D" w:rsidRPr="00253980" w:rsidRDefault="0018702D" w:rsidP="000B271F">
            <w:pPr>
              <w:spacing w:line="360" w:lineRule="auto"/>
              <w:jc w:val="center"/>
              <w:rPr>
                <w:rFonts w:ascii="Times New Roman" w:hAnsi="Times New Roman" w:cs="Times New Roman"/>
                <w:b/>
                <w:color w:val="000000" w:themeColor="text1"/>
                <w:sz w:val="24"/>
                <w:szCs w:val="24"/>
                <w:lang w:val="en-IN"/>
              </w:rPr>
            </w:pPr>
            <w:r w:rsidRPr="00253980">
              <w:rPr>
                <w:rFonts w:ascii="Times New Roman" w:hAnsi="Times New Roman" w:cs="Times New Roman"/>
                <w:b/>
                <w:color w:val="000000" w:themeColor="text1"/>
                <w:sz w:val="24"/>
                <w:szCs w:val="24"/>
                <w:lang w:val="en-IN"/>
              </w:rPr>
              <w:t>Organic Carbon (%)</w:t>
            </w:r>
          </w:p>
        </w:tc>
        <w:tc>
          <w:tcPr>
            <w:tcW w:w="673" w:type="pct"/>
          </w:tcPr>
          <w:p w14:paraId="1AB51809" w14:textId="77777777" w:rsidR="0018702D" w:rsidRPr="00253980" w:rsidRDefault="0018702D" w:rsidP="000B271F">
            <w:pPr>
              <w:spacing w:line="360" w:lineRule="auto"/>
              <w:jc w:val="center"/>
              <w:rPr>
                <w:rFonts w:ascii="Times New Roman" w:hAnsi="Times New Roman" w:cs="Times New Roman"/>
                <w:b/>
                <w:color w:val="000000" w:themeColor="text1"/>
                <w:sz w:val="24"/>
                <w:szCs w:val="24"/>
                <w:lang w:val="en-IN"/>
              </w:rPr>
            </w:pPr>
            <w:r w:rsidRPr="00253980">
              <w:rPr>
                <w:rFonts w:ascii="Times New Roman" w:hAnsi="Times New Roman" w:cs="Times New Roman"/>
                <w:b/>
                <w:color w:val="000000" w:themeColor="text1"/>
                <w:sz w:val="24"/>
                <w:szCs w:val="24"/>
                <w:lang w:val="en-IN"/>
              </w:rPr>
              <w:t>Potassium (mg/100g)</w:t>
            </w:r>
          </w:p>
        </w:tc>
        <w:tc>
          <w:tcPr>
            <w:tcW w:w="673" w:type="pct"/>
          </w:tcPr>
          <w:p w14:paraId="3067C280" w14:textId="77777777" w:rsidR="0018702D" w:rsidRPr="00253980" w:rsidRDefault="0018702D" w:rsidP="000B271F">
            <w:pPr>
              <w:spacing w:line="360" w:lineRule="auto"/>
              <w:jc w:val="center"/>
              <w:rPr>
                <w:rFonts w:ascii="Times New Roman" w:hAnsi="Times New Roman" w:cs="Times New Roman"/>
                <w:b/>
                <w:color w:val="000000" w:themeColor="text1"/>
                <w:sz w:val="24"/>
                <w:szCs w:val="24"/>
                <w:lang w:val="en-IN"/>
              </w:rPr>
            </w:pPr>
            <w:r w:rsidRPr="00253980">
              <w:rPr>
                <w:rFonts w:ascii="Times New Roman" w:hAnsi="Times New Roman" w:cs="Times New Roman"/>
                <w:b/>
                <w:color w:val="000000" w:themeColor="text1"/>
                <w:sz w:val="24"/>
                <w:szCs w:val="24"/>
                <w:lang w:val="en-IN"/>
              </w:rPr>
              <w:t>Phosphorus (mg/100g)</w:t>
            </w:r>
          </w:p>
        </w:tc>
      </w:tr>
      <w:tr w:rsidR="0018702D" w:rsidRPr="00253980" w14:paraId="444DD7AD" w14:textId="77777777" w:rsidTr="00C33548">
        <w:trPr>
          <w:trHeight w:val="171"/>
        </w:trPr>
        <w:tc>
          <w:tcPr>
            <w:tcW w:w="817" w:type="pct"/>
          </w:tcPr>
          <w:p w14:paraId="0CCFA11F" w14:textId="77777777" w:rsidR="0018702D" w:rsidRPr="00253980" w:rsidRDefault="0018702D" w:rsidP="000B271F">
            <w:pPr>
              <w:spacing w:line="360" w:lineRule="auto"/>
              <w:jc w:val="center"/>
              <w:rPr>
                <w:rFonts w:ascii="Times New Roman" w:hAnsi="Times New Roman" w:cs="Times New Roman"/>
                <w:color w:val="000000" w:themeColor="text1"/>
                <w:sz w:val="24"/>
                <w:szCs w:val="24"/>
                <w:lang w:val="en-IN"/>
              </w:rPr>
            </w:pPr>
            <w:r w:rsidRPr="00253980">
              <w:rPr>
                <w:rFonts w:ascii="Times New Roman" w:hAnsi="Times New Roman" w:cs="Times New Roman"/>
                <w:color w:val="000000" w:themeColor="text1"/>
                <w:sz w:val="24"/>
                <w:szCs w:val="24"/>
                <w:lang w:val="en-IN"/>
              </w:rPr>
              <w:t>1.</w:t>
            </w:r>
          </w:p>
        </w:tc>
        <w:tc>
          <w:tcPr>
            <w:tcW w:w="689" w:type="pct"/>
          </w:tcPr>
          <w:p w14:paraId="1464E540" w14:textId="77777777" w:rsidR="0018702D" w:rsidRPr="00253980" w:rsidRDefault="0018702D" w:rsidP="000B271F">
            <w:pPr>
              <w:spacing w:line="360" w:lineRule="auto"/>
              <w:jc w:val="center"/>
              <w:rPr>
                <w:rFonts w:ascii="Times New Roman" w:hAnsi="Times New Roman" w:cs="Times New Roman"/>
                <w:color w:val="000000" w:themeColor="text1"/>
                <w:sz w:val="24"/>
                <w:szCs w:val="24"/>
                <w:lang w:val="en-IN"/>
              </w:rPr>
            </w:pPr>
            <w:r w:rsidRPr="00253980">
              <w:rPr>
                <w:rFonts w:ascii="Times New Roman" w:hAnsi="Times New Roman" w:cs="Times New Roman"/>
                <w:color w:val="000000" w:themeColor="text1"/>
                <w:sz w:val="24"/>
                <w:szCs w:val="24"/>
                <w:lang w:val="en-IN"/>
              </w:rPr>
              <w:t>C(Control)</w:t>
            </w:r>
          </w:p>
        </w:tc>
        <w:tc>
          <w:tcPr>
            <w:tcW w:w="758" w:type="pct"/>
          </w:tcPr>
          <w:p w14:paraId="7DBB8A8F"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7.40</w:t>
            </w:r>
          </w:p>
        </w:tc>
        <w:tc>
          <w:tcPr>
            <w:tcW w:w="715" w:type="pct"/>
          </w:tcPr>
          <w:p w14:paraId="1EBF86A3"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65.00</w:t>
            </w:r>
          </w:p>
        </w:tc>
        <w:tc>
          <w:tcPr>
            <w:tcW w:w="673" w:type="pct"/>
          </w:tcPr>
          <w:p w14:paraId="349CEA44"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1.00</w:t>
            </w:r>
          </w:p>
        </w:tc>
        <w:tc>
          <w:tcPr>
            <w:tcW w:w="673" w:type="pct"/>
          </w:tcPr>
          <w:p w14:paraId="02D3FE62"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6.00</w:t>
            </w:r>
          </w:p>
        </w:tc>
        <w:tc>
          <w:tcPr>
            <w:tcW w:w="673" w:type="pct"/>
          </w:tcPr>
          <w:p w14:paraId="19D2BA9D"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4.80</w:t>
            </w:r>
          </w:p>
        </w:tc>
      </w:tr>
      <w:tr w:rsidR="0018702D" w:rsidRPr="00253980" w14:paraId="78564CFC" w14:textId="77777777" w:rsidTr="00C33548">
        <w:trPr>
          <w:trHeight w:val="171"/>
        </w:trPr>
        <w:tc>
          <w:tcPr>
            <w:tcW w:w="817" w:type="pct"/>
          </w:tcPr>
          <w:p w14:paraId="7957F2FE" w14:textId="77777777" w:rsidR="0018702D" w:rsidRPr="00253980" w:rsidRDefault="0018702D" w:rsidP="000B271F">
            <w:pPr>
              <w:spacing w:line="360" w:lineRule="auto"/>
              <w:jc w:val="center"/>
              <w:rPr>
                <w:rFonts w:ascii="Times New Roman" w:hAnsi="Times New Roman" w:cs="Times New Roman"/>
                <w:color w:val="000000" w:themeColor="text1"/>
                <w:sz w:val="24"/>
                <w:szCs w:val="24"/>
                <w:lang w:val="en-IN"/>
              </w:rPr>
            </w:pPr>
            <w:r w:rsidRPr="00253980">
              <w:rPr>
                <w:rFonts w:ascii="Times New Roman" w:hAnsi="Times New Roman" w:cs="Times New Roman"/>
                <w:color w:val="000000" w:themeColor="text1"/>
                <w:sz w:val="24"/>
                <w:szCs w:val="24"/>
                <w:lang w:val="en-IN"/>
              </w:rPr>
              <w:t>2.</w:t>
            </w:r>
          </w:p>
        </w:tc>
        <w:tc>
          <w:tcPr>
            <w:tcW w:w="689" w:type="pct"/>
          </w:tcPr>
          <w:p w14:paraId="3E11F0BC" w14:textId="77777777" w:rsidR="0018702D" w:rsidRPr="00253980" w:rsidRDefault="0018702D" w:rsidP="000B271F">
            <w:pPr>
              <w:spacing w:line="360" w:lineRule="auto"/>
              <w:jc w:val="center"/>
              <w:rPr>
                <w:rFonts w:ascii="Times New Roman" w:hAnsi="Times New Roman" w:cs="Times New Roman"/>
                <w:color w:val="000000" w:themeColor="text1"/>
                <w:sz w:val="24"/>
                <w:szCs w:val="24"/>
                <w:lang w:val="en-IN"/>
              </w:rPr>
            </w:pPr>
            <w:r w:rsidRPr="00253980">
              <w:rPr>
                <w:rFonts w:ascii="Times New Roman" w:hAnsi="Times New Roman" w:cs="Times New Roman"/>
                <w:color w:val="000000" w:themeColor="text1"/>
                <w:sz w:val="24"/>
                <w:szCs w:val="24"/>
                <w:lang w:val="en-IN"/>
              </w:rPr>
              <w:t>T</w:t>
            </w:r>
            <w:r w:rsidRPr="00253980">
              <w:rPr>
                <w:rFonts w:ascii="Times New Roman" w:hAnsi="Times New Roman" w:cs="Times New Roman"/>
                <w:color w:val="000000" w:themeColor="text1"/>
                <w:sz w:val="24"/>
                <w:szCs w:val="24"/>
                <w:vertAlign w:val="subscript"/>
                <w:lang w:val="en-IN"/>
              </w:rPr>
              <w:t>1</w:t>
            </w:r>
          </w:p>
        </w:tc>
        <w:tc>
          <w:tcPr>
            <w:tcW w:w="758" w:type="pct"/>
          </w:tcPr>
          <w:p w14:paraId="514D3CE1"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7.80</w:t>
            </w:r>
          </w:p>
        </w:tc>
        <w:tc>
          <w:tcPr>
            <w:tcW w:w="715" w:type="pct"/>
          </w:tcPr>
          <w:p w14:paraId="1B2562C0"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70.00</w:t>
            </w:r>
          </w:p>
        </w:tc>
        <w:tc>
          <w:tcPr>
            <w:tcW w:w="673" w:type="pct"/>
          </w:tcPr>
          <w:p w14:paraId="044A1F85"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0.92</w:t>
            </w:r>
          </w:p>
        </w:tc>
        <w:tc>
          <w:tcPr>
            <w:tcW w:w="673" w:type="pct"/>
          </w:tcPr>
          <w:p w14:paraId="2AA7D489"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6.80</w:t>
            </w:r>
          </w:p>
        </w:tc>
        <w:tc>
          <w:tcPr>
            <w:tcW w:w="673" w:type="pct"/>
          </w:tcPr>
          <w:p w14:paraId="03914D7C"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4.60</w:t>
            </w:r>
          </w:p>
        </w:tc>
      </w:tr>
      <w:tr w:rsidR="0018702D" w:rsidRPr="00253980" w14:paraId="6FC600CA" w14:textId="77777777" w:rsidTr="00C33548">
        <w:trPr>
          <w:trHeight w:val="171"/>
        </w:trPr>
        <w:tc>
          <w:tcPr>
            <w:tcW w:w="817" w:type="pct"/>
          </w:tcPr>
          <w:p w14:paraId="21D44F91" w14:textId="77777777" w:rsidR="0018702D" w:rsidRPr="00253980" w:rsidRDefault="0018702D" w:rsidP="000B271F">
            <w:pPr>
              <w:spacing w:line="360" w:lineRule="auto"/>
              <w:jc w:val="center"/>
              <w:rPr>
                <w:rFonts w:ascii="Times New Roman" w:hAnsi="Times New Roman" w:cs="Times New Roman"/>
                <w:color w:val="000000" w:themeColor="text1"/>
                <w:sz w:val="24"/>
                <w:szCs w:val="24"/>
                <w:lang w:val="en-IN"/>
              </w:rPr>
            </w:pPr>
            <w:r w:rsidRPr="00253980">
              <w:rPr>
                <w:rFonts w:ascii="Times New Roman" w:hAnsi="Times New Roman" w:cs="Times New Roman"/>
                <w:color w:val="000000" w:themeColor="text1"/>
                <w:sz w:val="24"/>
                <w:szCs w:val="24"/>
                <w:lang w:val="en-IN"/>
              </w:rPr>
              <w:t>3.</w:t>
            </w:r>
          </w:p>
        </w:tc>
        <w:tc>
          <w:tcPr>
            <w:tcW w:w="689" w:type="pct"/>
          </w:tcPr>
          <w:p w14:paraId="68FD366E" w14:textId="77777777" w:rsidR="0018702D" w:rsidRPr="00253980" w:rsidRDefault="0018702D" w:rsidP="000B271F">
            <w:pPr>
              <w:spacing w:line="360" w:lineRule="auto"/>
              <w:jc w:val="center"/>
              <w:rPr>
                <w:rFonts w:ascii="Times New Roman" w:hAnsi="Times New Roman" w:cs="Times New Roman"/>
                <w:color w:val="000000" w:themeColor="text1"/>
                <w:sz w:val="24"/>
                <w:szCs w:val="24"/>
                <w:lang w:val="en-IN"/>
              </w:rPr>
            </w:pPr>
            <w:r w:rsidRPr="00253980">
              <w:rPr>
                <w:rFonts w:ascii="Times New Roman" w:hAnsi="Times New Roman" w:cs="Times New Roman"/>
                <w:color w:val="000000" w:themeColor="text1"/>
                <w:sz w:val="24"/>
                <w:szCs w:val="24"/>
                <w:lang w:val="en-IN"/>
              </w:rPr>
              <w:t>T</w:t>
            </w:r>
            <w:r w:rsidRPr="00253980">
              <w:rPr>
                <w:rFonts w:ascii="Times New Roman" w:hAnsi="Times New Roman" w:cs="Times New Roman"/>
                <w:color w:val="000000" w:themeColor="text1"/>
                <w:sz w:val="24"/>
                <w:szCs w:val="24"/>
                <w:vertAlign w:val="subscript"/>
                <w:lang w:val="en-IN"/>
              </w:rPr>
              <w:t>2</w:t>
            </w:r>
          </w:p>
        </w:tc>
        <w:tc>
          <w:tcPr>
            <w:tcW w:w="758" w:type="pct"/>
          </w:tcPr>
          <w:p w14:paraId="551E021C"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7.70</w:t>
            </w:r>
          </w:p>
        </w:tc>
        <w:tc>
          <w:tcPr>
            <w:tcW w:w="715" w:type="pct"/>
          </w:tcPr>
          <w:p w14:paraId="7B43D871"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75.00</w:t>
            </w:r>
          </w:p>
        </w:tc>
        <w:tc>
          <w:tcPr>
            <w:tcW w:w="673" w:type="pct"/>
          </w:tcPr>
          <w:p w14:paraId="74D352F2"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0.90</w:t>
            </w:r>
          </w:p>
        </w:tc>
        <w:tc>
          <w:tcPr>
            <w:tcW w:w="673" w:type="pct"/>
          </w:tcPr>
          <w:p w14:paraId="6A21FD55"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7.40</w:t>
            </w:r>
          </w:p>
        </w:tc>
        <w:tc>
          <w:tcPr>
            <w:tcW w:w="673" w:type="pct"/>
          </w:tcPr>
          <w:p w14:paraId="3500839D"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4.40</w:t>
            </w:r>
          </w:p>
        </w:tc>
      </w:tr>
      <w:tr w:rsidR="0018702D" w:rsidRPr="00253980" w14:paraId="3A610E54" w14:textId="77777777" w:rsidTr="00C33548">
        <w:trPr>
          <w:trHeight w:val="468"/>
        </w:trPr>
        <w:tc>
          <w:tcPr>
            <w:tcW w:w="817" w:type="pct"/>
          </w:tcPr>
          <w:p w14:paraId="1A192EA9" w14:textId="77777777" w:rsidR="0018702D" w:rsidRPr="00253980" w:rsidRDefault="0018702D" w:rsidP="000B271F">
            <w:pPr>
              <w:spacing w:line="360" w:lineRule="auto"/>
              <w:jc w:val="center"/>
              <w:rPr>
                <w:rFonts w:ascii="Times New Roman" w:hAnsi="Times New Roman" w:cs="Times New Roman"/>
                <w:color w:val="000000" w:themeColor="text1"/>
                <w:sz w:val="24"/>
                <w:szCs w:val="24"/>
                <w:lang w:val="en-IN"/>
              </w:rPr>
            </w:pPr>
            <w:r w:rsidRPr="00253980">
              <w:rPr>
                <w:rFonts w:ascii="Times New Roman" w:hAnsi="Times New Roman" w:cs="Times New Roman"/>
                <w:color w:val="000000" w:themeColor="text1"/>
                <w:sz w:val="24"/>
                <w:szCs w:val="24"/>
                <w:lang w:val="en-IN"/>
              </w:rPr>
              <w:t>4.</w:t>
            </w:r>
          </w:p>
        </w:tc>
        <w:tc>
          <w:tcPr>
            <w:tcW w:w="689" w:type="pct"/>
          </w:tcPr>
          <w:p w14:paraId="531FC4D0" w14:textId="77777777" w:rsidR="0018702D" w:rsidRPr="00253980" w:rsidRDefault="0018702D" w:rsidP="000B271F">
            <w:pPr>
              <w:spacing w:line="360" w:lineRule="auto"/>
              <w:jc w:val="center"/>
              <w:rPr>
                <w:rFonts w:ascii="Times New Roman" w:hAnsi="Times New Roman" w:cs="Times New Roman"/>
                <w:color w:val="000000" w:themeColor="text1"/>
                <w:sz w:val="24"/>
                <w:szCs w:val="24"/>
                <w:lang w:val="en-IN"/>
              </w:rPr>
            </w:pPr>
            <w:r w:rsidRPr="00253980">
              <w:rPr>
                <w:rFonts w:ascii="Times New Roman" w:hAnsi="Times New Roman" w:cs="Times New Roman"/>
                <w:color w:val="000000" w:themeColor="text1"/>
                <w:sz w:val="24"/>
                <w:szCs w:val="24"/>
                <w:lang w:val="en-IN"/>
              </w:rPr>
              <w:t>T</w:t>
            </w:r>
            <w:r w:rsidRPr="00253980">
              <w:rPr>
                <w:rFonts w:ascii="Times New Roman" w:hAnsi="Times New Roman" w:cs="Times New Roman"/>
                <w:color w:val="000000" w:themeColor="text1"/>
                <w:sz w:val="24"/>
                <w:szCs w:val="24"/>
                <w:vertAlign w:val="subscript"/>
                <w:lang w:val="en-IN"/>
              </w:rPr>
              <w:t>3</w:t>
            </w:r>
          </w:p>
        </w:tc>
        <w:tc>
          <w:tcPr>
            <w:tcW w:w="758" w:type="pct"/>
          </w:tcPr>
          <w:p w14:paraId="04CE3AFB"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8.10</w:t>
            </w:r>
          </w:p>
        </w:tc>
        <w:tc>
          <w:tcPr>
            <w:tcW w:w="715" w:type="pct"/>
          </w:tcPr>
          <w:p w14:paraId="76B9535F"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68.00</w:t>
            </w:r>
          </w:p>
        </w:tc>
        <w:tc>
          <w:tcPr>
            <w:tcW w:w="673" w:type="pct"/>
          </w:tcPr>
          <w:p w14:paraId="3EC05973"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0.85</w:t>
            </w:r>
          </w:p>
        </w:tc>
        <w:tc>
          <w:tcPr>
            <w:tcW w:w="673" w:type="pct"/>
          </w:tcPr>
          <w:p w14:paraId="74346704"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7.00</w:t>
            </w:r>
          </w:p>
        </w:tc>
        <w:tc>
          <w:tcPr>
            <w:tcW w:w="673" w:type="pct"/>
          </w:tcPr>
          <w:p w14:paraId="19610748" w14:textId="77777777" w:rsidR="0018702D" w:rsidRPr="00253980" w:rsidRDefault="0018702D" w:rsidP="000B271F">
            <w:pPr>
              <w:spacing w:line="360" w:lineRule="auto"/>
              <w:jc w:val="center"/>
              <w:rPr>
                <w:rFonts w:ascii="Times New Roman" w:hAnsi="Times New Roman" w:cs="Times New Roman"/>
                <w:sz w:val="24"/>
                <w:szCs w:val="24"/>
              </w:rPr>
            </w:pPr>
            <w:r w:rsidRPr="00253980">
              <w:rPr>
                <w:rFonts w:ascii="Times New Roman" w:hAnsi="Times New Roman" w:cs="Times New Roman"/>
                <w:sz w:val="24"/>
                <w:szCs w:val="24"/>
              </w:rPr>
              <w:t>4.50</w:t>
            </w:r>
          </w:p>
        </w:tc>
      </w:tr>
    </w:tbl>
    <w:p w14:paraId="386F76B2" w14:textId="77777777" w:rsidR="0018702D" w:rsidRPr="00253980" w:rsidRDefault="00862189" w:rsidP="000B271F">
      <w:pPr>
        <w:spacing w:line="360" w:lineRule="auto"/>
        <w:jc w:val="both"/>
        <w:rPr>
          <w:rFonts w:ascii="Times New Roman" w:hAnsi="Times New Roman" w:cs="Times New Roman"/>
          <w:sz w:val="24"/>
          <w:szCs w:val="24"/>
        </w:rPr>
      </w:pPr>
      <w:r w:rsidRPr="00253980">
        <w:t xml:space="preserve">Table 2. Soil Parameters of Experimental site </w:t>
      </w:r>
    </w:p>
    <w:p w14:paraId="27295DC3" w14:textId="77777777" w:rsidR="000B271F" w:rsidRPr="00253980" w:rsidRDefault="000B271F" w:rsidP="000B271F">
      <w:pPr>
        <w:spacing w:line="360" w:lineRule="auto"/>
        <w:jc w:val="both"/>
        <w:rPr>
          <w:rFonts w:ascii="Times New Roman" w:hAnsi="Times New Roman" w:cs="Times New Roman"/>
          <w:sz w:val="24"/>
          <w:szCs w:val="24"/>
        </w:rPr>
      </w:pPr>
    </w:p>
    <w:p w14:paraId="78FEC62C" w14:textId="77777777" w:rsidR="0018702D" w:rsidRPr="00253980" w:rsidRDefault="0018702D" w:rsidP="000B271F">
      <w:pPr>
        <w:spacing w:line="360" w:lineRule="auto"/>
        <w:jc w:val="both"/>
        <w:rPr>
          <w:rFonts w:ascii="Times New Roman" w:hAnsi="Times New Roman" w:cs="Times New Roman"/>
          <w:color w:val="000000" w:themeColor="text1"/>
          <w:sz w:val="24"/>
          <w:szCs w:val="24"/>
        </w:rPr>
      </w:pPr>
      <w:r w:rsidRPr="00253980">
        <w:rPr>
          <w:rFonts w:ascii="Times New Roman" w:hAnsi="Times New Roman" w:cs="Times New Roman"/>
          <w:color w:val="000000" w:themeColor="text1"/>
          <w:sz w:val="24"/>
          <w:szCs w:val="24"/>
          <w:lang w:val="en-IN"/>
        </w:rPr>
        <w:t>Data expressed as mean ±</w:t>
      </w:r>
      <w:r w:rsidRPr="00253980">
        <w:rPr>
          <w:rFonts w:ascii="Times New Roman" w:hAnsi="Times New Roman" w:cs="Times New Roman"/>
          <w:color w:val="000000" w:themeColor="text1"/>
          <w:sz w:val="24"/>
          <w:szCs w:val="24"/>
        </w:rPr>
        <w:t xml:space="preserve"> SE (n=3)</w:t>
      </w:r>
    </w:p>
    <w:p w14:paraId="610578FF" w14:textId="77777777" w:rsidR="0018702D" w:rsidRPr="00253980" w:rsidRDefault="0018702D" w:rsidP="000B271F">
      <w:pPr>
        <w:spacing w:line="360" w:lineRule="auto"/>
        <w:jc w:val="both"/>
        <w:rPr>
          <w:rFonts w:ascii="Times New Roman" w:hAnsi="Times New Roman" w:cs="Times New Roman"/>
          <w:b/>
          <w:color w:val="000000" w:themeColor="text1"/>
          <w:sz w:val="24"/>
          <w:szCs w:val="24"/>
          <w:u w:val="single"/>
          <w:lang w:val="en-IN"/>
        </w:rPr>
      </w:pPr>
      <w:r w:rsidRPr="00253980">
        <w:rPr>
          <w:rFonts w:ascii="Times New Roman" w:hAnsi="Times New Roman" w:cs="Times New Roman"/>
          <w:color w:val="000000" w:themeColor="text1"/>
          <w:sz w:val="24"/>
          <w:szCs w:val="24"/>
        </w:rPr>
        <w:t>Mean value in the same column sharing different superscripts are significantly different (P&lt;0.05).</w:t>
      </w:r>
      <w:r w:rsidRPr="00253980">
        <w:rPr>
          <w:rFonts w:ascii="Times New Roman" w:hAnsi="Times New Roman" w:cs="Times New Roman"/>
          <w:b/>
          <w:color w:val="000000" w:themeColor="text1"/>
          <w:sz w:val="24"/>
          <w:szCs w:val="24"/>
          <w:u w:val="single"/>
          <w:lang w:val="en-IN"/>
        </w:rPr>
        <w:t xml:space="preserve"> </w:t>
      </w:r>
    </w:p>
    <w:p w14:paraId="29FFC7F3" w14:textId="77777777" w:rsidR="0018702D" w:rsidRPr="00253980" w:rsidRDefault="0018702D" w:rsidP="000B271F">
      <w:pPr>
        <w:spacing w:line="360" w:lineRule="auto"/>
        <w:jc w:val="both"/>
        <w:rPr>
          <w:rFonts w:ascii="Times New Roman" w:hAnsi="Times New Roman" w:cs="Times New Roman"/>
          <w:sz w:val="24"/>
          <w:szCs w:val="24"/>
        </w:rPr>
      </w:pPr>
      <w:r w:rsidRPr="00253980">
        <w:rPr>
          <w:rFonts w:ascii="Times New Roman" w:hAnsi="Times New Roman" w:cs="Times New Roman"/>
          <w:noProof/>
          <w:sz w:val="24"/>
          <w:szCs w:val="24"/>
        </w:rPr>
        <w:drawing>
          <wp:inline distT="0" distB="0" distL="0" distR="0" wp14:anchorId="72AD2CE2" wp14:editId="789FD8A7">
            <wp:extent cx="4572000" cy="2743200"/>
            <wp:effectExtent l="0" t="0" r="19050" b="190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A66BAD" w14:textId="77777777" w:rsidR="0018702D" w:rsidRPr="000B271F" w:rsidRDefault="009839AD" w:rsidP="000B271F">
      <w:pPr>
        <w:spacing w:line="360" w:lineRule="auto"/>
        <w:jc w:val="both"/>
        <w:rPr>
          <w:rFonts w:ascii="Times New Roman" w:hAnsi="Times New Roman" w:cs="Times New Roman"/>
          <w:b/>
          <w:color w:val="000000" w:themeColor="text1"/>
          <w:sz w:val="24"/>
          <w:szCs w:val="24"/>
          <w:u w:val="single"/>
          <w:lang w:val="en-IN"/>
        </w:rPr>
      </w:pPr>
      <w:r w:rsidRPr="00253980">
        <w:t>Figure 1. Different types of water quality parameters</w:t>
      </w:r>
    </w:p>
    <w:sectPr w:rsidR="0018702D" w:rsidRPr="000B271F" w:rsidSect="002C1C05">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F4EC" w14:textId="77777777" w:rsidR="001A18EC" w:rsidRDefault="001A18EC" w:rsidP="00F61AD1">
      <w:pPr>
        <w:spacing w:after="0" w:line="240" w:lineRule="auto"/>
      </w:pPr>
      <w:r>
        <w:separator/>
      </w:r>
    </w:p>
  </w:endnote>
  <w:endnote w:type="continuationSeparator" w:id="0">
    <w:p w14:paraId="0D83AB62" w14:textId="77777777" w:rsidR="001A18EC" w:rsidRDefault="001A18EC" w:rsidP="00F61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3E72" w14:textId="77777777" w:rsidR="00827872" w:rsidRDefault="00827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6874" w14:textId="77777777" w:rsidR="00827872" w:rsidRDefault="008278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5DD8" w14:textId="77777777" w:rsidR="00827872" w:rsidRDefault="00827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247F4" w14:textId="77777777" w:rsidR="001A18EC" w:rsidRDefault="001A18EC" w:rsidP="00F61AD1">
      <w:pPr>
        <w:spacing w:after="0" w:line="240" w:lineRule="auto"/>
      </w:pPr>
      <w:r>
        <w:separator/>
      </w:r>
    </w:p>
  </w:footnote>
  <w:footnote w:type="continuationSeparator" w:id="0">
    <w:p w14:paraId="4C1D092C" w14:textId="77777777" w:rsidR="001A18EC" w:rsidRDefault="001A18EC" w:rsidP="00F61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043D" w14:textId="77777777" w:rsidR="00827872" w:rsidRDefault="00000000">
    <w:pPr>
      <w:pStyle w:val="Header"/>
    </w:pPr>
    <w:r>
      <w:rPr>
        <w:noProof/>
      </w:rPr>
      <w:pict w14:anchorId="23288F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142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55EDA" w14:textId="77777777" w:rsidR="00827872" w:rsidRDefault="00000000">
    <w:pPr>
      <w:pStyle w:val="Header"/>
    </w:pPr>
    <w:r>
      <w:rPr>
        <w:noProof/>
      </w:rPr>
      <w:pict w14:anchorId="08104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142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8C0F" w14:textId="77777777" w:rsidR="00827872" w:rsidRDefault="00000000">
    <w:pPr>
      <w:pStyle w:val="Header"/>
    </w:pPr>
    <w:r>
      <w:rPr>
        <w:noProof/>
      </w:rPr>
      <w:pict w14:anchorId="573E5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142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2AEF"/>
    <w:multiLevelType w:val="hybridMultilevel"/>
    <w:tmpl w:val="8FAE8D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3350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zMjIxMDMwMDS0MDZX0lEKTi0uzszPAykwrAUAMd5mdywAAAA="/>
  </w:docVars>
  <w:rsids>
    <w:rsidRoot w:val="00B72328"/>
    <w:rsid w:val="000123BD"/>
    <w:rsid w:val="00056B7A"/>
    <w:rsid w:val="000B271F"/>
    <w:rsid w:val="00136597"/>
    <w:rsid w:val="00137D4D"/>
    <w:rsid w:val="001409B7"/>
    <w:rsid w:val="00157C42"/>
    <w:rsid w:val="00182638"/>
    <w:rsid w:val="0018702D"/>
    <w:rsid w:val="001A18EC"/>
    <w:rsid w:val="00253980"/>
    <w:rsid w:val="00275427"/>
    <w:rsid w:val="002C1C05"/>
    <w:rsid w:val="00344ADE"/>
    <w:rsid w:val="003B53E4"/>
    <w:rsid w:val="00416C54"/>
    <w:rsid w:val="004176AF"/>
    <w:rsid w:val="004904A3"/>
    <w:rsid w:val="004E678F"/>
    <w:rsid w:val="005245B5"/>
    <w:rsid w:val="005638F3"/>
    <w:rsid w:val="00565E44"/>
    <w:rsid w:val="00571984"/>
    <w:rsid w:val="006068B1"/>
    <w:rsid w:val="00671F2B"/>
    <w:rsid w:val="006A5450"/>
    <w:rsid w:val="00734385"/>
    <w:rsid w:val="00765C58"/>
    <w:rsid w:val="0077169E"/>
    <w:rsid w:val="00785458"/>
    <w:rsid w:val="007A692F"/>
    <w:rsid w:val="00827872"/>
    <w:rsid w:val="00862189"/>
    <w:rsid w:val="00886AB6"/>
    <w:rsid w:val="008F494D"/>
    <w:rsid w:val="00933299"/>
    <w:rsid w:val="009839AD"/>
    <w:rsid w:val="009C03DC"/>
    <w:rsid w:val="009D0B72"/>
    <w:rsid w:val="00A34EC7"/>
    <w:rsid w:val="00A651C3"/>
    <w:rsid w:val="00AE7CF1"/>
    <w:rsid w:val="00B5190A"/>
    <w:rsid w:val="00B66020"/>
    <w:rsid w:val="00B72328"/>
    <w:rsid w:val="00BD1FDB"/>
    <w:rsid w:val="00C33548"/>
    <w:rsid w:val="00C76A31"/>
    <w:rsid w:val="00CD44B6"/>
    <w:rsid w:val="00D00D04"/>
    <w:rsid w:val="00D35E7B"/>
    <w:rsid w:val="00D478D1"/>
    <w:rsid w:val="00DB6281"/>
    <w:rsid w:val="00DC0060"/>
    <w:rsid w:val="00DD002E"/>
    <w:rsid w:val="00E04087"/>
    <w:rsid w:val="00EC0944"/>
    <w:rsid w:val="00F11FDE"/>
    <w:rsid w:val="00F6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6610E"/>
  <w15:docId w15:val="{61F84C2D-4792-40E3-A157-C7213A00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4A3"/>
    <w:pPr>
      <w:ind w:left="720"/>
      <w:contextualSpacing/>
    </w:pPr>
  </w:style>
  <w:style w:type="paragraph" w:customStyle="1" w:styleId="Default">
    <w:name w:val="Default"/>
    <w:rsid w:val="004904A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90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4A3"/>
    <w:rPr>
      <w:rFonts w:ascii="Tahoma" w:hAnsi="Tahoma" w:cs="Tahoma"/>
      <w:sz w:val="16"/>
      <w:szCs w:val="16"/>
    </w:rPr>
  </w:style>
  <w:style w:type="character" w:styleId="Hyperlink">
    <w:name w:val="Hyperlink"/>
    <w:basedOn w:val="DefaultParagraphFont"/>
    <w:uiPriority w:val="99"/>
    <w:unhideWhenUsed/>
    <w:rsid w:val="00DB6281"/>
    <w:rPr>
      <w:color w:val="0000FF"/>
      <w:u w:val="single"/>
    </w:rPr>
  </w:style>
  <w:style w:type="table" w:styleId="TableGrid">
    <w:name w:val="Table Grid"/>
    <w:basedOn w:val="TableNormal"/>
    <w:uiPriority w:val="59"/>
    <w:rsid w:val="0018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16C54"/>
    <w:rPr>
      <w:color w:val="605E5C"/>
      <w:shd w:val="clear" w:color="auto" w:fill="E1DFDD"/>
    </w:rPr>
  </w:style>
  <w:style w:type="paragraph" w:styleId="Header">
    <w:name w:val="header"/>
    <w:basedOn w:val="Normal"/>
    <w:link w:val="HeaderChar"/>
    <w:uiPriority w:val="99"/>
    <w:unhideWhenUsed/>
    <w:rsid w:val="00F61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AD1"/>
  </w:style>
  <w:style w:type="paragraph" w:styleId="Footer">
    <w:name w:val="footer"/>
    <w:basedOn w:val="Normal"/>
    <w:link w:val="FooterChar"/>
    <w:uiPriority w:val="99"/>
    <w:unhideWhenUsed/>
    <w:rsid w:val="00F61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AD1"/>
  </w:style>
  <w:style w:type="character" w:styleId="Emphasis">
    <w:name w:val="Emphasis"/>
    <w:basedOn w:val="DefaultParagraphFont"/>
    <w:uiPriority w:val="20"/>
    <w:qFormat/>
    <w:rsid w:val="005638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worldcat.org/title/156744115" TargetMode="External"/><Relationship Id="rId13" Type="http://schemas.openxmlformats.org/officeDocument/2006/relationships/hyperlink" Target="https://www.fao.org/fishery/docs/CDrom/FAO_Training/FAO_Training/General/x6706e/x6706e00.htm" TargetMode="External"/><Relationship Id="rId18" Type="http://schemas.openxmlformats.org/officeDocument/2006/relationships/hyperlink" Target="https://doi.org/10.1016/S0044-8486(98)00298-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3390/ani16010053" TargetMode="External"/><Relationship Id="rId7" Type="http://schemas.openxmlformats.org/officeDocument/2006/relationships/hyperlink" Target="https://doi.org/10.1002/aff2.70000" TargetMode="External"/><Relationship Id="rId12" Type="http://schemas.openxmlformats.org/officeDocument/2006/relationships/hyperlink" Target="https://doi.org/10.1080/10641260701624177" TargetMode="External"/><Relationship Id="rId17" Type="http://schemas.openxmlformats.org/officeDocument/2006/relationships/hyperlink" Target="https://www.fao.org/global-soil-partnership/glosolan-old/repository/standard-operating-procedures/en/"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9734/ajfar/2024/v26i11836" TargetMode="External"/><Relationship Id="rId20" Type="http://schemas.openxmlformats.org/officeDocument/2006/relationships/hyperlink" Target="https://doi.org/10.1111/raq.12892"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749-7345.1996.tb00265.x"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016/j.aquaeng.2005.08.011" TargetMode="External"/><Relationship Id="rId23" Type="http://schemas.openxmlformats.org/officeDocument/2006/relationships/chart" Target="charts/chart1.xml"/><Relationship Id="rId28" Type="http://schemas.openxmlformats.org/officeDocument/2006/relationships/header" Target="header3.xml"/><Relationship Id="rId10" Type="http://schemas.openxmlformats.org/officeDocument/2006/relationships/hyperlink" Target="https://doi.org/10.1111/jwas.12714" TargetMode="External"/><Relationship Id="rId19" Type="http://schemas.openxmlformats.org/officeDocument/2006/relationships/hyperlink" Target="https://doi.org/10.56557/ajocr/2025/v10i4982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6/S0044-8486(02)00641-5" TargetMode="External"/><Relationship Id="rId14" Type="http://schemas.openxmlformats.org/officeDocument/2006/relationships/hyperlink" Target="https://agris.fao.org/search/en/providers/122535/records/65ddfb5eb766d82b18fb9a2e" TargetMode="External"/><Relationship Id="rId22" Type="http://schemas.openxmlformats.org/officeDocument/2006/relationships/hyperlink" Target="https://doi.org/10.3390/foods13101435" TargetMode="External"/><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Lemna\Clint%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3"/>
    </mc:Choice>
    <mc:Fallback>
      <c:style val="13"/>
    </mc:Fallback>
  </mc:AlternateContent>
  <c:chart>
    <c:autoTitleDeleted val="0"/>
    <c:plotArea>
      <c:layout/>
      <c:barChart>
        <c:barDir val="col"/>
        <c:grouping val="clustered"/>
        <c:varyColors val="0"/>
        <c:ser>
          <c:idx val="0"/>
          <c:order val="0"/>
          <c:tx>
            <c:strRef>
              <c:f>Sheet1!$B$13</c:f>
              <c:strCache>
                <c:ptCount val="1"/>
                <c:pt idx="0">
                  <c:v>C</c:v>
                </c:pt>
              </c:strCache>
            </c:strRef>
          </c:tx>
          <c:invertIfNegative val="0"/>
          <c:cat>
            <c:strRef>
              <c:f>Sheet1!$A$14:$A$18</c:f>
              <c:strCache>
                <c:ptCount val="5"/>
                <c:pt idx="0">
                  <c:v>Temperature (0C)</c:v>
                </c:pt>
                <c:pt idx="1">
                  <c:v>pH</c:v>
                </c:pt>
                <c:pt idx="2">
                  <c:v>Alkalinity (mg/lit)</c:v>
                </c:pt>
                <c:pt idx="3">
                  <c:v>D.O (mg/lit)</c:v>
                </c:pt>
                <c:pt idx="4">
                  <c:v>TDS (mg/lit)</c:v>
                </c:pt>
              </c:strCache>
            </c:strRef>
          </c:cat>
          <c:val>
            <c:numRef>
              <c:f>Sheet1!$B$14:$B$18</c:f>
              <c:numCache>
                <c:formatCode>General</c:formatCode>
                <c:ptCount val="5"/>
                <c:pt idx="0">
                  <c:v>25.150000000000027</c:v>
                </c:pt>
                <c:pt idx="1">
                  <c:v>8.25</c:v>
                </c:pt>
                <c:pt idx="2">
                  <c:v>140</c:v>
                </c:pt>
                <c:pt idx="3">
                  <c:v>6.2</c:v>
                </c:pt>
                <c:pt idx="4">
                  <c:v>475</c:v>
                </c:pt>
              </c:numCache>
            </c:numRef>
          </c:val>
          <c:extLst>
            <c:ext xmlns:c16="http://schemas.microsoft.com/office/drawing/2014/chart" uri="{C3380CC4-5D6E-409C-BE32-E72D297353CC}">
              <c16:uniqueId val="{00000000-2593-4249-B279-29808C4F6ADB}"/>
            </c:ext>
          </c:extLst>
        </c:ser>
        <c:dLbls>
          <c:showLegendKey val="0"/>
          <c:showVal val="0"/>
          <c:showCatName val="0"/>
          <c:showSerName val="0"/>
          <c:showPercent val="0"/>
          <c:showBubbleSize val="0"/>
        </c:dLbls>
        <c:gapWidth val="150"/>
        <c:axId val="150030976"/>
        <c:axId val="155038848"/>
      </c:barChart>
      <c:stockChart>
        <c:ser>
          <c:idx val="1"/>
          <c:order val="1"/>
          <c:tx>
            <c:strRef>
              <c:f>Sheet1!$C$13</c:f>
              <c:strCache>
                <c:ptCount val="1"/>
                <c:pt idx="0">
                  <c:v>T1</c:v>
                </c:pt>
              </c:strCache>
            </c:strRef>
          </c:tx>
          <c:spPr>
            <a:ln w="47625">
              <a:noFill/>
            </a:ln>
          </c:spPr>
          <c:marker>
            <c:symbol val="none"/>
          </c:marker>
          <c:cat>
            <c:strRef>
              <c:f>Sheet1!$A$14:$A$18</c:f>
              <c:strCache>
                <c:ptCount val="5"/>
                <c:pt idx="0">
                  <c:v>Temperature (0C)</c:v>
                </c:pt>
                <c:pt idx="1">
                  <c:v>pH</c:v>
                </c:pt>
                <c:pt idx="2">
                  <c:v>Alkalinity (mg/lit)</c:v>
                </c:pt>
                <c:pt idx="3">
                  <c:v>D.O (mg/lit)</c:v>
                </c:pt>
                <c:pt idx="4">
                  <c:v>TDS (mg/lit)</c:v>
                </c:pt>
              </c:strCache>
            </c:strRef>
          </c:cat>
          <c:val>
            <c:numRef>
              <c:f>Sheet1!$C$14:$C$18</c:f>
              <c:numCache>
                <c:formatCode>General</c:formatCode>
                <c:ptCount val="5"/>
                <c:pt idx="0">
                  <c:v>25.1</c:v>
                </c:pt>
                <c:pt idx="1">
                  <c:v>8.2000000000000011</c:v>
                </c:pt>
                <c:pt idx="2">
                  <c:v>150</c:v>
                </c:pt>
                <c:pt idx="3">
                  <c:v>5.5</c:v>
                </c:pt>
                <c:pt idx="4">
                  <c:v>579</c:v>
                </c:pt>
              </c:numCache>
            </c:numRef>
          </c:val>
          <c:smooth val="0"/>
          <c:extLst>
            <c:ext xmlns:c16="http://schemas.microsoft.com/office/drawing/2014/chart" uri="{C3380CC4-5D6E-409C-BE32-E72D297353CC}">
              <c16:uniqueId val="{00000001-2593-4249-B279-29808C4F6ADB}"/>
            </c:ext>
          </c:extLst>
        </c:ser>
        <c:ser>
          <c:idx val="2"/>
          <c:order val="2"/>
          <c:tx>
            <c:strRef>
              <c:f>Sheet1!$D$13</c:f>
              <c:strCache>
                <c:ptCount val="1"/>
                <c:pt idx="0">
                  <c:v>T2</c:v>
                </c:pt>
              </c:strCache>
            </c:strRef>
          </c:tx>
          <c:spPr>
            <a:ln w="47625">
              <a:noFill/>
            </a:ln>
          </c:spPr>
          <c:marker>
            <c:symbol val="none"/>
          </c:marker>
          <c:cat>
            <c:strRef>
              <c:f>Sheet1!$A$14:$A$18</c:f>
              <c:strCache>
                <c:ptCount val="5"/>
                <c:pt idx="0">
                  <c:v>Temperature (0C)</c:v>
                </c:pt>
                <c:pt idx="1">
                  <c:v>pH</c:v>
                </c:pt>
                <c:pt idx="2">
                  <c:v>Alkalinity (mg/lit)</c:v>
                </c:pt>
                <c:pt idx="3">
                  <c:v>D.O (mg/lit)</c:v>
                </c:pt>
                <c:pt idx="4">
                  <c:v>TDS (mg/lit)</c:v>
                </c:pt>
              </c:strCache>
            </c:strRef>
          </c:cat>
          <c:val>
            <c:numRef>
              <c:f>Sheet1!$D$14:$D$18</c:f>
              <c:numCache>
                <c:formatCode>General</c:formatCode>
                <c:ptCount val="5"/>
                <c:pt idx="0">
                  <c:v>25.2</c:v>
                </c:pt>
                <c:pt idx="1">
                  <c:v>8.2000000000000011</c:v>
                </c:pt>
                <c:pt idx="2">
                  <c:v>145</c:v>
                </c:pt>
                <c:pt idx="3">
                  <c:v>6.5</c:v>
                </c:pt>
                <c:pt idx="4">
                  <c:v>505</c:v>
                </c:pt>
              </c:numCache>
            </c:numRef>
          </c:val>
          <c:smooth val="0"/>
          <c:extLst>
            <c:ext xmlns:c16="http://schemas.microsoft.com/office/drawing/2014/chart" uri="{C3380CC4-5D6E-409C-BE32-E72D297353CC}">
              <c16:uniqueId val="{00000002-2593-4249-B279-29808C4F6ADB}"/>
            </c:ext>
          </c:extLst>
        </c:ser>
        <c:ser>
          <c:idx val="3"/>
          <c:order val="3"/>
          <c:tx>
            <c:strRef>
              <c:f>Sheet1!$E$13</c:f>
              <c:strCache>
                <c:ptCount val="1"/>
                <c:pt idx="0">
                  <c:v>T3</c:v>
                </c:pt>
              </c:strCache>
            </c:strRef>
          </c:tx>
          <c:spPr>
            <a:ln w="47625">
              <a:noFill/>
            </a:ln>
          </c:spPr>
          <c:cat>
            <c:strRef>
              <c:f>Sheet1!$A$14:$A$18</c:f>
              <c:strCache>
                <c:ptCount val="5"/>
                <c:pt idx="0">
                  <c:v>Temperature (0C)</c:v>
                </c:pt>
                <c:pt idx="1">
                  <c:v>pH</c:v>
                </c:pt>
                <c:pt idx="2">
                  <c:v>Alkalinity (mg/lit)</c:v>
                </c:pt>
                <c:pt idx="3">
                  <c:v>D.O (mg/lit)</c:v>
                </c:pt>
                <c:pt idx="4">
                  <c:v>TDS (mg/lit)</c:v>
                </c:pt>
              </c:strCache>
            </c:strRef>
          </c:cat>
          <c:val>
            <c:numRef>
              <c:f>Sheet1!$E$14:$E$18</c:f>
              <c:numCache>
                <c:formatCode>General</c:formatCode>
                <c:ptCount val="5"/>
                <c:pt idx="0">
                  <c:v>25.3</c:v>
                </c:pt>
                <c:pt idx="1">
                  <c:v>8.25</c:v>
                </c:pt>
                <c:pt idx="2">
                  <c:v>145</c:v>
                </c:pt>
                <c:pt idx="3">
                  <c:v>6.1499999999999995</c:v>
                </c:pt>
                <c:pt idx="4">
                  <c:v>495</c:v>
                </c:pt>
              </c:numCache>
            </c:numRef>
          </c:val>
          <c:smooth val="0"/>
          <c:extLst>
            <c:ext xmlns:c16="http://schemas.microsoft.com/office/drawing/2014/chart" uri="{C3380CC4-5D6E-409C-BE32-E72D297353CC}">
              <c16:uniqueId val="{00000003-2593-4249-B279-29808C4F6ADB}"/>
            </c:ext>
          </c:extLst>
        </c:ser>
        <c:dLbls>
          <c:showLegendKey val="0"/>
          <c:showVal val="0"/>
          <c:showCatName val="0"/>
          <c:showSerName val="0"/>
          <c:showPercent val="0"/>
          <c:showBubbleSize val="0"/>
        </c:dLbls>
        <c:hiLowLines/>
        <c:axId val="166411264"/>
        <c:axId val="164564992"/>
      </c:stockChart>
      <c:catAx>
        <c:axId val="150030976"/>
        <c:scaling>
          <c:orientation val="minMax"/>
        </c:scaling>
        <c:delete val="0"/>
        <c:axPos val="b"/>
        <c:numFmt formatCode="General" sourceLinked="0"/>
        <c:majorTickMark val="out"/>
        <c:minorTickMark val="none"/>
        <c:tickLblPos val="nextTo"/>
        <c:crossAx val="155038848"/>
        <c:crosses val="autoZero"/>
        <c:auto val="1"/>
        <c:lblAlgn val="ctr"/>
        <c:lblOffset val="100"/>
        <c:noMultiLvlLbl val="0"/>
      </c:catAx>
      <c:valAx>
        <c:axId val="155038848"/>
        <c:scaling>
          <c:orientation val="minMax"/>
        </c:scaling>
        <c:delete val="0"/>
        <c:axPos val="l"/>
        <c:majorGridlines/>
        <c:numFmt formatCode="General" sourceLinked="1"/>
        <c:majorTickMark val="out"/>
        <c:minorTickMark val="none"/>
        <c:tickLblPos val="nextTo"/>
        <c:crossAx val="150030976"/>
        <c:crosses val="autoZero"/>
        <c:crossBetween val="between"/>
      </c:valAx>
      <c:valAx>
        <c:axId val="164564992"/>
        <c:scaling>
          <c:orientation val="minMax"/>
        </c:scaling>
        <c:delete val="0"/>
        <c:axPos val="r"/>
        <c:numFmt formatCode="General" sourceLinked="1"/>
        <c:majorTickMark val="out"/>
        <c:minorTickMark val="none"/>
        <c:tickLblPos val="nextTo"/>
        <c:crossAx val="166411264"/>
        <c:crosses val="max"/>
        <c:crossBetween val="between"/>
      </c:valAx>
      <c:catAx>
        <c:axId val="166411264"/>
        <c:scaling>
          <c:orientation val="minMax"/>
        </c:scaling>
        <c:delete val="1"/>
        <c:axPos val="b"/>
        <c:numFmt formatCode="General" sourceLinked="1"/>
        <c:majorTickMark val="out"/>
        <c:minorTickMark val="none"/>
        <c:tickLblPos val="nextTo"/>
        <c:crossAx val="164564992"/>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14</Pages>
  <Words>4287</Words>
  <Characters>24438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Subhajit</dc:creator>
  <cp:lastModifiedBy>SDI 1020</cp:lastModifiedBy>
  <cp:revision>33</cp:revision>
  <dcterms:created xsi:type="dcterms:W3CDTF">2026-06-19T05:55:00Z</dcterms:created>
  <dcterms:modified xsi:type="dcterms:W3CDTF">2026-07-27T10:43:00Z</dcterms:modified>
</cp:coreProperties>
</file>