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6A71" w14:textId="77777777" w:rsidR="00E504C7" w:rsidRPr="00314FD9" w:rsidRDefault="00000000" w:rsidP="002C1309">
      <w:pPr>
        <w:jc w:val="right"/>
        <w:rPr>
          <w:rFonts w:ascii="Arial" w:hAnsi="Arial" w:cs="Arial"/>
          <w:b/>
          <w:bCs/>
          <w:sz w:val="36"/>
          <w:szCs w:val="36"/>
        </w:rPr>
      </w:pPr>
      <w:r w:rsidRPr="00314FD9">
        <w:rPr>
          <w:rFonts w:ascii="Arial" w:hAnsi="Arial" w:cs="Arial"/>
          <w:b/>
          <w:bCs/>
          <w:sz w:val="36"/>
          <w:szCs w:val="36"/>
        </w:rPr>
        <w:t>Influence of Abiotic Factors on the Population Dynamics of Rice Leaf Folder (</w:t>
      </w:r>
      <w:proofErr w:type="spellStart"/>
      <w:r w:rsidRPr="00314FD9">
        <w:rPr>
          <w:rFonts w:ascii="Arial" w:hAnsi="Arial" w:cs="Arial"/>
          <w:b/>
          <w:bCs/>
          <w:i/>
          <w:iCs/>
          <w:sz w:val="36"/>
          <w:szCs w:val="36"/>
        </w:rPr>
        <w:t>Cnaphalocrocis</w:t>
      </w:r>
      <w:proofErr w:type="spellEnd"/>
      <w:r w:rsidRPr="00314FD9">
        <w:rPr>
          <w:rFonts w:ascii="Arial" w:hAnsi="Arial" w:cs="Arial"/>
          <w:b/>
          <w:bCs/>
          <w:i/>
          <w:iCs/>
          <w:sz w:val="36"/>
          <w:szCs w:val="36"/>
        </w:rPr>
        <w:t xml:space="preserve"> </w:t>
      </w:r>
      <w:proofErr w:type="spellStart"/>
      <w:r w:rsidRPr="00314FD9">
        <w:rPr>
          <w:rFonts w:ascii="Arial" w:hAnsi="Arial" w:cs="Arial"/>
          <w:b/>
          <w:bCs/>
          <w:i/>
          <w:iCs/>
          <w:sz w:val="36"/>
          <w:szCs w:val="36"/>
        </w:rPr>
        <w:t>medinalis</w:t>
      </w:r>
      <w:proofErr w:type="spellEnd"/>
      <w:r w:rsidRPr="00314FD9">
        <w:rPr>
          <w:rFonts w:ascii="Arial" w:hAnsi="Arial" w:cs="Arial"/>
          <w:b/>
          <w:bCs/>
          <w:sz w:val="36"/>
          <w:szCs w:val="36"/>
        </w:rPr>
        <w:t>) in the Varanasi Ecosystem</w:t>
      </w:r>
    </w:p>
    <w:p w14:paraId="025252D6" w14:textId="77777777" w:rsidR="00E504C7" w:rsidRPr="00314FD9" w:rsidRDefault="00E504C7" w:rsidP="002C1309">
      <w:pPr>
        <w:jc w:val="both"/>
        <w:rPr>
          <w:rFonts w:ascii="Arial" w:hAnsi="Arial" w:cs="Arial"/>
          <w:b/>
          <w:bCs/>
          <w:sz w:val="20"/>
          <w:szCs w:val="20"/>
        </w:rPr>
      </w:pPr>
    </w:p>
    <w:p w14:paraId="2B4090CB" w14:textId="77777777" w:rsidR="00E504C7" w:rsidRPr="00314FD9" w:rsidRDefault="00E504C7" w:rsidP="002C1309">
      <w:pPr>
        <w:jc w:val="both"/>
        <w:rPr>
          <w:rFonts w:ascii="Arial" w:hAnsi="Arial" w:cs="Arial"/>
          <w:b/>
          <w:bCs/>
          <w:sz w:val="20"/>
          <w:szCs w:val="20"/>
        </w:rPr>
      </w:pPr>
    </w:p>
    <w:p w14:paraId="66FF864D" w14:textId="77777777" w:rsidR="00E504C7" w:rsidRPr="00314FD9" w:rsidRDefault="00000000" w:rsidP="002C1309">
      <w:pPr>
        <w:jc w:val="both"/>
        <w:rPr>
          <w:rFonts w:ascii="Arial" w:hAnsi="Arial" w:cs="Arial"/>
          <w:b/>
          <w:bCs/>
        </w:rPr>
      </w:pPr>
      <w:r w:rsidRPr="00314FD9">
        <w:rPr>
          <w:rFonts w:ascii="Arial" w:hAnsi="Arial" w:cs="Arial"/>
          <w:b/>
          <w:bCs/>
        </w:rPr>
        <w:t>ABSTRACT</w:t>
      </w:r>
    </w:p>
    <w:p w14:paraId="73D01E8C" w14:textId="77777777" w:rsidR="00E504C7" w:rsidRPr="00314FD9" w:rsidRDefault="00000000" w:rsidP="002C1309">
      <w:pPr>
        <w:spacing w:before="100" w:beforeAutospacing="1" w:after="100" w:afterAutospacing="1" w:line="240" w:lineRule="auto"/>
        <w:ind w:firstLine="720"/>
        <w:jc w:val="both"/>
        <w:rPr>
          <w:rFonts w:ascii="Times New Roman" w:eastAsia="Times New Roman" w:hAnsi="Times New Roman" w:cs="Times New Roman"/>
          <w:kern w:val="0"/>
          <w14:ligatures w14:val="none"/>
        </w:rPr>
      </w:pPr>
      <w:bookmarkStart w:id="0" w:name="_Hlk211344944"/>
      <w:r w:rsidRPr="00314FD9">
        <w:rPr>
          <w:rFonts w:ascii="Times New Roman" w:eastAsia="Times New Roman" w:hAnsi="Times New Roman" w:cs="Times New Roman"/>
          <w:kern w:val="0"/>
          <w14:ligatures w14:val="none"/>
        </w:rPr>
        <w:t xml:space="preserve">A field investigation was conducted during the 2022 and 2023 </w:t>
      </w:r>
      <w:r w:rsidRPr="00314FD9">
        <w:rPr>
          <w:rFonts w:ascii="Times New Roman" w:eastAsia="Times New Roman" w:hAnsi="Times New Roman" w:cs="Times New Roman"/>
          <w:i/>
          <w:kern w:val="0"/>
          <w14:ligatures w14:val="none"/>
        </w:rPr>
        <w:t>kharif</w:t>
      </w:r>
      <w:r w:rsidRPr="00314FD9">
        <w:rPr>
          <w:rFonts w:ascii="Times New Roman" w:eastAsia="Times New Roman" w:hAnsi="Times New Roman" w:cs="Times New Roman"/>
          <w:kern w:val="0"/>
          <w14:ligatures w14:val="none"/>
        </w:rPr>
        <w:t xml:space="preserve"> seasons at the Agricultural Research Farm of Banaras Hindu University, Varanasi, to examine the seasonal incidence of rice leaf folder, </w:t>
      </w:r>
      <w:proofErr w:type="spellStart"/>
      <w:r w:rsidRPr="00314FD9">
        <w:rPr>
          <w:rFonts w:ascii="Times New Roman" w:eastAsia="Times New Roman" w:hAnsi="Times New Roman" w:cs="Times New Roman"/>
          <w:i/>
          <w:iCs/>
          <w:kern w:val="0"/>
          <w14:ligatures w14:val="none"/>
        </w:rPr>
        <w:t>Cnaphalocrocis</w:t>
      </w:r>
      <w:proofErr w:type="spellEnd"/>
      <w:r w:rsidRPr="00314FD9">
        <w:rPr>
          <w:rFonts w:ascii="Times New Roman" w:eastAsia="Times New Roman" w:hAnsi="Times New Roman" w:cs="Times New Roman"/>
          <w:i/>
          <w:iCs/>
          <w:kern w:val="0"/>
          <w14:ligatures w14:val="none"/>
        </w:rPr>
        <w:t xml:space="preserve"> </w:t>
      </w:r>
      <w:proofErr w:type="spellStart"/>
      <w:r w:rsidRPr="00314FD9">
        <w:rPr>
          <w:rFonts w:ascii="Times New Roman" w:eastAsia="Times New Roman" w:hAnsi="Times New Roman" w:cs="Times New Roman"/>
          <w:i/>
          <w:iCs/>
          <w:kern w:val="0"/>
          <w14:ligatures w14:val="none"/>
        </w:rPr>
        <w:t>medinalis</w:t>
      </w:r>
      <w:proofErr w:type="spellEnd"/>
      <w:r w:rsidRPr="00314FD9">
        <w:rPr>
          <w:rFonts w:ascii="Times New Roman" w:eastAsia="Times New Roman" w:hAnsi="Times New Roman" w:cs="Times New Roman"/>
          <w:kern w:val="0"/>
          <w14:ligatures w14:val="none"/>
        </w:rPr>
        <w:t xml:space="preserve">, and its association with selected weather variables. Rice leaf damage was assessed weekly on ten randomly selected hills in an unprotected 100 m² plot planted with the variety Swarna Sub1. The percentage of damaged leaves was recorded from the onset of infestation until crop maturity. Weekly observations were </w:t>
      </w:r>
      <w:proofErr w:type="spellStart"/>
      <w:r w:rsidRPr="00314FD9">
        <w:rPr>
          <w:rFonts w:ascii="Times New Roman" w:eastAsia="Times New Roman" w:hAnsi="Times New Roman" w:cs="Times New Roman"/>
          <w:kern w:val="0"/>
          <w14:ligatures w14:val="none"/>
        </w:rPr>
        <w:t>analysed</w:t>
      </w:r>
      <w:proofErr w:type="spellEnd"/>
      <w:r w:rsidRPr="00314FD9">
        <w:rPr>
          <w:rFonts w:ascii="Times New Roman" w:eastAsia="Times New Roman" w:hAnsi="Times New Roman" w:cs="Times New Roman"/>
          <w:kern w:val="0"/>
          <w14:ligatures w14:val="none"/>
        </w:rPr>
        <w:t xml:space="preserve"> in relation to rainfall, maximum and minimum temperatures, and morning and evening relative humidity, and correlation and regression analyses were performed. During 2022, post-onset leaf damage ranged from 2.5% to 17.5%, with the highest incidence observed during the 37</w:t>
      </w:r>
      <w:r w:rsidRPr="00314FD9">
        <w:rPr>
          <w:rFonts w:ascii="Times New Roman" w:eastAsia="Times New Roman" w:hAnsi="Times New Roman" w:cs="Times New Roman"/>
          <w:kern w:val="0"/>
          <w:vertAlign w:val="superscript"/>
          <w14:ligatures w14:val="none"/>
        </w:rPr>
        <w:t>th</w:t>
      </w:r>
      <w:r w:rsidRPr="00314FD9">
        <w:rPr>
          <w:rFonts w:ascii="Times New Roman" w:eastAsia="Times New Roman" w:hAnsi="Times New Roman" w:cs="Times New Roman"/>
          <w:kern w:val="0"/>
          <w14:ligatures w14:val="none"/>
        </w:rPr>
        <w:t xml:space="preserve"> Standard Meteorological Week. During 2023, leaf damage ranged from 3.0% to 17.5%, reaching its maximum during the 41</w:t>
      </w:r>
      <w:r w:rsidRPr="00314FD9">
        <w:rPr>
          <w:rFonts w:ascii="Times New Roman" w:eastAsia="Times New Roman" w:hAnsi="Times New Roman" w:cs="Times New Roman"/>
          <w:kern w:val="0"/>
          <w:vertAlign w:val="superscript"/>
          <w14:ligatures w14:val="none"/>
        </w:rPr>
        <w:t>st</w:t>
      </w:r>
      <w:r w:rsidRPr="00314FD9">
        <w:rPr>
          <w:rFonts w:ascii="Times New Roman" w:eastAsia="Times New Roman" w:hAnsi="Times New Roman" w:cs="Times New Roman"/>
          <w:kern w:val="0"/>
          <w14:ligatures w14:val="none"/>
        </w:rPr>
        <w:t xml:space="preserve"> Standard Meteorological Week. Morning relative humidity showed a positive correlation of 0.50 in both seasons, while evening relative humidity showed positive correlations of 0.55 in </w:t>
      </w:r>
      <w:r w:rsidRPr="00314FD9">
        <w:rPr>
          <w:rFonts w:ascii="Times New Roman" w:eastAsia="Times New Roman" w:hAnsi="Times New Roman" w:cs="Times New Roman"/>
          <w:i/>
          <w:iCs/>
          <w:kern w:val="0"/>
          <w14:ligatures w14:val="none"/>
        </w:rPr>
        <w:t>kharif</w:t>
      </w:r>
      <w:r w:rsidRPr="00314FD9">
        <w:rPr>
          <w:rFonts w:ascii="Times New Roman" w:eastAsia="Times New Roman" w:hAnsi="Times New Roman" w:cs="Times New Roman"/>
          <w:kern w:val="0"/>
          <w14:ligatures w14:val="none"/>
        </w:rPr>
        <w:t xml:space="preserve"> 2022 and 0.60 in </w:t>
      </w:r>
      <w:r w:rsidRPr="00314FD9">
        <w:rPr>
          <w:rFonts w:ascii="Times New Roman" w:eastAsia="Times New Roman" w:hAnsi="Times New Roman" w:cs="Times New Roman"/>
          <w:i/>
          <w:iCs/>
          <w:kern w:val="0"/>
          <w14:ligatures w14:val="none"/>
        </w:rPr>
        <w:t>kharif</w:t>
      </w:r>
      <w:r w:rsidRPr="00314FD9">
        <w:rPr>
          <w:rFonts w:ascii="Times New Roman" w:eastAsia="Times New Roman" w:hAnsi="Times New Roman" w:cs="Times New Roman"/>
          <w:iCs/>
          <w:kern w:val="0"/>
          <w14:ligatures w14:val="none"/>
        </w:rPr>
        <w:t xml:space="preserve"> </w:t>
      </w:r>
      <w:r w:rsidRPr="00314FD9">
        <w:rPr>
          <w:rFonts w:ascii="Times New Roman" w:eastAsia="Times New Roman" w:hAnsi="Times New Roman" w:cs="Times New Roman"/>
          <w:kern w:val="0"/>
          <w14:ligatures w14:val="none"/>
        </w:rPr>
        <w:t>2023. Maximum temperature, minimum temperature and rainfall showed weak negative correlations with leaf-folder damage. The observed seasonal pattern indicated that infestation increased during the middle part of the crop season and declined as the crop approached maturity. Under the conditions of this study, relative humidity showed the strongest positive association with rice leaf-folder damage, although further replicated, multi-location studies are required to evaluate its predictive value.</w:t>
      </w:r>
    </w:p>
    <w:p w14:paraId="1230D441" w14:textId="177B1524" w:rsidR="00E504C7" w:rsidRPr="00314FD9" w:rsidRDefault="00000000" w:rsidP="002C1309">
      <w:pPr>
        <w:jc w:val="both"/>
        <w:rPr>
          <w:rFonts w:ascii="Arial" w:eastAsia="SimSun" w:hAnsi="Arial" w:cs="Arial"/>
        </w:rPr>
      </w:pPr>
      <w:r w:rsidRPr="00314FD9">
        <w:rPr>
          <w:rFonts w:ascii="Arial" w:eastAsia="SimSun" w:hAnsi="Arial" w:cs="Arial"/>
          <w:b/>
          <w:bCs/>
          <w:sz w:val="22"/>
          <w:szCs w:val="22"/>
        </w:rPr>
        <w:t>Keywords</w:t>
      </w:r>
      <w:r w:rsidRPr="00314FD9">
        <w:rPr>
          <w:rFonts w:ascii="Arial" w:eastAsia="SimSun" w:hAnsi="Arial" w:cs="Arial"/>
          <w:sz w:val="22"/>
          <w:szCs w:val="22"/>
        </w:rPr>
        <w:t>:</w:t>
      </w:r>
      <w:r w:rsidRPr="00314FD9">
        <w:rPr>
          <w:rFonts w:ascii="Arial" w:eastAsia="SimSun" w:hAnsi="Arial" w:cs="Arial"/>
        </w:rPr>
        <w:t xml:space="preserve"> </w:t>
      </w:r>
      <w:r w:rsidR="00314FD9">
        <w:t xml:space="preserve">Rice leaf folder; </w:t>
      </w:r>
      <w:proofErr w:type="spellStart"/>
      <w:r w:rsidR="00314FD9">
        <w:rPr>
          <w:rStyle w:val="Emphasis"/>
        </w:rPr>
        <w:t>Cnaphalocrocis</w:t>
      </w:r>
      <w:proofErr w:type="spellEnd"/>
      <w:r w:rsidR="00314FD9">
        <w:rPr>
          <w:rStyle w:val="Emphasis"/>
        </w:rPr>
        <w:t xml:space="preserve"> </w:t>
      </w:r>
      <w:proofErr w:type="spellStart"/>
      <w:r w:rsidR="00314FD9">
        <w:rPr>
          <w:rStyle w:val="Emphasis"/>
        </w:rPr>
        <w:t>medinalis</w:t>
      </w:r>
      <w:proofErr w:type="spellEnd"/>
      <w:r w:rsidR="00314FD9">
        <w:t>; population dynamics; seasonal incidence; abiotic factors; relative humidity; temperature; rainfall; kharif rice; Varanasi ecosystem</w:t>
      </w:r>
    </w:p>
    <w:bookmarkEnd w:id="0"/>
    <w:p w14:paraId="764B6A99" w14:textId="77777777" w:rsidR="00E504C7" w:rsidRPr="00314FD9" w:rsidRDefault="00000000" w:rsidP="002C1309">
      <w:pPr>
        <w:jc w:val="both"/>
        <w:rPr>
          <w:rFonts w:ascii="Arial" w:hAnsi="Arial" w:cs="Arial"/>
          <w:b/>
          <w:bCs/>
          <w:sz w:val="22"/>
          <w:szCs w:val="22"/>
        </w:rPr>
      </w:pPr>
      <w:r w:rsidRPr="00314FD9">
        <w:rPr>
          <w:rFonts w:ascii="Arial" w:hAnsi="Arial" w:cs="Arial"/>
          <w:b/>
          <w:bCs/>
          <w:sz w:val="22"/>
          <w:szCs w:val="22"/>
        </w:rPr>
        <w:t xml:space="preserve">INTRODUCTION </w:t>
      </w:r>
    </w:p>
    <w:p w14:paraId="46455722"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t>Rice (</w:t>
      </w:r>
      <w:r w:rsidRPr="00314FD9">
        <w:rPr>
          <w:rFonts w:ascii="Arial" w:eastAsia="Arial" w:hAnsi="Arial" w:cs="Arial"/>
          <w:i/>
          <w:color w:val="000000"/>
          <w:sz w:val="20"/>
        </w:rPr>
        <w:t>Oryza sativa</w:t>
      </w:r>
      <w:r w:rsidRPr="00314FD9">
        <w:rPr>
          <w:rFonts w:ascii="Arial" w:eastAsia="Arial" w:hAnsi="Arial" w:cs="Arial"/>
          <w:color w:val="000000"/>
          <w:sz w:val="20"/>
        </w:rPr>
        <w:t xml:space="preserve"> L.) is one of the world's most important cereal crops and a major source of dietary energy. Asia is the principal rice-producing and rice-consuming region and is commonly described as the world's “Rice Bowl” (Pathak &amp; Khan, 1994). Rice agroecosystems support diverse arthropod communities, including numerous herbivorous pests and beneficial natural enemies (Pathak &amp; Khan, 1994). Globally, actual rice production losses attributable to weeds, pathogens and animal pests have been estimated at approximately 37% (Oerke, 2006). Among the important foliage-feeding pests,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Guenée</w:t>
      </w:r>
      <w:proofErr w:type="spellEnd"/>
      <w:r w:rsidRPr="00314FD9">
        <w:rPr>
          <w:rFonts w:ascii="Arial" w:eastAsia="Arial" w:hAnsi="Arial" w:cs="Arial"/>
          <w:color w:val="000000"/>
          <w:sz w:val="20"/>
        </w:rPr>
        <w:t xml:space="preserve"> (Lepidoptera: </w:t>
      </w:r>
      <w:proofErr w:type="spellStart"/>
      <w:r w:rsidRPr="00314FD9">
        <w:rPr>
          <w:rFonts w:ascii="Arial" w:eastAsia="Arial" w:hAnsi="Arial" w:cs="Arial"/>
          <w:color w:val="000000"/>
          <w:sz w:val="20"/>
        </w:rPr>
        <w:t>Crambidae</w:t>
      </w:r>
      <w:proofErr w:type="spellEnd"/>
      <w:r w:rsidRPr="00314FD9">
        <w:rPr>
          <w:rFonts w:ascii="Arial" w:eastAsia="Arial" w:hAnsi="Arial" w:cs="Arial"/>
          <w:color w:val="000000"/>
          <w:sz w:val="20"/>
        </w:rPr>
        <w:t xml:space="preserve">), commonly known as the rice leaf folder, is widely distributed in Asian rice-growing regions and can cause substantial physiological and yield effects under severe infestation (Chintalapati </w:t>
      </w:r>
      <w:r w:rsidRPr="00314FD9">
        <w:rPr>
          <w:rFonts w:ascii="Arial" w:eastAsia="Arial" w:hAnsi="Arial" w:cs="Arial"/>
          <w:i/>
          <w:color w:val="000000"/>
          <w:sz w:val="20"/>
        </w:rPr>
        <w:t>et al.</w:t>
      </w:r>
      <w:r w:rsidRPr="00314FD9">
        <w:rPr>
          <w:rFonts w:ascii="Arial" w:eastAsia="Arial" w:hAnsi="Arial" w:cs="Arial"/>
          <w:color w:val="000000"/>
          <w:sz w:val="20"/>
        </w:rPr>
        <w:t xml:space="preserve">, 2019; Padmavathi </w:t>
      </w:r>
      <w:r w:rsidRPr="00314FD9">
        <w:rPr>
          <w:rFonts w:ascii="Arial" w:eastAsia="Arial" w:hAnsi="Arial" w:cs="Arial"/>
          <w:i/>
          <w:color w:val="000000"/>
          <w:sz w:val="20"/>
        </w:rPr>
        <w:t>et al.</w:t>
      </w:r>
      <w:r w:rsidRPr="00314FD9">
        <w:rPr>
          <w:rFonts w:ascii="Arial" w:eastAsia="Arial" w:hAnsi="Arial" w:cs="Arial"/>
          <w:color w:val="000000"/>
          <w:sz w:val="20"/>
        </w:rPr>
        <w:t>, 2013a).</w:t>
      </w:r>
    </w:p>
    <w:p w14:paraId="6D2C8E63"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t xml:space="preserve">The rice leaf folder has become an important pest in many Asian rice ecosystems, and outbreaks are associated with susceptible high-yielding cultivars, intensive cultivation and </w:t>
      </w:r>
      <w:proofErr w:type="spellStart"/>
      <w:r w:rsidRPr="00314FD9">
        <w:rPr>
          <w:rFonts w:ascii="Arial" w:eastAsia="Arial" w:hAnsi="Arial" w:cs="Arial"/>
          <w:color w:val="000000"/>
          <w:sz w:val="20"/>
        </w:rPr>
        <w:t>favourable</w:t>
      </w:r>
      <w:proofErr w:type="spellEnd"/>
      <w:r w:rsidRPr="00314FD9">
        <w:rPr>
          <w:rFonts w:ascii="Arial" w:eastAsia="Arial" w:hAnsi="Arial" w:cs="Arial"/>
          <w:color w:val="000000"/>
          <w:sz w:val="20"/>
        </w:rPr>
        <w:t xml:space="preserve"> environmental conditions (Chintalapati </w:t>
      </w:r>
      <w:r w:rsidRPr="00314FD9">
        <w:rPr>
          <w:rFonts w:ascii="Arial" w:eastAsia="Arial" w:hAnsi="Arial" w:cs="Arial"/>
          <w:i/>
          <w:color w:val="000000"/>
          <w:sz w:val="20"/>
        </w:rPr>
        <w:t>et al.</w:t>
      </w:r>
      <w:r w:rsidRPr="00314FD9">
        <w:rPr>
          <w:rFonts w:ascii="Arial" w:eastAsia="Arial" w:hAnsi="Arial" w:cs="Arial"/>
          <w:color w:val="000000"/>
          <w:sz w:val="20"/>
        </w:rPr>
        <w:t xml:space="preserve">, 2019; Padmavathi </w:t>
      </w:r>
      <w:r w:rsidRPr="00314FD9">
        <w:rPr>
          <w:rFonts w:ascii="Arial" w:eastAsia="Arial" w:hAnsi="Arial" w:cs="Arial"/>
          <w:i/>
          <w:color w:val="000000"/>
          <w:sz w:val="20"/>
        </w:rPr>
        <w:t>et al.</w:t>
      </w:r>
      <w:r w:rsidRPr="00314FD9">
        <w:rPr>
          <w:rFonts w:ascii="Arial" w:eastAsia="Arial" w:hAnsi="Arial" w:cs="Arial"/>
          <w:color w:val="000000"/>
          <w:sz w:val="20"/>
        </w:rPr>
        <w:t xml:space="preserve">, 2013b). Its larvae fold leaves and scrape the green </w:t>
      </w:r>
      <w:r w:rsidRPr="00314FD9">
        <w:rPr>
          <w:rFonts w:ascii="Arial" w:eastAsia="Arial" w:hAnsi="Arial" w:cs="Arial"/>
          <w:color w:val="000000"/>
          <w:sz w:val="20"/>
        </w:rPr>
        <w:lastRenderedPageBreak/>
        <w:t xml:space="preserve">mesophyll tissue, reducing photosynthetic area and potentially affecting crop performance (Padmavathi </w:t>
      </w:r>
      <w:r w:rsidRPr="00314FD9">
        <w:rPr>
          <w:rFonts w:ascii="Arial" w:eastAsia="Arial" w:hAnsi="Arial" w:cs="Arial"/>
          <w:i/>
          <w:color w:val="000000"/>
          <w:sz w:val="20"/>
        </w:rPr>
        <w:t>et al.</w:t>
      </w:r>
      <w:r w:rsidRPr="00314FD9">
        <w:rPr>
          <w:rFonts w:ascii="Arial" w:eastAsia="Arial" w:hAnsi="Arial" w:cs="Arial"/>
          <w:color w:val="000000"/>
          <w:sz w:val="20"/>
        </w:rPr>
        <w:t xml:space="preserve">, 2013a). The magnitude of yield loss varies with infestation intensity, crop growth stage and cultivar, so fixed epidemic-loss percentages should be interpreted cautiously (Padmavathi </w:t>
      </w:r>
      <w:r w:rsidRPr="00314FD9">
        <w:rPr>
          <w:rFonts w:ascii="Arial" w:eastAsia="Arial" w:hAnsi="Arial" w:cs="Arial"/>
          <w:i/>
          <w:color w:val="000000"/>
          <w:sz w:val="20"/>
        </w:rPr>
        <w:t>et al.</w:t>
      </w:r>
      <w:r w:rsidRPr="00314FD9">
        <w:rPr>
          <w:rFonts w:ascii="Arial" w:eastAsia="Arial" w:hAnsi="Arial" w:cs="Arial"/>
          <w:color w:val="000000"/>
          <w:sz w:val="20"/>
        </w:rPr>
        <w:t xml:space="preserve">, 2013a; Sharma </w:t>
      </w:r>
      <w:r w:rsidRPr="00314FD9">
        <w:rPr>
          <w:rFonts w:ascii="Arial" w:eastAsia="Arial" w:hAnsi="Arial" w:cs="Arial"/>
          <w:i/>
          <w:color w:val="000000"/>
          <w:sz w:val="20"/>
        </w:rPr>
        <w:t>et al.</w:t>
      </w:r>
      <w:r w:rsidRPr="00314FD9">
        <w:rPr>
          <w:rFonts w:ascii="Arial" w:eastAsia="Arial" w:hAnsi="Arial" w:cs="Arial"/>
          <w:color w:val="000000"/>
          <w:sz w:val="20"/>
        </w:rPr>
        <w:t>, 2024).</w:t>
      </w:r>
    </w:p>
    <w:p w14:paraId="615F6067" w14:textId="77777777" w:rsidR="00E504C7" w:rsidRPr="00314FD9" w:rsidRDefault="00000000" w:rsidP="002C1309">
      <w:pPr>
        <w:ind w:firstLine="720"/>
        <w:jc w:val="both"/>
        <w:rPr>
          <w:rFonts w:ascii="Arial" w:hAnsi="Arial" w:cs="Arial"/>
        </w:rPr>
      </w:pPr>
      <w:r w:rsidRPr="00314FD9">
        <w:rPr>
          <w:rFonts w:ascii="Arial" w:eastAsia="Arial" w:hAnsi="Arial" w:cs="Arial"/>
          <w:color w:val="000000"/>
          <w:sz w:val="20"/>
        </w:rPr>
        <w:t xml:space="preserve">In recent decades, changes in rice production systems—including extensive cultivation of high-yielding varieties, continuous cropping, intensive </w:t>
      </w:r>
      <w:proofErr w:type="spellStart"/>
      <w:r w:rsidRPr="00314FD9">
        <w:rPr>
          <w:rFonts w:ascii="Arial" w:eastAsia="Arial" w:hAnsi="Arial" w:cs="Arial"/>
          <w:color w:val="000000"/>
          <w:sz w:val="20"/>
        </w:rPr>
        <w:t>fertiliser</w:t>
      </w:r>
      <w:proofErr w:type="spellEnd"/>
      <w:r w:rsidRPr="00314FD9">
        <w:rPr>
          <w:rFonts w:ascii="Arial" w:eastAsia="Arial" w:hAnsi="Arial" w:cs="Arial"/>
          <w:color w:val="000000"/>
          <w:sz w:val="20"/>
        </w:rPr>
        <w:t xml:space="preserve"> use and repeated insecticide applications—have altered pest pressure and may </w:t>
      </w:r>
      <w:proofErr w:type="spellStart"/>
      <w:r w:rsidRPr="00314FD9">
        <w:rPr>
          <w:rFonts w:ascii="Arial" w:eastAsia="Arial" w:hAnsi="Arial" w:cs="Arial"/>
          <w:color w:val="000000"/>
          <w:sz w:val="20"/>
        </w:rPr>
        <w:t>favour</w:t>
      </w:r>
      <w:proofErr w:type="spellEnd"/>
      <w:r w:rsidRPr="00314FD9">
        <w:rPr>
          <w:rFonts w:ascii="Arial" w:eastAsia="Arial" w:hAnsi="Arial" w:cs="Arial"/>
          <w:color w:val="000000"/>
          <w:sz w:val="20"/>
        </w:rPr>
        <w:t xml:space="preserve"> leaf-folder outbreaks (Chintalapati </w:t>
      </w:r>
      <w:r w:rsidRPr="00314FD9">
        <w:rPr>
          <w:rFonts w:ascii="Arial" w:eastAsia="Arial" w:hAnsi="Arial" w:cs="Arial"/>
          <w:i/>
          <w:color w:val="000000"/>
          <w:sz w:val="20"/>
        </w:rPr>
        <w:t>et al.</w:t>
      </w:r>
      <w:r w:rsidRPr="00314FD9">
        <w:rPr>
          <w:rFonts w:ascii="Arial" w:eastAsia="Arial" w:hAnsi="Arial" w:cs="Arial"/>
          <w:color w:val="000000"/>
          <w:sz w:val="20"/>
        </w:rPr>
        <w:t xml:space="preserve">, 2019; Pathak &amp; Khan, 1994). Weather variables influence insect development, survival, distribution and seasonal abundance, and warming is expected to increase crop losses from insect pests in many regions (Deutsch </w:t>
      </w:r>
      <w:r w:rsidRPr="00314FD9">
        <w:rPr>
          <w:rFonts w:ascii="Arial" w:eastAsia="Arial" w:hAnsi="Arial" w:cs="Arial"/>
          <w:i/>
          <w:color w:val="000000"/>
          <w:sz w:val="20"/>
        </w:rPr>
        <w:t>et al.</w:t>
      </w:r>
      <w:r w:rsidRPr="00314FD9">
        <w:rPr>
          <w:rFonts w:ascii="Arial" w:eastAsia="Arial" w:hAnsi="Arial" w:cs="Arial"/>
          <w:color w:val="000000"/>
          <w:sz w:val="20"/>
        </w:rPr>
        <w:t xml:space="preserve">, 2018; Zhao </w:t>
      </w:r>
      <w:r w:rsidRPr="00314FD9">
        <w:rPr>
          <w:rFonts w:ascii="Arial" w:eastAsia="Arial" w:hAnsi="Arial" w:cs="Arial"/>
          <w:i/>
          <w:color w:val="000000"/>
          <w:sz w:val="20"/>
        </w:rPr>
        <w:t>et al.</w:t>
      </w:r>
      <w:r w:rsidRPr="00314FD9">
        <w:rPr>
          <w:rFonts w:ascii="Arial" w:eastAsia="Arial" w:hAnsi="Arial" w:cs="Arial"/>
          <w:color w:val="000000"/>
          <w:sz w:val="20"/>
        </w:rPr>
        <w:t xml:space="preserve">, 2024). Because the population dynamics of </w:t>
      </w:r>
      <w:r w:rsidRPr="00314FD9">
        <w:rPr>
          <w:rFonts w:ascii="Arial" w:eastAsia="Arial" w:hAnsi="Arial" w:cs="Arial"/>
          <w:i/>
          <w:color w:val="000000"/>
          <w:sz w:val="20"/>
        </w:rPr>
        <w:t xml:space="preserve">C.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vary with temperature, rainfall, relative humidity and crop phenology, regular field monitoring combined with meteorological observations is important for local forecasting (</w:t>
      </w:r>
      <w:proofErr w:type="spellStart"/>
      <w:r w:rsidRPr="00314FD9">
        <w:rPr>
          <w:rFonts w:ascii="Arial" w:eastAsia="Arial" w:hAnsi="Arial" w:cs="Arial"/>
          <w:color w:val="000000"/>
          <w:sz w:val="20"/>
        </w:rPr>
        <w:t>Jasrotia</w:t>
      </w:r>
      <w:proofErr w:type="spellEnd"/>
      <w:r w:rsidRPr="00314FD9">
        <w:rPr>
          <w:rFonts w:ascii="Arial" w:eastAsia="Arial" w:hAnsi="Arial" w:cs="Arial"/>
          <w:color w:val="000000"/>
          <w:sz w:val="20"/>
        </w:rPr>
        <w:t xml:space="preserve"> </w:t>
      </w:r>
      <w:r w:rsidRPr="00314FD9">
        <w:rPr>
          <w:rFonts w:ascii="Arial" w:eastAsia="Arial" w:hAnsi="Arial" w:cs="Arial"/>
          <w:i/>
          <w:color w:val="000000"/>
          <w:sz w:val="20"/>
        </w:rPr>
        <w:t>et al.</w:t>
      </w:r>
      <w:r w:rsidRPr="00314FD9">
        <w:rPr>
          <w:rFonts w:ascii="Arial" w:eastAsia="Arial" w:hAnsi="Arial" w:cs="Arial"/>
          <w:color w:val="000000"/>
          <w:sz w:val="20"/>
        </w:rPr>
        <w:t xml:space="preserve">, 2019; Sharma </w:t>
      </w:r>
      <w:r w:rsidRPr="00314FD9">
        <w:rPr>
          <w:rFonts w:ascii="Arial" w:eastAsia="Arial" w:hAnsi="Arial" w:cs="Arial"/>
          <w:i/>
          <w:color w:val="000000"/>
          <w:sz w:val="20"/>
        </w:rPr>
        <w:t>et al.</w:t>
      </w:r>
      <w:r w:rsidRPr="00314FD9">
        <w:rPr>
          <w:rFonts w:ascii="Arial" w:eastAsia="Arial" w:hAnsi="Arial" w:cs="Arial"/>
          <w:color w:val="000000"/>
          <w:sz w:val="20"/>
        </w:rPr>
        <w:t>, 2024). Such information can support timely pest-management decisions, although relationships derived at one site require validation before broader application.</w:t>
      </w:r>
    </w:p>
    <w:p w14:paraId="230233C0" w14:textId="77777777" w:rsidR="004131CC" w:rsidRPr="00CC0F36" w:rsidRDefault="00000000">
      <w:pPr>
        <w:ind w:firstLine="720"/>
        <w:jc w:val="both"/>
        <w:rPr>
          <w:rFonts w:ascii="Arial" w:hAnsi="Arial" w:cs="Arial"/>
          <w:bCs/>
        </w:rPr>
      </w:pPr>
      <w:r w:rsidRPr="00CC0F36">
        <w:rPr>
          <w:rFonts w:ascii="Arial" w:eastAsia="Arial" w:hAnsi="Arial" w:cs="Arial"/>
          <w:bCs/>
          <w:color w:val="000000"/>
          <w:sz w:val="20"/>
        </w:rPr>
        <w:t xml:space="preserve">Recent field evidence indicates that planting time, crop-establishment method and weather conditions can jointly affect rice leaf-folder incidence, reinforcing the value of locally calibrated surveillance (Ahmad </w:t>
      </w:r>
      <w:r w:rsidRPr="00CC0F36">
        <w:rPr>
          <w:rFonts w:ascii="Arial" w:eastAsia="Arial" w:hAnsi="Arial" w:cs="Arial"/>
          <w:bCs/>
          <w:i/>
          <w:color w:val="000000"/>
          <w:sz w:val="20"/>
        </w:rPr>
        <w:t>et al.</w:t>
      </w:r>
      <w:r w:rsidRPr="00CC0F36">
        <w:rPr>
          <w:rFonts w:ascii="Arial" w:eastAsia="Arial" w:hAnsi="Arial" w:cs="Arial"/>
          <w:bCs/>
          <w:color w:val="000000"/>
          <w:sz w:val="20"/>
        </w:rPr>
        <w:t>, 2025). More broadly, climate-related changes may alter insect-pest phenology and population dynamics, although these responses remain context-dependent (</w:t>
      </w:r>
      <w:proofErr w:type="spellStart"/>
      <w:r w:rsidRPr="00CC0F36">
        <w:rPr>
          <w:rFonts w:ascii="Arial" w:eastAsia="Arial" w:hAnsi="Arial" w:cs="Arial"/>
          <w:bCs/>
          <w:color w:val="000000"/>
          <w:sz w:val="20"/>
        </w:rPr>
        <w:t>Tetarwal</w:t>
      </w:r>
      <w:proofErr w:type="spellEnd"/>
      <w:r w:rsidRPr="00CC0F36">
        <w:rPr>
          <w:rFonts w:ascii="Arial" w:eastAsia="Arial" w:hAnsi="Arial" w:cs="Arial"/>
          <w:bCs/>
          <w:color w:val="000000"/>
          <w:sz w:val="20"/>
        </w:rPr>
        <w:t xml:space="preserve"> </w:t>
      </w:r>
      <w:r w:rsidRPr="00CC0F36">
        <w:rPr>
          <w:rFonts w:ascii="Arial" w:eastAsia="Arial" w:hAnsi="Arial" w:cs="Arial"/>
          <w:bCs/>
          <w:i/>
          <w:color w:val="000000"/>
          <w:sz w:val="20"/>
        </w:rPr>
        <w:t>et al.</w:t>
      </w:r>
      <w:r w:rsidRPr="00CC0F36">
        <w:rPr>
          <w:rFonts w:ascii="Arial" w:eastAsia="Arial" w:hAnsi="Arial" w:cs="Arial"/>
          <w:bCs/>
          <w:color w:val="000000"/>
          <w:sz w:val="20"/>
        </w:rPr>
        <w:t>, 2026).</w:t>
      </w:r>
    </w:p>
    <w:p w14:paraId="2688088B" w14:textId="77777777" w:rsidR="004131CC" w:rsidRPr="00CC0F36" w:rsidRDefault="00000000">
      <w:pPr>
        <w:ind w:firstLine="720"/>
        <w:jc w:val="both"/>
        <w:rPr>
          <w:rFonts w:ascii="Arial" w:hAnsi="Arial" w:cs="Arial"/>
          <w:bCs/>
        </w:rPr>
      </w:pPr>
      <w:r w:rsidRPr="00CC0F36">
        <w:rPr>
          <w:rFonts w:ascii="Arial" w:eastAsia="Arial" w:hAnsi="Arial" w:cs="Arial"/>
          <w:bCs/>
          <w:color w:val="000000"/>
          <w:sz w:val="20"/>
        </w:rPr>
        <w:t xml:space="preserve">Interpretation of field damage should also consider non-weather sources of variation: resistance to </w:t>
      </w:r>
      <w:r w:rsidRPr="00CC0F36">
        <w:rPr>
          <w:rFonts w:ascii="Arial" w:eastAsia="Arial" w:hAnsi="Arial" w:cs="Arial"/>
          <w:bCs/>
          <w:i/>
          <w:color w:val="000000"/>
          <w:sz w:val="20"/>
        </w:rPr>
        <w:t xml:space="preserve">C. </w:t>
      </w:r>
      <w:proofErr w:type="spellStart"/>
      <w:r w:rsidRPr="00CC0F36">
        <w:rPr>
          <w:rFonts w:ascii="Arial" w:eastAsia="Arial" w:hAnsi="Arial" w:cs="Arial"/>
          <w:bCs/>
          <w:i/>
          <w:color w:val="000000"/>
          <w:sz w:val="20"/>
        </w:rPr>
        <w:t>medinalis</w:t>
      </w:r>
      <w:proofErr w:type="spellEnd"/>
      <w:r w:rsidRPr="00CC0F36">
        <w:rPr>
          <w:rFonts w:ascii="Arial" w:eastAsia="Arial" w:hAnsi="Arial" w:cs="Arial"/>
          <w:bCs/>
          <w:color w:val="000000"/>
          <w:sz w:val="20"/>
        </w:rPr>
        <w:t xml:space="preserve"> may differ among rice genotypes and environments (Nayak </w:t>
      </w:r>
      <w:r w:rsidRPr="00CC0F36">
        <w:rPr>
          <w:rFonts w:ascii="Arial" w:eastAsia="Arial" w:hAnsi="Arial" w:cs="Arial"/>
          <w:bCs/>
          <w:i/>
          <w:color w:val="000000"/>
          <w:sz w:val="20"/>
        </w:rPr>
        <w:t>et al.</w:t>
      </w:r>
      <w:r w:rsidRPr="00CC0F36">
        <w:rPr>
          <w:rFonts w:ascii="Arial" w:eastAsia="Arial" w:hAnsi="Arial" w:cs="Arial"/>
          <w:bCs/>
          <w:color w:val="000000"/>
          <w:sz w:val="20"/>
        </w:rPr>
        <w:t xml:space="preserve">, 2024), consistent symptom assessment is important for in-field surveillance (Chen </w:t>
      </w:r>
      <w:r w:rsidRPr="00CC0F36">
        <w:rPr>
          <w:rFonts w:ascii="Arial" w:eastAsia="Arial" w:hAnsi="Arial" w:cs="Arial"/>
          <w:bCs/>
          <w:i/>
          <w:color w:val="000000"/>
          <w:sz w:val="20"/>
        </w:rPr>
        <w:t>et al.</w:t>
      </w:r>
      <w:r w:rsidRPr="00CC0F36">
        <w:rPr>
          <w:rFonts w:ascii="Arial" w:eastAsia="Arial" w:hAnsi="Arial" w:cs="Arial"/>
          <w:bCs/>
          <w:color w:val="000000"/>
          <w:sz w:val="20"/>
        </w:rPr>
        <w:t xml:space="preserve">, 2023), and seasonal migration can contribute to regional fluctuations in pest abundance (Zhou </w:t>
      </w:r>
      <w:r w:rsidRPr="00CC0F36">
        <w:rPr>
          <w:rFonts w:ascii="Arial" w:eastAsia="Arial" w:hAnsi="Arial" w:cs="Arial"/>
          <w:bCs/>
          <w:i/>
          <w:color w:val="000000"/>
          <w:sz w:val="20"/>
        </w:rPr>
        <w:t>et al.</w:t>
      </w:r>
      <w:r w:rsidRPr="00CC0F36">
        <w:rPr>
          <w:rFonts w:ascii="Arial" w:eastAsia="Arial" w:hAnsi="Arial" w:cs="Arial"/>
          <w:bCs/>
          <w:color w:val="000000"/>
          <w:sz w:val="20"/>
        </w:rPr>
        <w:t>, 2025).</w:t>
      </w:r>
    </w:p>
    <w:p w14:paraId="4BBC9463" w14:textId="77777777" w:rsidR="004131CC" w:rsidRPr="00CC0F36" w:rsidRDefault="00000000">
      <w:pPr>
        <w:ind w:firstLine="720"/>
        <w:jc w:val="both"/>
        <w:rPr>
          <w:rFonts w:ascii="Arial" w:hAnsi="Arial" w:cs="Arial"/>
          <w:bCs/>
        </w:rPr>
      </w:pPr>
      <w:r w:rsidRPr="00CC0F36">
        <w:rPr>
          <w:rFonts w:ascii="Arial" w:eastAsia="Arial" w:hAnsi="Arial" w:cs="Arial"/>
          <w:bCs/>
          <w:color w:val="000000"/>
          <w:sz w:val="20"/>
        </w:rPr>
        <w:t xml:space="preserve">However, site-specific evidence on the seasonal incidence of </w:t>
      </w:r>
      <w:r w:rsidRPr="00CC0F36">
        <w:rPr>
          <w:rFonts w:ascii="Arial" w:eastAsia="Arial" w:hAnsi="Arial" w:cs="Arial"/>
          <w:bCs/>
          <w:i/>
          <w:color w:val="000000"/>
          <w:sz w:val="20"/>
        </w:rPr>
        <w:t xml:space="preserve">C. </w:t>
      </w:r>
      <w:proofErr w:type="spellStart"/>
      <w:r w:rsidRPr="00CC0F36">
        <w:rPr>
          <w:rFonts w:ascii="Arial" w:eastAsia="Arial" w:hAnsi="Arial" w:cs="Arial"/>
          <w:bCs/>
          <w:i/>
          <w:color w:val="000000"/>
          <w:sz w:val="20"/>
        </w:rPr>
        <w:t>medinalis</w:t>
      </w:r>
      <w:proofErr w:type="spellEnd"/>
      <w:r w:rsidRPr="00CC0F36">
        <w:rPr>
          <w:rFonts w:ascii="Arial" w:eastAsia="Arial" w:hAnsi="Arial" w:cs="Arial"/>
          <w:bCs/>
          <w:color w:val="000000"/>
          <w:sz w:val="20"/>
        </w:rPr>
        <w:t xml:space="preserve"> in the Varanasi ecosystem remains limited, particularly across consecutive kharif seasons assessed through uniform weekly observations of leaf damage and concurrent meteorological records.</w:t>
      </w:r>
    </w:p>
    <w:p w14:paraId="1C957647" w14:textId="77777777" w:rsidR="004131CC" w:rsidRPr="00314FD9" w:rsidRDefault="00000000">
      <w:pPr>
        <w:ind w:firstLine="720"/>
        <w:jc w:val="both"/>
        <w:rPr>
          <w:rFonts w:ascii="Arial" w:hAnsi="Arial" w:cs="Arial"/>
        </w:rPr>
      </w:pPr>
      <w:r w:rsidRPr="00314FD9">
        <w:rPr>
          <w:rFonts w:ascii="Arial" w:eastAsia="Arial" w:hAnsi="Arial" w:cs="Arial"/>
          <w:color w:val="000000"/>
          <w:sz w:val="20"/>
        </w:rPr>
        <w:t>Therefore, the present investigation was undertaken to determine the association between prevailing weather factors and rice leaf-folder infestation.</w:t>
      </w:r>
    </w:p>
    <w:p w14:paraId="2CE7533E" w14:textId="77777777" w:rsidR="00E504C7" w:rsidRPr="00314FD9" w:rsidRDefault="00000000" w:rsidP="002C1309">
      <w:pPr>
        <w:jc w:val="both"/>
        <w:rPr>
          <w:rFonts w:ascii="Arial" w:hAnsi="Arial" w:cs="Arial"/>
          <w:b/>
          <w:bCs/>
          <w:sz w:val="22"/>
          <w:szCs w:val="22"/>
        </w:rPr>
      </w:pPr>
      <w:r w:rsidRPr="00314FD9">
        <w:rPr>
          <w:rFonts w:ascii="Arial" w:hAnsi="Arial" w:cs="Arial"/>
          <w:b/>
          <w:bCs/>
          <w:sz w:val="22"/>
          <w:szCs w:val="22"/>
        </w:rPr>
        <w:t>MATERIAL AND METHODS</w:t>
      </w:r>
    </w:p>
    <w:p w14:paraId="41713602" w14:textId="77777777" w:rsidR="00E504C7" w:rsidRPr="00314FD9" w:rsidRDefault="00000000" w:rsidP="002C1309">
      <w:pPr>
        <w:spacing w:line="20" w:lineRule="atLeast"/>
        <w:ind w:firstLine="720"/>
        <w:jc w:val="both"/>
        <w:rPr>
          <w:rFonts w:ascii="Arial" w:hAnsi="Arial" w:cs="Arial"/>
          <w:sz w:val="20"/>
          <w:szCs w:val="20"/>
        </w:rPr>
      </w:pPr>
      <w:r w:rsidRPr="00314FD9">
        <w:rPr>
          <w:rFonts w:ascii="Arial" w:hAnsi="Arial" w:cs="Arial"/>
          <w:sz w:val="20"/>
          <w:szCs w:val="20"/>
        </w:rPr>
        <w:t xml:space="preserve">A field experiment was conducted during </w:t>
      </w:r>
      <w:r w:rsidRPr="00314FD9">
        <w:rPr>
          <w:rFonts w:ascii="Arial" w:hAnsi="Arial" w:cs="Arial"/>
          <w:i/>
          <w:iCs/>
          <w:sz w:val="20"/>
          <w:szCs w:val="20"/>
        </w:rPr>
        <w:t>kharif</w:t>
      </w:r>
      <w:r w:rsidRPr="00314FD9">
        <w:rPr>
          <w:rFonts w:ascii="Arial" w:hAnsi="Arial" w:cs="Arial"/>
          <w:iCs/>
          <w:sz w:val="20"/>
          <w:szCs w:val="20"/>
        </w:rPr>
        <w:t xml:space="preserve"> </w:t>
      </w:r>
      <w:r w:rsidRPr="00314FD9">
        <w:rPr>
          <w:rFonts w:ascii="Arial" w:hAnsi="Arial" w:cs="Arial"/>
          <w:sz w:val="20"/>
          <w:szCs w:val="20"/>
        </w:rPr>
        <w:t xml:space="preserve">2022 and </w:t>
      </w:r>
      <w:r w:rsidRPr="00314FD9">
        <w:rPr>
          <w:rFonts w:ascii="Arial" w:hAnsi="Arial" w:cs="Arial"/>
          <w:i/>
          <w:sz w:val="20"/>
          <w:szCs w:val="20"/>
        </w:rPr>
        <w:t>kharif</w:t>
      </w:r>
      <w:r w:rsidRPr="00314FD9">
        <w:rPr>
          <w:rFonts w:ascii="Arial" w:hAnsi="Arial" w:cs="Arial"/>
          <w:iCs/>
          <w:sz w:val="20"/>
          <w:szCs w:val="20"/>
        </w:rPr>
        <w:t xml:space="preserve"> 2023</w:t>
      </w:r>
      <w:r w:rsidRPr="00314FD9">
        <w:rPr>
          <w:rFonts w:ascii="Arial" w:hAnsi="Arial" w:cs="Arial"/>
          <w:sz w:val="20"/>
          <w:szCs w:val="20"/>
        </w:rPr>
        <w:t xml:space="preserve"> at the Agricultural Research Farm, Banaras Hindu University (BHU), Varanasi. The site is located between 24° 56′ N and 25° 35′ N latitude and 82° 14′ E and 83° 24′ E longitude, at an elevation of 82 m above mean sea level in the central Indo-Gangetic belt. A bulk plot of 100 m²</w:t>
      </w:r>
      <w:r w:rsidRPr="00314FD9">
        <w:rPr>
          <w:rFonts w:ascii="Arial" w:hAnsi="Arial" w:cs="Arial"/>
          <w:sz w:val="20"/>
          <w:szCs w:val="20"/>
          <w:vertAlign w:val="superscript"/>
        </w:rPr>
        <w:t xml:space="preserve"> </w:t>
      </w:r>
      <w:r w:rsidRPr="00314FD9">
        <w:rPr>
          <w:rFonts w:ascii="Arial" w:hAnsi="Arial" w:cs="Arial"/>
          <w:sz w:val="20"/>
          <w:szCs w:val="20"/>
        </w:rPr>
        <w:t>was established to study the population dynamics of the rice leaf folder. The rice variety Swarna Sub1 was used as the experimental crop. This variety is grown under irrigated and medium-upland conditions, produces a moderately high yield and has good grain quality. Pest incidence was recorded in the unprotected plot at seven-day intervals, according to Standard Meteorological Weeks (SMWs), from the first occurrence of infestation until crop maturity.</w:t>
      </w:r>
    </w:p>
    <w:p w14:paraId="2F31C551" w14:textId="77777777" w:rsidR="00E504C7" w:rsidRPr="00314FD9" w:rsidRDefault="00000000" w:rsidP="002C1309">
      <w:pPr>
        <w:spacing w:line="20" w:lineRule="atLeast"/>
        <w:ind w:firstLine="720"/>
        <w:jc w:val="both"/>
        <w:rPr>
          <w:rFonts w:ascii="Arial" w:hAnsi="Arial" w:cs="Arial"/>
          <w:sz w:val="20"/>
          <w:szCs w:val="20"/>
        </w:rPr>
      </w:pPr>
      <w:r w:rsidRPr="00314FD9">
        <w:rPr>
          <w:rFonts w:ascii="Arial" w:hAnsi="Arial" w:cs="Arial"/>
          <w:sz w:val="20"/>
          <w:szCs w:val="20"/>
        </w:rPr>
        <w:t>The incidence of insect pests was recorded on 10 randomly selected rice hills during the crop growth period. Simultaneously, weather data were obtained from the meteorological observatory located at the Agricultural Research Farm, Institute of Agricultural Sciences, BHU, Varanasi. Data on pest incidence were correlated with the prevailing weather parameters using correlation coefficients to determine the relationships between pest dynamics and meteorological variables.</w:t>
      </w:r>
    </w:p>
    <w:p w14:paraId="236B7F0E" w14:textId="77777777" w:rsidR="00E504C7" w:rsidRPr="00314FD9" w:rsidRDefault="00000000" w:rsidP="002C1309">
      <w:pPr>
        <w:spacing w:line="20" w:lineRule="atLeast"/>
        <w:jc w:val="both"/>
        <w:rPr>
          <w:rFonts w:ascii="Arial" w:hAnsi="Arial" w:cs="Arial"/>
          <w:sz w:val="20"/>
          <w:szCs w:val="20"/>
        </w:rPr>
      </w:pPr>
      <w:r w:rsidRPr="00314FD9">
        <w:rPr>
          <w:rFonts w:ascii="Arial" w:hAnsi="Arial" w:cs="Arial"/>
          <w:sz w:val="20"/>
          <w:szCs w:val="20"/>
        </w:rPr>
        <w:t>To record rice leaf-folder infestation, weekly observations were made on ten randomly selected plants. For each plant, the total number of leaves and the number of leaves infested by the leaf folder were counted. The extent of damage caused by the leaf folder was expressed as percentage leaf damage, calculated using the following formula:</w:t>
      </w:r>
    </w:p>
    <w:p w14:paraId="6DF612A0" w14:textId="77777777" w:rsidR="00E504C7" w:rsidRPr="00314FD9" w:rsidRDefault="00000000" w:rsidP="002C1309">
      <w:pPr>
        <w:spacing w:line="20" w:lineRule="atLeast"/>
        <w:jc w:val="both"/>
        <w:rPr>
          <w:rFonts w:ascii="Arial" w:eastAsiaTheme="minorEastAsia" w:hAnsi="Arial" w:cs="Arial"/>
          <w:sz w:val="20"/>
          <w:szCs w:val="20"/>
        </w:rPr>
      </w:pPr>
      <m:oMathPara>
        <m:oMath>
          <m:r>
            <w:rPr>
              <w:rFonts w:ascii="Cambria Math" w:hAnsi="Cambria Math" w:cs="Arial"/>
              <w:sz w:val="20"/>
              <w:szCs w:val="20"/>
            </w:rPr>
            <w:lastRenderedPageBreak/>
            <m:t xml:space="preserve">Leaf folder per cent damage </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Number of damaged leaves per hill</m:t>
              </m:r>
            </m:num>
            <m:den>
              <m:r>
                <m:rPr>
                  <m:sty m:val="p"/>
                </m:rPr>
                <w:rPr>
                  <w:rFonts w:ascii="Cambria Math" w:hAnsi="Cambria Math" w:cs="Arial"/>
                  <w:sz w:val="20"/>
                  <w:szCs w:val="20"/>
                </w:rPr>
                <m:t xml:space="preserve"> Total number leaves in the hill</m:t>
              </m:r>
            </m:den>
          </m:f>
          <m:r>
            <w:rPr>
              <w:rFonts w:ascii="Cambria Math" w:hAnsi="Cambria Math" w:cs="Arial"/>
              <w:sz w:val="20"/>
              <w:szCs w:val="20"/>
            </w:rPr>
            <m:t>×100</m:t>
          </m:r>
        </m:oMath>
      </m:oMathPara>
    </w:p>
    <w:p w14:paraId="14357C76" w14:textId="77777777" w:rsidR="00E504C7" w:rsidRPr="00314FD9" w:rsidRDefault="00000000" w:rsidP="002C1309">
      <w:pPr>
        <w:spacing w:line="20" w:lineRule="atLeast"/>
        <w:ind w:firstLine="720"/>
        <w:jc w:val="both"/>
        <w:rPr>
          <w:rFonts w:ascii="Arial" w:hAnsi="Arial" w:cs="Arial"/>
          <w:sz w:val="20"/>
          <w:szCs w:val="20"/>
        </w:rPr>
      </w:pPr>
      <w:r w:rsidRPr="00314FD9">
        <w:rPr>
          <w:rFonts w:ascii="Arial" w:hAnsi="Arial" w:cs="Arial"/>
          <w:sz w:val="20"/>
          <w:szCs w:val="20"/>
        </w:rPr>
        <w:t>The weekly leaf-folder incidence data were subjected to simple correlation analysis, with leaf-folder infestation considered the dependent variable and the weather parameters—maximum and minimum temperatures, morning and evening relative humidity, and rainfall—treated as independent variables. In addition, rice leaf-folder incidence was monitored weekly throughout the rice-growing season (August–November) in 2022 and 2023, together with simultaneous meteorological observations.</w:t>
      </w:r>
    </w:p>
    <w:p w14:paraId="62F489EA" w14:textId="77777777" w:rsidR="00E504C7" w:rsidRPr="00314FD9" w:rsidRDefault="00000000" w:rsidP="002C1309">
      <w:pPr>
        <w:spacing w:line="20" w:lineRule="atLeast"/>
        <w:jc w:val="both"/>
        <w:rPr>
          <w:rFonts w:ascii="Arial" w:eastAsiaTheme="minorEastAsia" w:hAnsi="Arial" w:cs="Arial"/>
          <w:b/>
          <w:bCs/>
          <w:sz w:val="22"/>
          <w:szCs w:val="22"/>
        </w:rPr>
      </w:pPr>
      <w:r w:rsidRPr="00314FD9">
        <w:rPr>
          <w:rFonts w:ascii="Arial" w:eastAsiaTheme="minorEastAsia" w:hAnsi="Arial" w:cs="Arial"/>
          <w:b/>
          <w:bCs/>
          <w:sz w:val="22"/>
          <w:szCs w:val="22"/>
        </w:rPr>
        <w:t>RESULTS AND DISCUSSION</w:t>
      </w:r>
    </w:p>
    <w:p w14:paraId="5A5BC80C" w14:textId="77777777" w:rsidR="00E504C7" w:rsidRPr="00314FD9" w:rsidRDefault="00000000" w:rsidP="00690E9A">
      <w:pPr>
        <w:ind w:firstLine="720"/>
        <w:jc w:val="both"/>
        <w:rPr>
          <w:rFonts w:ascii="Arial" w:hAnsi="Arial" w:cs="Arial"/>
          <w:sz w:val="20"/>
          <w:szCs w:val="20"/>
        </w:rPr>
      </w:pPr>
      <w:r w:rsidRPr="00314FD9">
        <w:rPr>
          <w:rFonts w:ascii="Arial" w:hAnsi="Arial" w:cs="Arial"/>
          <w:sz w:val="20"/>
          <w:szCs w:val="20"/>
        </w:rPr>
        <w:t xml:space="preserve">The data presented in Table 1 showed that, during </w:t>
      </w:r>
      <w:r w:rsidRPr="00314FD9">
        <w:rPr>
          <w:rFonts w:ascii="Arial" w:hAnsi="Arial" w:cs="Arial"/>
          <w:i/>
          <w:sz w:val="20"/>
          <w:szCs w:val="20"/>
        </w:rPr>
        <w:t>kharif</w:t>
      </w:r>
      <w:r w:rsidRPr="00314FD9">
        <w:rPr>
          <w:rFonts w:ascii="Arial" w:hAnsi="Arial" w:cs="Arial"/>
          <w:sz w:val="20"/>
          <w:szCs w:val="20"/>
        </w:rPr>
        <w:t xml:space="preserve"> 2022, leaf-folder damage ranged from 2.5% to 17.5% after infestation commenced. Damage was first recorded at 3.00% damaged leaves per hill during the 30</w:t>
      </w:r>
      <w:r w:rsidRPr="00314FD9">
        <w:rPr>
          <w:rFonts w:ascii="Arial" w:hAnsi="Arial" w:cs="Arial"/>
          <w:sz w:val="20"/>
          <w:szCs w:val="20"/>
          <w:vertAlign w:val="superscript"/>
        </w:rPr>
        <w:t>th</w:t>
      </w:r>
      <w:r w:rsidRPr="00314FD9">
        <w:rPr>
          <w:rFonts w:ascii="Arial" w:hAnsi="Arial" w:cs="Arial"/>
          <w:sz w:val="20"/>
          <w:szCs w:val="20"/>
        </w:rPr>
        <w:t xml:space="preserve"> SMW and reached a peak of 17.50% during the 37</w:t>
      </w:r>
      <w:r w:rsidRPr="00314FD9">
        <w:rPr>
          <w:rFonts w:ascii="Arial" w:hAnsi="Arial" w:cs="Arial"/>
          <w:sz w:val="20"/>
          <w:szCs w:val="20"/>
          <w:vertAlign w:val="superscript"/>
        </w:rPr>
        <w:t>th</w:t>
      </w:r>
      <w:r w:rsidRPr="00314FD9">
        <w:rPr>
          <w:rFonts w:ascii="Arial" w:hAnsi="Arial" w:cs="Arial"/>
          <w:sz w:val="20"/>
          <w:szCs w:val="20"/>
        </w:rPr>
        <w:t xml:space="preserve"> SMW. Thereafter, the percentage of damaged leaves steadily decreased and was lower at crop maturity than at the initial observation.</w:t>
      </w:r>
    </w:p>
    <w:p w14:paraId="0E165FBC" w14:textId="77777777" w:rsidR="00E504C7" w:rsidRPr="00314FD9" w:rsidRDefault="00000000" w:rsidP="002C1309">
      <w:pPr>
        <w:jc w:val="both"/>
        <w:rPr>
          <w:rFonts w:ascii="Arial" w:hAnsi="Arial" w:cs="Arial"/>
          <w:sz w:val="20"/>
          <w:szCs w:val="20"/>
        </w:rPr>
      </w:pPr>
      <w:r w:rsidRPr="00314FD9">
        <w:rPr>
          <w:rFonts w:ascii="Arial" w:hAnsi="Arial" w:cs="Arial"/>
          <w:b/>
          <w:bCs/>
          <w:sz w:val="20"/>
          <w:szCs w:val="20"/>
        </w:rPr>
        <w:t xml:space="preserve">Table 1. </w:t>
      </w:r>
      <w:r w:rsidRPr="00314FD9">
        <w:rPr>
          <w:rFonts w:ascii="Arial" w:hAnsi="Arial" w:cs="Arial"/>
          <w:sz w:val="20"/>
          <w:szCs w:val="20"/>
        </w:rPr>
        <w:t xml:space="preserve">Influence of abiotic factors on the rice leaf folder infestation during </w:t>
      </w:r>
      <w:r w:rsidRPr="00314FD9">
        <w:rPr>
          <w:rFonts w:ascii="Arial" w:hAnsi="Arial" w:cs="Arial"/>
          <w:i/>
          <w:iCs/>
          <w:sz w:val="20"/>
          <w:szCs w:val="20"/>
        </w:rPr>
        <w:t>Kharif</w:t>
      </w:r>
      <w:r w:rsidRPr="00314FD9">
        <w:rPr>
          <w:rFonts w:ascii="Arial" w:hAnsi="Arial" w:cs="Arial"/>
          <w:sz w:val="20"/>
          <w:szCs w:val="20"/>
        </w:rPr>
        <w:t xml:space="preserve"> 2022</w:t>
      </w:r>
    </w:p>
    <w:tbl>
      <w:tblPr>
        <w:tblStyle w:val="TableGrid"/>
        <w:tblpPr w:leftFromText="180" w:rightFromText="180" w:vertAnchor="text" w:horzAnchor="page" w:tblpX="3142" w:tblpY="278"/>
        <w:tblW w:w="5395" w:type="dxa"/>
        <w:tblLook w:val="04A0" w:firstRow="1" w:lastRow="0" w:firstColumn="1" w:lastColumn="0" w:noHBand="0" w:noVBand="1"/>
      </w:tblPr>
      <w:tblGrid>
        <w:gridCol w:w="705"/>
        <w:gridCol w:w="883"/>
        <w:gridCol w:w="661"/>
        <w:gridCol w:w="661"/>
        <w:gridCol w:w="939"/>
        <w:gridCol w:w="939"/>
        <w:gridCol w:w="939"/>
      </w:tblGrid>
      <w:tr w:rsidR="00E504C7" w:rsidRPr="00314FD9" w14:paraId="364DF64A" w14:textId="77777777">
        <w:trPr>
          <w:trHeight w:val="351"/>
        </w:trPr>
        <w:tc>
          <w:tcPr>
            <w:tcW w:w="647" w:type="dxa"/>
            <w:tcBorders>
              <w:top w:val="single" w:sz="4" w:space="0" w:color="auto"/>
              <w:left w:val="single" w:sz="4" w:space="0" w:color="auto"/>
              <w:bottom w:val="single" w:sz="4" w:space="0" w:color="auto"/>
              <w:right w:val="single" w:sz="4" w:space="0" w:color="auto"/>
            </w:tcBorders>
          </w:tcPr>
          <w:p w14:paraId="0B636DF1"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SMW</w:t>
            </w:r>
          </w:p>
        </w:tc>
        <w:tc>
          <w:tcPr>
            <w:tcW w:w="796" w:type="dxa"/>
            <w:tcBorders>
              <w:top w:val="single" w:sz="4" w:space="0" w:color="auto"/>
              <w:left w:val="single" w:sz="4" w:space="0" w:color="auto"/>
              <w:bottom w:val="single" w:sz="4" w:space="0" w:color="auto"/>
              <w:right w:val="single" w:sz="4" w:space="0" w:color="auto"/>
            </w:tcBorders>
          </w:tcPr>
          <w:p w14:paraId="007D6456"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Rainfall</w:t>
            </w:r>
          </w:p>
        </w:tc>
        <w:tc>
          <w:tcPr>
            <w:tcW w:w="905" w:type="dxa"/>
            <w:tcBorders>
              <w:top w:val="single" w:sz="4" w:space="0" w:color="auto"/>
              <w:left w:val="single" w:sz="4" w:space="0" w:color="auto"/>
              <w:bottom w:val="single" w:sz="4" w:space="0" w:color="auto"/>
              <w:right w:val="single" w:sz="4" w:space="0" w:color="auto"/>
            </w:tcBorders>
          </w:tcPr>
          <w:p w14:paraId="657EEA0B"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Max temp</w:t>
            </w:r>
          </w:p>
        </w:tc>
        <w:tc>
          <w:tcPr>
            <w:tcW w:w="588" w:type="dxa"/>
            <w:tcBorders>
              <w:top w:val="single" w:sz="4" w:space="0" w:color="auto"/>
              <w:left w:val="single" w:sz="4" w:space="0" w:color="auto"/>
              <w:bottom w:val="single" w:sz="4" w:space="0" w:color="auto"/>
              <w:right w:val="single" w:sz="4" w:space="0" w:color="auto"/>
            </w:tcBorders>
          </w:tcPr>
          <w:p w14:paraId="50E587AE"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Min temp</w:t>
            </w:r>
          </w:p>
        </w:tc>
        <w:tc>
          <w:tcPr>
            <w:tcW w:w="846" w:type="dxa"/>
            <w:tcBorders>
              <w:top w:val="single" w:sz="4" w:space="0" w:color="auto"/>
              <w:left w:val="single" w:sz="4" w:space="0" w:color="auto"/>
              <w:bottom w:val="single" w:sz="4" w:space="0" w:color="auto"/>
              <w:right w:val="single" w:sz="4" w:space="0" w:color="auto"/>
            </w:tcBorders>
          </w:tcPr>
          <w:p w14:paraId="109301CB"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Morning RH</w:t>
            </w:r>
          </w:p>
        </w:tc>
        <w:tc>
          <w:tcPr>
            <w:tcW w:w="816" w:type="dxa"/>
            <w:tcBorders>
              <w:top w:val="single" w:sz="4" w:space="0" w:color="auto"/>
              <w:left w:val="single" w:sz="4" w:space="0" w:color="auto"/>
              <w:bottom w:val="single" w:sz="4" w:space="0" w:color="auto"/>
              <w:right w:val="single" w:sz="4" w:space="0" w:color="auto"/>
            </w:tcBorders>
          </w:tcPr>
          <w:p w14:paraId="72B88B94"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Evening RH</w:t>
            </w:r>
          </w:p>
        </w:tc>
        <w:tc>
          <w:tcPr>
            <w:tcW w:w="797" w:type="dxa"/>
            <w:tcBorders>
              <w:top w:val="single" w:sz="4" w:space="0" w:color="auto"/>
              <w:left w:val="single" w:sz="4" w:space="0" w:color="auto"/>
              <w:bottom w:val="single" w:sz="4" w:space="0" w:color="auto"/>
              <w:right w:val="single" w:sz="4" w:space="0" w:color="auto"/>
            </w:tcBorders>
          </w:tcPr>
          <w:p w14:paraId="2CCFADDE" w14:textId="77777777" w:rsidR="00E504C7" w:rsidRPr="00314FD9" w:rsidRDefault="00000000" w:rsidP="002C1309">
            <w:pPr>
              <w:jc w:val="both"/>
              <w:rPr>
                <w:rFonts w:ascii="Arial" w:hAnsi="Arial" w:cs="Arial"/>
                <w:sz w:val="20"/>
                <w:szCs w:val="20"/>
              </w:rPr>
            </w:pPr>
            <w:r w:rsidRPr="00314FD9">
              <w:rPr>
                <w:rFonts w:ascii="Arial" w:hAnsi="Arial" w:cs="Arial"/>
                <w:sz w:val="20"/>
                <w:szCs w:val="20"/>
              </w:rPr>
              <w:t>LF damage</w:t>
            </w:r>
          </w:p>
        </w:tc>
      </w:tr>
      <w:tr w:rsidR="00E504C7" w:rsidRPr="00314FD9" w14:paraId="08D7D57B" w14:textId="77777777">
        <w:trPr>
          <w:trHeight w:val="134"/>
        </w:trPr>
        <w:tc>
          <w:tcPr>
            <w:tcW w:w="647" w:type="dxa"/>
            <w:tcBorders>
              <w:top w:val="single" w:sz="4" w:space="0" w:color="auto"/>
              <w:left w:val="single" w:sz="4" w:space="0" w:color="auto"/>
              <w:bottom w:val="single" w:sz="4" w:space="0" w:color="auto"/>
              <w:right w:val="single" w:sz="4" w:space="0" w:color="auto"/>
            </w:tcBorders>
            <w:vAlign w:val="bottom"/>
          </w:tcPr>
          <w:p w14:paraId="67EE4A26"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27</w:t>
            </w:r>
          </w:p>
        </w:tc>
        <w:tc>
          <w:tcPr>
            <w:tcW w:w="796" w:type="dxa"/>
            <w:tcBorders>
              <w:top w:val="single" w:sz="4" w:space="0" w:color="auto"/>
              <w:left w:val="single" w:sz="4" w:space="0" w:color="auto"/>
              <w:bottom w:val="single" w:sz="4" w:space="0" w:color="auto"/>
              <w:right w:val="single" w:sz="4" w:space="0" w:color="auto"/>
            </w:tcBorders>
            <w:vAlign w:val="bottom"/>
          </w:tcPr>
          <w:p w14:paraId="3B9F88C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0.2</w:t>
            </w:r>
          </w:p>
        </w:tc>
        <w:tc>
          <w:tcPr>
            <w:tcW w:w="905" w:type="dxa"/>
            <w:tcBorders>
              <w:top w:val="single" w:sz="4" w:space="0" w:color="auto"/>
              <w:left w:val="single" w:sz="4" w:space="0" w:color="auto"/>
              <w:bottom w:val="single" w:sz="4" w:space="0" w:color="auto"/>
              <w:right w:val="single" w:sz="4" w:space="0" w:color="auto"/>
            </w:tcBorders>
            <w:vAlign w:val="center"/>
          </w:tcPr>
          <w:p w14:paraId="724EB5C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34.9</w:t>
            </w:r>
          </w:p>
        </w:tc>
        <w:tc>
          <w:tcPr>
            <w:tcW w:w="588" w:type="dxa"/>
            <w:tcBorders>
              <w:top w:val="single" w:sz="4" w:space="0" w:color="auto"/>
              <w:left w:val="single" w:sz="4" w:space="0" w:color="auto"/>
              <w:bottom w:val="single" w:sz="4" w:space="0" w:color="auto"/>
              <w:right w:val="single" w:sz="4" w:space="0" w:color="auto"/>
            </w:tcBorders>
            <w:vAlign w:val="center"/>
          </w:tcPr>
          <w:p w14:paraId="50A130D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24.7</w:t>
            </w:r>
          </w:p>
        </w:tc>
        <w:tc>
          <w:tcPr>
            <w:tcW w:w="846" w:type="dxa"/>
            <w:tcBorders>
              <w:top w:val="single" w:sz="4" w:space="0" w:color="auto"/>
              <w:left w:val="single" w:sz="4" w:space="0" w:color="auto"/>
              <w:bottom w:val="single" w:sz="4" w:space="0" w:color="auto"/>
              <w:right w:val="single" w:sz="4" w:space="0" w:color="auto"/>
            </w:tcBorders>
            <w:vAlign w:val="center"/>
          </w:tcPr>
          <w:p w14:paraId="52DBB14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84</w:t>
            </w:r>
          </w:p>
        </w:tc>
        <w:tc>
          <w:tcPr>
            <w:tcW w:w="816" w:type="dxa"/>
            <w:tcBorders>
              <w:top w:val="single" w:sz="4" w:space="0" w:color="auto"/>
              <w:left w:val="single" w:sz="4" w:space="0" w:color="auto"/>
              <w:bottom w:val="single" w:sz="4" w:space="0" w:color="auto"/>
              <w:right w:val="single" w:sz="4" w:space="0" w:color="auto"/>
            </w:tcBorders>
            <w:vAlign w:val="center"/>
          </w:tcPr>
          <w:p w14:paraId="512DA0D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50</w:t>
            </w:r>
          </w:p>
        </w:tc>
        <w:tc>
          <w:tcPr>
            <w:tcW w:w="797" w:type="dxa"/>
            <w:tcBorders>
              <w:top w:val="single" w:sz="4" w:space="0" w:color="auto"/>
              <w:left w:val="single" w:sz="4" w:space="0" w:color="auto"/>
              <w:bottom w:val="single" w:sz="4" w:space="0" w:color="auto"/>
              <w:right w:val="single" w:sz="4" w:space="0" w:color="auto"/>
            </w:tcBorders>
            <w:vAlign w:val="center"/>
          </w:tcPr>
          <w:p w14:paraId="5E80A8C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r w:rsidR="00E504C7" w:rsidRPr="00314FD9" w14:paraId="03439BE3" w14:textId="77777777">
        <w:trPr>
          <w:trHeight w:val="116"/>
        </w:trPr>
        <w:tc>
          <w:tcPr>
            <w:tcW w:w="647" w:type="dxa"/>
            <w:tcBorders>
              <w:top w:val="single" w:sz="4" w:space="0" w:color="auto"/>
              <w:left w:val="single" w:sz="4" w:space="0" w:color="auto"/>
              <w:bottom w:val="single" w:sz="4" w:space="0" w:color="auto"/>
              <w:right w:val="single" w:sz="4" w:space="0" w:color="auto"/>
            </w:tcBorders>
            <w:vAlign w:val="bottom"/>
          </w:tcPr>
          <w:p w14:paraId="5B257479"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28</w:t>
            </w:r>
          </w:p>
        </w:tc>
        <w:tc>
          <w:tcPr>
            <w:tcW w:w="796" w:type="dxa"/>
            <w:tcBorders>
              <w:top w:val="single" w:sz="4" w:space="0" w:color="auto"/>
              <w:left w:val="single" w:sz="4" w:space="0" w:color="auto"/>
              <w:bottom w:val="single" w:sz="4" w:space="0" w:color="auto"/>
              <w:right w:val="single" w:sz="4" w:space="0" w:color="auto"/>
            </w:tcBorders>
            <w:vAlign w:val="bottom"/>
          </w:tcPr>
          <w:p w14:paraId="46F226E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52CBBA7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37</w:t>
            </w:r>
          </w:p>
        </w:tc>
        <w:tc>
          <w:tcPr>
            <w:tcW w:w="588" w:type="dxa"/>
            <w:tcBorders>
              <w:top w:val="single" w:sz="4" w:space="0" w:color="auto"/>
              <w:left w:val="single" w:sz="4" w:space="0" w:color="auto"/>
              <w:bottom w:val="single" w:sz="4" w:space="0" w:color="auto"/>
              <w:right w:val="single" w:sz="4" w:space="0" w:color="auto"/>
            </w:tcBorders>
            <w:vAlign w:val="center"/>
          </w:tcPr>
          <w:p w14:paraId="6CBE6BA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25.5</w:t>
            </w:r>
          </w:p>
        </w:tc>
        <w:tc>
          <w:tcPr>
            <w:tcW w:w="846" w:type="dxa"/>
            <w:tcBorders>
              <w:top w:val="single" w:sz="4" w:space="0" w:color="auto"/>
              <w:left w:val="single" w:sz="4" w:space="0" w:color="auto"/>
              <w:bottom w:val="single" w:sz="4" w:space="0" w:color="auto"/>
              <w:right w:val="single" w:sz="4" w:space="0" w:color="auto"/>
            </w:tcBorders>
            <w:vAlign w:val="center"/>
          </w:tcPr>
          <w:p w14:paraId="6034FDD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73</w:t>
            </w:r>
          </w:p>
        </w:tc>
        <w:tc>
          <w:tcPr>
            <w:tcW w:w="816" w:type="dxa"/>
            <w:tcBorders>
              <w:top w:val="single" w:sz="4" w:space="0" w:color="auto"/>
              <w:left w:val="single" w:sz="4" w:space="0" w:color="auto"/>
              <w:bottom w:val="single" w:sz="4" w:space="0" w:color="auto"/>
              <w:right w:val="single" w:sz="4" w:space="0" w:color="auto"/>
            </w:tcBorders>
            <w:vAlign w:val="center"/>
          </w:tcPr>
          <w:p w14:paraId="6BFB445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48</w:t>
            </w:r>
          </w:p>
        </w:tc>
        <w:tc>
          <w:tcPr>
            <w:tcW w:w="797" w:type="dxa"/>
            <w:tcBorders>
              <w:top w:val="single" w:sz="4" w:space="0" w:color="auto"/>
              <w:left w:val="single" w:sz="4" w:space="0" w:color="auto"/>
              <w:bottom w:val="single" w:sz="4" w:space="0" w:color="auto"/>
              <w:right w:val="single" w:sz="4" w:space="0" w:color="auto"/>
            </w:tcBorders>
            <w:vAlign w:val="center"/>
          </w:tcPr>
          <w:p w14:paraId="217AE8D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r w:rsidR="00E504C7" w:rsidRPr="00314FD9" w14:paraId="7464AFFC" w14:textId="77777777">
        <w:trPr>
          <w:trHeight w:val="89"/>
        </w:trPr>
        <w:tc>
          <w:tcPr>
            <w:tcW w:w="647" w:type="dxa"/>
            <w:tcBorders>
              <w:top w:val="single" w:sz="4" w:space="0" w:color="auto"/>
              <w:left w:val="single" w:sz="4" w:space="0" w:color="auto"/>
              <w:bottom w:val="single" w:sz="4" w:space="0" w:color="auto"/>
              <w:right w:val="single" w:sz="4" w:space="0" w:color="auto"/>
            </w:tcBorders>
            <w:vAlign w:val="bottom"/>
          </w:tcPr>
          <w:p w14:paraId="53BFF8C7"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29</w:t>
            </w:r>
          </w:p>
        </w:tc>
        <w:tc>
          <w:tcPr>
            <w:tcW w:w="796" w:type="dxa"/>
            <w:tcBorders>
              <w:top w:val="single" w:sz="4" w:space="0" w:color="auto"/>
              <w:left w:val="single" w:sz="4" w:space="0" w:color="auto"/>
              <w:bottom w:val="single" w:sz="4" w:space="0" w:color="auto"/>
              <w:right w:val="single" w:sz="4" w:space="0" w:color="auto"/>
            </w:tcBorders>
            <w:vAlign w:val="bottom"/>
          </w:tcPr>
          <w:p w14:paraId="06B7D5A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155.2</w:t>
            </w:r>
          </w:p>
        </w:tc>
        <w:tc>
          <w:tcPr>
            <w:tcW w:w="905" w:type="dxa"/>
            <w:tcBorders>
              <w:top w:val="single" w:sz="4" w:space="0" w:color="auto"/>
              <w:left w:val="single" w:sz="4" w:space="0" w:color="auto"/>
              <w:bottom w:val="single" w:sz="4" w:space="0" w:color="auto"/>
              <w:right w:val="single" w:sz="4" w:space="0" w:color="auto"/>
            </w:tcBorders>
            <w:vAlign w:val="center"/>
          </w:tcPr>
          <w:p w14:paraId="558CD6C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34.7</w:t>
            </w:r>
          </w:p>
        </w:tc>
        <w:tc>
          <w:tcPr>
            <w:tcW w:w="588" w:type="dxa"/>
            <w:tcBorders>
              <w:top w:val="single" w:sz="4" w:space="0" w:color="auto"/>
              <w:left w:val="single" w:sz="4" w:space="0" w:color="auto"/>
              <w:bottom w:val="single" w:sz="4" w:space="0" w:color="auto"/>
              <w:right w:val="single" w:sz="4" w:space="0" w:color="auto"/>
            </w:tcBorders>
            <w:vAlign w:val="center"/>
          </w:tcPr>
          <w:p w14:paraId="1717E84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24.3</w:t>
            </w:r>
          </w:p>
        </w:tc>
        <w:tc>
          <w:tcPr>
            <w:tcW w:w="846" w:type="dxa"/>
            <w:tcBorders>
              <w:top w:val="single" w:sz="4" w:space="0" w:color="auto"/>
              <w:left w:val="single" w:sz="4" w:space="0" w:color="auto"/>
              <w:bottom w:val="single" w:sz="4" w:space="0" w:color="auto"/>
              <w:right w:val="single" w:sz="4" w:space="0" w:color="auto"/>
            </w:tcBorders>
            <w:vAlign w:val="center"/>
          </w:tcPr>
          <w:p w14:paraId="0B36EC2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81</w:t>
            </w:r>
          </w:p>
        </w:tc>
        <w:tc>
          <w:tcPr>
            <w:tcW w:w="816" w:type="dxa"/>
            <w:tcBorders>
              <w:top w:val="single" w:sz="4" w:space="0" w:color="auto"/>
              <w:left w:val="single" w:sz="4" w:space="0" w:color="auto"/>
              <w:bottom w:val="single" w:sz="4" w:space="0" w:color="auto"/>
              <w:right w:val="single" w:sz="4" w:space="0" w:color="auto"/>
            </w:tcBorders>
            <w:vAlign w:val="center"/>
          </w:tcPr>
          <w:p w14:paraId="550E270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64</w:t>
            </w:r>
          </w:p>
        </w:tc>
        <w:tc>
          <w:tcPr>
            <w:tcW w:w="797" w:type="dxa"/>
            <w:tcBorders>
              <w:top w:val="single" w:sz="4" w:space="0" w:color="auto"/>
              <w:left w:val="single" w:sz="4" w:space="0" w:color="auto"/>
              <w:bottom w:val="single" w:sz="4" w:space="0" w:color="auto"/>
              <w:right w:val="single" w:sz="4" w:space="0" w:color="auto"/>
            </w:tcBorders>
            <w:vAlign w:val="center"/>
          </w:tcPr>
          <w:p w14:paraId="1AFCEED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r w:rsidR="00E504C7" w:rsidRPr="00314FD9" w14:paraId="294FAEF1" w14:textId="77777777">
        <w:trPr>
          <w:trHeight w:val="143"/>
        </w:trPr>
        <w:tc>
          <w:tcPr>
            <w:tcW w:w="647" w:type="dxa"/>
            <w:tcBorders>
              <w:top w:val="single" w:sz="4" w:space="0" w:color="auto"/>
              <w:left w:val="single" w:sz="4" w:space="0" w:color="auto"/>
              <w:bottom w:val="single" w:sz="4" w:space="0" w:color="auto"/>
              <w:right w:val="single" w:sz="4" w:space="0" w:color="auto"/>
            </w:tcBorders>
            <w:vAlign w:val="bottom"/>
          </w:tcPr>
          <w:p w14:paraId="55C0419E"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30</w:t>
            </w:r>
          </w:p>
        </w:tc>
        <w:tc>
          <w:tcPr>
            <w:tcW w:w="796" w:type="dxa"/>
            <w:tcBorders>
              <w:top w:val="single" w:sz="4" w:space="0" w:color="auto"/>
              <w:left w:val="single" w:sz="4" w:space="0" w:color="auto"/>
              <w:bottom w:val="single" w:sz="4" w:space="0" w:color="auto"/>
              <w:right w:val="single" w:sz="4" w:space="0" w:color="auto"/>
            </w:tcBorders>
            <w:vAlign w:val="bottom"/>
          </w:tcPr>
          <w:p w14:paraId="4BA239F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255.4</w:t>
            </w:r>
          </w:p>
        </w:tc>
        <w:tc>
          <w:tcPr>
            <w:tcW w:w="905" w:type="dxa"/>
            <w:tcBorders>
              <w:top w:val="single" w:sz="4" w:space="0" w:color="auto"/>
              <w:left w:val="single" w:sz="4" w:space="0" w:color="auto"/>
              <w:bottom w:val="single" w:sz="4" w:space="0" w:color="auto"/>
              <w:right w:val="single" w:sz="4" w:space="0" w:color="auto"/>
            </w:tcBorders>
            <w:vAlign w:val="center"/>
          </w:tcPr>
          <w:p w14:paraId="2996A45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33.6</w:t>
            </w:r>
          </w:p>
        </w:tc>
        <w:tc>
          <w:tcPr>
            <w:tcW w:w="588" w:type="dxa"/>
            <w:tcBorders>
              <w:top w:val="single" w:sz="4" w:space="0" w:color="auto"/>
              <w:left w:val="single" w:sz="4" w:space="0" w:color="auto"/>
              <w:bottom w:val="single" w:sz="4" w:space="0" w:color="auto"/>
              <w:right w:val="single" w:sz="4" w:space="0" w:color="auto"/>
            </w:tcBorders>
            <w:vAlign w:val="center"/>
          </w:tcPr>
          <w:p w14:paraId="132AFE1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23.2</w:t>
            </w:r>
          </w:p>
        </w:tc>
        <w:tc>
          <w:tcPr>
            <w:tcW w:w="846" w:type="dxa"/>
            <w:tcBorders>
              <w:top w:val="single" w:sz="4" w:space="0" w:color="auto"/>
              <w:left w:val="single" w:sz="4" w:space="0" w:color="auto"/>
              <w:bottom w:val="single" w:sz="4" w:space="0" w:color="auto"/>
              <w:right w:val="single" w:sz="4" w:space="0" w:color="auto"/>
            </w:tcBorders>
            <w:vAlign w:val="center"/>
          </w:tcPr>
          <w:p w14:paraId="7361739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89</w:t>
            </w:r>
          </w:p>
        </w:tc>
        <w:tc>
          <w:tcPr>
            <w:tcW w:w="816" w:type="dxa"/>
            <w:tcBorders>
              <w:top w:val="single" w:sz="4" w:space="0" w:color="auto"/>
              <w:left w:val="single" w:sz="4" w:space="0" w:color="auto"/>
              <w:bottom w:val="single" w:sz="4" w:space="0" w:color="auto"/>
              <w:right w:val="single" w:sz="4" w:space="0" w:color="auto"/>
            </w:tcBorders>
            <w:vAlign w:val="center"/>
          </w:tcPr>
          <w:p w14:paraId="7C9C688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67</w:t>
            </w:r>
          </w:p>
        </w:tc>
        <w:tc>
          <w:tcPr>
            <w:tcW w:w="797" w:type="dxa"/>
            <w:tcBorders>
              <w:top w:val="single" w:sz="4" w:space="0" w:color="auto"/>
              <w:left w:val="single" w:sz="4" w:space="0" w:color="auto"/>
              <w:bottom w:val="single" w:sz="4" w:space="0" w:color="auto"/>
              <w:right w:val="single" w:sz="4" w:space="0" w:color="auto"/>
            </w:tcBorders>
            <w:vAlign w:val="center"/>
          </w:tcPr>
          <w:p w14:paraId="1762186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w:t>
            </w:r>
          </w:p>
        </w:tc>
      </w:tr>
      <w:tr w:rsidR="00E504C7" w:rsidRPr="00314FD9" w14:paraId="614B4134"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70F726DE"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31</w:t>
            </w:r>
          </w:p>
        </w:tc>
        <w:tc>
          <w:tcPr>
            <w:tcW w:w="796" w:type="dxa"/>
            <w:tcBorders>
              <w:top w:val="single" w:sz="4" w:space="0" w:color="auto"/>
              <w:left w:val="single" w:sz="4" w:space="0" w:color="auto"/>
              <w:bottom w:val="single" w:sz="4" w:space="0" w:color="auto"/>
              <w:right w:val="single" w:sz="4" w:space="0" w:color="auto"/>
            </w:tcBorders>
            <w:vAlign w:val="bottom"/>
          </w:tcPr>
          <w:p w14:paraId="549B124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90</w:t>
            </w:r>
          </w:p>
        </w:tc>
        <w:tc>
          <w:tcPr>
            <w:tcW w:w="905" w:type="dxa"/>
            <w:tcBorders>
              <w:top w:val="single" w:sz="4" w:space="0" w:color="auto"/>
              <w:left w:val="single" w:sz="4" w:space="0" w:color="auto"/>
              <w:bottom w:val="single" w:sz="4" w:space="0" w:color="auto"/>
              <w:right w:val="single" w:sz="4" w:space="0" w:color="auto"/>
            </w:tcBorders>
            <w:vAlign w:val="center"/>
          </w:tcPr>
          <w:p w14:paraId="5C1807F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w:t>
            </w:r>
          </w:p>
        </w:tc>
        <w:tc>
          <w:tcPr>
            <w:tcW w:w="588" w:type="dxa"/>
            <w:tcBorders>
              <w:top w:val="single" w:sz="4" w:space="0" w:color="auto"/>
              <w:left w:val="single" w:sz="4" w:space="0" w:color="auto"/>
              <w:bottom w:val="single" w:sz="4" w:space="0" w:color="auto"/>
              <w:right w:val="single" w:sz="4" w:space="0" w:color="auto"/>
            </w:tcBorders>
            <w:vAlign w:val="center"/>
          </w:tcPr>
          <w:p w14:paraId="20F6DCC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22.3</w:t>
            </w:r>
          </w:p>
        </w:tc>
        <w:tc>
          <w:tcPr>
            <w:tcW w:w="846" w:type="dxa"/>
            <w:tcBorders>
              <w:top w:val="single" w:sz="4" w:space="0" w:color="auto"/>
              <w:left w:val="single" w:sz="4" w:space="0" w:color="auto"/>
              <w:bottom w:val="single" w:sz="4" w:space="0" w:color="auto"/>
              <w:right w:val="single" w:sz="4" w:space="0" w:color="auto"/>
            </w:tcBorders>
            <w:vAlign w:val="center"/>
          </w:tcPr>
          <w:p w14:paraId="3980D22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1E09FDE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50</w:t>
            </w:r>
          </w:p>
        </w:tc>
        <w:tc>
          <w:tcPr>
            <w:tcW w:w="797" w:type="dxa"/>
            <w:tcBorders>
              <w:top w:val="single" w:sz="4" w:space="0" w:color="auto"/>
              <w:left w:val="single" w:sz="4" w:space="0" w:color="auto"/>
              <w:bottom w:val="single" w:sz="4" w:space="0" w:color="auto"/>
              <w:right w:val="single" w:sz="4" w:space="0" w:color="auto"/>
            </w:tcBorders>
            <w:vAlign w:val="center"/>
          </w:tcPr>
          <w:p w14:paraId="005F40F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3.98</w:t>
            </w:r>
          </w:p>
        </w:tc>
      </w:tr>
      <w:tr w:rsidR="00E504C7" w:rsidRPr="00314FD9" w14:paraId="409386DB" w14:textId="77777777">
        <w:trPr>
          <w:trHeight w:val="161"/>
        </w:trPr>
        <w:tc>
          <w:tcPr>
            <w:tcW w:w="647" w:type="dxa"/>
            <w:tcBorders>
              <w:top w:val="single" w:sz="4" w:space="0" w:color="auto"/>
              <w:left w:val="single" w:sz="4" w:space="0" w:color="auto"/>
              <w:bottom w:val="single" w:sz="4" w:space="0" w:color="auto"/>
              <w:right w:val="single" w:sz="4" w:space="0" w:color="auto"/>
            </w:tcBorders>
            <w:vAlign w:val="bottom"/>
          </w:tcPr>
          <w:p w14:paraId="1F115810"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32</w:t>
            </w:r>
          </w:p>
        </w:tc>
        <w:tc>
          <w:tcPr>
            <w:tcW w:w="796" w:type="dxa"/>
            <w:tcBorders>
              <w:top w:val="single" w:sz="4" w:space="0" w:color="auto"/>
              <w:left w:val="single" w:sz="4" w:space="0" w:color="auto"/>
              <w:bottom w:val="single" w:sz="4" w:space="0" w:color="auto"/>
              <w:right w:val="single" w:sz="4" w:space="0" w:color="auto"/>
            </w:tcBorders>
            <w:vAlign w:val="bottom"/>
          </w:tcPr>
          <w:p w14:paraId="776C1C7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20.6</w:t>
            </w:r>
          </w:p>
        </w:tc>
        <w:tc>
          <w:tcPr>
            <w:tcW w:w="905" w:type="dxa"/>
            <w:tcBorders>
              <w:top w:val="single" w:sz="4" w:space="0" w:color="auto"/>
              <w:left w:val="single" w:sz="4" w:space="0" w:color="auto"/>
              <w:bottom w:val="single" w:sz="4" w:space="0" w:color="auto"/>
              <w:right w:val="single" w:sz="4" w:space="0" w:color="auto"/>
            </w:tcBorders>
            <w:vAlign w:val="center"/>
          </w:tcPr>
          <w:p w14:paraId="098C624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32.4</w:t>
            </w:r>
          </w:p>
        </w:tc>
        <w:tc>
          <w:tcPr>
            <w:tcW w:w="588" w:type="dxa"/>
            <w:tcBorders>
              <w:top w:val="single" w:sz="4" w:space="0" w:color="auto"/>
              <w:left w:val="single" w:sz="4" w:space="0" w:color="auto"/>
              <w:bottom w:val="single" w:sz="4" w:space="0" w:color="auto"/>
              <w:right w:val="single" w:sz="4" w:space="0" w:color="auto"/>
            </w:tcBorders>
            <w:vAlign w:val="center"/>
          </w:tcPr>
          <w:p w14:paraId="69A363C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23.7</w:t>
            </w:r>
          </w:p>
        </w:tc>
        <w:tc>
          <w:tcPr>
            <w:tcW w:w="846" w:type="dxa"/>
            <w:tcBorders>
              <w:top w:val="single" w:sz="4" w:space="0" w:color="auto"/>
              <w:left w:val="single" w:sz="4" w:space="0" w:color="auto"/>
              <w:bottom w:val="single" w:sz="4" w:space="0" w:color="auto"/>
              <w:right w:val="single" w:sz="4" w:space="0" w:color="auto"/>
            </w:tcBorders>
            <w:vAlign w:val="center"/>
          </w:tcPr>
          <w:p w14:paraId="3C36F02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87</w:t>
            </w:r>
          </w:p>
        </w:tc>
        <w:tc>
          <w:tcPr>
            <w:tcW w:w="816" w:type="dxa"/>
            <w:tcBorders>
              <w:top w:val="single" w:sz="4" w:space="0" w:color="auto"/>
              <w:left w:val="single" w:sz="4" w:space="0" w:color="auto"/>
              <w:bottom w:val="single" w:sz="4" w:space="0" w:color="auto"/>
              <w:right w:val="single" w:sz="4" w:space="0" w:color="auto"/>
            </w:tcBorders>
            <w:vAlign w:val="center"/>
          </w:tcPr>
          <w:p w14:paraId="22A6F5F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54</w:t>
            </w:r>
          </w:p>
        </w:tc>
        <w:tc>
          <w:tcPr>
            <w:tcW w:w="797" w:type="dxa"/>
            <w:tcBorders>
              <w:top w:val="single" w:sz="4" w:space="0" w:color="auto"/>
              <w:left w:val="single" w:sz="4" w:space="0" w:color="auto"/>
              <w:bottom w:val="single" w:sz="4" w:space="0" w:color="auto"/>
              <w:right w:val="single" w:sz="4" w:space="0" w:color="auto"/>
            </w:tcBorders>
            <w:vAlign w:val="center"/>
          </w:tcPr>
          <w:p w14:paraId="7A378FC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5.7</w:t>
            </w:r>
          </w:p>
        </w:tc>
      </w:tr>
      <w:tr w:rsidR="00E504C7" w:rsidRPr="00314FD9" w14:paraId="1A4CFDC0" w14:textId="77777777">
        <w:trPr>
          <w:trHeight w:val="125"/>
        </w:trPr>
        <w:tc>
          <w:tcPr>
            <w:tcW w:w="647" w:type="dxa"/>
            <w:tcBorders>
              <w:top w:val="single" w:sz="4" w:space="0" w:color="auto"/>
              <w:left w:val="single" w:sz="4" w:space="0" w:color="auto"/>
              <w:bottom w:val="single" w:sz="4" w:space="0" w:color="auto"/>
              <w:right w:val="single" w:sz="4" w:space="0" w:color="auto"/>
            </w:tcBorders>
            <w:vAlign w:val="bottom"/>
          </w:tcPr>
          <w:p w14:paraId="76A956FF"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33</w:t>
            </w:r>
          </w:p>
        </w:tc>
        <w:tc>
          <w:tcPr>
            <w:tcW w:w="796" w:type="dxa"/>
            <w:tcBorders>
              <w:top w:val="single" w:sz="4" w:space="0" w:color="auto"/>
              <w:left w:val="single" w:sz="4" w:space="0" w:color="auto"/>
              <w:bottom w:val="single" w:sz="4" w:space="0" w:color="auto"/>
              <w:right w:val="single" w:sz="4" w:space="0" w:color="auto"/>
            </w:tcBorders>
            <w:vAlign w:val="bottom"/>
          </w:tcPr>
          <w:p w14:paraId="597B73D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47</w:t>
            </w:r>
          </w:p>
        </w:tc>
        <w:tc>
          <w:tcPr>
            <w:tcW w:w="905" w:type="dxa"/>
            <w:tcBorders>
              <w:top w:val="single" w:sz="4" w:space="0" w:color="auto"/>
              <w:left w:val="single" w:sz="4" w:space="0" w:color="auto"/>
              <w:bottom w:val="single" w:sz="4" w:space="0" w:color="auto"/>
              <w:right w:val="single" w:sz="4" w:space="0" w:color="auto"/>
            </w:tcBorders>
            <w:vAlign w:val="center"/>
          </w:tcPr>
          <w:p w14:paraId="7018CF9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33.5</w:t>
            </w:r>
          </w:p>
        </w:tc>
        <w:tc>
          <w:tcPr>
            <w:tcW w:w="588" w:type="dxa"/>
            <w:tcBorders>
              <w:top w:val="single" w:sz="4" w:space="0" w:color="auto"/>
              <w:left w:val="single" w:sz="4" w:space="0" w:color="auto"/>
              <w:bottom w:val="single" w:sz="4" w:space="0" w:color="auto"/>
              <w:right w:val="single" w:sz="4" w:space="0" w:color="auto"/>
            </w:tcBorders>
            <w:vAlign w:val="center"/>
          </w:tcPr>
          <w:p w14:paraId="02E163D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22.5</w:t>
            </w:r>
          </w:p>
        </w:tc>
        <w:tc>
          <w:tcPr>
            <w:tcW w:w="846" w:type="dxa"/>
            <w:tcBorders>
              <w:top w:val="single" w:sz="4" w:space="0" w:color="auto"/>
              <w:left w:val="single" w:sz="4" w:space="0" w:color="auto"/>
              <w:bottom w:val="single" w:sz="4" w:space="0" w:color="auto"/>
              <w:right w:val="single" w:sz="4" w:space="0" w:color="auto"/>
            </w:tcBorders>
            <w:vAlign w:val="center"/>
          </w:tcPr>
          <w:p w14:paraId="1BC03D1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85</w:t>
            </w:r>
          </w:p>
        </w:tc>
        <w:tc>
          <w:tcPr>
            <w:tcW w:w="816" w:type="dxa"/>
            <w:tcBorders>
              <w:top w:val="single" w:sz="4" w:space="0" w:color="auto"/>
              <w:left w:val="single" w:sz="4" w:space="0" w:color="auto"/>
              <w:bottom w:val="single" w:sz="4" w:space="0" w:color="auto"/>
              <w:right w:val="single" w:sz="4" w:space="0" w:color="auto"/>
            </w:tcBorders>
            <w:vAlign w:val="center"/>
          </w:tcPr>
          <w:p w14:paraId="38F4A39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60</w:t>
            </w:r>
          </w:p>
        </w:tc>
        <w:tc>
          <w:tcPr>
            <w:tcW w:w="797" w:type="dxa"/>
            <w:tcBorders>
              <w:top w:val="single" w:sz="4" w:space="0" w:color="auto"/>
              <w:left w:val="single" w:sz="4" w:space="0" w:color="auto"/>
              <w:bottom w:val="single" w:sz="4" w:space="0" w:color="auto"/>
              <w:right w:val="single" w:sz="4" w:space="0" w:color="auto"/>
            </w:tcBorders>
            <w:vAlign w:val="center"/>
          </w:tcPr>
          <w:p w14:paraId="1C3437C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5.9</w:t>
            </w:r>
          </w:p>
        </w:tc>
      </w:tr>
      <w:tr w:rsidR="00E504C7" w:rsidRPr="00314FD9" w14:paraId="64E08F4C"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6AF7F87"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34</w:t>
            </w:r>
          </w:p>
        </w:tc>
        <w:tc>
          <w:tcPr>
            <w:tcW w:w="796" w:type="dxa"/>
            <w:tcBorders>
              <w:top w:val="single" w:sz="4" w:space="0" w:color="auto"/>
              <w:left w:val="single" w:sz="4" w:space="0" w:color="auto"/>
              <w:bottom w:val="single" w:sz="4" w:space="0" w:color="auto"/>
              <w:right w:val="single" w:sz="4" w:space="0" w:color="auto"/>
            </w:tcBorders>
            <w:vAlign w:val="bottom"/>
          </w:tcPr>
          <w:p w14:paraId="65BC0A2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139.8</w:t>
            </w:r>
          </w:p>
        </w:tc>
        <w:tc>
          <w:tcPr>
            <w:tcW w:w="905" w:type="dxa"/>
            <w:tcBorders>
              <w:top w:val="single" w:sz="4" w:space="0" w:color="auto"/>
              <w:left w:val="single" w:sz="4" w:space="0" w:color="auto"/>
              <w:bottom w:val="single" w:sz="4" w:space="0" w:color="auto"/>
              <w:right w:val="single" w:sz="4" w:space="0" w:color="auto"/>
            </w:tcBorders>
            <w:vAlign w:val="center"/>
          </w:tcPr>
          <w:p w14:paraId="79DF39A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37.9</w:t>
            </w:r>
          </w:p>
        </w:tc>
        <w:tc>
          <w:tcPr>
            <w:tcW w:w="588" w:type="dxa"/>
            <w:tcBorders>
              <w:top w:val="single" w:sz="4" w:space="0" w:color="auto"/>
              <w:left w:val="single" w:sz="4" w:space="0" w:color="auto"/>
              <w:bottom w:val="single" w:sz="4" w:space="0" w:color="auto"/>
              <w:right w:val="single" w:sz="4" w:space="0" w:color="auto"/>
            </w:tcBorders>
            <w:vAlign w:val="center"/>
          </w:tcPr>
          <w:p w14:paraId="03B3F60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22.5</w:t>
            </w:r>
          </w:p>
        </w:tc>
        <w:tc>
          <w:tcPr>
            <w:tcW w:w="846" w:type="dxa"/>
            <w:tcBorders>
              <w:top w:val="single" w:sz="4" w:space="0" w:color="auto"/>
              <w:left w:val="single" w:sz="4" w:space="0" w:color="auto"/>
              <w:bottom w:val="single" w:sz="4" w:space="0" w:color="auto"/>
              <w:right w:val="single" w:sz="4" w:space="0" w:color="auto"/>
            </w:tcBorders>
            <w:vAlign w:val="center"/>
          </w:tcPr>
          <w:p w14:paraId="29F1C76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3B7B8CF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68</w:t>
            </w:r>
          </w:p>
        </w:tc>
        <w:tc>
          <w:tcPr>
            <w:tcW w:w="797" w:type="dxa"/>
            <w:tcBorders>
              <w:top w:val="single" w:sz="4" w:space="0" w:color="auto"/>
              <w:left w:val="single" w:sz="4" w:space="0" w:color="auto"/>
              <w:bottom w:val="single" w:sz="4" w:space="0" w:color="auto"/>
              <w:right w:val="single" w:sz="4" w:space="0" w:color="auto"/>
            </w:tcBorders>
            <w:vAlign w:val="center"/>
          </w:tcPr>
          <w:p w14:paraId="0DDCA63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7,7</w:t>
            </w:r>
          </w:p>
        </w:tc>
      </w:tr>
      <w:tr w:rsidR="00E504C7" w:rsidRPr="00314FD9" w14:paraId="6AC9064F"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5E64D39"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35</w:t>
            </w:r>
          </w:p>
        </w:tc>
        <w:tc>
          <w:tcPr>
            <w:tcW w:w="796" w:type="dxa"/>
            <w:tcBorders>
              <w:top w:val="single" w:sz="4" w:space="0" w:color="auto"/>
              <w:left w:val="single" w:sz="4" w:space="0" w:color="auto"/>
              <w:bottom w:val="single" w:sz="4" w:space="0" w:color="auto"/>
              <w:right w:val="single" w:sz="4" w:space="0" w:color="auto"/>
            </w:tcBorders>
            <w:vAlign w:val="bottom"/>
          </w:tcPr>
          <w:p w14:paraId="3F2D4BC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40.6</w:t>
            </w:r>
          </w:p>
        </w:tc>
        <w:tc>
          <w:tcPr>
            <w:tcW w:w="905" w:type="dxa"/>
            <w:tcBorders>
              <w:top w:val="single" w:sz="4" w:space="0" w:color="auto"/>
              <w:left w:val="single" w:sz="4" w:space="0" w:color="auto"/>
              <w:bottom w:val="single" w:sz="4" w:space="0" w:color="auto"/>
              <w:right w:val="single" w:sz="4" w:space="0" w:color="auto"/>
            </w:tcBorders>
            <w:vAlign w:val="center"/>
          </w:tcPr>
          <w:p w14:paraId="47C1542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32.4</w:t>
            </w:r>
          </w:p>
        </w:tc>
        <w:tc>
          <w:tcPr>
            <w:tcW w:w="588" w:type="dxa"/>
            <w:tcBorders>
              <w:top w:val="single" w:sz="4" w:space="0" w:color="auto"/>
              <w:left w:val="single" w:sz="4" w:space="0" w:color="auto"/>
              <w:bottom w:val="single" w:sz="4" w:space="0" w:color="auto"/>
              <w:right w:val="single" w:sz="4" w:space="0" w:color="auto"/>
            </w:tcBorders>
            <w:vAlign w:val="center"/>
          </w:tcPr>
          <w:p w14:paraId="5EC753B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22.8</w:t>
            </w:r>
          </w:p>
        </w:tc>
        <w:tc>
          <w:tcPr>
            <w:tcW w:w="846" w:type="dxa"/>
            <w:tcBorders>
              <w:top w:val="single" w:sz="4" w:space="0" w:color="auto"/>
              <w:left w:val="single" w:sz="4" w:space="0" w:color="auto"/>
              <w:bottom w:val="single" w:sz="4" w:space="0" w:color="auto"/>
              <w:right w:val="single" w:sz="4" w:space="0" w:color="auto"/>
            </w:tcBorders>
            <w:vAlign w:val="center"/>
          </w:tcPr>
          <w:p w14:paraId="1FE32F4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69999F8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66</w:t>
            </w:r>
          </w:p>
        </w:tc>
        <w:tc>
          <w:tcPr>
            <w:tcW w:w="797" w:type="dxa"/>
            <w:tcBorders>
              <w:top w:val="single" w:sz="4" w:space="0" w:color="auto"/>
              <w:left w:val="single" w:sz="4" w:space="0" w:color="auto"/>
              <w:bottom w:val="single" w:sz="4" w:space="0" w:color="auto"/>
              <w:right w:val="single" w:sz="4" w:space="0" w:color="auto"/>
            </w:tcBorders>
            <w:vAlign w:val="center"/>
          </w:tcPr>
          <w:p w14:paraId="458A6EC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7.8</w:t>
            </w:r>
          </w:p>
        </w:tc>
      </w:tr>
      <w:tr w:rsidR="00E504C7" w:rsidRPr="00314FD9" w14:paraId="131853A9"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3D03F71D"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36</w:t>
            </w:r>
          </w:p>
        </w:tc>
        <w:tc>
          <w:tcPr>
            <w:tcW w:w="796" w:type="dxa"/>
            <w:tcBorders>
              <w:top w:val="single" w:sz="4" w:space="0" w:color="auto"/>
              <w:left w:val="single" w:sz="4" w:space="0" w:color="auto"/>
              <w:bottom w:val="single" w:sz="4" w:space="0" w:color="auto"/>
              <w:right w:val="single" w:sz="4" w:space="0" w:color="auto"/>
            </w:tcBorders>
            <w:vAlign w:val="bottom"/>
          </w:tcPr>
          <w:p w14:paraId="5C2BFB7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63.4</w:t>
            </w:r>
          </w:p>
        </w:tc>
        <w:tc>
          <w:tcPr>
            <w:tcW w:w="905" w:type="dxa"/>
            <w:tcBorders>
              <w:top w:val="single" w:sz="4" w:space="0" w:color="auto"/>
              <w:left w:val="single" w:sz="4" w:space="0" w:color="auto"/>
              <w:bottom w:val="single" w:sz="4" w:space="0" w:color="auto"/>
              <w:right w:val="single" w:sz="4" w:space="0" w:color="auto"/>
            </w:tcBorders>
            <w:vAlign w:val="center"/>
          </w:tcPr>
          <w:p w14:paraId="1E5AB53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32.9</w:t>
            </w:r>
          </w:p>
        </w:tc>
        <w:tc>
          <w:tcPr>
            <w:tcW w:w="588" w:type="dxa"/>
            <w:tcBorders>
              <w:top w:val="single" w:sz="4" w:space="0" w:color="auto"/>
              <w:left w:val="single" w:sz="4" w:space="0" w:color="auto"/>
              <w:bottom w:val="single" w:sz="4" w:space="0" w:color="auto"/>
              <w:right w:val="single" w:sz="4" w:space="0" w:color="auto"/>
            </w:tcBorders>
            <w:vAlign w:val="center"/>
          </w:tcPr>
          <w:p w14:paraId="18E790B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22.6</w:t>
            </w:r>
          </w:p>
        </w:tc>
        <w:tc>
          <w:tcPr>
            <w:tcW w:w="846" w:type="dxa"/>
            <w:tcBorders>
              <w:top w:val="single" w:sz="4" w:space="0" w:color="auto"/>
              <w:left w:val="single" w:sz="4" w:space="0" w:color="auto"/>
              <w:bottom w:val="single" w:sz="4" w:space="0" w:color="auto"/>
              <w:right w:val="single" w:sz="4" w:space="0" w:color="auto"/>
            </w:tcBorders>
            <w:vAlign w:val="center"/>
          </w:tcPr>
          <w:p w14:paraId="06A6C49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46D0E37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68</w:t>
            </w:r>
          </w:p>
        </w:tc>
        <w:tc>
          <w:tcPr>
            <w:tcW w:w="797" w:type="dxa"/>
            <w:tcBorders>
              <w:top w:val="single" w:sz="4" w:space="0" w:color="auto"/>
              <w:left w:val="single" w:sz="4" w:space="0" w:color="auto"/>
              <w:bottom w:val="single" w:sz="4" w:space="0" w:color="auto"/>
              <w:right w:val="single" w:sz="4" w:space="0" w:color="auto"/>
            </w:tcBorders>
            <w:vAlign w:val="center"/>
          </w:tcPr>
          <w:p w14:paraId="56B2594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8.5</w:t>
            </w:r>
          </w:p>
        </w:tc>
      </w:tr>
      <w:tr w:rsidR="00E504C7" w:rsidRPr="00314FD9" w14:paraId="46118E59" w14:textId="77777777">
        <w:trPr>
          <w:trHeight w:val="71"/>
        </w:trPr>
        <w:tc>
          <w:tcPr>
            <w:tcW w:w="647" w:type="dxa"/>
            <w:tcBorders>
              <w:top w:val="single" w:sz="4" w:space="0" w:color="auto"/>
              <w:left w:val="single" w:sz="4" w:space="0" w:color="auto"/>
              <w:bottom w:val="single" w:sz="4" w:space="0" w:color="auto"/>
              <w:right w:val="single" w:sz="4" w:space="0" w:color="auto"/>
            </w:tcBorders>
            <w:vAlign w:val="bottom"/>
          </w:tcPr>
          <w:p w14:paraId="274E43D3"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37</w:t>
            </w:r>
          </w:p>
        </w:tc>
        <w:tc>
          <w:tcPr>
            <w:tcW w:w="796" w:type="dxa"/>
            <w:tcBorders>
              <w:top w:val="single" w:sz="4" w:space="0" w:color="auto"/>
              <w:left w:val="single" w:sz="4" w:space="0" w:color="auto"/>
              <w:bottom w:val="single" w:sz="4" w:space="0" w:color="auto"/>
              <w:right w:val="single" w:sz="4" w:space="0" w:color="auto"/>
            </w:tcBorders>
            <w:vAlign w:val="bottom"/>
          </w:tcPr>
          <w:p w14:paraId="008CCFC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31.8</w:t>
            </w:r>
          </w:p>
        </w:tc>
        <w:tc>
          <w:tcPr>
            <w:tcW w:w="905" w:type="dxa"/>
            <w:tcBorders>
              <w:top w:val="single" w:sz="4" w:space="0" w:color="auto"/>
              <w:left w:val="single" w:sz="4" w:space="0" w:color="auto"/>
              <w:bottom w:val="single" w:sz="4" w:space="0" w:color="auto"/>
              <w:right w:val="single" w:sz="4" w:space="0" w:color="auto"/>
            </w:tcBorders>
            <w:vAlign w:val="center"/>
          </w:tcPr>
          <w:p w14:paraId="350C65E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31.6</w:t>
            </w:r>
          </w:p>
        </w:tc>
        <w:tc>
          <w:tcPr>
            <w:tcW w:w="588" w:type="dxa"/>
            <w:tcBorders>
              <w:top w:val="single" w:sz="4" w:space="0" w:color="auto"/>
              <w:left w:val="single" w:sz="4" w:space="0" w:color="auto"/>
              <w:bottom w:val="single" w:sz="4" w:space="0" w:color="auto"/>
              <w:right w:val="single" w:sz="4" w:space="0" w:color="auto"/>
            </w:tcBorders>
            <w:vAlign w:val="center"/>
          </w:tcPr>
          <w:p w14:paraId="37AF245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22.4</w:t>
            </w:r>
          </w:p>
        </w:tc>
        <w:tc>
          <w:tcPr>
            <w:tcW w:w="846" w:type="dxa"/>
            <w:tcBorders>
              <w:top w:val="single" w:sz="4" w:space="0" w:color="auto"/>
              <w:left w:val="single" w:sz="4" w:space="0" w:color="auto"/>
              <w:bottom w:val="single" w:sz="4" w:space="0" w:color="auto"/>
              <w:right w:val="single" w:sz="4" w:space="0" w:color="auto"/>
            </w:tcBorders>
            <w:vAlign w:val="center"/>
          </w:tcPr>
          <w:p w14:paraId="5513055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55C2002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72</w:t>
            </w:r>
          </w:p>
        </w:tc>
        <w:tc>
          <w:tcPr>
            <w:tcW w:w="797" w:type="dxa"/>
            <w:tcBorders>
              <w:top w:val="single" w:sz="4" w:space="0" w:color="auto"/>
              <w:left w:val="single" w:sz="4" w:space="0" w:color="auto"/>
              <w:bottom w:val="single" w:sz="4" w:space="0" w:color="auto"/>
              <w:right w:val="single" w:sz="4" w:space="0" w:color="auto"/>
            </w:tcBorders>
            <w:vAlign w:val="center"/>
          </w:tcPr>
          <w:p w14:paraId="0E8CAE9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17.5</w:t>
            </w:r>
          </w:p>
        </w:tc>
      </w:tr>
      <w:tr w:rsidR="00E504C7" w:rsidRPr="00314FD9" w14:paraId="7A99B1C8"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2A8EC37A"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38</w:t>
            </w:r>
          </w:p>
        </w:tc>
        <w:tc>
          <w:tcPr>
            <w:tcW w:w="796" w:type="dxa"/>
            <w:tcBorders>
              <w:top w:val="single" w:sz="4" w:space="0" w:color="auto"/>
              <w:left w:val="single" w:sz="4" w:space="0" w:color="auto"/>
              <w:bottom w:val="single" w:sz="4" w:space="0" w:color="auto"/>
              <w:right w:val="single" w:sz="4" w:space="0" w:color="auto"/>
            </w:tcBorders>
            <w:vAlign w:val="bottom"/>
          </w:tcPr>
          <w:p w14:paraId="41EDDC5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84.6</w:t>
            </w:r>
          </w:p>
        </w:tc>
        <w:tc>
          <w:tcPr>
            <w:tcW w:w="905" w:type="dxa"/>
            <w:tcBorders>
              <w:top w:val="single" w:sz="4" w:space="0" w:color="auto"/>
              <w:left w:val="single" w:sz="4" w:space="0" w:color="auto"/>
              <w:bottom w:val="single" w:sz="4" w:space="0" w:color="auto"/>
              <w:right w:val="single" w:sz="4" w:space="0" w:color="auto"/>
            </w:tcBorders>
            <w:vAlign w:val="center"/>
          </w:tcPr>
          <w:p w14:paraId="5D29BD5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33.1</w:t>
            </w:r>
          </w:p>
        </w:tc>
        <w:tc>
          <w:tcPr>
            <w:tcW w:w="588" w:type="dxa"/>
            <w:tcBorders>
              <w:top w:val="single" w:sz="4" w:space="0" w:color="auto"/>
              <w:left w:val="single" w:sz="4" w:space="0" w:color="auto"/>
              <w:bottom w:val="single" w:sz="4" w:space="0" w:color="auto"/>
              <w:right w:val="single" w:sz="4" w:space="0" w:color="auto"/>
            </w:tcBorders>
            <w:vAlign w:val="center"/>
          </w:tcPr>
          <w:p w14:paraId="2552332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21.5</w:t>
            </w:r>
          </w:p>
        </w:tc>
        <w:tc>
          <w:tcPr>
            <w:tcW w:w="846" w:type="dxa"/>
            <w:tcBorders>
              <w:top w:val="single" w:sz="4" w:space="0" w:color="auto"/>
              <w:left w:val="single" w:sz="4" w:space="0" w:color="auto"/>
              <w:bottom w:val="single" w:sz="4" w:space="0" w:color="auto"/>
              <w:right w:val="single" w:sz="4" w:space="0" w:color="auto"/>
            </w:tcBorders>
            <w:vAlign w:val="center"/>
          </w:tcPr>
          <w:p w14:paraId="5D81835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4C98531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77</w:t>
            </w:r>
          </w:p>
        </w:tc>
        <w:tc>
          <w:tcPr>
            <w:tcW w:w="797" w:type="dxa"/>
            <w:tcBorders>
              <w:top w:val="single" w:sz="4" w:space="0" w:color="auto"/>
              <w:left w:val="single" w:sz="4" w:space="0" w:color="auto"/>
              <w:bottom w:val="single" w:sz="4" w:space="0" w:color="auto"/>
              <w:right w:val="single" w:sz="4" w:space="0" w:color="auto"/>
            </w:tcBorders>
            <w:vAlign w:val="center"/>
          </w:tcPr>
          <w:p w14:paraId="0AB91CF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17</w:t>
            </w:r>
          </w:p>
        </w:tc>
      </w:tr>
      <w:tr w:rsidR="00E504C7" w:rsidRPr="00314FD9" w14:paraId="1ADDD4D7"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7546355F"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39</w:t>
            </w:r>
          </w:p>
        </w:tc>
        <w:tc>
          <w:tcPr>
            <w:tcW w:w="796" w:type="dxa"/>
            <w:tcBorders>
              <w:top w:val="single" w:sz="4" w:space="0" w:color="auto"/>
              <w:left w:val="single" w:sz="4" w:space="0" w:color="auto"/>
              <w:bottom w:val="single" w:sz="4" w:space="0" w:color="auto"/>
              <w:right w:val="single" w:sz="4" w:space="0" w:color="auto"/>
            </w:tcBorders>
            <w:vAlign w:val="bottom"/>
          </w:tcPr>
          <w:p w14:paraId="217A771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w:t>
            </w:r>
          </w:p>
        </w:tc>
        <w:tc>
          <w:tcPr>
            <w:tcW w:w="905" w:type="dxa"/>
            <w:tcBorders>
              <w:top w:val="single" w:sz="4" w:space="0" w:color="auto"/>
              <w:left w:val="single" w:sz="4" w:space="0" w:color="auto"/>
              <w:bottom w:val="single" w:sz="4" w:space="0" w:color="auto"/>
              <w:right w:val="single" w:sz="4" w:space="0" w:color="auto"/>
            </w:tcBorders>
            <w:vAlign w:val="center"/>
          </w:tcPr>
          <w:p w14:paraId="7238B29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33.6</w:t>
            </w:r>
          </w:p>
        </w:tc>
        <w:tc>
          <w:tcPr>
            <w:tcW w:w="588" w:type="dxa"/>
            <w:tcBorders>
              <w:top w:val="single" w:sz="4" w:space="0" w:color="auto"/>
              <w:left w:val="single" w:sz="4" w:space="0" w:color="auto"/>
              <w:bottom w:val="single" w:sz="4" w:space="0" w:color="auto"/>
              <w:right w:val="single" w:sz="4" w:space="0" w:color="auto"/>
            </w:tcBorders>
            <w:vAlign w:val="center"/>
          </w:tcPr>
          <w:p w14:paraId="0428D60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21.9</w:t>
            </w:r>
          </w:p>
        </w:tc>
        <w:tc>
          <w:tcPr>
            <w:tcW w:w="846" w:type="dxa"/>
            <w:tcBorders>
              <w:top w:val="single" w:sz="4" w:space="0" w:color="auto"/>
              <w:left w:val="single" w:sz="4" w:space="0" w:color="auto"/>
              <w:bottom w:val="single" w:sz="4" w:space="0" w:color="auto"/>
              <w:right w:val="single" w:sz="4" w:space="0" w:color="auto"/>
            </w:tcBorders>
            <w:vAlign w:val="center"/>
          </w:tcPr>
          <w:p w14:paraId="2DA8805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3451999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82</w:t>
            </w:r>
          </w:p>
        </w:tc>
        <w:tc>
          <w:tcPr>
            <w:tcW w:w="797" w:type="dxa"/>
            <w:tcBorders>
              <w:top w:val="single" w:sz="4" w:space="0" w:color="auto"/>
              <w:left w:val="single" w:sz="4" w:space="0" w:color="auto"/>
              <w:bottom w:val="single" w:sz="4" w:space="0" w:color="auto"/>
              <w:right w:val="single" w:sz="4" w:space="0" w:color="auto"/>
            </w:tcBorders>
            <w:vAlign w:val="center"/>
          </w:tcPr>
          <w:p w14:paraId="397D66C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15</w:t>
            </w:r>
          </w:p>
        </w:tc>
      </w:tr>
      <w:tr w:rsidR="00E504C7" w:rsidRPr="00314FD9" w14:paraId="74E15716"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4B3AF414"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40</w:t>
            </w:r>
          </w:p>
        </w:tc>
        <w:tc>
          <w:tcPr>
            <w:tcW w:w="796" w:type="dxa"/>
            <w:tcBorders>
              <w:top w:val="single" w:sz="4" w:space="0" w:color="auto"/>
              <w:left w:val="single" w:sz="4" w:space="0" w:color="auto"/>
              <w:bottom w:val="single" w:sz="4" w:space="0" w:color="auto"/>
              <w:right w:val="single" w:sz="4" w:space="0" w:color="auto"/>
            </w:tcBorders>
            <w:vAlign w:val="bottom"/>
          </w:tcPr>
          <w:p w14:paraId="2FB2710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24.8</w:t>
            </w:r>
          </w:p>
        </w:tc>
        <w:tc>
          <w:tcPr>
            <w:tcW w:w="905" w:type="dxa"/>
            <w:tcBorders>
              <w:top w:val="single" w:sz="4" w:space="0" w:color="auto"/>
              <w:left w:val="single" w:sz="4" w:space="0" w:color="auto"/>
              <w:bottom w:val="single" w:sz="4" w:space="0" w:color="auto"/>
              <w:right w:val="single" w:sz="4" w:space="0" w:color="auto"/>
            </w:tcBorders>
            <w:vAlign w:val="center"/>
          </w:tcPr>
          <w:p w14:paraId="6BA77B4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32.9</w:t>
            </w:r>
          </w:p>
        </w:tc>
        <w:tc>
          <w:tcPr>
            <w:tcW w:w="588" w:type="dxa"/>
            <w:tcBorders>
              <w:top w:val="single" w:sz="4" w:space="0" w:color="auto"/>
              <w:left w:val="single" w:sz="4" w:space="0" w:color="auto"/>
              <w:bottom w:val="single" w:sz="4" w:space="0" w:color="auto"/>
              <w:right w:val="single" w:sz="4" w:space="0" w:color="auto"/>
            </w:tcBorders>
            <w:vAlign w:val="center"/>
          </w:tcPr>
          <w:p w14:paraId="13321DA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20.6</w:t>
            </w:r>
          </w:p>
        </w:tc>
        <w:tc>
          <w:tcPr>
            <w:tcW w:w="846" w:type="dxa"/>
            <w:tcBorders>
              <w:top w:val="single" w:sz="4" w:space="0" w:color="auto"/>
              <w:left w:val="single" w:sz="4" w:space="0" w:color="auto"/>
              <w:bottom w:val="single" w:sz="4" w:space="0" w:color="auto"/>
              <w:right w:val="single" w:sz="4" w:space="0" w:color="auto"/>
            </w:tcBorders>
            <w:vAlign w:val="center"/>
          </w:tcPr>
          <w:p w14:paraId="04A9547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93</w:t>
            </w:r>
          </w:p>
        </w:tc>
        <w:tc>
          <w:tcPr>
            <w:tcW w:w="816" w:type="dxa"/>
            <w:tcBorders>
              <w:top w:val="single" w:sz="4" w:space="0" w:color="auto"/>
              <w:left w:val="single" w:sz="4" w:space="0" w:color="auto"/>
              <w:bottom w:val="single" w:sz="4" w:space="0" w:color="auto"/>
              <w:right w:val="single" w:sz="4" w:space="0" w:color="auto"/>
            </w:tcBorders>
            <w:vAlign w:val="center"/>
          </w:tcPr>
          <w:p w14:paraId="6F1ADC5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70</w:t>
            </w:r>
          </w:p>
        </w:tc>
        <w:tc>
          <w:tcPr>
            <w:tcW w:w="797" w:type="dxa"/>
            <w:tcBorders>
              <w:top w:val="single" w:sz="4" w:space="0" w:color="auto"/>
              <w:left w:val="single" w:sz="4" w:space="0" w:color="auto"/>
              <w:bottom w:val="single" w:sz="4" w:space="0" w:color="auto"/>
              <w:right w:val="single" w:sz="4" w:space="0" w:color="auto"/>
            </w:tcBorders>
            <w:vAlign w:val="center"/>
          </w:tcPr>
          <w:p w14:paraId="7483871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11.9</w:t>
            </w:r>
          </w:p>
        </w:tc>
      </w:tr>
      <w:tr w:rsidR="00E504C7" w:rsidRPr="00314FD9" w14:paraId="46280EF8"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3D6E4F3"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41</w:t>
            </w:r>
          </w:p>
        </w:tc>
        <w:tc>
          <w:tcPr>
            <w:tcW w:w="796" w:type="dxa"/>
            <w:tcBorders>
              <w:top w:val="single" w:sz="4" w:space="0" w:color="auto"/>
              <w:left w:val="single" w:sz="4" w:space="0" w:color="auto"/>
              <w:bottom w:val="single" w:sz="4" w:space="0" w:color="auto"/>
              <w:right w:val="single" w:sz="4" w:space="0" w:color="auto"/>
            </w:tcBorders>
            <w:vAlign w:val="bottom"/>
          </w:tcPr>
          <w:p w14:paraId="6619FEC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w:t>
            </w:r>
          </w:p>
        </w:tc>
        <w:tc>
          <w:tcPr>
            <w:tcW w:w="905" w:type="dxa"/>
            <w:tcBorders>
              <w:top w:val="single" w:sz="4" w:space="0" w:color="auto"/>
              <w:left w:val="single" w:sz="4" w:space="0" w:color="auto"/>
              <w:bottom w:val="single" w:sz="4" w:space="0" w:color="auto"/>
              <w:right w:val="single" w:sz="4" w:space="0" w:color="auto"/>
            </w:tcBorders>
            <w:vAlign w:val="center"/>
          </w:tcPr>
          <w:p w14:paraId="0E50744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32.3</w:t>
            </w:r>
          </w:p>
        </w:tc>
        <w:tc>
          <w:tcPr>
            <w:tcW w:w="588" w:type="dxa"/>
            <w:tcBorders>
              <w:top w:val="single" w:sz="4" w:space="0" w:color="auto"/>
              <w:left w:val="single" w:sz="4" w:space="0" w:color="auto"/>
              <w:bottom w:val="single" w:sz="4" w:space="0" w:color="auto"/>
              <w:right w:val="single" w:sz="4" w:space="0" w:color="auto"/>
            </w:tcBorders>
            <w:vAlign w:val="center"/>
          </w:tcPr>
          <w:p w14:paraId="3F89D36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20.5</w:t>
            </w:r>
          </w:p>
        </w:tc>
        <w:tc>
          <w:tcPr>
            <w:tcW w:w="846" w:type="dxa"/>
            <w:tcBorders>
              <w:top w:val="single" w:sz="4" w:space="0" w:color="auto"/>
              <w:left w:val="single" w:sz="4" w:space="0" w:color="auto"/>
              <w:bottom w:val="single" w:sz="4" w:space="0" w:color="auto"/>
              <w:right w:val="single" w:sz="4" w:space="0" w:color="auto"/>
            </w:tcBorders>
            <w:vAlign w:val="center"/>
          </w:tcPr>
          <w:p w14:paraId="257F3FA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1DB9B67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66</w:t>
            </w:r>
          </w:p>
        </w:tc>
        <w:tc>
          <w:tcPr>
            <w:tcW w:w="797" w:type="dxa"/>
            <w:tcBorders>
              <w:top w:val="single" w:sz="4" w:space="0" w:color="auto"/>
              <w:left w:val="single" w:sz="4" w:space="0" w:color="auto"/>
              <w:bottom w:val="single" w:sz="4" w:space="0" w:color="auto"/>
              <w:right w:val="single" w:sz="4" w:space="0" w:color="auto"/>
            </w:tcBorders>
            <w:vAlign w:val="center"/>
          </w:tcPr>
          <w:p w14:paraId="7899FA6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w:t>
            </w:r>
          </w:p>
        </w:tc>
      </w:tr>
      <w:tr w:rsidR="00E504C7" w:rsidRPr="00314FD9" w14:paraId="03928D78"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9D319F0"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42</w:t>
            </w:r>
          </w:p>
        </w:tc>
        <w:tc>
          <w:tcPr>
            <w:tcW w:w="796" w:type="dxa"/>
            <w:tcBorders>
              <w:top w:val="single" w:sz="4" w:space="0" w:color="auto"/>
              <w:left w:val="single" w:sz="4" w:space="0" w:color="auto"/>
              <w:bottom w:val="single" w:sz="4" w:space="0" w:color="auto"/>
              <w:right w:val="single" w:sz="4" w:space="0" w:color="auto"/>
            </w:tcBorders>
            <w:vAlign w:val="bottom"/>
          </w:tcPr>
          <w:p w14:paraId="0296B78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B0A5C8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w:t>
            </w:r>
          </w:p>
        </w:tc>
        <w:tc>
          <w:tcPr>
            <w:tcW w:w="588" w:type="dxa"/>
            <w:tcBorders>
              <w:top w:val="single" w:sz="4" w:space="0" w:color="auto"/>
              <w:left w:val="single" w:sz="4" w:space="0" w:color="auto"/>
              <w:bottom w:val="single" w:sz="4" w:space="0" w:color="auto"/>
              <w:right w:val="single" w:sz="4" w:space="0" w:color="auto"/>
            </w:tcBorders>
            <w:vAlign w:val="center"/>
          </w:tcPr>
          <w:p w14:paraId="078C754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16.8</w:t>
            </w:r>
          </w:p>
        </w:tc>
        <w:tc>
          <w:tcPr>
            <w:tcW w:w="846" w:type="dxa"/>
            <w:tcBorders>
              <w:top w:val="single" w:sz="4" w:space="0" w:color="auto"/>
              <w:left w:val="single" w:sz="4" w:space="0" w:color="auto"/>
              <w:bottom w:val="single" w:sz="4" w:space="0" w:color="auto"/>
              <w:right w:val="single" w:sz="4" w:space="0" w:color="auto"/>
            </w:tcBorders>
            <w:vAlign w:val="center"/>
          </w:tcPr>
          <w:p w14:paraId="327BBAE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87</w:t>
            </w:r>
          </w:p>
        </w:tc>
        <w:tc>
          <w:tcPr>
            <w:tcW w:w="816" w:type="dxa"/>
            <w:tcBorders>
              <w:top w:val="single" w:sz="4" w:space="0" w:color="auto"/>
              <w:left w:val="single" w:sz="4" w:space="0" w:color="auto"/>
              <w:bottom w:val="single" w:sz="4" w:space="0" w:color="auto"/>
              <w:right w:val="single" w:sz="4" w:space="0" w:color="auto"/>
            </w:tcBorders>
            <w:vAlign w:val="center"/>
          </w:tcPr>
          <w:p w14:paraId="4FBDD36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52</w:t>
            </w:r>
          </w:p>
        </w:tc>
        <w:tc>
          <w:tcPr>
            <w:tcW w:w="797" w:type="dxa"/>
            <w:tcBorders>
              <w:top w:val="single" w:sz="4" w:space="0" w:color="auto"/>
              <w:left w:val="single" w:sz="4" w:space="0" w:color="auto"/>
              <w:bottom w:val="single" w:sz="4" w:space="0" w:color="auto"/>
              <w:right w:val="single" w:sz="4" w:space="0" w:color="auto"/>
            </w:tcBorders>
            <w:vAlign w:val="center"/>
          </w:tcPr>
          <w:p w14:paraId="406526E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9.6</w:t>
            </w:r>
          </w:p>
        </w:tc>
      </w:tr>
      <w:tr w:rsidR="00E504C7" w:rsidRPr="00314FD9" w14:paraId="57E3C9D8"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2849D963"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43</w:t>
            </w:r>
          </w:p>
        </w:tc>
        <w:tc>
          <w:tcPr>
            <w:tcW w:w="796" w:type="dxa"/>
            <w:tcBorders>
              <w:top w:val="single" w:sz="4" w:space="0" w:color="auto"/>
              <w:left w:val="single" w:sz="4" w:space="0" w:color="auto"/>
              <w:bottom w:val="single" w:sz="4" w:space="0" w:color="auto"/>
              <w:right w:val="single" w:sz="4" w:space="0" w:color="auto"/>
            </w:tcBorders>
            <w:vAlign w:val="bottom"/>
          </w:tcPr>
          <w:p w14:paraId="3425658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19B5FA7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32.1</w:t>
            </w:r>
          </w:p>
        </w:tc>
        <w:tc>
          <w:tcPr>
            <w:tcW w:w="588" w:type="dxa"/>
            <w:tcBorders>
              <w:top w:val="single" w:sz="4" w:space="0" w:color="auto"/>
              <w:left w:val="single" w:sz="4" w:space="0" w:color="auto"/>
              <w:bottom w:val="single" w:sz="4" w:space="0" w:color="auto"/>
              <w:right w:val="single" w:sz="4" w:space="0" w:color="auto"/>
            </w:tcBorders>
            <w:vAlign w:val="center"/>
          </w:tcPr>
          <w:p w14:paraId="75556C3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15.4</w:t>
            </w:r>
          </w:p>
        </w:tc>
        <w:tc>
          <w:tcPr>
            <w:tcW w:w="846" w:type="dxa"/>
            <w:tcBorders>
              <w:top w:val="single" w:sz="4" w:space="0" w:color="auto"/>
              <w:left w:val="single" w:sz="4" w:space="0" w:color="auto"/>
              <w:bottom w:val="single" w:sz="4" w:space="0" w:color="auto"/>
              <w:right w:val="single" w:sz="4" w:space="0" w:color="auto"/>
            </w:tcBorders>
            <w:vAlign w:val="center"/>
          </w:tcPr>
          <w:p w14:paraId="69251F1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86</w:t>
            </w:r>
          </w:p>
        </w:tc>
        <w:tc>
          <w:tcPr>
            <w:tcW w:w="816" w:type="dxa"/>
            <w:tcBorders>
              <w:top w:val="single" w:sz="4" w:space="0" w:color="auto"/>
              <w:left w:val="single" w:sz="4" w:space="0" w:color="auto"/>
              <w:bottom w:val="single" w:sz="4" w:space="0" w:color="auto"/>
              <w:right w:val="single" w:sz="4" w:space="0" w:color="auto"/>
            </w:tcBorders>
            <w:vAlign w:val="center"/>
          </w:tcPr>
          <w:p w14:paraId="5025CC1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46</w:t>
            </w:r>
          </w:p>
        </w:tc>
        <w:tc>
          <w:tcPr>
            <w:tcW w:w="797" w:type="dxa"/>
            <w:tcBorders>
              <w:top w:val="single" w:sz="4" w:space="0" w:color="auto"/>
              <w:left w:val="single" w:sz="4" w:space="0" w:color="auto"/>
              <w:bottom w:val="single" w:sz="4" w:space="0" w:color="auto"/>
              <w:right w:val="single" w:sz="4" w:space="0" w:color="auto"/>
            </w:tcBorders>
            <w:vAlign w:val="center"/>
          </w:tcPr>
          <w:p w14:paraId="5513139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w:t>
            </w:r>
          </w:p>
        </w:tc>
      </w:tr>
      <w:tr w:rsidR="00E504C7" w:rsidRPr="00314FD9" w14:paraId="5F0F708D"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58C34792"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44</w:t>
            </w:r>
          </w:p>
        </w:tc>
        <w:tc>
          <w:tcPr>
            <w:tcW w:w="796" w:type="dxa"/>
            <w:tcBorders>
              <w:top w:val="single" w:sz="4" w:space="0" w:color="auto"/>
              <w:left w:val="single" w:sz="4" w:space="0" w:color="auto"/>
              <w:bottom w:val="single" w:sz="4" w:space="0" w:color="auto"/>
              <w:right w:val="single" w:sz="4" w:space="0" w:color="auto"/>
            </w:tcBorders>
            <w:vAlign w:val="bottom"/>
          </w:tcPr>
          <w:p w14:paraId="569D9FA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7802ADE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31.7</w:t>
            </w:r>
          </w:p>
        </w:tc>
        <w:tc>
          <w:tcPr>
            <w:tcW w:w="588" w:type="dxa"/>
            <w:tcBorders>
              <w:top w:val="single" w:sz="4" w:space="0" w:color="auto"/>
              <w:left w:val="single" w:sz="4" w:space="0" w:color="auto"/>
              <w:bottom w:val="single" w:sz="4" w:space="0" w:color="auto"/>
              <w:right w:val="single" w:sz="4" w:space="0" w:color="auto"/>
            </w:tcBorders>
            <w:vAlign w:val="center"/>
          </w:tcPr>
          <w:p w14:paraId="19D711E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14.1</w:t>
            </w:r>
          </w:p>
        </w:tc>
        <w:tc>
          <w:tcPr>
            <w:tcW w:w="846" w:type="dxa"/>
            <w:tcBorders>
              <w:top w:val="single" w:sz="4" w:space="0" w:color="auto"/>
              <w:left w:val="single" w:sz="4" w:space="0" w:color="auto"/>
              <w:bottom w:val="single" w:sz="4" w:space="0" w:color="auto"/>
              <w:right w:val="single" w:sz="4" w:space="0" w:color="auto"/>
            </w:tcBorders>
            <w:vAlign w:val="center"/>
          </w:tcPr>
          <w:p w14:paraId="6AD766D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6490693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46</w:t>
            </w:r>
          </w:p>
        </w:tc>
        <w:tc>
          <w:tcPr>
            <w:tcW w:w="797" w:type="dxa"/>
            <w:tcBorders>
              <w:top w:val="single" w:sz="4" w:space="0" w:color="auto"/>
              <w:left w:val="single" w:sz="4" w:space="0" w:color="auto"/>
              <w:bottom w:val="single" w:sz="4" w:space="0" w:color="auto"/>
              <w:right w:val="single" w:sz="4" w:space="0" w:color="auto"/>
            </w:tcBorders>
            <w:vAlign w:val="center"/>
          </w:tcPr>
          <w:p w14:paraId="1320740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w:t>
            </w:r>
          </w:p>
        </w:tc>
      </w:tr>
      <w:tr w:rsidR="00E504C7" w:rsidRPr="00314FD9" w14:paraId="5F957D56" w14:textId="77777777">
        <w:trPr>
          <w:trHeight w:val="206"/>
        </w:trPr>
        <w:tc>
          <w:tcPr>
            <w:tcW w:w="647" w:type="dxa"/>
            <w:tcBorders>
              <w:top w:val="single" w:sz="4" w:space="0" w:color="auto"/>
              <w:left w:val="single" w:sz="4" w:space="0" w:color="auto"/>
              <w:bottom w:val="single" w:sz="4" w:space="0" w:color="auto"/>
              <w:right w:val="single" w:sz="4" w:space="0" w:color="auto"/>
            </w:tcBorders>
            <w:vAlign w:val="bottom"/>
          </w:tcPr>
          <w:p w14:paraId="6E5DCCC7"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45</w:t>
            </w:r>
          </w:p>
        </w:tc>
        <w:tc>
          <w:tcPr>
            <w:tcW w:w="796" w:type="dxa"/>
            <w:tcBorders>
              <w:top w:val="single" w:sz="4" w:space="0" w:color="auto"/>
              <w:left w:val="single" w:sz="4" w:space="0" w:color="auto"/>
              <w:bottom w:val="single" w:sz="4" w:space="0" w:color="auto"/>
              <w:right w:val="single" w:sz="4" w:space="0" w:color="auto"/>
            </w:tcBorders>
            <w:vAlign w:val="bottom"/>
          </w:tcPr>
          <w:p w14:paraId="1F85DC4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D60CF3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30.4</w:t>
            </w:r>
          </w:p>
        </w:tc>
        <w:tc>
          <w:tcPr>
            <w:tcW w:w="588" w:type="dxa"/>
            <w:tcBorders>
              <w:top w:val="single" w:sz="4" w:space="0" w:color="auto"/>
              <w:left w:val="single" w:sz="4" w:space="0" w:color="auto"/>
              <w:bottom w:val="single" w:sz="4" w:space="0" w:color="auto"/>
              <w:right w:val="single" w:sz="4" w:space="0" w:color="auto"/>
            </w:tcBorders>
            <w:vAlign w:val="center"/>
          </w:tcPr>
          <w:p w14:paraId="35FB0E2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12.9</w:t>
            </w:r>
          </w:p>
        </w:tc>
        <w:tc>
          <w:tcPr>
            <w:tcW w:w="846" w:type="dxa"/>
            <w:tcBorders>
              <w:top w:val="single" w:sz="4" w:space="0" w:color="auto"/>
              <w:left w:val="single" w:sz="4" w:space="0" w:color="auto"/>
              <w:bottom w:val="single" w:sz="4" w:space="0" w:color="auto"/>
              <w:right w:val="single" w:sz="4" w:space="0" w:color="auto"/>
            </w:tcBorders>
            <w:vAlign w:val="center"/>
          </w:tcPr>
          <w:p w14:paraId="7B5AFAF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95</w:t>
            </w:r>
          </w:p>
        </w:tc>
        <w:tc>
          <w:tcPr>
            <w:tcW w:w="816" w:type="dxa"/>
            <w:tcBorders>
              <w:top w:val="single" w:sz="4" w:space="0" w:color="auto"/>
              <w:left w:val="single" w:sz="4" w:space="0" w:color="auto"/>
              <w:bottom w:val="single" w:sz="4" w:space="0" w:color="auto"/>
              <w:right w:val="single" w:sz="4" w:space="0" w:color="auto"/>
            </w:tcBorders>
            <w:vAlign w:val="center"/>
          </w:tcPr>
          <w:p w14:paraId="6C5A6E7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55</w:t>
            </w:r>
          </w:p>
        </w:tc>
        <w:tc>
          <w:tcPr>
            <w:tcW w:w="797" w:type="dxa"/>
            <w:tcBorders>
              <w:top w:val="single" w:sz="4" w:space="0" w:color="auto"/>
              <w:left w:val="single" w:sz="4" w:space="0" w:color="auto"/>
              <w:bottom w:val="single" w:sz="4" w:space="0" w:color="auto"/>
              <w:right w:val="single" w:sz="4" w:space="0" w:color="auto"/>
            </w:tcBorders>
            <w:vAlign w:val="center"/>
          </w:tcPr>
          <w:p w14:paraId="644C563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w:t>
            </w:r>
          </w:p>
        </w:tc>
      </w:tr>
      <w:tr w:rsidR="00E504C7" w:rsidRPr="00314FD9" w14:paraId="51409055"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4F62CE7"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46</w:t>
            </w:r>
          </w:p>
        </w:tc>
        <w:tc>
          <w:tcPr>
            <w:tcW w:w="796" w:type="dxa"/>
            <w:tcBorders>
              <w:top w:val="single" w:sz="4" w:space="0" w:color="auto"/>
              <w:left w:val="single" w:sz="4" w:space="0" w:color="auto"/>
              <w:bottom w:val="single" w:sz="4" w:space="0" w:color="auto"/>
              <w:right w:val="single" w:sz="4" w:space="0" w:color="auto"/>
            </w:tcBorders>
            <w:vAlign w:val="bottom"/>
          </w:tcPr>
          <w:p w14:paraId="7325598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7AE8986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28.3</w:t>
            </w:r>
          </w:p>
        </w:tc>
        <w:tc>
          <w:tcPr>
            <w:tcW w:w="588" w:type="dxa"/>
            <w:tcBorders>
              <w:top w:val="single" w:sz="4" w:space="0" w:color="auto"/>
              <w:left w:val="single" w:sz="4" w:space="0" w:color="auto"/>
              <w:bottom w:val="single" w:sz="4" w:space="0" w:color="auto"/>
              <w:right w:val="single" w:sz="4" w:space="0" w:color="auto"/>
            </w:tcBorders>
            <w:vAlign w:val="center"/>
          </w:tcPr>
          <w:p w14:paraId="482BE47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11.1</w:t>
            </w:r>
          </w:p>
        </w:tc>
        <w:tc>
          <w:tcPr>
            <w:tcW w:w="846" w:type="dxa"/>
            <w:tcBorders>
              <w:top w:val="single" w:sz="4" w:space="0" w:color="auto"/>
              <w:left w:val="single" w:sz="4" w:space="0" w:color="auto"/>
              <w:bottom w:val="single" w:sz="4" w:space="0" w:color="auto"/>
              <w:right w:val="single" w:sz="4" w:space="0" w:color="auto"/>
            </w:tcBorders>
            <w:vAlign w:val="center"/>
          </w:tcPr>
          <w:p w14:paraId="56E8677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2CD74AC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40</w:t>
            </w:r>
          </w:p>
        </w:tc>
        <w:tc>
          <w:tcPr>
            <w:tcW w:w="797" w:type="dxa"/>
            <w:tcBorders>
              <w:top w:val="single" w:sz="4" w:space="0" w:color="auto"/>
              <w:left w:val="single" w:sz="4" w:space="0" w:color="auto"/>
              <w:bottom w:val="single" w:sz="4" w:space="0" w:color="auto"/>
              <w:right w:val="single" w:sz="4" w:space="0" w:color="auto"/>
            </w:tcBorders>
            <w:vAlign w:val="center"/>
          </w:tcPr>
          <w:p w14:paraId="5A5D883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w:t>
            </w:r>
          </w:p>
        </w:tc>
      </w:tr>
      <w:tr w:rsidR="00E504C7" w:rsidRPr="00314FD9" w14:paraId="18A7D5F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34EDF69B"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47</w:t>
            </w:r>
          </w:p>
        </w:tc>
        <w:tc>
          <w:tcPr>
            <w:tcW w:w="796" w:type="dxa"/>
            <w:tcBorders>
              <w:top w:val="single" w:sz="4" w:space="0" w:color="auto"/>
              <w:left w:val="single" w:sz="4" w:space="0" w:color="auto"/>
              <w:bottom w:val="single" w:sz="4" w:space="0" w:color="auto"/>
              <w:right w:val="single" w:sz="4" w:space="0" w:color="auto"/>
            </w:tcBorders>
            <w:vAlign w:val="bottom"/>
          </w:tcPr>
          <w:p w14:paraId="281A571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158C3C2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26.9</w:t>
            </w:r>
          </w:p>
        </w:tc>
        <w:tc>
          <w:tcPr>
            <w:tcW w:w="588" w:type="dxa"/>
            <w:tcBorders>
              <w:top w:val="single" w:sz="4" w:space="0" w:color="auto"/>
              <w:left w:val="single" w:sz="4" w:space="0" w:color="auto"/>
              <w:bottom w:val="single" w:sz="4" w:space="0" w:color="auto"/>
              <w:right w:val="single" w:sz="4" w:space="0" w:color="auto"/>
            </w:tcBorders>
            <w:vAlign w:val="center"/>
          </w:tcPr>
          <w:p w14:paraId="3FECE82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w:t>
            </w:r>
          </w:p>
        </w:tc>
        <w:tc>
          <w:tcPr>
            <w:tcW w:w="846" w:type="dxa"/>
            <w:tcBorders>
              <w:top w:val="single" w:sz="4" w:space="0" w:color="auto"/>
              <w:left w:val="single" w:sz="4" w:space="0" w:color="auto"/>
              <w:bottom w:val="single" w:sz="4" w:space="0" w:color="auto"/>
              <w:right w:val="single" w:sz="4" w:space="0" w:color="auto"/>
            </w:tcBorders>
            <w:vAlign w:val="center"/>
          </w:tcPr>
          <w:p w14:paraId="7E940D2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10C9158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42</w:t>
            </w:r>
          </w:p>
        </w:tc>
        <w:tc>
          <w:tcPr>
            <w:tcW w:w="797" w:type="dxa"/>
            <w:tcBorders>
              <w:top w:val="single" w:sz="4" w:space="0" w:color="auto"/>
              <w:left w:val="single" w:sz="4" w:space="0" w:color="auto"/>
              <w:bottom w:val="single" w:sz="4" w:space="0" w:color="auto"/>
              <w:right w:val="single" w:sz="4" w:space="0" w:color="auto"/>
            </w:tcBorders>
            <w:vAlign w:val="center"/>
          </w:tcPr>
          <w:p w14:paraId="0D4B311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w:t>
            </w:r>
          </w:p>
        </w:tc>
      </w:tr>
      <w:tr w:rsidR="00E504C7" w:rsidRPr="00314FD9" w14:paraId="00CC212D"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79C73F10" w14:textId="77777777" w:rsidR="00E504C7" w:rsidRPr="00314FD9" w:rsidRDefault="00000000" w:rsidP="002C1309">
            <w:pPr>
              <w:spacing w:after="0" w:line="240" w:lineRule="auto"/>
              <w:jc w:val="both"/>
              <w:rPr>
                <w:rFonts w:ascii="Arial" w:hAnsi="Arial" w:cs="Arial"/>
                <w:b/>
                <w:bCs/>
                <w:sz w:val="20"/>
                <w:szCs w:val="20"/>
              </w:rPr>
            </w:pPr>
            <w:r w:rsidRPr="00314FD9">
              <w:rPr>
                <w:rFonts w:ascii="Arial" w:hAnsi="Arial" w:cs="Arial"/>
                <w:b/>
                <w:bCs/>
                <w:sz w:val="20"/>
                <w:szCs w:val="20"/>
              </w:rPr>
              <w:t>48</w:t>
            </w:r>
          </w:p>
        </w:tc>
        <w:tc>
          <w:tcPr>
            <w:tcW w:w="796" w:type="dxa"/>
            <w:tcBorders>
              <w:top w:val="single" w:sz="4" w:space="0" w:color="auto"/>
              <w:left w:val="single" w:sz="4" w:space="0" w:color="auto"/>
              <w:bottom w:val="single" w:sz="4" w:space="0" w:color="auto"/>
              <w:right w:val="single" w:sz="4" w:space="0" w:color="auto"/>
            </w:tcBorders>
            <w:vAlign w:val="bottom"/>
          </w:tcPr>
          <w:p w14:paraId="6BCB31B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D3EF85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26.8</w:t>
            </w:r>
          </w:p>
        </w:tc>
        <w:tc>
          <w:tcPr>
            <w:tcW w:w="588" w:type="dxa"/>
            <w:tcBorders>
              <w:top w:val="single" w:sz="4" w:space="0" w:color="auto"/>
              <w:left w:val="single" w:sz="4" w:space="0" w:color="auto"/>
              <w:bottom w:val="single" w:sz="4" w:space="0" w:color="auto"/>
              <w:right w:val="single" w:sz="4" w:space="0" w:color="auto"/>
            </w:tcBorders>
            <w:vAlign w:val="center"/>
          </w:tcPr>
          <w:p w14:paraId="23CA311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9.6</w:t>
            </w:r>
          </w:p>
        </w:tc>
        <w:tc>
          <w:tcPr>
            <w:tcW w:w="846" w:type="dxa"/>
            <w:tcBorders>
              <w:top w:val="single" w:sz="4" w:space="0" w:color="auto"/>
              <w:left w:val="single" w:sz="4" w:space="0" w:color="auto"/>
              <w:bottom w:val="single" w:sz="4" w:space="0" w:color="auto"/>
              <w:right w:val="single" w:sz="4" w:space="0" w:color="auto"/>
            </w:tcBorders>
            <w:vAlign w:val="center"/>
          </w:tcPr>
          <w:p w14:paraId="1ECA399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4F0F2CF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40</w:t>
            </w:r>
          </w:p>
        </w:tc>
        <w:tc>
          <w:tcPr>
            <w:tcW w:w="797" w:type="dxa"/>
            <w:tcBorders>
              <w:top w:val="single" w:sz="4" w:space="0" w:color="auto"/>
              <w:left w:val="single" w:sz="4" w:space="0" w:color="auto"/>
              <w:bottom w:val="single" w:sz="4" w:space="0" w:color="auto"/>
              <w:right w:val="single" w:sz="4" w:space="0" w:color="auto"/>
            </w:tcBorders>
            <w:vAlign w:val="center"/>
          </w:tcPr>
          <w:p w14:paraId="143CEFE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2.5</w:t>
            </w:r>
          </w:p>
        </w:tc>
      </w:tr>
    </w:tbl>
    <w:p w14:paraId="32216DED" w14:textId="77777777" w:rsidR="00E504C7" w:rsidRPr="00314FD9" w:rsidRDefault="00E504C7" w:rsidP="002C1309">
      <w:pPr>
        <w:jc w:val="both"/>
        <w:rPr>
          <w:rFonts w:ascii="Arial" w:hAnsi="Arial" w:cs="Arial"/>
          <w:sz w:val="20"/>
          <w:szCs w:val="20"/>
        </w:rPr>
      </w:pPr>
    </w:p>
    <w:p w14:paraId="4782E7E1" w14:textId="77777777" w:rsidR="00E504C7" w:rsidRPr="00314FD9" w:rsidRDefault="00E504C7" w:rsidP="002C1309">
      <w:pPr>
        <w:tabs>
          <w:tab w:val="left" w:pos="2753"/>
        </w:tabs>
        <w:ind w:right="1530"/>
        <w:jc w:val="both"/>
        <w:rPr>
          <w:rFonts w:ascii="Arial" w:hAnsi="Arial" w:cs="Arial"/>
          <w:sz w:val="20"/>
          <w:szCs w:val="20"/>
        </w:rPr>
      </w:pPr>
    </w:p>
    <w:p w14:paraId="04066C5C" w14:textId="77777777" w:rsidR="00E504C7" w:rsidRPr="00314FD9" w:rsidRDefault="00000000" w:rsidP="002C1309">
      <w:pPr>
        <w:tabs>
          <w:tab w:val="left" w:pos="2753"/>
        </w:tabs>
        <w:ind w:left="1890" w:right="1530"/>
        <w:jc w:val="both"/>
        <w:rPr>
          <w:rFonts w:ascii="Arial" w:hAnsi="Arial" w:cs="Arial"/>
          <w:sz w:val="20"/>
          <w:szCs w:val="20"/>
        </w:rPr>
      </w:pPr>
      <w:r w:rsidRPr="00314FD9">
        <w:rPr>
          <w:rFonts w:ascii="Arial" w:hAnsi="Arial" w:cs="Arial"/>
          <w:sz w:val="20"/>
          <w:szCs w:val="20"/>
        </w:rPr>
        <w:t>SMW = Standard Meteorological Week, Max temp = Maximum temperature, Min temp = Minimum temperature, RH =Relative Humidity, LF =Leaf Folder</w:t>
      </w:r>
    </w:p>
    <w:p w14:paraId="0577B77A" w14:textId="77777777" w:rsidR="00E504C7" w:rsidRPr="00314FD9" w:rsidRDefault="00000000" w:rsidP="002C1309">
      <w:pPr>
        <w:ind w:firstLine="720"/>
        <w:jc w:val="both"/>
        <w:rPr>
          <w:rFonts w:ascii="Arial" w:hAnsi="Arial" w:cs="Arial"/>
          <w:sz w:val="20"/>
          <w:szCs w:val="20"/>
        </w:rPr>
      </w:pPr>
      <w:r w:rsidRPr="00314FD9">
        <w:rPr>
          <w:rFonts w:ascii="Arial" w:hAnsi="Arial" w:cs="Arial"/>
          <w:sz w:val="20"/>
          <w:szCs w:val="20"/>
        </w:rPr>
        <w:t xml:space="preserve">During </w:t>
      </w:r>
      <w:r w:rsidRPr="00314FD9">
        <w:rPr>
          <w:rFonts w:ascii="Arial" w:hAnsi="Arial" w:cs="Arial"/>
          <w:i/>
          <w:sz w:val="20"/>
          <w:szCs w:val="20"/>
        </w:rPr>
        <w:t>kharif</w:t>
      </w:r>
      <w:r w:rsidRPr="00314FD9">
        <w:rPr>
          <w:rFonts w:ascii="Arial" w:hAnsi="Arial" w:cs="Arial"/>
          <w:iCs/>
          <w:sz w:val="20"/>
          <w:szCs w:val="20"/>
        </w:rPr>
        <w:t xml:space="preserve"> </w:t>
      </w:r>
      <w:r w:rsidRPr="00314FD9">
        <w:rPr>
          <w:rFonts w:ascii="Arial" w:hAnsi="Arial" w:cs="Arial"/>
          <w:sz w:val="20"/>
          <w:szCs w:val="20"/>
        </w:rPr>
        <w:t>2023, rice leaf-folder damage ranged from 3.0% to 17.5% after infestation commenced. Damage was first recorded at 3.00% damaged leaves per hill during the 30</w:t>
      </w:r>
      <w:r w:rsidRPr="00314FD9">
        <w:rPr>
          <w:rFonts w:ascii="Arial" w:hAnsi="Arial" w:cs="Arial"/>
          <w:sz w:val="20"/>
          <w:szCs w:val="20"/>
          <w:vertAlign w:val="superscript"/>
        </w:rPr>
        <w:t>th</w:t>
      </w:r>
      <w:r w:rsidRPr="00314FD9">
        <w:rPr>
          <w:rFonts w:ascii="Arial" w:hAnsi="Arial" w:cs="Arial"/>
          <w:sz w:val="20"/>
          <w:szCs w:val="20"/>
        </w:rPr>
        <w:t xml:space="preserve"> SMW and reached a peak of 17.5% during the 41</w:t>
      </w:r>
      <w:r w:rsidRPr="00314FD9">
        <w:rPr>
          <w:rFonts w:ascii="Arial" w:hAnsi="Arial" w:cs="Arial"/>
          <w:sz w:val="20"/>
          <w:szCs w:val="20"/>
          <w:vertAlign w:val="superscript"/>
        </w:rPr>
        <w:t>st</w:t>
      </w:r>
      <w:r w:rsidRPr="00314FD9">
        <w:rPr>
          <w:rFonts w:ascii="Arial" w:hAnsi="Arial" w:cs="Arial"/>
          <w:sz w:val="20"/>
          <w:szCs w:val="20"/>
        </w:rPr>
        <w:t xml:space="preserve"> SMW (Table 2). After reaching its peak, infestation gradually declined and reached zero at crop harvest (Figure 2). Leaf-folder incidence was slightly higher during the second-year trial, which may have reflected seasonal differences between the two years.</w:t>
      </w:r>
    </w:p>
    <w:p w14:paraId="5CC683AF" w14:textId="77777777" w:rsidR="00E504C7" w:rsidRPr="00314FD9" w:rsidRDefault="00000000" w:rsidP="00690E9A">
      <w:pPr>
        <w:ind w:firstLine="720"/>
        <w:jc w:val="both"/>
        <w:rPr>
          <w:rFonts w:ascii="Arial" w:hAnsi="Arial" w:cs="Arial"/>
          <w:sz w:val="20"/>
          <w:szCs w:val="20"/>
        </w:rPr>
      </w:pPr>
      <w:r w:rsidRPr="00314FD9">
        <w:rPr>
          <w:rFonts w:ascii="Arial" w:eastAsia="Arial" w:hAnsi="Arial" w:cs="Arial"/>
          <w:color w:val="000000"/>
          <w:sz w:val="20"/>
        </w:rPr>
        <w:lastRenderedPageBreak/>
        <w:t xml:space="preserve">Similarly, Sharma </w:t>
      </w:r>
      <w:r w:rsidRPr="00314FD9">
        <w:rPr>
          <w:rFonts w:ascii="Arial" w:eastAsia="Arial" w:hAnsi="Arial" w:cs="Arial"/>
          <w:i/>
          <w:color w:val="000000"/>
          <w:sz w:val="20"/>
        </w:rPr>
        <w:t>et al.</w:t>
      </w:r>
      <w:r w:rsidRPr="00314FD9">
        <w:rPr>
          <w:rFonts w:ascii="Arial" w:eastAsia="Arial" w:hAnsi="Arial" w:cs="Arial"/>
          <w:color w:val="000000"/>
          <w:sz w:val="20"/>
        </w:rPr>
        <w:t xml:space="preserve"> (2024) observed that rice leaf-folder infestation began during the 31</w:t>
      </w:r>
      <w:r w:rsidRPr="00314FD9">
        <w:rPr>
          <w:rFonts w:ascii="Arial" w:eastAsia="Arial" w:hAnsi="Arial" w:cs="Arial"/>
          <w:color w:val="000000"/>
          <w:sz w:val="20"/>
          <w:vertAlign w:val="superscript"/>
        </w:rPr>
        <w:t>st</w:t>
      </w:r>
      <w:r w:rsidRPr="00314FD9">
        <w:rPr>
          <w:rFonts w:ascii="Arial" w:eastAsia="Arial" w:hAnsi="Arial" w:cs="Arial"/>
          <w:color w:val="000000"/>
          <w:sz w:val="20"/>
        </w:rPr>
        <w:t xml:space="preserve"> Standard Meteorological Week, increased with crop development and reached a peak during the 38</w:t>
      </w:r>
      <w:r w:rsidRPr="00314FD9">
        <w:rPr>
          <w:rFonts w:ascii="Arial" w:eastAsia="Arial" w:hAnsi="Arial" w:cs="Arial"/>
          <w:color w:val="000000"/>
          <w:sz w:val="20"/>
          <w:vertAlign w:val="superscript"/>
        </w:rPr>
        <w:t>th</w:t>
      </w:r>
      <w:r w:rsidRPr="00314FD9">
        <w:rPr>
          <w:rFonts w:ascii="Arial" w:eastAsia="Arial" w:hAnsi="Arial" w:cs="Arial"/>
          <w:color w:val="000000"/>
          <w:sz w:val="20"/>
        </w:rPr>
        <w:t xml:space="preserve"> or 39</w:t>
      </w:r>
      <w:r w:rsidRPr="00314FD9">
        <w:rPr>
          <w:rFonts w:ascii="Arial" w:eastAsia="Arial" w:hAnsi="Arial" w:cs="Arial"/>
          <w:color w:val="000000"/>
          <w:sz w:val="20"/>
          <w:vertAlign w:val="superscript"/>
        </w:rPr>
        <w:t>th</w:t>
      </w:r>
      <w:r w:rsidRPr="00314FD9">
        <w:rPr>
          <w:rFonts w:ascii="Arial" w:eastAsia="Arial" w:hAnsi="Arial" w:cs="Arial"/>
          <w:color w:val="000000"/>
          <w:sz w:val="20"/>
        </w:rPr>
        <w:t xml:space="preserve"> Standard Meteorological Week in two kharif seasons. Thereafter, damaged-leaf percentages declined as the crop approached maturity.</w:t>
      </w:r>
    </w:p>
    <w:p w14:paraId="46B6AB89" w14:textId="77777777" w:rsidR="00E504C7" w:rsidRPr="00314FD9" w:rsidRDefault="00000000" w:rsidP="002C1309">
      <w:pPr>
        <w:jc w:val="both"/>
        <w:rPr>
          <w:rFonts w:ascii="Arial" w:hAnsi="Arial" w:cs="Arial"/>
          <w:sz w:val="20"/>
          <w:szCs w:val="20"/>
        </w:rPr>
      </w:pPr>
      <w:r w:rsidRPr="00314FD9">
        <w:rPr>
          <w:rFonts w:ascii="Arial" w:hAnsi="Arial" w:cs="Arial"/>
          <w:b/>
          <w:bCs/>
          <w:sz w:val="20"/>
          <w:szCs w:val="20"/>
        </w:rPr>
        <w:t xml:space="preserve">Table 2. </w:t>
      </w:r>
      <w:r w:rsidRPr="00314FD9">
        <w:rPr>
          <w:rFonts w:ascii="Arial" w:hAnsi="Arial" w:cs="Arial"/>
          <w:sz w:val="20"/>
          <w:szCs w:val="20"/>
        </w:rPr>
        <w:t xml:space="preserve">Influence of abiotic factors on the rice leaf folder infestation during </w:t>
      </w:r>
      <w:r w:rsidRPr="00314FD9">
        <w:rPr>
          <w:rFonts w:ascii="Arial" w:hAnsi="Arial" w:cs="Arial"/>
          <w:i/>
          <w:iCs/>
          <w:sz w:val="20"/>
          <w:szCs w:val="20"/>
        </w:rPr>
        <w:t xml:space="preserve">Kharif </w:t>
      </w:r>
      <w:r w:rsidRPr="00314FD9">
        <w:rPr>
          <w:rFonts w:ascii="Arial" w:hAnsi="Arial" w:cs="Arial"/>
          <w:sz w:val="20"/>
          <w:szCs w:val="20"/>
        </w:rPr>
        <w:t>2023</w:t>
      </w:r>
    </w:p>
    <w:tbl>
      <w:tblPr>
        <w:tblStyle w:val="TableGrid"/>
        <w:tblW w:w="6207" w:type="dxa"/>
        <w:tblInd w:w="2022" w:type="dxa"/>
        <w:tblLook w:val="04A0" w:firstRow="1" w:lastRow="0" w:firstColumn="1" w:lastColumn="0" w:noHBand="0" w:noVBand="1"/>
      </w:tblPr>
      <w:tblGrid>
        <w:gridCol w:w="790"/>
        <w:gridCol w:w="990"/>
        <w:gridCol w:w="696"/>
        <w:gridCol w:w="696"/>
        <w:gridCol w:w="1056"/>
        <w:gridCol w:w="1016"/>
        <w:gridCol w:w="963"/>
      </w:tblGrid>
      <w:tr w:rsidR="00E504C7" w:rsidRPr="00314FD9" w14:paraId="02440569" w14:textId="77777777">
        <w:trPr>
          <w:trHeight w:val="125"/>
        </w:trPr>
        <w:tc>
          <w:tcPr>
            <w:tcW w:w="790" w:type="dxa"/>
            <w:tcBorders>
              <w:top w:val="single" w:sz="4" w:space="0" w:color="auto"/>
              <w:left w:val="single" w:sz="4" w:space="0" w:color="auto"/>
              <w:bottom w:val="single" w:sz="4" w:space="0" w:color="auto"/>
              <w:right w:val="single" w:sz="4" w:space="0" w:color="auto"/>
            </w:tcBorders>
          </w:tcPr>
          <w:p w14:paraId="68DF943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SMW</w:t>
            </w:r>
          </w:p>
        </w:tc>
        <w:tc>
          <w:tcPr>
            <w:tcW w:w="990" w:type="dxa"/>
            <w:tcBorders>
              <w:top w:val="single" w:sz="4" w:space="0" w:color="auto"/>
              <w:left w:val="single" w:sz="4" w:space="0" w:color="auto"/>
              <w:bottom w:val="single" w:sz="4" w:space="0" w:color="auto"/>
              <w:right w:val="single" w:sz="4" w:space="0" w:color="auto"/>
            </w:tcBorders>
          </w:tcPr>
          <w:p w14:paraId="6446D07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Rainfall</w:t>
            </w:r>
          </w:p>
        </w:tc>
        <w:tc>
          <w:tcPr>
            <w:tcW w:w="696" w:type="dxa"/>
            <w:tcBorders>
              <w:top w:val="single" w:sz="4" w:space="0" w:color="auto"/>
              <w:left w:val="single" w:sz="4" w:space="0" w:color="auto"/>
              <w:bottom w:val="single" w:sz="4" w:space="0" w:color="auto"/>
              <w:right w:val="single" w:sz="4" w:space="0" w:color="auto"/>
            </w:tcBorders>
          </w:tcPr>
          <w:p w14:paraId="0BB812B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Max</w:t>
            </w:r>
          </w:p>
          <w:p w14:paraId="2FB2B3C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temp</w:t>
            </w:r>
          </w:p>
        </w:tc>
        <w:tc>
          <w:tcPr>
            <w:tcW w:w="696" w:type="dxa"/>
            <w:tcBorders>
              <w:top w:val="single" w:sz="4" w:space="0" w:color="auto"/>
              <w:left w:val="single" w:sz="4" w:space="0" w:color="auto"/>
              <w:bottom w:val="single" w:sz="4" w:space="0" w:color="auto"/>
              <w:right w:val="single" w:sz="4" w:space="0" w:color="auto"/>
            </w:tcBorders>
          </w:tcPr>
          <w:p w14:paraId="75A77CB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Min</w:t>
            </w:r>
          </w:p>
          <w:p w14:paraId="35690EE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temp</w:t>
            </w:r>
          </w:p>
        </w:tc>
        <w:tc>
          <w:tcPr>
            <w:tcW w:w="1056" w:type="dxa"/>
            <w:tcBorders>
              <w:top w:val="single" w:sz="4" w:space="0" w:color="auto"/>
              <w:left w:val="single" w:sz="4" w:space="0" w:color="auto"/>
              <w:bottom w:val="single" w:sz="4" w:space="0" w:color="auto"/>
              <w:right w:val="single" w:sz="4" w:space="0" w:color="auto"/>
            </w:tcBorders>
          </w:tcPr>
          <w:p w14:paraId="1A6DFFF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Morning RH</w:t>
            </w:r>
          </w:p>
        </w:tc>
        <w:tc>
          <w:tcPr>
            <w:tcW w:w="1016" w:type="dxa"/>
            <w:tcBorders>
              <w:top w:val="single" w:sz="4" w:space="0" w:color="auto"/>
              <w:left w:val="single" w:sz="4" w:space="0" w:color="auto"/>
              <w:bottom w:val="single" w:sz="4" w:space="0" w:color="auto"/>
              <w:right w:val="single" w:sz="4" w:space="0" w:color="auto"/>
            </w:tcBorders>
          </w:tcPr>
          <w:p w14:paraId="0900D80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Evening RH</w:t>
            </w:r>
          </w:p>
        </w:tc>
        <w:tc>
          <w:tcPr>
            <w:tcW w:w="963" w:type="dxa"/>
            <w:tcBorders>
              <w:top w:val="single" w:sz="4" w:space="0" w:color="auto"/>
              <w:left w:val="single" w:sz="4" w:space="0" w:color="auto"/>
              <w:bottom w:val="single" w:sz="4" w:space="0" w:color="auto"/>
              <w:right w:val="single" w:sz="4" w:space="0" w:color="auto"/>
            </w:tcBorders>
          </w:tcPr>
          <w:p w14:paraId="006D759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LF damage</w:t>
            </w:r>
          </w:p>
        </w:tc>
      </w:tr>
      <w:tr w:rsidR="00E504C7" w:rsidRPr="00314FD9" w14:paraId="106A56DC" w14:textId="77777777">
        <w:trPr>
          <w:trHeight w:val="170"/>
        </w:trPr>
        <w:tc>
          <w:tcPr>
            <w:tcW w:w="790" w:type="dxa"/>
            <w:tcBorders>
              <w:top w:val="single" w:sz="4" w:space="0" w:color="auto"/>
              <w:left w:val="single" w:sz="4" w:space="0" w:color="auto"/>
              <w:bottom w:val="single" w:sz="4" w:space="0" w:color="auto"/>
              <w:right w:val="single" w:sz="4" w:space="0" w:color="auto"/>
            </w:tcBorders>
          </w:tcPr>
          <w:p w14:paraId="0690366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27</w:t>
            </w:r>
          </w:p>
        </w:tc>
        <w:tc>
          <w:tcPr>
            <w:tcW w:w="990" w:type="dxa"/>
            <w:tcBorders>
              <w:top w:val="single" w:sz="4" w:space="0" w:color="auto"/>
              <w:left w:val="single" w:sz="4" w:space="0" w:color="auto"/>
              <w:bottom w:val="single" w:sz="4" w:space="0" w:color="auto"/>
              <w:right w:val="single" w:sz="4" w:space="0" w:color="auto"/>
            </w:tcBorders>
            <w:vAlign w:val="center"/>
          </w:tcPr>
          <w:p w14:paraId="6585028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36.6</w:t>
            </w:r>
          </w:p>
        </w:tc>
        <w:tc>
          <w:tcPr>
            <w:tcW w:w="696" w:type="dxa"/>
            <w:tcBorders>
              <w:top w:val="single" w:sz="4" w:space="0" w:color="auto"/>
              <w:left w:val="single" w:sz="4" w:space="0" w:color="auto"/>
              <w:bottom w:val="single" w:sz="4" w:space="0" w:color="auto"/>
              <w:right w:val="single" w:sz="4" w:space="0" w:color="auto"/>
            </w:tcBorders>
            <w:vAlign w:val="center"/>
          </w:tcPr>
          <w:p w14:paraId="3ABE90B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w:t>
            </w:r>
          </w:p>
        </w:tc>
        <w:tc>
          <w:tcPr>
            <w:tcW w:w="696" w:type="dxa"/>
            <w:tcBorders>
              <w:top w:val="single" w:sz="4" w:space="0" w:color="auto"/>
              <w:left w:val="single" w:sz="4" w:space="0" w:color="auto"/>
              <w:bottom w:val="single" w:sz="4" w:space="0" w:color="auto"/>
              <w:right w:val="single" w:sz="4" w:space="0" w:color="auto"/>
            </w:tcBorders>
            <w:vAlign w:val="center"/>
          </w:tcPr>
          <w:p w14:paraId="3BC37D0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26.4</w:t>
            </w:r>
          </w:p>
        </w:tc>
        <w:tc>
          <w:tcPr>
            <w:tcW w:w="1056" w:type="dxa"/>
            <w:tcBorders>
              <w:top w:val="single" w:sz="4" w:space="0" w:color="auto"/>
              <w:left w:val="single" w:sz="4" w:space="0" w:color="auto"/>
              <w:bottom w:val="single" w:sz="4" w:space="0" w:color="auto"/>
              <w:right w:val="single" w:sz="4" w:space="0" w:color="auto"/>
            </w:tcBorders>
            <w:vAlign w:val="center"/>
          </w:tcPr>
          <w:p w14:paraId="55A02B4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84</w:t>
            </w:r>
          </w:p>
        </w:tc>
        <w:tc>
          <w:tcPr>
            <w:tcW w:w="1016" w:type="dxa"/>
            <w:tcBorders>
              <w:top w:val="single" w:sz="4" w:space="0" w:color="auto"/>
              <w:left w:val="single" w:sz="4" w:space="0" w:color="auto"/>
              <w:bottom w:val="single" w:sz="4" w:space="0" w:color="auto"/>
              <w:right w:val="single" w:sz="4" w:space="0" w:color="auto"/>
            </w:tcBorders>
            <w:vAlign w:val="center"/>
          </w:tcPr>
          <w:p w14:paraId="7CA8B29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6ED8DB8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r w:rsidR="00E504C7" w:rsidRPr="00314FD9" w14:paraId="7742B412" w14:textId="77777777">
        <w:trPr>
          <w:trHeight w:val="143"/>
        </w:trPr>
        <w:tc>
          <w:tcPr>
            <w:tcW w:w="790" w:type="dxa"/>
            <w:tcBorders>
              <w:top w:val="single" w:sz="4" w:space="0" w:color="auto"/>
              <w:left w:val="single" w:sz="4" w:space="0" w:color="auto"/>
              <w:bottom w:val="single" w:sz="4" w:space="0" w:color="auto"/>
              <w:right w:val="single" w:sz="4" w:space="0" w:color="auto"/>
            </w:tcBorders>
          </w:tcPr>
          <w:p w14:paraId="5A92EBC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28</w:t>
            </w:r>
          </w:p>
        </w:tc>
        <w:tc>
          <w:tcPr>
            <w:tcW w:w="990" w:type="dxa"/>
            <w:tcBorders>
              <w:top w:val="single" w:sz="4" w:space="0" w:color="auto"/>
              <w:left w:val="single" w:sz="4" w:space="0" w:color="auto"/>
              <w:bottom w:val="single" w:sz="4" w:space="0" w:color="auto"/>
              <w:right w:val="single" w:sz="4" w:space="0" w:color="auto"/>
            </w:tcBorders>
            <w:vAlign w:val="center"/>
          </w:tcPr>
          <w:p w14:paraId="516CBB9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57.2</w:t>
            </w:r>
          </w:p>
        </w:tc>
        <w:tc>
          <w:tcPr>
            <w:tcW w:w="696" w:type="dxa"/>
            <w:tcBorders>
              <w:top w:val="single" w:sz="4" w:space="0" w:color="auto"/>
              <w:left w:val="single" w:sz="4" w:space="0" w:color="auto"/>
              <w:bottom w:val="single" w:sz="4" w:space="0" w:color="auto"/>
              <w:right w:val="single" w:sz="4" w:space="0" w:color="auto"/>
            </w:tcBorders>
            <w:vAlign w:val="center"/>
          </w:tcPr>
          <w:p w14:paraId="5365587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37.8</w:t>
            </w:r>
          </w:p>
        </w:tc>
        <w:tc>
          <w:tcPr>
            <w:tcW w:w="696" w:type="dxa"/>
            <w:tcBorders>
              <w:top w:val="single" w:sz="4" w:space="0" w:color="auto"/>
              <w:left w:val="single" w:sz="4" w:space="0" w:color="auto"/>
              <w:bottom w:val="single" w:sz="4" w:space="0" w:color="auto"/>
              <w:right w:val="single" w:sz="4" w:space="0" w:color="auto"/>
            </w:tcBorders>
            <w:vAlign w:val="center"/>
          </w:tcPr>
          <w:p w14:paraId="71FF811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26.2</w:t>
            </w:r>
          </w:p>
        </w:tc>
        <w:tc>
          <w:tcPr>
            <w:tcW w:w="1056" w:type="dxa"/>
            <w:tcBorders>
              <w:top w:val="single" w:sz="4" w:space="0" w:color="auto"/>
              <w:left w:val="single" w:sz="4" w:space="0" w:color="auto"/>
              <w:bottom w:val="single" w:sz="4" w:space="0" w:color="auto"/>
              <w:right w:val="single" w:sz="4" w:space="0" w:color="auto"/>
            </w:tcBorders>
            <w:vAlign w:val="center"/>
          </w:tcPr>
          <w:p w14:paraId="7207D0C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73</w:t>
            </w:r>
          </w:p>
        </w:tc>
        <w:tc>
          <w:tcPr>
            <w:tcW w:w="1016" w:type="dxa"/>
            <w:tcBorders>
              <w:top w:val="single" w:sz="4" w:space="0" w:color="auto"/>
              <w:left w:val="single" w:sz="4" w:space="0" w:color="auto"/>
              <w:bottom w:val="single" w:sz="4" w:space="0" w:color="auto"/>
              <w:right w:val="single" w:sz="4" w:space="0" w:color="auto"/>
            </w:tcBorders>
            <w:vAlign w:val="center"/>
          </w:tcPr>
          <w:p w14:paraId="30E14D8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48</w:t>
            </w:r>
          </w:p>
        </w:tc>
        <w:tc>
          <w:tcPr>
            <w:tcW w:w="963" w:type="dxa"/>
            <w:tcBorders>
              <w:top w:val="single" w:sz="4" w:space="0" w:color="auto"/>
              <w:left w:val="single" w:sz="4" w:space="0" w:color="auto"/>
              <w:bottom w:val="single" w:sz="4" w:space="0" w:color="auto"/>
              <w:right w:val="single" w:sz="4" w:space="0" w:color="auto"/>
            </w:tcBorders>
            <w:vAlign w:val="center"/>
          </w:tcPr>
          <w:p w14:paraId="4E67981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r w:rsidR="00E504C7" w:rsidRPr="00314FD9" w14:paraId="5CC270D6"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5503113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29</w:t>
            </w:r>
          </w:p>
        </w:tc>
        <w:tc>
          <w:tcPr>
            <w:tcW w:w="990" w:type="dxa"/>
            <w:tcBorders>
              <w:top w:val="single" w:sz="4" w:space="0" w:color="auto"/>
              <w:left w:val="single" w:sz="4" w:space="0" w:color="auto"/>
              <w:bottom w:val="single" w:sz="4" w:space="0" w:color="auto"/>
              <w:right w:val="single" w:sz="4" w:space="0" w:color="auto"/>
            </w:tcBorders>
            <w:vAlign w:val="center"/>
          </w:tcPr>
          <w:p w14:paraId="71B7925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17.6</w:t>
            </w:r>
          </w:p>
        </w:tc>
        <w:tc>
          <w:tcPr>
            <w:tcW w:w="696" w:type="dxa"/>
            <w:tcBorders>
              <w:top w:val="single" w:sz="4" w:space="0" w:color="auto"/>
              <w:left w:val="single" w:sz="4" w:space="0" w:color="auto"/>
              <w:bottom w:val="single" w:sz="4" w:space="0" w:color="auto"/>
              <w:right w:val="single" w:sz="4" w:space="0" w:color="auto"/>
            </w:tcBorders>
            <w:vAlign w:val="center"/>
          </w:tcPr>
          <w:p w14:paraId="2A75F20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35.9</w:t>
            </w:r>
          </w:p>
        </w:tc>
        <w:tc>
          <w:tcPr>
            <w:tcW w:w="696" w:type="dxa"/>
            <w:tcBorders>
              <w:top w:val="single" w:sz="4" w:space="0" w:color="auto"/>
              <w:left w:val="single" w:sz="4" w:space="0" w:color="auto"/>
              <w:bottom w:val="single" w:sz="4" w:space="0" w:color="auto"/>
              <w:right w:val="single" w:sz="4" w:space="0" w:color="auto"/>
            </w:tcBorders>
            <w:vAlign w:val="center"/>
          </w:tcPr>
          <w:p w14:paraId="09D2583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29.4</w:t>
            </w:r>
          </w:p>
        </w:tc>
        <w:tc>
          <w:tcPr>
            <w:tcW w:w="1056" w:type="dxa"/>
            <w:tcBorders>
              <w:top w:val="single" w:sz="4" w:space="0" w:color="auto"/>
              <w:left w:val="single" w:sz="4" w:space="0" w:color="auto"/>
              <w:bottom w:val="single" w:sz="4" w:space="0" w:color="auto"/>
              <w:right w:val="single" w:sz="4" w:space="0" w:color="auto"/>
            </w:tcBorders>
            <w:vAlign w:val="center"/>
          </w:tcPr>
          <w:p w14:paraId="658E60B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81</w:t>
            </w:r>
          </w:p>
        </w:tc>
        <w:tc>
          <w:tcPr>
            <w:tcW w:w="1016" w:type="dxa"/>
            <w:tcBorders>
              <w:top w:val="single" w:sz="4" w:space="0" w:color="auto"/>
              <w:left w:val="single" w:sz="4" w:space="0" w:color="auto"/>
              <w:bottom w:val="single" w:sz="4" w:space="0" w:color="auto"/>
              <w:right w:val="single" w:sz="4" w:space="0" w:color="auto"/>
            </w:tcBorders>
            <w:vAlign w:val="center"/>
          </w:tcPr>
          <w:p w14:paraId="22210B3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64</w:t>
            </w:r>
          </w:p>
        </w:tc>
        <w:tc>
          <w:tcPr>
            <w:tcW w:w="963" w:type="dxa"/>
            <w:tcBorders>
              <w:top w:val="single" w:sz="4" w:space="0" w:color="auto"/>
              <w:left w:val="single" w:sz="4" w:space="0" w:color="auto"/>
              <w:bottom w:val="single" w:sz="4" w:space="0" w:color="auto"/>
              <w:right w:val="single" w:sz="4" w:space="0" w:color="auto"/>
            </w:tcBorders>
            <w:vAlign w:val="center"/>
          </w:tcPr>
          <w:p w14:paraId="68B7584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r w:rsidR="00E504C7" w:rsidRPr="00314FD9" w14:paraId="43AFFC3F"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2A6FA1C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179F0A1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w:t>
            </w:r>
          </w:p>
        </w:tc>
        <w:tc>
          <w:tcPr>
            <w:tcW w:w="696" w:type="dxa"/>
            <w:tcBorders>
              <w:top w:val="single" w:sz="4" w:space="0" w:color="auto"/>
              <w:left w:val="single" w:sz="4" w:space="0" w:color="auto"/>
              <w:bottom w:val="single" w:sz="4" w:space="0" w:color="auto"/>
              <w:right w:val="single" w:sz="4" w:space="0" w:color="auto"/>
            </w:tcBorders>
            <w:vAlign w:val="center"/>
          </w:tcPr>
          <w:p w14:paraId="4B520AC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35.7</w:t>
            </w:r>
          </w:p>
        </w:tc>
        <w:tc>
          <w:tcPr>
            <w:tcW w:w="696" w:type="dxa"/>
            <w:tcBorders>
              <w:top w:val="single" w:sz="4" w:space="0" w:color="auto"/>
              <w:left w:val="single" w:sz="4" w:space="0" w:color="auto"/>
              <w:bottom w:val="single" w:sz="4" w:space="0" w:color="auto"/>
              <w:right w:val="single" w:sz="4" w:space="0" w:color="auto"/>
            </w:tcBorders>
            <w:vAlign w:val="center"/>
          </w:tcPr>
          <w:p w14:paraId="2574AE5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24.9</w:t>
            </w:r>
          </w:p>
        </w:tc>
        <w:tc>
          <w:tcPr>
            <w:tcW w:w="1056" w:type="dxa"/>
            <w:tcBorders>
              <w:top w:val="single" w:sz="4" w:space="0" w:color="auto"/>
              <w:left w:val="single" w:sz="4" w:space="0" w:color="auto"/>
              <w:bottom w:val="single" w:sz="4" w:space="0" w:color="auto"/>
              <w:right w:val="single" w:sz="4" w:space="0" w:color="auto"/>
            </w:tcBorders>
            <w:vAlign w:val="center"/>
          </w:tcPr>
          <w:p w14:paraId="085119F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89</w:t>
            </w:r>
          </w:p>
        </w:tc>
        <w:tc>
          <w:tcPr>
            <w:tcW w:w="1016" w:type="dxa"/>
            <w:tcBorders>
              <w:top w:val="single" w:sz="4" w:space="0" w:color="auto"/>
              <w:left w:val="single" w:sz="4" w:space="0" w:color="auto"/>
              <w:bottom w:val="single" w:sz="4" w:space="0" w:color="auto"/>
              <w:right w:val="single" w:sz="4" w:space="0" w:color="auto"/>
            </w:tcBorders>
            <w:vAlign w:val="center"/>
          </w:tcPr>
          <w:p w14:paraId="2A5E1B2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67</w:t>
            </w:r>
          </w:p>
        </w:tc>
        <w:tc>
          <w:tcPr>
            <w:tcW w:w="963" w:type="dxa"/>
            <w:tcBorders>
              <w:top w:val="single" w:sz="4" w:space="0" w:color="auto"/>
              <w:left w:val="single" w:sz="4" w:space="0" w:color="auto"/>
              <w:bottom w:val="single" w:sz="4" w:space="0" w:color="auto"/>
              <w:right w:val="single" w:sz="4" w:space="0" w:color="auto"/>
            </w:tcBorders>
            <w:vAlign w:val="center"/>
          </w:tcPr>
          <w:p w14:paraId="7745969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w:t>
            </w:r>
          </w:p>
        </w:tc>
      </w:tr>
      <w:tr w:rsidR="00E504C7" w:rsidRPr="00314FD9" w14:paraId="18E83CB7"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516CD66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31</w:t>
            </w:r>
          </w:p>
        </w:tc>
        <w:tc>
          <w:tcPr>
            <w:tcW w:w="990" w:type="dxa"/>
            <w:tcBorders>
              <w:top w:val="single" w:sz="4" w:space="0" w:color="auto"/>
              <w:left w:val="single" w:sz="4" w:space="0" w:color="auto"/>
              <w:bottom w:val="single" w:sz="4" w:space="0" w:color="auto"/>
              <w:right w:val="single" w:sz="4" w:space="0" w:color="auto"/>
            </w:tcBorders>
            <w:vAlign w:val="center"/>
          </w:tcPr>
          <w:p w14:paraId="576AEFC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39.8</w:t>
            </w:r>
          </w:p>
        </w:tc>
        <w:tc>
          <w:tcPr>
            <w:tcW w:w="696" w:type="dxa"/>
            <w:tcBorders>
              <w:top w:val="single" w:sz="4" w:space="0" w:color="auto"/>
              <w:left w:val="single" w:sz="4" w:space="0" w:color="auto"/>
              <w:bottom w:val="single" w:sz="4" w:space="0" w:color="auto"/>
              <w:right w:val="single" w:sz="4" w:space="0" w:color="auto"/>
            </w:tcBorders>
            <w:vAlign w:val="center"/>
          </w:tcPr>
          <w:p w14:paraId="3C7CCF5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34.6</w:t>
            </w:r>
          </w:p>
        </w:tc>
        <w:tc>
          <w:tcPr>
            <w:tcW w:w="696" w:type="dxa"/>
            <w:tcBorders>
              <w:top w:val="single" w:sz="4" w:space="0" w:color="auto"/>
              <w:left w:val="single" w:sz="4" w:space="0" w:color="auto"/>
              <w:bottom w:val="single" w:sz="4" w:space="0" w:color="auto"/>
              <w:right w:val="single" w:sz="4" w:space="0" w:color="auto"/>
            </w:tcBorders>
            <w:vAlign w:val="center"/>
          </w:tcPr>
          <w:p w14:paraId="1B2B7C6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23</w:t>
            </w:r>
          </w:p>
        </w:tc>
        <w:tc>
          <w:tcPr>
            <w:tcW w:w="1056" w:type="dxa"/>
            <w:tcBorders>
              <w:top w:val="single" w:sz="4" w:space="0" w:color="auto"/>
              <w:left w:val="single" w:sz="4" w:space="0" w:color="auto"/>
              <w:bottom w:val="single" w:sz="4" w:space="0" w:color="auto"/>
              <w:right w:val="single" w:sz="4" w:space="0" w:color="auto"/>
            </w:tcBorders>
            <w:vAlign w:val="center"/>
          </w:tcPr>
          <w:p w14:paraId="6E51151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37A24B9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683A1FF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4.6</w:t>
            </w:r>
          </w:p>
        </w:tc>
      </w:tr>
      <w:tr w:rsidR="00E504C7" w:rsidRPr="00314FD9" w14:paraId="6BF8517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206DFBF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32</w:t>
            </w:r>
          </w:p>
        </w:tc>
        <w:tc>
          <w:tcPr>
            <w:tcW w:w="990" w:type="dxa"/>
            <w:tcBorders>
              <w:top w:val="single" w:sz="4" w:space="0" w:color="auto"/>
              <w:left w:val="single" w:sz="4" w:space="0" w:color="auto"/>
              <w:bottom w:val="single" w:sz="4" w:space="0" w:color="auto"/>
              <w:right w:val="single" w:sz="4" w:space="0" w:color="auto"/>
            </w:tcBorders>
            <w:vAlign w:val="center"/>
          </w:tcPr>
          <w:p w14:paraId="36690C0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72.6</w:t>
            </w:r>
          </w:p>
        </w:tc>
        <w:tc>
          <w:tcPr>
            <w:tcW w:w="696" w:type="dxa"/>
            <w:tcBorders>
              <w:top w:val="single" w:sz="4" w:space="0" w:color="auto"/>
              <w:left w:val="single" w:sz="4" w:space="0" w:color="auto"/>
              <w:bottom w:val="single" w:sz="4" w:space="0" w:color="auto"/>
              <w:right w:val="single" w:sz="4" w:space="0" w:color="auto"/>
            </w:tcBorders>
            <w:vAlign w:val="center"/>
          </w:tcPr>
          <w:p w14:paraId="76FE35D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31.8</w:t>
            </w:r>
          </w:p>
        </w:tc>
        <w:tc>
          <w:tcPr>
            <w:tcW w:w="696" w:type="dxa"/>
            <w:tcBorders>
              <w:top w:val="single" w:sz="4" w:space="0" w:color="auto"/>
              <w:left w:val="single" w:sz="4" w:space="0" w:color="auto"/>
              <w:bottom w:val="single" w:sz="4" w:space="0" w:color="auto"/>
              <w:right w:val="single" w:sz="4" w:space="0" w:color="auto"/>
            </w:tcBorders>
            <w:vAlign w:val="center"/>
          </w:tcPr>
          <w:p w14:paraId="11644AC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23.3</w:t>
            </w:r>
          </w:p>
        </w:tc>
        <w:tc>
          <w:tcPr>
            <w:tcW w:w="1056" w:type="dxa"/>
            <w:tcBorders>
              <w:top w:val="single" w:sz="4" w:space="0" w:color="auto"/>
              <w:left w:val="single" w:sz="4" w:space="0" w:color="auto"/>
              <w:bottom w:val="single" w:sz="4" w:space="0" w:color="auto"/>
              <w:right w:val="single" w:sz="4" w:space="0" w:color="auto"/>
            </w:tcBorders>
            <w:vAlign w:val="center"/>
          </w:tcPr>
          <w:p w14:paraId="4F958DD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87</w:t>
            </w:r>
          </w:p>
        </w:tc>
        <w:tc>
          <w:tcPr>
            <w:tcW w:w="1016" w:type="dxa"/>
            <w:tcBorders>
              <w:top w:val="single" w:sz="4" w:space="0" w:color="auto"/>
              <w:left w:val="single" w:sz="4" w:space="0" w:color="auto"/>
              <w:bottom w:val="single" w:sz="4" w:space="0" w:color="auto"/>
              <w:right w:val="single" w:sz="4" w:space="0" w:color="auto"/>
            </w:tcBorders>
            <w:vAlign w:val="center"/>
          </w:tcPr>
          <w:p w14:paraId="376F008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54</w:t>
            </w:r>
          </w:p>
        </w:tc>
        <w:tc>
          <w:tcPr>
            <w:tcW w:w="963" w:type="dxa"/>
            <w:tcBorders>
              <w:top w:val="single" w:sz="4" w:space="0" w:color="auto"/>
              <w:left w:val="single" w:sz="4" w:space="0" w:color="auto"/>
              <w:bottom w:val="single" w:sz="4" w:space="0" w:color="auto"/>
              <w:right w:val="single" w:sz="4" w:space="0" w:color="auto"/>
            </w:tcBorders>
            <w:vAlign w:val="center"/>
          </w:tcPr>
          <w:p w14:paraId="3874980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5.2</w:t>
            </w:r>
          </w:p>
        </w:tc>
      </w:tr>
      <w:tr w:rsidR="00E504C7" w:rsidRPr="00314FD9" w14:paraId="38933E2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3059A8F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33</w:t>
            </w:r>
          </w:p>
        </w:tc>
        <w:tc>
          <w:tcPr>
            <w:tcW w:w="990" w:type="dxa"/>
            <w:tcBorders>
              <w:top w:val="single" w:sz="4" w:space="0" w:color="auto"/>
              <w:left w:val="single" w:sz="4" w:space="0" w:color="auto"/>
              <w:bottom w:val="single" w:sz="4" w:space="0" w:color="auto"/>
              <w:right w:val="single" w:sz="4" w:space="0" w:color="auto"/>
            </w:tcBorders>
            <w:vAlign w:val="center"/>
          </w:tcPr>
          <w:p w14:paraId="7AB476E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29</w:t>
            </w:r>
          </w:p>
        </w:tc>
        <w:tc>
          <w:tcPr>
            <w:tcW w:w="696" w:type="dxa"/>
            <w:tcBorders>
              <w:top w:val="single" w:sz="4" w:space="0" w:color="auto"/>
              <w:left w:val="single" w:sz="4" w:space="0" w:color="auto"/>
              <w:bottom w:val="single" w:sz="4" w:space="0" w:color="auto"/>
              <w:right w:val="single" w:sz="4" w:space="0" w:color="auto"/>
            </w:tcBorders>
            <w:vAlign w:val="center"/>
          </w:tcPr>
          <w:p w14:paraId="784368D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34.3</w:t>
            </w:r>
          </w:p>
        </w:tc>
        <w:tc>
          <w:tcPr>
            <w:tcW w:w="696" w:type="dxa"/>
            <w:tcBorders>
              <w:top w:val="single" w:sz="4" w:space="0" w:color="auto"/>
              <w:left w:val="single" w:sz="4" w:space="0" w:color="auto"/>
              <w:bottom w:val="single" w:sz="4" w:space="0" w:color="auto"/>
              <w:right w:val="single" w:sz="4" w:space="0" w:color="auto"/>
            </w:tcBorders>
            <w:vAlign w:val="center"/>
          </w:tcPr>
          <w:p w14:paraId="4D190A8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23.5</w:t>
            </w:r>
          </w:p>
        </w:tc>
        <w:tc>
          <w:tcPr>
            <w:tcW w:w="1056" w:type="dxa"/>
            <w:tcBorders>
              <w:top w:val="single" w:sz="4" w:space="0" w:color="auto"/>
              <w:left w:val="single" w:sz="4" w:space="0" w:color="auto"/>
              <w:bottom w:val="single" w:sz="4" w:space="0" w:color="auto"/>
              <w:right w:val="single" w:sz="4" w:space="0" w:color="auto"/>
            </w:tcBorders>
            <w:vAlign w:val="center"/>
          </w:tcPr>
          <w:p w14:paraId="54B650A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85</w:t>
            </w:r>
          </w:p>
        </w:tc>
        <w:tc>
          <w:tcPr>
            <w:tcW w:w="1016" w:type="dxa"/>
            <w:tcBorders>
              <w:top w:val="single" w:sz="4" w:space="0" w:color="auto"/>
              <w:left w:val="single" w:sz="4" w:space="0" w:color="auto"/>
              <w:bottom w:val="single" w:sz="4" w:space="0" w:color="auto"/>
              <w:right w:val="single" w:sz="4" w:space="0" w:color="auto"/>
            </w:tcBorders>
            <w:vAlign w:val="center"/>
          </w:tcPr>
          <w:p w14:paraId="7140446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498CC5F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6.1</w:t>
            </w:r>
          </w:p>
        </w:tc>
      </w:tr>
      <w:tr w:rsidR="00E504C7" w:rsidRPr="00314FD9" w14:paraId="0C649CDA"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3C4BC4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34</w:t>
            </w:r>
          </w:p>
        </w:tc>
        <w:tc>
          <w:tcPr>
            <w:tcW w:w="990" w:type="dxa"/>
            <w:tcBorders>
              <w:top w:val="single" w:sz="4" w:space="0" w:color="auto"/>
              <w:left w:val="single" w:sz="4" w:space="0" w:color="auto"/>
              <w:bottom w:val="single" w:sz="4" w:space="0" w:color="auto"/>
              <w:right w:val="single" w:sz="4" w:space="0" w:color="auto"/>
            </w:tcBorders>
            <w:vAlign w:val="center"/>
          </w:tcPr>
          <w:p w14:paraId="2D76F22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7.2</w:t>
            </w:r>
          </w:p>
        </w:tc>
        <w:tc>
          <w:tcPr>
            <w:tcW w:w="696" w:type="dxa"/>
            <w:tcBorders>
              <w:top w:val="single" w:sz="4" w:space="0" w:color="auto"/>
              <w:left w:val="single" w:sz="4" w:space="0" w:color="auto"/>
              <w:bottom w:val="single" w:sz="4" w:space="0" w:color="auto"/>
              <w:right w:val="single" w:sz="4" w:space="0" w:color="auto"/>
            </w:tcBorders>
            <w:vAlign w:val="center"/>
          </w:tcPr>
          <w:p w14:paraId="4734117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32.6</w:t>
            </w:r>
          </w:p>
        </w:tc>
        <w:tc>
          <w:tcPr>
            <w:tcW w:w="696" w:type="dxa"/>
            <w:tcBorders>
              <w:top w:val="single" w:sz="4" w:space="0" w:color="auto"/>
              <w:left w:val="single" w:sz="4" w:space="0" w:color="auto"/>
              <w:bottom w:val="single" w:sz="4" w:space="0" w:color="auto"/>
              <w:right w:val="single" w:sz="4" w:space="0" w:color="auto"/>
            </w:tcBorders>
            <w:vAlign w:val="center"/>
          </w:tcPr>
          <w:p w14:paraId="338ED98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25.2</w:t>
            </w:r>
          </w:p>
        </w:tc>
        <w:tc>
          <w:tcPr>
            <w:tcW w:w="1056" w:type="dxa"/>
            <w:tcBorders>
              <w:top w:val="single" w:sz="4" w:space="0" w:color="auto"/>
              <w:left w:val="single" w:sz="4" w:space="0" w:color="auto"/>
              <w:bottom w:val="single" w:sz="4" w:space="0" w:color="auto"/>
              <w:right w:val="single" w:sz="4" w:space="0" w:color="auto"/>
            </w:tcBorders>
            <w:vAlign w:val="center"/>
          </w:tcPr>
          <w:p w14:paraId="0A3BB49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2F8C90B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68</w:t>
            </w:r>
          </w:p>
        </w:tc>
        <w:tc>
          <w:tcPr>
            <w:tcW w:w="963" w:type="dxa"/>
            <w:tcBorders>
              <w:top w:val="single" w:sz="4" w:space="0" w:color="auto"/>
              <w:left w:val="single" w:sz="4" w:space="0" w:color="auto"/>
              <w:bottom w:val="single" w:sz="4" w:space="0" w:color="auto"/>
              <w:right w:val="single" w:sz="4" w:space="0" w:color="auto"/>
            </w:tcBorders>
            <w:vAlign w:val="center"/>
          </w:tcPr>
          <w:p w14:paraId="3E98F10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7.9</w:t>
            </w:r>
          </w:p>
        </w:tc>
      </w:tr>
      <w:tr w:rsidR="00E504C7" w:rsidRPr="00314FD9" w14:paraId="6DA98E61"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AE206D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35</w:t>
            </w:r>
          </w:p>
        </w:tc>
        <w:tc>
          <w:tcPr>
            <w:tcW w:w="990" w:type="dxa"/>
            <w:tcBorders>
              <w:top w:val="single" w:sz="4" w:space="0" w:color="auto"/>
              <w:left w:val="single" w:sz="4" w:space="0" w:color="auto"/>
              <w:bottom w:val="single" w:sz="4" w:space="0" w:color="auto"/>
              <w:right w:val="single" w:sz="4" w:space="0" w:color="auto"/>
            </w:tcBorders>
            <w:vAlign w:val="center"/>
          </w:tcPr>
          <w:p w14:paraId="1C2DA0C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w:t>
            </w:r>
          </w:p>
        </w:tc>
        <w:tc>
          <w:tcPr>
            <w:tcW w:w="696" w:type="dxa"/>
            <w:tcBorders>
              <w:top w:val="single" w:sz="4" w:space="0" w:color="auto"/>
              <w:left w:val="single" w:sz="4" w:space="0" w:color="auto"/>
              <w:bottom w:val="single" w:sz="4" w:space="0" w:color="auto"/>
              <w:right w:val="single" w:sz="4" w:space="0" w:color="auto"/>
            </w:tcBorders>
            <w:vAlign w:val="center"/>
          </w:tcPr>
          <w:p w14:paraId="1D7CD18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34.5</w:t>
            </w:r>
          </w:p>
        </w:tc>
        <w:tc>
          <w:tcPr>
            <w:tcW w:w="696" w:type="dxa"/>
            <w:tcBorders>
              <w:top w:val="single" w:sz="4" w:space="0" w:color="auto"/>
              <w:left w:val="single" w:sz="4" w:space="0" w:color="auto"/>
              <w:bottom w:val="single" w:sz="4" w:space="0" w:color="auto"/>
              <w:right w:val="single" w:sz="4" w:space="0" w:color="auto"/>
            </w:tcBorders>
            <w:vAlign w:val="center"/>
          </w:tcPr>
          <w:p w14:paraId="587DD69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25.7</w:t>
            </w:r>
          </w:p>
        </w:tc>
        <w:tc>
          <w:tcPr>
            <w:tcW w:w="1056" w:type="dxa"/>
            <w:tcBorders>
              <w:top w:val="single" w:sz="4" w:space="0" w:color="auto"/>
              <w:left w:val="single" w:sz="4" w:space="0" w:color="auto"/>
              <w:bottom w:val="single" w:sz="4" w:space="0" w:color="auto"/>
              <w:right w:val="single" w:sz="4" w:space="0" w:color="auto"/>
            </w:tcBorders>
            <w:vAlign w:val="center"/>
          </w:tcPr>
          <w:p w14:paraId="6E9F514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70FED20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66</w:t>
            </w:r>
          </w:p>
        </w:tc>
        <w:tc>
          <w:tcPr>
            <w:tcW w:w="963" w:type="dxa"/>
            <w:tcBorders>
              <w:top w:val="single" w:sz="4" w:space="0" w:color="auto"/>
              <w:left w:val="single" w:sz="4" w:space="0" w:color="auto"/>
              <w:bottom w:val="single" w:sz="4" w:space="0" w:color="auto"/>
              <w:right w:val="single" w:sz="4" w:space="0" w:color="auto"/>
            </w:tcBorders>
            <w:vAlign w:val="center"/>
          </w:tcPr>
          <w:p w14:paraId="7ACB8B3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8.5</w:t>
            </w:r>
          </w:p>
        </w:tc>
      </w:tr>
      <w:tr w:rsidR="00E504C7" w:rsidRPr="00314FD9" w14:paraId="3671EF7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CC81CB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36</w:t>
            </w:r>
          </w:p>
        </w:tc>
        <w:tc>
          <w:tcPr>
            <w:tcW w:w="990" w:type="dxa"/>
            <w:tcBorders>
              <w:top w:val="single" w:sz="4" w:space="0" w:color="auto"/>
              <w:left w:val="single" w:sz="4" w:space="0" w:color="auto"/>
              <w:bottom w:val="single" w:sz="4" w:space="0" w:color="auto"/>
              <w:right w:val="single" w:sz="4" w:space="0" w:color="auto"/>
            </w:tcBorders>
            <w:vAlign w:val="bottom"/>
          </w:tcPr>
          <w:p w14:paraId="4403887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63.4</w:t>
            </w:r>
          </w:p>
        </w:tc>
        <w:tc>
          <w:tcPr>
            <w:tcW w:w="696" w:type="dxa"/>
            <w:tcBorders>
              <w:top w:val="single" w:sz="4" w:space="0" w:color="auto"/>
              <w:left w:val="single" w:sz="4" w:space="0" w:color="auto"/>
              <w:bottom w:val="single" w:sz="4" w:space="0" w:color="auto"/>
              <w:right w:val="single" w:sz="4" w:space="0" w:color="auto"/>
            </w:tcBorders>
            <w:vAlign w:val="center"/>
          </w:tcPr>
          <w:p w14:paraId="5696A56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32.9</w:t>
            </w:r>
          </w:p>
        </w:tc>
        <w:tc>
          <w:tcPr>
            <w:tcW w:w="696" w:type="dxa"/>
            <w:tcBorders>
              <w:top w:val="single" w:sz="4" w:space="0" w:color="auto"/>
              <w:left w:val="single" w:sz="4" w:space="0" w:color="auto"/>
              <w:bottom w:val="single" w:sz="4" w:space="0" w:color="auto"/>
              <w:right w:val="single" w:sz="4" w:space="0" w:color="auto"/>
            </w:tcBorders>
            <w:vAlign w:val="center"/>
          </w:tcPr>
          <w:p w14:paraId="6C54436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22.6</w:t>
            </w:r>
          </w:p>
        </w:tc>
        <w:tc>
          <w:tcPr>
            <w:tcW w:w="1056" w:type="dxa"/>
            <w:tcBorders>
              <w:top w:val="single" w:sz="4" w:space="0" w:color="auto"/>
              <w:left w:val="single" w:sz="4" w:space="0" w:color="auto"/>
              <w:bottom w:val="single" w:sz="4" w:space="0" w:color="auto"/>
              <w:right w:val="single" w:sz="4" w:space="0" w:color="auto"/>
            </w:tcBorders>
            <w:vAlign w:val="center"/>
          </w:tcPr>
          <w:p w14:paraId="77AA77D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61C57B5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68</w:t>
            </w:r>
          </w:p>
        </w:tc>
        <w:tc>
          <w:tcPr>
            <w:tcW w:w="963" w:type="dxa"/>
            <w:tcBorders>
              <w:top w:val="single" w:sz="4" w:space="0" w:color="auto"/>
              <w:left w:val="single" w:sz="4" w:space="0" w:color="auto"/>
              <w:bottom w:val="single" w:sz="4" w:space="0" w:color="auto"/>
              <w:right w:val="single" w:sz="4" w:space="0" w:color="auto"/>
            </w:tcBorders>
            <w:vAlign w:val="center"/>
          </w:tcPr>
          <w:p w14:paraId="701A27B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r>
      <w:tr w:rsidR="00E504C7" w:rsidRPr="00314FD9" w14:paraId="3862F334"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4BFCA8B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37</w:t>
            </w:r>
          </w:p>
        </w:tc>
        <w:tc>
          <w:tcPr>
            <w:tcW w:w="990" w:type="dxa"/>
            <w:tcBorders>
              <w:top w:val="single" w:sz="4" w:space="0" w:color="auto"/>
              <w:left w:val="single" w:sz="4" w:space="0" w:color="auto"/>
              <w:bottom w:val="single" w:sz="4" w:space="0" w:color="auto"/>
              <w:right w:val="single" w:sz="4" w:space="0" w:color="auto"/>
            </w:tcBorders>
            <w:vAlign w:val="bottom"/>
          </w:tcPr>
          <w:p w14:paraId="36E1FB7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31.8</w:t>
            </w:r>
          </w:p>
        </w:tc>
        <w:tc>
          <w:tcPr>
            <w:tcW w:w="696" w:type="dxa"/>
            <w:tcBorders>
              <w:top w:val="single" w:sz="4" w:space="0" w:color="auto"/>
              <w:left w:val="single" w:sz="4" w:space="0" w:color="auto"/>
              <w:bottom w:val="single" w:sz="4" w:space="0" w:color="auto"/>
              <w:right w:val="single" w:sz="4" w:space="0" w:color="auto"/>
            </w:tcBorders>
            <w:vAlign w:val="center"/>
          </w:tcPr>
          <w:p w14:paraId="1679669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31.6</w:t>
            </w:r>
          </w:p>
        </w:tc>
        <w:tc>
          <w:tcPr>
            <w:tcW w:w="696" w:type="dxa"/>
            <w:tcBorders>
              <w:top w:val="single" w:sz="4" w:space="0" w:color="auto"/>
              <w:left w:val="single" w:sz="4" w:space="0" w:color="auto"/>
              <w:bottom w:val="single" w:sz="4" w:space="0" w:color="auto"/>
              <w:right w:val="single" w:sz="4" w:space="0" w:color="auto"/>
            </w:tcBorders>
            <w:vAlign w:val="center"/>
          </w:tcPr>
          <w:p w14:paraId="4A617E9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22.4</w:t>
            </w:r>
          </w:p>
        </w:tc>
        <w:tc>
          <w:tcPr>
            <w:tcW w:w="1056" w:type="dxa"/>
            <w:tcBorders>
              <w:top w:val="single" w:sz="4" w:space="0" w:color="auto"/>
              <w:left w:val="single" w:sz="4" w:space="0" w:color="auto"/>
              <w:bottom w:val="single" w:sz="4" w:space="0" w:color="auto"/>
              <w:right w:val="single" w:sz="4" w:space="0" w:color="auto"/>
            </w:tcBorders>
            <w:vAlign w:val="center"/>
          </w:tcPr>
          <w:p w14:paraId="1941D7C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0E00736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72</w:t>
            </w:r>
          </w:p>
        </w:tc>
        <w:tc>
          <w:tcPr>
            <w:tcW w:w="963" w:type="dxa"/>
            <w:tcBorders>
              <w:top w:val="single" w:sz="4" w:space="0" w:color="auto"/>
              <w:left w:val="single" w:sz="4" w:space="0" w:color="auto"/>
              <w:bottom w:val="single" w:sz="4" w:space="0" w:color="auto"/>
              <w:right w:val="single" w:sz="4" w:space="0" w:color="auto"/>
            </w:tcBorders>
            <w:vAlign w:val="center"/>
          </w:tcPr>
          <w:p w14:paraId="4257ABB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w:t>
            </w:r>
          </w:p>
        </w:tc>
      </w:tr>
      <w:tr w:rsidR="00E504C7" w:rsidRPr="00314FD9" w14:paraId="78E18EE6"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4718F16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38</w:t>
            </w:r>
          </w:p>
        </w:tc>
        <w:tc>
          <w:tcPr>
            <w:tcW w:w="990" w:type="dxa"/>
            <w:tcBorders>
              <w:top w:val="single" w:sz="4" w:space="0" w:color="auto"/>
              <w:left w:val="single" w:sz="4" w:space="0" w:color="auto"/>
              <w:bottom w:val="single" w:sz="4" w:space="0" w:color="auto"/>
              <w:right w:val="single" w:sz="4" w:space="0" w:color="auto"/>
            </w:tcBorders>
            <w:vAlign w:val="bottom"/>
          </w:tcPr>
          <w:p w14:paraId="22F2ACC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84.6</w:t>
            </w:r>
          </w:p>
        </w:tc>
        <w:tc>
          <w:tcPr>
            <w:tcW w:w="696" w:type="dxa"/>
            <w:tcBorders>
              <w:top w:val="single" w:sz="4" w:space="0" w:color="auto"/>
              <w:left w:val="single" w:sz="4" w:space="0" w:color="auto"/>
              <w:bottom w:val="single" w:sz="4" w:space="0" w:color="auto"/>
              <w:right w:val="single" w:sz="4" w:space="0" w:color="auto"/>
            </w:tcBorders>
            <w:vAlign w:val="center"/>
          </w:tcPr>
          <w:p w14:paraId="52DB216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33.1</w:t>
            </w:r>
          </w:p>
        </w:tc>
        <w:tc>
          <w:tcPr>
            <w:tcW w:w="696" w:type="dxa"/>
            <w:tcBorders>
              <w:top w:val="single" w:sz="4" w:space="0" w:color="auto"/>
              <w:left w:val="single" w:sz="4" w:space="0" w:color="auto"/>
              <w:bottom w:val="single" w:sz="4" w:space="0" w:color="auto"/>
              <w:right w:val="single" w:sz="4" w:space="0" w:color="auto"/>
            </w:tcBorders>
            <w:vAlign w:val="center"/>
          </w:tcPr>
          <w:p w14:paraId="3B9CBDA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21.5</w:t>
            </w:r>
          </w:p>
        </w:tc>
        <w:tc>
          <w:tcPr>
            <w:tcW w:w="1056" w:type="dxa"/>
            <w:tcBorders>
              <w:top w:val="single" w:sz="4" w:space="0" w:color="auto"/>
              <w:left w:val="single" w:sz="4" w:space="0" w:color="auto"/>
              <w:bottom w:val="single" w:sz="4" w:space="0" w:color="auto"/>
              <w:right w:val="single" w:sz="4" w:space="0" w:color="auto"/>
            </w:tcBorders>
            <w:vAlign w:val="center"/>
          </w:tcPr>
          <w:p w14:paraId="0724EF6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2F01620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77</w:t>
            </w:r>
          </w:p>
        </w:tc>
        <w:tc>
          <w:tcPr>
            <w:tcW w:w="963" w:type="dxa"/>
            <w:tcBorders>
              <w:top w:val="single" w:sz="4" w:space="0" w:color="auto"/>
              <w:left w:val="single" w:sz="4" w:space="0" w:color="auto"/>
              <w:bottom w:val="single" w:sz="4" w:space="0" w:color="auto"/>
              <w:right w:val="single" w:sz="4" w:space="0" w:color="auto"/>
            </w:tcBorders>
            <w:vAlign w:val="center"/>
          </w:tcPr>
          <w:p w14:paraId="631A093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11.9</w:t>
            </w:r>
          </w:p>
        </w:tc>
      </w:tr>
      <w:tr w:rsidR="00E504C7" w:rsidRPr="00314FD9" w14:paraId="1C2039B9"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03405A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39</w:t>
            </w:r>
          </w:p>
        </w:tc>
        <w:tc>
          <w:tcPr>
            <w:tcW w:w="990" w:type="dxa"/>
            <w:tcBorders>
              <w:top w:val="single" w:sz="4" w:space="0" w:color="auto"/>
              <w:left w:val="single" w:sz="4" w:space="0" w:color="auto"/>
              <w:bottom w:val="single" w:sz="4" w:space="0" w:color="auto"/>
              <w:right w:val="single" w:sz="4" w:space="0" w:color="auto"/>
            </w:tcBorders>
            <w:vAlign w:val="bottom"/>
          </w:tcPr>
          <w:p w14:paraId="66CA2B3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w:t>
            </w:r>
          </w:p>
        </w:tc>
        <w:tc>
          <w:tcPr>
            <w:tcW w:w="696" w:type="dxa"/>
            <w:tcBorders>
              <w:top w:val="single" w:sz="4" w:space="0" w:color="auto"/>
              <w:left w:val="single" w:sz="4" w:space="0" w:color="auto"/>
              <w:bottom w:val="single" w:sz="4" w:space="0" w:color="auto"/>
              <w:right w:val="single" w:sz="4" w:space="0" w:color="auto"/>
            </w:tcBorders>
            <w:vAlign w:val="center"/>
          </w:tcPr>
          <w:p w14:paraId="74E7C7D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33.6</w:t>
            </w:r>
          </w:p>
        </w:tc>
        <w:tc>
          <w:tcPr>
            <w:tcW w:w="696" w:type="dxa"/>
            <w:tcBorders>
              <w:top w:val="single" w:sz="4" w:space="0" w:color="auto"/>
              <w:left w:val="single" w:sz="4" w:space="0" w:color="auto"/>
              <w:bottom w:val="single" w:sz="4" w:space="0" w:color="auto"/>
              <w:right w:val="single" w:sz="4" w:space="0" w:color="auto"/>
            </w:tcBorders>
            <w:vAlign w:val="center"/>
          </w:tcPr>
          <w:p w14:paraId="7AEBB2C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21.9</w:t>
            </w:r>
          </w:p>
        </w:tc>
        <w:tc>
          <w:tcPr>
            <w:tcW w:w="1056" w:type="dxa"/>
            <w:tcBorders>
              <w:top w:val="single" w:sz="4" w:space="0" w:color="auto"/>
              <w:left w:val="single" w:sz="4" w:space="0" w:color="auto"/>
              <w:bottom w:val="single" w:sz="4" w:space="0" w:color="auto"/>
              <w:right w:val="single" w:sz="4" w:space="0" w:color="auto"/>
            </w:tcBorders>
            <w:vAlign w:val="center"/>
          </w:tcPr>
          <w:p w14:paraId="3F35F3A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3D2120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82</w:t>
            </w:r>
          </w:p>
        </w:tc>
        <w:tc>
          <w:tcPr>
            <w:tcW w:w="963" w:type="dxa"/>
            <w:tcBorders>
              <w:top w:val="single" w:sz="4" w:space="0" w:color="auto"/>
              <w:left w:val="single" w:sz="4" w:space="0" w:color="auto"/>
              <w:bottom w:val="single" w:sz="4" w:space="0" w:color="auto"/>
              <w:right w:val="single" w:sz="4" w:space="0" w:color="auto"/>
            </w:tcBorders>
            <w:vAlign w:val="center"/>
          </w:tcPr>
          <w:p w14:paraId="7D0AA31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16.8</w:t>
            </w:r>
          </w:p>
        </w:tc>
      </w:tr>
      <w:tr w:rsidR="00E504C7" w:rsidRPr="00314FD9" w14:paraId="7DFACF4D"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B532BE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40</w:t>
            </w:r>
          </w:p>
        </w:tc>
        <w:tc>
          <w:tcPr>
            <w:tcW w:w="990" w:type="dxa"/>
            <w:tcBorders>
              <w:top w:val="single" w:sz="4" w:space="0" w:color="auto"/>
              <w:left w:val="single" w:sz="4" w:space="0" w:color="auto"/>
              <w:bottom w:val="single" w:sz="4" w:space="0" w:color="auto"/>
              <w:right w:val="single" w:sz="4" w:space="0" w:color="auto"/>
            </w:tcBorders>
            <w:vAlign w:val="bottom"/>
          </w:tcPr>
          <w:p w14:paraId="60C6F6A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24.8</w:t>
            </w:r>
          </w:p>
        </w:tc>
        <w:tc>
          <w:tcPr>
            <w:tcW w:w="696" w:type="dxa"/>
            <w:tcBorders>
              <w:top w:val="single" w:sz="4" w:space="0" w:color="auto"/>
              <w:left w:val="single" w:sz="4" w:space="0" w:color="auto"/>
              <w:bottom w:val="single" w:sz="4" w:space="0" w:color="auto"/>
              <w:right w:val="single" w:sz="4" w:space="0" w:color="auto"/>
            </w:tcBorders>
            <w:vAlign w:val="center"/>
          </w:tcPr>
          <w:p w14:paraId="4BF1736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32.9</w:t>
            </w:r>
          </w:p>
        </w:tc>
        <w:tc>
          <w:tcPr>
            <w:tcW w:w="696" w:type="dxa"/>
            <w:tcBorders>
              <w:top w:val="single" w:sz="4" w:space="0" w:color="auto"/>
              <w:left w:val="single" w:sz="4" w:space="0" w:color="auto"/>
              <w:bottom w:val="single" w:sz="4" w:space="0" w:color="auto"/>
              <w:right w:val="single" w:sz="4" w:space="0" w:color="auto"/>
            </w:tcBorders>
            <w:vAlign w:val="center"/>
          </w:tcPr>
          <w:p w14:paraId="08E5379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20.6</w:t>
            </w:r>
          </w:p>
        </w:tc>
        <w:tc>
          <w:tcPr>
            <w:tcW w:w="1056" w:type="dxa"/>
            <w:tcBorders>
              <w:top w:val="single" w:sz="4" w:space="0" w:color="auto"/>
              <w:left w:val="single" w:sz="4" w:space="0" w:color="auto"/>
              <w:bottom w:val="single" w:sz="4" w:space="0" w:color="auto"/>
              <w:right w:val="single" w:sz="4" w:space="0" w:color="auto"/>
            </w:tcBorders>
            <w:vAlign w:val="center"/>
          </w:tcPr>
          <w:p w14:paraId="5C92A1C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93</w:t>
            </w:r>
          </w:p>
        </w:tc>
        <w:tc>
          <w:tcPr>
            <w:tcW w:w="1016" w:type="dxa"/>
            <w:tcBorders>
              <w:top w:val="single" w:sz="4" w:space="0" w:color="auto"/>
              <w:left w:val="single" w:sz="4" w:space="0" w:color="auto"/>
              <w:bottom w:val="single" w:sz="4" w:space="0" w:color="auto"/>
              <w:right w:val="single" w:sz="4" w:space="0" w:color="auto"/>
            </w:tcBorders>
            <w:vAlign w:val="center"/>
          </w:tcPr>
          <w:p w14:paraId="0054334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70</w:t>
            </w:r>
          </w:p>
        </w:tc>
        <w:tc>
          <w:tcPr>
            <w:tcW w:w="963" w:type="dxa"/>
            <w:tcBorders>
              <w:top w:val="single" w:sz="4" w:space="0" w:color="auto"/>
              <w:left w:val="single" w:sz="4" w:space="0" w:color="auto"/>
              <w:bottom w:val="single" w:sz="4" w:space="0" w:color="auto"/>
              <w:right w:val="single" w:sz="4" w:space="0" w:color="auto"/>
            </w:tcBorders>
            <w:vAlign w:val="center"/>
          </w:tcPr>
          <w:p w14:paraId="3940975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17</w:t>
            </w:r>
          </w:p>
        </w:tc>
      </w:tr>
      <w:tr w:rsidR="00E504C7" w:rsidRPr="00314FD9" w14:paraId="6D8B242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9EFBE6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41</w:t>
            </w:r>
          </w:p>
        </w:tc>
        <w:tc>
          <w:tcPr>
            <w:tcW w:w="990" w:type="dxa"/>
            <w:tcBorders>
              <w:top w:val="single" w:sz="4" w:space="0" w:color="auto"/>
              <w:left w:val="single" w:sz="4" w:space="0" w:color="auto"/>
              <w:bottom w:val="single" w:sz="4" w:space="0" w:color="auto"/>
              <w:right w:val="single" w:sz="4" w:space="0" w:color="auto"/>
            </w:tcBorders>
            <w:vAlign w:val="bottom"/>
          </w:tcPr>
          <w:p w14:paraId="1D67370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w:t>
            </w:r>
          </w:p>
        </w:tc>
        <w:tc>
          <w:tcPr>
            <w:tcW w:w="696" w:type="dxa"/>
            <w:tcBorders>
              <w:top w:val="single" w:sz="4" w:space="0" w:color="auto"/>
              <w:left w:val="single" w:sz="4" w:space="0" w:color="auto"/>
              <w:bottom w:val="single" w:sz="4" w:space="0" w:color="auto"/>
              <w:right w:val="single" w:sz="4" w:space="0" w:color="auto"/>
            </w:tcBorders>
            <w:vAlign w:val="center"/>
          </w:tcPr>
          <w:p w14:paraId="1BB6CC5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32.3</w:t>
            </w:r>
          </w:p>
        </w:tc>
        <w:tc>
          <w:tcPr>
            <w:tcW w:w="696" w:type="dxa"/>
            <w:tcBorders>
              <w:top w:val="single" w:sz="4" w:space="0" w:color="auto"/>
              <w:left w:val="single" w:sz="4" w:space="0" w:color="auto"/>
              <w:bottom w:val="single" w:sz="4" w:space="0" w:color="auto"/>
              <w:right w:val="single" w:sz="4" w:space="0" w:color="auto"/>
            </w:tcBorders>
            <w:vAlign w:val="center"/>
          </w:tcPr>
          <w:p w14:paraId="4EC9829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20.5</w:t>
            </w:r>
          </w:p>
        </w:tc>
        <w:tc>
          <w:tcPr>
            <w:tcW w:w="1056" w:type="dxa"/>
            <w:tcBorders>
              <w:top w:val="single" w:sz="4" w:space="0" w:color="auto"/>
              <w:left w:val="single" w:sz="4" w:space="0" w:color="auto"/>
              <w:bottom w:val="single" w:sz="4" w:space="0" w:color="auto"/>
              <w:right w:val="single" w:sz="4" w:space="0" w:color="auto"/>
            </w:tcBorders>
            <w:vAlign w:val="center"/>
          </w:tcPr>
          <w:p w14:paraId="23A4A18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7DD6298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66</w:t>
            </w:r>
          </w:p>
        </w:tc>
        <w:tc>
          <w:tcPr>
            <w:tcW w:w="963" w:type="dxa"/>
            <w:tcBorders>
              <w:top w:val="single" w:sz="4" w:space="0" w:color="auto"/>
              <w:left w:val="single" w:sz="4" w:space="0" w:color="auto"/>
              <w:bottom w:val="single" w:sz="4" w:space="0" w:color="auto"/>
              <w:right w:val="single" w:sz="4" w:space="0" w:color="auto"/>
            </w:tcBorders>
            <w:vAlign w:val="center"/>
          </w:tcPr>
          <w:p w14:paraId="1C04570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17.5</w:t>
            </w:r>
          </w:p>
        </w:tc>
      </w:tr>
      <w:tr w:rsidR="00E504C7" w:rsidRPr="00314FD9" w14:paraId="0102559C"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DF77F2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42</w:t>
            </w:r>
          </w:p>
        </w:tc>
        <w:tc>
          <w:tcPr>
            <w:tcW w:w="990" w:type="dxa"/>
            <w:tcBorders>
              <w:top w:val="single" w:sz="4" w:space="0" w:color="auto"/>
              <w:left w:val="single" w:sz="4" w:space="0" w:color="auto"/>
              <w:bottom w:val="single" w:sz="4" w:space="0" w:color="auto"/>
              <w:right w:val="single" w:sz="4" w:space="0" w:color="auto"/>
            </w:tcBorders>
            <w:vAlign w:val="bottom"/>
          </w:tcPr>
          <w:p w14:paraId="6AD5ECF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2BF1560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w:t>
            </w:r>
          </w:p>
        </w:tc>
        <w:tc>
          <w:tcPr>
            <w:tcW w:w="696" w:type="dxa"/>
            <w:tcBorders>
              <w:top w:val="single" w:sz="4" w:space="0" w:color="auto"/>
              <w:left w:val="single" w:sz="4" w:space="0" w:color="auto"/>
              <w:bottom w:val="single" w:sz="4" w:space="0" w:color="auto"/>
              <w:right w:val="single" w:sz="4" w:space="0" w:color="auto"/>
            </w:tcBorders>
            <w:vAlign w:val="center"/>
          </w:tcPr>
          <w:p w14:paraId="647DA29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16.8</w:t>
            </w:r>
          </w:p>
        </w:tc>
        <w:tc>
          <w:tcPr>
            <w:tcW w:w="1056" w:type="dxa"/>
            <w:tcBorders>
              <w:top w:val="single" w:sz="4" w:space="0" w:color="auto"/>
              <w:left w:val="single" w:sz="4" w:space="0" w:color="auto"/>
              <w:bottom w:val="single" w:sz="4" w:space="0" w:color="auto"/>
              <w:right w:val="single" w:sz="4" w:space="0" w:color="auto"/>
            </w:tcBorders>
            <w:vAlign w:val="center"/>
          </w:tcPr>
          <w:p w14:paraId="42D3F54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87</w:t>
            </w:r>
          </w:p>
        </w:tc>
        <w:tc>
          <w:tcPr>
            <w:tcW w:w="1016" w:type="dxa"/>
            <w:tcBorders>
              <w:top w:val="single" w:sz="4" w:space="0" w:color="auto"/>
              <w:left w:val="single" w:sz="4" w:space="0" w:color="auto"/>
              <w:bottom w:val="single" w:sz="4" w:space="0" w:color="auto"/>
              <w:right w:val="single" w:sz="4" w:space="0" w:color="auto"/>
            </w:tcBorders>
            <w:vAlign w:val="center"/>
          </w:tcPr>
          <w:p w14:paraId="58750D3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52</w:t>
            </w:r>
          </w:p>
        </w:tc>
        <w:tc>
          <w:tcPr>
            <w:tcW w:w="963" w:type="dxa"/>
            <w:tcBorders>
              <w:top w:val="single" w:sz="4" w:space="0" w:color="auto"/>
              <w:left w:val="single" w:sz="4" w:space="0" w:color="auto"/>
              <w:bottom w:val="single" w:sz="4" w:space="0" w:color="auto"/>
              <w:right w:val="single" w:sz="4" w:space="0" w:color="auto"/>
            </w:tcBorders>
            <w:vAlign w:val="center"/>
          </w:tcPr>
          <w:p w14:paraId="1D87E25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w:t>
            </w:r>
          </w:p>
        </w:tc>
      </w:tr>
      <w:tr w:rsidR="00E504C7" w:rsidRPr="00314FD9" w14:paraId="19A99AAC"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519AF1C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43</w:t>
            </w:r>
          </w:p>
        </w:tc>
        <w:tc>
          <w:tcPr>
            <w:tcW w:w="990" w:type="dxa"/>
            <w:tcBorders>
              <w:top w:val="single" w:sz="4" w:space="0" w:color="auto"/>
              <w:left w:val="single" w:sz="4" w:space="0" w:color="auto"/>
              <w:bottom w:val="single" w:sz="4" w:space="0" w:color="auto"/>
              <w:right w:val="single" w:sz="4" w:space="0" w:color="auto"/>
            </w:tcBorders>
            <w:vAlign w:val="bottom"/>
          </w:tcPr>
          <w:p w14:paraId="403A2A4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1275841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32.1</w:t>
            </w:r>
          </w:p>
        </w:tc>
        <w:tc>
          <w:tcPr>
            <w:tcW w:w="696" w:type="dxa"/>
            <w:tcBorders>
              <w:top w:val="single" w:sz="4" w:space="0" w:color="auto"/>
              <w:left w:val="single" w:sz="4" w:space="0" w:color="auto"/>
              <w:bottom w:val="single" w:sz="4" w:space="0" w:color="auto"/>
              <w:right w:val="single" w:sz="4" w:space="0" w:color="auto"/>
            </w:tcBorders>
            <w:vAlign w:val="center"/>
          </w:tcPr>
          <w:p w14:paraId="4159686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15.4</w:t>
            </w:r>
          </w:p>
        </w:tc>
        <w:tc>
          <w:tcPr>
            <w:tcW w:w="1056" w:type="dxa"/>
            <w:tcBorders>
              <w:top w:val="single" w:sz="4" w:space="0" w:color="auto"/>
              <w:left w:val="single" w:sz="4" w:space="0" w:color="auto"/>
              <w:bottom w:val="single" w:sz="4" w:space="0" w:color="auto"/>
              <w:right w:val="single" w:sz="4" w:space="0" w:color="auto"/>
            </w:tcBorders>
            <w:vAlign w:val="center"/>
          </w:tcPr>
          <w:p w14:paraId="1E082A6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86</w:t>
            </w:r>
          </w:p>
        </w:tc>
        <w:tc>
          <w:tcPr>
            <w:tcW w:w="1016" w:type="dxa"/>
            <w:tcBorders>
              <w:top w:val="single" w:sz="4" w:space="0" w:color="auto"/>
              <w:left w:val="single" w:sz="4" w:space="0" w:color="auto"/>
              <w:bottom w:val="single" w:sz="4" w:space="0" w:color="auto"/>
              <w:right w:val="single" w:sz="4" w:space="0" w:color="auto"/>
            </w:tcBorders>
            <w:vAlign w:val="center"/>
          </w:tcPr>
          <w:p w14:paraId="3A4EFD6B"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46</w:t>
            </w:r>
          </w:p>
        </w:tc>
        <w:tc>
          <w:tcPr>
            <w:tcW w:w="963" w:type="dxa"/>
            <w:tcBorders>
              <w:top w:val="single" w:sz="4" w:space="0" w:color="auto"/>
              <w:left w:val="single" w:sz="4" w:space="0" w:color="auto"/>
              <w:bottom w:val="single" w:sz="4" w:space="0" w:color="auto"/>
              <w:right w:val="single" w:sz="4" w:space="0" w:color="auto"/>
            </w:tcBorders>
            <w:vAlign w:val="center"/>
          </w:tcPr>
          <w:p w14:paraId="035CC97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w:t>
            </w:r>
          </w:p>
        </w:tc>
      </w:tr>
      <w:tr w:rsidR="00E504C7" w:rsidRPr="00314FD9" w14:paraId="4D92BDA6"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A9F740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44</w:t>
            </w:r>
          </w:p>
        </w:tc>
        <w:tc>
          <w:tcPr>
            <w:tcW w:w="990" w:type="dxa"/>
            <w:tcBorders>
              <w:top w:val="single" w:sz="4" w:space="0" w:color="auto"/>
              <w:left w:val="single" w:sz="4" w:space="0" w:color="auto"/>
              <w:bottom w:val="single" w:sz="4" w:space="0" w:color="auto"/>
              <w:right w:val="single" w:sz="4" w:space="0" w:color="auto"/>
            </w:tcBorders>
            <w:vAlign w:val="bottom"/>
          </w:tcPr>
          <w:p w14:paraId="7234001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4FF39B3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31.7</w:t>
            </w:r>
          </w:p>
        </w:tc>
        <w:tc>
          <w:tcPr>
            <w:tcW w:w="696" w:type="dxa"/>
            <w:tcBorders>
              <w:top w:val="single" w:sz="4" w:space="0" w:color="auto"/>
              <w:left w:val="single" w:sz="4" w:space="0" w:color="auto"/>
              <w:bottom w:val="single" w:sz="4" w:space="0" w:color="auto"/>
              <w:right w:val="single" w:sz="4" w:space="0" w:color="auto"/>
            </w:tcBorders>
            <w:vAlign w:val="center"/>
          </w:tcPr>
          <w:p w14:paraId="4F965D6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14.1</w:t>
            </w:r>
          </w:p>
        </w:tc>
        <w:tc>
          <w:tcPr>
            <w:tcW w:w="1056" w:type="dxa"/>
            <w:tcBorders>
              <w:top w:val="single" w:sz="4" w:space="0" w:color="auto"/>
              <w:left w:val="single" w:sz="4" w:space="0" w:color="auto"/>
              <w:bottom w:val="single" w:sz="4" w:space="0" w:color="auto"/>
              <w:right w:val="single" w:sz="4" w:space="0" w:color="auto"/>
            </w:tcBorders>
            <w:vAlign w:val="center"/>
          </w:tcPr>
          <w:p w14:paraId="5689284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66DA338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46</w:t>
            </w:r>
          </w:p>
        </w:tc>
        <w:tc>
          <w:tcPr>
            <w:tcW w:w="963" w:type="dxa"/>
            <w:tcBorders>
              <w:top w:val="single" w:sz="4" w:space="0" w:color="auto"/>
              <w:left w:val="single" w:sz="4" w:space="0" w:color="auto"/>
              <w:bottom w:val="single" w:sz="4" w:space="0" w:color="auto"/>
              <w:right w:val="single" w:sz="4" w:space="0" w:color="auto"/>
            </w:tcBorders>
            <w:vAlign w:val="center"/>
          </w:tcPr>
          <w:p w14:paraId="5BF7D42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6</w:t>
            </w:r>
          </w:p>
        </w:tc>
      </w:tr>
      <w:tr w:rsidR="00E504C7" w:rsidRPr="00314FD9" w14:paraId="3A995AEF"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1826F3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45</w:t>
            </w:r>
          </w:p>
        </w:tc>
        <w:tc>
          <w:tcPr>
            <w:tcW w:w="990" w:type="dxa"/>
            <w:tcBorders>
              <w:top w:val="single" w:sz="4" w:space="0" w:color="auto"/>
              <w:left w:val="single" w:sz="4" w:space="0" w:color="auto"/>
              <w:bottom w:val="single" w:sz="4" w:space="0" w:color="auto"/>
              <w:right w:val="single" w:sz="4" w:space="0" w:color="auto"/>
            </w:tcBorders>
            <w:vAlign w:val="bottom"/>
          </w:tcPr>
          <w:p w14:paraId="53F11F4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644A4E5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30.4</w:t>
            </w:r>
          </w:p>
        </w:tc>
        <w:tc>
          <w:tcPr>
            <w:tcW w:w="696" w:type="dxa"/>
            <w:tcBorders>
              <w:top w:val="single" w:sz="4" w:space="0" w:color="auto"/>
              <w:left w:val="single" w:sz="4" w:space="0" w:color="auto"/>
              <w:bottom w:val="single" w:sz="4" w:space="0" w:color="auto"/>
              <w:right w:val="single" w:sz="4" w:space="0" w:color="auto"/>
            </w:tcBorders>
            <w:vAlign w:val="center"/>
          </w:tcPr>
          <w:p w14:paraId="11AB83F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12.9</w:t>
            </w:r>
          </w:p>
        </w:tc>
        <w:tc>
          <w:tcPr>
            <w:tcW w:w="1056" w:type="dxa"/>
            <w:tcBorders>
              <w:top w:val="single" w:sz="4" w:space="0" w:color="auto"/>
              <w:left w:val="single" w:sz="4" w:space="0" w:color="auto"/>
              <w:bottom w:val="single" w:sz="4" w:space="0" w:color="auto"/>
              <w:right w:val="single" w:sz="4" w:space="0" w:color="auto"/>
            </w:tcBorders>
            <w:vAlign w:val="center"/>
          </w:tcPr>
          <w:p w14:paraId="7BF2954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95</w:t>
            </w:r>
          </w:p>
        </w:tc>
        <w:tc>
          <w:tcPr>
            <w:tcW w:w="1016" w:type="dxa"/>
            <w:tcBorders>
              <w:top w:val="single" w:sz="4" w:space="0" w:color="auto"/>
              <w:left w:val="single" w:sz="4" w:space="0" w:color="auto"/>
              <w:bottom w:val="single" w:sz="4" w:space="0" w:color="auto"/>
              <w:right w:val="single" w:sz="4" w:space="0" w:color="auto"/>
            </w:tcBorders>
            <w:vAlign w:val="center"/>
          </w:tcPr>
          <w:p w14:paraId="2456FE3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55</w:t>
            </w:r>
          </w:p>
        </w:tc>
        <w:tc>
          <w:tcPr>
            <w:tcW w:w="963" w:type="dxa"/>
            <w:tcBorders>
              <w:top w:val="single" w:sz="4" w:space="0" w:color="auto"/>
              <w:left w:val="single" w:sz="4" w:space="0" w:color="auto"/>
              <w:bottom w:val="single" w:sz="4" w:space="0" w:color="auto"/>
              <w:right w:val="single" w:sz="4" w:space="0" w:color="auto"/>
            </w:tcBorders>
            <w:vAlign w:val="center"/>
          </w:tcPr>
          <w:p w14:paraId="38629FC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5.2</w:t>
            </w:r>
          </w:p>
        </w:tc>
      </w:tr>
      <w:tr w:rsidR="00E504C7" w:rsidRPr="00314FD9" w14:paraId="12C2A87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2842460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46</w:t>
            </w:r>
          </w:p>
        </w:tc>
        <w:tc>
          <w:tcPr>
            <w:tcW w:w="990" w:type="dxa"/>
            <w:tcBorders>
              <w:top w:val="single" w:sz="4" w:space="0" w:color="auto"/>
              <w:left w:val="single" w:sz="4" w:space="0" w:color="auto"/>
              <w:bottom w:val="single" w:sz="4" w:space="0" w:color="auto"/>
              <w:right w:val="single" w:sz="4" w:space="0" w:color="auto"/>
            </w:tcBorders>
            <w:vAlign w:val="bottom"/>
          </w:tcPr>
          <w:p w14:paraId="11859E7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4E1DE55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28.3</w:t>
            </w:r>
          </w:p>
        </w:tc>
        <w:tc>
          <w:tcPr>
            <w:tcW w:w="696" w:type="dxa"/>
            <w:tcBorders>
              <w:top w:val="single" w:sz="4" w:space="0" w:color="auto"/>
              <w:left w:val="single" w:sz="4" w:space="0" w:color="auto"/>
              <w:bottom w:val="single" w:sz="4" w:space="0" w:color="auto"/>
              <w:right w:val="single" w:sz="4" w:space="0" w:color="auto"/>
            </w:tcBorders>
            <w:vAlign w:val="center"/>
          </w:tcPr>
          <w:p w14:paraId="6BF53DAF"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11.1</w:t>
            </w:r>
          </w:p>
        </w:tc>
        <w:tc>
          <w:tcPr>
            <w:tcW w:w="1056" w:type="dxa"/>
            <w:tcBorders>
              <w:top w:val="single" w:sz="4" w:space="0" w:color="auto"/>
              <w:left w:val="single" w:sz="4" w:space="0" w:color="auto"/>
              <w:bottom w:val="single" w:sz="4" w:space="0" w:color="auto"/>
              <w:right w:val="single" w:sz="4" w:space="0" w:color="auto"/>
            </w:tcBorders>
            <w:vAlign w:val="center"/>
          </w:tcPr>
          <w:p w14:paraId="3A4C4A0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BC1A8B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40</w:t>
            </w:r>
          </w:p>
        </w:tc>
        <w:tc>
          <w:tcPr>
            <w:tcW w:w="963" w:type="dxa"/>
            <w:tcBorders>
              <w:top w:val="single" w:sz="4" w:space="0" w:color="auto"/>
              <w:left w:val="single" w:sz="4" w:space="0" w:color="auto"/>
              <w:bottom w:val="single" w:sz="4" w:space="0" w:color="auto"/>
              <w:right w:val="single" w:sz="4" w:space="0" w:color="auto"/>
            </w:tcBorders>
            <w:vAlign w:val="center"/>
          </w:tcPr>
          <w:p w14:paraId="6F72661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7</w:t>
            </w:r>
          </w:p>
        </w:tc>
      </w:tr>
      <w:tr w:rsidR="00E504C7" w:rsidRPr="00314FD9" w14:paraId="06B12259"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50C5B4A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47</w:t>
            </w:r>
          </w:p>
        </w:tc>
        <w:tc>
          <w:tcPr>
            <w:tcW w:w="990" w:type="dxa"/>
            <w:tcBorders>
              <w:top w:val="single" w:sz="4" w:space="0" w:color="auto"/>
              <w:left w:val="single" w:sz="4" w:space="0" w:color="auto"/>
              <w:bottom w:val="single" w:sz="4" w:space="0" w:color="auto"/>
              <w:right w:val="single" w:sz="4" w:space="0" w:color="auto"/>
            </w:tcBorders>
            <w:vAlign w:val="bottom"/>
          </w:tcPr>
          <w:p w14:paraId="4BB1035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60DA578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26.9</w:t>
            </w:r>
          </w:p>
        </w:tc>
        <w:tc>
          <w:tcPr>
            <w:tcW w:w="696" w:type="dxa"/>
            <w:tcBorders>
              <w:top w:val="single" w:sz="4" w:space="0" w:color="auto"/>
              <w:left w:val="single" w:sz="4" w:space="0" w:color="auto"/>
              <w:bottom w:val="single" w:sz="4" w:space="0" w:color="auto"/>
              <w:right w:val="single" w:sz="4" w:space="0" w:color="auto"/>
            </w:tcBorders>
            <w:vAlign w:val="center"/>
          </w:tcPr>
          <w:p w14:paraId="335BD87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w:t>
            </w:r>
          </w:p>
        </w:tc>
        <w:tc>
          <w:tcPr>
            <w:tcW w:w="1056" w:type="dxa"/>
            <w:tcBorders>
              <w:top w:val="single" w:sz="4" w:space="0" w:color="auto"/>
              <w:left w:val="single" w:sz="4" w:space="0" w:color="auto"/>
              <w:bottom w:val="single" w:sz="4" w:space="0" w:color="auto"/>
              <w:right w:val="single" w:sz="4" w:space="0" w:color="auto"/>
            </w:tcBorders>
            <w:vAlign w:val="center"/>
          </w:tcPr>
          <w:p w14:paraId="658C169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4A4B4BA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42</w:t>
            </w:r>
          </w:p>
        </w:tc>
        <w:tc>
          <w:tcPr>
            <w:tcW w:w="963" w:type="dxa"/>
            <w:tcBorders>
              <w:top w:val="single" w:sz="4" w:space="0" w:color="auto"/>
              <w:left w:val="single" w:sz="4" w:space="0" w:color="auto"/>
              <w:bottom w:val="single" w:sz="4" w:space="0" w:color="auto"/>
              <w:right w:val="single" w:sz="4" w:space="0" w:color="auto"/>
            </w:tcBorders>
            <w:vAlign w:val="center"/>
          </w:tcPr>
          <w:p w14:paraId="45A2841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3</w:t>
            </w:r>
          </w:p>
        </w:tc>
      </w:tr>
      <w:tr w:rsidR="00E504C7" w:rsidRPr="00314FD9" w14:paraId="594CCD27"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547F5D3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b/>
                <w:sz w:val="20"/>
                <w:szCs w:val="20"/>
              </w:rPr>
              <w:t>48</w:t>
            </w:r>
          </w:p>
        </w:tc>
        <w:tc>
          <w:tcPr>
            <w:tcW w:w="990" w:type="dxa"/>
            <w:tcBorders>
              <w:top w:val="single" w:sz="4" w:space="0" w:color="auto"/>
              <w:left w:val="single" w:sz="4" w:space="0" w:color="auto"/>
              <w:bottom w:val="single" w:sz="4" w:space="0" w:color="auto"/>
              <w:right w:val="single" w:sz="4" w:space="0" w:color="auto"/>
            </w:tcBorders>
            <w:vAlign w:val="bottom"/>
          </w:tcPr>
          <w:p w14:paraId="3527D94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4C6570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26.8</w:t>
            </w:r>
          </w:p>
        </w:tc>
        <w:tc>
          <w:tcPr>
            <w:tcW w:w="696" w:type="dxa"/>
            <w:tcBorders>
              <w:top w:val="single" w:sz="4" w:space="0" w:color="auto"/>
              <w:left w:val="single" w:sz="4" w:space="0" w:color="auto"/>
              <w:bottom w:val="single" w:sz="4" w:space="0" w:color="auto"/>
              <w:right w:val="single" w:sz="4" w:space="0" w:color="auto"/>
            </w:tcBorders>
            <w:vAlign w:val="center"/>
          </w:tcPr>
          <w:p w14:paraId="580554C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9.6</w:t>
            </w:r>
          </w:p>
        </w:tc>
        <w:tc>
          <w:tcPr>
            <w:tcW w:w="1056" w:type="dxa"/>
            <w:tcBorders>
              <w:top w:val="single" w:sz="4" w:space="0" w:color="auto"/>
              <w:left w:val="single" w:sz="4" w:space="0" w:color="auto"/>
              <w:bottom w:val="single" w:sz="4" w:space="0" w:color="auto"/>
              <w:right w:val="single" w:sz="4" w:space="0" w:color="auto"/>
            </w:tcBorders>
            <w:vAlign w:val="center"/>
          </w:tcPr>
          <w:p w14:paraId="5F930B38"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27225FE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6CC4E9D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w:t>
            </w:r>
          </w:p>
        </w:tc>
      </w:tr>
    </w:tbl>
    <w:p w14:paraId="72673365" w14:textId="77777777" w:rsidR="00E504C7" w:rsidRPr="00314FD9" w:rsidRDefault="00000000" w:rsidP="002C1309">
      <w:pPr>
        <w:ind w:left="2070" w:right="1080" w:hanging="90"/>
        <w:jc w:val="both"/>
        <w:rPr>
          <w:rFonts w:ascii="Arial" w:hAnsi="Arial" w:cs="Arial"/>
          <w:sz w:val="20"/>
          <w:szCs w:val="20"/>
        </w:rPr>
      </w:pPr>
      <w:r w:rsidRPr="00314FD9">
        <w:rPr>
          <w:rFonts w:ascii="Arial" w:hAnsi="Arial" w:cs="Arial"/>
          <w:sz w:val="20"/>
          <w:szCs w:val="20"/>
        </w:rPr>
        <w:t>SMW = Standard Meteorological Week, Max temp = Maximum temperature, Min temp = Minimum temperature, RH =Relative Humidity, LF =Leaf Folder</w:t>
      </w:r>
    </w:p>
    <w:p w14:paraId="7C2BAEE9"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t xml:space="preserve">Previous field studies have generally reported that </w:t>
      </w:r>
      <w:r w:rsidRPr="00314FD9">
        <w:rPr>
          <w:rFonts w:ascii="Arial" w:eastAsia="Arial" w:hAnsi="Arial" w:cs="Arial"/>
          <w:i/>
          <w:color w:val="000000"/>
          <w:sz w:val="20"/>
        </w:rPr>
        <w:t xml:space="preserve">C.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activity begins during the vegetative or early reproductive phase, often reaches its highest level from late August to October and subsequently declines towards crop maturity (Kakde &amp; Patel, 2015; Vanitha </w:t>
      </w:r>
      <w:r w:rsidRPr="00314FD9">
        <w:rPr>
          <w:rFonts w:ascii="Arial" w:eastAsia="Arial" w:hAnsi="Arial" w:cs="Arial"/>
          <w:i/>
          <w:color w:val="000000"/>
          <w:sz w:val="20"/>
        </w:rPr>
        <w:t>et al.</w:t>
      </w:r>
      <w:r w:rsidRPr="00314FD9">
        <w:rPr>
          <w:rFonts w:ascii="Arial" w:eastAsia="Arial" w:hAnsi="Arial" w:cs="Arial"/>
          <w:color w:val="000000"/>
          <w:sz w:val="20"/>
        </w:rPr>
        <w:t xml:space="preserve">, 2015; Chatterjee </w:t>
      </w:r>
      <w:r w:rsidRPr="00314FD9">
        <w:rPr>
          <w:rFonts w:ascii="Arial" w:eastAsia="Arial" w:hAnsi="Arial" w:cs="Arial"/>
          <w:i/>
          <w:color w:val="000000"/>
          <w:sz w:val="20"/>
        </w:rPr>
        <w:t>et al.</w:t>
      </w:r>
      <w:r w:rsidRPr="00314FD9">
        <w:rPr>
          <w:rFonts w:ascii="Arial" w:eastAsia="Arial" w:hAnsi="Arial" w:cs="Arial"/>
          <w:color w:val="000000"/>
          <w:sz w:val="20"/>
        </w:rPr>
        <w:t xml:space="preserve">, 2021; Sharma </w:t>
      </w:r>
      <w:r w:rsidRPr="00314FD9">
        <w:rPr>
          <w:rFonts w:ascii="Arial" w:eastAsia="Arial" w:hAnsi="Arial" w:cs="Arial"/>
          <w:i/>
          <w:color w:val="000000"/>
          <w:sz w:val="20"/>
        </w:rPr>
        <w:t>et al.</w:t>
      </w:r>
      <w:r w:rsidRPr="00314FD9">
        <w:rPr>
          <w:rFonts w:ascii="Arial" w:eastAsia="Arial" w:hAnsi="Arial" w:cs="Arial"/>
          <w:color w:val="000000"/>
          <w:sz w:val="20"/>
        </w:rPr>
        <w:t xml:space="preserve">, 2024). </w:t>
      </w:r>
      <w:proofErr w:type="spellStart"/>
      <w:r w:rsidRPr="00314FD9">
        <w:rPr>
          <w:rFonts w:ascii="Arial" w:eastAsia="Arial" w:hAnsi="Arial" w:cs="Arial"/>
          <w:color w:val="000000"/>
          <w:sz w:val="20"/>
        </w:rPr>
        <w:t>Jasrotia</w:t>
      </w:r>
      <w:proofErr w:type="spellEnd"/>
      <w:r w:rsidRPr="00314FD9">
        <w:rPr>
          <w:rFonts w:ascii="Arial" w:eastAsia="Arial" w:hAnsi="Arial" w:cs="Arial"/>
          <w:color w:val="000000"/>
          <w:sz w:val="20"/>
        </w:rPr>
        <w:t xml:space="preserve"> </w:t>
      </w:r>
      <w:r w:rsidRPr="00314FD9">
        <w:rPr>
          <w:rFonts w:ascii="Arial" w:eastAsia="Arial" w:hAnsi="Arial" w:cs="Arial"/>
          <w:i/>
          <w:color w:val="000000"/>
          <w:sz w:val="20"/>
        </w:rPr>
        <w:t>et al.</w:t>
      </w:r>
      <w:r w:rsidRPr="00314FD9">
        <w:rPr>
          <w:rFonts w:ascii="Arial" w:eastAsia="Arial" w:hAnsi="Arial" w:cs="Arial"/>
          <w:color w:val="000000"/>
          <w:sz w:val="20"/>
        </w:rPr>
        <w:t xml:space="preserve"> (2019) likewise recorded peak leaf-folder damage in the third week of September. These observations broadly agree with the seasonal pattern recorded in the present study, although the exact timing of peak infestation varies among locations, years, crop stages and sampling methods.</w:t>
      </w:r>
    </w:p>
    <w:p w14:paraId="32E21F59" w14:textId="77777777" w:rsidR="00E504C7" w:rsidRPr="00314FD9" w:rsidRDefault="00000000" w:rsidP="002C1309">
      <w:pPr>
        <w:ind w:firstLine="720"/>
        <w:jc w:val="both"/>
        <w:rPr>
          <w:rFonts w:ascii="Arial" w:hAnsi="Arial" w:cs="Arial"/>
          <w:sz w:val="20"/>
          <w:szCs w:val="20"/>
        </w:rPr>
      </w:pPr>
      <w:r w:rsidRPr="00314FD9">
        <w:rPr>
          <w:rFonts w:ascii="Arial" w:hAnsi="Arial" w:cs="Arial"/>
          <w:sz w:val="20"/>
          <w:szCs w:val="20"/>
        </w:rPr>
        <w:t xml:space="preserve">The correlation analysis for </w:t>
      </w:r>
      <w:r w:rsidRPr="00314FD9">
        <w:rPr>
          <w:rFonts w:ascii="Arial" w:hAnsi="Arial" w:cs="Arial"/>
          <w:i/>
          <w:sz w:val="20"/>
          <w:szCs w:val="20"/>
        </w:rPr>
        <w:t>kharif</w:t>
      </w:r>
      <w:r w:rsidRPr="00314FD9">
        <w:rPr>
          <w:rFonts w:ascii="Arial" w:hAnsi="Arial" w:cs="Arial"/>
          <w:sz w:val="20"/>
          <w:szCs w:val="20"/>
        </w:rPr>
        <w:t xml:space="preserve"> 2022 and </w:t>
      </w:r>
      <w:r w:rsidRPr="00314FD9">
        <w:rPr>
          <w:rFonts w:ascii="Arial" w:hAnsi="Arial" w:cs="Arial"/>
          <w:i/>
          <w:sz w:val="20"/>
          <w:szCs w:val="20"/>
        </w:rPr>
        <w:t>kharif</w:t>
      </w:r>
      <w:r w:rsidRPr="00314FD9">
        <w:rPr>
          <w:rFonts w:ascii="Arial" w:hAnsi="Arial" w:cs="Arial"/>
          <w:iCs/>
          <w:sz w:val="20"/>
          <w:szCs w:val="20"/>
        </w:rPr>
        <w:t xml:space="preserve"> </w:t>
      </w:r>
      <w:r w:rsidRPr="00314FD9">
        <w:rPr>
          <w:rFonts w:ascii="Arial" w:hAnsi="Arial" w:cs="Arial"/>
          <w:sz w:val="20"/>
          <w:szCs w:val="20"/>
        </w:rPr>
        <w:t xml:space="preserve">2023 showed that maximum temperature (r = –0.05) and minimum temperature (r = –0.007) in </w:t>
      </w:r>
      <w:r w:rsidRPr="00314FD9">
        <w:rPr>
          <w:rFonts w:ascii="Arial" w:hAnsi="Arial" w:cs="Arial"/>
          <w:i/>
          <w:sz w:val="20"/>
          <w:szCs w:val="20"/>
        </w:rPr>
        <w:t>kharif</w:t>
      </w:r>
      <w:r w:rsidRPr="00314FD9">
        <w:rPr>
          <w:rFonts w:ascii="Arial" w:hAnsi="Arial" w:cs="Arial"/>
          <w:sz w:val="20"/>
          <w:szCs w:val="20"/>
        </w:rPr>
        <w:t xml:space="preserve"> 2022, as well as maximum temperature (r = –0.07) and minimum temperature (r = –0.04) in </w:t>
      </w:r>
      <w:r w:rsidRPr="00314FD9">
        <w:rPr>
          <w:rFonts w:ascii="Arial" w:hAnsi="Arial" w:cs="Arial"/>
          <w:i/>
          <w:sz w:val="20"/>
          <w:szCs w:val="20"/>
        </w:rPr>
        <w:t>kharif</w:t>
      </w:r>
      <w:r w:rsidRPr="00314FD9">
        <w:rPr>
          <w:rFonts w:ascii="Arial" w:hAnsi="Arial" w:cs="Arial"/>
          <w:sz w:val="20"/>
          <w:szCs w:val="20"/>
        </w:rPr>
        <w:t xml:space="preserve"> 2023, had weak negative relationships with rice leaf-folder (</w:t>
      </w:r>
      <w:proofErr w:type="spellStart"/>
      <w:r w:rsidRPr="00314FD9">
        <w:rPr>
          <w:rFonts w:ascii="Arial" w:hAnsi="Arial" w:cs="Arial"/>
          <w:i/>
          <w:iCs/>
          <w:sz w:val="20"/>
          <w:szCs w:val="20"/>
        </w:rPr>
        <w:t>Cnaphalocrocis</w:t>
      </w:r>
      <w:proofErr w:type="spellEnd"/>
      <w:r w:rsidRPr="00314FD9">
        <w:rPr>
          <w:rFonts w:ascii="Arial" w:hAnsi="Arial" w:cs="Arial"/>
          <w:i/>
          <w:iCs/>
          <w:sz w:val="20"/>
          <w:szCs w:val="20"/>
        </w:rPr>
        <w:t xml:space="preserve"> </w:t>
      </w:r>
      <w:proofErr w:type="spellStart"/>
      <w:r w:rsidRPr="00314FD9">
        <w:rPr>
          <w:rFonts w:ascii="Arial" w:hAnsi="Arial" w:cs="Arial"/>
          <w:i/>
          <w:iCs/>
          <w:sz w:val="20"/>
          <w:szCs w:val="20"/>
        </w:rPr>
        <w:t>medinalis</w:t>
      </w:r>
      <w:proofErr w:type="spellEnd"/>
      <w:r w:rsidRPr="00314FD9">
        <w:rPr>
          <w:rFonts w:ascii="Arial" w:hAnsi="Arial" w:cs="Arial"/>
          <w:sz w:val="20"/>
          <w:szCs w:val="20"/>
        </w:rPr>
        <w:t xml:space="preserve">) damage. In contrast, morning relative humidity (r = 0.50) and evening relative humidity (r = 0.55) in </w:t>
      </w:r>
      <w:r w:rsidRPr="00314FD9">
        <w:rPr>
          <w:rFonts w:ascii="Arial" w:hAnsi="Arial" w:cs="Arial"/>
          <w:i/>
          <w:sz w:val="20"/>
          <w:szCs w:val="20"/>
        </w:rPr>
        <w:t>kharif</w:t>
      </w:r>
      <w:r w:rsidRPr="00314FD9">
        <w:rPr>
          <w:rFonts w:ascii="Arial" w:hAnsi="Arial" w:cs="Arial"/>
          <w:sz w:val="20"/>
          <w:szCs w:val="20"/>
        </w:rPr>
        <w:t xml:space="preserve"> 2022, together with morning relative humidity (r = 0.50) and evening relative humidity (r = 0.60) in </w:t>
      </w:r>
      <w:r w:rsidRPr="00314FD9">
        <w:rPr>
          <w:rFonts w:ascii="Arial" w:hAnsi="Arial" w:cs="Arial"/>
          <w:i/>
          <w:sz w:val="20"/>
          <w:szCs w:val="20"/>
        </w:rPr>
        <w:t>kharif</w:t>
      </w:r>
      <w:r w:rsidRPr="00314FD9">
        <w:rPr>
          <w:rFonts w:ascii="Arial" w:hAnsi="Arial" w:cs="Arial"/>
          <w:sz w:val="20"/>
          <w:szCs w:val="20"/>
        </w:rPr>
        <w:t xml:space="preserve"> 2023, showed positive associations with leaf-folder incidence. Rainfall showed a weak negative relationship with infestation in both years (r = –0.25 in </w:t>
      </w:r>
      <w:r w:rsidRPr="00314FD9">
        <w:rPr>
          <w:rFonts w:ascii="Arial" w:hAnsi="Arial" w:cs="Arial"/>
          <w:i/>
          <w:sz w:val="20"/>
          <w:szCs w:val="20"/>
        </w:rPr>
        <w:t>kharif</w:t>
      </w:r>
      <w:r w:rsidRPr="00314FD9">
        <w:rPr>
          <w:rFonts w:ascii="Arial" w:hAnsi="Arial" w:cs="Arial"/>
          <w:sz w:val="20"/>
          <w:szCs w:val="20"/>
        </w:rPr>
        <w:t xml:space="preserve"> 2022 and r = –0.05 in </w:t>
      </w:r>
      <w:r w:rsidRPr="00314FD9">
        <w:rPr>
          <w:rFonts w:ascii="Arial" w:hAnsi="Arial" w:cs="Arial"/>
          <w:i/>
          <w:sz w:val="20"/>
          <w:szCs w:val="20"/>
        </w:rPr>
        <w:t>kharif</w:t>
      </w:r>
      <w:r w:rsidRPr="00314FD9">
        <w:rPr>
          <w:rFonts w:ascii="Arial" w:hAnsi="Arial" w:cs="Arial"/>
          <w:iCs/>
          <w:sz w:val="20"/>
          <w:szCs w:val="20"/>
        </w:rPr>
        <w:t xml:space="preserve"> </w:t>
      </w:r>
      <w:r w:rsidRPr="00314FD9">
        <w:rPr>
          <w:rFonts w:ascii="Arial" w:hAnsi="Arial" w:cs="Arial"/>
          <w:sz w:val="20"/>
          <w:szCs w:val="20"/>
        </w:rPr>
        <w:t>2023). Thus, leaf-folder infestation was more strongly associated with morning and evening relative humidity than with rainfall or temperature.</w:t>
      </w:r>
    </w:p>
    <w:p w14:paraId="27D9792B" w14:textId="77777777" w:rsidR="00E504C7" w:rsidRPr="00314FD9" w:rsidRDefault="00000000" w:rsidP="002C1309">
      <w:pPr>
        <w:jc w:val="both"/>
        <w:rPr>
          <w:rFonts w:ascii="Arial" w:hAnsi="Arial" w:cs="Arial"/>
          <w:sz w:val="20"/>
          <w:szCs w:val="20"/>
        </w:rPr>
      </w:pPr>
      <w:r w:rsidRPr="00314FD9">
        <w:rPr>
          <w:rFonts w:ascii="Arial" w:hAnsi="Arial" w:cs="Arial"/>
          <w:b/>
          <w:bCs/>
          <w:sz w:val="20"/>
          <w:szCs w:val="20"/>
        </w:rPr>
        <w:lastRenderedPageBreak/>
        <w:t>Fig. 1.</w:t>
      </w:r>
      <w:r w:rsidRPr="00314FD9">
        <w:rPr>
          <w:rFonts w:ascii="Arial" w:hAnsi="Arial" w:cs="Arial"/>
          <w:sz w:val="20"/>
          <w:szCs w:val="20"/>
        </w:rPr>
        <w:t xml:space="preserve"> Fluctuation of rice leaf folder infestation during </w:t>
      </w:r>
      <w:r w:rsidRPr="00314FD9">
        <w:rPr>
          <w:rFonts w:ascii="Arial" w:hAnsi="Arial" w:cs="Arial"/>
          <w:i/>
          <w:iCs/>
          <w:sz w:val="20"/>
          <w:szCs w:val="20"/>
        </w:rPr>
        <w:t xml:space="preserve">kharif </w:t>
      </w:r>
      <w:r w:rsidRPr="00314FD9">
        <w:rPr>
          <w:rFonts w:ascii="Arial" w:hAnsi="Arial" w:cs="Arial"/>
          <w:sz w:val="20"/>
          <w:szCs w:val="20"/>
        </w:rPr>
        <w:t xml:space="preserve">2022 (from 27 to 48 SMW). </w:t>
      </w:r>
      <w:r w:rsidRPr="00314FD9">
        <w:rPr>
          <w:rFonts w:ascii="Arial" w:hAnsi="Arial" w:cs="Arial"/>
          <w:noProof/>
          <w:sz w:val="20"/>
          <w:szCs w:val="20"/>
          <w14:ligatures w14:val="none"/>
        </w:rPr>
        <w:drawing>
          <wp:inline distT="0" distB="0" distL="0" distR="0" wp14:anchorId="0CDC85AD" wp14:editId="0300F0A7">
            <wp:extent cx="5943600" cy="3149600"/>
            <wp:effectExtent l="0" t="0" r="0" b="12700"/>
            <wp:docPr id="5406170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0A264F" w14:textId="77777777" w:rsidR="00E504C7" w:rsidRPr="00314FD9" w:rsidRDefault="00000000" w:rsidP="002C1309">
      <w:pPr>
        <w:jc w:val="both"/>
        <w:rPr>
          <w:rFonts w:ascii="Arial" w:hAnsi="Arial" w:cs="Arial"/>
          <w:sz w:val="20"/>
          <w:szCs w:val="20"/>
        </w:rPr>
      </w:pPr>
      <w:r w:rsidRPr="00314FD9">
        <w:rPr>
          <w:rFonts w:ascii="Arial" w:hAnsi="Arial" w:cs="Arial"/>
          <w:b/>
          <w:bCs/>
          <w:sz w:val="20"/>
          <w:szCs w:val="20"/>
        </w:rPr>
        <w:t>Fig. 2.</w:t>
      </w:r>
      <w:r w:rsidRPr="00314FD9">
        <w:rPr>
          <w:rFonts w:ascii="Arial" w:hAnsi="Arial" w:cs="Arial"/>
          <w:sz w:val="20"/>
          <w:szCs w:val="20"/>
        </w:rPr>
        <w:t xml:space="preserve"> Fluctuation of rice leaf folder infestation during </w:t>
      </w:r>
      <w:r w:rsidRPr="00314FD9">
        <w:rPr>
          <w:rFonts w:ascii="Arial" w:hAnsi="Arial" w:cs="Arial"/>
          <w:i/>
          <w:iCs/>
          <w:sz w:val="20"/>
          <w:szCs w:val="20"/>
        </w:rPr>
        <w:t xml:space="preserve">kharif </w:t>
      </w:r>
      <w:r w:rsidRPr="00314FD9">
        <w:rPr>
          <w:rFonts w:ascii="Arial" w:hAnsi="Arial" w:cs="Arial"/>
          <w:sz w:val="20"/>
          <w:szCs w:val="20"/>
        </w:rPr>
        <w:t xml:space="preserve">2023 (from 27 to 48 SMW). </w:t>
      </w:r>
    </w:p>
    <w:p w14:paraId="696C8DAC" w14:textId="77777777" w:rsidR="00E504C7" w:rsidRPr="00314FD9" w:rsidRDefault="00E504C7" w:rsidP="002C1309">
      <w:pPr>
        <w:jc w:val="both"/>
        <w:rPr>
          <w:rFonts w:ascii="Arial" w:hAnsi="Arial" w:cs="Arial"/>
          <w:sz w:val="20"/>
          <w:szCs w:val="20"/>
        </w:rPr>
      </w:pPr>
    </w:p>
    <w:p w14:paraId="0483EBAF" w14:textId="77777777" w:rsidR="00E504C7" w:rsidRPr="00314FD9" w:rsidRDefault="00000000" w:rsidP="002C1309">
      <w:pPr>
        <w:jc w:val="both"/>
        <w:rPr>
          <w:rFonts w:ascii="Arial" w:hAnsi="Arial" w:cs="Arial"/>
          <w:sz w:val="20"/>
          <w:szCs w:val="20"/>
        </w:rPr>
      </w:pPr>
      <w:r w:rsidRPr="00314FD9">
        <w:rPr>
          <w:rFonts w:ascii="Arial" w:hAnsi="Arial" w:cs="Arial"/>
          <w:noProof/>
          <w:sz w:val="20"/>
          <w:szCs w:val="20"/>
          <w14:ligatures w14:val="none"/>
        </w:rPr>
        <w:drawing>
          <wp:inline distT="0" distB="0" distL="0" distR="0" wp14:anchorId="561CEFFD" wp14:editId="2F2F9508">
            <wp:extent cx="5943600" cy="3042920"/>
            <wp:effectExtent l="0" t="0" r="0" b="5080"/>
            <wp:docPr id="16742159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F55723" w14:textId="77777777" w:rsidR="00E504C7" w:rsidRPr="00314FD9" w:rsidRDefault="00E504C7" w:rsidP="002C1309">
      <w:pPr>
        <w:jc w:val="both"/>
        <w:rPr>
          <w:rFonts w:ascii="Arial" w:hAnsi="Arial" w:cs="Arial"/>
          <w:sz w:val="20"/>
          <w:szCs w:val="20"/>
        </w:rPr>
      </w:pPr>
    </w:p>
    <w:p w14:paraId="061CCD42" w14:textId="77777777" w:rsidR="00E504C7" w:rsidRPr="00314FD9" w:rsidRDefault="00000000" w:rsidP="002C1309">
      <w:pPr>
        <w:jc w:val="both"/>
        <w:rPr>
          <w:rFonts w:ascii="Arial" w:hAnsi="Arial" w:cs="Arial"/>
          <w:sz w:val="20"/>
          <w:szCs w:val="20"/>
        </w:rPr>
      </w:pPr>
      <w:r w:rsidRPr="00314FD9">
        <w:rPr>
          <w:rFonts w:ascii="Arial" w:hAnsi="Arial" w:cs="Arial"/>
          <w:b/>
          <w:bCs/>
          <w:sz w:val="20"/>
          <w:szCs w:val="20"/>
        </w:rPr>
        <w:t xml:space="preserve">Table 3: </w:t>
      </w:r>
      <w:r w:rsidRPr="00314FD9">
        <w:rPr>
          <w:rFonts w:ascii="Arial" w:hAnsi="Arial" w:cs="Arial"/>
          <w:sz w:val="20"/>
          <w:szCs w:val="20"/>
        </w:rPr>
        <w:t xml:space="preserve">Correlation coefficient between the incidence of leaf folder and abiotic factors during </w:t>
      </w:r>
      <w:r w:rsidRPr="00314FD9">
        <w:rPr>
          <w:rFonts w:ascii="Arial" w:hAnsi="Arial" w:cs="Arial"/>
          <w:i/>
          <w:iCs/>
          <w:sz w:val="20"/>
          <w:szCs w:val="20"/>
        </w:rPr>
        <w:t>Kharif</w:t>
      </w:r>
      <w:r w:rsidRPr="00314FD9">
        <w:rPr>
          <w:rFonts w:ascii="Arial" w:hAnsi="Arial" w:cs="Arial"/>
          <w:sz w:val="20"/>
          <w:szCs w:val="20"/>
        </w:rPr>
        <w:t xml:space="preserve"> 2022, 2023.</w:t>
      </w:r>
    </w:p>
    <w:tbl>
      <w:tblPr>
        <w:tblStyle w:val="TableGrid"/>
        <w:tblpPr w:leftFromText="180" w:rightFromText="180" w:vertAnchor="text" w:horzAnchor="margin" w:tblpY="231"/>
        <w:tblW w:w="9497" w:type="dxa"/>
        <w:tblLook w:val="04A0" w:firstRow="1" w:lastRow="0" w:firstColumn="1" w:lastColumn="0" w:noHBand="0" w:noVBand="1"/>
      </w:tblPr>
      <w:tblGrid>
        <w:gridCol w:w="1580"/>
        <w:gridCol w:w="1580"/>
        <w:gridCol w:w="1580"/>
        <w:gridCol w:w="1580"/>
        <w:gridCol w:w="1581"/>
        <w:gridCol w:w="1596"/>
      </w:tblGrid>
      <w:tr w:rsidR="00E504C7" w:rsidRPr="00314FD9" w14:paraId="724D22EB" w14:textId="77777777">
        <w:trPr>
          <w:trHeight w:val="581"/>
        </w:trPr>
        <w:tc>
          <w:tcPr>
            <w:tcW w:w="1580" w:type="dxa"/>
            <w:tcBorders>
              <w:top w:val="single" w:sz="4" w:space="0" w:color="auto"/>
              <w:left w:val="single" w:sz="4" w:space="0" w:color="auto"/>
              <w:bottom w:val="single" w:sz="4" w:space="0" w:color="auto"/>
              <w:right w:val="single" w:sz="4" w:space="0" w:color="auto"/>
            </w:tcBorders>
          </w:tcPr>
          <w:p w14:paraId="19FB13E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lastRenderedPageBreak/>
              <w:t>Insect pest</w:t>
            </w:r>
          </w:p>
        </w:tc>
        <w:tc>
          <w:tcPr>
            <w:tcW w:w="7917" w:type="dxa"/>
            <w:gridSpan w:val="5"/>
            <w:tcBorders>
              <w:top w:val="single" w:sz="4" w:space="0" w:color="auto"/>
              <w:left w:val="single" w:sz="4" w:space="0" w:color="auto"/>
              <w:bottom w:val="single" w:sz="4" w:space="0" w:color="auto"/>
              <w:right w:val="single" w:sz="4" w:space="0" w:color="auto"/>
            </w:tcBorders>
          </w:tcPr>
          <w:p w14:paraId="50373DD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Weather parameter</w:t>
            </w:r>
          </w:p>
        </w:tc>
      </w:tr>
      <w:tr w:rsidR="00E504C7" w:rsidRPr="00314FD9" w14:paraId="272DDDED" w14:textId="77777777">
        <w:trPr>
          <w:trHeight w:val="752"/>
        </w:trPr>
        <w:tc>
          <w:tcPr>
            <w:tcW w:w="1580" w:type="dxa"/>
            <w:tcBorders>
              <w:top w:val="single" w:sz="4" w:space="0" w:color="auto"/>
              <w:left w:val="single" w:sz="4" w:space="0" w:color="auto"/>
              <w:bottom w:val="single" w:sz="4" w:space="0" w:color="auto"/>
              <w:right w:val="single" w:sz="4" w:space="0" w:color="auto"/>
            </w:tcBorders>
          </w:tcPr>
          <w:p w14:paraId="14419732"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Leaf folder</w:t>
            </w:r>
          </w:p>
        </w:tc>
        <w:tc>
          <w:tcPr>
            <w:tcW w:w="1580" w:type="dxa"/>
            <w:tcBorders>
              <w:top w:val="single" w:sz="4" w:space="0" w:color="auto"/>
              <w:left w:val="single" w:sz="4" w:space="0" w:color="auto"/>
              <w:bottom w:val="single" w:sz="4" w:space="0" w:color="auto"/>
              <w:right w:val="single" w:sz="4" w:space="0" w:color="auto"/>
            </w:tcBorders>
          </w:tcPr>
          <w:p w14:paraId="33521C87"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Rainfall</w:t>
            </w:r>
          </w:p>
        </w:tc>
        <w:tc>
          <w:tcPr>
            <w:tcW w:w="1580" w:type="dxa"/>
            <w:tcBorders>
              <w:top w:val="single" w:sz="4" w:space="0" w:color="auto"/>
              <w:left w:val="single" w:sz="4" w:space="0" w:color="auto"/>
              <w:bottom w:val="single" w:sz="4" w:space="0" w:color="auto"/>
              <w:right w:val="single" w:sz="4" w:space="0" w:color="auto"/>
            </w:tcBorders>
          </w:tcPr>
          <w:p w14:paraId="701D25D5"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Maximum temperature</w:t>
            </w:r>
          </w:p>
        </w:tc>
        <w:tc>
          <w:tcPr>
            <w:tcW w:w="1580" w:type="dxa"/>
            <w:tcBorders>
              <w:top w:val="single" w:sz="4" w:space="0" w:color="auto"/>
              <w:left w:val="single" w:sz="4" w:space="0" w:color="auto"/>
              <w:bottom w:val="single" w:sz="4" w:space="0" w:color="auto"/>
              <w:right w:val="single" w:sz="4" w:space="0" w:color="auto"/>
            </w:tcBorders>
          </w:tcPr>
          <w:p w14:paraId="29413E7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Minimum temperature</w:t>
            </w:r>
          </w:p>
        </w:tc>
        <w:tc>
          <w:tcPr>
            <w:tcW w:w="1581" w:type="dxa"/>
            <w:tcBorders>
              <w:top w:val="single" w:sz="4" w:space="0" w:color="auto"/>
              <w:left w:val="single" w:sz="4" w:space="0" w:color="auto"/>
              <w:bottom w:val="single" w:sz="4" w:space="0" w:color="auto"/>
              <w:right w:val="single" w:sz="4" w:space="0" w:color="auto"/>
            </w:tcBorders>
          </w:tcPr>
          <w:p w14:paraId="470605DD"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Morning</w:t>
            </w:r>
          </w:p>
          <w:p w14:paraId="4D1BD6B0"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relative humidity</w:t>
            </w:r>
          </w:p>
        </w:tc>
        <w:tc>
          <w:tcPr>
            <w:tcW w:w="1594" w:type="dxa"/>
            <w:tcBorders>
              <w:top w:val="single" w:sz="4" w:space="0" w:color="auto"/>
              <w:left w:val="single" w:sz="4" w:space="0" w:color="auto"/>
              <w:bottom w:val="single" w:sz="4" w:space="0" w:color="auto"/>
              <w:right w:val="single" w:sz="4" w:space="0" w:color="auto"/>
            </w:tcBorders>
          </w:tcPr>
          <w:p w14:paraId="4007EAE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Evening</w:t>
            </w:r>
          </w:p>
          <w:p w14:paraId="0ACAF536"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relative humidity</w:t>
            </w:r>
          </w:p>
        </w:tc>
      </w:tr>
      <w:tr w:rsidR="00E504C7" w:rsidRPr="00314FD9" w14:paraId="3C347BB3" w14:textId="77777777">
        <w:trPr>
          <w:trHeight w:val="558"/>
        </w:trPr>
        <w:tc>
          <w:tcPr>
            <w:tcW w:w="1580" w:type="dxa"/>
            <w:tcBorders>
              <w:top w:val="single" w:sz="4" w:space="0" w:color="auto"/>
              <w:left w:val="single" w:sz="4" w:space="0" w:color="auto"/>
              <w:bottom w:val="single" w:sz="4" w:space="0" w:color="auto"/>
              <w:right w:val="single" w:sz="4" w:space="0" w:color="auto"/>
            </w:tcBorders>
          </w:tcPr>
          <w:p w14:paraId="25A7A79D" w14:textId="77777777" w:rsidR="00E504C7" w:rsidRPr="00314FD9" w:rsidRDefault="00E504C7" w:rsidP="002C1309">
            <w:pPr>
              <w:spacing w:after="0" w:line="240" w:lineRule="auto"/>
              <w:jc w:val="both"/>
              <w:rPr>
                <w:rFonts w:ascii="Arial" w:hAnsi="Arial" w:cs="Arial"/>
                <w:i/>
                <w:iCs/>
                <w:sz w:val="20"/>
                <w:szCs w:val="20"/>
              </w:rPr>
            </w:pPr>
          </w:p>
          <w:p w14:paraId="2BD5F5B2" w14:textId="77777777" w:rsidR="00E504C7" w:rsidRPr="00314FD9" w:rsidRDefault="00000000" w:rsidP="002C1309">
            <w:pPr>
              <w:spacing w:after="0" w:line="240" w:lineRule="auto"/>
              <w:jc w:val="both"/>
              <w:rPr>
                <w:rFonts w:ascii="Arial" w:hAnsi="Arial" w:cs="Arial"/>
                <w:i/>
                <w:iCs/>
                <w:sz w:val="20"/>
                <w:szCs w:val="20"/>
              </w:rPr>
            </w:pPr>
            <w:r w:rsidRPr="00314FD9">
              <w:rPr>
                <w:rFonts w:ascii="Arial" w:hAnsi="Arial" w:cs="Arial"/>
                <w:i/>
                <w:iCs/>
                <w:sz w:val="20"/>
                <w:szCs w:val="20"/>
              </w:rPr>
              <w:t>Kharif 2022</w:t>
            </w:r>
          </w:p>
        </w:tc>
        <w:tc>
          <w:tcPr>
            <w:tcW w:w="1580" w:type="dxa"/>
            <w:tcBorders>
              <w:top w:val="single" w:sz="4" w:space="0" w:color="auto"/>
              <w:left w:val="single" w:sz="4" w:space="0" w:color="auto"/>
              <w:bottom w:val="single" w:sz="4" w:space="0" w:color="auto"/>
              <w:right w:val="single" w:sz="4" w:space="0" w:color="auto"/>
            </w:tcBorders>
            <w:vAlign w:val="bottom"/>
          </w:tcPr>
          <w:p w14:paraId="4A3F885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-0.25</w:t>
            </w:r>
          </w:p>
        </w:tc>
        <w:tc>
          <w:tcPr>
            <w:tcW w:w="1580" w:type="dxa"/>
            <w:tcBorders>
              <w:top w:val="single" w:sz="4" w:space="0" w:color="auto"/>
              <w:left w:val="single" w:sz="4" w:space="0" w:color="auto"/>
              <w:bottom w:val="single" w:sz="4" w:space="0" w:color="auto"/>
              <w:right w:val="single" w:sz="4" w:space="0" w:color="auto"/>
            </w:tcBorders>
            <w:vAlign w:val="bottom"/>
          </w:tcPr>
          <w:p w14:paraId="025DD01E"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-0.05</w:t>
            </w:r>
          </w:p>
        </w:tc>
        <w:tc>
          <w:tcPr>
            <w:tcW w:w="1580" w:type="dxa"/>
            <w:tcBorders>
              <w:top w:val="single" w:sz="4" w:space="0" w:color="auto"/>
              <w:left w:val="single" w:sz="4" w:space="0" w:color="auto"/>
              <w:bottom w:val="single" w:sz="4" w:space="0" w:color="auto"/>
              <w:right w:val="single" w:sz="4" w:space="0" w:color="auto"/>
            </w:tcBorders>
            <w:vAlign w:val="bottom"/>
          </w:tcPr>
          <w:p w14:paraId="6405BAF4"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-0.007</w:t>
            </w:r>
          </w:p>
        </w:tc>
        <w:tc>
          <w:tcPr>
            <w:tcW w:w="1581" w:type="dxa"/>
            <w:tcBorders>
              <w:top w:val="single" w:sz="4" w:space="0" w:color="auto"/>
              <w:left w:val="single" w:sz="4" w:space="0" w:color="auto"/>
              <w:bottom w:val="single" w:sz="4" w:space="0" w:color="auto"/>
              <w:right w:val="single" w:sz="4" w:space="0" w:color="auto"/>
            </w:tcBorders>
            <w:vAlign w:val="bottom"/>
          </w:tcPr>
          <w:p w14:paraId="4AE21B5A"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0.50</w:t>
            </w:r>
          </w:p>
        </w:tc>
        <w:tc>
          <w:tcPr>
            <w:tcW w:w="1594" w:type="dxa"/>
            <w:tcBorders>
              <w:top w:val="single" w:sz="4" w:space="0" w:color="auto"/>
              <w:left w:val="single" w:sz="4" w:space="0" w:color="auto"/>
              <w:bottom w:val="single" w:sz="4" w:space="0" w:color="auto"/>
              <w:right w:val="single" w:sz="4" w:space="0" w:color="auto"/>
            </w:tcBorders>
            <w:vAlign w:val="bottom"/>
          </w:tcPr>
          <w:p w14:paraId="5F402E13"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0.55</w:t>
            </w:r>
          </w:p>
        </w:tc>
      </w:tr>
      <w:tr w:rsidR="00E504C7" w:rsidRPr="00314FD9" w14:paraId="033E0EC5" w14:textId="77777777">
        <w:trPr>
          <w:trHeight w:val="652"/>
        </w:trPr>
        <w:tc>
          <w:tcPr>
            <w:tcW w:w="1580" w:type="dxa"/>
            <w:tcBorders>
              <w:top w:val="single" w:sz="4" w:space="0" w:color="auto"/>
              <w:left w:val="single" w:sz="4" w:space="0" w:color="auto"/>
              <w:bottom w:val="single" w:sz="4" w:space="0" w:color="auto"/>
              <w:right w:val="single" w:sz="4" w:space="0" w:color="auto"/>
            </w:tcBorders>
          </w:tcPr>
          <w:p w14:paraId="447A51FA" w14:textId="77777777" w:rsidR="00E504C7" w:rsidRPr="00314FD9" w:rsidRDefault="00E504C7" w:rsidP="002C1309">
            <w:pPr>
              <w:spacing w:after="0" w:line="240" w:lineRule="auto"/>
              <w:jc w:val="both"/>
              <w:rPr>
                <w:rFonts w:ascii="Arial" w:hAnsi="Arial" w:cs="Arial"/>
                <w:i/>
                <w:iCs/>
                <w:sz w:val="20"/>
                <w:szCs w:val="20"/>
              </w:rPr>
            </w:pPr>
          </w:p>
          <w:p w14:paraId="23A7B665" w14:textId="77777777" w:rsidR="00E504C7" w:rsidRPr="00314FD9" w:rsidRDefault="00000000" w:rsidP="002C1309">
            <w:pPr>
              <w:spacing w:after="0" w:line="240" w:lineRule="auto"/>
              <w:jc w:val="both"/>
              <w:rPr>
                <w:rFonts w:ascii="Arial" w:hAnsi="Arial" w:cs="Arial"/>
                <w:i/>
                <w:iCs/>
                <w:sz w:val="20"/>
                <w:szCs w:val="20"/>
              </w:rPr>
            </w:pPr>
            <w:r w:rsidRPr="00314FD9">
              <w:rPr>
                <w:rFonts w:ascii="Arial" w:hAnsi="Arial" w:cs="Arial"/>
                <w:i/>
                <w:iCs/>
                <w:sz w:val="20"/>
                <w:szCs w:val="20"/>
              </w:rPr>
              <w:t>Kharif 2023</w:t>
            </w:r>
          </w:p>
        </w:tc>
        <w:tc>
          <w:tcPr>
            <w:tcW w:w="1580" w:type="dxa"/>
            <w:tcBorders>
              <w:top w:val="single" w:sz="4" w:space="0" w:color="auto"/>
              <w:left w:val="single" w:sz="4" w:space="0" w:color="auto"/>
              <w:bottom w:val="single" w:sz="4" w:space="0" w:color="auto"/>
              <w:right w:val="single" w:sz="4" w:space="0" w:color="auto"/>
            </w:tcBorders>
            <w:vAlign w:val="bottom"/>
          </w:tcPr>
          <w:p w14:paraId="740CFA9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-0.05</w:t>
            </w:r>
          </w:p>
        </w:tc>
        <w:tc>
          <w:tcPr>
            <w:tcW w:w="1580" w:type="dxa"/>
            <w:tcBorders>
              <w:top w:val="single" w:sz="4" w:space="0" w:color="auto"/>
              <w:left w:val="single" w:sz="4" w:space="0" w:color="auto"/>
              <w:bottom w:val="single" w:sz="4" w:space="0" w:color="auto"/>
              <w:right w:val="single" w:sz="4" w:space="0" w:color="auto"/>
            </w:tcBorders>
            <w:vAlign w:val="bottom"/>
          </w:tcPr>
          <w:p w14:paraId="30F71C2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-0.07</w:t>
            </w:r>
          </w:p>
        </w:tc>
        <w:tc>
          <w:tcPr>
            <w:tcW w:w="1580" w:type="dxa"/>
            <w:tcBorders>
              <w:top w:val="single" w:sz="4" w:space="0" w:color="auto"/>
              <w:left w:val="single" w:sz="4" w:space="0" w:color="auto"/>
              <w:bottom w:val="single" w:sz="4" w:space="0" w:color="auto"/>
              <w:right w:val="single" w:sz="4" w:space="0" w:color="auto"/>
            </w:tcBorders>
            <w:vAlign w:val="bottom"/>
          </w:tcPr>
          <w:p w14:paraId="1300943C"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-0.04</w:t>
            </w:r>
          </w:p>
        </w:tc>
        <w:tc>
          <w:tcPr>
            <w:tcW w:w="1581" w:type="dxa"/>
            <w:tcBorders>
              <w:top w:val="single" w:sz="4" w:space="0" w:color="auto"/>
              <w:left w:val="single" w:sz="4" w:space="0" w:color="auto"/>
              <w:bottom w:val="single" w:sz="4" w:space="0" w:color="auto"/>
              <w:right w:val="single" w:sz="4" w:space="0" w:color="auto"/>
            </w:tcBorders>
            <w:vAlign w:val="bottom"/>
          </w:tcPr>
          <w:p w14:paraId="184389E1"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0.50</w:t>
            </w:r>
          </w:p>
        </w:tc>
        <w:tc>
          <w:tcPr>
            <w:tcW w:w="1594" w:type="dxa"/>
            <w:tcBorders>
              <w:top w:val="single" w:sz="4" w:space="0" w:color="auto"/>
              <w:left w:val="single" w:sz="4" w:space="0" w:color="auto"/>
              <w:bottom w:val="single" w:sz="4" w:space="0" w:color="auto"/>
              <w:right w:val="single" w:sz="4" w:space="0" w:color="auto"/>
            </w:tcBorders>
            <w:vAlign w:val="bottom"/>
          </w:tcPr>
          <w:p w14:paraId="720D4C89" w14:textId="77777777" w:rsidR="00E504C7" w:rsidRPr="00314FD9" w:rsidRDefault="00000000" w:rsidP="002C1309">
            <w:pPr>
              <w:spacing w:after="0" w:line="240" w:lineRule="auto"/>
              <w:jc w:val="both"/>
              <w:rPr>
                <w:rFonts w:ascii="Arial" w:hAnsi="Arial" w:cs="Arial"/>
                <w:sz w:val="20"/>
                <w:szCs w:val="20"/>
              </w:rPr>
            </w:pPr>
            <w:r w:rsidRPr="00314FD9">
              <w:rPr>
                <w:rFonts w:ascii="Arial" w:hAnsi="Arial" w:cs="Arial"/>
                <w:sz w:val="20"/>
                <w:szCs w:val="20"/>
              </w:rPr>
              <w:t>0.60</w:t>
            </w:r>
          </w:p>
        </w:tc>
      </w:tr>
    </w:tbl>
    <w:p w14:paraId="7EC95DB9" w14:textId="77777777" w:rsidR="00E504C7" w:rsidRPr="00314FD9" w:rsidRDefault="00E504C7" w:rsidP="002C1309">
      <w:pPr>
        <w:jc w:val="both"/>
        <w:rPr>
          <w:rFonts w:ascii="Arial" w:hAnsi="Arial" w:cs="Arial"/>
          <w:sz w:val="20"/>
          <w:szCs w:val="20"/>
        </w:rPr>
      </w:pPr>
    </w:p>
    <w:p w14:paraId="0E1D9153" w14:textId="77777777" w:rsidR="00E504C7" w:rsidRPr="00314FD9" w:rsidRDefault="00E504C7" w:rsidP="002C1309">
      <w:pPr>
        <w:jc w:val="both"/>
        <w:rPr>
          <w:rFonts w:ascii="Arial" w:hAnsi="Arial" w:cs="Arial"/>
          <w:sz w:val="20"/>
          <w:szCs w:val="20"/>
        </w:rPr>
      </w:pPr>
    </w:p>
    <w:p w14:paraId="1F5CE529" w14:textId="77777777" w:rsidR="00FA5257" w:rsidRPr="00314FD9" w:rsidRDefault="00FA5257" w:rsidP="00FA5257">
      <w:pPr>
        <w:ind w:firstLine="720"/>
        <w:jc w:val="both"/>
        <w:rPr>
          <w:rFonts w:ascii="Arial" w:hAnsi="Arial" w:cs="Arial"/>
          <w:sz w:val="20"/>
          <w:szCs w:val="20"/>
        </w:rPr>
      </w:pPr>
      <w:r w:rsidRPr="00314FD9">
        <w:rPr>
          <w:rFonts w:ascii="Arial" w:hAnsi="Arial" w:cs="Arial"/>
          <w:sz w:val="20"/>
          <w:szCs w:val="20"/>
        </w:rPr>
        <w:t xml:space="preserve">Multiple linear regression analysis was performed to determine the combined influence of weather parameters on leaf-folder damage during </w:t>
      </w:r>
      <w:r w:rsidRPr="00314FD9">
        <w:rPr>
          <w:rFonts w:ascii="Arial" w:hAnsi="Arial" w:cs="Arial"/>
          <w:i/>
          <w:iCs/>
          <w:sz w:val="20"/>
          <w:szCs w:val="20"/>
        </w:rPr>
        <w:t>kharif</w:t>
      </w:r>
      <w:r w:rsidRPr="00314FD9">
        <w:rPr>
          <w:rFonts w:ascii="Arial" w:hAnsi="Arial" w:cs="Arial"/>
          <w:iCs/>
          <w:sz w:val="20"/>
          <w:szCs w:val="20"/>
        </w:rPr>
        <w:t xml:space="preserve"> </w:t>
      </w:r>
      <w:r w:rsidRPr="00314FD9">
        <w:rPr>
          <w:rFonts w:ascii="Arial" w:hAnsi="Arial" w:cs="Arial"/>
          <w:sz w:val="20"/>
          <w:szCs w:val="20"/>
        </w:rPr>
        <w:t xml:space="preserve">2022 and </w:t>
      </w:r>
      <w:r w:rsidRPr="00314FD9">
        <w:rPr>
          <w:rFonts w:ascii="Arial" w:hAnsi="Arial" w:cs="Arial"/>
          <w:i/>
          <w:iCs/>
          <w:sz w:val="20"/>
          <w:szCs w:val="20"/>
        </w:rPr>
        <w:t>kharif</w:t>
      </w:r>
      <w:r w:rsidRPr="00314FD9">
        <w:rPr>
          <w:rFonts w:ascii="Arial" w:hAnsi="Arial" w:cs="Arial"/>
          <w:iCs/>
          <w:sz w:val="20"/>
          <w:szCs w:val="20"/>
        </w:rPr>
        <w:t xml:space="preserve"> </w:t>
      </w:r>
      <w:r w:rsidRPr="00314FD9">
        <w:rPr>
          <w:rFonts w:ascii="Arial" w:hAnsi="Arial" w:cs="Arial"/>
          <w:sz w:val="20"/>
          <w:szCs w:val="20"/>
        </w:rPr>
        <w:t xml:space="preserve">2023. In </w:t>
      </w:r>
      <w:r w:rsidRPr="00314FD9">
        <w:rPr>
          <w:rFonts w:ascii="Arial" w:hAnsi="Arial" w:cs="Arial"/>
          <w:i/>
          <w:iCs/>
          <w:sz w:val="20"/>
          <w:szCs w:val="20"/>
        </w:rPr>
        <w:t>kharif</w:t>
      </w:r>
      <w:r w:rsidRPr="00314FD9">
        <w:rPr>
          <w:rFonts w:ascii="Arial" w:hAnsi="Arial" w:cs="Arial"/>
          <w:sz w:val="20"/>
          <w:szCs w:val="20"/>
        </w:rPr>
        <w:t xml:space="preserve"> 2022, the regression model was statistically significant (F = 8.324, P &lt; 0.001) and explained 72.2% of the variation in leaf-folder damage (R² = 0.722). Among the weather variables, rainfall had a significant negative effect (β = −0.0317, P = 0.015), whereas evening relative humidity had a significant positive effect (β = 0.3932, P = 0.001). Maximum temperature, minimum temperature and morning relative humidity did not significantly influence leaf-folder damage.</w:t>
      </w:r>
    </w:p>
    <w:p w14:paraId="49D01EB9" w14:textId="77777777" w:rsidR="00FA5257" w:rsidRPr="00314FD9" w:rsidRDefault="00FA5257" w:rsidP="00FA5257">
      <w:pPr>
        <w:jc w:val="both"/>
        <w:rPr>
          <w:rFonts w:ascii="Arial" w:hAnsi="Arial" w:cs="Arial"/>
          <w:sz w:val="20"/>
          <w:szCs w:val="20"/>
        </w:rPr>
      </w:pPr>
      <w:r w:rsidRPr="00314FD9">
        <w:rPr>
          <w:rFonts w:ascii="Arial" w:hAnsi="Arial" w:cs="Arial"/>
          <w:sz w:val="20"/>
          <w:szCs w:val="20"/>
        </w:rPr>
        <w:t>Y=−23.198−0.0317Rainfall +0.0692Max Temp −0.313Min Temp +0.1430 Morning RH +0.3932 Evening RH</w:t>
      </w:r>
    </w:p>
    <w:p w14:paraId="50378E53" w14:textId="77777777" w:rsidR="00FA5257" w:rsidRPr="00314FD9" w:rsidRDefault="00FA5257" w:rsidP="00FA5257">
      <w:pPr>
        <w:ind w:firstLine="720"/>
        <w:jc w:val="both"/>
        <w:rPr>
          <w:rFonts w:ascii="Arial" w:hAnsi="Arial" w:cs="Arial"/>
          <w:sz w:val="20"/>
          <w:szCs w:val="20"/>
        </w:rPr>
      </w:pPr>
      <w:r w:rsidRPr="00314FD9">
        <w:rPr>
          <w:rFonts w:ascii="Arial" w:hAnsi="Arial" w:cs="Arial"/>
          <w:sz w:val="20"/>
          <w:szCs w:val="20"/>
        </w:rPr>
        <w:t xml:space="preserve">In </w:t>
      </w:r>
      <w:r w:rsidRPr="00314FD9">
        <w:rPr>
          <w:rFonts w:ascii="Arial" w:hAnsi="Arial" w:cs="Arial"/>
          <w:i/>
          <w:iCs/>
          <w:sz w:val="20"/>
          <w:szCs w:val="20"/>
        </w:rPr>
        <w:t>kharif</w:t>
      </w:r>
      <w:r w:rsidRPr="00314FD9">
        <w:rPr>
          <w:rFonts w:ascii="Arial" w:hAnsi="Arial" w:cs="Arial"/>
          <w:sz w:val="20"/>
          <w:szCs w:val="20"/>
        </w:rPr>
        <w:t xml:space="preserve"> 2023, the regression model was significant (F = 4.007, P = 0.015) and explained 55.6% of the variation in leaf-folder damage (R² = 0.556). Among the abiotic factors, evening relative humidity had a significant positive influence on leaf-folder damage (β = 0.33, P = 0.017), indicating that higher evening humidity </w:t>
      </w:r>
      <w:proofErr w:type="spellStart"/>
      <w:r w:rsidRPr="00314FD9">
        <w:rPr>
          <w:rFonts w:ascii="Arial" w:hAnsi="Arial" w:cs="Arial"/>
          <w:sz w:val="20"/>
          <w:szCs w:val="20"/>
        </w:rPr>
        <w:t>favoured</w:t>
      </w:r>
      <w:proofErr w:type="spellEnd"/>
      <w:r w:rsidRPr="00314FD9">
        <w:rPr>
          <w:rFonts w:ascii="Arial" w:hAnsi="Arial" w:cs="Arial"/>
          <w:sz w:val="20"/>
          <w:szCs w:val="20"/>
        </w:rPr>
        <w:t xml:space="preserve"> pest development. Rainfall, maximum temperature, minimum temperature and morning relative humidity did not have significant individual effects in the multiple regression model.</w:t>
      </w:r>
    </w:p>
    <w:p w14:paraId="7E5BEE4D" w14:textId="77777777" w:rsidR="00FA5257" w:rsidRPr="00314FD9" w:rsidRDefault="00FA5257" w:rsidP="00FA5257">
      <w:pPr>
        <w:jc w:val="both"/>
        <w:rPr>
          <w:rFonts w:ascii="Arial" w:hAnsi="Arial" w:cs="Arial"/>
          <w:sz w:val="20"/>
          <w:szCs w:val="20"/>
        </w:rPr>
      </w:pPr>
      <w:r w:rsidRPr="00314FD9">
        <w:rPr>
          <w:rFonts w:ascii="Arial" w:hAnsi="Arial" w:cs="Arial"/>
          <w:sz w:val="20"/>
          <w:szCs w:val="20"/>
        </w:rPr>
        <w:t>Y = -50.99 - 0.001 Rainfall + 0.79 Max. Temp - 0.55 Min. Temp + 0.27 Morning RH+ 0.33 Evening RH</w:t>
      </w:r>
    </w:p>
    <w:p w14:paraId="27D1EC3F"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t xml:space="preserve">These findings are consistent with broader evidence that climatic conditions influence insect development, distribution and crop losses (Deutsch </w:t>
      </w:r>
      <w:r w:rsidRPr="00314FD9">
        <w:rPr>
          <w:rFonts w:ascii="Arial" w:eastAsia="Arial" w:hAnsi="Arial" w:cs="Arial"/>
          <w:i/>
          <w:color w:val="000000"/>
          <w:sz w:val="20"/>
        </w:rPr>
        <w:t>et al.</w:t>
      </w:r>
      <w:r w:rsidRPr="00314FD9">
        <w:rPr>
          <w:rFonts w:ascii="Arial" w:eastAsia="Arial" w:hAnsi="Arial" w:cs="Arial"/>
          <w:color w:val="000000"/>
          <w:sz w:val="20"/>
        </w:rPr>
        <w:t xml:space="preserve">, 2018; Zhao </w:t>
      </w:r>
      <w:r w:rsidRPr="00314FD9">
        <w:rPr>
          <w:rFonts w:ascii="Arial" w:eastAsia="Arial" w:hAnsi="Arial" w:cs="Arial"/>
          <w:i/>
          <w:color w:val="000000"/>
          <w:sz w:val="20"/>
        </w:rPr>
        <w:t>et al.</w:t>
      </w:r>
      <w:r w:rsidRPr="00314FD9">
        <w:rPr>
          <w:rFonts w:ascii="Arial" w:eastAsia="Arial" w:hAnsi="Arial" w:cs="Arial"/>
          <w:color w:val="000000"/>
          <w:sz w:val="20"/>
        </w:rPr>
        <w:t xml:space="preserve">, 2024). However, rice leaf-folder field studies have reported differing directions and strengths of association among temperature, relative humidity and rainfall. Sharma </w:t>
      </w:r>
      <w:r w:rsidRPr="00314FD9">
        <w:rPr>
          <w:rFonts w:ascii="Arial" w:eastAsia="Arial" w:hAnsi="Arial" w:cs="Arial"/>
          <w:i/>
          <w:color w:val="000000"/>
          <w:sz w:val="20"/>
        </w:rPr>
        <w:t>et al.</w:t>
      </w:r>
      <w:r w:rsidRPr="00314FD9">
        <w:rPr>
          <w:rFonts w:ascii="Arial" w:eastAsia="Arial" w:hAnsi="Arial" w:cs="Arial"/>
          <w:color w:val="000000"/>
          <w:sz w:val="20"/>
        </w:rPr>
        <w:t xml:space="preserve"> (2024) reported positive effects of relative humidity and maximum temperature, whereas </w:t>
      </w:r>
      <w:proofErr w:type="spellStart"/>
      <w:r w:rsidRPr="00314FD9">
        <w:rPr>
          <w:rFonts w:ascii="Arial" w:eastAsia="Arial" w:hAnsi="Arial" w:cs="Arial"/>
          <w:color w:val="000000"/>
          <w:sz w:val="20"/>
        </w:rPr>
        <w:t>Jasrotia</w:t>
      </w:r>
      <w:proofErr w:type="spellEnd"/>
      <w:r w:rsidRPr="00314FD9">
        <w:rPr>
          <w:rFonts w:ascii="Arial" w:eastAsia="Arial" w:hAnsi="Arial" w:cs="Arial"/>
          <w:color w:val="000000"/>
          <w:sz w:val="20"/>
        </w:rPr>
        <w:t xml:space="preserve"> </w:t>
      </w:r>
      <w:r w:rsidRPr="00314FD9">
        <w:rPr>
          <w:rFonts w:ascii="Arial" w:eastAsia="Arial" w:hAnsi="Arial" w:cs="Arial"/>
          <w:i/>
          <w:color w:val="000000"/>
          <w:sz w:val="20"/>
        </w:rPr>
        <w:t>et al.</w:t>
      </w:r>
      <w:r w:rsidRPr="00314FD9">
        <w:rPr>
          <w:rFonts w:ascii="Arial" w:eastAsia="Arial" w:hAnsi="Arial" w:cs="Arial"/>
          <w:color w:val="000000"/>
          <w:sz w:val="20"/>
        </w:rPr>
        <w:t xml:space="preserve"> (2019) found positive associations with temperature and variable or non-significant effects of other weather variables. These differences indicate that weather–pest relationships are strongly conditioned by location, crop stage, season and analytical method.</w:t>
      </w:r>
    </w:p>
    <w:p w14:paraId="3B60F27F"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t xml:space="preserve">Relative humidity emerged as an important local correlate of rice leaf-folder infestation in the present study. Experimental evidence shows that </w:t>
      </w:r>
      <w:r w:rsidRPr="00314FD9">
        <w:rPr>
          <w:rFonts w:ascii="Arial" w:eastAsia="Arial" w:hAnsi="Arial" w:cs="Arial"/>
          <w:i/>
          <w:color w:val="000000"/>
          <w:sz w:val="20"/>
        </w:rPr>
        <w:t xml:space="preserve">C.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development is influenced by temperature and humidity, while field studies indicate that the strength and direction of humidity effects vary among environments (Padmavathi </w:t>
      </w:r>
      <w:r w:rsidRPr="00314FD9">
        <w:rPr>
          <w:rFonts w:ascii="Arial" w:eastAsia="Arial" w:hAnsi="Arial" w:cs="Arial"/>
          <w:i/>
          <w:color w:val="000000"/>
          <w:sz w:val="20"/>
        </w:rPr>
        <w:t>et al.</w:t>
      </w:r>
      <w:r w:rsidRPr="00314FD9">
        <w:rPr>
          <w:rFonts w:ascii="Arial" w:eastAsia="Arial" w:hAnsi="Arial" w:cs="Arial"/>
          <w:color w:val="000000"/>
          <w:sz w:val="20"/>
        </w:rPr>
        <w:t xml:space="preserve">, 2013b; Park </w:t>
      </w:r>
      <w:r w:rsidRPr="00314FD9">
        <w:rPr>
          <w:rFonts w:ascii="Arial" w:eastAsia="Arial" w:hAnsi="Arial" w:cs="Arial"/>
          <w:i/>
          <w:color w:val="000000"/>
          <w:sz w:val="20"/>
        </w:rPr>
        <w:t>et al.</w:t>
      </w:r>
      <w:r w:rsidRPr="00314FD9">
        <w:rPr>
          <w:rFonts w:ascii="Arial" w:eastAsia="Arial" w:hAnsi="Arial" w:cs="Arial"/>
          <w:color w:val="000000"/>
          <w:sz w:val="20"/>
        </w:rPr>
        <w:t xml:space="preserve">, 2014; Sharma </w:t>
      </w:r>
      <w:r w:rsidRPr="00314FD9">
        <w:rPr>
          <w:rFonts w:ascii="Arial" w:eastAsia="Arial" w:hAnsi="Arial" w:cs="Arial"/>
          <w:i/>
          <w:color w:val="000000"/>
          <w:sz w:val="20"/>
        </w:rPr>
        <w:t>et al.</w:t>
      </w:r>
      <w:r w:rsidRPr="00314FD9">
        <w:rPr>
          <w:rFonts w:ascii="Arial" w:eastAsia="Arial" w:hAnsi="Arial" w:cs="Arial"/>
          <w:color w:val="000000"/>
          <w:sz w:val="20"/>
        </w:rPr>
        <w:t>, 2024). Accordingly, evening relative humidity may be a useful supporting variable for surveillance at the study site, but it should not be treated as a universal causal predictor without independent validation.</w:t>
      </w:r>
    </w:p>
    <w:p w14:paraId="1143C22A"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t>Rainfall exhibited a weak and inconsistent relationship with leaf-folder incidence in the present study. Field investigations have likewise reported variable or non-significant rainfall associations, reflecting differences in rainfall timing, intensity, crop phenology and local conditions (</w:t>
      </w:r>
      <w:proofErr w:type="spellStart"/>
      <w:r w:rsidRPr="00314FD9">
        <w:rPr>
          <w:rFonts w:ascii="Arial" w:eastAsia="Arial" w:hAnsi="Arial" w:cs="Arial"/>
          <w:color w:val="000000"/>
          <w:sz w:val="20"/>
        </w:rPr>
        <w:t>Jasrotia</w:t>
      </w:r>
      <w:proofErr w:type="spellEnd"/>
      <w:r w:rsidRPr="00314FD9">
        <w:rPr>
          <w:rFonts w:ascii="Arial" w:eastAsia="Arial" w:hAnsi="Arial" w:cs="Arial"/>
          <w:color w:val="000000"/>
          <w:sz w:val="20"/>
        </w:rPr>
        <w:t xml:space="preserve"> </w:t>
      </w:r>
      <w:r w:rsidRPr="00314FD9">
        <w:rPr>
          <w:rFonts w:ascii="Arial" w:eastAsia="Arial" w:hAnsi="Arial" w:cs="Arial"/>
          <w:i/>
          <w:color w:val="000000"/>
          <w:sz w:val="20"/>
        </w:rPr>
        <w:t>et al.</w:t>
      </w:r>
      <w:r w:rsidRPr="00314FD9">
        <w:rPr>
          <w:rFonts w:ascii="Arial" w:eastAsia="Arial" w:hAnsi="Arial" w:cs="Arial"/>
          <w:color w:val="000000"/>
          <w:sz w:val="20"/>
        </w:rPr>
        <w:t xml:space="preserve">, 2019; Kakde &amp; Patel, 2015; Sharma </w:t>
      </w:r>
      <w:r w:rsidRPr="00314FD9">
        <w:rPr>
          <w:rFonts w:ascii="Arial" w:eastAsia="Arial" w:hAnsi="Arial" w:cs="Arial"/>
          <w:i/>
          <w:color w:val="000000"/>
          <w:sz w:val="20"/>
        </w:rPr>
        <w:t>et al.</w:t>
      </w:r>
      <w:r w:rsidRPr="00314FD9">
        <w:rPr>
          <w:rFonts w:ascii="Arial" w:eastAsia="Arial" w:hAnsi="Arial" w:cs="Arial"/>
          <w:color w:val="000000"/>
          <w:sz w:val="20"/>
        </w:rPr>
        <w:t xml:space="preserve">, 2024). Therefore, rainfall alone is unlikely to provide a reliable basis for predicting </w:t>
      </w:r>
      <w:r w:rsidRPr="00314FD9">
        <w:rPr>
          <w:rFonts w:ascii="Arial" w:eastAsia="Arial" w:hAnsi="Arial" w:cs="Arial"/>
          <w:i/>
          <w:color w:val="000000"/>
          <w:sz w:val="20"/>
        </w:rPr>
        <w:t xml:space="preserve">C.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damage.</w:t>
      </w:r>
    </w:p>
    <w:p w14:paraId="6F7C786E" w14:textId="77777777" w:rsidR="00E504C7" w:rsidRPr="00314FD9" w:rsidRDefault="00000000" w:rsidP="002C1309">
      <w:pPr>
        <w:ind w:firstLine="720"/>
        <w:jc w:val="both"/>
        <w:rPr>
          <w:rFonts w:ascii="Arial" w:hAnsi="Arial" w:cs="Arial"/>
          <w:sz w:val="20"/>
          <w:szCs w:val="20"/>
        </w:rPr>
      </w:pPr>
      <w:r w:rsidRPr="00314FD9">
        <w:rPr>
          <w:rFonts w:ascii="Arial" w:eastAsia="Arial" w:hAnsi="Arial" w:cs="Arial"/>
          <w:color w:val="000000"/>
          <w:sz w:val="20"/>
        </w:rPr>
        <w:lastRenderedPageBreak/>
        <w:t xml:space="preserve">Temperature showed no significant correlation with infestation in the present study. The observed temperature range extended across much of the developmental range reported for </w:t>
      </w:r>
      <w:r w:rsidRPr="00314FD9">
        <w:rPr>
          <w:rFonts w:ascii="Arial" w:eastAsia="Arial" w:hAnsi="Arial" w:cs="Arial"/>
          <w:i/>
          <w:color w:val="000000"/>
          <w:sz w:val="20"/>
        </w:rPr>
        <w:t xml:space="preserve">C.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although temperatures near or above the upper developmental threshold may be stressful (Padmavathi </w:t>
      </w:r>
      <w:r w:rsidRPr="00314FD9">
        <w:rPr>
          <w:rFonts w:ascii="Arial" w:eastAsia="Arial" w:hAnsi="Arial" w:cs="Arial"/>
          <w:i/>
          <w:color w:val="000000"/>
          <w:sz w:val="20"/>
        </w:rPr>
        <w:t>et al.</w:t>
      </w:r>
      <w:r w:rsidRPr="00314FD9">
        <w:rPr>
          <w:rFonts w:ascii="Arial" w:eastAsia="Arial" w:hAnsi="Arial" w:cs="Arial"/>
          <w:color w:val="000000"/>
          <w:sz w:val="20"/>
        </w:rPr>
        <w:t xml:space="preserve">, 2013b; Park </w:t>
      </w:r>
      <w:r w:rsidRPr="00314FD9">
        <w:rPr>
          <w:rFonts w:ascii="Arial" w:eastAsia="Arial" w:hAnsi="Arial" w:cs="Arial"/>
          <w:i/>
          <w:color w:val="000000"/>
          <w:sz w:val="20"/>
        </w:rPr>
        <w:t>et al.</w:t>
      </w:r>
      <w:r w:rsidRPr="00314FD9">
        <w:rPr>
          <w:rFonts w:ascii="Arial" w:eastAsia="Arial" w:hAnsi="Arial" w:cs="Arial"/>
          <w:color w:val="000000"/>
          <w:sz w:val="20"/>
        </w:rPr>
        <w:t>, 2014). Field studies also show that the direction and magnitude of temperature associations vary by season and location (</w:t>
      </w:r>
      <w:proofErr w:type="spellStart"/>
      <w:r w:rsidRPr="00314FD9">
        <w:rPr>
          <w:rFonts w:ascii="Arial" w:eastAsia="Arial" w:hAnsi="Arial" w:cs="Arial"/>
          <w:color w:val="000000"/>
          <w:sz w:val="20"/>
        </w:rPr>
        <w:t>Jasrotia</w:t>
      </w:r>
      <w:proofErr w:type="spellEnd"/>
      <w:r w:rsidRPr="00314FD9">
        <w:rPr>
          <w:rFonts w:ascii="Arial" w:eastAsia="Arial" w:hAnsi="Arial" w:cs="Arial"/>
          <w:color w:val="000000"/>
          <w:sz w:val="20"/>
        </w:rPr>
        <w:t xml:space="preserve"> </w:t>
      </w:r>
      <w:r w:rsidRPr="00314FD9">
        <w:rPr>
          <w:rFonts w:ascii="Arial" w:eastAsia="Arial" w:hAnsi="Arial" w:cs="Arial"/>
          <w:i/>
          <w:color w:val="000000"/>
          <w:sz w:val="20"/>
        </w:rPr>
        <w:t>et al.</w:t>
      </w:r>
      <w:r w:rsidRPr="00314FD9">
        <w:rPr>
          <w:rFonts w:ascii="Arial" w:eastAsia="Arial" w:hAnsi="Arial" w:cs="Arial"/>
          <w:color w:val="000000"/>
          <w:sz w:val="20"/>
        </w:rPr>
        <w:t xml:space="preserve">, 2019; Sharma </w:t>
      </w:r>
      <w:r w:rsidRPr="00314FD9">
        <w:rPr>
          <w:rFonts w:ascii="Arial" w:eastAsia="Arial" w:hAnsi="Arial" w:cs="Arial"/>
          <w:i/>
          <w:color w:val="000000"/>
          <w:sz w:val="20"/>
        </w:rPr>
        <w:t>et al.</w:t>
      </w:r>
      <w:r w:rsidRPr="00314FD9">
        <w:rPr>
          <w:rFonts w:ascii="Arial" w:eastAsia="Arial" w:hAnsi="Arial" w:cs="Arial"/>
          <w:color w:val="000000"/>
          <w:sz w:val="20"/>
        </w:rPr>
        <w:t xml:space="preserve">, 2024). Overall, the present findings suggest that relative humidity and crop phenology may support local leaf-folder surveillance, but operational forecasting models should be validated with replicated, multi-location data and independent seasons (Sharma </w:t>
      </w:r>
      <w:r w:rsidRPr="00314FD9">
        <w:rPr>
          <w:rFonts w:ascii="Arial" w:eastAsia="Arial" w:hAnsi="Arial" w:cs="Arial"/>
          <w:i/>
          <w:color w:val="000000"/>
          <w:sz w:val="20"/>
        </w:rPr>
        <w:t>et al.</w:t>
      </w:r>
      <w:r w:rsidRPr="00314FD9">
        <w:rPr>
          <w:rFonts w:ascii="Arial" w:eastAsia="Arial" w:hAnsi="Arial" w:cs="Arial"/>
          <w:color w:val="000000"/>
          <w:sz w:val="20"/>
        </w:rPr>
        <w:t xml:space="preserve">, 2024; Zhao </w:t>
      </w:r>
      <w:r w:rsidRPr="00314FD9">
        <w:rPr>
          <w:rFonts w:ascii="Arial" w:eastAsia="Arial" w:hAnsi="Arial" w:cs="Arial"/>
          <w:i/>
          <w:color w:val="000000"/>
          <w:sz w:val="20"/>
        </w:rPr>
        <w:t>et al.</w:t>
      </w:r>
      <w:r w:rsidRPr="00314FD9">
        <w:rPr>
          <w:rFonts w:ascii="Arial" w:eastAsia="Arial" w:hAnsi="Arial" w:cs="Arial"/>
          <w:color w:val="000000"/>
          <w:sz w:val="20"/>
        </w:rPr>
        <w:t>, 2024).</w:t>
      </w:r>
    </w:p>
    <w:p w14:paraId="1525167D" w14:textId="77777777" w:rsidR="00E504C7" w:rsidRPr="00314FD9" w:rsidRDefault="00000000" w:rsidP="002C1309">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sidRPr="00314FD9">
        <w:rPr>
          <w:rFonts w:ascii="Times New Roman" w:eastAsia="Times New Roman" w:hAnsi="Times New Roman" w:cs="Times New Roman"/>
          <w:b/>
          <w:bCs/>
          <w:kern w:val="0"/>
          <w:sz w:val="36"/>
          <w:szCs w:val="36"/>
          <w14:ligatures w14:val="none"/>
        </w:rPr>
        <w:t>Conclusions</w:t>
      </w:r>
    </w:p>
    <w:p w14:paraId="1493EE46" w14:textId="77777777" w:rsidR="0029770B" w:rsidRPr="0029770B" w:rsidRDefault="0029770B" w:rsidP="0029770B">
      <w:pPr>
        <w:spacing w:before="100" w:beforeAutospacing="1" w:after="100" w:afterAutospacing="1" w:line="240" w:lineRule="auto"/>
        <w:rPr>
          <w:rFonts w:ascii="Times New Roman" w:eastAsia="Times New Roman" w:hAnsi="Times New Roman" w:cs="Times New Roman"/>
          <w:kern w:val="0"/>
          <w14:ligatures w14:val="none"/>
        </w:rPr>
      </w:pPr>
      <w:r w:rsidRPr="0029770B">
        <w:rPr>
          <w:rFonts w:ascii="Times New Roman" w:eastAsia="Times New Roman" w:hAnsi="Times New Roman" w:cs="Times New Roman"/>
          <w:kern w:val="0"/>
          <w14:ligatures w14:val="none"/>
        </w:rPr>
        <w:t xml:space="preserve">Rice leaf-folder damage exhibited a clear seasonal pattern during both kharif seasons in the Varanasi ecosystem. Infestation increased after its initial occurrence, reached its maximum during the middle to later crop period and subsequently declined towards maturity. Morning and evening relative humidity were positively associated with leaf damage in both years, while maximum temperature, minimum temperature and rainfall showed weak negative correlations. Evening relative humidity had the strongest positive association and remained a significant explanatory variable in the multiple regression models for both seasons. Rainfall showed a significant negative effect only in 2022, indicating that the influence of individual weather variables was not fully consistent between years. These findings indicate that relative humidity may support local surveillance of </w:t>
      </w:r>
      <w:proofErr w:type="spellStart"/>
      <w:r w:rsidRPr="0029770B">
        <w:rPr>
          <w:rFonts w:ascii="Times New Roman" w:eastAsia="Times New Roman" w:hAnsi="Times New Roman" w:cs="Times New Roman"/>
          <w:i/>
          <w:iCs/>
          <w:kern w:val="0"/>
          <w14:ligatures w14:val="none"/>
        </w:rPr>
        <w:t>Cnaphalocrocis</w:t>
      </w:r>
      <w:proofErr w:type="spellEnd"/>
      <w:r w:rsidRPr="0029770B">
        <w:rPr>
          <w:rFonts w:ascii="Times New Roman" w:eastAsia="Times New Roman" w:hAnsi="Times New Roman" w:cs="Times New Roman"/>
          <w:i/>
          <w:iCs/>
          <w:kern w:val="0"/>
          <w14:ligatures w14:val="none"/>
        </w:rPr>
        <w:t xml:space="preserve"> </w:t>
      </w:r>
      <w:proofErr w:type="spellStart"/>
      <w:r w:rsidRPr="0029770B">
        <w:rPr>
          <w:rFonts w:ascii="Times New Roman" w:eastAsia="Times New Roman" w:hAnsi="Times New Roman" w:cs="Times New Roman"/>
          <w:i/>
          <w:iCs/>
          <w:kern w:val="0"/>
          <w14:ligatures w14:val="none"/>
        </w:rPr>
        <w:t>medinalis</w:t>
      </w:r>
      <w:proofErr w:type="spellEnd"/>
      <w:r w:rsidRPr="0029770B">
        <w:rPr>
          <w:rFonts w:ascii="Times New Roman" w:eastAsia="Times New Roman" w:hAnsi="Times New Roman" w:cs="Times New Roman"/>
          <w:kern w:val="0"/>
          <w14:ligatures w14:val="none"/>
        </w:rPr>
        <w:t>, but the observed relationships should not be interpreted as universal or directly causal. The study was conducted at one location using one rice variety and an unreplicated plot. Therefore, replicated multi-location investigations incorporating crop phenology, pest abundance, lagged weather effects and yield assessment are required before reliable forecasting or management recommendations can be developed.</w:t>
      </w:r>
    </w:p>
    <w:p w14:paraId="023F935D" w14:textId="77777777" w:rsidR="0029770B" w:rsidRDefault="0029770B" w:rsidP="002C1309">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07B6F635" w14:textId="42E9110A" w:rsidR="00E504C7" w:rsidRPr="00314FD9" w:rsidRDefault="00000000" w:rsidP="002C1309">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sidRPr="00314FD9">
        <w:rPr>
          <w:rFonts w:ascii="Times New Roman" w:eastAsia="Times New Roman" w:hAnsi="Times New Roman" w:cs="Times New Roman"/>
          <w:b/>
          <w:bCs/>
          <w:kern w:val="0"/>
          <w:sz w:val="36"/>
          <w:szCs w:val="36"/>
          <w14:ligatures w14:val="none"/>
        </w:rPr>
        <w:t>Limitations</w:t>
      </w:r>
    </w:p>
    <w:p w14:paraId="2D095FD5" w14:textId="3C057CEC" w:rsidR="00E504C7" w:rsidRPr="00314FD9" w:rsidRDefault="00584E43" w:rsidP="002C1309">
      <w:pPr>
        <w:spacing w:after="200" w:line="276" w:lineRule="auto"/>
        <w:jc w:val="both"/>
        <w:rPr>
          <w:rFonts w:ascii="Calibri" w:eastAsia="Calibri" w:hAnsi="Calibri" w:cs="Times New Roman"/>
          <w:kern w:val="0"/>
          <w:sz w:val="22"/>
          <w:szCs w:val="22"/>
          <w:lang w:val="en-GB"/>
        </w:rPr>
      </w:pPr>
      <w:r w:rsidRPr="00584E43">
        <w:rPr>
          <w:rFonts w:ascii="Times New Roman" w:eastAsia="Times New Roman" w:hAnsi="Times New Roman" w:cs="Times New Roman"/>
          <w:kern w:val="0"/>
          <w14:ligatures w14:val="none"/>
        </w:rPr>
        <w:t xml:space="preserve">This study was limited to one rice variety, one location, two kharif seasons and a single unprotected field plot. The ten sampled hills were subsamples rather than independent field replications, which may have reduced statistical robustness. Leaf damage was recorded without measuring larval or adult abundance, yield loss or natural-enemy activity. The analyses did not account for crop phenology, delayed weather effects, interactions among abiotic variables or temporal dependence. Consequently, the findings represent local associations and may not be </w:t>
      </w:r>
      <w:proofErr w:type="spellStart"/>
      <w:r w:rsidRPr="00584E43">
        <w:rPr>
          <w:rFonts w:ascii="Times New Roman" w:eastAsia="Times New Roman" w:hAnsi="Times New Roman" w:cs="Times New Roman"/>
          <w:kern w:val="0"/>
          <w14:ligatures w14:val="none"/>
        </w:rPr>
        <w:t>generalisable</w:t>
      </w:r>
      <w:proofErr w:type="spellEnd"/>
      <w:r w:rsidRPr="00584E43">
        <w:rPr>
          <w:rFonts w:ascii="Times New Roman" w:eastAsia="Times New Roman" w:hAnsi="Times New Roman" w:cs="Times New Roman"/>
          <w:kern w:val="0"/>
          <w14:ligatures w14:val="none"/>
        </w:rPr>
        <w:t>. Future studies should use replicated, multi-location trials with broader pest and yield measurements.</w:t>
      </w:r>
    </w:p>
    <w:p w14:paraId="5BAE40B9" w14:textId="77777777" w:rsidR="00E504C7" w:rsidRPr="00314FD9" w:rsidRDefault="00000000" w:rsidP="002C1309">
      <w:pPr>
        <w:spacing w:after="0" w:line="240" w:lineRule="auto"/>
        <w:jc w:val="both"/>
        <w:rPr>
          <w:rFonts w:ascii="Times New Roman" w:eastAsia="Calibri" w:hAnsi="Times New Roman" w:cs="Times New Roman"/>
          <w:b/>
          <w:kern w:val="0"/>
          <w:sz w:val="22"/>
          <w:szCs w:val="22"/>
          <w14:ligatures w14:val="none"/>
        </w:rPr>
      </w:pPr>
      <w:r w:rsidRPr="00314FD9">
        <w:rPr>
          <w:rFonts w:ascii="Times New Roman" w:eastAsia="Calibri" w:hAnsi="Times New Roman" w:cs="Times New Roman"/>
          <w:b/>
          <w:kern w:val="0"/>
          <w:sz w:val="22"/>
          <w:szCs w:val="22"/>
          <w14:ligatures w14:val="none"/>
        </w:rPr>
        <w:t>Declaration of AI Use</w:t>
      </w:r>
    </w:p>
    <w:p w14:paraId="46F5EAF3" w14:textId="77777777" w:rsidR="00E504C7" w:rsidRPr="00314FD9" w:rsidRDefault="00E504C7" w:rsidP="002C1309">
      <w:pPr>
        <w:spacing w:after="0" w:line="240" w:lineRule="auto"/>
        <w:jc w:val="both"/>
        <w:rPr>
          <w:rFonts w:ascii="Times New Roman" w:eastAsia="Calibri" w:hAnsi="Times New Roman" w:cs="Times New Roman"/>
          <w:kern w:val="0"/>
          <w:sz w:val="22"/>
          <w:szCs w:val="22"/>
          <w14:ligatures w14:val="none"/>
        </w:rPr>
      </w:pPr>
    </w:p>
    <w:p w14:paraId="63433BC6" w14:textId="77777777" w:rsidR="00E504C7" w:rsidRPr="00314FD9" w:rsidRDefault="00000000" w:rsidP="00690E9A">
      <w:pPr>
        <w:spacing w:after="0" w:line="240" w:lineRule="auto"/>
        <w:ind w:firstLine="720"/>
        <w:jc w:val="both"/>
        <w:rPr>
          <w:rFonts w:ascii="Times New Roman" w:eastAsia="Calibri" w:hAnsi="Times New Roman" w:cs="Times New Roman"/>
          <w:kern w:val="0"/>
          <w:sz w:val="22"/>
          <w:szCs w:val="22"/>
          <w14:ligatures w14:val="none"/>
        </w:rPr>
      </w:pPr>
      <w:r w:rsidRPr="00314FD9">
        <w:rPr>
          <w:rFonts w:ascii="Times New Roman" w:eastAsia="Calibri" w:hAnsi="Times New Roman" w:cs="Times New Roman"/>
          <w:kern w:val="0"/>
          <w:sz w:val="22"/>
          <w:szCs w:val="22"/>
          <w14:ligatures w14:val="none"/>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w:t>
      </w:r>
      <w:r w:rsidRPr="00314FD9">
        <w:rPr>
          <w:rFonts w:ascii="Times New Roman" w:eastAsia="Calibri" w:hAnsi="Times New Roman" w:cs="Times New Roman"/>
          <w:kern w:val="0"/>
          <w:sz w:val="22"/>
          <w:szCs w:val="22"/>
          <w14:ligatures w14:val="none"/>
        </w:rPr>
        <w:lastRenderedPageBreak/>
        <w:t>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559106B" w14:textId="77777777" w:rsidR="00E504C7" w:rsidRPr="00314FD9" w:rsidRDefault="00E504C7" w:rsidP="002C1309">
      <w:pPr>
        <w:jc w:val="both"/>
        <w:rPr>
          <w:rFonts w:ascii="Arial" w:eastAsia="SimSun" w:hAnsi="Arial" w:cs="Arial"/>
          <w:b/>
          <w:bCs/>
        </w:rPr>
      </w:pPr>
    </w:p>
    <w:p w14:paraId="64D7AB84" w14:textId="77777777" w:rsidR="00E504C7" w:rsidRPr="00314FD9" w:rsidRDefault="00E504C7" w:rsidP="002C1309">
      <w:pPr>
        <w:jc w:val="both"/>
        <w:rPr>
          <w:rFonts w:ascii="Arial" w:eastAsia="SimSun" w:hAnsi="Arial" w:cs="Arial"/>
          <w:b/>
          <w:bCs/>
        </w:rPr>
      </w:pPr>
    </w:p>
    <w:p w14:paraId="40DBCE34" w14:textId="77777777" w:rsidR="00E504C7" w:rsidRPr="00314FD9" w:rsidRDefault="00000000" w:rsidP="002C1309">
      <w:pPr>
        <w:spacing w:after="200" w:line="276" w:lineRule="auto"/>
        <w:jc w:val="both"/>
        <w:rPr>
          <w:rFonts w:ascii="Arial" w:eastAsia="Times New Roman" w:hAnsi="Arial" w:cs="Arial"/>
          <w:b/>
          <w:bCs/>
          <w:kern w:val="0"/>
          <w:sz w:val="22"/>
          <w:szCs w:val="22"/>
          <w:lang w:val="en-GB" w:eastAsia="en-GB"/>
          <w14:ligatures w14:val="none"/>
        </w:rPr>
      </w:pPr>
      <w:r w:rsidRPr="00314FD9">
        <w:rPr>
          <w:rFonts w:ascii="Arial" w:eastAsia="Times New Roman" w:hAnsi="Arial" w:cs="Arial"/>
          <w:b/>
          <w:bCs/>
          <w:kern w:val="0"/>
          <w:sz w:val="22"/>
          <w:szCs w:val="22"/>
          <w:lang w:val="en-GB" w:eastAsia="en-GB"/>
          <w14:ligatures w14:val="none"/>
        </w:rPr>
        <w:t>COMPETING INTERESTS:</w:t>
      </w:r>
    </w:p>
    <w:p w14:paraId="4B828645" w14:textId="77777777" w:rsidR="00E504C7" w:rsidRPr="00314FD9" w:rsidRDefault="00000000" w:rsidP="00690E9A">
      <w:pPr>
        <w:spacing w:after="200" w:line="276" w:lineRule="auto"/>
        <w:ind w:firstLine="720"/>
        <w:jc w:val="both"/>
        <w:rPr>
          <w:rFonts w:ascii="Calibri" w:eastAsia="Times New Roman" w:hAnsi="Calibri" w:cs="Times New Roman"/>
          <w:kern w:val="0"/>
          <w:sz w:val="22"/>
          <w:szCs w:val="22"/>
          <w:lang w:val="en-GB" w:eastAsia="en-GB"/>
          <w14:ligatures w14:val="none"/>
        </w:rPr>
      </w:pPr>
      <w:r w:rsidRPr="00314FD9">
        <w:rPr>
          <w:rFonts w:ascii="Arial" w:eastAsia="Times New Roman" w:hAnsi="Arial" w:cs="Arial"/>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6965D5B0" w14:textId="77777777" w:rsidR="00E504C7" w:rsidRPr="00314FD9" w:rsidRDefault="00E504C7" w:rsidP="002C1309">
      <w:pPr>
        <w:jc w:val="both"/>
        <w:rPr>
          <w:rFonts w:ascii="Arial" w:eastAsia="SimSun" w:hAnsi="Arial" w:cs="Arial"/>
          <w:b/>
          <w:bCs/>
        </w:rPr>
      </w:pPr>
    </w:p>
    <w:p w14:paraId="02C3ABDD" w14:textId="77777777" w:rsidR="00E504C7" w:rsidRPr="00314FD9" w:rsidRDefault="00E504C7" w:rsidP="002C1309">
      <w:pPr>
        <w:jc w:val="both"/>
        <w:rPr>
          <w:rFonts w:ascii="Arial" w:eastAsia="SimSun" w:hAnsi="Arial" w:cs="Arial"/>
          <w:b/>
          <w:bCs/>
        </w:rPr>
      </w:pPr>
    </w:p>
    <w:p w14:paraId="27A4F87B" w14:textId="77777777" w:rsidR="00E504C7" w:rsidRPr="00314FD9" w:rsidRDefault="00000000" w:rsidP="002C1309">
      <w:pPr>
        <w:jc w:val="both"/>
        <w:rPr>
          <w:rFonts w:ascii="Arial" w:eastAsia="SimSun" w:hAnsi="Arial" w:cs="Arial"/>
          <w:b/>
          <w:bCs/>
        </w:rPr>
      </w:pPr>
      <w:r w:rsidRPr="00314FD9">
        <w:rPr>
          <w:rFonts w:ascii="Arial" w:eastAsia="SimSun" w:hAnsi="Arial" w:cs="Arial"/>
          <w:b/>
          <w:bCs/>
        </w:rPr>
        <w:t>References</w:t>
      </w:r>
    </w:p>
    <w:p w14:paraId="7EDD4D31" w14:textId="77777777" w:rsidR="004131CC" w:rsidRPr="00314FD9" w:rsidRDefault="00000000">
      <w:pPr>
        <w:jc w:val="both"/>
        <w:rPr>
          <w:rFonts w:ascii="Arial" w:eastAsia="SimSun" w:hAnsi="Arial" w:cs="Arial"/>
          <w:b/>
          <w:bCs/>
        </w:rPr>
      </w:pPr>
      <w:r w:rsidRPr="00314FD9">
        <w:rPr>
          <w:rFonts w:ascii="Arial" w:eastAsia="Arial" w:hAnsi="Arial" w:cs="Arial"/>
          <w:b/>
          <w:color w:val="000000"/>
          <w:sz w:val="20"/>
        </w:rPr>
        <w:t xml:space="preserve">Ahmad, M. A., Mahanta, D. K., Babu, R., Ranjan, R. K., </w:t>
      </w:r>
      <w:proofErr w:type="spellStart"/>
      <w:r w:rsidRPr="00314FD9">
        <w:rPr>
          <w:rFonts w:ascii="Arial" w:eastAsia="Arial" w:hAnsi="Arial" w:cs="Arial"/>
          <w:b/>
          <w:color w:val="000000"/>
          <w:sz w:val="20"/>
        </w:rPr>
        <w:t>Nilanjaya</w:t>
      </w:r>
      <w:proofErr w:type="spellEnd"/>
      <w:r w:rsidRPr="00314FD9">
        <w:rPr>
          <w:rFonts w:ascii="Arial" w:eastAsia="Arial" w:hAnsi="Arial" w:cs="Arial"/>
          <w:b/>
          <w:color w:val="000000"/>
          <w:sz w:val="20"/>
        </w:rPr>
        <w:t xml:space="preserve">, Kumar, V., &amp; </w:t>
      </w:r>
      <w:proofErr w:type="spellStart"/>
      <w:r w:rsidRPr="00314FD9">
        <w:rPr>
          <w:rFonts w:ascii="Arial" w:eastAsia="Arial" w:hAnsi="Arial" w:cs="Arial"/>
          <w:b/>
          <w:color w:val="000000"/>
          <w:sz w:val="20"/>
        </w:rPr>
        <w:t>Uchai</w:t>
      </w:r>
      <w:proofErr w:type="spellEnd"/>
      <w:r w:rsidRPr="00314FD9">
        <w:rPr>
          <w:rFonts w:ascii="Arial" w:eastAsia="Arial" w:hAnsi="Arial" w:cs="Arial"/>
          <w:b/>
          <w:color w:val="000000"/>
          <w:sz w:val="20"/>
        </w:rPr>
        <w:t>, P. (2025). Effect of planting dates and weather-dependent methods on incidence of rice yellow stem borer (</w:t>
      </w:r>
      <w:proofErr w:type="spellStart"/>
      <w:r w:rsidRPr="00314FD9">
        <w:rPr>
          <w:rFonts w:ascii="Arial" w:eastAsia="Arial" w:hAnsi="Arial" w:cs="Arial"/>
          <w:b/>
          <w:i/>
          <w:color w:val="000000"/>
          <w:sz w:val="20"/>
        </w:rPr>
        <w:t>Scirpophaga</w:t>
      </w:r>
      <w:proofErr w:type="spellEnd"/>
      <w:r w:rsidRPr="00314FD9">
        <w:rPr>
          <w:rFonts w:ascii="Arial" w:eastAsia="Arial" w:hAnsi="Arial" w:cs="Arial"/>
          <w:b/>
          <w:i/>
          <w:color w:val="000000"/>
          <w:sz w:val="20"/>
        </w:rPr>
        <w:t xml:space="preserve"> </w:t>
      </w:r>
      <w:proofErr w:type="spellStart"/>
      <w:r w:rsidRPr="00314FD9">
        <w:rPr>
          <w:rFonts w:ascii="Arial" w:eastAsia="Arial" w:hAnsi="Arial" w:cs="Arial"/>
          <w:b/>
          <w:i/>
          <w:color w:val="000000"/>
          <w:sz w:val="20"/>
        </w:rPr>
        <w:t>incertulas</w:t>
      </w:r>
      <w:proofErr w:type="spellEnd"/>
      <w:r w:rsidRPr="00314FD9">
        <w:rPr>
          <w:rFonts w:ascii="Arial" w:eastAsia="Arial" w:hAnsi="Arial" w:cs="Arial"/>
          <w:b/>
          <w:color w:val="000000"/>
          <w:sz w:val="20"/>
        </w:rPr>
        <w:t xml:space="preserve"> Walker) and leaf folder (</w:t>
      </w:r>
      <w:proofErr w:type="spellStart"/>
      <w:r w:rsidRPr="00314FD9">
        <w:rPr>
          <w:rFonts w:ascii="Arial" w:eastAsia="Arial" w:hAnsi="Arial" w:cs="Arial"/>
          <w:b/>
          <w:i/>
          <w:color w:val="000000"/>
          <w:sz w:val="20"/>
        </w:rPr>
        <w:t>Cnaphalocrocis</w:t>
      </w:r>
      <w:proofErr w:type="spellEnd"/>
      <w:r w:rsidRPr="00314FD9">
        <w:rPr>
          <w:rFonts w:ascii="Arial" w:eastAsia="Arial" w:hAnsi="Arial" w:cs="Arial"/>
          <w:b/>
          <w:i/>
          <w:color w:val="000000"/>
          <w:sz w:val="20"/>
        </w:rPr>
        <w:t xml:space="preserve"> </w:t>
      </w:r>
      <w:proofErr w:type="spellStart"/>
      <w:r w:rsidRPr="00314FD9">
        <w:rPr>
          <w:rFonts w:ascii="Arial" w:eastAsia="Arial" w:hAnsi="Arial" w:cs="Arial"/>
          <w:b/>
          <w:i/>
          <w:color w:val="000000"/>
          <w:sz w:val="20"/>
        </w:rPr>
        <w:t>medinalis</w:t>
      </w:r>
      <w:proofErr w:type="spellEnd"/>
      <w:r w:rsidRPr="00314FD9">
        <w:rPr>
          <w:rFonts w:ascii="Arial" w:eastAsia="Arial" w:hAnsi="Arial" w:cs="Arial"/>
          <w:b/>
          <w:color w:val="000000"/>
          <w:sz w:val="20"/>
        </w:rPr>
        <w:t xml:space="preserve"> </w:t>
      </w:r>
      <w:proofErr w:type="spellStart"/>
      <w:r w:rsidRPr="00314FD9">
        <w:rPr>
          <w:rFonts w:ascii="Arial" w:eastAsia="Arial" w:hAnsi="Arial" w:cs="Arial"/>
          <w:b/>
          <w:color w:val="000000"/>
          <w:sz w:val="20"/>
        </w:rPr>
        <w:t>Guenee</w:t>
      </w:r>
      <w:proofErr w:type="spellEnd"/>
      <w:r w:rsidRPr="00314FD9">
        <w:rPr>
          <w:rFonts w:ascii="Arial" w:eastAsia="Arial" w:hAnsi="Arial" w:cs="Arial"/>
          <w:b/>
          <w:color w:val="000000"/>
          <w:sz w:val="20"/>
        </w:rPr>
        <w:t xml:space="preserve">) in Bihar, India. </w:t>
      </w:r>
      <w:r w:rsidRPr="00314FD9">
        <w:rPr>
          <w:rFonts w:ascii="Arial" w:eastAsia="Arial" w:hAnsi="Arial" w:cs="Arial"/>
          <w:b/>
          <w:i/>
          <w:color w:val="000000"/>
          <w:sz w:val="20"/>
        </w:rPr>
        <w:t>International Journal of Environment and Climate Change</w:t>
      </w:r>
      <w:r w:rsidRPr="00314FD9">
        <w:rPr>
          <w:rFonts w:ascii="Arial" w:eastAsia="Arial" w:hAnsi="Arial" w:cs="Arial"/>
          <w:b/>
          <w:color w:val="000000"/>
          <w:sz w:val="20"/>
        </w:rPr>
        <w:t xml:space="preserve">, </w:t>
      </w:r>
      <w:r w:rsidRPr="00314FD9">
        <w:rPr>
          <w:rFonts w:ascii="Arial" w:eastAsia="Arial" w:hAnsi="Arial" w:cs="Arial"/>
          <w:b/>
          <w:i/>
          <w:color w:val="000000"/>
          <w:sz w:val="20"/>
        </w:rPr>
        <w:t>15</w:t>
      </w:r>
      <w:r w:rsidRPr="00314FD9">
        <w:rPr>
          <w:rFonts w:ascii="Arial" w:eastAsia="Arial" w:hAnsi="Arial" w:cs="Arial"/>
          <w:b/>
          <w:color w:val="000000"/>
          <w:sz w:val="20"/>
        </w:rPr>
        <w:t xml:space="preserve">(4), 240–253. </w:t>
      </w:r>
      <w:hyperlink r:id="rId9">
        <w:r w:rsidRPr="00314FD9">
          <w:rPr>
            <w:rFonts w:ascii="Arial" w:eastAsia="Arial" w:hAnsi="Arial" w:cs="Arial"/>
            <w:b/>
            <w:color w:val="000000"/>
            <w:sz w:val="20"/>
            <w:szCs w:val="20"/>
            <w:u w:val="single"/>
          </w:rPr>
          <w:t>https://doi.org/10.9734/ijecc/2025/v15i44807</w:t>
        </w:r>
      </w:hyperlink>
    </w:p>
    <w:p w14:paraId="0AE73EB9"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Chatterjee, M., Chaudhuri, N., &amp; Ghosh, J. (2021). Seasonal incidence of rice leaf folder </w:t>
      </w:r>
      <w:proofErr w:type="spellStart"/>
      <w:r w:rsidRPr="00314FD9">
        <w:rPr>
          <w:rFonts w:ascii="Arial" w:eastAsia="Arial" w:hAnsi="Arial" w:cs="Arial"/>
          <w:i/>
          <w:color w:val="000000"/>
          <w:sz w:val="20"/>
        </w:rPr>
        <w:t>Cnaphalocrosis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Guenee</w:t>
      </w:r>
      <w:proofErr w:type="spellEnd"/>
      <w:r w:rsidRPr="00314FD9">
        <w:rPr>
          <w:rFonts w:ascii="Arial" w:eastAsia="Arial" w:hAnsi="Arial" w:cs="Arial"/>
          <w:color w:val="000000"/>
          <w:sz w:val="20"/>
        </w:rPr>
        <w:t xml:space="preserve">) in kharif rice under terai region of West Bengal. </w:t>
      </w:r>
      <w:r w:rsidRPr="00314FD9">
        <w:rPr>
          <w:rFonts w:ascii="Arial" w:eastAsia="Arial" w:hAnsi="Arial" w:cs="Arial"/>
          <w:i/>
          <w:color w:val="000000"/>
          <w:sz w:val="20"/>
        </w:rPr>
        <w:t>Journal of Entomological Research</w:t>
      </w:r>
      <w:r w:rsidRPr="00314FD9">
        <w:rPr>
          <w:rFonts w:ascii="Arial" w:eastAsia="Arial" w:hAnsi="Arial" w:cs="Arial"/>
          <w:color w:val="000000"/>
          <w:sz w:val="20"/>
        </w:rPr>
        <w:t xml:space="preserve">, </w:t>
      </w:r>
      <w:r w:rsidRPr="00314FD9">
        <w:rPr>
          <w:rFonts w:ascii="Arial" w:eastAsia="Arial" w:hAnsi="Arial" w:cs="Arial"/>
          <w:i/>
          <w:color w:val="000000"/>
          <w:sz w:val="20"/>
        </w:rPr>
        <w:t>45</w:t>
      </w:r>
      <w:r w:rsidRPr="00314FD9">
        <w:rPr>
          <w:rFonts w:ascii="Arial" w:eastAsia="Arial" w:hAnsi="Arial" w:cs="Arial"/>
          <w:color w:val="000000"/>
          <w:sz w:val="20"/>
        </w:rPr>
        <w:t xml:space="preserve">(2), 286–289. </w:t>
      </w:r>
      <w:hyperlink r:id="rId10">
        <w:r w:rsidR="00E504C7" w:rsidRPr="00314FD9">
          <w:rPr>
            <w:rFonts w:ascii="Arial" w:eastAsia="Arial" w:hAnsi="Arial" w:cs="Arial"/>
            <w:color w:val="000000"/>
            <w:sz w:val="20"/>
            <w:szCs w:val="20"/>
            <w:u w:val="single"/>
          </w:rPr>
          <w:t>https://doi.org/10.5958/0974-4576.2021.00045.1</w:t>
        </w:r>
      </w:hyperlink>
    </w:p>
    <w:p w14:paraId="645E04AA" w14:textId="77777777" w:rsidR="004131CC" w:rsidRPr="00314FD9" w:rsidRDefault="00000000">
      <w:pPr>
        <w:spacing w:after="0" w:line="240" w:lineRule="auto"/>
        <w:ind w:left="720" w:hanging="720"/>
        <w:jc w:val="both"/>
        <w:rPr>
          <w:rFonts w:ascii="Arial" w:hAnsi="Arial" w:cs="Arial"/>
          <w:sz w:val="20"/>
          <w:szCs w:val="20"/>
        </w:rPr>
      </w:pPr>
      <w:r w:rsidRPr="00314FD9">
        <w:rPr>
          <w:rFonts w:ascii="Arial" w:eastAsia="Arial" w:hAnsi="Arial" w:cs="Arial"/>
          <w:b/>
          <w:color w:val="000000"/>
          <w:sz w:val="20"/>
        </w:rPr>
        <w:t xml:space="preserve">Chen, T., Wang, R., Du, J., Chen, H., Zhang, J., Dong, W., &amp; Zhang, M. (2023). CMRD-Net: A deep learning-based </w:t>
      </w:r>
      <w:proofErr w:type="spellStart"/>
      <w:r w:rsidRPr="00314FD9">
        <w:rPr>
          <w:rFonts w:ascii="Arial" w:eastAsia="Arial" w:hAnsi="Arial" w:cs="Arial"/>
          <w:b/>
          <w:i/>
          <w:color w:val="000000"/>
          <w:sz w:val="20"/>
        </w:rPr>
        <w:t>Cnaphalocrocis</w:t>
      </w:r>
      <w:proofErr w:type="spellEnd"/>
      <w:r w:rsidRPr="00314FD9">
        <w:rPr>
          <w:rFonts w:ascii="Arial" w:eastAsia="Arial" w:hAnsi="Arial" w:cs="Arial"/>
          <w:b/>
          <w:i/>
          <w:color w:val="000000"/>
          <w:sz w:val="20"/>
        </w:rPr>
        <w:t xml:space="preserve"> </w:t>
      </w:r>
      <w:proofErr w:type="spellStart"/>
      <w:r w:rsidRPr="00314FD9">
        <w:rPr>
          <w:rFonts w:ascii="Arial" w:eastAsia="Arial" w:hAnsi="Arial" w:cs="Arial"/>
          <w:b/>
          <w:i/>
          <w:color w:val="000000"/>
          <w:sz w:val="20"/>
        </w:rPr>
        <w:t>medinalis</w:t>
      </w:r>
      <w:proofErr w:type="spellEnd"/>
      <w:r w:rsidRPr="00314FD9">
        <w:rPr>
          <w:rFonts w:ascii="Arial" w:eastAsia="Arial" w:hAnsi="Arial" w:cs="Arial"/>
          <w:b/>
          <w:color w:val="000000"/>
          <w:sz w:val="20"/>
        </w:rPr>
        <w:t xml:space="preserve"> damage symptom rotated detection framework for in-field survey. </w:t>
      </w:r>
      <w:r w:rsidRPr="00314FD9">
        <w:rPr>
          <w:rFonts w:ascii="Arial" w:eastAsia="Arial" w:hAnsi="Arial" w:cs="Arial"/>
          <w:b/>
          <w:i/>
          <w:color w:val="000000"/>
          <w:sz w:val="20"/>
        </w:rPr>
        <w:t>Frontiers in Plant Science</w:t>
      </w:r>
      <w:r w:rsidRPr="00314FD9">
        <w:rPr>
          <w:rFonts w:ascii="Arial" w:eastAsia="Arial" w:hAnsi="Arial" w:cs="Arial"/>
          <w:b/>
          <w:color w:val="000000"/>
          <w:sz w:val="20"/>
        </w:rPr>
        <w:t xml:space="preserve">, </w:t>
      </w:r>
      <w:r w:rsidRPr="00314FD9">
        <w:rPr>
          <w:rFonts w:ascii="Arial" w:eastAsia="Arial" w:hAnsi="Arial" w:cs="Arial"/>
          <w:b/>
          <w:i/>
          <w:color w:val="000000"/>
          <w:sz w:val="20"/>
        </w:rPr>
        <w:t>14</w:t>
      </w:r>
      <w:r w:rsidRPr="00314FD9">
        <w:rPr>
          <w:rFonts w:ascii="Arial" w:eastAsia="Arial" w:hAnsi="Arial" w:cs="Arial"/>
          <w:b/>
          <w:color w:val="000000"/>
          <w:sz w:val="20"/>
        </w:rPr>
        <w:t xml:space="preserve">, Article 1180716. </w:t>
      </w:r>
      <w:hyperlink r:id="rId11">
        <w:r w:rsidRPr="00314FD9">
          <w:rPr>
            <w:rFonts w:ascii="Arial" w:eastAsia="Arial" w:hAnsi="Arial" w:cs="Arial"/>
            <w:b/>
            <w:color w:val="000000"/>
            <w:sz w:val="20"/>
            <w:szCs w:val="20"/>
            <w:u w:val="single"/>
          </w:rPr>
          <w:t>https://doi.org/10.3389/fpls.2023.1180716</w:t>
        </w:r>
      </w:hyperlink>
    </w:p>
    <w:p w14:paraId="05E5D636"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Chintalapati, P., Balakrishnan, D., </w:t>
      </w:r>
      <w:proofErr w:type="spellStart"/>
      <w:r w:rsidRPr="00314FD9">
        <w:rPr>
          <w:rFonts w:ascii="Arial" w:eastAsia="Arial" w:hAnsi="Arial" w:cs="Arial"/>
          <w:color w:val="000000"/>
          <w:sz w:val="20"/>
        </w:rPr>
        <w:t>Nammi</w:t>
      </w:r>
      <w:proofErr w:type="spellEnd"/>
      <w:r w:rsidRPr="00314FD9">
        <w:rPr>
          <w:rFonts w:ascii="Arial" w:eastAsia="Arial" w:hAnsi="Arial" w:cs="Arial"/>
          <w:color w:val="000000"/>
          <w:sz w:val="20"/>
        </w:rPr>
        <w:t xml:space="preserve">, T. V. V. G., Javvaji, S., Muthusamy, S. K., Lella Venkata, S. R., </w:t>
      </w:r>
      <w:proofErr w:type="spellStart"/>
      <w:r w:rsidRPr="00314FD9">
        <w:rPr>
          <w:rFonts w:ascii="Arial" w:eastAsia="Arial" w:hAnsi="Arial" w:cs="Arial"/>
          <w:color w:val="000000"/>
          <w:sz w:val="20"/>
        </w:rPr>
        <w:t>Neelamraju</w:t>
      </w:r>
      <w:proofErr w:type="spellEnd"/>
      <w:r w:rsidRPr="00314FD9">
        <w:rPr>
          <w:rFonts w:ascii="Arial" w:eastAsia="Arial" w:hAnsi="Arial" w:cs="Arial"/>
          <w:color w:val="000000"/>
          <w:sz w:val="20"/>
        </w:rPr>
        <w:t xml:space="preserve">, S., &amp; Katti, G. (2019). Phenotyping and genotype × environment interaction of resistance to </w:t>
      </w:r>
      <w:proofErr w:type="spellStart"/>
      <w:r w:rsidRPr="00314FD9">
        <w:rPr>
          <w:rFonts w:ascii="Arial" w:eastAsia="Arial" w:hAnsi="Arial" w:cs="Arial"/>
          <w:color w:val="000000"/>
          <w:sz w:val="20"/>
        </w:rPr>
        <w:t>leaffolder</w:t>
      </w:r>
      <w:proofErr w:type="spellEnd"/>
      <w:r w:rsidRPr="00314FD9">
        <w:rPr>
          <w:rFonts w:ascii="Arial" w:eastAsia="Arial" w:hAnsi="Arial" w:cs="Arial"/>
          <w:color w:val="000000"/>
          <w:sz w:val="20"/>
        </w:rPr>
        <w:t xml:space="preserve">,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Guenee</w:t>
      </w:r>
      <w:proofErr w:type="spellEnd"/>
      <w:r w:rsidRPr="00314FD9">
        <w:rPr>
          <w:rFonts w:ascii="Arial" w:eastAsia="Arial" w:hAnsi="Arial" w:cs="Arial"/>
          <w:color w:val="000000"/>
          <w:sz w:val="20"/>
        </w:rPr>
        <w:t xml:space="preserve"> (Lepidoptera: </w:t>
      </w:r>
      <w:proofErr w:type="spellStart"/>
      <w:r w:rsidRPr="00314FD9">
        <w:rPr>
          <w:rFonts w:ascii="Arial" w:eastAsia="Arial" w:hAnsi="Arial" w:cs="Arial"/>
          <w:color w:val="000000"/>
          <w:sz w:val="20"/>
        </w:rPr>
        <w:t>Pyralidae</w:t>
      </w:r>
      <w:proofErr w:type="spellEnd"/>
      <w:r w:rsidRPr="00314FD9">
        <w:rPr>
          <w:rFonts w:ascii="Arial" w:eastAsia="Arial" w:hAnsi="Arial" w:cs="Arial"/>
          <w:color w:val="000000"/>
          <w:sz w:val="20"/>
        </w:rPr>
        <w:t xml:space="preserve">) in rice. </w:t>
      </w:r>
      <w:r w:rsidRPr="00314FD9">
        <w:rPr>
          <w:rFonts w:ascii="Arial" w:eastAsia="Arial" w:hAnsi="Arial" w:cs="Arial"/>
          <w:i/>
          <w:color w:val="000000"/>
          <w:sz w:val="20"/>
        </w:rPr>
        <w:t>Frontiers in Plant Science</w:t>
      </w:r>
      <w:r w:rsidRPr="00314FD9">
        <w:rPr>
          <w:rFonts w:ascii="Arial" w:eastAsia="Arial" w:hAnsi="Arial" w:cs="Arial"/>
          <w:color w:val="000000"/>
          <w:sz w:val="20"/>
        </w:rPr>
        <w:t xml:space="preserve">, </w:t>
      </w:r>
      <w:r w:rsidRPr="00314FD9">
        <w:rPr>
          <w:rFonts w:ascii="Arial" w:eastAsia="Arial" w:hAnsi="Arial" w:cs="Arial"/>
          <w:i/>
          <w:color w:val="000000"/>
          <w:sz w:val="20"/>
        </w:rPr>
        <w:t>10</w:t>
      </w:r>
      <w:r w:rsidRPr="00314FD9">
        <w:rPr>
          <w:rFonts w:ascii="Arial" w:eastAsia="Arial" w:hAnsi="Arial" w:cs="Arial"/>
          <w:color w:val="000000"/>
          <w:sz w:val="20"/>
        </w:rPr>
        <w:t xml:space="preserve">, Article 49. </w:t>
      </w:r>
      <w:hyperlink r:id="rId12">
        <w:r w:rsidR="00E504C7" w:rsidRPr="00314FD9">
          <w:rPr>
            <w:rFonts w:ascii="Arial" w:eastAsia="Arial" w:hAnsi="Arial" w:cs="Arial"/>
            <w:color w:val="000000"/>
            <w:sz w:val="20"/>
            <w:szCs w:val="20"/>
            <w:u w:val="single"/>
          </w:rPr>
          <w:t>https://doi.org/10.3389/fpls.2019.00049</w:t>
        </w:r>
      </w:hyperlink>
    </w:p>
    <w:p w14:paraId="5D579109"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Deutsch, C. A., Tewksbury, J. J., </w:t>
      </w:r>
      <w:proofErr w:type="spellStart"/>
      <w:r w:rsidRPr="00314FD9">
        <w:rPr>
          <w:rFonts w:ascii="Arial" w:eastAsia="Arial" w:hAnsi="Arial" w:cs="Arial"/>
          <w:color w:val="000000"/>
          <w:sz w:val="20"/>
        </w:rPr>
        <w:t>Tigchelaar</w:t>
      </w:r>
      <w:proofErr w:type="spellEnd"/>
      <w:r w:rsidRPr="00314FD9">
        <w:rPr>
          <w:rFonts w:ascii="Arial" w:eastAsia="Arial" w:hAnsi="Arial" w:cs="Arial"/>
          <w:color w:val="000000"/>
          <w:sz w:val="20"/>
        </w:rPr>
        <w:t xml:space="preserve">, M., Battisti, D. S., Merrill, S. C., Huey, R. B., &amp; Naylor, R. L. (2018). Increase in crop losses to insect pests in a warming climate. </w:t>
      </w:r>
      <w:r w:rsidRPr="00314FD9">
        <w:rPr>
          <w:rFonts w:ascii="Arial" w:eastAsia="Arial" w:hAnsi="Arial" w:cs="Arial"/>
          <w:i/>
          <w:color w:val="000000"/>
          <w:sz w:val="20"/>
        </w:rPr>
        <w:t>Science</w:t>
      </w:r>
      <w:r w:rsidRPr="00314FD9">
        <w:rPr>
          <w:rFonts w:ascii="Arial" w:eastAsia="Arial" w:hAnsi="Arial" w:cs="Arial"/>
          <w:color w:val="000000"/>
          <w:sz w:val="20"/>
        </w:rPr>
        <w:t xml:space="preserve">, </w:t>
      </w:r>
      <w:r w:rsidRPr="00314FD9">
        <w:rPr>
          <w:rFonts w:ascii="Arial" w:eastAsia="Arial" w:hAnsi="Arial" w:cs="Arial"/>
          <w:i/>
          <w:color w:val="000000"/>
          <w:sz w:val="20"/>
        </w:rPr>
        <w:t>361</w:t>
      </w:r>
      <w:r w:rsidRPr="00314FD9">
        <w:rPr>
          <w:rFonts w:ascii="Arial" w:eastAsia="Arial" w:hAnsi="Arial" w:cs="Arial"/>
          <w:color w:val="000000"/>
          <w:sz w:val="20"/>
        </w:rPr>
        <w:t xml:space="preserve">(6405), 916–919. </w:t>
      </w:r>
      <w:hyperlink r:id="rId13">
        <w:r w:rsidR="00E504C7" w:rsidRPr="00314FD9">
          <w:rPr>
            <w:rFonts w:ascii="Arial" w:eastAsia="Arial" w:hAnsi="Arial" w:cs="Arial"/>
            <w:color w:val="000000"/>
            <w:sz w:val="20"/>
            <w:szCs w:val="20"/>
            <w:u w:val="single"/>
          </w:rPr>
          <w:t>https://doi.org/10.1126/science.aat3466</w:t>
        </w:r>
      </w:hyperlink>
    </w:p>
    <w:p w14:paraId="0363E1B0" w14:textId="77777777" w:rsidR="00E504C7" w:rsidRPr="00314FD9" w:rsidRDefault="00000000" w:rsidP="002C1309">
      <w:pPr>
        <w:spacing w:after="0" w:line="240" w:lineRule="auto"/>
        <w:ind w:left="720" w:hanging="720"/>
        <w:jc w:val="both"/>
        <w:rPr>
          <w:rFonts w:ascii="Arial" w:hAnsi="Arial" w:cs="Arial"/>
          <w:sz w:val="20"/>
          <w:szCs w:val="20"/>
        </w:rPr>
      </w:pPr>
      <w:proofErr w:type="spellStart"/>
      <w:r w:rsidRPr="00314FD9">
        <w:rPr>
          <w:rFonts w:ascii="Arial" w:eastAsia="Arial" w:hAnsi="Arial" w:cs="Arial"/>
          <w:color w:val="000000"/>
          <w:sz w:val="20"/>
        </w:rPr>
        <w:t>Jasrotia</w:t>
      </w:r>
      <w:proofErr w:type="spellEnd"/>
      <w:r w:rsidRPr="00314FD9">
        <w:rPr>
          <w:rFonts w:ascii="Arial" w:eastAsia="Arial" w:hAnsi="Arial" w:cs="Arial"/>
          <w:color w:val="000000"/>
          <w:sz w:val="20"/>
        </w:rPr>
        <w:t xml:space="preserve">, P., </w:t>
      </w:r>
      <w:proofErr w:type="spellStart"/>
      <w:r w:rsidRPr="00314FD9">
        <w:rPr>
          <w:rFonts w:ascii="Arial" w:eastAsia="Arial" w:hAnsi="Arial" w:cs="Arial"/>
          <w:color w:val="000000"/>
          <w:sz w:val="20"/>
        </w:rPr>
        <w:t>Khippal</w:t>
      </w:r>
      <w:proofErr w:type="spellEnd"/>
      <w:r w:rsidRPr="00314FD9">
        <w:rPr>
          <w:rFonts w:ascii="Arial" w:eastAsia="Arial" w:hAnsi="Arial" w:cs="Arial"/>
          <w:color w:val="000000"/>
          <w:sz w:val="20"/>
        </w:rPr>
        <w:t>, A., Yadav, J., Kashyap, P. L., Kumar, S., &amp; Singh, G. P. (2019). Effect of weather variables on the incidence of yellow stem borer (</w:t>
      </w:r>
      <w:proofErr w:type="spellStart"/>
      <w:r w:rsidRPr="00314FD9">
        <w:rPr>
          <w:rFonts w:ascii="Arial" w:eastAsia="Arial" w:hAnsi="Arial" w:cs="Arial"/>
          <w:i/>
          <w:color w:val="000000"/>
          <w:sz w:val="20"/>
        </w:rPr>
        <w:t>Scirpophaga</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incertulas</w:t>
      </w:r>
      <w:proofErr w:type="spellEnd"/>
      <w:r w:rsidRPr="00314FD9">
        <w:rPr>
          <w:rFonts w:ascii="Arial" w:eastAsia="Arial" w:hAnsi="Arial" w:cs="Arial"/>
          <w:color w:val="000000"/>
          <w:sz w:val="20"/>
        </w:rPr>
        <w:t xml:space="preserve"> Walker) and leaf folder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Guenee</w:t>
      </w:r>
      <w:proofErr w:type="spellEnd"/>
      <w:r w:rsidRPr="00314FD9">
        <w:rPr>
          <w:rFonts w:ascii="Arial" w:eastAsia="Arial" w:hAnsi="Arial" w:cs="Arial"/>
          <w:color w:val="000000"/>
          <w:sz w:val="20"/>
        </w:rPr>
        <w:t xml:space="preserve">) in rice. </w:t>
      </w:r>
      <w:r w:rsidRPr="00314FD9">
        <w:rPr>
          <w:rFonts w:ascii="Arial" w:eastAsia="Arial" w:hAnsi="Arial" w:cs="Arial"/>
          <w:i/>
          <w:color w:val="000000"/>
          <w:sz w:val="20"/>
        </w:rPr>
        <w:t>Journal of Cereal Research</w:t>
      </w:r>
      <w:r w:rsidRPr="00314FD9">
        <w:rPr>
          <w:rFonts w:ascii="Arial" w:eastAsia="Arial" w:hAnsi="Arial" w:cs="Arial"/>
          <w:color w:val="000000"/>
          <w:sz w:val="20"/>
        </w:rPr>
        <w:t xml:space="preserve">, </w:t>
      </w:r>
      <w:r w:rsidRPr="00314FD9">
        <w:rPr>
          <w:rFonts w:ascii="Arial" w:eastAsia="Arial" w:hAnsi="Arial" w:cs="Arial"/>
          <w:i/>
          <w:color w:val="000000"/>
          <w:sz w:val="20"/>
        </w:rPr>
        <w:t>11</w:t>
      </w:r>
      <w:r w:rsidRPr="00314FD9">
        <w:rPr>
          <w:rFonts w:ascii="Arial" w:eastAsia="Arial" w:hAnsi="Arial" w:cs="Arial"/>
          <w:color w:val="000000"/>
          <w:sz w:val="20"/>
        </w:rPr>
        <w:t xml:space="preserve">(3), 247–251. </w:t>
      </w:r>
      <w:hyperlink r:id="rId14">
        <w:r w:rsidR="00E504C7" w:rsidRPr="00314FD9">
          <w:rPr>
            <w:rFonts w:ascii="Arial" w:eastAsia="Arial" w:hAnsi="Arial" w:cs="Arial"/>
            <w:color w:val="000000"/>
            <w:sz w:val="20"/>
            <w:szCs w:val="20"/>
            <w:u w:val="single"/>
          </w:rPr>
          <w:t>https://doi.org/10.25174/2249-4065/2019/95416</w:t>
        </w:r>
      </w:hyperlink>
    </w:p>
    <w:p w14:paraId="29D5C121"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Kakde, A. M., &amp; Patel, K. G. (2015). Seasonal incidence of rice leaf folder in relation to SRI and conventional methods of planting and its correlation with weather parameters. </w:t>
      </w:r>
      <w:r w:rsidRPr="00314FD9">
        <w:rPr>
          <w:rFonts w:ascii="Arial" w:eastAsia="Arial" w:hAnsi="Arial" w:cs="Arial"/>
          <w:i/>
          <w:color w:val="000000"/>
          <w:sz w:val="20"/>
        </w:rPr>
        <w:t>Plant Archives</w:t>
      </w:r>
      <w:r w:rsidRPr="00314FD9">
        <w:rPr>
          <w:rFonts w:ascii="Arial" w:eastAsia="Arial" w:hAnsi="Arial" w:cs="Arial"/>
          <w:color w:val="000000"/>
          <w:sz w:val="20"/>
        </w:rPr>
        <w:t xml:space="preserve">, </w:t>
      </w:r>
      <w:r w:rsidRPr="00314FD9">
        <w:rPr>
          <w:rFonts w:ascii="Arial" w:eastAsia="Arial" w:hAnsi="Arial" w:cs="Arial"/>
          <w:i/>
          <w:color w:val="000000"/>
          <w:sz w:val="20"/>
        </w:rPr>
        <w:t>15</w:t>
      </w:r>
      <w:r w:rsidRPr="00314FD9">
        <w:rPr>
          <w:rFonts w:ascii="Arial" w:eastAsia="Arial" w:hAnsi="Arial" w:cs="Arial"/>
          <w:color w:val="000000"/>
          <w:sz w:val="20"/>
        </w:rPr>
        <w:t xml:space="preserve">(1), 121–126. </w:t>
      </w:r>
      <w:hyperlink r:id="rId15">
        <w:r w:rsidR="00E504C7" w:rsidRPr="00314FD9">
          <w:rPr>
            <w:rFonts w:ascii="Arial" w:eastAsia="Arial" w:hAnsi="Arial" w:cs="Arial"/>
            <w:color w:val="000000"/>
            <w:sz w:val="20"/>
            <w:szCs w:val="20"/>
            <w:u w:val="single"/>
          </w:rPr>
          <w:t>https://www.plantarchives.org/PDF%2015%20-%201/121-126__2891_.pdf</w:t>
        </w:r>
      </w:hyperlink>
    </w:p>
    <w:p w14:paraId="085EDE91" w14:textId="77777777" w:rsidR="004131CC" w:rsidRPr="00314FD9" w:rsidRDefault="00000000">
      <w:pPr>
        <w:spacing w:after="0" w:line="240" w:lineRule="auto"/>
        <w:ind w:left="720" w:hanging="720"/>
        <w:jc w:val="both"/>
        <w:rPr>
          <w:rFonts w:ascii="Arial" w:hAnsi="Arial" w:cs="Arial"/>
          <w:sz w:val="20"/>
          <w:szCs w:val="20"/>
        </w:rPr>
      </w:pPr>
      <w:r w:rsidRPr="00314FD9">
        <w:rPr>
          <w:rFonts w:ascii="Arial" w:eastAsia="Arial" w:hAnsi="Arial" w:cs="Arial"/>
          <w:b/>
          <w:color w:val="000000"/>
          <w:sz w:val="20"/>
        </w:rPr>
        <w:t xml:space="preserve">Nayak, A. K., </w:t>
      </w:r>
      <w:proofErr w:type="spellStart"/>
      <w:r w:rsidRPr="00314FD9">
        <w:rPr>
          <w:rFonts w:ascii="Arial" w:eastAsia="Arial" w:hAnsi="Arial" w:cs="Arial"/>
          <w:b/>
          <w:color w:val="000000"/>
          <w:sz w:val="20"/>
        </w:rPr>
        <w:t>Sasmal</w:t>
      </w:r>
      <w:proofErr w:type="spellEnd"/>
      <w:r w:rsidRPr="00314FD9">
        <w:rPr>
          <w:rFonts w:ascii="Arial" w:eastAsia="Arial" w:hAnsi="Arial" w:cs="Arial"/>
          <w:b/>
          <w:color w:val="000000"/>
          <w:sz w:val="20"/>
        </w:rPr>
        <w:t xml:space="preserve">, A., </w:t>
      </w:r>
      <w:proofErr w:type="spellStart"/>
      <w:r w:rsidRPr="00314FD9">
        <w:rPr>
          <w:rFonts w:ascii="Arial" w:eastAsia="Arial" w:hAnsi="Arial" w:cs="Arial"/>
          <w:b/>
          <w:color w:val="000000"/>
          <w:sz w:val="20"/>
        </w:rPr>
        <w:t>Golive</w:t>
      </w:r>
      <w:proofErr w:type="spellEnd"/>
      <w:r w:rsidRPr="00314FD9">
        <w:rPr>
          <w:rFonts w:ascii="Arial" w:eastAsia="Arial" w:hAnsi="Arial" w:cs="Arial"/>
          <w:b/>
          <w:color w:val="000000"/>
          <w:sz w:val="20"/>
        </w:rPr>
        <w:t xml:space="preserve">, P., Dash, S. S., Rao, K. R., &amp; Mohapatra, S. D. (2024). Unraveling stability in rice genotypes for resistance against </w:t>
      </w:r>
      <w:proofErr w:type="spellStart"/>
      <w:r w:rsidRPr="00314FD9">
        <w:rPr>
          <w:rFonts w:ascii="Arial" w:eastAsia="Arial" w:hAnsi="Arial" w:cs="Arial"/>
          <w:b/>
          <w:color w:val="000000"/>
          <w:sz w:val="20"/>
        </w:rPr>
        <w:t>leaffolder</w:t>
      </w:r>
      <w:proofErr w:type="spellEnd"/>
      <w:r w:rsidRPr="00314FD9">
        <w:rPr>
          <w:rFonts w:ascii="Arial" w:eastAsia="Arial" w:hAnsi="Arial" w:cs="Arial"/>
          <w:b/>
          <w:color w:val="000000"/>
          <w:sz w:val="20"/>
        </w:rPr>
        <w:t xml:space="preserve"> (</w:t>
      </w:r>
      <w:proofErr w:type="spellStart"/>
      <w:r w:rsidRPr="00314FD9">
        <w:rPr>
          <w:rFonts w:ascii="Arial" w:eastAsia="Arial" w:hAnsi="Arial" w:cs="Arial"/>
          <w:b/>
          <w:i/>
          <w:color w:val="000000"/>
          <w:sz w:val="20"/>
        </w:rPr>
        <w:t>Cnaphalocrocis</w:t>
      </w:r>
      <w:proofErr w:type="spellEnd"/>
      <w:r w:rsidRPr="00314FD9">
        <w:rPr>
          <w:rFonts w:ascii="Arial" w:eastAsia="Arial" w:hAnsi="Arial" w:cs="Arial"/>
          <w:b/>
          <w:i/>
          <w:color w:val="000000"/>
          <w:sz w:val="20"/>
        </w:rPr>
        <w:t xml:space="preserve"> </w:t>
      </w:r>
      <w:proofErr w:type="spellStart"/>
      <w:r w:rsidRPr="00314FD9">
        <w:rPr>
          <w:rFonts w:ascii="Arial" w:eastAsia="Arial" w:hAnsi="Arial" w:cs="Arial"/>
          <w:b/>
          <w:i/>
          <w:color w:val="000000"/>
          <w:sz w:val="20"/>
        </w:rPr>
        <w:t>medinalis</w:t>
      </w:r>
      <w:proofErr w:type="spellEnd"/>
      <w:r w:rsidRPr="00314FD9">
        <w:rPr>
          <w:rFonts w:ascii="Arial" w:eastAsia="Arial" w:hAnsi="Arial" w:cs="Arial"/>
          <w:b/>
          <w:color w:val="000000"/>
          <w:sz w:val="20"/>
        </w:rPr>
        <w:t xml:space="preserve">) under varied environmental conditions. </w:t>
      </w:r>
      <w:r w:rsidRPr="00314FD9">
        <w:rPr>
          <w:rFonts w:ascii="Arial" w:eastAsia="Arial" w:hAnsi="Arial" w:cs="Arial"/>
          <w:b/>
          <w:i/>
          <w:color w:val="000000"/>
          <w:sz w:val="20"/>
        </w:rPr>
        <w:t>Cereal Research Communications</w:t>
      </w:r>
      <w:r w:rsidRPr="00314FD9">
        <w:rPr>
          <w:rFonts w:ascii="Arial" w:eastAsia="Arial" w:hAnsi="Arial" w:cs="Arial"/>
          <w:b/>
          <w:color w:val="000000"/>
          <w:sz w:val="20"/>
        </w:rPr>
        <w:t xml:space="preserve">, </w:t>
      </w:r>
      <w:r w:rsidRPr="00314FD9">
        <w:rPr>
          <w:rFonts w:ascii="Arial" w:eastAsia="Arial" w:hAnsi="Arial" w:cs="Arial"/>
          <w:b/>
          <w:i/>
          <w:color w:val="000000"/>
          <w:sz w:val="20"/>
        </w:rPr>
        <w:t>52</w:t>
      </w:r>
      <w:r w:rsidRPr="00314FD9">
        <w:rPr>
          <w:rFonts w:ascii="Arial" w:eastAsia="Arial" w:hAnsi="Arial" w:cs="Arial"/>
          <w:b/>
          <w:color w:val="000000"/>
          <w:sz w:val="20"/>
        </w:rPr>
        <w:t xml:space="preserve">, 1661–1669. </w:t>
      </w:r>
      <w:hyperlink r:id="rId16">
        <w:r w:rsidRPr="00314FD9">
          <w:rPr>
            <w:rFonts w:ascii="Arial" w:eastAsia="Arial" w:hAnsi="Arial" w:cs="Arial"/>
            <w:b/>
            <w:color w:val="000000"/>
            <w:sz w:val="20"/>
            <w:szCs w:val="20"/>
            <w:u w:val="single"/>
          </w:rPr>
          <w:t>https://doi.org/10.1007/s42976-023-00484-1</w:t>
        </w:r>
      </w:hyperlink>
    </w:p>
    <w:p w14:paraId="3A8D1068"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Oerke, E.-C. (2006). Crop losses to pests. </w:t>
      </w:r>
      <w:r w:rsidRPr="00314FD9">
        <w:rPr>
          <w:rFonts w:ascii="Arial" w:eastAsia="Arial" w:hAnsi="Arial" w:cs="Arial"/>
          <w:i/>
          <w:color w:val="000000"/>
          <w:sz w:val="20"/>
        </w:rPr>
        <w:t>The Journal of Agricultural Science</w:t>
      </w:r>
      <w:r w:rsidRPr="00314FD9">
        <w:rPr>
          <w:rFonts w:ascii="Arial" w:eastAsia="Arial" w:hAnsi="Arial" w:cs="Arial"/>
          <w:color w:val="000000"/>
          <w:sz w:val="20"/>
        </w:rPr>
        <w:t xml:space="preserve">, </w:t>
      </w:r>
      <w:r w:rsidRPr="00314FD9">
        <w:rPr>
          <w:rFonts w:ascii="Arial" w:eastAsia="Arial" w:hAnsi="Arial" w:cs="Arial"/>
          <w:i/>
          <w:color w:val="000000"/>
          <w:sz w:val="20"/>
        </w:rPr>
        <w:t>144</w:t>
      </w:r>
      <w:r w:rsidRPr="00314FD9">
        <w:rPr>
          <w:rFonts w:ascii="Arial" w:eastAsia="Arial" w:hAnsi="Arial" w:cs="Arial"/>
          <w:color w:val="000000"/>
          <w:sz w:val="20"/>
        </w:rPr>
        <w:t xml:space="preserve">(1), 31–43. </w:t>
      </w:r>
      <w:hyperlink r:id="rId17">
        <w:r w:rsidR="00E504C7" w:rsidRPr="00314FD9">
          <w:rPr>
            <w:rFonts w:ascii="Arial" w:eastAsia="Arial" w:hAnsi="Arial" w:cs="Arial"/>
            <w:color w:val="000000"/>
            <w:sz w:val="20"/>
            <w:szCs w:val="20"/>
            <w:u w:val="single"/>
          </w:rPr>
          <w:t>https://doi.org/10.1017/S0021859605005708</w:t>
        </w:r>
      </w:hyperlink>
    </w:p>
    <w:p w14:paraId="50BB344E"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lastRenderedPageBreak/>
        <w:t xml:space="preserve">Padmavathi, C., Katti, G., </w:t>
      </w:r>
      <w:proofErr w:type="spellStart"/>
      <w:r w:rsidRPr="00314FD9">
        <w:rPr>
          <w:rFonts w:ascii="Arial" w:eastAsia="Arial" w:hAnsi="Arial" w:cs="Arial"/>
          <w:color w:val="000000"/>
          <w:sz w:val="20"/>
        </w:rPr>
        <w:t>Padmakumari</w:t>
      </w:r>
      <w:proofErr w:type="spellEnd"/>
      <w:r w:rsidRPr="00314FD9">
        <w:rPr>
          <w:rFonts w:ascii="Arial" w:eastAsia="Arial" w:hAnsi="Arial" w:cs="Arial"/>
          <w:color w:val="000000"/>
          <w:sz w:val="20"/>
        </w:rPr>
        <w:t xml:space="preserve">, A. P., Voleti, S. R., &amp; Subba Rao, L. V. (2013a). The effect of </w:t>
      </w:r>
      <w:proofErr w:type="spellStart"/>
      <w:r w:rsidRPr="00314FD9">
        <w:rPr>
          <w:rFonts w:ascii="Arial" w:eastAsia="Arial" w:hAnsi="Arial" w:cs="Arial"/>
          <w:color w:val="000000"/>
          <w:sz w:val="20"/>
        </w:rPr>
        <w:t>leaffolder</w:t>
      </w:r>
      <w:proofErr w:type="spellEnd"/>
      <w:r w:rsidRPr="00314FD9">
        <w:rPr>
          <w:rFonts w:ascii="Arial" w:eastAsia="Arial" w:hAnsi="Arial" w:cs="Arial"/>
          <w:color w:val="000000"/>
          <w:sz w:val="20"/>
        </w:rPr>
        <w:t xml:space="preserve">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Guenee</w:t>
      </w:r>
      <w:proofErr w:type="spellEnd"/>
      <w:r w:rsidRPr="00314FD9">
        <w:rPr>
          <w:rFonts w:ascii="Arial" w:eastAsia="Arial" w:hAnsi="Arial" w:cs="Arial"/>
          <w:color w:val="000000"/>
          <w:sz w:val="20"/>
        </w:rPr>
        <w:t xml:space="preserve">) [Lepidoptera: </w:t>
      </w:r>
      <w:proofErr w:type="spellStart"/>
      <w:r w:rsidRPr="00314FD9">
        <w:rPr>
          <w:rFonts w:ascii="Arial" w:eastAsia="Arial" w:hAnsi="Arial" w:cs="Arial"/>
          <w:color w:val="000000"/>
          <w:sz w:val="20"/>
        </w:rPr>
        <w:t>Pyralidae</w:t>
      </w:r>
      <w:proofErr w:type="spellEnd"/>
      <w:r w:rsidRPr="00314FD9">
        <w:rPr>
          <w:rFonts w:ascii="Arial" w:eastAsia="Arial" w:hAnsi="Arial" w:cs="Arial"/>
          <w:color w:val="000000"/>
          <w:sz w:val="20"/>
        </w:rPr>
        <w:t xml:space="preserve">] injury on the plant physiology and yield loss in rice. </w:t>
      </w:r>
      <w:r w:rsidRPr="00314FD9">
        <w:rPr>
          <w:rFonts w:ascii="Arial" w:eastAsia="Arial" w:hAnsi="Arial" w:cs="Arial"/>
          <w:i/>
          <w:color w:val="000000"/>
          <w:sz w:val="20"/>
        </w:rPr>
        <w:t>Journal of Applied Entomology</w:t>
      </w:r>
      <w:r w:rsidRPr="00314FD9">
        <w:rPr>
          <w:rFonts w:ascii="Arial" w:eastAsia="Arial" w:hAnsi="Arial" w:cs="Arial"/>
          <w:color w:val="000000"/>
          <w:sz w:val="20"/>
        </w:rPr>
        <w:t xml:space="preserve">, </w:t>
      </w:r>
      <w:r w:rsidRPr="00314FD9">
        <w:rPr>
          <w:rFonts w:ascii="Arial" w:eastAsia="Arial" w:hAnsi="Arial" w:cs="Arial"/>
          <w:i/>
          <w:color w:val="000000"/>
          <w:sz w:val="20"/>
        </w:rPr>
        <w:t>137</w:t>
      </w:r>
      <w:r w:rsidRPr="00314FD9">
        <w:rPr>
          <w:rFonts w:ascii="Arial" w:eastAsia="Arial" w:hAnsi="Arial" w:cs="Arial"/>
          <w:color w:val="000000"/>
          <w:sz w:val="20"/>
        </w:rPr>
        <w:t xml:space="preserve">(4), 249–256. </w:t>
      </w:r>
      <w:hyperlink r:id="rId18">
        <w:r w:rsidR="00E504C7" w:rsidRPr="00314FD9">
          <w:rPr>
            <w:rFonts w:ascii="Arial" w:eastAsia="Arial" w:hAnsi="Arial" w:cs="Arial"/>
            <w:color w:val="000000"/>
            <w:sz w:val="20"/>
            <w:szCs w:val="20"/>
            <w:u w:val="single"/>
          </w:rPr>
          <w:t>https://doi.org/10.1111/j.1439-0418.2012.01741.x</w:t>
        </w:r>
      </w:hyperlink>
    </w:p>
    <w:p w14:paraId="38D27BF6"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Padmavathi, C., Katti, G., Sailaja, V., Padmakumari, A. P., </w:t>
      </w:r>
      <w:proofErr w:type="spellStart"/>
      <w:r w:rsidRPr="00314FD9">
        <w:rPr>
          <w:rFonts w:ascii="Arial" w:eastAsia="Arial" w:hAnsi="Arial" w:cs="Arial"/>
          <w:color w:val="000000"/>
          <w:sz w:val="20"/>
        </w:rPr>
        <w:t>Jhansilakshmi</w:t>
      </w:r>
      <w:proofErr w:type="spellEnd"/>
      <w:r w:rsidRPr="00314FD9">
        <w:rPr>
          <w:rFonts w:ascii="Arial" w:eastAsia="Arial" w:hAnsi="Arial" w:cs="Arial"/>
          <w:color w:val="000000"/>
          <w:sz w:val="20"/>
        </w:rPr>
        <w:t xml:space="preserve">, V., Prabhakar, M., &amp; Prasad, Y. G. (2013b). Temperature thresholds and thermal requirements for the development of the rice leaf folder,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r w:rsidRPr="00314FD9">
        <w:rPr>
          <w:rFonts w:ascii="Arial" w:eastAsia="Arial" w:hAnsi="Arial" w:cs="Arial"/>
          <w:i/>
          <w:color w:val="000000"/>
          <w:sz w:val="20"/>
        </w:rPr>
        <w:t>Journal of Insect Science</w:t>
      </w:r>
      <w:r w:rsidRPr="00314FD9">
        <w:rPr>
          <w:rFonts w:ascii="Arial" w:eastAsia="Arial" w:hAnsi="Arial" w:cs="Arial"/>
          <w:color w:val="000000"/>
          <w:sz w:val="20"/>
        </w:rPr>
        <w:t xml:space="preserve">, </w:t>
      </w:r>
      <w:r w:rsidRPr="00314FD9">
        <w:rPr>
          <w:rFonts w:ascii="Arial" w:eastAsia="Arial" w:hAnsi="Arial" w:cs="Arial"/>
          <w:i/>
          <w:color w:val="000000"/>
          <w:sz w:val="20"/>
        </w:rPr>
        <w:t>13</w:t>
      </w:r>
      <w:r w:rsidRPr="00314FD9">
        <w:rPr>
          <w:rFonts w:ascii="Arial" w:eastAsia="Arial" w:hAnsi="Arial" w:cs="Arial"/>
          <w:color w:val="000000"/>
          <w:sz w:val="20"/>
        </w:rPr>
        <w:t xml:space="preserve">(1), Article 96. </w:t>
      </w:r>
      <w:hyperlink r:id="rId19">
        <w:r w:rsidR="00E504C7" w:rsidRPr="00314FD9">
          <w:rPr>
            <w:rFonts w:ascii="Arial" w:eastAsia="Arial" w:hAnsi="Arial" w:cs="Arial"/>
            <w:color w:val="000000"/>
            <w:sz w:val="20"/>
            <w:szCs w:val="20"/>
            <w:u w:val="single"/>
          </w:rPr>
          <w:t>https://doi.org/10.1673/031.013.9601</w:t>
        </w:r>
      </w:hyperlink>
    </w:p>
    <w:p w14:paraId="7DEA6E38"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Park, H.-H., Ahn, J. J., &amp; Park, C.-G. (2014). Temperature-dependent development of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Guenée</w:t>
      </w:r>
      <w:proofErr w:type="spellEnd"/>
      <w:r w:rsidRPr="00314FD9">
        <w:rPr>
          <w:rFonts w:ascii="Arial" w:eastAsia="Arial" w:hAnsi="Arial" w:cs="Arial"/>
          <w:color w:val="000000"/>
          <w:sz w:val="20"/>
        </w:rPr>
        <w:t xml:space="preserve"> (Lepidoptera: </w:t>
      </w:r>
      <w:proofErr w:type="spellStart"/>
      <w:r w:rsidRPr="00314FD9">
        <w:rPr>
          <w:rFonts w:ascii="Arial" w:eastAsia="Arial" w:hAnsi="Arial" w:cs="Arial"/>
          <w:color w:val="000000"/>
          <w:sz w:val="20"/>
        </w:rPr>
        <w:t>Pyralidae</w:t>
      </w:r>
      <w:proofErr w:type="spellEnd"/>
      <w:r w:rsidRPr="00314FD9">
        <w:rPr>
          <w:rFonts w:ascii="Arial" w:eastAsia="Arial" w:hAnsi="Arial" w:cs="Arial"/>
          <w:color w:val="000000"/>
          <w:sz w:val="20"/>
        </w:rPr>
        <w:t xml:space="preserve">) and their validation in semi-field condition. </w:t>
      </w:r>
      <w:r w:rsidRPr="00314FD9">
        <w:rPr>
          <w:rFonts w:ascii="Arial" w:eastAsia="Arial" w:hAnsi="Arial" w:cs="Arial"/>
          <w:i/>
          <w:color w:val="000000"/>
          <w:sz w:val="20"/>
        </w:rPr>
        <w:t>Journal of Asia-Pacific Entomology</w:t>
      </w:r>
      <w:r w:rsidRPr="00314FD9">
        <w:rPr>
          <w:rFonts w:ascii="Arial" w:eastAsia="Arial" w:hAnsi="Arial" w:cs="Arial"/>
          <w:color w:val="000000"/>
          <w:sz w:val="20"/>
        </w:rPr>
        <w:t xml:space="preserve">, </w:t>
      </w:r>
      <w:r w:rsidRPr="00314FD9">
        <w:rPr>
          <w:rFonts w:ascii="Arial" w:eastAsia="Arial" w:hAnsi="Arial" w:cs="Arial"/>
          <w:i/>
          <w:color w:val="000000"/>
          <w:sz w:val="20"/>
        </w:rPr>
        <w:t>17</w:t>
      </w:r>
      <w:r w:rsidRPr="00314FD9">
        <w:rPr>
          <w:rFonts w:ascii="Arial" w:eastAsia="Arial" w:hAnsi="Arial" w:cs="Arial"/>
          <w:color w:val="000000"/>
          <w:sz w:val="20"/>
        </w:rPr>
        <w:t xml:space="preserve">(1), 83–91. </w:t>
      </w:r>
      <w:hyperlink r:id="rId20">
        <w:r w:rsidR="00E504C7" w:rsidRPr="00314FD9">
          <w:rPr>
            <w:rFonts w:ascii="Arial" w:eastAsia="Arial" w:hAnsi="Arial" w:cs="Arial"/>
            <w:color w:val="000000"/>
            <w:sz w:val="20"/>
            <w:szCs w:val="20"/>
            <w:u w:val="single"/>
          </w:rPr>
          <w:t>https://doi.org/10.1016/j.aspen.2013.11.003</w:t>
        </w:r>
      </w:hyperlink>
    </w:p>
    <w:p w14:paraId="25936317"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Pathak, M. D., &amp; Khan, Z. R. (1994). </w:t>
      </w:r>
      <w:r w:rsidRPr="00314FD9">
        <w:rPr>
          <w:rFonts w:ascii="Arial" w:eastAsia="Arial" w:hAnsi="Arial" w:cs="Arial"/>
          <w:i/>
          <w:color w:val="000000"/>
          <w:sz w:val="20"/>
        </w:rPr>
        <w:t>Insect pests of rice</w:t>
      </w:r>
      <w:r w:rsidRPr="00314FD9">
        <w:rPr>
          <w:rFonts w:ascii="Arial" w:eastAsia="Arial" w:hAnsi="Arial" w:cs="Arial"/>
          <w:color w:val="000000"/>
          <w:sz w:val="20"/>
        </w:rPr>
        <w:t xml:space="preserve">. International Rice Research Institute. </w:t>
      </w:r>
      <w:hyperlink r:id="rId21">
        <w:r w:rsidR="00E504C7" w:rsidRPr="00314FD9">
          <w:rPr>
            <w:rFonts w:ascii="Arial" w:eastAsia="Arial" w:hAnsi="Arial" w:cs="Arial"/>
            <w:color w:val="000000"/>
            <w:sz w:val="20"/>
            <w:szCs w:val="20"/>
            <w:u w:val="single"/>
          </w:rPr>
          <w:t>https://books.irri.org/9712200280_content.pdf</w:t>
        </w:r>
      </w:hyperlink>
    </w:p>
    <w:p w14:paraId="224D2FDD"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Sharma, K. R., Raju, S. V. S., Singh, S. K., &amp; Chandra, U. (2024). Impact of crop phenology and environmental factors on rice leaf folder infestation in middle Gangetic plains of India. </w:t>
      </w:r>
      <w:r w:rsidRPr="00314FD9">
        <w:rPr>
          <w:rFonts w:ascii="Arial" w:eastAsia="Arial" w:hAnsi="Arial" w:cs="Arial"/>
          <w:i/>
          <w:color w:val="000000"/>
          <w:sz w:val="20"/>
        </w:rPr>
        <w:t>Indian Journal of Ecology</w:t>
      </w:r>
      <w:r w:rsidRPr="00314FD9">
        <w:rPr>
          <w:rFonts w:ascii="Arial" w:eastAsia="Arial" w:hAnsi="Arial" w:cs="Arial"/>
          <w:color w:val="000000"/>
          <w:sz w:val="20"/>
        </w:rPr>
        <w:t xml:space="preserve">, </w:t>
      </w:r>
      <w:r w:rsidRPr="00314FD9">
        <w:rPr>
          <w:rFonts w:ascii="Arial" w:eastAsia="Arial" w:hAnsi="Arial" w:cs="Arial"/>
          <w:i/>
          <w:color w:val="000000"/>
          <w:sz w:val="20"/>
        </w:rPr>
        <w:t>51</w:t>
      </w:r>
      <w:r w:rsidRPr="00314FD9">
        <w:rPr>
          <w:rFonts w:ascii="Arial" w:eastAsia="Arial" w:hAnsi="Arial" w:cs="Arial"/>
          <w:color w:val="000000"/>
          <w:sz w:val="20"/>
        </w:rPr>
        <w:t xml:space="preserve">(4), 837–841. </w:t>
      </w:r>
      <w:hyperlink r:id="rId22">
        <w:r w:rsidR="00E504C7" w:rsidRPr="00314FD9">
          <w:rPr>
            <w:rFonts w:ascii="Arial" w:eastAsia="Arial" w:hAnsi="Arial" w:cs="Arial"/>
            <w:color w:val="000000"/>
            <w:sz w:val="20"/>
            <w:szCs w:val="20"/>
            <w:u w:val="single"/>
          </w:rPr>
          <w:t>https://indianecologicalsociety.com/wp-content/themes/ecology/volume_pdfs/1723096020.pdf</w:t>
        </w:r>
      </w:hyperlink>
    </w:p>
    <w:p w14:paraId="06320835" w14:textId="77777777" w:rsidR="004131CC" w:rsidRPr="00314FD9" w:rsidRDefault="00000000">
      <w:pPr>
        <w:spacing w:after="0" w:line="240" w:lineRule="auto"/>
        <w:ind w:left="720" w:hanging="720"/>
        <w:jc w:val="both"/>
        <w:rPr>
          <w:rFonts w:ascii="Arial" w:hAnsi="Arial" w:cs="Arial"/>
          <w:sz w:val="20"/>
          <w:szCs w:val="20"/>
        </w:rPr>
      </w:pPr>
      <w:proofErr w:type="spellStart"/>
      <w:r w:rsidRPr="00314FD9">
        <w:rPr>
          <w:rFonts w:ascii="Arial" w:eastAsia="Arial" w:hAnsi="Arial" w:cs="Arial"/>
          <w:b/>
          <w:color w:val="000000"/>
          <w:sz w:val="20"/>
        </w:rPr>
        <w:t>Tetarwal</w:t>
      </w:r>
      <w:proofErr w:type="spellEnd"/>
      <w:r w:rsidRPr="00314FD9">
        <w:rPr>
          <w:rFonts w:ascii="Arial" w:eastAsia="Arial" w:hAnsi="Arial" w:cs="Arial"/>
          <w:b/>
          <w:color w:val="000000"/>
          <w:sz w:val="20"/>
        </w:rPr>
        <w:t xml:space="preserve">, O., </w:t>
      </w:r>
      <w:proofErr w:type="spellStart"/>
      <w:r w:rsidRPr="00314FD9">
        <w:rPr>
          <w:rFonts w:ascii="Arial" w:eastAsia="Arial" w:hAnsi="Arial" w:cs="Arial"/>
          <w:b/>
          <w:color w:val="000000"/>
          <w:sz w:val="20"/>
        </w:rPr>
        <w:t>Ghanswa</w:t>
      </w:r>
      <w:proofErr w:type="spellEnd"/>
      <w:r w:rsidRPr="00314FD9">
        <w:rPr>
          <w:rFonts w:ascii="Arial" w:eastAsia="Arial" w:hAnsi="Arial" w:cs="Arial"/>
          <w:b/>
          <w:color w:val="000000"/>
          <w:sz w:val="20"/>
        </w:rPr>
        <w:t xml:space="preserve">, R., Chopra, N., </w:t>
      </w:r>
      <w:proofErr w:type="spellStart"/>
      <w:r w:rsidRPr="00314FD9">
        <w:rPr>
          <w:rFonts w:ascii="Arial" w:eastAsia="Arial" w:hAnsi="Arial" w:cs="Arial"/>
          <w:b/>
          <w:color w:val="000000"/>
          <w:sz w:val="20"/>
        </w:rPr>
        <w:t>Ghaswa</w:t>
      </w:r>
      <w:proofErr w:type="spellEnd"/>
      <w:r w:rsidRPr="00314FD9">
        <w:rPr>
          <w:rFonts w:ascii="Arial" w:eastAsia="Arial" w:hAnsi="Arial" w:cs="Arial"/>
          <w:b/>
          <w:color w:val="000000"/>
          <w:sz w:val="20"/>
        </w:rPr>
        <w:t xml:space="preserve">, R., &amp; Jat, G. R. (2026). Climate-driven range shifts in insect pests: Redrawing the global map of crop vulnerability. </w:t>
      </w:r>
      <w:r w:rsidRPr="00314FD9">
        <w:rPr>
          <w:rFonts w:ascii="Arial" w:eastAsia="Arial" w:hAnsi="Arial" w:cs="Arial"/>
          <w:b/>
          <w:i/>
          <w:color w:val="000000"/>
          <w:sz w:val="20"/>
        </w:rPr>
        <w:t>Journal of Global Agriculture and Ecology</w:t>
      </w:r>
      <w:r w:rsidRPr="00314FD9">
        <w:rPr>
          <w:rFonts w:ascii="Arial" w:eastAsia="Arial" w:hAnsi="Arial" w:cs="Arial"/>
          <w:b/>
          <w:color w:val="000000"/>
          <w:sz w:val="20"/>
        </w:rPr>
        <w:t xml:space="preserve">, </w:t>
      </w:r>
      <w:r w:rsidRPr="00314FD9">
        <w:rPr>
          <w:rFonts w:ascii="Arial" w:eastAsia="Arial" w:hAnsi="Arial" w:cs="Arial"/>
          <w:b/>
          <w:i/>
          <w:color w:val="000000"/>
          <w:sz w:val="20"/>
        </w:rPr>
        <w:t>18</w:t>
      </w:r>
      <w:r w:rsidRPr="00314FD9">
        <w:rPr>
          <w:rFonts w:ascii="Arial" w:eastAsia="Arial" w:hAnsi="Arial" w:cs="Arial"/>
          <w:b/>
          <w:color w:val="000000"/>
          <w:sz w:val="20"/>
        </w:rPr>
        <w:t xml:space="preserve">(3), 132–145. </w:t>
      </w:r>
      <w:hyperlink r:id="rId23">
        <w:r w:rsidRPr="00314FD9">
          <w:rPr>
            <w:rFonts w:ascii="Arial" w:eastAsia="Arial" w:hAnsi="Arial" w:cs="Arial"/>
            <w:b/>
            <w:color w:val="000000"/>
            <w:sz w:val="20"/>
            <w:szCs w:val="20"/>
            <w:u w:val="single"/>
          </w:rPr>
          <w:t>https://doi.org/10.56557/jogae/2026/v18i310845</w:t>
        </w:r>
      </w:hyperlink>
    </w:p>
    <w:p w14:paraId="48718157"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 xml:space="preserve">Vanitha, B. K., Ashok Kumar, C. T., Prashantha, C., Ramya, P. R., &amp; Vinutha, T. M. (2015). Relationship between seasonal incidence of rice leaf folder,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w:t>
      </w:r>
      <w:proofErr w:type="spellStart"/>
      <w:r w:rsidRPr="00314FD9">
        <w:rPr>
          <w:rFonts w:ascii="Arial" w:eastAsia="Arial" w:hAnsi="Arial" w:cs="Arial"/>
          <w:color w:val="000000"/>
          <w:sz w:val="20"/>
        </w:rPr>
        <w:t>Guenee</w:t>
      </w:r>
      <w:proofErr w:type="spellEnd"/>
      <w:r w:rsidRPr="00314FD9">
        <w:rPr>
          <w:rFonts w:ascii="Arial" w:eastAsia="Arial" w:hAnsi="Arial" w:cs="Arial"/>
          <w:color w:val="000000"/>
          <w:sz w:val="20"/>
        </w:rPr>
        <w:t xml:space="preserve">) and meteorological parameters. </w:t>
      </w:r>
      <w:r w:rsidRPr="00314FD9">
        <w:rPr>
          <w:rFonts w:ascii="Arial" w:eastAsia="Arial" w:hAnsi="Arial" w:cs="Arial"/>
          <w:i/>
          <w:color w:val="000000"/>
          <w:sz w:val="20"/>
        </w:rPr>
        <w:t>Journal of Experimental Zoology, India</w:t>
      </w:r>
      <w:r w:rsidRPr="00314FD9">
        <w:rPr>
          <w:rFonts w:ascii="Arial" w:eastAsia="Arial" w:hAnsi="Arial" w:cs="Arial"/>
          <w:color w:val="000000"/>
          <w:sz w:val="20"/>
        </w:rPr>
        <w:t xml:space="preserve">, </w:t>
      </w:r>
      <w:r w:rsidRPr="00314FD9">
        <w:rPr>
          <w:rFonts w:ascii="Arial" w:eastAsia="Arial" w:hAnsi="Arial" w:cs="Arial"/>
          <w:i/>
          <w:color w:val="000000"/>
          <w:sz w:val="20"/>
        </w:rPr>
        <w:t>18</w:t>
      </w:r>
      <w:r w:rsidRPr="00314FD9">
        <w:rPr>
          <w:rFonts w:ascii="Arial" w:eastAsia="Arial" w:hAnsi="Arial" w:cs="Arial"/>
          <w:color w:val="000000"/>
          <w:sz w:val="20"/>
        </w:rPr>
        <w:t xml:space="preserve">(1), 279–284. </w:t>
      </w:r>
      <w:hyperlink r:id="rId24">
        <w:r w:rsidR="00E504C7" w:rsidRPr="00314FD9">
          <w:rPr>
            <w:rFonts w:ascii="Arial" w:eastAsia="Arial" w:hAnsi="Arial" w:cs="Arial"/>
            <w:color w:val="000000"/>
            <w:sz w:val="20"/>
            <w:szCs w:val="20"/>
            <w:u w:val="single"/>
          </w:rPr>
          <w:t>https://connectjournals.com/file_full_text/2148901H_279-284.pdf</w:t>
        </w:r>
      </w:hyperlink>
    </w:p>
    <w:p w14:paraId="457BC743" w14:textId="77777777" w:rsidR="00E504C7" w:rsidRPr="00314FD9" w:rsidRDefault="00000000" w:rsidP="002C1309">
      <w:pPr>
        <w:spacing w:after="0" w:line="240" w:lineRule="auto"/>
        <w:ind w:left="720" w:hanging="720"/>
        <w:jc w:val="both"/>
        <w:rPr>
          <w:rFonts w:ascii="Arial" w:hAnsi="Arial" w:cs="Arial"/>
          <w:sz w:val="20"/>
          <w:szCs w:val="20"/>
        </w:rPr>
      </w:pPr>
      <w:r w:rsidRPr="00314FD9">
        <w:rPr>
          <w:rFonts w:ascii="Arial" w:eastAsia="Arial" w:hAnsi="Arial" w:cs="Arial"/>
          <w:color w:val="000000"/>
          <w:sz w:val="20"/>
        </w:rPr>
        <w:t>Zhao, Y., Zhang, L., &amp; Wang, C. (2024). Predicting possible distribution of rice leaf roller (</w:t>
      </w:r>
      <w:proofErr w:type="spellStart"/>
      <w:r w:rsidRPr="00314FD9">
        <w:rPr>
          <w:rFonts w:ascii="Arial" w:eastAsia="Arial" w:hAnsi="Arial" w:cs="Arial"/>
          <w:i/>
          <w:color w:val="000000"/>
          <w:sz w:val="20"/>
        </w:rPr>
        <w:t>Cnaphalocrocis</w:t>
      </w:r>
      <w:proofErr w:type="spellEnd"/>
      <w:r w:rsidRPr="00314FD9">
        <w:rPr>
          <w:rFonts w:ascii="Arial" w:eastAsia="Arial" w:hAnsi="Arial" w:cs="Arial"/>
          <w:i/>
          <w:color w:val="000000"/>
          <w:sz w:val="20"/>
        </w:rPr>
        <w:t xml:space="preserve"> </w:t>
      </w:r>
      <w:proofErr w:type="spellStart"/>
      <w:r w:rsidRPr="00314FD9">
        <w:rPr>
          <w:rFonts w:ascii="Arial" w:eastAsia="Arial" w:hAnsi="Arial" w:cs="Arial"/>
          <w:i/>
          <w:color w:val="000000"/>
          <w:sz w:val="20"/>
        </w:rPr>
        <w:t>medinalis</w:t>
      </w:r>
      <w:proofErr w:type="spellEnd"/>
      <w:r w:rsidRPr="00314FD9">
        <w:rPr>
          <w:rFonts w:ascii="Arial" w:eastAsia="Arial" w:hAnsi="Arial" w:cs="Arial"/>
          <w:color w:val="000000"/>
          <w:sz w:val="20"/>
        </w:rPr>
        <w:t xml:space="preserve">) under climate change scenarios using </w:t>
      </w:r>
      <w:proofErr w:type="spellStart"/>
      <w:r w:rsidRPr="00314FD9">
        <w:rPr>
          <w:rFonts w:ascii="Arial" w:eastAsia="Arial" w:hAnsi="Arial" w:cs="Arial"/>
          <w:color w:val="000000"/>
          <w:sz w:val="20"/>
        </w:rPr>
        <w:t>MaxEnt</w:t>
      </w:r>
      <w:proofErr w:type="spellEnd"/>
      <w:r w:rsidRPr="00314FD9">
        <w:rPr>
          <w:rFonts w:ascii="Arial" w:eastAsia="Arial" w:hAnsi="Arial" w:cs="Arial"/>
          <w:color w:val="000000"/>
          <w:sz w:val="20"/>
        </w:rPr>
        <w:t xml:space="preserve"> model in China. </w:t>
      </w:r>
      <w:r w:rsidRPr="00314FD9">
        <w:rPr>
          <w:rFonts w:ascii="Arial" w:eastAsia="Arial" w:hAnsi="Arial" w:cs="Arial"/>
          <w:i/>
          <w:color w:val="000000"/>
          <w:sz w:val="20"/>
        </w:rPr>
        <w:t>Scientific Reports</w:t>
      </w:r>
      <w:r w:rsidRPr="00314FD9">
        <w:rPr>
          <w:rFonts w:ascii="Arial" w:eastAsia="Arial" w:hAnsi="Arial" w:cs="Arial"/>
          <w:color w:val="000000"/>
          <w:sz w:val="20"/>
        </w:rPr>
        <w:t xml:space="preserve">, </w:t>
      </w:r>
      <w:r w:rsidRPr="00314FD9">
        <w:rPr>
          <w:rFonts w:ascii="Arial" w:eastAsia="Arial" w:hAnsi="Arial" w:cs="Arial"/>
          <w:i/>
          <w:color w:val="000000"/>
          <w:sz w:val="20"/>
        </w:rPr>
        <w:t>14</w:t>
      </w:r>
      <w:r w:rsidRPr="00314FD9">
        <w:rPr>
          <w:rFonts w:ascii="Arial" w:eastAsia="Arial" w:hAnsi="Arial" w:cs="Arial"/>
          <w:color w:val="000000"/>
          <w:sz w:val="20"/>
        </w:rPr>
        <w:t xml:space="preserve">, Article 21245. </w:t>
      </w:r>
      <w:hyperlink r:id="rId25">
        <w:r w:rsidR="00E504C7" w:rsidRPr="00314FD9">
          <w:rPr>
            <w:rFonts w:ascii="Arial" w:eastAsia="Arial" w:hAnsi="Arial" w:cs="Arial"/>
            <w:color w:val="000000"/>
            <w:sz w:val="20"/>
            <w:szCs w:val="20"/>
            <w:u w:val="single"/>
          </w:rPr>
          <w:t>https://doi.org/10.1038/s41598-024-71228-2</w:t>
        </w:r>
      </w:hyperlink>
    </w:p>
    <w:p w14:paraId="38983B51" w14:textId="77777777" w:rsidR="004131CC" w:rsidRDefault="00000000">
      <w:pPr>
        <w:spacing w:after="0" w:line="240" w:lineRule="auto"/>
        <w:ind w:left="720" w:hanging="720"/>
        <w:jc w:val="both"/>
        <w:rPr>
          <w:rFonts w:ascii="Arial" w:hAnsi="Arial" w:cs="Arial"/>
          <w:sz w:val="20"/>
          <w:szCs w:val="20"/>
        </w:rPr>
      </w:pPr>
      <w:r w:rsidRPr="00314FD9">
        <w:rPr>
          <w:rFonts w:ascii="Arial" w:eastAsia="Arial" w:hAnsi="Arial" w:cs="Arial"/>
          <w:b/>
          <w:color w:val="000000"/>
          <w:sz w:val="20"/>
        </w:rPr>
        <w:t xml:space="preserve">Zhou, X., Yan, R., Liu, D., Jia, H., Li, X., Cang, X., </w:t>
      </w:r>
      <w:proofErr w:type="spellStart"/>
      <w:r w:rsidRPr="00314FD9">
        <w:rPr>
          <w:rFonts w:ascii="Arial" w:eastAsia="Arial" w:hAnsi="Arial" w:cs="Arial"/>
          <w:b/>
          <w:color w:val="000000"/>
          <w:sz w:val="20"/>
        </w:rPr>
        <w:t>Lv</w:t>
      </w:r>
      <w:proofErr w:type="spellEnd"/>
      <w:r w:rsidRPr="00314FD9">
        <w:rPr>
          <w:rFonts w:ascii="Arial" w:eastAsia="Arial" w:hAnsi="Arial" w:cs="Arial"/>
          <w:b/>
          <w:color w:val="000000"/>
          <w:sz w:val="20"/>
        </w:rPr>
        <w:t xml:space="preserve">, Y., &amp; Wu, K. (2025). Seasonal migration dynamics of the rice leaf folder </w:t>
      </w:r>
      <w:proofErr w:type="spellStart"/>
      <w:r w:rsidRPr="00314FD9">
        <w:rPr>
          <w:rFonts w:ascii="Arial" w:eastAsia="Arial" w:hAnsi="Arial" w:cs="Arial"/>
          <w:b/>
          <w:i/>
          <w:color w:val="000000"/>
          <w:sz w:val="20"/>
        </w:rPr>
        <w:t>Cnaphalocrocis</w:t>
      </w:r>
      <w:proofErr w:type="spellEnd"/>
      <w:r w:rsidRPr="00314FD9">
        <w:rPr>
          <w:rFonts w:ascii="Arial" w:eastAsia="Arial" w:hAnsi="Arial" w:cs="Arial"/>
          <w:b/>
          <w:i/>
          <w:color w:val="000000"/>
          <w:sz w:val="20"/>
        </w:rPr>
        <w:t xml:space="preserve"> </w:t>
      </w:r>
      <w:proofErr w:type="spellStart"/>
      <w:r w:rsidRPr="00314FD9">
        <w:rPr>
          <w:rFonts w:ascii="Arial" w:eastAsia="Arial" w:hAnsi="Arial" w:cs="Arial"/>
          <w:b/>
          <w:i/>
          <w:color w:val="000000"/>
          <w:sz w:val="20"/>
        </w:rPr>
        <w:t>medinalis</w:t>
      </w:r>
      <w:proofErr w:type="spellEnd"/>
      <w:r w:rsidRPr="00314FD9">
        <w:rPr>
          <w:rFonts w:ascii="Arial" w:eastAsia="Arial" w:hAnsi="Arial" w:cs="Arial"/>
          <w:b/>
          <w:color w:val="000000"/>
          <w:sz w:val="20"/>
        </w:rPr>
        <w:t xml:space="preserve"> across the South China Sea. </w:t>
      </w:r>
      <w:r w:rsidRPr="00314FD9">
        <w:rPr>
          <w:rFonts w:ascii="Arial" w:eastAsia="Arial" w:hAnsi="Arial" w:cs="Arial"/>
          <w:b/>
          <w:i/>
          <w:color w:val="000000"/>
          <w:sz w:val="20"/>
        </w:rPr>
        <w:t>Journal of Pest Science</w:t>
      </w:r>
      <w:r w:rsidRPr="00314FD9">
        <w:rPr>
          <w:rFonts w:ascii="Arial" w:eastAsia="Arial" w:hAnsi="Arial" w:cs="Arial"/>
          <w:b/>
          <w:color w:val="000000"/>
          <w:sz w:val="20"/>
        </w:rPr>
        <w:t xml:space="preserve">, </w:t>
      </w:r>
      <w:r w:rsidRPr="00314FD9">
        <w:rPr>
          <w:rFonts w:ascii="Arial" w:eastAsia="Arial" w:hAnsi="Arial" w:cs="Arial"/>
          <w:b/>
          <w:i/>
          <w:color w:val="000000"/>
          <w:sz w:val="20"/>
        </w:rPr>
        <w:t>98</w:t>
      </w:r>
      <w:r w:rsidRPr="00314FD9">
        <w:rPr>
          <w:rFonts w:ascii="Arial" w:eastAsia="Arial" w:hAnsi="Arial" w:cs="Arial"/>
          <w:b/>
          <w:color w:val="000000"/>
          <w:sz w:val="20"/>
        </w:rPr>
        <w:t xml:space="preserve">, 2107–2116. </w:t>
      </w:r>
      <w:hyperlink r:id="rId26">
        <w:r w:rsidRPr="00314FD9">
          <w:rPr>
            <w:rFonts w:ascii="Arial" w:eastAsia="Arial" w:hAnsi="Arial" w:cs="Arial"/>
            <w:b/>
            <w:color w:val="000000"/>
            <w:sz w:val="20"/>
            <w:szCs w:val="20"/>
            <w:u w:val="single"/>
          </w:rPr>
          <w:t>https://doi.org/10.1007/s10340-025-01927-w</w:t>
        </w:r>
      </w:hyperlink>
    </w:p>
    <w:sectPr w:rsidR="004131CC">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2323" w14:textId="77777777" w:rsidR="0000076B" w:rsidRDefault="0000076B">
      <w:pPr>
        <w:spacing w:line="240" w:lineRule="auto"/>
      </w:pPr>
      <w:r>
        <w:separator/>
      </w:r>
    </w:p>
  </w:endnote>
  <w:endnote w:type="continuationSeparator" w:id="0">
    <w:p w14:paraId="544F9F23" w14:textId="77777777" w:rsidR="0000076B" w:rsidRDefault="00000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343B" w14:textId="77777777" w:rsidR="00E504C7" w:rsidRDefault="00E50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15FA" w14:textId="77777777" w:rsidR="00E504C7" w:rsidRDefault="00E504C7">
    <w:pPr>
      <w:pStyle w:val="Footer"/>
    </w:pPr>
  </w:p>
  <w:p w14:paraId="2543FCC0" w14:textId="77777777" w:rsidR="00E504C7" w:rsidRDefault="00E504C7">
    <w:pPr>
      <w:jc w:val="right"/>
      <w:rPr>
        <w:rFonts w:ascii="Arial" w:hAnsi="Arial" w:cs="Arial"/>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1B49" w14:textId="77777777" w:rsidR="00E504C7" w:rsidRDefault="00E50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ADA1F" w14:textId="77777777" w:rsidR="0000076B" w:rsidRDefault="0000076B">
      <w:pPr>
        <w:spacing w:after="0"/>
      </w:pPr>
      <w:r>
        <w:separator/>
      </w:r>
    </w:p>
  </w:footnote>
  <w:footnote w:type="continuationSeparator" w:id="0">
    <w:p w14:paraId="0E69C2D4" w14:textId="77777777" w:rsidR="0000076B" w:rsidRDefault="000007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DDFB" w14:textId="77777777" w:rsidR="00E504C7" w:rsidRDefault="00000000">
    <w:pPr>
      <w:pStyle w:val="Header"/>
    </w:pPr>
    <w:r>
      <w:pict w14:anchorId="257481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1" o:spid="_x0000_s1026" type="#_x0000_t136" style="position:absolute;margin-left:0;margin-top:0;width:555.6pt;height:104.15pt;rotation:315;z-index:-251656192;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43E6" w14:textId="77777777" w:rsidR="00E504C7" w:rsidRDefault="00000000">
    <w:pPr>
      <w:pStyle w:val="Header"/>
    </w:pPr>
    <w:r>
      <w:pict w14:anchorId="019E8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2" o:spid="_x0000_s1027" type="#_x0000_t136" style="position:absolute;margin-left:0;margin-top:0;width:555.6pt;height:104.15pt;rotation:315;z-index:-251655168;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4763" w14:textId="77777777" w:rsidR="00E504C7" w:rsidRDefault="00000000">
    <w:pPr>
      <w:pStyle w:val="Header"/>
    </w:pPr>
    <w:r>
      <w:pict w14:anchorId="3A58C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0" o:spid="_x0000_s1025" type="#_x0000_t136" style="position:absolute;margin-left:0;margin-top:0;width:555.6pt;height:104.15pt;rotation:315;z-index:-251657216;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wMDayMDYzMTI2NzNW0lEKTi0uzszPAykwrAUA/FocCiwAAAA="/>
  </w:docVars>
  <w:rsids>
    <w:rsidRoot w:val="00DA3AAE"/>
    <w:rsid w:val="0000076B"/>
    <w:rsid w:val="00011389"/>
    <w:rsid w:val="000348F7"/>
    <w:rsid w:val="000366AE"/>
    <w:rsid w:val="00053DEC"/>
    <w:rsid w:val="0006660B"/>
    <w:rsid w:val="00112241"/>
    <w:rsid w:val="0013102F"/>
    <w:rsid w:val="001434A7"/>
    <w:rsid w:val="00163862"/>
    <w:rsid w:val="001D7D22"/>
    <w:rsid w:val="001F4A75"/>
    <w:rsid w:val="002339E2"/>
    <w:rsid w:val="0029770B"/>
    <w:rsid w:val="002B5CBC"/>
    <w:rsid w:val="002C1309"/>
    <w:rsid w:val="002F4F96"/>
    <w:rsid w:val="00314FD9"/>
    <w:rsid w:val="00317A6E"/>
    <w:rsid w:val="00330E5B"/>
    <w:rsid w:val="003460A3"/>
    <w:rsid w:val="00353EEE"/>
    <w:rsid w:val="003A4EFC"/>
    <w:rsid w:val="003E1D3B"/>
    <w:rsid w:val="004131CC"/>
    <w:rsid w:val="0041705B"/>
    <w:rsid w:val="0042453D"/>
    <w:rsid w:val="0046098D"/>
    <w:rsid w:val="004C28A5"/>
    <w:rsid w:val="0050333D"/>
    <w:rsid w:val="00533063"/>
    <w:rsid w:val="0054173C"/>
    <w:rsid w:val="00544459"/>
    <w:rsid w:val="005533BD"/>
    <w:rsid w:val="00584E43"/>
    <w:rsid w:val="005B16E7"/>
    <w:rsid w:val="005B7133"/>
    <w:rsid w:val="005D6B6D"/>
    <w:rsid w:val="006014DC"/>
    <w:rsid w:val="00635706"/>
    <w:rsid w:val="006622D3"/>
    <w:rsid w:val="00673C3C"/>
    <w:rsid w:val="006837E4"/>
    <w:rsid w:val="0069045F"/>
    <w:rsid w:val="00690E9A"/>
    <w:rsid w:val="0069727D"/>
    <w:rsid w:val="006F5108"/>
    <w:rsid w:val="00720713"/>
    <w:rsid w:val="00741CBD"/>
    <w:rsid w:val="007523A6"/>
    <w:rsid w:val="007801CF"/>
    <w:rsid w:val="007F2E23"/>
    <w:rsid w:val="0080632D"/>
    <w:rsid w:val="00835B77"/>
    <w:rsid w:val="008823F8"/>
    <w:rsid w:val="00890523"/>
    <w:rsid w:val="008A477E"/>
    <w:rsid w:val="00901F37"/>
    <w:rsid w:val="0094549F"/>
    <w:rsid w:val="00947A97"/>
    <w:rsid w:val="00957098"/>
    <w:rsid w:val="00980F46"/>
    <w:rsid w:val="00987681"/>
    <w:rsid w:val="00987860"/>
    <w:rsid w:val="009A4F5A"/>
    <w:rsid w:val="009B6C69"/>
    <w:rsid w:val="009C751F"/>
    <w:rsid w:val="009E4C93"/>
    <w:rsid w:val="009F65AC"/>
    <w:rsid w:val="00A05A35"/>
    <w:rsid w:val="00A201FB"/>
    <w:rsid w:val="00A3507C"/>
    <w:rsid w:val="00A352DB"/>
    <w:rsid w:val="00A41523"/>
    <w:rsid w:val="00A72B5F"/>
    <w:rsid w:val="00A82FD2"/>
    <w:rsid w:val="00AC33C1"/>
    <w:rsid w:val="00AF1E15"/>
    <w:rsid w:val="00B1276D"/>
    <w:rsid w:val="00B16912"/>
    <w:rsid w:val="00B2011B"/>
    <w:rsid w:val="00B5242F"/>
    <w:rsid w:val="00B9285D"/>
    <w:rsid w:val="00BD697C"/>
    <w:rsid w:val="00BE2EA7"/>
    <w:rsid w:val="00C03F89"/>
    <w:rsid w:val="00C103D2"/>
    <w:rsid w:val="00C910DB"/>
    <w:rsid w:val="00C95A4A"/>
    <w:rsid w:val="00CA5FF4"/>
    <w:rsid w:val="00CA631E"/>
    <w:rsid w:val="00CC0F36"/>
    <w:rsid w:val="00CE3CC7"/>
    <w:rsid w:val="00D03212"/>
    <w:rsid w:val="00D36807"/>
    <w:rsid w:val="00D4317A"/>
    <w:rsid w:val="00D67285"/>
    <w:rsid w:val="00DA3AAE"/>
    <w:rsid w:val="00DB170A"/>
    <w:rsid w:val="00DB2C45"/>
    <w:rsid w:val="00DB475C"/>
    <w:rsid w:val="00DD71F3"/>
    <w:rsid w:val="00E10B8F"/>
    <w:rsid w:val="00E20D9F"/>
    <w:rsid w:val="00E411D4"/>
    <w:rsid w:val="00E504C7"/>
    <w:rsid w:val="00E60C31"/>
    <w:rsid w:val="00E91851"/>
    <w:rsid w:val="00EC4C73"/>
    <w:rsid w:val="00EE2B76"/>
    <w:rsid w:val="00EF2EFC"/>
    <w:rsid w:val="00EF5D7A"/>
    <w:rsid w:val="00F01C68"/>
    <w:rsid w:val="00F37748"/>
    <w:rsid w:val="00FA5257"/>
    <w:rsid w:val="00FB6B30"/>
    <w:rsid w:val="00FF5418"/>
    <w:rsid w:val="100E7468"/>
    <w:rsid w:val="3CEA1EBC"/>
    <w:rsid w:val="48225652"/>
    <w:rsid w:val="67C02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12221"/>
  <w15:docId w15:val="{2835392F-55CE-473B-AE6F-F8F512A1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rPr>
      <w:rFonts w:ascii="Times New Roman" w:hAnsi="Times New Roman" w:cs="Times New Roma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qFormat/>
    <w:rPr>
      <w:rFonts w:asciiTheme="minorHAnsi" w:eastAsiaTheme="minorHAnsi" w:hAnsiTheme="minorHAnsi" w:cstheme="minorBidi"/>
      <w:kern w:val="2"/>
      <w:sz w:val="24"/>
      <w:szCs w:val="24"/>
      <w14:ligatures w14:val="standardContextual"/>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26/science.aat3466" TargetMode="External"/><Relationship Id="rId18" Type="http://schemas.openxmlformats.org/officeDocument/2006/relationships/hyperlink" Target="https://doi.org/10.1111/j.1439-0418.2012.01741.x" TargetMode="External"/><Relationship Id="rId26" Type="http://schemas.openxmlformats.org/officeDocument/2006/relationships/hyperlink" Target="https://doi.org/10.1007/s10340-025-01927-w" TargetMode="External"/><Relationship Id="rId3" Type="http://schemas.openxmlformats.org/officeDocument/2006/relationships/settings" Target="settings.xml"/><Relationship Id="rId21" Type="http://schemas.openxmlformats.org/officeDocument/2006/relationships/hyperlink" Target="https://books.irri.org/9712200280_content.pdf" TargetMode="External"/><Relationship Id="rId34"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hyperlink" Target="https://doi.org/10.3389/fpls.2019.00049" TargetMode="External"/><Relationship Id="rId17" Type="http://schemas.openxmlformats.org/officeDocument/2006/relationships/hyperlink" Target="https://doi.org/10.1017/S0021859605005708" TargetMode="External"/><Relationship Id="rId25" Type="http://schemas.openxmlformats.org/officeDocument/2006/relationships/hyperlink" Target="https://doi.org/10.1038/s41598-024-71228-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42976-023-00484-1" TargetMode="External"/><Relationship Id="rId20" Type="http://schemas.openxmlformats.org/officeDocument/2006/relationships/hyperlink" Target="https://doi.org/10.1016/j.aspen.2013.11.00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3389/fpls.2023.1180716" TargetMode="External"/><Relationship Id="rId24" Type="http://schemas.openxmlformats.org/officeDocument/2006/relationships/hyperlink" Target="https://connectjournals.com/file_full_text/2148901H_279-284.pdf"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plantarchives.org/PDF%2015%20-%201/121-126__2891_.pdf" TargetMode="External"/><Relationship Id="rId23" Type="http://schemas.openxmlformats.org/officeDocument/2006/relationships/hyperlink" Target="https://doi.org/10.56557/jogae/2026/v18i310845" TargetMode="External"/><Relationship Id="rId28" Type="http://schemas.openxmlformats.org/officeDocument/2006/relationships/header" Target="header2.xml"/><Relationship Id="rId10" Type="http://schemas.openxmlformats.org/officeDocument/2006/relationships/hyperlink" Target="https://doi.org/10.5958/0974-4576.2021.00045.1" TargetMode="External"/><Relationship Id="rId19" Type="http://schemas.openxmlformats.org/officeDocument/2006/relationships/hyperlink" Target="https://doi.org/10.1673/031.013.9601"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9734/ijecc/2025/v15i44807" TargetMode="External"/><Relationship Id="rId14" Type="http://schemas.openxmlformats.org/officeDocument/2006/relationships/hyperlink" Target="https://doi.org/10.25174/2249-4065/2019/95416" TargetMode="External"/><Relationship Id="rId22" Type="http://schemas.openxmlformats.org/officeDocument/2006/relationships/hyperlink" Target="https://indianecologicalsociety.com/wp-content/themes/ecology/volume_pdfs/1723096020.pdf"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91798\Downloads\excel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91798\Downloads\excel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i="1"/>
              <a:t>Kharif 2022</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5"/>
          <c:order val="5"/>
          <c:tx>
            <c:strRef>
              <c:f>'Leaf folder'!$I$1</c:f>
              <c:strCache>
                <c:ptCount val="1"/>
                <c:pt idx="0">
                  <c:v>LFD</c:v>
                </c:pt>
              </c:strCache>
            </c:strRef>
          </c:tx>
          <c:spPr>
            <a:solidFill>
              <a:schemeClr val="accent6"/>
            </a:solidFill>
            <a:ln>
              <a:noFill/>
            </a:ln>
            <a:effectLst/>
          </c:spPr>
          <c:invertIfNegative val="0"/>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folder'!$I$2:$I$23</c:f>
              <c:numCache>
                <c:formatCode>General</c:formatCode>
                <c:ptCount val="22"/>
                <c:pt idx="0">
                  <c:v>0</c:v>
                </c:pt>
                <c:pt idx="1">
                  <c:v>0</c:v>
                </c:pt>
                <c:pt idx="2">
                  <c:v>0</c:v>
                </c:pt>
                <c:pt idx="3">
                  <c:v>3</c:v>
                </c:pt>
                <c:pt idx="4">
                  <c:v>3.98</c:v>
                </c:pt>
                <c:pt idx="5">
                  <c:v>5.7</c:v>
                </c:pt>
                <c:pt idx="6">
                  <c:v>5.9</c:v>
                </c:pt>
                <c:pt idx="7">
                  <c:v>0</c:v>
                </c:pt>
                <c:pt idx="8">
                  <c:v>7.8</c:v>
                </c:pt>
                <c:pt idx="9">
                  <c:v>8.5</c:v>
                </c:pt>
                <c:pt idx="10">
                  <c:v>9.6</c:v>
                </c:pt>
                <c:pt idx="11">
                  <c:v>11.9</c:v>
                </c:pt>
                <c:pt idx="12">
                  <c:v>15</c:v>
                </c:pt>
                <c:pt idx="13">
                  <c:v>17</c:v>
                </c:pt>
                <c:pt idx="14">
                  <c:v>17.5</c:v>
                </c:pt>
                <c:pt idx="15">
                  <c:v>11</c:v>
                </c:pt>
                <c:pt idx="16">
                  <c:v>9</c:v>
                </c:pt>
                <c:pt idx="17">
                  <c:v>7</c:v>
                </c:pt>
                <c:pt idx="18">
                  <c:v>6</c:v>
                </c:pt>
                <c:pt idx="19">
                  <c:v>7</c:v>
                </c:pt>
                <c:pt idx="20">
                  <c:v>3</c:v>
                </c:pt>
                <c:pt idx="21">
                  <c:v>2.5</c:v>
                </c:pt>
              </c:numCache>
            </c:numRef>
          </c:val>
          <c:extLst>
            <c:ext xmlns:c16="http://schemas.microsoft.com/office/drawing/2014/chart" uri="{C3380CC4-5D6E-409C-BE32-E72D297353CC}">
              <c16:uniqueId val="{00000000-9C64-40AB-829D-43C2BE61B4F3}"/>
            </c:ext>
          </c:extLst>
        </c:ser>
        <c:dLbls>
          <c:showLegendKey val="0"/>
          <c:showVal val="0"/>
          <c:showCatName val="0"/>
          <c:showSerName val="0"/>
          <c:showPercent val="0"/>
          <c:showBubbleSize val="0"/>
        </c:dLbls>
        <c:gapWidth val="219"/>
        <c:axId val="1657531999"/>
        <c:axId val="1657542559"/>
      </c:barChart>
      <c:lineChart>
        <c:grouping val="standard"/>
        <c:varyColors val="0"/>
        <c:ser>
          <c:idx val="0"/>
          <c:order val="0"/>
          <c:tx>
            <c:strRef>
              <c:f>'Leaf folder'!$D$1</c:f>
              <c:strCache>
                <c:ptCount val="1"/>
                <c:pt idx="0">
                  <c:v>Rainfall</c:v>
                </c:pt>
              </c:strCache>
            </c:strRef>
          </c:tx>
          <c:spPr>
            <a:ln w="28575" cap="rnd">
              <a:solidFill>
                <a:schemeClr val="accent1"/>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folder'!$D$2:$D$23</c:f>
              <c:numCache>
                <c:formatCode>General</c:formatCode>
                <c:ptCount val="22"/>
                <c:pt idx="0">
                  <c:v>0.2</c:v>
                </c:pt>
                <c:pt idx="1">
                  <c:v>0</c:v>
                </c:pt>
                <c:pt idx="2">
                  <c:v>155.19999999999999</c:v>
                </c:pt>
                <c:pt idx="3">
                  <c:v>255.4</c:v>
                </c:pt>
                <c:pt idx="4">
                  <c:v>90</c:v>
                </c:pt>
                <c:pt idx="5">
                  <c:v>20.6</c:v>
                </c:pt>
                <c:pt idx="6">
                  <c:v>47</c:v>
                </c:pt>
                <c:pt idx="7">
                  <c:v>139.80000000000001</c:v>
                </c:pt>
                <c:pt idx="8">
                  <c:v>40.6</c:v>
                </c:pt>
                <c:pt idx="9">
                  <c:v>63.4</c:v>
                </c:pt>
                <c:pt idx="10">
                  <c:v>31.8</c:v>
                </c:pt>
                <c:pt idx="11">
                  <c:v>84.6</c:v>
                </c:pt>
                <c:pt idx="12">
                  <c:v>7</c:v>
                </c:pt>
                <c:pt idx="13">
                  <c:v>24.8</c:v>
                </c:pt>
                <c:pt idx="14">
                  <c:v>2.6</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1-9C64-40AB-829D-43C2BE61B4F3}"/>
            </c:ext>
          </c:extLst>
        </c:ser>
        <c:ser>
          <c:idx val="1"/>
          <c:order val="1"/>
          <c:tx>
            <c:strRef>
              <c:f>'Leaf folder'!$E$1</c:f>
              <c:strCache>
                <c:ptCount val="1"/>
                <c:pt idx="0">
                  <c:v>Max temp</c:v>
                </c:pt>
              </c:strCache>
            </c:strRef>
          </c:tx>
          <c:spPr>
            <a:ln w="28575" cap="rnd">
              <a:solidFill>
                <a:schemeClr val="accent2"/>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folder'!$E$2:$E$23</c:f>
              <c:numCache>
                <c:formatCode>General</c:formatCode>
                <c:ptCount val="22"/>
                <c:pt idx="0">
                  <c:v>34.9</c:v>
                </c:pt>
                <c:pt idx="1">
                  <c:v>37</c:v>
                </c:pt>
                <c:pt idx="2">
                  <c:v>34.700000000000003</c:v>
                </c:pt>
                <c:pt idx="3">
                  <c:v>33.6</c:v>
                </c:pt>
                <c:pt idx="4">
                  <c:v>34</c:v>
                </c:pt>
                <c:pt idx="5">
                  <c:v>32.4</c:v>
                </c:pt>
                <c:pt idx="6">
                  <c:v>33.5</c:v>
                </c:pt>
                <c:pt idx="7">
                  <c:v>37.9</c:v>
                </c:pt>
                <c:pt idx="8">
                  <c:v>32.4</c:v>
                </c:pt>
                <c:pt idx="9">
                  <c:v>32.9</c:v>
                </c:pt>
                <c:pt idx="10">
                  <c:v>31.6</c:v>
                </c:pt>
                <c:pt idx="11">
                  <c:v>33.1</c:v>
                </c:pt>
                <c:pt idx="12">
                  <c:v>33.6</c:v>
                </c:pt>
                <c:pt idx="13">
                  <c:v>32.9</c:v>
                </c:pt>
                <c:pt idx="14">
                  <c:v>32.299999999999997</c:v>
                </c:pt>
                <c:pt idx="15">
                  <c:v>32</c:v>
                </c:pt>
                <c:pt idx="16">
                  <c:v>32.1</c:v>
                </c:pt>
                <c:pt idx="17">
                  <c:v>31.7</c:v>
                </c:pt>
                <c:pt idx="18">
                  <c:v>30.4</c:v>
                </c:pt>
                <c:pt idx="19">
                  <c:v>28.3</c:v>
                </c:pt>
                <c:pt idx="20">
                  <c:v>26.9</c:v>
                </c:pt>
                <c:pt idx="21">
                  <c:v>26.8</c:v>
                </c:pt>
              </c:numCache>
            </c:numRef>
          </c:val>
          <c:smooth val="0"/>
          <c:extLst>
            <c:ext xmlns:c16="http://schemas.microsoft.com/office/drawing/2014/chart" uri="{C3380CC4-5D6E-409C-BE32-E72D297353CC}">
              <c16:uniqueId val="{00000002-9C64-40AB-829D-43C2BE61B4F3}"/>
            </c:ext>
          </c:extLst>
        </c:ser>
        <c:ser>
          <c:idx val="2"/>
          <c:order val="2"/>
          <c:tx>
            <c:strRef>
              <c:f>'Leaf folder'!$F$1</c:f>
              <c:strCache>
                <c:ptCount val="1"/>
                <c:pt idx="0">
                  <c:v>Min temp</c:v>
                </c:pt>
              </c:strCache>
            </c:strRef>
          </c:tx>
          <c:spPr>
            <a:ln w="28575" cap="rnd">
              <a:solidFill>
                <a:schemeClr val="accent3"/>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folder'!$F$2:$F$23</c:f>
              <c:numCache>
                <c:formatCode>General</c:formatCode>
                <c:ptCount val="22"/>
                <c:pt idx="0">
                  <c:v>24.7</c:v>
                </c:pt>
                <c:pt idx="1">
                  <c:v>25.5</c:v>
                </c:pt>
                <c:pt idx="2">
                  <c:v>24.3</c:v>
                </c:pt>
                <c:pt idx="3">
                  <c:v>23.2</c:v>
                </c:pt>
                <c:pt idx="4">
                  <c:v>22.3</c:v>
                </c:pt>
                <c:pt idx="5">
                  <c:v>23.7</c:v>
                </c:pt>
                <c:pt idx="6">
                  <c:v>22.5</c:v>
                </c:pt>
                <c:pt idx="7">
                  <c:v>22.5</c:v>
                </c:pt>
                <c:pt idx="8">
                  <c:v>22.8</c:v>
                </c:pt>
                <c:pt idx="9">
                  <c:v>22.6</c:v>
                </c:pt>
                <c:pt idx="10">
                  <c:v>22.4</c:v>
                </c:pt>
                <c:pt idx="11">
                  <c:v>21.5</c:v>
                </c:pt>
                <c:pt idx="12">
                  <c:v>21.9</c:v>
                </c:pt>
                <c:pt idx="13">
                  <c:v>20.6</c:v>
                </c:pt>
                <c:pt idx="14">
                  <c:v>20.5</c:v>
                </c:pt>
                <c:pt idx="15">
                  <c:v>16.8</c:v>
                </c:pt>
                <c:pt idx="16">
                  <c:v>15.4</c:v>
                </c:pt>
                <c:pt idx="17">
                  <c:v>14.1</c:v>
                </c:pt>
                <c:pt idx="18">
                  <c:v>12.9</c:v>
                </c:pt>
                <c:pt idx="19">
                  <c:v>11.1</c:v>
                </c:pt>
                <c:pt idx="20">
                  <c:v>9</c:v>
                </c:pt>
                <c:pt idx="21">
                  <c:v>9.6</c:v>
                </c:pt>
              </c:numCache>
            </c:numRef>
          </c:val>
          <c:smooth val="0"/>
          <c:extLst>
            <c:ext xmlns:c16="http://schemas.microsoft.com/office/drawing/2014/chart" uri="{C3380CC4-5D6E-409C-BE32-E72D297353CC}">
              <c16:uniqueId val="{00000003-9C64-40AB-829D-43C2BE61B4F3}"/>
            </c:ext>
          </c:extLst>
        </c:ser>
        <c:ser>
          <c:idx val="3"/>
          <c:order val="3"/>
          <c:tx>
            <c:strRef>
              <c:f>'Leaf folder'!$G$1</c:f>
              <c:strCache>
                <c:ptCount val="1"/>
                <c:pt idx="0">
                  <c:v>Morning RH</c:v>
                </c:pt>
              </c:strCache>
            </c:strRef>
          </c:tx>
          <c:spPr>
            <a:ln w="28575" cap="rnd">
              <a:solidFill>
                <a:schemeClr val="accent4"/>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folder'!$G$2:$G$23</c:f>
              <c:numCache>
                <c:formatCode>General</c:formatCode>
                <c:ptCount val="22"/>
                <c:pt idx="0">
                  <c:v>84</c:v>
                </c:pt>
                <c:pt idx="1">
                  <c:v>73</c:v>
                </c:pt>
                <c:pt idx="2">
                  <c:v>81</c:v>
                </c:pt>
                <c:pt idx="3">
                  <c:v>89</c:v>
                </c:pt>
                <c:pt idx="4">
                  <c:v>91</c:v>
                </c:pt>
                <c:pt idx="5">
                  <c:v>87</c:v>
                </c:pt>
                <c:pt idx="6">
                  <c:v>85</c:v>
                </c:pt>
                <c:pt idx="7">
                  <c:v>91</c:v>
                </c:pt>
                <c:pt idx="8">
                  <c:v>91</c:v>
                </c:pt>
                <c:pt idx="9">
                  <c:v>92</c:v>
                </c:pt>
                <c:pt idx="10">
                  <c:v>91</c:v>
                </c:pt>
                <c:pt idx="11">
                  <c:v>92</c:v>
                </c:pt>
                <c:pt idx="12">
                  <c:v>91</c:v>
                </c:pt>
                <c:pt idx="13">
                  <c:v>93</c:v>
                </c:pt>
                <c:pt idx="14">
                  <c:v>94</c:v>
                </c:pt>
                <c:pt idx="15">
                  <c:v>87</c:v>
                </c:pt>
                <c:pt idx="16">
                  <c:v>86</c:v>
                </c:pt>
                <c:pt idx="17">
                  <c:v>92</c:v>
                </c:pt>
                <c:pt idx="18">
                  <c:v>95</c:v>
                </c:pt>
                <c:pt idx="19">
                  <c:v>91</c:v>
                </c:pt>
                <c:pt idx="20">
                  <c:v>94</c:v>
                </c:pt>
                <c:pt idx="21">
                  <c:v>94</c:v>
                </c:pt>
              </c:numCache>
            </c:numRef>
          </c:val>
          <c:smooth val="0"/>
          <c:extLst>
            <c:ext xmlns:c16="http://schemas.microsoft.com/office/drawing/2014/chart" uri="{C3380CC4-5D6E-409C-BE32-E72D297353CC}">
              <c16:uniqueId val="{00000004-9C64-40AB-829D-43C2BE61B4F3}"/>
            </c:ext>
          </c:extLst>
        </c:ser>
        <c:ser>
          <c:idx val="4"/>
          <c:order val="4"/>
          <c:tx>
            <c:strRef>
              <c:f>'Leaf folder'!$H$1</c:f>
              <c:strCache>
                <c:ptCount val="1"/>
                <c:pt idx="0">
                  <c:v>Evening RH</c:v>
                </c:pt>
              </c:strCache>
            </c:strRef>
          </c:tx>
          <c:spPr>
            <a:ln w="28575" cap="rnd">
              <a:solidFill>
                <a:schemeClr val="accent5"/>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folder'!$H$2:$H$23</c:f>
              <c:numCache>
                <c:formatCode>General</c:formatCode>
                <c:ptCount val="22"/>
                <c:pt idx="0">
                  <c:v>50</c:v>
                </c:pt>
                <c:pt idx="1">
                  <c:v>48</c:v>
                </c:pt>
                <c:pt idx="2">
                  <c:v>64</c:v>
                </c:pt>
                <c:pt idx="3">
                  <c:v>67</c:v>
                </c:pt>
                <c:pt idx="4">
                  <c:v>50</c:v>
                </c:pt>
                <c:pt idx="5">
                  <c:v>54</c:v>
                </c:pt>
                <c:pt idx="6">
                  <c:v>60</c:v>
                </c:pt>
                <c:pt idx="7">
                  <c:v>68</c:v>
                </c:pt>
                <c:pt idx="8">
                  <c:v>66</c:v>
                </c:pt>
                <c:pt idx="9">
                  <c:v>68</c:v>
                </c:pt>
                <c:pt idx="10">
                  <c:v>72</c:v>
                </c:pt>
                <c:pt idx="11">
                  <c:v>77</c:v>
                </c:pt>
                <c:pt idx="12">
                  <c:v>82</c:v>
                </c:pt>
                <c:pt idx="13">
                  <c:v>70</c:v>
                </c:pt>
                <c:pt idx="14">
                  <c:v>66</c:v>
                </c:pt>
                <c:pt idx="15">
                  <c:v>52</c:v>
                </c:pt>
                <c:pt idx="16">
                  <c:v>46</c:v>
                </c:pt>
                <c:pt idx="17">
                  <c:v>46</c:v>
                </c:pt>
                <c:pt idx="18">
                  <c:v>55</c:v>
                </c:pt>
                <c:pt idx="19">
                  <c:v>40</c:v>
                </c:pt>
                <c:pt idx="20">
                  <c:v>42</c:v>
                </c:pt>
                <c:pt idx="21">
                  <c:v>40</c:v>
                </c:pt>
              </c:numCache>
            </c:numRef>
          </c:val>
          <c:smooth val="0"/>
          <c:extLst>
            <c:ext xmlns:c16="http://schemas.microsoft.com/office/drawing/2014/chart" uri="{C3380CC4-5D6E-409C-BE32-E72D297353CC}">
              <c16:uniqueId val="{00000005-9C64-40AB-829D-43C2BE61B4F3}"/>
            </c:ext>
          </c:extLst>
        </c:ser>
        <c:dLbls>
          <c:showLegendKey val="0"/>
          <c:showVal val="0"/>
          <c:showCatName val="0"/>
          <c:showSerName val="0"/>
          <c:showPercent val="0"/>
          <c:showBubbleSize val="0"/>
        </c:dLbls>
        <c:marker val="1"/>
        <c:smooth val="0"/>
        <c:axId val="1554699359"/>
        <c:axId val="1554701279"/>
      </c:lineChart>
      <c:catAx>
        <c:axId val="1554699359"/>
        <c:scaling>
          <c:orientation val="minMax"/>
        </c:scaling>
        <c:delete val="0"/>
        <c:axPos val="b"/>
        <c:title>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54701279"/>
        <c:crosses val="autoZero"/>
        <c:auto val="1"/>
        <c:lblAlgn val="ctr"/>
        <c:lblOffset val="100"/>
        <c:noMultiLvlLbl val="0"/>
      </c:catAx>
      <c:valAx>
        <c:axId val="1554701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Abiotic factors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54699359"/>
        <c:crosses val="autoZero"/>
        <c:crossBetween val="between"/>
      </c:valAx>
      <c:catAx>
        <c:axId val="1657531999"/>
        <c:scaling>
          <c:orientation val="minMax"/>
        </c:scaling>
        <c:delete val="1"/>
        <c:axPos val="b"/>
        <c:numFmt formatCode="General" sourceLinked="1"/>
        <c:majorTickMark val="out"/>
        <c:minorTickMark val="none"/>
        <c:tickLblPos val="nextTo"/>
        <c:crossAx val="1657542559"/>
        <c:crosses val="autoZero"/>
        <c:auto val="1"/>
        <c:lblAlgn val="ctr"/>
        <c:lblOffset val="100"/>
        <c:noMultiLvlLbl val="0"/>
      </c:catAx>
      <c:valAx>
        <c:axId val="1657542559"/>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Leaf folder damage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57531999"/>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eed5ce26-a43d-4482-bd9f-fbbd309b0498}"/>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i="1"/>
              <a:t>Kharif</a:t>
            </a:r>
            <a:r>
              <a:rPr lang="en-US" i="1" baseline="0"/>
              <a:t> 2023 </a:t>
            </a:r>
            <a:endParaRPr lang="en-US" i="1"/>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6"/>
          <c:order val="5"/>
          <c:tx>
            <c:strRef>
              <c:f>'Leaf folder'!$I$31</c:f>
              <c:strCache>
                <c:ptCount val="1"/>
                <c:pt idx="0">
                  <c:v>LFD</c:v>
                </c:pt>
              </c:strCache>
            </c:strRef>
          </c:tx>
          <c:spPr>
            <a:solidFill>
              <a:schemeClr val="accent1">
                <a:lumMod val="60000"/>
              </a:schemeClr>
            </a:solidFill>
            <a:ln>
              <a:noFill/>
            </a:ln>
            <a:effectLst/>
          </c:spPr>
          <c:invertIfNegative val="0"/>
          <c:val>
            <c:numRef>
              <c:f>'Leaf folder'!$I$32:$I$53</c:f>
              <c:numCache>
                <c:formatCode>General</c:formatCode>
                <c:ptCount val="22"/>
                <c:pt idx="0">
                  <c:v>0</c:v>
                </c:pt>
                <c:pt idx="1">
                  <c:v>0</c:v>
                </c:pt>
                <c:pt idx="2">
                  <c:v>0</c:v>
                </c:pt>
                <c:pt idx="3">
                  <c:v>3</c:v>
                </c:pt>
                <c:pt idx="4">
                  <c:v>4.5999999999999996</c:v>
                </c:pt>
                <c:pt idx="5">
                  <c:v>5.2</c:v>
                </c:pt>
                <c:pt idx="6">
                  <c:v>6.1</c:v>
                </c:pt>
                <c:pt idx="7">
                  <c:v>7.9</c:v>
                </c:pt>
                <c:pt idx="8">
                  <c:v>8.5</c:v>
                </c:pt>
                <c:pt idx="9">
                  <c:v>9.4</c:v>
                </c:pt>
                <c:pt idx="10">
                  <c:v>11</c:v>
                </c:pt>
                <c:pt idx="11">
                  <c:v>11.9</c:v>
                </c:pt>
                <c:pt idx="12">
                  <c:v>16.8</c:v>
                </c:pt>
                <c:pt idx="13">
                  <c:v>17</c:v>
                </c:pt>
                <c:pt idx="14">
                  <c:v>17.5</c:v>
                </c:pt>
                <c:pt idx="15">
                  <c:v>11</c:v>
                </c:pt>
                <c:pt idx="16">
                  <c:v>7</c:v>
                </c:pt>
                <c:pt idx="17">
                  <c:v>6</c:v>
                </c:pt>
                <c:pt idx="18">
                  <c:v>5.2</c:v>
                </c:pt>
                <c:pt idx="19">
                  <c:v>7</c:v>
                </c:pt>
                <c:pt idx="20">
                  <c:v>3</c:v>
                </c:pt>
                <c:pt idx="21">
                  <c:v>2.5</c:v>
                </c:pt>
              </c:numCache>
            </c:numRef>
          </c:val>
          <c:extLst>
            <c:ext xmlns:c16="http://schemas.microsoft.com/office/drawing/2014/chart" uri="{C3380CC4-5D6E-409C-BE32-E72D297353CC}">
              <c16:uniqueId val="{00000000-564A-4AD3-8C51-3C902454B338}"/>
            </c:ext>
          </c:extLst>
        </c:ser>
        <c:dLbls>
          <c:showLegendKey val="0"/>
          <c:showVal val="0"/>
          <c:showCatName val="0"/>
          <c:showSerName val="0"/>
          <c:showPercent val="0"/>
          <c:showBubbleSize val="0"/>
        </c:dLbls>
        <c:gapWidth val="219"/>
        <c:axId val="1418375039"/>
        <c:axId val="1418374559"/>
      </c:barChart>
      <c:lineChart>
        <c:grouping val="standard"/>
        <c:varyColors val="0"/>
        <c:ser>
          <c:idx val="1"/>
          <c:order val="0"/>
          <c:tx>
            <c:strRef>
              <c:f>'Leaf folder'!$D$31</c:f>
              <c:strCache>
                <c:ptCount val="1"/>
                <c:pt idx="0">
                  <c:v>Rinfall</c:v>
                </c:pt>
              </c:strCache>
            </c:strRef>
          </c:tx>
          <c:spPr>
            <a:ln w="28575" cap="rnd">
              <a:solidFill>
                <a:schemeClr val="accent2"/>
              </a:solidFill>
              <a:round/>
            </a:ln>
            <a:effectLst/>
          </c:spPr>
          <c:marker>
            <c:symbol val="none"/>
          </c:marker>
          <c:val>
            <c:numRef>
              <c:f>'Leaf folder'!$D$32:$D$53</c:f>
              <c:numCache>
                <c:formatCode>General</c:formatCode>
                <c:ptCount val="22"/>
                <c:pt idx="0">
                  <c:v>36.6</c:v>
                </c:pt>
                <c:pt idx="1">
                  <c:v>57.2</c:v>
                </c:pt>
                <c:pt idx="2">
                  <c:v>17.600000000000001</c:v>
                </c:pt>
                <c:pt idx="3">
                  <c:v>9</c:v>
                </c:pt>
                <c:pt idx="4">
                  <c:v>39.799999999999997</c:v>
                </c:pt>
                <c:pt idx="5">
                  <c:v>72.599999999999994</c:v>
                </c:pt>
                <c:pt idx="6">
                  <c:v>29</c:v>
                </c:pt>
                <c:pt idx="7">
                  <c:v>7.2</c:v>
                </c:pt>
                <c:pt idx="8">
                  <c:v>1</c:v>
                </c:pt>
                <c:pt idx="9">
                  <c:v>63.4</c:v>
                </c:pt>
                <c:pt idx="10">
                  <c:v>31.8</c:v>
                </c:pt>
                <c:pt idx="11">
                  <c:v>84.6</c:v>
                </c:pt>
                <c:pt idx="12">
                  <c:v>7</c:v>
                </c:pt>
                <c:pt idx="13">
                  <c:v>24.8</c:v>
                </c:pt>
                <c:pt idx="14">
                  <c:v>2.6</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1-564A-4AD3-8C51-3C902454B338}"/>
            </c:ext>
          </c:extLst>
        </c:ser>
        <c:ser>
          <c:idx val="2"/>
          <c:order val="1"/>
          <c:tx>
            <c:strRef>
              <c:f>'Leaf folder'!$E$31</c:f>
              <c:strCache>
                <c:ptCount val="1"/>
                <c:pt idx="0">
                  <c:v>Max temp</c:v>
                </c:pt>
              </c:strCache>
            </c:strRef>
          </c:tx>
          <c:spPr>
            <a:ln w="28575" cap="rnd">
              <a:solidFill>
                <a:schemeClr val="accent3"/>
              </a:solidFill>
              <a:round/>
            </a:ln>
            <a:effectLst/>
          </c:spPr>
          <c:marker>
            <c:symbol val="none"/>
          </c:marker>
          <c:val>
            <c:numRef>
              <c:f>'Leaf folder'!$E$32:$E$53</c:f>
              <c:numCache>
                <c:formatCode>General</c:formatCode>
                <c:ptCount val="22"/>
                <c:pt idx="0">
                  <c:v>34</c:v>
                </c:pt>
                <c:pt idx="1">
                  <c:v>37.799999999999997</c:v>
                </c:pt>
                <c:pt idx="2">
                  <c:v>35.9</c:v>
                </c:pt>
                <c:pt idx="3">
                  <c:v>35.700000000000003</c:v>
                </c:pt>
                <c:pt idx="4">
                  <c:v>34.6</c:v>
                </c:pt>
                <c:pt idx="5">
                  <c:v>31.8</c:v>
                </c:pt>
                <c:pt idx="6">
                  <c:v>34.299999999999997</c:v>
                </c:pt>
                <c:pt idx="7">
                  <c:v>32.6</c:v>
                </c:pt>
                <c:pt idx="8">
                  <c:v>34.5</c:v>
                </c:pt>
                <c:pt idx="9">
                  <c:v>32.9</c:v>
                </c:pt>
                <c:pt idx="10">
                  <c:v>31.6</c:v>
                </c:pt>
                <c:pt idx="11">
                  <c:v>33.1</c:v>
                </c:pt>
                <c:pt idx="12">
                  <c:v>33.6</c:v>
                </c:pt>
                <c:pt idx="13">
                  <c:v>32.9</c:v>
                </c:pt>
                <c:pt idx="14">
                  <c:v>32.299999999999997</c:v>
                </c:pt>
                <c:pt idx="15">
                  <c:v>32</c:v>
                </c:pt>
                <c:pt idx="16">
                  <c:v>32.1</c:v>
                </c:pt>
                <c:pt idx="17">
                  <c:v>31.7</c:v>
                </c:pt>
                <c:pt idx="18">
                  <c:v>30.4</c:v>
                </c:pt>
                <c:pt idx="19">
                  <c:v>28.3</c:v>
                </c:pt>
                <c:pt idx="20">
                  <c:v>26.9</c:v>
                </c:pt>
                <c:pt idx="21">
                  <c:v>26.8</c:v>
                </c:pt>
              </c:numCache>
            </c:numRef>
          </c:val>
          <c:smooth val="0"/>
          <c:extLst>
            <c:ext xmlns:c16="http://schemas.microsoft.com/office/drawing/2014/chart" uri="{C3380CC4-5D6E-409C-BE32-E72D297353CC}">
              <c16:uniqueId val="{00000002-564A-4AD3-8C51-3C902454B338}"/>
            </c:ext>
          </c:extLst>
        </c:ser>
        <c:ser>
          <c:idx val="3"/>
          <c:order val="2"/>
          <c:tx>
            <c:strRef>
              <c:f>'Leaf folder'!$F$31</c:f>
              <c:strCache>
                <c:ptCount val="1"/>
                <c:pt idx="0">
                  <c:v>Min temp</c:v>
                </c:pt>
              </c:strCache>
            </c:strRef>
          </c:tx>
          <c:spPr>
            <a:ln w="28575" cap="rnd">
              <a:solidFill>
                <a:schemeClr val="accent4"/>
              </a:solidFill>
              <a:round/>
            </a:ln>
            <a:effectLst/>
          </c:spPr>
          <c:marker>
            <c:symbol val="none"/>
          </c:marker>
          <c:val>
            <c:numRef>
              <c:f>'Leaf folder'!$F$32:$F$53</c:f>
              <c:numCache>
                <c:formatCode>General</c:formatCode>
                <c:ptCount val="22"/>
                <c:pt idx="0">
                  <c:v>26.4</c:v>
                </c:pt>
                <c:pt idx="1">
                  <c:v>26.2</c:v>
                </c:pt>
                <c:pt idx="2">
                  <c:v>29.4</c:v>
                </c:pt>
                <c:pt idx="3">
                  <c:v>24.9</c:v>
                </c:pt>
                <c:pt idx="4">
                  <c:v>23</c:v>
                </c:pt>
                <c:pt idx="5">
                  <c:v>23.3</c:v>
                </c:pt>
                <c:pt idx="6">
                  <c:v>23.5</c:v>
                </c:pt>
                <c:pt idx="7">
                  <c:v>25.2</c:v>
                </c:pt>
                <c:pt idx="8">
                  <c:v>25.7</c:v>
                </c:pt>
                <c:pt idx="9">
                  <c:v>22.6</c:v>
                </c:pt>
                <c:pt idx="10">
                  <c:v>22.4</c:v>
                </c:pt>
                <c:pt idx="11">
                  <c:v>21.5</c:v>
                </c:pt>
                <c:pt idx="12">
                  <c:v>21.9</c:v>
                </c:pt>
                <c:pt idx="13">
                  <c:v>20.6</c:v>
                </c:pt>
                <c:pt idx="14">
                  <c:v>20.5</c:v>
                </c:pt>
                <c:pt idx="15">
                  <c:v>16.8</c:v>
                </c:pt>
                <c:pt idx="16">
                  <c:v>15.4</c:v>
                </c:pt>
                <c:pt idx="17">
                  <c:v>14.1</c:v>
                </c:pt>
                <c:pt idx="18">
                  <c:v>12.9</c:v>
                </c:pt>
                <c:pt idx="19">
                  <c:v>11.1</c:v>
                </c:pt>
                <c:pt idx="20">
                  <c:v>9</c:v>
                </c:pt>
                <c:pt idx="21">
                  <c:v>9.6</c:v>
                </c:pt>
              </c:numCache>
            </c:numRef>
          </c:val>
          <c:smooth val="0"/>
          <c:extLst>
            <c:ext xmlns:c16="http://schemas.microsoft.com/office/drawing/2014/chart" uri="{C3380CC4-5D6E-409C-BE32-E72D297353CC}">
              <c16:uniqueId val="{00000003-564A-4AD3-8C51-3C902454B338}"/>
            </c:ext>
          </c:extLst>
        </c:ser>
        <c:ser>
          <c:idx val="4"/>
          <c:order val="3"/>
          <c:tx>
            <c:strRef>
              <c:f>'Leaf folder'!$G$31</c:f>
              <c:strCache>
                <c:ptCount val="1"/>
                <c:pt idx="0">
                  <c:v>Morning RH</c:v>
                </c:pt>
              </c:strCache>
            </c:strRef>
          </c:tx>
          <c:spPr>
            <a:ln w="28575" cap="rnd">
              <a:solidFill>
                <a:schemeClr val="accent5"/>
              </a:solidFill>
              <a:round/>
            </a:ln>
            <a:effectLst/>
          </c:spPr>
          <c:marker>
            <c:symbol val="none"/>
          </c:marker>
          <c:val>
            <c:numRef>
              <c:f>'Leaf folder'!$G$32:$G$53</c:f>
              <c:numCache>
                <c:formatCode>General</c:formatCode>
                <c:ptCount val="22"/>
                <c:pt idx="0">
                  <c:v>84</c:v>
                </c:pt>
                <c:pt idx="1">
                  <c:v>73</c:v>
                </c:pt>
                <c:pt idx="2">
                  <c:v>81</c:v>
                </c:pt>
                <c:pt idx="3">
                  <c:v>89</c:v>
                </c:pt>
                <c:pt idx="4">
                  <c:v>91</c:v>
                </c:pt>
                <c:pt idx="5">
                  <c:v>87</c:v>
                </c:pt>
                <c:pt idx="6">
                  <c:v>85</c:v>
                </c:pt>
                <c:pt idx="7">
                  <c:v>91</c:v>
                </c:pt>
                <c:pt idx="8">
                  <c:v>91</c:v>
                </c:pt>
                <c:pt idx="9">
                  <c:v>92</c:v>
                </c:pt>
                <c:pt idx="10">
                  <c:v>91</c:v>
                </c:pt>
                <c:pt idx="11">
                  <c:v>92</c:v>
                </c:pt>
                <c:pt idx="12">
                  <c:v>91</c:v>
                </c:pt>
                <c:pt idx="13">
                  <c:v>93</c:v>
                </c:pt>
                <c:pt idx="14">
                  <c:v>94</c:v>
                </c:pt>
                <c:pt idx="15">
                  <c:v>87</c:v>
                </c:pt>
                <c:pt idx="16">
                  <c:v>86</c:v>
                </c:pt>
                <c:pt idx="17">
                  <c:v>92</c:v>
                </c:pt>
                <c:pt idx="18">
                  <c:v>95</c:v>
                </c:pt>
                <c:pt idx="19">
                  <c:v>91</c:v>
                </c:pt>
                <c:pt idx="20">
                  <c:v>94</c:v>
                </c:pt>
                <c:pt idx="21">
                  <c:v>94</c:v>
                </c:pt>
              </c:numCache>
            </c:numRef>
          </c:val>
          <c:smooth val="0"/>
          <c:extLst>
            <c:ext xmlns:c16="http://schemas.microsoft.com/office/drawing/2014/chart" uri="{C3380CC4-5D6E-409C-BE32-E72D297353CC}">
              <c16:uniqueId val="{00000004-564A-4AD3-8C51-3C902454B338}"/>
            </c:ext>
          </c:extLst>
        </c:ser>
        <c:ser>
          <c:idx val="5"/>
          <c:order val="4"/>
          <c:tx>
            <c:strRef>
              <c:f>'Leaf folder'!$H$31</c:f>
              <c:strCache>
                <c:ptCount val="1"/>
                <c:pt idx="0">
                  <c:v>Evening RH</c:v>
                </c:pt>
              </c:strCache>
            </c:strRef>
          </c:tx>
          <c:spPr>
            <a:ln w="28575" cap="rnd">
              <a:solidFill>
                <a:schemeClr val="accent6"/>
              </a:solidFill>
              <a:round/>
            </a:ln>
            <a:effectLst/>
          </c:spPr>
          <c:marker>
            <c:symbol val="none"/>
          </c:marker>
          <c:val>
            <c:numRef>
              <c:f>'Leaf folder'!$H$32:$H$53</c:f>
              <c:numCache>
                <c:formatCode>General</c:formatCode>
                <c:ptCount val="22"/>
                <c:pt idx="0">
                  <c:v>50</c:v>
                </c:pt>
                <c:pt idx="1">
                  <c:v>48</c:v>
                </c:pt>
                <c:pt idx="2">
                  <c:v>64</c:v>
                </c:pt>
                <c:pt idx="3">
                  <c:v>67</c:v>
                </c:pt>
                <c:pt idx="4">
                  <c:v>50</c:v>
                </c:pt>
                <c:pt idx="5">
                  <c:v>54</c:v>
                </c:pt>
                <c:pt idx="6">
                  <c:v>60</c:v>
                </c:pt>
                <c:pt idx="7">
                  <c:v>68</c:v>
                </c:pt>
                <c:pt idx="8">
                  <c:v>66</c:v>
                </c:pt>
                <c:pt idx="9">
                  <c:v>68</c:v>
                </c:pt>
                <c:pt idx="10">
                  <c:v>72</c:v>
                </c:pt>
                <c:pt idx="11">
                  <c:v>77</c:v>
                </c:pt>
                <c:pt idx="12">
                  <c:v>82</c:v>
                </c:pt>
                <c:pt idx="13">
                  <c:v>70</c:v>
                </c:pt>
                <c:pt idx="14">
                  <c:v>66</c:v>
                </c:pt>
                <c:pt idx="15">
                  <c:v>52</c:v>
                </c:pt>
                <c:pt idx="16">
                  <c:v>46</c:v>
                </c:pt>
                <c:pt idx="17">
                  <c:v>46</c:v>
                </c:pt>
                <c:pt idx="18">
                  <c:v>55</c:v>
                </c:pt>
                <c:pt idx="19">
                  <c:v>40</c:v>
                </c:pt>
                <c:pt idx="20">
                  <c:v>42</c:v>
                </c:pt>
                <c:pt idx="21">
                  <c:v>50</c:v>
                </c:pt>
              </c:numCache>
            </c:numRef>
          </c:val>
          <c:smooth val="0"/>
          <c:extLst>
            <c:ext xmlns:c16="http://schemas.microsoft.com/office/drawing/2014/chart" uri="{C3380CC4-5D6E-409C-BE32-E72D297353CC}">
              <c16:uniqueId val="{00000005-564A-4AD3-8C51-3C902454B338}"/>
            </c:ext>
          </c:extLst>
        </c:ser>
        <c:dLbls>
          <c:showLegendKey val="0"/>
          <c:showVal val="0"/>
          <c:showCatName val="0"/>
          <c:showSerName val="0"/>
          <c:showPercent val="0"/>
          <c:showBubbleSize val="0"/>
        </c:dLbls>
        <c:marker val="1"/>
        <c:smooth val="0"/>
        <c:axId val="2002864415"/>
        <c:axId val="2002864895"/>
      </c:lineChart>
      <c:catAx>
        <c:axId val="2002864415"/>
        <c:scaling>
          <c:orientation val="minMax"/>
        </c:scaling>
        <c:delete val="0"/>
        <c:axPos val="b"/>
        <c:title>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02864895"/>
        <c:crosses val="autoZero"/>
        <c:auto val="1"/>
        <c:lblAlgn val="ctr"/>
        <c:lblOffset val="100"/>
        <c:noMultiLvlLbl val="0"/>
      </c:catAx>
      <c:valAx>
        <c:axId val="2002864895"/>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Abiotic factors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02864415"/>
        <c:crosses val="autoZero"/>
        <c:crossBetween val="between"/>
      </c:valAx>
      <c:catAx>
        <c:axId val="1418375039"/>
        <c:scaling>
          <c:orientation val="minMax"/>
        </c:scaling>
        <c:delete val="1"/>
        <c:axPos val="b"/>
        <c:majorTickMark val="out"/>
        <c:minorTickMark val="none"/>
        <c:tickLblPos val="nextTo"/>
        <c:crossAx val="1418374559"/>
        <c:crosses val="autoZero"/>
        <c:auto val="1"/>
        <c:lblAlgn val="ctr"/>
        <c:lblOffset val="100"/>
        <c:noMultiLvlLbl val="0"/>
      </c:catAx>
      <c:valAx>
        <c:axId val="1418374559"/>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Leaf folder damage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18375039"/>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3a1d40e8-98c0-47be-9b15-e822843faf65}"/>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5604</TotalTime>
  <Pages>9</Pages>
  <Words>3908</Words>
  <Characters>22280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Sowmya Thogiti</dc:creator>
  <cp:lastModifiedBy>SDI 1020</cp:lastModifiedBy>
  <cp:revision>41</cp:revision>
  <dcterms:created xsi:type="dcterms:W3CDTF">2025-09-10T05:30:00Z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64818a8c-3c78-4684-8fb0-2a862d419025</vt:lpwstr>
  </property>
  <property fmtid="{D5CDD505-2E9C-101B-9397-08002B2CF9AE}" pid="3" name="KSOProductBuildVer">
    <vt:lpwstr>1033-12.1.0.27458</vt:lpwstr>
  </property>
  <property fmtid="{D5CDD505-2E9C-101B-9397-08002B2CF9AE}" pid="4" name="ICV">
    <vt:lpwstr>C54063FEEA2D4E76BE69D8F7C676983D_13</vt:lpwstr>
  </property>
</Properties>
</file>