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248ED" w14:textId="77777777" w:rsidR="00526238" w:rsidRPr="00FF7FB4" w:rsidRDefault="00000000">
      <w:pPr>
        <w:pStyle w:val="Title"/>
        <w:spacing w:after="0"/>
        <w:jc w:val="both"/>
        <w:rPr>
          <w:rFonts w:ascii="Arial" w:eastAsia="Arial" w:hAnsi="Arial" w:cs="Arial"/>
          <w:u w:val="single"/>
        </w:rPr>
      </w:pPr>
      <w:r w:rsidRPr="00FF7FB4">
        <w:rPr>
          <w:rFonts w:ascii="Arial" w:eastAsia="Arial" w:hAnsi="Arial" w:cs="Arial"/>
          <w:u w:val="single"/>
        </w:rPr>
        <w:t>Original Research Article</w:t>
      </w:r>
    </w:p>
    <w:p w14:paraId="3394A8B4" w14:textId="77777777" w:rsidR="00526238" w:rsidRPr="00FF7FB4" w:rsidRDefault="00000000">
      <w:pPr>
        <w:pBdr>
          <w:top w:val="nil"/>
          <w:left w:val="nil"/>
          <w:bottom w:val="nil"/>
          <w:right w:val="nil"/>
          <w:between w:val="nil"/>
        </w:pBdr>
        <w:jc w:val="right"/>
        <w:rPr>
          <w:rFonts w:ascii="Arial" w:eastAsia="Arial" w:hAnsi="Arial" w:cs="Arial"/>
          <w:b/>
          <w:bCs/>
          <w:color w:val="000000"/>
          <w:sz w:val="36"/>
          <w:szCs w:val="36"/>
        </w:rPr>
      </w:pPr>
      <w:r w:rsidRPr="00FF7FB4">
        <w:rPr>
          <w:rFonts w:ascii="Arial" w:eastAsia="Arial" w:hAnsi="Arial" w:cs="Arial"/>
          <w:b/>
          <w:bCs/>
          <w:color w:val="000000"/>
          <w:sz w:val="36"/>
          <w:szCs w:val="36"/>
        </w:rPr>
        <w:t xml:space="preserve">Isolation, Characterization and Cellulolytic </w:t>
      </w:r>
      <w:r w:rsidRPr="00FF7FB4">
        <w:rPr>
          <w:rFonts w:ascii="Arial" w:eastAsia="Arial" w:hAnsi="Arial" w:cs="Arial"/>
          <w:b/>
          <w:bCs/>
          <w:sz w:val="36"/>
          <w:szCs w:val="36"/>
        </w:rPr>
        <w:t>Screening</w:t>
      </w:r>
      <w:r w:rsidRPr="00FF7FB4">
        <w:rPr>
          <w:rFonts w:ascii="Arial" w:eastAsia="Arial" w:hAnsi="Arial" w:cs="Arial"/>
          <w:b/>
          <w:bCs/>
          <w:color w:val="000000"/>
          <w:sz w:val="36"/>
          <w:szCs w:val="36"/>
        </w:rPr>
        <w:t xml:space="preserve"> of Cultivable Bacteria Associated with </w:t>
      </w:r>
      <w:proofErr w:type="spellStart"/>
      <w:r w:rsidRPr="00FF7FB4">
        <w:rPr>
          <w:rFonts w:ascii="Arial" w:eastAsia="Arial" w:hAnsi="Arial" w:cs="Arial"/>
          <w:b/>
          <w:bCs/>
          <w:i/>
          <w:iCs/>
          <w:color w:val="000000"/>
          <w:sz w:val="36"/>
          <w:szCs w:val="36"/>
        </w:rPr>
        <w:t>Allonothrus</w:t>
      </w:r>
      <w:proofErr w:type="spellEnd"/>
      <w:r w:rsidRPr="00FF7FB4">
        <w:rPr>
          <w:rFonts w:ascii="Arial" w:eastAsia="Arial" w:hAnsi="Arial" w:cs="Arial"/>
          <w:b/>
          <w:bCs/>
          <w:color w:val="000000"/>
          <w:sz w:val="36"/>
          <w:szCs w:val="36"/>
        </w:rPr>
        <w:t xml:space="preserve"> </w:t>
      </w:r>
      <w:proofErr w:type="spellStart"/>
      <w:r w:rsidRPr="00FF7FB4">
        <w:rPr>
          <w:rFonts w:ascii="Arial" w:eastAsia="Arial" w:hAnsi="Arial" w:cs="Arial"/>
          <w:b/>
          <w:bCs/>
          <w:i/>
          <w:iCs/>
          <w:color w:val="000000"/>
          <w:sz w:val="36"/>
          <w:szCs w:val="36"/>
        </w:rPr>
        <w:t>russeolus</w:t>
      </w:r>
      <w:proofErr w:type="spellEnd"/>
      <w:r w:rsidRPr="00FF7FB4">
        <w:rPr>
          <w:rFonts w:ascii="Arial" w:eastAsia="Arial" w:hAnsi="Arial" w:cs="Arial"/>
          <w:b/>
          <w:bCs/>
          <w:i/>
          <w:iCs/>
          <w:color w:val="000000"/>
          <w:sz w:val="36"/>
          <w:szCs w:val="36"/>
        </w:rPr>
        <w:t xml:space="preserve"> </w:t>
      </w:r>
      <w:proofErr w:type="spellStart"/>
      <w:r w:rsidRPr="00FF7FB4">
        <w:rPr>
          <w:rFonts w:ascii="Arial" w:eastAsia="Arial" w:hAnsi="Arial" w:cs="Arial"/>
          <w:b/>
          <w:bCs/>
          <w:i/>
          <w:iCs/>
          <w:color w:val="000000"/>
          <w:sz w:val="36"/>
          <w:szCs w:val="36"/>
        </w:rPr>
        <w:t>russeolus</w:t>
      </w:r>
      <w:proofErr w:type="spellEnd"/>
      <w:r w:rsidRPr="00FF7FB4">
        <w:rPr>
          <w:rFonts w:ascii="Arial" w:eastAsia="Arial" w:hAnsi="Arial" w:cs="Arial"/>
          <w:b/>
          <w:bCs/>
          <w:i/>
          <w:iCs/>
          <w:color w:val="000000"/>
          <w:sz w:val="36"/>
          <w:szCs w:val="36"/>
        </w:rPr>
        <w:t xml:space="preserve"> </w:t>
      </w:r>
      <w:r w:rsidRPr="00FF7FB4">
        <w:rPr>
          <w:rFonts w:ascii="Arial" w:eastAsia="Arial" w:hAnsi="Arial" w:cs="Arial"/>
          <w:b/>
          <w:bCs/>
          <w:color w:val="000000"/>
          <w:sz w:val="36"/>
          <w:szCs w:val="36"/>
        </w:rPr>
        <w:t>Wallwork,1960</w:t>
      </w:r>
      <w:r w:rsidRPr="00FF7FB4">
        <w:rPr>
          <w:rFonts w:ascii="Arial" w:eastAsia="Arial" w:hAnsi="Arial" w:cs="Arial"/>
          <w:b/>
          <w:bCs/>
          <w:i/>
          <w:iCs/>
          <w:color w:val="000000"/>
          <w:sz w:val="36"/>
          <w:szCs w:val="36"/>
        </w:rPr>
        <w:t xml:space="preserve"> </w:t>
      </w:r>
      <w:r w:rsidRPr="00FF7FB4">
        <w:rPr>
          <w:rFonts w:ascii="Arial" w:eastAsia="Arial" w:hAnsi="Arial" w:cs="Arial"/>
          <w:b/>
          <w:bCs/>
          <w:color w:val="000000"/>
          <w:sz w:val="36"/>
          <w:szCs w:val="36"/>
        </w:rPr>
        <w:t xml:space="preserve">(Acari: </w:t>
      </w:r>
      <w:proofErr w:type="spellStart"/>
      <w:r w:rsidRPr="00FF7FB4">
        <w:rPr>
          <w:rFonts w:ascii="Arial" w:eastAsia="Arial" w:hAnsi="Arial" w:cs="Arial"/>
          <w:b/>
          <w:bCs/>
          <w:color w:val="000000"/>
          <w:sz w:val="36"/>
          <w:szCs w:val="36"/>
        </w:rPr>
        <w:t>Oribatida</w:t>
      </w:r>
      <w:proofErr w:type="spellEnd"/>
      <w:r w:rsidRPr="00FF7FB4">
        <w:rPr>
          <w:rFonts w:ascii="Arial" w:eastAsia="Arial" w:hAnsi="Arial" w:cs="Arial"/>
          <w:b/>
          <w:bCs/>
          <w:color w:val="000000"/>
          <w:sz w:val="36"/>
          <w:szCs w:val="36"/>
        </w:rPr>
        <w:t>) from Kerala, India</w:t>
      </w:r>
    </w:p>
    <w:p w14:paraId="6918DDED" w14:textId="77777777" w:rsidR="00526238" w:rsidRPr="00FF7FB4" w:rsidRDefault="00526238">
      <w:pPr>
        <w:pBdr>
          <w:top w:val="nil"/>
          <w:left w:val="nil"/>
          <w:bottom w:val="nil"/>
          <w:right w:val="nil"/>
          <w:between w:val="nil"/>
        </w:pBdr>
        <w:jc w:val="right"/>
        <w:rPr>
          <w:rFonts w:ascii="Arial" w:eastAsia="Arial" w:hAnsi="Arial" w:cs="Arial"/>
          <w:b/>
          <w:bCs/>
          <w:color w:val="000000"/>
          <w:sz w:val="36"/>
          <w:szCs w:val="36"/>
        </w:rPr>
      </w:pPr>
    </w:p>
    <w:p w14:paraId="7A06B372" w14:textId="77777777" w:rsidR="00526238" w:rsidRPr="00FF7FB4" w:rsidRDefault="00526238">
      <w:pPr>
        <w:widowControl w:val="0"/>
        <w:spacing w:before="120" w:after="240"/>
        <w:jc w:val="center"/>
        <w:rPr>
          <w:rFonts w:ascii="Arial" w:eastAsia="Arial" w:hAnsi="Arial" w:cs="Arial"/>
          <w:b/>
          <w:bCs/>
          <w:sz w:val="24"/>
          <w:szCs w:val="24"/>
        </w:rPr>
      </w:pPr>
    </w:p>
    <w:p w14:paraId="6E1F2142" w14:textId="77777777" w:rsidR="00526238" w:rsidRPr="00FF7FB4" w:rsidRDefault="00526238">
      <w:pPr>
        <w:pBdr>
          <w:top w:val="nil"/>
          <w:left w:val="nil"/>
          <w:bottom w:val="nil"/>
          <w:right w:val="nil"/>
          <w:between w:val="nil"/>
        </w:pBdr>
        <w:rPr>
          <w:rFonts w:ascii="Arial" w:eastAsia="Arial" w:hAnsi="Arial" w:cs="Arial"/>
          <w:color w:val="000000"/>
          <w:sz w:val="20"/>
          <w:szCs w:val="20"/>
        </w:rPr>
      </w:pPr>
    </w:p>
    <w:p w14:paraId="3B4BE321" w14:textId="77777777" w:rsidR="00526238" w:rsidRPr="00FF7FB4" w:rsidRDefault="00000000">
      <w:pPr>
        <w:pBdr>
          <w:top w:val="nil"/>
          <w:left w:val="nil"/>
          <w:bottom w:val="nil"/>
          <w:right w:val="nil"/>
          <w:between w:val="nil"/>
        </w:pBdr>
        <w:rPr>
          <w:rFonts w:ascii="Arial" w:eastAsia="Arial" w:hAnsi="Arial" w:cs="Arial"/>
          <w:color w:val="000000"/>
          <w:sz w:val="16"/>
          <w:szCs w:val="16"/>
        </w:rPr>
        <w:sectPr w:rsidR="00526238" w:rsidRPr="00FF7FB4">
          <w:headerReference w:type="even" r:id="rId8"/>
          <w:headerReference w:type="default" r:id="rId9"/>
          <w:footerReference w:type="even" r:id="rId10"/>
          <w:headerReference w:type="first" r:id="rId11"/>
          <w:footerReference w:type="first" r:id="rId12"/>
          <w:pgSz w:w="12240" w:h="15840"/>
          <w:pgMar w:top="1440" w:right="2016" w:bottom="2016" w:left="2016" w:header="720" w:footer="1296" w:gutter="0"/>
          <w:pgNumType w:start="1"/>
          <w:cols w:space="720"/>
        </w:sectPr>
      </w:pPr>
      <w:r w:rsidRPr="00FF7FB4">
        <w:rPr>
          <w:rFonts w:ascii="Arial" w:eastAsia="Arial" w:hAnsi="Arial" w:cs="Arial"/>
          <w:noProof/>
          <w:color w:val="000000"/>
          <w:sz w:val="16"/>
          <w:szCs w:val="16"/>
        </w:rPr>
        <mc:AlternateContent>
          <mc:Choice Requires="wpg">
            <w:drawing>
              <wp:inline distT="0" distB="0" distL="0" distR="0" wp14:anchorId="08224CC1" wp14:editId="26E73526">
                <wp:extent cx="5322570" cy="38100"/>
                <wp:effectExtent l="0" t="0" r="0" b="0"/>
                <wp:docPr id="7" name="Straight Arrow Connector 7"/>
                <wp:cNvGraphicFramePr/>
                <a:graphic xmlns:a="http://schemas.openxmlformats.org/drawingml/2006/main">
                  <a:graphicData uri="http://schemas.microsoft.com/office/word/2010/wordprocessingShape">
                    <wps:wsp>
                      <wps:cNvCnPr/>
                      <wps:spPr>
                        <a:xfrm>
                          <a:off x="2694240" y="3770475"/>
                          <a:ext cx="5303520" cy="19050"/>
                        </a:xfrm>
                        <a:prstGeom prst="straightConnector1">
                          <a:avLst/>
                        </a:prstGeom>
                        <a:noFill/>
                        <a:ln w="19050" cap="flat" cmpd="sng">
                          <a:solidFill>
                            <a:srgbClr val="000000"/>
                          </a:solidFill>
                          <a:prstDash val="solid"/>
                          <a:round/>
                          <a:headEnd type="none" w="sm" len="sm"/>
                          <a:tailEnd type="none" w="sm" len="sm"/>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5322570" cy="38100"/>
                <wp:effectExtent b="0" l="0" r="0" t="0"/>
                <wp:docPr id="7"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5322570" cy="38100"/>
                        </a:xfrm>
                        <a:prstGeom prst="rect"/>
                        <a:ln/>
                      </pic:spPr>
                    </pic:pic>
                  </a:graphicData>
                </a:graphic>
              </wp:inline>
            </w:drawing>
          </mc:Fallback>
        </mc:AlternateContent>
      </w:r>
      <w:r w:rsidRPr="00FF7FB4">
        <w:rPr>
          <w:rFonts w:ascii="Arial" w:eastAsia="Arial" w:hAnsi="Arial" w:cs="Arial"/>
          <w:color w:val="000000"/>
          <w:sz w:val="16"/>
          <w:szCs w:val="16"/>
        </w:rPr>
        <w:t>.</w:t>
      </w:r>
    </w:p>
    <w:p w14:paraId="69553018" w14:textId="77777777" w:rsidR="00526238" w:rsidRPr="00FF7FB4" w:rsidRDefault="00000000">
      <w:pPr>
        <w:keepNext/>
        <w:pBdr>
          <w:top w:val="nil"/>
          <w:left w:val="nil"/>
          <w:bottom w:val="nil"/>
          <w:right w:val="nil"/>
          <w:between w:val="nil"/>
        </w:pBdr>
        <w:rPr>
          <w:rFonts w:ascii="Arial" w:eastAsia="Arial" w:hAnsi="Arial" w:cs="Arial"/>
          <w:b/>
          <w:bCs/>
          <w:smallCaps/>
          <w:color w:val="000000"/>
          <w:sz w:val="22"/>
          <w:szCs w:val="22"/>
        </w:rPr>
      </w:pPr>
      <w:r w:rsidRPr="00FF7FB4">
        <w:rPr>
          <w:rFonts w:ascii="Arial" w:eastAsia="Arial" w:hAnsi="Arial" w:cs="Arial"/>
          <w:b/>
          <w:bCs/>
          <w:smallCaps/>
          <w:color w:val="000000"/>
          <w:sz w:val="22"/>
          <w:szCs w:val="22"/>
        </w:rPr>
        <w:t xml:space="preserve">ABSTRACT </w:t>
      </w:r>
    </w:p>
    <w:p w14:paraId="0422F106"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tbl>
      <w:tblPr>
        <w:tblStyle w:val="a"/>
        <w:tblW w:w="81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98"/>
      </w:tblGrid>
      <w:tr w:rsidR="00526238" w:rsidRPr="00FF7FB4" w14:paraId="70C60440" w14:textId="77777777">
        <w:tc>
          <w:tcPr>
            <w:tcW w:w="8198" w:type="dxa"/>
            <w:shd w:val="clear" w:color="auto" w:fill="F2F2F2"/>
          </w:tcPr>
          <w:p w14:paraId="4B8520A9" w14:textId="77777777" w:rsidR="00526238" w:rsidRPr="00FF7FB4" w:rsidRDefault="00526238">
            <w:pPr>
              <w:pBdr>
                <w:top w:val="nil"/>
                <w:left w:val="nil"/>
                <w:bottom w:val="nil"/>
                <w:right w:val="nil"/>
                <w:between w:val="nil"/>
              </w:pBdr>
              <w:rPr>
                <w:rFonts w:ascii="Arial" w:eastAsia="Arial" w:hAnsi="Arial" w:cs="Arial"/>
                <w:b/>
                <w:bCs/>
                <w:color w:val="000000"/>
                <w:sz w:val="20"/>
                <w:szCs w:val="20"/>
              </w:rPr>
            </w:pPr>
          </w:p>
          <w:p w14:paraId="7E934997" w14:textId="77777777" w:rsidR="00FB4698" w:rsidRPr="00FB4698" w:rsidRDefault="00FB4698" w:rsidP="00D63800">
            <w:pPr>
              <w:pStyle w:val="pdq2pgselectionanchorcontainer"/>
              <w:rPr>
                <w:sz w:val="20"/>
                <w:szCs w:val="20"/>
              </w:rPr>
            </w:pPr>
            <w:r>
              <w:rPr>
                <w:rStyle w:val="Strong"/>
                <w:sz w:val="20"/>
                <w:szCs w:val="20"/>
              </w:rPr>
              <w:t xml:space="preserve">Background: </w:t>
            </w:r>
            <w:r w:rsidRPr="00FB4698">
              <w:rPr>
                <w:sz w:val="20"/>
                <w:szCs w:val="20"/>
              </w:rPr>
              <w:t xml:space="preserve">Oribatid mites contribute substantially to litter decomposition and nutrient cycling, but their digestive functions may partly depend on associated microorganisms. However, information on the cultivable cellulolytic bacteria associated with </w:t>
            </w:r>
            <w:proofErr w:type="spellStart"/>
            <w:r w:rsidRPr="00FB4698">
              <w:rPr>
                <w:rStyle w:val="Emphasis"/>
                <w:sz w:val="20"/>
                <w:szCs w:val="20"/>
              </w:rPr>
              <w:t>Allonothrus</w:t>
            </w:r>
            <w:proofErr w:type="spellEnd"/>
            <w:r w:rsidRPr="00FB4698">
              <w:rPr>
                <w:rStyle w:val="Emphasis"/>
                <w:sz w:val="20"/>
                <w:szCs w:val="20"/>
              </w:rPr>
              <w:t xml:space="preserve"> </w:t>
            </w:r>
            <w:proofErr w:type="spellStart"/>
            <w:r w:rsidRPr="00FB4698">
              <w:rPr>
                <w:rStyle w:val="Emphasis"/>
                <w:sz w:val="20"/>
                <w:szCs w:val="20"/>
              </w:rPr>
              <w:t>russeolus</w:t>
            </w:r>
            <w:proofErr w:type="spellEnd"/>
            <w:r w:rsidRPr="00FB4698">
              <w:rPr>
                <w:rStyle w:val="Emphasis"/>
                <w:sz w:val="20"/>
                <w:szCs w:val="20"/>
              </w:rPr>
              <w:t xml:space="preserve"> </w:t>
            </w:r>
            <w:proofErr w:type="spellStart"/>
            <w:r w:rsidRPr="00FB4698">
              <w:rPr>
                <w:rStyle w:val="Emphasis"/>
                <w:sz w:val="20"/>
                <w:szCs w:val="20"/>
              </w:rPr>
              <w:t>russeolus</w:t>
            </w:r>
            <w:proofErr w:type="spellEnd"/>
            <w:r w:rsidRPr="00FB4698">
              <w:rPr>
                <w:sz w:val="20"/>
                <w:szCs w:val="20"/>
              </w:rPr>
              <w:t xml:space="preserve"> remains limited, particularly in Kerala, India.</w:t>
            </w:r>
          </w:p>
          <w:p w14:paraId="682C5EF0" w14:textId="538709E4" w:rsidR="00D63800" w:rsidRPr="00D63800" w:rsidRDefault="00D63800" w:rsidP="00D63800">
            <w:pPr>
              <w:pStyle w:val="pdq2pgselectionanchorcontainer"/>
              <w:rPr>
                <w:sz w:val="20"/>
                <w:szCs w:val="20"/>
              </w:rPr>
            </w:pPr>
            <w:r w:rsidRPr="00D63800">
              <w:rPr>
                <w:rStyle w:val="Strong"/>
                <w:sz w:val="20"/>
                <w:szCs w:val="20"/>
              </w:rPr>
              <w:t>Aims:</w:t>
            </w:r>
            <w:r w:rsidRPr="00D63800">
              <w:rPr>
                <w:sz w:val="20"/>
                <w:szCs w:val="20"/>
              </w:rPr>
              <w:t xml:space="preserve"> This study aimed to isolate and </w:t>
            </w:r>
            <w:proofErr w:type="spellStart"/>
            <w:r w:rsidRPr="00D63800">
              <w:rPr>
                <w:sz w:val="20"/>
                <w:szCs w:val="20"/>
              </w:rPr>
              <w:t>characterise</w:t>
            </w:r>
            <w:proofErr w:type="spellEnd"/>
            <w:r w:rsidRPr="00D63800">
              <w:rPr>
                <w:sz w:val="20"/>
                <w:szCs w:val="20"/>
              </w:rPr>
              <w:t xml:space="preserve"> culturable bacteria associated with </w:t>
            </w:r>
            <w:proofErr w:type="spellStart"/>
            <w:r w:rsidRPr="00D63800">
              <w:rPr>
                <w:rStyle w:val="Emphasis"/>
                <w:sz w:val="20"/>
                <w:szCs w:val="20"/>
              </w:rPr>
              <w:t>Allonothrus</w:t>
            </w:r>
            <w:proofErr w:type="spellEnd"/>
            <w:r w:rsidRPr="00D63800">
              <w:rPr>
                <w:rStyle w:val="Emphasis"/>
                <w:sz w:val="20"/>
                <w:szCs w:val="20"/>
              </w:rPr>
              <w:t xml:space="preserve"> </w:t>
            </w:r>
            <w:proofErr w:type="spellStart"/>
            <w:r w:rsidRPr="00D63800">
              <w:rPr>
                <w:rStyle w:val="Emphasis"/>
                <w:sz w:val="20"/>
                <w:szCs w:val="20"/>
              </w:rPr>
              <w:t>russeolus</w:t>
            </w:r>
            <w:proofErr w:type="spellEnd"/>
            <w:r w:rsidRPr="00D63800">
              <w:rPr>
                <w:rStyle w:val="Emphasis"/>
                <w:sz w:val="20"/>
                <w:szCs w:val="20"/>
              </w:rPr>
              <w:t xml:space="preserve"> </w:t>
            </w:r>
            <w:proofErr w:type="spellStart"/>
            <w:r w:rsidRPr="00D63800">
              <w:rPr>
                <w:rStyle w:val="Emphasis"/>
                <w:sz w:val="20"/>
                <w:szCs w:val="20"/>
              </w:rPr>
              <w:t>russeolus</w:t>
            </w:r>
            <w:proofErr w:type="spellEnd"/>
            <w:r w:rsidRPr="00D63800">
              <w:rPr>
                <w:sz w:val="20"/>
                <w:szCs w:val="20"/>
              </w:rPr>
              <w:t xml:space="preserve"> Wallwork, 1960, using standard biochemical tests, qualitatively evaluate their cellulolytic potential, and identify representative isolates by 16S rRNA sequencing.</w:t>
            </w:r>
          </w:p>
          <w:p w14:paraId="094309EA" w14:textId="77777777" w:rsidR="00D63800" w:rsidRPr="00D63800" w:rsidRDefault="00D63800" w:rsidP="00D63800">
            <w:pPr>
              <w:pStyle w:val="NormalWeb"/>
              <w:rPr>
                <w:sz w:val="20"/>
                <w:szCs w:val="20"/>
              </w:rPr>
            </w:pPr>
            <w:r w:rsidRPr="00D63800">
              <w:rPr>
                <w:rStyle w:val="Strong"/>
                <w:sz w:val="20"/>
                <w:szCs w:val="20"/>
              </w:rPr>
              <w:t>Study design:</w:t>
            </w:r>
            <w:r w:rsidRPr="00D63800">
              <w:rPr>
                <w:sz w:val="20"/>
                <w:szCs w:val="20"/>
              </w:rPr>
              <w:t xml:space="preserve"> Experimental, laboratory-based study.</w:t>
            </w:r>
          </w:p>
          <w:p w14:paraId="6BDFF89F" w14:textId="77777777" w:rsidR="00D63800" w:rsidRPr="00D63800" w:rsidRDefault="00D63800" w:rsidP="00D63800">
            <w:pPr>
              <w:pStyle w:val="NormalWeb"/>
              <w:rPr>
                <w:sz w:val="20"/>
                <w:szCs w:val="20"/>
              </w:rPr>
            </w:pPr>
            <w:r w:rsidRPr="00D63800">
              <w:rPr>
                <w:rStyle w:val="Strong"/>
                <w:sz w:val="20"/>
                <w:szCs w:val="20"/>
              </w:rPr>
              <w:t>Place and Duration of Study:</w:t>
            </w:r>
            <w:r w:rsidRPr="00D63800">
              <w:rPr>
                <w:sz w:val="20"/>
                <w:szCs w:val="20"/>
              </w:rPr>
              <w:t xml:space="preserve"> Oribatid mites were collected and identified at Government College </w:t>
            </w:r>
            <w:proofErr w:type="spellStart"/>
            <w:r w:rsidRPr="00D63800">
              <w:rPr>
                <w:sz w:val="20"/>
                <w:szCs w:val="20"/>
              </w:rPr>
              <w:t>Madappally</w:t>
            </w:r>
            <w:proofErr w:type="spellEnd"/>
            <w:r w:rsidRPr="00D63800">
              <w:rPr>
                <w:sz w:val="20"/>
                <w:szCs w:val="20"/>
              </w:rPr>
              <w:t>, Vadakara, Calicut, Kerala, India, in July 2025. Bacterial isolation, cellulolytic screening, and 16S rRNA sequencing were performed at Biomes-care Laboratory, Malappuram, Kerala, India, from July to September 2025.</w:t>
            </w:r>
          </w:p>
          <w:p w14:paraId="0A51E8D2" w14:textId="77777777" w:rsidR="00D63800" w:rsidRPr="00D63800" w:rsidRDefault="00D63800" w:rsidP="00D63800">
            <w:pPr>
              <w:pStyle w:val="NormalWeb"/>
              <w:rPr>
                <w:sz w:val="20"/>
                <w:szCs w:val="20"/>
              </w:rPr>
            </w:pPr>
            <w:r w:rsidRPr="00D63800">
              <w:rPr>
                <w:rStyle w:val="Strong"/>
                <w:sz w:val="20"/>
                <w:szCs w:val="20"/>
              </w:rPr>
              <w:t>Methodology:</w:t>
            </w:r>
            <w:r w:rsidRPr="00D63800">
              <w:rPr>
                <w:sz w:val="20"/>
                <w:szCs w:val="20"/>
              </w:rPr>
              <w:t xml:space="preserve"> Adult </w:t>
            </w:r>
            <w:r w:rsidRPr="00D63800">
              <w:rPr>
                <w:rStyle w:val="Emphasis"/>
                <w:sz w:val="20"/>
                <w:szCs w:val="20"/>
              </w:rPr>
              <w:t xml:space="preserve">A. </w:t>
            </w:r>
            <w:proofErr w:type="spellStart"/>
            <w:r w:rsidRPr="00D63800">
              <w:rPr>
                <w:rStyle w:val="Emphasis"/>
                <w:sz w:val="20"/>
                <w:szCs w:val="20"/>
              </w:rPr>
              <w:t>russeolus</w:t>
            </w:r>
            <w:proofErr w:type="spellEnd"/>
            <w:r w:rsidRPr="00D63800">
              <w:rPr>
                <w:rStyle w:val="Emphasis"/>
                <w:sz w:val="20"/>
                <w:szCs w:val="20"/>
              </w:rPr>
              <w:t xml:space="preserve"> </w:t>
            </w:r>
            <w:proofErr w:type="spellStart"/>
            <w:r w:rsidRPr="00D63800">
              <w:rPr>
                <w:rStyle w:val="Emphasis"/>
                <w:sz w:val="20"/>
                <w:szCs w:val="20"/>
              </w:rPr>
              <w:t>russeolus</w:t>
            </w:r>
            <w:proofErr w:type="spellEnd"/>
            <w:r w:rsidRPr="00D63800">
              <w:rPr>
                <w:sz w:val="20"/>
                <w:szCs w:val="20"/>
              </w:rPr>
              <w:t xml:space="preserve"> mites were surface-</w:t>
            </w:r>
            <w:proofErr w:type="spellStart"/>
            <w:r w:rsidRPr="00D63800">
              <w:rPr>
                <w:sz w:val="20"/>
                <w:szCs w:val="20"/>
              </w:rPr>
              <w:t>sterilised</w:t>
            </w:r>
            <w:proofErr w:type="spellEnd"/>
            <w:r w:rsidRPr="00D63800">
              <w:rPr>
                <w:sz w:val="20"/>
                <w:szCs w:val="20"/>
              </w:rPr>
              <w:t xml:space="preserve">, </w:t>
            </w:r>
            <w:proofErr w:type="spellStart"/>
            <w:r w:rsidRPr="00D63800">
              <w:rPr>
                <w:sz w:val="20"/>
                <w:szCs w:val="20"/>
              </w:rPr>
              <w:t>homogenised</w:t>
            </w:r>
            <w:proofErr w:type="spellEnd"/>
            <w:r w:rsidRPr="00D63800">
              <w:rPr>
                <w:sz w:val="20"/>
                <w:szCs w:val="20"/>
              </w:rPr>
              <w:t>, and plated on nutrient agar. Distinct colonies were purified and subjected to standard biochemical assays and Gram staining. Cellulolytic activity was evaluated on carboxymethyl cellulose agar plates. Isolates yielding successful DNA extraction and PCR amplification were identified by 16S rRNA sequencing.</w:t>
            </w:r>
          </w:p>
          <w:p w14:paraId="035D79EA" w14:textId="77777777" w:rsidR="00D63800" w:rsidRPr="00D63800" w:rsidRDefault="00D63800" w:rsidP="00D63800">
            <w:pPr>
              <w:pStyle w:val="NormalWeb"/>
              <w:rPr>
                <w:sz w:val="20"/>
                <w:szCs w:val="20"/>
              </w:rPr>
            </w:pPr>
            <w:r w:rsidRPr="00D63800">
              <w:rPr>
                <w:rStyle w:val="Strong"/>
                <w:sz w:val="20"/>
                <w:szCs w:val="20"/>
              </w:rPr>
              <w:t>Results:</w:t>
            </w:r>
            <w:r w:rsidRPr="00D63800">
              <w:rPr>
                <w:sz w:val="20"/>
                <w:szCs w:val="20"/>
              </w:rPr>
              <w:t xml:space="preserve"> Purification and biochemical testing revealed six distinct bacterial isolates. Gram staining </w:t>
            </w:r>
            <w:proofErr w:type="spellStart"/>
            <w:r w:rsidRPr="00D63800">
              <w:rPr>
                <w:sz w:val="20"/>
                <w:szCs w:val="20"/>
              </w:rPr>
              <w:t>characterised</w:t>
            </w:r>
            <w:proofErr w:type="spellEnd"/>
            <w:r w:rsidRPr="00D63800">
              <w:rPr>
                <w:sz w:val="20"/>
                <w:szCs w:val="20"/>
              </w:rPr>
              <w:t xml:space="preserve"> four isolates as Gram-positive rods and two as Gram-negative rods. Five of the six isolates showed cellulolytic activity on CMC agar. Successful 16S rRNA sequencing identified three isolates as </w:t>
            </w:r>
            <w:proofErr w:type="spellStart"/>
            <w:r w:rsidRPr="00D63800">
              <w:rPr>
                <w:rStyle w:val="Emphasis"/>
                <w:sz w:val="20"/>
                <w:szCs w:val="20"/>
              </w:rPr>
              <w:t>Priestia</w:t>
            </w:r>
            <w:proofErr w:type="spellEnd"/>
            <w:r w:rsidRPr="00D63800">
              <w:rPr>
                <w:rStyle w:val="Emphasis"/>
                <w:sz w:val="20"/>
                <w:szCs w:val="20"/>
              </w:rPr>
              <w:t xml:space="preserve"> megaterium</w:t>
            </w:r>
            <w:r w:rsidRPr="00D63800">
              <w:rPr>
                <w:sz w:val="20"/>
                <w:szCs w:val="20"/>
              </w:rPr>
              <w:t xml:space="preserve">, a member of the </w:t>
            </w:r>
            <w:r w:rsidRPr="00D63800">
              <w:rPr>
                <w:rStyle w:val="Emphasis"/>
                <w:sz w:val="20"/>
                <w:szCs w:val="20"/>
              </w:rPr>
              <w:t>Bacillus cereus</w:t>
            </w:r>
            <w:r w:rsidRPr="00D63800">
              <w:rPr>
                <w:sz w:val="20"/>
                <w:szCs w:val="20"/>
              </w:rPr>
              <w:t xml:space="preserve"> group, and </w:t>
            </w:r>
            <w:proofErr w:type="spellStart"/>
            <w:r w:rsidRPr="00D63800">
              <w:rPr>
                <w:rStyle w:val="Emphasis"/>
                <w:sz w:val="20"/>
                <w:szCs w:val="20"/>
              </w:rPr>
              <w:t>Pantoea</w:t>
            </w:r>
            <w:proofErr w:type="spellEnd"/>
            <w:r w:rsidRPr="00D63800">
              <w:rPr>
                <w:rStyle w:val="Emphasis"/>
                <w:sz w:val="20"/>
                <w:szCs w:val="20"/>
              </w:rPr>
              <w:t xml:space="preserve"> </w:t>
            </w:r>
            <w:proofErr w:type="spellStart"/>
            <w:r w:rsidRPr="00D63800">
              <w:rPr>
                <w:rStyle w:val="Emphasis"/>
                <w:sz w:val="20"/>
                <w:szCs w:val="20"/>
              </w:rPr>
              <w:t>dispersa</w:t>
            </w:r>
            <w:proofErr w:type="spellEnd"/>
            <w:r w:rsidRPr="00D63800">
              <w:rPr>
                <w:sz w:val="20"/>
                <w:szCs w:val="20"/>
              </w:rPr>
              <w:t>.</w:t>
            </w:r>
          </w:p>
          <w:p w14:paraId="341AAD45" w14:textId="77777777" w:rsidR="00D63800" w:rsidRPr="00D63800" w:rsidRDefault="00D63800" w:rsidP="00D63800">
            <w:pPr>
              <w:pStyle w:val="NormalWeb"/>
              <w:rPr>
                <w:sz w:val="20"/>
                <w:szCs w:val="20"/>
              </w:rPr>
            </w:pPr>
            <w:r w:rsidRPr="00D63800">
              <w:rPr>
                <w:rStyle w:val="Strong"/>
                <w:sz w:val="20"/>
                <w:szCs w:val="20"/>
              </w:rPr>
              <w:t>Conclusion:</w:t>
            </w:r>
            <w:r w:rsidRPr="00D63800">
              <w:rPr>
                <w:sz w:val="20"/>
                <w:szCs w:val="20"/>
              </w:rPr>
              <w:t xml:space="preserve"> This study provides preliminary baseline information on the cultivable cellulolytic bacterial community associated with </w:t>
            </w:r>
            <w:r w:rsidRPr="00D63800">
              <w:rPr>
                <w:rStyle w:val="Emphasis"/>
                <w:sz w:val="20"/>
                <w:szCs w:val="20"/>
              </w:rPr>
              <w:t xml:space="preserve">A. </w:t>
            </w:r>
            <w:proofErr w:type="spellStart"/>
            <w:r w:rsidRPr="00D63800">
              <w:rPr>
                <w:rStyle w:val="Emphasis"/>
                <w:sz w:val="20"/>
                <w:szCs w:val="20"/>
              </w:rPr>
              <w:t>russeolus</w:t>
            </w:r>
            <w:proofErr w:type="spellEnd"/>
            <w:r w:rsidRPr="00D63800">
              <w:rPr>
                <w:rStyle w:val="Emphasis"/>
                <w:sz w:val="20"/>
                <w:szCs w:val="20"/>
              </w:rPr>
              <w:t xml:space="preserve"> </w:t>
            </w:r>
            <w:proofErr w:type="spellStart"/>
            <w:r w:rsidRPr="00D63800">
              <w:rPr>
                <w:rStyle w:val="Emphasis"/>
                <w:sz w:val="20"/>
                <w:szCs w:val="20"/>
              </w:rPr>
              <w:t>russeolus</w:t>
            </w:r>
            <w:proofErr w:type="spellEnd"/>
            <w:r w:rsidRPr="00D63800">
              <w:rPr>
                <w:sz w:val="20"/>
                <w:szCs w:val="20"/>
              </w:rPr>
              <w:t xml:space="preserve">. The occurrence of cellulolytic bacteria </w:t>
            </w:r>
            <w:r w:rsidRPr="00D63800">
              <w:rPr>
                <w:sz w:val="20"/>
                <w:szCs w:val="20"/>
              </w:rPr>
              <w:lastRenderedPageBreak/>
              <w:t>suggests a possible role for mite-associated microorganisms in cellulose degradation and highlights the need for further studies on the functional significance of microbial associations in oribatid mites.</w:t>
            </w:r>
          </w:p>
          <w:p w14:paraId="69E42756" w14:textId="77777777" w:rsidR="00526238" w:rsidRPr="00D63800" w:rsidRDefault="00526238">
            <w:pPr>
              <w:pBdr>
                <w:top w:val="nil"/>
                <w:left w:val="nil"/>
                <w:bottom w:val="nil"/>
                <w:right w:val="nil"/>
                <w:between w:val="nil"/>
              </w:pBdr>
              <w:rPr>
                <w:rFonts w:ascii="Arial" w:eastAsia="Arial" w:hAnsi="Arial" w:cs="Arial"/>
                <w:color w:val="000000"/>
                <w:sz w:val="20"/>
                <w:szCs w:val="20"/>
                <w:lang w:val="en-US"/>
              </w:rPr>
            </w:pPr>
          </w:p>
        </w:tc>
      </w:tr>
    </w:tbl>
    <w:p w14:paraId="779E0EAC" w14:textId="77777777" w:rsidR="00526238" w:rsidRPr="00FF7FB4" w:rsidRDefault="00526238">
      <w:pPr>
        <w:pBdr>
          <w:top w:val="nil"/>
          <w:left w:val="nil"/>
          <w:bottom w:val="nil"/>
          <w:right w:val="nil"/>
          <w:between w:val="nil"/>
        </w:pBdr>
        <w:rPr>
          <w:rFonts w:ascii="Arial" w:eastAsia="Arial" w:hAnsi="Arial" w:cs="Arial"/>
          <w:i/>
          <w:iCs/>
          <w:color w:val="000000"/>
          <w:sz w:val="20"/>
          <w:szCs w:val="20"/>
        </w:rPr>
      </w:pPr>
    </w:p>
    <w:p w14:paraId="05A5CD68" w14:textId="2814995D" w:rsidR="00526238" w:rsidRPr="00FF7FB4" w:rsidRDefault="00000000">
      <w:pPr>
        <w:widowControl w:val="0"/>
        <w:spacing w:before="80" w:after="80"/>
        <w:ind w:right="111"/>
        <w:rPr>
          <w:rFonts w:ascii="Arial" w:eastAsia="Arial" w:hAnsi="Arial" w:cs="Arial"/>
          <w:i/>
          <w:iCs/>
        </w:rPr>
      </w:pPr>
      <w:r w:rsidRPr="00FF7FB4">
        <w:rPr>
          <w:rFonts w:ascii="Arial" w:eastAsia="Arial" w:hAnsi="Arial" w:cs="Arial"/>
          <w:i/>
          <w:iCs/>
        </w:rPr>
        <w:t xml:space="preserve">Keywords: </w:t>
      </w:r>
      <w:proofErr w:type="spellStart"/>
      <w:r w:rsidR="00FF7FB4">
        <w:rPr>
          <w:rStyle w:val="Emphasis"/>
        </w:rPr>
        <w:t>Allonothrus</w:t>
      </w:r>
      <w:proofErr w:type="spellEnd"/>
      <w:r w:rsidR="00FF7FB4">
        <w:rPr>
          <w:rStyle w:val="Emphasis"/>
        </w:rPr>
        <w:t xml:space="preserve"> </w:t>
      </w:r>
      <w:proofErr w:type="spellStart"/>
      <w:r w:rsidR="00FF7FB4">
        <w:rPr>
          <w:rStyle w:val="Emphasis"/>
        </w:rPr>
        <w:t>russeolus</w:t>
      </w:r>
      <w:proofErr w:type="spellEnd"/>
      <w:r w:rsidR="00FF7FB4">
        <w:rPr>
          <w:rStyle w:val="Emphasis"/>
        </w:rPr>
        <w:t xml:space="preserve"> </w:t>
      </w:r>
      <w:proofErr w:type="spellStart"/>
      <w:r w:rsidR="00FF7FB4">
        <w:rPr>
          <w:rStyle w:val="Emphasis"/>
        </w:rPr>
        <w:t>russeolus</w:t>
      </w:r>
      <w:proofErr w:type="spellEnd"/>
      <w:r w:rsidR="00FF7FB4">
        <w:t xml:space="preserve">; oribatid mites; cultivable bacteria; mite-associated microbiota; cellulolytic activity; carboxymethyl cellulose; Congo red assay; 16S rRNA sequencing; </w:t>
      </w:r>
      <w:proofErr w:type="spellStart"/>
      <w:r w:rsidR="00FF7FB4">
        <w:rPr>
          <w:rStyle w:val="Emphasis"/>
        </w:rPr>
        <w:t>Priestia</w:t>
      </w:r>
      <w:proofErr w:type="spellEnd"/>
      <w:r w:rsidR="00FF7FB4">
        <w:rPr>
          <w:rStyle w:val="Emphasis"/>
        </w:rPr>
        <w:t xml:space="preserve"> megaterium</w:t>
      </w:r>
      <w:r w:rsidR="00FF7FB4">
        <w:t xml:space="preserve">; </w:t>
      </w:r>
      <w:proofErr w:type="spellStart"/>
      <w:r w:rsidR="00FF7FB4">
        <w:rPr>
          <w:rStyle w:val="Emphasis"/>
        </w:rPr>
        <w:t>Pantoea</w:t>
      </w:r>
      <w:proofErr w:type="spellEnd"/>
      <w:r w:rsidR="00FF7FB4">
        <w:rPr>
          <w:rStyle w:val="Emphasis"/>
        </w:rPr>
        <w:t xml:space="preserve"> </w:t>
      </w:r>
      <w:proofErr w:type="spellStart"/>
      <w:r w:rsidR="00FF7FB4">
        <w:rPr>
          <w:rStyle w:val="Emphasis"/>
        </w:rPr>
        <w:t>dispersa</w:t>
      </w:r>
      <w:proofErr w:type="spellEnd"/>
    </w:p>
    <w:p w14:paraId="44C5B811" w14:textId="77777777" w:rsidR="00526238" w:rsidRPr="00FF7FB4" w:rsidRDefault="00526238">
      <w:pPr>
        <w:pBdr>
          <w:top w:val="nil"/>
          <w:left w:val="nil"/>
          <w:bottom w:val="nil"/>
          <w:right w:val="nil"/>
          <w:between w:val="nil"/>
        </w:pBdr>
        <w:rPr>
          <w:rFonts w:ascii="Arial" w:eastAsia="Arial" w:hAnsi="Arial" w:cs="Arial"/>
          <w:i/>
          <w:iCs/>
          <w:color w:val="000000"/>
          <w:sz w:val="18"/>
          <w:szCs w:val="18"/>
        </w:rPr>
      </w:pPr>
    </w:p>
    <w:p w14:paraId="7033413C" w14:textId="77777777" w:rsidR="00526238" w:rsidRPr="00FF7FB4" w:rsidRDefault="00526238">
      <w:pPr>
        <w:pBdr>
          <w:top w:val="nil"/>
          <w:left w:val="nil"/>
          <w:bottom w:val="nil"/>
          <w:right w:val="nil"/>
          <w:between w:val="nil"/>
        </w:pBdr>
        <w:rPr>
          <w:rFonts w:ascii="Arial" w:eastAsia="Arial" w:hAnsi="Arial" w:cs="Arial"/>
          <w:i/>
          <w:iCs/>
          <w:color w:val="000000"/>
          <w:sz w:val="20"/>
          <w:szCs w:val="20"/>
        </w:rPr>
      </w:pPr>
    </w:p>
    <w:p w14:paraId="795A8B90" w14:textId="77777777" w:rsidR="00526238" w:rsidRPr="00FF7FB4" w:rsidRDefault="00000000">
      <w:pPr>
        <w:keepNext/>
        <w:pBdr>
          <w:top w:val="nil"/>
          <w:left w:val="nil"/>
          <w:bottom w:val="nil"/>
          <w:right w:val="nil"/>
          <w:between w:val="nil"/>
        </w:pBdr>
        <w:rPr>
          <w:rFonts w:ascii="Arial" w:eastAsia="Arial" w:hAnsi="Arial" w:cs="Arial"/>
          <w:b/>
          <w:bCs/>
          <w:smallCaps/>
          <w:color w:val="000000"/>
          <w:sz w:val="22"/>
          <w:szCs w:val="22"/>
        </w:rPr>
      </w:pPr>
      <w:r w:rsidRPr="00FF7FB4">
        <w:rPr>
          <w:rFonts w:ascii="Arial" w:eastAsia="Arial" w:hAnsi="Arial" w:cs="Arial"/>
          <w:b/>
          <w:bCs/>
          <w:smallCaps/>
          <w:color w:val="000000"/>
          <w:sz w:val="22"/>
          <w:szCs w:val="22"/>
        </w:rPr>
        <w:t xml:space="preserve">1. INTRODUCTION </w:t>
      </w:r>
    </w:p>
    <w:p w14:paraId="21A8FB64"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p w14:paraId="6AC0EA57"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 xml:space="preserve">Oribatid mites, also known as moss mites or beetle mites, are a highly diverse and abundant group of chelicerate arthropods that play crucial roles in various terrestrial ecosystems (Maraun &amp; Scheu, 2000; Norton, 1990). These organisms inhabit a variety of terrestrial habitats, with some species also associated with moist, riparian, and semi-aquatic environments (Behan-Pelletier &amp; Schatz, 2010; Julie </w:t>
      </w:r>
      <w:r w:rsidRPr="00FF7FB4">
        <w:rPr>
          <w:rFonts w:ascii="Arial" w:eastAsia="Arial" w:hAnsi="Arial" w:cs="Arial"/>
          <w:i/>
          <w:iCs/>
          <w:sz w:val="22"/>
          <w:szCs w:val="22"/>
        </w:rPr>
        <w:t>et al</w:t>
      </w:r>
      <w:r w:rsidRPr="00FF7FB4">
        <w:rPr>
          <w:rFonts w:ascii="Arial" w:eastAsia="Arial" w:hAnsi="Arial" w:cs="Arial"/>
          <w:sz w:val="22"/>
          <w:szCs w:val="22"/>
        </w:rPr>
        <w:t xml:space="preserve">., 2013; Julie &amp; Ramani, 2008; Weigmann, 2006). Their cosmopolitan distribution, extending from tropical rainforests to polar deserts, underscores their adaptability and ecological success (Kerschbaumer &amp; Pfingstl, 2024). Their ecological importance arises from their contributions to soil decomposition, nutrient cycling, and the regulation of microbial activity within soil food webs </w:t>
      </w:r>
      <w:r w:rsidRPr="00FF7FB4">
        <w:rPr>
          <w:rFonts w:ascii="Arial" w:eastAsia="Arial" w:hAnsi="Arial" w:cs="Arial"/>
          <w:color w:val="000000"/>
          <w:sz w:val="22"/>
          <w:szCs w:val="22"/>
        </w:rPr>
        <w:t xml:space="preserve">(Gong </w:t>
      </w:r>
      <w:r w:rsidRPr="00FF7FB4">
        <w:rPr>
          <w:rFonts w:ascii="Arial" w:eastAsia="Arial" w:hAnsi="Arial" w:cs="Arial"/>
          <w:i/>
          <w:iCs/>
          <w:sz w:val="22"/>
          <w:szCs w:val="22"/>
        </w:rPr>
        <w:t>et al</w:t>
      </w:r>
      <w:r w:rsidRPr="00FF7FB4">
        <w:rPr>
          <w:rFonts w:ascii="Arial" w:eastAsia="Arial" w:hAnsi="Arial" w:cs="Arial"/>
          <w:sz w:val="22"/>
          <w:szCs w:val="22"/>
        </w:rPr>
        <w:t>.,</w:t>
      </w:r>
      <w:r w:rsidRPr="00FF7FB4">
        <w:rPr>
          <w:rFonts w:ascii="Arial" w:eastAsia="Arial" w:hAnsi="Arial" w:cs="Arial"/>
          <w:color w:val="000000"/>
          <w:sz w:val="22"/>
          <w:szCs w:val="22"/>
        </w:rPr>
        <w:t xml:space="preserve"> 2018; Zhou et al., 2023). </w:t>
      </w:r>
      <w:r w:rsidRPr="00FF7FB4">
        <w:rPr>
          <w:rFonts w:ascii="Arial" w:eastAsia="Arial" w:hAnsi="Arial" w:cs="Arial"/>
          <w:sz w:val="22"/>
          <w:szCs w:val="22"/>
        </w:rPr>
        <w:t>They have also been used in soil-quality assessments because of their sensitivity to environmental change (Gergócs &amp; Hufnagel, 2009; Maraun &amp; Scheu, 2000). Furthermore, their capacity to disperse microbial spores and modify soil organic substrates contributes to terrestrial ecosystem functioning (Baran &amp; Yaşa, 2019; Renker et al., 2005).</w:t>
      </w:r>
    </w:p>
    <w:p w14:paraId="05EB0298"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 xml:space="preserve">Oribatid mites exhibit remarkable trophic plasticity, consuming resources ranging from dead organic matter and fungi to lichens and bacteria (Maraun </w:t>
      </w:r>
      <w:r w:rsidRPr="00FF7FB4">
        <w:rPr>
          <w:rFonts w:ascii="Arial" w:eastAsia="Arial" w:hAnsi="Arial" w:cs="Arial"/>
          <w:i/>
          <w:iCs/>
          <w:sz w:val="22"/>
          <w:szCs w:val="22"/>
        </w:rPr>
        <w:t>et al</w:t>
      </w:r>
      <w:r w:rsidRPr="00FF7FB4">
        <w:rPr>
          <w:rFonts w:ascii="Arial" w:eastAsia="Arial" w:hAnsi="Arial" w:cs="Arial"/>
          <w:sz w:val="22"/>
          <w:szCs w:val="22"/>
        </w:rPr>
        <w:t xml:space="preserve">., 2020; Padinhare Kaithayil &amp; Neravathu, 2020; Ramani &amp; Haq, 1990, 1999; Thakur </w:t>
      </w:r>
      <w:r w:rsidRPr="00FF7FB4">
        <w:rPr>
          <w:rFonts w:ascii="Arial" w:eastAsia="Arial" w:hAnsi="Arial" w:cs="Arial"/>
          <w:i/>
          <w:iCs/>
          <w:sz w:val="22"/>
          <w:szCs w:val="22"/>
        </w:rPr>
        <w:t>et al</w:t>
      </w:r>
      <w:r w:rsidRPr="00FF7FB4">
        <w:rPr>
          <w:rFonts w:ascii="Arial" w:eastAsia="Arial" w:hAnsi="Arial" w:cs="Arial"/>
          <w:sz w:val="22"/>
          <w:szCs w:val="22"/>
        </w:rPr>
        <w:t>., 2023). Molecular gut-content analysis has also confirmed nematode consumption by these soil decomposers (Heidemann</w:t>
      </w:r>
      <w:r w:rsidRPr="00FF7FB4">
        <w:rPr>
          <w:rFonts w:ascii="Arial" w:eastAsia="Arial" w:hAnsi="Arial" w:cs="Arial"/>
          <w:i/>
          <w:iCs/>
          <w:sz w:val="22"/>
          <w:szCs w:val="22"/>
        </w:rPr>
        <w:t xml:space="preserve"> et al</w:t>
      </w:r>
      <w:r w:rsidRPr="00FF7FB4">
        <w:rPr>
          <w:rFonts w:ascii="Arial" w:eastAsia="Arial" w:hAnsi="Arial" w:cs="Arial"/>
          <w:sz w:val="22"/>
          <w:szCs w:val="22"/>
        </w:rPr>
        <w:t>., 2011). Based on such observations, researchers have categorised oribatid mites into different feeding guilds, including macrophytophagous species (feeding on dead wood, roots, and litter material), microphytophagous species (feeding on fungi, lichens, algae, and pollen), and panphytophagous species (non-specialised feeders) (Siepel &amp; de Ruiter-Dijkman, 1993).</w:t>
      </w:r>
    </w:p>
    <w:p w14:paraId="23CF45C8" w14:textId="77777777" w:rsidR="00246C9C" w:rsidRPr="00FF7FB4" w:rsidRDefault="00000000">
      <w:pPr>
        <w:rPr>
          <w:rFonts w:ascii="Arial" w:eastAsia="Arial" w:hAnsi="Arial" w:cs="Arial"/>
          <w:sz w:val="22"/>
          <w:szCs w:val="22"/>
        </w:rPr>
      </w:pPr>
      <w:r w:rsidRPr="00FF7FB4">
        <w:rPr>
          <w:rFonts w:ascii="Arial" w:eastAsia="Arial" w:hAnsi="Arial" w:cs="Arial"/>
          <w:sz w:val="22"/>
          <w:szCs w:val="22"/>
        </w:rPr>
        <w:t xml:space="preserve">Beyond resource choice, feeding guilds also depend on digestive capacity, drawing attention to host–microbial interactions in oribatid mites (Gong et al., 2018; Potapov </w:t>
      </w:r>
      <w:r w:rsidRPr="00FF7FB4">
        <w:rPr>
          <w:rFonts w:ascii="Arial" w:eastAsia="Arial" w:hAnsi="Arial" w:cs="Arial"/>
          <w:i/>
          <w:iCs/>
          <w:sz w:val="22"/>
          <w:szCs w:val="22"/>
        </w:rPr>
        <w:t>et al.</w:t>
      </w:r>
      <w:r w:rsidRPr="00FF7FB4">
        <w:rPr>
          <w:rFonts w:ascii="Arial" w:eastAsia="Arial" w:hAnsi="Arial" w:cs="Arial"/>
          <w:sz w:val="22"/>
          <w:szCs w:val="22"/>
        </w:rPr>
        <w:t xml:space="preserve">, 2022). Host–microbial interactions play important roles in the growth and adaptation of many plants and animals (Ley </w:t>
      </w:r>
      <w:r w:rsidRPr="00FF7FB4">
        <w:rPr>
          <w:rFonts w:ascii="Arial" w:eastAsia="Arial" w:hAnsi="Arial" w:cs="Arial"/>
          <w:i/>
          <w:iCs/>
          <w:sz w:val="22"/>
          <w:szCs w:val="22"/>
        </w:rPr>
        <w:t>et al.,</w:t>
      </w:r>
      <w:r w:rsidRPr="00FF7FB4">
        <w:rPr>
          <w:rFonts w:ascii="Arial" w:eastAsia="Arial" w:hAnsi="Arial" w:cs="Arial"/>
          <w:sz w:val="22"/>
          <w:szCs w:val="22"/>
        </w:rPr>
        <w:t xml:space="preserve"> 2008; Shapira, 2016). Beyond their roles as detritivores, these mites harbour complex microbial assemblages that may contribute to host physiological adaptation and metabolic efficiency (Chen &amp; Chen, 2025; Zhu </w:t>
      </w:r>
      <w:r w:rsidRPr="00FF7FB4">
        <w:rPr>
          <w:rFonts w:ascii="Arial" w:eastAsia="Arial" w:hAnsi="Arial" w:cs="Arial"/>
          <w:i/>
          <w:iCs/>
          <w:sz w:val="22"/>
          <w:szCs w:val="22"/>
        </w:rPr>
        <w:t>et al</w:t>
      </w:r>
      <w:r w:rsidRPr="00FF7FB4">
        <w:rPr>
          <w:rFonts w:ascii="Arial" w:eastAsia="Arial" w:hAnsi="Arial" w:cs="Arial"/>
          <w:sz w:val="22"/>
          <w:szCs w:val="22"/>
        </w:rPr>
        <w:t xml:space="preserve">., 2021). Animal microbiomes can influence nutrient absorption and host metabolism (Yoo et al., 2020), while the assembly of host-associated microbial communities is influenced by the host's physiological state (Dethlefsen </w:t>
      </w:r>
      <w:r w:rsidRPr="00FF7FB4">
        <w:rPr>
          <w:rFonts w:ascii="Arial" w:eastAsia="Arial" w:hAnsi="Arial" w:cs="Arial"/>
          <w:i/>
          <w:iCs/>
          <w:sz w:val="22"/>
          <w:szCs w:val="22"/>
        </w:rPr>
        <w:t>et a</w:t>
      </w:r>
      <w:r w:rsidRPr="00FF7FB4">
        <w:rPr>
          <w:rFonts w:ascii="Arial" w:eastAsia="Arial" w:hAnsi="Arial" w:cs="Arial"/>
          <w:sz w:val="22"/>
          <w:szCs w:val="22"/>
        </w:rPr>
        <w:t>l</w:t>
      </w:r>
      <w:r w:rsidRPr="00FF7FB4">
        <w:rPr>
          <w:rFonts w:ascii="Arial" w:eastAsia="Arial" w:hAnsi="Arial" w:cs="Arial"/>
          <w:i/>
          <w:iCs/>
          <w:sz w:val="22"/>
          <w:szCs w:val="22"/>
        </w:rPr>
        <w:t>.,</w:t>
      </w:r>
      <w:r w:rsidRPr="00FF7FB4">
        <w:rPr>
          <w:rFonts w:ascii="Arial" w:eastAsia="Arial" w:hAnsi="Arial" w:cs="Arial"/>
          <w:sz w:val="22"/>
          <w:szCs w:val="22"/>
        </w:rPr>
        <w:t xml:space="preserve"> 2007). Thus, the gut microbial populations of decomposers may vary across trophic levels. In addition, oribatid mites mainly consume fungi but have a limited independent ability to digest cellulose and chitin (Siepel &amp; de Ruiter-Dijkman, 1993). Symbiotic bacterial communities may contribute to the breakdown of recalcitrant dietary substrates and the synthesis of essential nutrients that are otherwise unavailable to the mite (Pekas </w:t>
      </w:r>
      <w:r w:rsidRPr="00FF7FB4">
        <w:rPr>
          <w:rFonts w:ascii="Arial" w:eastAsia="Arial" w:hAnsi="Arial" w:cs="Arial"/>
          <w:i/>
          <w:iCs/>
          <w:sz w:val="22"/>
          <w:szCs w:val="22"/>
        </w:rPr>
        <w:t>et al</w:t>
      </w:r>
      <w:r w:rsidRPr="00FF7FB4">
        <w:rPr>
          <w:rFonts w:ascii="Arial" w:eastAsia="Arial" w:hAnsi="Arial" w:cs="Arial"/>
          <w:sz w:val="22"/>
          <w:szCs w:val="22"/>
        </w:rPr>
        <w:t>., 2017). Recent evidence from detritivorous arthropods indicates that cellulolytic bacteria can be isolated from the gut; however, the presence of polysaccharide-degrading microorganisms alone does not establish a direct nutritional benefit to the host (Biswas et al., 2024; Nweze et al., 2024).</w:t>
      </w:r>
    </w:p>
    <w:p w14:paraId="61B4C4D9" w14:textId="77777777" w:rsidR="00246C9C" w:rsidRPr="00FF7FB4" w:rsidRDefault="00000000">
      <w:pPr>
        <w:rPr>
          <w:rFonts w:ascii="Arial" w:eastAsia="Arial" w:hAnsi="Arial" w:cs="Arial"/>
          <w:sz w:val="22"/>
          <w:szCs w:val="22"/>
        </w:rPr>
      </w:pPr>
      <w:r w:rsidRPr="00FF7FB4">
        <w:rPr>
          <w:rFonts w:ascii="Arial" w:eastAsia="Arial" w:hAnsi="Arial" w:cs="Arial"/>
          <w:sz w:val="22"/>
          <w:szCs w:val="22"/>
        </w:rPr>
        <w:t xml:space="preserve">Recent international investigations have increasingly used culture-dependent techniques to characterise bacterial taxa associated with soil microarthropods, revealing functional diversity within mite-associated microbiomes. These methods typically use standard nutrient media to isolate specific microbial groups and facilitate bacterial identification (Velazco </w:t>
      </w:r>
      <w:r w:rsidRPr="00FF7FB4">
        <w:rPr>
          <w:rFonts w:ascii="Arial" w:eastAsia="Arial" w:hAnsi="Arial" w:cs="Arial"/>
          <w:i/>
          <w:iCs/>
          <w:sz w:val="22"/>
          <w:szCs w:val="22"/>
        </w:rPr>
        <w:t>et al</w:t>
      </w:r>
      <w:r w:rsidRPr="00FF7FB4">
        <w:rPr>
          <w:rFonts w:ascii="Arial" w:eastAsia="Arial" w:hAnsi="Arial" w:cs="Arial"/>
          <w:sz w:val="22"/>
          <w:szCs w:val="22"/>
        </w:rPr>
        <w:t xml:space="preserve">., 2023). India, particularly the Western Ghats of Kerala, harbours a rich diversity of oribatid mites, and numerous taxonomic studies have documented this fauna (Arun &amp; Ramani, 2020; Haq &amp; Ramani, 2002; Julie &amp; Ramani, 2008). However, culture-based investigations of the microbial associates of oribatid mites remain limited in Kerala (Haq &amp; Konikkara, 1989). The culture and identification of cultivable mite-associated bacteria may help to interpret digestive capacities, examine potential functional roles, and refine feeding-guild classifications (Siepel &amp; de Ruiter-Dijkman, 1993). Biochemical and cellulolytic </w:t>
      </w:r>
      <w:r w:rsidRPr="00FF7FB4">
        <w:rPr>
          <w:rFonts w:ascii="Arial" w:eastAsia="Arial" w:hAnsi="Arial" w:cs="Arial"/>
          <w:sz w:val="22"/>
          <w:szCs w:val="22"/>
        </w:rPr>
        <w:lastRenderedPageBreak/>
        <w:t xml:space="preserve">characterisation, followed by selective molecular identification, can provide baseline information on bacteria associated with </w:t>
      </w:r>
      <w:r w:rsidRPr="00FF7FB4">
        <w:rPr>
          <w:rFonts w:ascii="Arial" w:eastAsia="Arial" w:hAnsi="Arial" w:cs="Arial"/>
          <w:i/>
          <w:iCs/>
          <w:sz w:val="22"/>
          <w:szCs w:val="22"/>
        </w:rPr>
        <w:t>Allonothrus russeolus russeolus</w:t>
      </w:r>
      <w:r w:rsidRPr="00FF7FB4">
        <w:rPr>
          <w:rFonts w:ascii="Arial" w:eastAsia="Arial" w:hAnsi="Arial" w:cs="Arial"/>
          <w:sz w:val="22"/>
          <w:szCs w:val="22"/>
        </w:rPr>
        <w:t xml:space="preserve"> Wallwork, 1960. Culture-dependent studies have recovered cellulolytic bacteria through CMC agar screening and Congo red detection, supporting these methods for the preliminary identification of cellulose-hydrolysing isolates (Gul et al., 2026; Ibitoye et al., 2026). Nevertheless, evidence that microbial profiles differ between whole-body and dissected-gut samples of oribatid mites indicates that bacteria recovered from surface-sterilised whole-mite homogenates should be interpreted as cultivable mite-associated taxa unless gut localisation is independently confirmed (Chen et al., 2026). However, culture-based evidence concerning cellulolytic bacteria associated with oribatid mites in Kerala remains limited, particularly for </w:t>
      </w:r>
      <w:r w:rsidRPr="00FF7FB4">
        <w:rPr>
          <w:rFonts w:ascii="Arial" w:eastAsia="Arial" w:hAnsi="Arial" w:cs="Arial"/>
          <w:i/>
          <w:iCs/>
          <w:sz w:val="22"/>
          <w:szCs w:val="22"/>
        </w:rPr>
        <w:t>A. russeolus russeolus</w:t>
      </w:r>
      <w:r w:rsidRPr="00FF7FB4">
        <w:rPr>
          <w:rFonts w:ascii="Arial" w:eastAsia="Arial" w:hAnsi="Arial" w:cs="Arial"/>
          <w:sz w:val="22"/>
          <w:szCs w:val="22"/>
        </w:rPr>
        <w:t>. The present study addresses this research gap.</w:t>
      </w:r>
    </w:p>
    <w:p w14:paraId="6EF0A5B3"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 xml:space="preserve">Accordingly, the present study aimed to isolate and characterise cultivable bacteria associated with </w:t>
      </w:r>
      <w:r w:rsidRPr="00FF7FB4">
        <w:rPr>
          <w:rFonts w:ascii="Arial" w:eastAsia="Arial" w:hAnsi="Arial" w:cs="Arial"/>
          <w:i/>
          <w:iCs/>
          <w:sz w:val="22"/>
          <w:szCs w:val="22"/>
        </w:rPr>
        <w:t>A. russeolus russeolus</w:t>
      </w:r>
      <w:r w:rsidRPr="00FF7FB4">
        <w:rPr>
          <w:rFonts w:ascii="Arial" w:eastAsia="Arial" w:hAnsi="Arial" w:cs="Arial"/>
          <w:sz w:val="22"/>
          <w:szCs w:val="22"/>
        </w:rPr>
        <w:t xml:space="preserve"> using culture-dependent methods, biochemical assays, Congo red-based cellulase screening, and 16S rRNA sequencing. The study further aimed to identify representative bacterial taxa and evaluate their qualitative cellulolytic potential. These findings provide baseline information on cultivable bacteria associated with oribatid mites from Kerala and may support further investigation of oribatid–microbe interactions.</w:t>
      </w:r>
    </w:p>
    <w:p w14:paraId="2111C14F" w14:textId="77777777" w:rsidR="00526238" w:rsidRPr="00FF7FB4" w:rsidRDefault="00526238">
      <w:pPr>
        <w:rPr>
          <w:rFonts w:ascii="Arial" w:eastAsia="Arial" w:hAnsi="Arial" w:cs="Arial"/>
          <w:sz w:val="22"/>
          <w:szCs w:val="22"/>
        </w:rPr>
      </w:pPr>
    </w:p>
    <w:p w14:paraId="4131C226" w14:textId="77777777" w:rsidR="00526238" w:rsidRPr="00FF7FB4" w:rsidRDefault="00000000">
      <w:pPr>
        <w:keepNext/>
        <w:pBdr>
          <w:top w:val="nil"/>
          <w:left w:val="nil"/>
          <w:bottom w:val="nil"/>
          <w:right w:val="nil"/>
          <w:between w:val="nil"/>
        </w:pBdr>
        <w:rPr>
          <w:rFonts w:ascii="Arial" w:eastAsia="Arial" w:hAnsi="Arial" w:cs="Arial"/>
          <w:b/>
          <w:bCs/>
          <w:smallCaps/>
          <w:color w:val="000000"/>
          <w:sz w:val="22"/>
          <w:szCs w:val="22"/>
        </w:rPr>
      </w:pPr>
      <w:r w:rsidRPr="00FF7FB4">
        <w:rPr>
          <w:rFonts w:ascii="Arial" w:eastAsia="Arial" w:hAnsi="Arial" w:cs="Arial"/>
          <w:b/>
          <w:bCs/>
          <w:smallCaps/>
          <w:color w:val="000000"/>
          <w:sz w:val="22"/>
          <w:szCs w:val="22"/>
        </w:rPr>
        <w:t xml:space="preserve">2. </w:t>
      </w:r>
      <w:r w:rsidRPr="00FF7FB4">
        <w:rPr>
          <w:rFonts w:ascii="Arial" w:eastAsia="Arial" w:hAnsi="Arial" w:cs="Arial"/>
          <w:b/>
          <w:bCs/>
          <w:smallCaps/>
          <w:sz w:val="22"/>
          <w:szCs w:val="22"/>
        </w:rPr>
        <w:t>Methodology</w:t>
      </w:r>
      <w:r w:rsidRPr="00FF7FB4">
        <w:rPr>
          <w:rFonts w:ascii="Arial" w:eastAsia="Arial" w:hAnsi="Arial" w:cs="Arial"/>
          <w:b/>
          <w:bCs/>
          <w:smallCaps/>
          <w:color w:val="000000"/>
          <w:sz w:val="22"/>
          <w:szCs w:val="22"/>
        </w:rPr>
        <w:t xml:space="preserve"> </w:t>
      </w:r>
    </w:p>
    <w:p w14:paraId="2CF20C77"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p w14:paraId="5CD4F0D8" w14:textId="77777777" w:rsidR="00526238" w:rsidRPr="00FF7FB4" w:rsidRDefault="00000000">
      <w:pPr>
        <w:keepNext/>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smallCaps/>
          <w:color w:val="000000"/>
          <w:sz w:val="22"/>
          <w:szCs w:val="22"/>
        </w:rPr>
        <w:t>2.1. S</w:t>
      </w:r>
      <w:r w:rsidRPr="00FF7FB4">
        <w:rPr>
          <w:rFonts w:ascii="Arial" w:eastAsia="Arial" w:hAnsi="Arial" w:cs="Arial"/>
          <w:b/>
          <w:bCs/>
          <w:color w:val="000000"/>
          <w:sz w:val="22"/>
          <w:szCs w:val="22"/>
        </w:rPr>
        <w:t>tudy area</w:t>
      </w:r>
    </w:p>
    <w:p w14:paraId="70287079"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The soil sample used for the extraction of oribatid mites </w:t>
      </w:r>
      <w:r w:rsidRPr="00FF7FB4">
        <w:rPr>
          <w:rFonts w:ascii="Arial" w:eastAsia="Arial" w:hAnsi="Arial" w:cs="Arial"/>
          <w:sz w:val="22"/>
          <w:szCs w:val="22"/>
        </w:rPr>
        <w:t>was</w:t>
      </w:r>
      <w:r w:rsidRPr="00FF7FB4">
        <w:rPr>
          <w:rFonts w:ascii="Arial" w:eastAsia="Arial" w:hAnsi="Arial" w:cs="Arial"/>
          <w:color w:val="000000"/>
          <w:sz w:val="22"/>
          <w:szCs w:val="22"/>
        </w:rPr>
        <w:t xml:space="preserve"> collected on the campus of</w:t>
      </w:r>
      <w:r w:rsidRPr="00FF7FB4">
        <w:rPr>
          <w:rFonts w:ascii="Arial" w:eastAsia="Arial" w:hAnsi="Arial" w:cs="Arial"/>
          <w:sz w:val="22"/>
          <w:szCs w:val="22"/>
        </w:rPr>
        <w:t xml:space="preserve"> Government</w:t>
      </w:r>
      <w:r w:rsidRPr="00FF7FB4">
        <w:rPr>
          <w:rFonts w:ascii="Arial" w:eastAsia="Arial" w:hAnsi="Arial" w:cs="Arial"/>
          <w:color w:val="000000"/>
          <w:sz w:val="22"/>
          <w:szCs w:val="22"/>
        </w:rPr>
        <w:t xml:space="preserve"> </w:t>
      </w:r>
      <w:r w:rsidRPr="00FF7FB4">
        <w:rPr>
          <w:rFonts w:ascii="Arial" w:eastAsia="Arial" w:hAnsi="Arial" w:cs="Arial"/>
          <w:sz w:val="22"/>
          <w:szCs w:val="22"/>
        </w:rPr>
        <w:t>College</w:t>
      </w:r>
      <w:r w:rsidRPr="00FF7FB4">
        <w:rPr>
          <w:rFonts w:ascii="Arial" w:eastAsia="Arial" w:hAnsi="Arial" w:cs="Arial"/>
          <w:color w:val="000000"/>
          <w:sz w:val="22"/>
          <w:szCs w:val="22"/>
        </w:rPr>
        <w:t xml:space="preserve"> Madappally, Vadakara, Kerala, India (11° 38' 53.60723’’ N and 75° 34' 10.72552’’ E), </w:t>
      </w:r>
      <w:r w:rsidRPr="00FF7FB4">
        <w:rPr>
          <w:rFonts w:ascii="Arial" w:eastAsia="Arial" w:hAnsi="Arial" w:cs="Arial"/>
          <w:sz w:val="22"/>
          <w:szCs w:val="22"/>
        </w:rPr>
        <w:t>in</w:t>
      </w:r>
      <w:r w:rsidRPr="00FF7FB4">
        <w:rPr>
          <w:rFonts w:ascii="Arial" w:eastAsia="Arial" w:hAnsi="Arial" w:cs="Arial"/>
          <w:color w:val="000000"/>
          <w:sz w:val="22"/>
          <w:szCs w:val="22"/>
        </w:rPr>
        <w:t xml:space="preserve"> July 2025.</w:t>
      </w:r>
    </w:p>
    <w:p w14:paraId="5A6FC246" w14:textId="77777777" w:rsidR="00526238" w:rsidRPr="00FF7FB4" w:rsidRDefault="00526238">
      <w:pPr>
        <w:keepNext/>
        <w:pBdr>
          <w:top w:val="nil"/>
          <w:left w:val="nil"/>
          <w:bottom w:val="nil"/>
          <w:right w:val="nil"/>
          <w:between w:val="nil"/>
        </w:pBdr>
        <w:rPr>
          <w:rFonts w:ascii="Arial" w:eastAsia="Arial" w:hAnsi="Arial" w:cs="Arial"/>
          <w:color w:val="000000"/>
          <w:sz w:val="22"/>
          <w:szCs w:val="22"/>
        </w:rPr>
      </w:pPr>
    </w:p>
    <w:p w14:paraId="0C7CDC10" w14:textId="77777777" w:rsidR="00526238" w:rsidRPr="00FF7FB4" w:rsidRDefault="00000000">
      <w:pPr>
        <w:keepNext/>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color w:val="000000"/>
          <w:sz w:val="22"/>
          <w:szCs w:val="22"/>
        </w:rPr>
        <w:t>2.2. Extraction and identification of the oribatid mite</w:t>
      </w:r>
    </w:p>
    <w:p w14:paraId="2D13031E" w14:textId="77777777" w:rsidR="00526238" w:rsidRPr="00FF7FB4" w:rsidRDefault="00000000">
      <w:pPr>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The upper soil layer, to a depth of 5–10 cm, and litter samples were collected using a clean shovel and carefully transferred to </w:t>
      </w:r>
      <w:r w:rsidRPr="00FF7FB4">
        <w:rPr>
          <w:rFonts w:ascii="Arial" w:eastAsia="Arial" w:hAnsi="Arial" w:cs="Arial"/>
          <w:sz w:val="22"/>
          <w:szCs w:val="22"/>
        </w:rPr>
        <w:t>a labelled zip-lock</w:t>
      </w:r>
      <w:r w:rsidRPr="00FF7FB4">
        <w:rPr>
          <w:rFonts w:ascii="Arial" w:eastAsia="Arial" w:hAnsi="Arial" w:cs="Arial"/>
          <w:color w:val="000000"/>
          <w:sz w:val="22"/>
          <w:szCs w:val="22"/>
        </w:rPr>
        <w:t xml:space="preserve"> bag. The samples were then extracted using a</w:t>
      </w:r>
      <w:r w:rsidRPr="00FF7FB4">
        <w:rPr>
          <w:rFonts w:ascii="Arial" w:eastAsia="Arial" w:hAnsi="Arial" w:cs="Arial"/>
          <w:sz w:val="22"/>
          <w:szCs w:val="22"/>
        </w:rPr>
        <w:t xml:space="preserve"> Berlese–Tullgren</w:t>
      </w:r>
      <w:r w:rsidRPr="00FF7FB4">
        <w:rPr>
          <w:rFonts w:ascii="Arial" w:eastAsia="Arial" w:hAnsi="Arial" w:cs="Arial"/>
          <w:color w:val="000000"/>
          <w:sz w:val="22"/>
          <w:szCs w:val="22"/>
        </w:rPr>
        <w:t xml:space="preserve"> funnel apparatus at</w:t>
      </w:r>
      <w:r w:rsidRPr="00FF7FB4">
        <w:rPr>
          <w:rFonts w:ascii="Arial" w:eastAsia="Arial" w:hAnsi="Arial" w:cs="Arial"/>
          <w:sz w:val="22"/>
          <w:szCs w:val="22"/>
        </w:rPr>
        <w:t xml:space="preserve"> Government </w:t>
      </w:r>
      <w:r w:rsidRPr="00FF7FB4">
        <w:rPr>
          <w:rFonts w:ascii="Arial" w:eastAsia="Arial" w:hAnsi="Arial" w:cs="Arial"/>
          <w:color w:val="000000"/>
          <w:sz w:val="22"/>
          <w:szCs w:val="22"/>
        </w:rPr>
        <w:t>College Madappally. From the extracted and sorted oribatid mite fauna, the abundant species was allocated for both taxonomic identification and bacterial isolation. S</w:t>
      </w:r>
      <w:r w:rsidRPr="00FF7FB4">
        <w:rPr>
          <w:rFonts w:ascii="Arial" w:eastAsia="Arial" w:hAnsi="Arial" w:cs="Arial"/>
          <w:sz w:val="22"/>
          <w:szCs w:val="22"/>
        </w:rPr>
        <w:t>pecimens</w:t>
      </w:r>
      <w:r w:rsidRPr="00FF7FB4">
        <w:rPr>
          <w:rFonts w:ascii="Arial" w:eastAsia="Arial" w:hAnsi="Arial" w:cs="Arial"/>
          <w:color w:val="000000"/>
          <w:sz w:val="22"/>
          <w:szCs w:val="22"/>
        </w:rPr>
        <w:t xml:space="preserve"> allocated for taxonomic identification </w:t>
      </w:r>
      <w:r w:rsidRPr="00FF7FB4">
        <w:rPr>
          <w:rFonts w:ascii="Arial" w:eastAsia="Arial" w:hAnsi="Arial" w:cs="Arial"/>
          <w:sz w:val="22"/>
          <w:szCs w:val="22"/>
        </w:rPr>
        <w:t>were</w:t>
      </w:r>
      <w:r w:rsidRPr="00FF7FB4">
        <w:rPr>
          <w:rFonts w:ascii="Arial" w:eastAsia="Arial" w:hAnsi="Arial" w:cs="Arial"/>
          <w:color w:val="000000"/>
          <w:sz w:val="22"/>
          <w:szCs w:val="22"/>
        </w:rPr>
        <w:t xml:space="preserve"> preserved in 70% alcohol and processed accordingly (Haq &amp; Ramani, 2002). Taxonomic identification was conducted using the keys of Balogh (1965, </w:t>
      </w:r>
      <w:r w:rsidRPr="00FF7FB4">
        <w:rPr>
          <w:rFonts w:ascii="Arial" w:eastAsia="Arial" w:hAnsi="Arial" w:cs="Arial"/>
          <w:sz w:val="22"/>
          <w:szCs w:val="22"/>
        </w:rPr>
        <w:t xml:space="preserve">1972) and </w:t>
      </w:r>
      <w:r w:rsidRPr="00FF7FB4">
        <w:rPr>
          <w:rFonts w:ascii="Arial" w:eastAsia="Arial" w:hAnsi="Arial" w:cs="Arial"/>
          <w:color w:val="000000"/>
          <w:sz w:val="22"/>
          <w:szCs w:val="22"/>
        </w:rPr>
        <w:t>Balogh and Balogh (1988), together with relevant literature (Balogh &amp; Balogh, 1998).</w:t>
      </w:r>
    </w:p>
    <w:p w14:paraId="4D6B5D4E" w14:textId="77777777" w:rsidR="00526238" w:rsidRPr="00FF7FB4" w:rsidRDefault="00526238">
      <w:pPr>
        <w:pBdr>
          <w:top w:val="nil"/>
          <w:left w:val="nil"/>
          <w:bottom w:val="nil"/>
          <w:right w:val="nil"/>
          <w:between w:val="nil"/>
        </w:pBdr>
        <w:rPr>
          <w:rFonts w:ascii="Arial" w:eastAsia="Arial" w:hAnsi="Arial" w:cs="Arial"/>
          <w:color w:val="000000"/>
          <w:sz w:val="22"/>
          <w:szCs w:val="22"/>
        </w:rPr>
      </w:pPr>
    </w:p>
    <w:p w14:paraId="2AE75726" w14:textId="77777777" w:rsidR="00526238" w:rsidRPr="00FF7FB4" w:rsidRDefault="00000000">
      <w:pPr>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color w:val="000000"/>
          <w:sz w:val="22"/>
          <w:szCs w:val="22"/>
        </w:rPr>
        <w:t>2.3. Surface sterilization</w:t>
      </w:r>
    </w:p>
    <w:p w14:paraId="0807102B" w14:textId="77777777" w:rsidR="00526238" w:rsidRPr="00FF7FB4" w:rsidRDefault="00000000">
      <w:pPr>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Because oribatid mites are microscopic, individual gut dissection is difficult; therefore</w:t>
      </w:r>
      <w:r w:rsidRPr="00FF7FB4">
        <w:rPr>
          <w:rFonts w:ascii="Arial" w:eastAsia="Arial" w:hAnsi="Arial" w:cs="Arial"/>
          <w:sz w:val="22"/>
          <w:szCs w:val="22"/>
        </w:rPr>
        <w:t>,</w:t>
      </w:r>
      <w:r w:rsidRPr="00FF7FB4">
        <w:rPr>
          <w:rFonts w:ascii="Arial" w:eastAsia="Arial" w:hAnsi="Arial" w:cs="Arial"/>
          <w:color w:val="000000"/>
          <w:sz w:val="22"/>
          <w:szCs w:val="22"/>
        </w:rPr>
        <w:t xml:space="preserve"> pooling and whole-body homogenisation </w:t>
      </w:r>
      <w:r w:rsidRPr="00FF7FB4">
        <w:rPr>
          <w:rFonts w:ascii="Arial" w:eastAsia="Arial" w:hAnsi="Arial" w:cs="Arial"/>
          <w:sz w:val="22"/>
          <w:szCs w:val="22"/>
        </w:rPr>
        <w:t>are</w:t>
      </w:r>
      <w:r w:rsidRPr="00FF7FB4">
        <w:rPr>
          <w:rFonts w:ascii="Arial" w:eastAsia="Arial" w:hAnsi="Arial" w:cs="Arial"/>
          <w:color w:val="000000"/>
          <w:sz w:val="22"/>
          <w:szCs w:val="22"/>
        </w:rPr>
        <w:t xml:space="preserve"> commonly required. A total of 20 adult mites were selected for bacterial isolation. To remove potential surface contaminants</w:t>
      </w:r>
      <w:r w:rsidRPr="00FF7FB4">
        <w:rPr>
          <w:rFonts w:ascii="Arial" w:eastAsia="Arial" w:hAnsi="Arial" w:cs="Arial"/>
          <w:sz w:val="22"/>
          <w:szCs w:val="22"/>
        </w:rPr>
        <w:t>,</w:t>
      </w:r>
      <w:r w:rsidRPr="00FF7FB4">
        <w:rPr>
          <w:rFonts w:ascii="Arial" w:eastAsia="Arial" w:hAnsi="Arial" w:cs="Arial"/>
          <w:color w:val="000000"/>
          <w:sz w:val="22"/>
          <w:szCs w:val="22"/>
        </w:rPr>
        <w:t xml:space="preserve"> the mites were immersed in 70% alcohol for 1 min, rinsed in 5% sodium hypochlorite (bleach) for 1 min, and then rinsed three times with sterile water (</w:t>
      </w:r>
      <w:r w:rsidRPr="00FF7FB4">
        <w:rPr>
          <w:rFonts w:ascii="Arial" w:eastAsia="Arial" w:hAnsi="Arial" w:cs="Arial"/>
          <w:sz w:val="22"/>
          <w:szCs w:val="22"/>
        </w:rPr>
        <w:t xml:space="preserve">Jüds </w:t>
      </w:r>
      <w:r w:rsidRPr="00FF7FB4">
        <w:rPr>
          <w:rFonts w:ascii="Arial" w:eastAsia="Arial" w:hAnsi="Arial" w:cs="Arial"/>
          <w:i/>
          <w:iCs/>
          <w:sz w:val="22"/>
          <w:szCs w:val="22"/>
        </w:rPr>
        <w:t>et a</w:t>
      </w:r>
      <w:r w:rsidRPr="00FF7FB4">
        <w:rPr>
          <w:rFonts w:ascii="Arial" w:eastAsia="Arial" w:hAnsi="Arial" w:cs="Arial"/>
          <w:sz w:val="22"/>
          <w:szCs w:val="22"/>
        </w:rPr>
        <w:t>l., 2023).</w:t>
      </w:r>
      <w:r w:rsidRPr="00FF7FB4">
        <w:rPr>
          <w:rFonts w:ascii="Arial" w:eastAsia="Arial" w:hAnsi="Arial" w:cs="Arial"/>
          <w:color w:val="000000"/>
          <w:sz w:val="22"/>
          <w:szCs w:val="22"/>
        </w:rPr>
        <w:t xml:space="preserve"> Subsequent processing, up to PCR amplification of the final bacterial isolates, </w:t>
      </w:r>
      <w:r w:rsidRPr="00FF7FB4">
        <w:rPr>
          <w:rFonts w:ascii="Arial" w:eastAsia="Arial" w:hAnsi="Arial" w:cs="Arial"/>
          <w:sz w:val="22"/>
          <w:szCs w:val="22"/>
        </w:rPr>
        <w:t>was</w:t>
      </w:r>
      <w:r w:rsidRPr="00FF7FB4">
        <w:rPr>
          <w:rFonts w:ascii="Arial" w:eastAsia="Arial" w:hAnsi="Arial" w:cs="Arial"/>
          <w:color w:val="000000"/>
          <w:sz w:val="22"/>
          <w:szCs w:val="22"/>
        </w:rPr>
        <w:t xml:space="preserve"> performed at </w:t>
      </w:r>
      <w:r w:rsidRPr="00FF7FB4">
        <w:rPr>
          <w:rFonts w:ascii="Arial" w:eastAsia="Arial" w:hAnsi="Arial" w:cs="Arial"/>
          <w:sz w:val="22"/>
          <w:szCs w:val="22"/>
        </w:rPr>
        <w:t>Biomes-care Laboratory, Malappuram, Kerala, India.</w:t>
      </w:r>
    </w:p>
    <w:p w14:paraId="1204006A" w14:textId="77777777" w:rsidR="00526238" w:rsidRPr="00FF7FB4" w:rsidRDefault="00526238">
      <w:pPr>
        <w:pBdr>
          <w:top w:val="nil"/>
          <w:left w:val="nil"/>
          <w:bottom w:val="nil"/>
          <w:right w:val="nil"/>
          <w:between w:val="nil"/>
        </w:pBdr>
        <w:rPr>
          <w:rFonts w:ascii="Arial" w:eastAsia="Arial" w:hAnsi="Arial" w:cs="Arial"/>
          <w:color w:val="000000"/>
          <w:sz w:val="22"/>
          <w:szCs w:val="22"/>
        </w:rPr>
      </w:pPr>
    </w:p>
    <w:p w14:paraId="3E909E3A" w14:textId="77777777" w:rsidR="00526238" w:rsidRPr="00FF7FB4" w:rsidRDefault="00000000">
      <w:pPr>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color w:val="000000"/>
          <w:sz w:val="22"/>
          <w:szCs w:val="22"/>
        </w:rPr>
        <w:t>2.4. Homogenisation and plating on nutrient agar</w:t>
      </w:r>
    </w:p>
    <w:p w14:paraId="4D12E7FE" w14:textId="77777777" w:rsidR="00526238" w:rsidRPr="00FF7FB4" w:rsidRDefault="00000000">
      <w:pPr>
        <w:widowControl w:val="0"/>
        <w:spacing w:after="80"/>
        <w:rPr>
          <w:rFonts w:ascii="Arial" w:eastAsia="Arial" w:hAnsi="Arial" w:cs="Arial"/>
          <w:sz w:val="22"/>
          <w:szCs w:val="22"/>
        </w:rPr>
      </w:pPr>
      <w:r w:rsidRPr="00FF7FB4">
        <w:rPr>
          <w:rFonts w:ascii="Arial" w:eastAsia="Arial" w:hAnsi="Arial" w:cs="Arial"/>
          <w:sz w:val="22"/>
          <w:szCs w:val="22"/>
        </w:rPr>
        <w:t>Surface-sterilised mites were transferred to a microcentrifuge tube containing sterile phosphate-buffered saline. The mites were gently crushed using a sterile micropipette tip and subjected to a standard serial-dilution procedure (10</w:t>
      </w:r>
      <w:r w:rsidRPr="00FF7FB4">
        <w:rPr>
          <w:rFonts w:ascii="Cambria Math" w:eastAsia="Cambria Math" w:hAnsi="Cambria Math" w:cs="Cambria Math"/>
          <w:sz w:val="22"/>
          <w:szCs w:val="22"/>
        </w:rPr>
        <w:t>⁻</w:t>
      </w:r>
      <w:r w:rsidRPr="00FF7FB4">
        <w:rPr>
          <w:rFonts w:ascii="Arial" w:eastAsia="Arial" w:hAnsi="Arial" w:cs="Arial"/>
          <w:sz w:val="22"/>
          <w:szCs w:val="22"/>
        </w:rPr>
        <w:t>¹–10</w:t>
      </w:r>
      <w:r w:rsidRPr="00FF7FB4">
        <w:rPr>
          <w:rFonts w:ascii="Cambria Math" w:eastAsia="Cambria Math" w:hAnsi="Cambria Math" w:cs="Cambria Math"/>
          <w:sz w:val="22"/>
          <w:szCs w:val="22"/>
        </w:rPr>
        <w:t>⁻</w:t>
      </w:r>
      <w:r w:rsidRPr="00FF7FB4">
        <w:rPr>
          <w:rFonts w:ascii="Arial" w:eastAsia="Arial" w:hAnsi="Arial" w:cs="Arial"/>
          <w:sz w:val="22"/>
          <w:szCs w:val="22"/>
        </w:rPr>
        <w:t>³) to obtain suspensions suitable for bacterial isolation.</w:t>
      </w:r>
    </w:p>
    <w:p w14:paraId="695ADBB4" w14:textId="77777777" w:rsidR="00526238" w:rsidRPr="00FF7FB4" w:rsidRDefault="00000000">
      <w:pPr>
        <w:widowControl w:val="0"/>
        <w:spacing w:after="80"/>
        <w:rPr>
          <w:rFonts w:ascii="Arial" w:eastAsia="Arial" w:hAnsi="Arial" w:cs="Arial"/>
          <w:sz w:val="22"/>
          <w:szCs w:val="22"/>
        </w:rPr>
      </w:pPr>
      <w:r w:rsidRPr="00FF7FB4">
        <w:rPr>
          <w:rFonts w:ascii="Arial" w:eastAsia="Arial" w:hAnsi="Arial" w:cs="Arial"/>
          <w:sz w:val="22"/>
          <w:szCs w:val="22"/>
        </w:rPr>
        <w:t>Aliquots of the diluted homogenate were plated on nutrient agar using the spread-plate method and incubated at 28 ± 2°C for 24 h. The resulting colonies were purified by quadrant streaking and then transferred to nutrient agar slants for further analysis.</w:t>
      </w:r>
    </w:p>
    <w:p w14:paraId="5DAB7FD3" w14:textId="77777777" w:rsidR="00526238" w:rsidRPr="00FF7FB4" w:rsidRDefault="00000000">
      <w:pPr>
        <w:pBdr>
          <w:top w:val="nil"/>
          <w:left w:val="nil"/>
          <w:bottom w:val="nil"/>
          <w:right w:val="nil"/>
          <w:between w:val="nil"/>
        </w:pBdr>
        <w:rPr>
          <w:rFonts w:ascii="Arial" w:eastAsia="Arial" w:hAnsi="Arial" w:cs="Arial"/>
          <w:sz w:val="22"/>
          <w:szCs w:val="22"/>
        </w:rPr>
      </w:pPr>
      <w:r w:rsidRPr="00FF7FB4">
        <w:rPr>
          <w:rFonts w:ascii="Arial" w:eastAsia="Arial" w:hAnsi="Arial" w:cs="Arial"/>
          <w:sz w:val="22"/>
          <w:szCs w:val="22"/>
        </w:rPr>
        <w:t>Following purification, the bacterial isolates were assigned consecutive isolate numbers (1–11). Based on colony morphology, six representative isolates were selected for subsequent biochemical characterisation and cellulolytic screening. The original isolate numbers were retained throughout the study for traceability; therefore, the isolate numbers presented in subsequent analyses are not consecutive.</w:t>
      </w:r>
    </w:p>
    <w:p w14:paraId="1753B006" w14:textId="77777777" w:rsidR="00526238" w:rsidRPr="00FF7FB4" w:rsidRDefault="00526238">
      <w:pPr>
        <w:pBdr>
          <w:top w:val="nil"/>
          <w:left w:val="nil"/>
          <w:bottom w:val="nil"/>
          <w:right w:val="nil"/>
          <w:between w:val="nil"/>
        </w:pBdr>
        <w:rPr>
          <w:rFonts w:ascii="Arial" w:eastAsia="Arial" w:hAnsi="Arial" w:cs="Arial"/>
          <w:sz w:val="22"/>
          <w:szCs w:val="22"/>
        </w:rPr>
      </w:pPr>
    </w:p>
    <w:p w14:paraId="00949F04" w14:textId="77777777" w:rsidR="00526238" w:rsidRPr="00FF7FB4" w:rsidRDefault="00000000">
      <w:pPr>
        <w:pBdr>
          <w:top w:val="nil"/>
          <w:left w:val="nil"/>
          <w:bottom w:val="nil"/>
          <w:right w:val="nil"/>
          <w:between w:val="nil"/>
        </w:pBdr>
        <w:rPr>
          <w:rFonts w:ascii="Arial" w:eastAsia="Arial" w:hAnsi="Arial" w:cs="Arial"/>
          <w:sz w:val="22"/>
          <w:szCs w:val="22"/>
        </w:rPr>
      </w:pPr>
      <w:r w:rsidRPr="00FF7FB4">
        <w:rPr>
          <w:rFonts w:ascii="Arial" w:eastAsia="Arial" w:hAnsi="Arial" w:cs="Arial"/>
          <w:b/>
          <w:bCs/>
          <w:sz w:val="22"/>
          <w:szCs w:val="22"/>
        </w:rPr>
        <w:t>2.5. Gram staining and biochemical characterisation</w:t>
      </w:r>
    </w:p>
    <w:p w14:paraId="60A4FED8" w14:textId="77777777" w:rsidR="00526238" w:rsidRPr="00FF7FB4" w:rsidRDefault="00526238">
      <w:pPr>
        <w:pBdr>
          <w:top w:val="nil"/>
          <w:left w:val="nil"/>
          <w:bottom w:val="nil"/>
          <w:right w:val="nil"/>
          <w:between w:val="nil"/>
        </w:pBdr>
        <w:rPr>
          <w:rFonts w:ascii="Arial" w:eastAsia="Arial" w:hAnsi="Arial" w:cs="Arial"/>
          <w:b/>
          <w:bCs/>
          <w:sz w:val="22"/>
          <w:szCs w:val="22"/>
        </w:rPr>
      </w:pPr>
    </w:p>
    <w:p w14:paraId="34D18C9F" w14:textId="77777777" w:rsidR="00526238" w:rsidRPr="00FF7FB4" w:rsidRDefault="00000000">
      <w:pPr>
        <w:widowControl w:val="0"/>
        <w:spacing w:after="80"/>
        <w:rPr>
          <w:rFonts w:ascii="Arial" w:eastAsia="Arial" w:hAnsi="Arial" w:cs="Arial"/>
          <w:sz w:val="22"/>
          <w:szCs w:val="22"/>
        </w:rPr>
      </w:pPr>
      <w:r w:rsidRPr="00FF7FB4">
        <w:rPr>
          <w:rFonts w:ascii="Arial" w:eastAsia="Arial" w:hAnsi="Arial" w:cs="Arial"/>
          <w:sz w:val="22"/>
          <w:szCs w:val="22"/>
        </w:rPr>
        <w:t xml:space="preserve">Standard Gram staining (Holt et al., 1994) was performed on the purified bacterial isolates to determine cellular morphology and staining reactions. The isolates were also characterised using conventional biochemical tests, </w:t>
      </w:r>
      <w:r w:rsidRPr="00FF7FB4">
        <w:rPr>
          <w:rFonts w:ascii="Arial" w:eastAsia="Arial" w:hAnsi="Arial" w:cs="Arial"/>
          <w:sz w:val="22"/>
          <w:szCs w:val="22"/>
        </w:rPr>
        <w:lastRenderedPageBreak/>
        <w:t xml:space="preserve">including the indole production, methyl red (MR), Voges–Proskauer (VP), citrate utilisation, catalase production, oxidase, and triple sugar iron (TSI) agar tests, following standard microbiological protocols (Vashist </w:t>
      </w:r>
      <w:r w:rsidRPr="00FF7FB4">
        <w:rPr>
          <w:rFonts w:ascii="Arial" w:eastAsia="Arial" w:hAnsi="Arial" w:cs="Arial"/>
          <w:i/>
          <w:iCs/>
          <w:sz w:val="22"/>
          <w:szCs w:val="22"/>
        </w:rPr>
        <w:t>et al.,</w:t>
      </w:r>
      <w:r w:rsidRPr="00FF7FB4">
        <w:rPr>
          <w:rFonts w:ascii="Arial" w:eastAsia="Arial" w:hAnsi="Arial" w:cs="Arial"/>
          <w:sz w:val="22"/>
          <w:szCs w:val="22"/>
        </w:rPr>
        <w:t xml:space="preserve"> 2013).</w:t>
      </w:r>
    </w:p>
    <w:p w14:paraId="660C8122" w14:textId="77777777" w:rsidR="00526238" w:rsidRPr="00FF7FB4" w:rsidRDefault="00526238">
      <w:pPr>
        <w:widowControl w:val="0"/>
        <w:spacing w:after="80"/>
        <w:rPr>
          <w:rFonts w:ascii="Arial" w:eastAsia="Arial" w:hAnsi="Arial" w:cs="Arial"/>
          <w:sz w:val="22"/>
          <w:szCs w:val="22"/>
        </w:rPr>
      </w:pPr>
    </w:p>
    <w:p w14:paraId="08C2D93C" w14:textId="77777777" w:rsidR="00526238" w:rsidRPr="00FF7FB4" w:rsidRDefault="00000000">
      <w:pPr>
        <w:widowControl w:val="0"/>
        <w:spacing w:after="80"/>
        <w:rPr>
          <w:rFonts w:ascii="Arial" w:eastAsia="Arial" w:hAnsi="Arial" w:cs="Arial"/>
          <w:b/>
          <w:bCs/>
          <w:sz w:val="22"/>
          <w:szCs w:val="22"/>
        </w:rPr>
      </w:pPr>
      <w:r w:rsidRPr="00FF7FB4">
        <w:rPr>
          <w:rFonts w:ascii="Arial" w:eastAsia="Arial" w:hAnsi="Arial" w:cs="Arial"/>
          <w:b/>
          <w:bCs/>
          <w:sz w:val="22"/>
          <w:szCs w:val="22"/>
        </w:rPr>
        <w:t>2.6. Cellulolytic activity screening</w:t>
      </w:r>
    </w:p>
    <w:p w14:paraId="36148B25" w14:textId="77777777" w:rsidR="00526238" w:rsidRPr="00FF7FB4" w:rsidRDefault="00000000">
      <w:pPr>
        <w:widowControl w:val="0"/>
        <w:spacing w:after="80"/>
        <w:rPr>
          <w:rFonts w:ascii="Arial" w:eastAsia="Arial" w:hAnsi="Arial" w:cs="Arial"/>
          <w:sz w:val="22"/>
          <w:szCs w:val="22"/>
        </w:rPr>
      </w:pPr>
      <w:r w:rsidRPr="00FF7FB4">
        <w:rPr>
          <w:rFonts w:ascii="Arial" w:eastAsia="Arial" w:hAnsi="Arial" w:cs="Arial"/>
          <w:sz w:val="22"/>
          <w:szCs w:val="22"/>
        </w:rPr>
        <w:t>The bacterial isolates were qualitatively screened for cellulolytic activity using the Congo red assay. The isolates were spot-inoculated onto carboxymethyl cellulose (CMC) agar plates. After incubation at 28 ± 2°C for 48–72 h, the plates were flooded with 0.1% Congo red solution for 15 min and subsequently destained with 1 M NaCl. Clear zones around the bacterial growth indicated cellulose hydrolysis and cellulolytic potential.</w:t>
      </w:r>
    </w:p>
    <w:p w14:paraId="4D2AD4B2" w14:textId="77777777" w:rsidR="00526238" w:rsidRPr="00FF7FB4" w:rsidRDefault="00526238">
      <w:pPr>
        <w:widowControl w:val="0"/>
        <w:spacing w:after="80"/>
        <w:rPr>
          <w:rFonts w:ascii="Arial" w:eastAsia="Arial" w:hAnsi="Arial" w:cs="Arial"/>
          <w:sz w:val="22"/>
          <w:szCs w:val="22"/>
        </w:rPr>
      </w:pPr>
    </w:p>
    <w:p w14:paraId="7F2E8AB9" w14:textId="77777777" w:rsidR="00526238" w:rsidRPr="00FF7FB4" w:rsidRDefault="00000000">
      <w:pPr>
        <w:widowControl w:val="0"/>
        <w:spacing w:after="80"/>
        <w:rPr>
          <w:rFonts w:ascii="Arial" w:eastAsia="Arial" w:hAnsi="Arial" w:cs="Arial"/>
          <w:b/>
          <w:bCs/>
          <w:sz w:val="22"/>
          <w:szCs w:val="22"/>
        </w:rPr>
      </w:pPr>
      <w:r w:rsidRPr="00FF7FB4">
        <w:rPr>
          <w:rFonts w:ascii="Arial" w:eastAsia="Arial" w:hAnsi="Arial" w:cs="Arial"/>
          <w:b/>
          <w:bCs/>
          <w:sz w:val="22"/>
          <w:szCs w:val="22"/>
        </w:rPr>
        <w:t>2.7. Molecular characterisation</w:t>
      </w:r>
    </w:p>
    <w:p w14:paraId="378CE826" w14:textId="77777777" w:rsidR="00526238" w:rsidRPr="00FF7FB4" w:rsidRDefault="00000000">
      <w:pPr>
        <w:widowControl w:val="0"/>
        <w:spacing w:after="80"/>
        <w:rPr>
          <w:rFonts w:ascii="Arial" w:eastAsia="Arial" w:hAnsi="Arial" w:cs="Arial"/>
          <w:b/>
          <w:bCs/>
          <w:sz w:val="22"/>
          <w:szCs w:val="22"/>
        </w:rPr>
      </w:pPr>
      <w:r w:rsidRPr="00FF7FB4">
        <w:rPr>
          <w:rFonts w:ascii="Arial" w:eastAsia="Arial" w:hAnsi="Arial" w:cs="Arial"/>
          <w:sz w:val="22"/>
          <w:szCs w:val="22"/>
        </w:rPr>
        <w:t xml:space="preserve">DNA was extracted from the bacterial isolates using a conventional lysis-based method. The 16S rRNA gene was amplified using the universal bacterial primers 27F and 1492R (Lane, 1991). The PCR products were verified by agarose gel electrophoresis, purified, and submitted for sequencing. The forward and reverse sequences obtained were trimmed and aligned using ClustalW. The resulting consensus sequences were compared with sequences in the NCBI database using the BLAST tool (Altschul </w:t>
      </w:r>
      <w:r w:rsidRPr="00FF7FB4">
        <w:rPr>
          <w:rFonts w:ascii="Arial" w:eastAsia="Arial" w:hAnsi="Arial" w:cs="Arial"/>
          <w:i/>
          <w:iCs/>
          <w:sz w:val="22"/>
          <w:szCs w:val="22"/>
        </w:rPr>
        <w:t>et al.,</w:t>
      </w:r>
      <w:r w:rsidRPr="00FF7FB4">
        <w:rPr>
          <w:rFonts w:ascii="Arial" w:eastAsia="Arial" w:hAnsi="Arial" w:cs="Arial"/>
          <w:sz w:val="22"/>
          <w:szCs w:val="22"/>
        </w:rPr>
        <w:t xml:space="preserve"> 1990). Species assignments were based on the highest sequence-similarity matches.</w:t>
      </w:r>
    </w:p>
    <w:p w14:paraId="33B2C6E8" w14:textId="77777777" w:rsidR="00526238" w:rsidRPr="00FF7FB4" w:rsidRDefault="00526238">
      <w:pPr>
        <w:widowControl w:val="0"/>
        <w:spacing w:after="80"/>
        <w:rPr>
          <w:rFonts w:ascii="Arial" w:eastAsia="Arial" w:hAnsi="Arial" w:cs="Arial"/>
          <w:b/>
          <w:bCs/>
          <w:sz w:val="22"/>
          <w:szCs w:val="22"/>
        </w:rPr>
      </w:pPr>
    </w:p>
    <w:p w14:paraId="6C858899" w14:textId="77777777" w:rsidR="00526238" w:rsidRPr="00FF7FB4" w:rsidRDefault="00000000">
      <w:pPr>
        <w:keepNext/>
        <w:pBdr>
          <w:top w:val="nil"/>
          <w:left w:val="nil"/>
          <w:bottom w:val="nil"/>
          <w:right w:val="nil"/>
          <w:between w:val="nil"/>
        </w:pBdr>
        <w:rPr>
          <w:rFonts w:ascii="Arial" w:eastAsia="Arial" w:hAnsi="Arial" w:cs="Arial"/>
          <w:b/>
          <w:bCs/>
          <w:smallCaps/>
          <w:color w:val="000000"/>
          <w:sz w:val="22"/>
          <w:szCs w:val="22"/>
        </w:rPr>
      </w:pPr>
      <w:r w:rsidRPr="00FF7FB4">
        <w:rPr>
          <w:rFonts w:ascii="Arial" w:eastAsia="Arial" w:hAnsi="Arial" w:cs="Arial"/>
          <w:b/>
          <w:bCs/>
          <w:smallCaps/>
          <w:color w:val="000000"/>
          <w:sz w:val="22"/>
          <w:szCs w:val="22"/>
        </w:rPr>
        <w:t xml:space="preserve">3. </w:t>
      </w:r>
      <w:r w:rsidRPr="00FF7FB4">
        <w:rPr>
          <w:rFonts w:ascii="Arial" w:eastAsia="Arial" w:hAnsi="Arial" w:cs="Arial"/>
          <w:b/>
          <w:bCs/>
          <w:smallCaps/>
          <w:sz w:val="22"/>
          <w:szCs w:val="22"/>
        </w:rPr>
        <w:t>RESULTS AND DISCUSSION</w:t>
      </w:r>
    </w:p>
    <w:p w14:paraId="59D63903"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p w14:paraId="0A56036E" w14:textId="77777777" w:rsidR="00526238" w:rsidRPr="00FF7FB4" w:rsidRDefault="00000000">
      <w:pPr>
        <w:keepNext/>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color w:val="000000"/>
          <w:sz w:val="22"/>
          <w:szCs w:val="22"/>
        </w:rPr>
        <w:t>3.1. Identification of the mite</w:t>
      </w:r>
    </w:p>
    <w:p w14:paraId="20CE568C"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The abundant mite species used for bacterial isolation was identified as </w:t>
      </w:r>
      <w:r w:rsidRPr="00FF7FB4">
        <w:rPr>
          <w:rFonts w:ascii="Arial" w:eastAsia="Arial" w:hAnsi="Arial" w:cs="Arial"/>
          <w:i/>
          <w:iCs/>
          <w:color w:val="000000"/>
          <w:sz w:val="22"/>
          <w:szCs w:val="22"/>
        </w:rPr>
        <w:t xml:space="preserve">Allonothrus russeolus russeolus </w:t>
      </w:r>
      <w:r w:rsidRPr="00FF7FB4">
        <w:rPr>
          <w:rFonts w:ascii="Arial" w:eastAsia="Arial" w:hAnsi="Arial" w:cs="Arial"/>
          <w:sz w:val="22"/>
          <w:szCs w:val="22"/>
        </w:rPr>
        <w:t>Wallwork</w:t>
      </w:r>
      <w:r w:rsidRPr="00FF7FB4">
        <w:rPr>
          <w:rFonts w:ascii="Arial" w:eastAsia="Arial" w:hAnsi="Arial" w:cs="Arial"/>
          <w:color w:val="000000"/>
          <w:sz w:val="22"/>
          <w:szCs w:val="22"/>
        </w:rPr>
        <w:t xml:space="preserve">, 1960. The nomenclature follows Aoki (2000) and Norton and Ermilov (2024), in which </w:t>
      </w:r>
      <w:r w:rsidRPr="00FF7FB4">
        <w:rPr>
          <w:rFonts w:ascii="Arial" w:eastAsia="Arial" w:hAnsi="Arial" w:cs="Arial"/>
          <w:i/>
          <w:iCs/>
          <w:color w:val="000000"/>
          <w:sz w:val="22"/>
          <w:szCs w:val="22"/>
        </w:rPr>
        <w:t>A. russeolus russeolus</w:t>
      </w:r>
      <w:r w:rsidRPr="00FF7FB4">
        <w:rPr>
          <w:rFonts w:ascii="Arial" w:eastAsia="Arial" w:hAnsi="Arial" w:cs="Arial"/>
          <w:color w:val="000000"/>
          <w:sz w:val="22"/>
          <w:szCs w:val="22"/>
        </w:rPr>
        <w:t xml:space="preserve"> </w:t>
      </w:r>
      <w:r w:rsidRPr="00FF7FB4">
        <w:rPr>
          <w:rFonts w:ascii="Arial" w:eastAsia="Arial" w:hAnsi="Arial" w:cs="Arial"/>
          <w:sz w:val="22"/>
          <w:szCs w:val="22"/>
        </w:rPr>
        <w:t>is treated as a valid name. Norton</w:t>
      </w:r>
      <w:r w:rsidRPr="00FF7FB4">
        <w:rPr>
          <w:rFonts w:ascii="Arial" w:eastAsia="Arial" w:hAnsi="Arial" w:cs="Arial"/>
          <w:color w:val="000000"/>
          <w:sz w:val="22"/>
          <w:szCs w:val="22"/>
        </w:rPr>
        <w:t xml:space="preserve"> and Ermilov (2024) also considered </w:t>
      </w:r>
      <w:r w:rsidRPr="00FF7FB4">
        <w:rPr>
          <w:rFonts w:ascii="Arial" w:eastAsia="Arial" w:hAnsi="Arial" w:cs="Arial"/>
          <w:i/>
          <w:iCs/>
          <w:color w:val="000000"/>
          <w:sz w:val="22"/>
          <w:szCs w:val="22"/>
        </w:rPr>
        <w:t>Allonothrus giganticus</w:t>
      </w:r>
      <w:r w:rsidRPr="00FF7FB4">
        <w:rPr>
          <w:rFonts w:ascii="Arial" w:eastAsia="Arial" w:hAnsi="Arial" w:cs="Arial"/>
          <w:color w:val="000000"/>
          <w:sz w:val="22"/>
          <w:szCs w:val="22"/>
        </w:rPr>
        <w:t xml:space="preserve"> </w:t>
      </w:r>
      <w:r w:rsidRPr="00FF7FB4">
        <w:rPr>
          <w:rFonts w:ascii="Arial" w:eastAsia="Arial" w:hAnsi="Arial" w:cs="Arial"/>
          <w:sz w:val="22"/>
          <w:szCs w:val="22"/>
        </w:rPr>
        <w:t>Haq</w:t>
      </w:r>
      <w:r w:rsidRPr="00FF7FB4">
        <w:rPr>
          <w:rFonts w:ascii="Arial" w:eastAsia="Arial" w:hAnsi="Arial" w:cs="Arial"/>
          <w:color w:val="000000"/>
          <w:sz w:val="22"/>
          <w:szCs w:val="22"/>
        </w:rPr>
        <w:t xml:space="preserve">, 1978 a senior subjective synonym of </w:t>
      </w:r>
      <w:r w:rsidRPr="00FF7FB4">
        <w:rPr>
          <w:rFonts w:ascii="Arial" w:eastAsia="Arial" w:hAnsi="Arial" w:cs="Arial"/>
          <w:i/>
          <w:iCs/>
          <w:color w:val="000000"/>
          <w:sz w:val="22"/>
          <w:szCs w:val="22"/>
        </w:rPr>
        <w:t>Allonothrus pararusseolus</w:t>
      </w:r>
      <w:r w:rsidRPr="00FF7FB4">
        <w:rPr>
          <w:rFonts w:ascii="Arial" w:eastAsia="Arial" w:hAnsi="Arial" w:cs="Arial"/>
          <w:color w:val="000000"/>
          <w:sz w:val="22"/>
          <w:szCs w:val="22"/>
        </w:rPr>
        <w:t xml:space="preserve"> (Subías &amp; Sarkar, 1982).</w:t>
      </w:r>
    </w:p>
    <w:p w14:paraId="26DB0C8E"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Accurate taxonomic </w:t>
      </w:r>
      <w:r w:rsidRPr="00FF7FB4">
        <w:rPr>
          <w:rFonts w:ascii="Arial" w:eastAsia="Arial" w:hAnsi="Arial" w:cs="Arial"/>
          <w:sz w:val="22"/>
          <w:szCs w:val="22"/>
        </w:rPr>
        <w:t>identification</w:t>
      </w:r>
      <w:r w:rsidRPr="00FF7FB4">
        <w:rPr>
          <w:rFonts w:ascii="Arial" w:eastAsia="Arial" w:hAnsi="Arial" w:cs="Arial"/>
          <w:color w:val="000000"/>
          <w:sz w:val="22"/>
          <w:szCs w:val="22"/>
        </w:rPr>
        <w:t xml:space="preserve"> of the host species is important for interpreting host–microbial interactions because microbial communities may vary </w:t>
      </w:r>
      <w:r w:rsidRPr="00FF7FB4">
        <w:rPr>
          <w:rFonts w:ascii="Arial" w:eastAsia="Arial" w:hAnsi="Arial" w:cs="Arial"/>
          <w:sz w:val="22"/>
          <w:szCs w:val="22"/>
        </w:rPr>
        <w:t>among</w:t>
      </w:r>
      <w:r w:rsidRPr="00FF7FB4">
        <w:rPr>
          <w:rFonts w:ascii="Arial" w:eastAsia="Arial" w:hAnsi="Arial" w:cs="Arial"/>
          <w:color w:val="000000"/>
          <w:sz w:val="22"/>
          <w:szCs w:val="22"/>
        </w:rPr>
        <w:t xml:space="preserve"> closely related species. Recent taxonomic revisions have clarified synonymy within the genus </w:t>
      </w:r>
      <w:r w:rsidRPr="00FF7FB4">
        <w:rPr>
          <w:rFonts w:ascii="Arial" w:eastAsia="Arial" w:hAnsi="Arial" w:cs="Arial"/>
          <w:i/>
          <w:iCs/>
          <w:color w:val="000000"/>
          <w:sz w:val="22"/>
          <w:szCs w:val="22"/>
        </w:rPr>
        <w:t>Allonothrus,</w:t>
      </w:r>
      <w:r w:rsidRPr="00FF7FB4">
        <w:rPr>
          <w:rFonts w:ascii="Arial" w:eastAsia="Arial" w:hAnsi="Arial" w:cs="Arial"/>
          <w:color w:val="000000"/>
          <w:sz w:val="22"/>
          <w:szCs w:val="22"/>
        </w:rPr>
        <w:t xml:space="preserve"> providing a stable taxonomic framework for ecological and microbiological investigations.</w:t>
      </w:r>
    </w:p>
    <w:p w14:paraId="3C7D794E" w14:textId="77777777" w:rsidR="00526238" w:rsidRPr="00FF7FB4" w:rsidRDefault="00526238">
      <w:pPr>
        <w:keepNext/>
        <w:pBdr>
          <w:top w:val="nil"/>
          <w:left w:val="nil"/>
          <w:bottom w:val="nil"/>
          <w:right w:val="nil"/>
          <w:between w:val="nil"/>
        </w:pBdr>
        <w:rPr>
          <w:rFonts w:ascii="Arial" w:eastAsia="Arial" w:hAnsi="Arial" w:cs="Arial"/>
          <w:color w:val="000000"/>
          <w:sz w:val="22"/>
          <w:szCs w:val="22"/>
        </w:rPr>
      </w:pPr>
    </w:p>
    <w:p w14:paraId="34A37762" w14:textId="77777777" w:rsidR="00526238" w:rsidRPr="00FF7FB4" w:rsidRDefault="00000000">
      <w:pPr>
        <w:keepNext/>
        <w:pBdr>
          <w:top w:val="nil"/>
          <w:left w:val="nil"/>
          <w:bottom w:val="nil"/>
          <w:right w:val="nil"/>
          <w:between w:val="nil"/>
        </w:pBdr>
        <w:rPr>
          <w:rFonts w:ascii="Arial" w:eastAsia="Arial" w:hAnsi="Arial" w:cs="Arial"/>
          <w:b/>
          <w:bCs/>
          <w:color w:val="000000"/>
          <w:sz w:val="22"/>
          <w:szCs w:val="22"/>
        </w:rPr>
      </w:pPr>
      <w:r w:rsidRPr="00FF7FB4">
        <w:rPr>
          <w:rFonts w:ascii="Arial" w:eastAsia="Arial" w:hAnsi="Arial" w:cs="Arial"/>
          <w:b/>
          <w:bCs/>
          <w:color w:val="000000"/>
          <w:sz w:val="22"/>
          <w:szCs w:val="22"/>
        </w:rPr>
        <w:t>3.2. Isolation and characterisation of cultivable bacteria</w:t>
      </w:r>
    </w:p>
    <w:p w14:paraId="7E27C077" w14:textId="77777777" w:rsidR="00526238" w:rsidRPr="00FF7FB4" w:rsidRDefault="00526238">
      <w:pPr>
        <w:keepNext/>
        <w:pBdr>
          <w:top w:val="nil"/>
          <w:left w:val="nil"/>
          <w:bottom w:val="nil"/>
          <w:right w:val="nil"/>
          <w:between w:val="nil"/>
        </w:pBdr>
        <w:rPr>
          <w:rFonts w:ascii="Arial" w:eastAsia="Arial" w:hAnsi="Arial" w:cs="Arial"/>
          <w:smallCaps/>
          <w:color w:val="000000"/>
          <w:sz w:val="22"/>
          <w:szCs w:val="22"/>
        </w:rPr>
      </w:pPr>
    </w:p>
    <w:p w14:paraId="560F9B93"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sz w:val="22"/>
          <w:szCs w:val="22"/>
        </w:rPr>
        <w:t xml:space="preserve">A total of 11 morphologically distinct bacterial colonies were initially recovered. Based on differences in colony morphology, six representative isolates were selected for further biochemical, cellulolytic, and molecular characterisation (Fig. 1a and Fig. 1b). </w:t>
      </w:r>
      <w:r w:rsidRPr="00FF7FB4">
        <w:rPr>
          <w:rFonts w:ascii="Arial" w:eastAsia="Arial" w:hAnsi="Arial" w:cs="Arial"/>
          <w:color w:val="000000"/>
          <w:sz w:val="22"/>
          <w:szCs w:val="22"/>
        </w:rPr>
        <w:t>Gram staining of the purified isolates revealed four Gram-positive rod-shaped isolates and two Gram-negative rod-shaped isolates (Table 1). Biochemical screening of the six isolates showed differences in standard reactions, including MR, VP, citrate, catalase, oxidase, indole, and TSI reactions</w:t>
      </w:r>
      <w:r w:rsidRPr="00FF7FB4">
        <w:rPr>
          <w:rFonts w:ascii="Arial" w:eastAsia="Arial" w:hAnsi="Arial" w:cs="Arial"/>
          <w:sz w:val="22"/>
          <w:szCs w:val="22"/>
        </w:rPr>
        <w:t>,</w:t>
      </w:r>
      <w:r w:rsidRPr="00FF7FB4">
        <w:rPr>
          <w:rFonts w:ascii="Arial" w:eastAsia="Arial" w:hAnsi="Arial" w:cs="Arial"/>
          <w:color w:val="000000"/>
          <w:sz w:val="22"/>
          <w:szCs w:val="22"/>
        </w:rPr>
        <w:t xml:space="preserve"> thereby distinguishing the isolates biochemically (Table 2).</w:t>
      </w:r>
    </w:p>
    <w:p w14:paraId="2FD04A78"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Surface sterilisation before whole-mite homogenisation increased the likelihood that the recovered bacteria originated internally rather than from the body surface. The presence of multiple morphologically and physiologically distinct isolates suggests that </w:t>
      </w:r>
      <w:r w:rsidRPr="00FF7FB4">
        <w:rPr>
          <w:rFonts w:ascii="Arial" w:eastAsia="Arial" w:hAnsi="Arial" w:cs="Arial"/>
          <w:i/>
          <w:iCs/>
          <w:color w:val="000000"/>
          <w:sz w:val="22"/>
          <w:szCs w:val="22"/>
        </w:rPr>
        <w:t>A. russeolus russeolus</w:t>
      </w:r>
      <w:r w:rsidRPr="00FF7FB4">
        <w:rPr>
          <w:rFonts w:ascii="Arial" w:eastAsia="Arial" w:hAnsi="Arial" w:cs="Arial"/>
          <w:color w:val="000000"/>
          <w:sz w:val="22"/>
          <w:szCs w:val="22"/>
        </w:rPr>
        <w:t xml:space="preserve"> harbours a diverse cultivable bacterial community. </w:t>
      </w:r>
      <w:r w:rsidRPr="00FF7FB4">
        <w:rPr>
          <w:rFonts w:ascii="Arial" w:eastAsia="Arial" w:hAnsi="Arial" w:cs="Arial"/>
          <w:sz w:val="22"/>
          <w:szCs w:val="22"/>
        </w:rPr>
        <w:t>O</w:t>
      </w:r>
      <w:r w:rsidRPr="00FF7FB4">
        <w:rPr>
          <w:rFonts w:ascii="Arial" w:eastAsia="Arial" w:hAnsi="Arial" w:cs="Arial"/>
          <w:color w:val="000000"/>
          <w:sz w:val="22"/>
          <w:szCs w:val="22"/>
        </w:rPr>
        <w:t xml:space="preserve">ribatid mites </w:t>
      </w:r>
      <w:r w:rsidRPr="00FF7FB4">
        <w:rPr>
          <w:rFonts w:ascii="Arial" w:eastAsia="Arial" w:hAnsi="Arial" w:cs="Arial"/>
          <w:sz w:val="22"/>
          <w:szCs w:val="22"/>
        </w:rPr>
        <w:t>may a</w:t>
      </w:r>
      <w:r w:rsidRPr="00FF7FB4">
        <w:rPr>
          <w:rFonts w:ascii="Arial" w:eastAsia="Arial" w:hAnsi="Arial" w:cs="Arial"/>
          <w:color w:val="000000"/>
          <w:sz w:val="22"/>
          <w:szCs w:val="22"/>
        </w:rPr>
        <w:t>cquire diverse bacteria through feeding on litter, fungi</w:t>
      </w:r>
      <w:r w:rsidRPr="00FF7FB4">
        <w:rPr>
          <w:rFonts w:ascii="Arial" w:eastAsia="Arial" w:hAnsi="Arial" w:cs="Arial"/>
          <w:sz w:val="22"/>
          <w:szCs w:val="22"/>
        </w:rPr>
        <w:t>,</w:t>
      </w:r>
      <w:r w:rsidRPr="00FF7FB4">
        <w:rPr>
          <w:rFonts w:ascii="Arial" w:eastAsia="Arial" w:hAnsi="Arial" w:cs="Arial"/>
          <w:color w:val="000000"/>
          <w:sz w:val="22"/>
          <w:szCs w:val="22"/>
        </w:rPr>
        <w:t xml:space="preserve"> and decomposing organic matter. The recovery of both Gram-positive and Gram-negative isolates may reflect differences in the ecological adaptations and metabolic capabilities of bacteria associated with </w:t>
      </w:r>
      <w:r w:rsidRPr="00FF7FB4">
        <w:rPr>
          <w:rFonts w:ascii="Arial" w:eastAsia="Arial" w:hAnsi="Arial" w:cs="Arial"/>
          <w:i/>
          <w:iCs/>
          <w:color w:val="000000"/>
          <w:sz w:val="22"/>
          <w:szCs w:val="22"/>
        </w:rPr>
        <w:t>A. russeolus russeolus</w:t>
      </w:r>
      <w:r w:rsidRPr="00FF7FB4">
        <w:rPr>
          <w:rFonts w:ascii="Arial" w:eastAsia="Arial" w:hAnsi="Arial" w:cs="Arial"/>
          <w:color w:val="000000"/>
          <w:sz w:val="22"/>
          <w:szCs w:val="22"/>
        </w:rPr>
        <w:t xml:space="preserve">. The observed biochemical variability may also reflect functional diversity within the cultivable bacterial community. However, because only a limited number of cultivable isolates from a single pooled sample were analysed, these observations are preliminary and cannot represent the complete bacterial community associated with the mite. As with any culture-based approach, the diversity identified in this study probably represents only a fraction of the overall mite-associated microbiota. Numerous bacteria associated with soil microarthropods are difficult to cultivate or cannot be grown using standard media (Amann </w:t>
      </w:r>
      <w:r w:rsidRPr="00FF7FB4">
        <w:rPr>
          <w:rFonts w:ascii="Arial" w:eastAsia="Arial" w:hAnsi="Arial" w:cs="Arial"/>
          <w:i/>
          <w:iCs/>
          <w:color w:val="000000"/>
          <w:sz w:val="22"/>
          <w:szCs w:val="22"/>
        </w:rPr>
        <w:t>et al.,</w:t>
      </w:r>
      <w:r w:rsidRPr="00FF7FB4">
        <w:rPr>
          <w:rFonts w:ascii="Arial" w:eastAsia="Arial" w:hAnsi="Arial" w:cs="Arial"/>
          <w:color w:val="000000"/>
          <w:sz w:val="22"/>
          <w:szCs w:val="22"/>
        </w:rPr>
        <w:t xml:space="preserve"> 1995). Nevertheless, culture-based investigations yield isolates that can be used for functional testing, including enzymatic characterisation, host–</w:t>
      </w:r>
      <w:r w:rsidRPr="00FF7FB4">
        <w:rPr>
          <w:rFonts w:ascii="Arial" w:eastAsia="Arial" w:hAnsi="Arial" w:cs="Arial"/>
          <w:color w:val="000000"/>
          <w:sz w:val="22"/>
          <w:szCs w:val="22"/>
        </w:rPr>
        <w:lastRenderedPageBreak/>
        <w:t xml:space="preserve">microbe interaction experiments, and evaluations of potential digestive functions. Such information cannot be obtained solely from sequencing-based studies (Lagier </w:t>
      </w:r>
      <w:r w:rsidRPr="00FF7FB4">
        <w:rPr>
          <w:rFonts w:ascii="Arial" w:eastAsia="Arial" w:hAnsi="Arial" w:cs="Arial"/>
          <w:i/>
          <w:iCs/>
          <w:color w:val="000000"/>
          <w:sz w:val="22"/>
          <w:szCs w:val="22"/>
        </w:rPr>
        <w:t>et al.,</w:t>
      </w:r>
      <w:r w:rsidRPr="00FF7FB4">
        <w:rPr>
          <w:rFonts w:ascii="Arial" w:eastAsia="Arial" w:hAnsi="Arial" w:cs="Arial"/>
          <w:color w:val="000000"/>
          <w:sz w:val="22"/>
          <w:szCs w:val="22"/>
        </w:rPr>
        <w:t xml:space="preserve"> 2018).</w:t>
      </w:r>
    </w:p>
    <w:p w14:paraId="64C59EEE" w14:textId="77777777" w:rsidR="00526238" w:rsidRPr="00FF7FB4" w:rsidRDefault="00526238">
      <w:pPr>
        <w:keepNext/>
        <w:pBdr>
          <w:top w:val="nil"/>
          <w:left w:val="nil"/>
          <w:bottom w:val="nil"/>
          <w:right w:val="nil"/>
          <w:between w:val="nil"/>
        </w:pBdr>
        <w:rPr>
          <w:rFonts w:ascii="Arial" w:eastAsia="Arial" w:hAnsi="Arial" w:cs="Arial"/>
          <w:color w:val="000000"/>
          <w:sz w:val="22"/>
          <w:szCs w:val="22"/>
        </w:rPr>
      </w:pPr>
    </w:p>
    <w:p w14:paraId="0C6EF94A" w14:textId="77777777" w:rsidR="00526238" w:rsidRPr="00FF7FB4" w:rsidRDefault="00526238">
      <w:pPr>
        <w:keepNext/>
        <w:pBdr>
          <w:top w:val="nil"/>
          <w:left w:val="nil"/>
          <w:bottom w:val="nil"/>
          <w:right w:val="nil"/>
          <w:between w:val="nil"/>
        </w:pBdr>
        <w:rPr>
          <w:rFonts w:ascii="Arial" w:eastAsia="Arial" w:hAnsi="Arial" w:cs="Arial"/>
          <w:color w:val="000000"/>
          <w:sz w:val="20"/>
          <w:szCs w:val="20"/>
        </w:rPr>
      </w:pPr>
    </w:p>
    <w:p w14:paraId="185E43C8" w14:textId="77777777" w:rsidR="00526238" w:rsidRPr="00FF7FB4" w:rsidRDefault="00526238">
      <w:pPr>
        <w:widowControl w:val="0"/>
        <w:spacing w:after="80"/>
        <w:rPr>
          <w:rFonts w:ascii="Arial" w:eastAsia="Arial" w:hAnsi="Arial" w:cs="Arial"/>
          <w:sz w:val="18"/>
          <w:szCs w:val="18"/>
        </w:rPr>
      </w:pPr>
    </w:p>
    <w:p w14:paraId="735B1676" w14:textId="77777777" w:rsidR="00526238" w:rsidRPr="00FF7FB4" w:rsidRDefault="00526238">
      <w:pPr>
        <w:widowControl w:val="0"/>
        <w:spacing w:after="80"/>
        <w:rPr>
          <w:rFonts w:ascii="Arial" w:eastAsia="Arial" w:hAnsi="Arial" w:cs="Arial"/>
          <w:sz w:val="18"/>
          <w:szCs w:val="18"/>
        </w:rPr>
      </w:pPr>
    </w:p>
    <w:p w14:paraId="08799FA9" w14:textId="77777777" w:rsidR="00526238" w:rsidRPr="00FF7FB4" w:rsidRDefault="00526238">
      <w:pPr>
        <w:widowControl w:val="0"/>
        <w:spacing w:after="80"/>
        <w:rPr>
          <w:rFonts w:ascii="Arial" w:eastAsia="Arial" w:hAnsi="Arial" w:cs="Arial"/>
          <w:sz w:val="18"/>
          <w:szCs w:val="18"/>
        </w:rPr>
      </w:pPr>
    </w:p>
    <w:p w14:paraId="3CEED45C" w14:textId="77777777" w:rsidR="00526238" w:rsidRPr="00FF7FB4" w:rsidRDefault="00000000">
      <w:pPr>
        <w:keepNext/>
        <w:pBdr>
          <w:top w:val="nil"/>
          <w:left w:val="nil"/>
          <w:bottom w:val="nil"/>
          <w:right w:val="nil"/>
          <w:between w:val="nil"/>
        </w:pBdr>
        <w:rPr>
          <w:rFonts w:ascii="Times New Roman" w:eastAsia="Times New Roman" w:hAnsi="Times New Roman" w:cs="Times New Roman"/>
          <w:smallCaps/>
          <w:color w:val="002060"/>
          <w:sz w:val="20"/>
          <w:szCs w:val="20"/>
        </w:rPr>
      </w:pPr>
      <w:r w:rsidRPr="00FF7FB4">
        <w:rPr>
          <w:rFonts w:ascii="Arial" w:eastAsia="Arial" w:hAnsi="Arial" w:cs="Arial"/>
          <w:sz w:val="18"/>
          <w:szCs w:val="18"/>
        </w:rPr>
        <w:t xml:space="preserve">Fig. 1. (a) Primary bacterial colonies isolated from homogenized </w:t>
      </w:r>
      <w:proofErr w:type="spellStart"/>
      <w:r w:rsidRPr="00FF7FB4">
        <w:rPr>
          <w:rFonts w:ascii="Arial" w:eastAsia="Arial" w:hAnsi="Arial" w:cs="Arial"/>
          <w:i/>
          <w:iCs/>
          <w:sz w:val="18"/>
          <w:szCs w:val="18"/>
        </w:rPr>
        <w:t>Allonothrus</w:t>
      </w:r>
      <w:proofErr w:type="spellEnd"/>
      <w:r w:rsidRPr="00FF7FB4">
        <w:rPr>
          <w:rFonts w:ascii="Arial" w:eastAsia="Arial" w:hAnsi="Arial" w:cs="Arial"/>
          <w:i/>
          <w:iCs/>
          <w:sz w:val="18"/>
          <w:szCs w:val="18"/>
        </w:rPr>
        <w:t xml:space="preserve"> </w:t>
      </w:r>
      <w:proofErr w:type="spellStart"/>
      <w:r w:rsidRPr="00FF7FB4">
        <w:rPr>
          <w:rFonts w:ascii="Arial" w:eastAsia="Arial" w:hAnsi="Arial" w:cs="Arial"/>
          <w:i/>
          <w:iCs/>
          <w:sz w:val="18"/>
          <w:szCs w:val="18"/>
        </w:rPr>
        <w:t>russeolus</w:t>
      </w:r>
      <w:proofErr w:type="spellEnd"/>
      <w:r w:rsidRPr="00FF7FB4">
        <w:rPr>
          <w:rFonts w:ascii="Arial" w:eastAsia="Arial" w:hAnsi="Arial" w:cs="Arial"/>
          <w:i/>
          <w:iCs/>
          <w:sz w:val="18"/>
          <w:szCs w:val="18"/>
        </w:rPr>
        <w:t xml:space="preserve"> </w:t>
      </w:r>
      <w:proofErr w:type="spellStart"/>
      <w:r w:rsidRPr="00FF7FB4">
        <w:rPr>
          <w:rFonts w:ascii="Arial" w:eastAsia="Arial" w:hAnsi="Arial" w:cs="Arial"/>
          <w:i/>
          <w:iCs/>
          <w:sz w:val="18"/>
          <w:szCs w:val="18"/>
        </w:rPr>
        <w:t>russeolus</w:t>
      </w:r>
      <w:proofErr w:type="spellEnd"/>
      <w:r w:rsidRPr="00FF7FB4">
        <w:rPr>
          <w:rFonts w:ascii="Arial" w:eastAsia="Arial" w:hAnsi="Arial" w:cs="Arial"/>
          <w:sz w:val="18"/>
          <w:szCs w:val="18"/>
        </w:rPr>
        <w:t xml:space="preserve"> specimens. (b) Purified representative bacterial isolates following subculturing.</w:t>
      </w:r>
      <w:r w:rsidRPr="00FF7FB4">
        <w:rPr>
          <w:rFonts w:ascii="Arial" w:eastAsia="Arial" w:hAnsi="Arial" w:cs="Arial"/>
          <w:b/>
          <w:bCs/>
          <w:smallCaps/>
          <w:noProof/>
          <w:color w:val="000000"/>
          <w:sz w:val="22"/>
          <w:szCs w:val="22"/>
        </w:rPr>
        <w:drawing>
          <wp:inline distT="0" distB="0" distL="0" distR="0" wp14:anchorId="0EEEACA7" wp14:editId="75623ED5">
            <wp:extent cx="1853565" cy="1823085"/>
            <wp:effectExtent l="9525" t="9525" r="9525" b="9525"/>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853565" cy="1823085"/>
                    </a:xfrm>
                    <a:prstGeom prst="rect">
                      <a:avLst/>
                    </a:prstGeom>
                    <a:ln w="9525">
                      <a:solidFill>
                        <a:srgbClr val="000000"/>
                      </a:solidFill>
                      <a:prstDash val="solid"/>
                    </a:ln>
                  </pic:spPr>
                </pic:pic>
              </a:graphicData>
            </a:graphic>
          </wp:inline>
        </w:drawing>
      </w:r>
      <w:r w:rsidRPr="00FF7FB4">
        <w:rPr>
          <w:rFonts w:ascii="Times New Roman" w:eastAsia="Times New Roman" w:hAnsi="Times New Roman" w:cs="Times New Roman"/>
          <w:smallCaps/>
          <w:color w:val="002060"/>
          <w:sz w:val="20"/>
          <w:szCs w:val="20"/>
        </w:rPr>
        <w:t xml:space="preserve">                                                                </w:t>
      </w:r>
      <w:r w:rsidRPr="00FF7FB4">
        <w:rPr>
          <w:rFonts w:ascii="Times New Roman" w:eastAsia="Times New Roman" w:hAnsi="Times New Roman" w:cs="Times New Roman"/>
          <w:smallCaps/>
          <w:noProof/>
          <w:color w:val="002060"/>
          <w:sz w:val="20"/>
          <w:szCs w:val="20"/>
        </w:rPr>
        <w:drawing>
          <wp:inline distT="0" distB="0" distL="0" distR="0" wp14:anchorId="55116C1C" wp14:editId="186D5C65">
            <wp:extent cx="1668564" cy="1823379"/>
            <wp:effectExtent l="9525" t="9525" r="9525" b="9525"/>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668564" cy="1823379"/>
                    </a:xfrm>
                    <a:prstGeom prst="rect">
                      <a:avLst/>
                    </a:prstGeom>
                    <a:ln w="9525">
                      <a:solidFill>
                        <a:srgbClr val="000000"/>
                      </a:solidFill>
                      <a:prstDash val="solid"/>
                    </a:ln>
                  </pic:spPr>
                </pic:pic>
              </a:graphicData>
            </a:graphic>
          </wp:inline>
        </w:drawing>
      </w:r>
    </w:p>
    <w:p w14:paraId="3155AF94" w14:textId="77777777" w:rsidR="00526238" w:rsidRPr="00FF7FB4" w:rsidRDefault="00526238">
      <w:pPr>
        <w:keepNext/>
        <w:pBdr>
          <w:top w:val="nil"/>
          <w:left w:val="nil"/>
          <w:bottom w:val="nil"/>
          <w:right w:val="nil"/>
          <w:between w:val="nil"/>
        </w:pBdr>
        <w:rPr>
          <w:rFonts w:ascii="Times New Roman" w:eastAsia="Times New Roman" w:hAnsi="Times New Roman" w:cs="Times New Roman"/>
          <w:smallCaps/>
          <w:color w:val="002060"/>
          <w:sz w:val="20"/>
          <w:szCs w:val="20"/>
        </w:rPr>
      </w:pPr>
    </w:p>
    <w:p w14:paraId="3F3D98A8" w14:textId="77777777" w:rsidR="00526238" w:rsidRPr="00FF7FB4" w:rsidRDefault="00526238">
      <w:pPr>
        <w:keepNext/>
        <w:pBdr>
          <w:top w:val="nil"/>
          <w:left w:val="nil"/>
          <w:bottom w:val="nil"/>
          <w:right w:val="nil"/>
          <w:between w:val="nil"/>
        </w:pBdr>
        <w:rPr>
          <w:rFonts w:ascii="Times New Roman" w:eastAsia="Times New Roman" w:hAnsi="Times New Roman" w:cs="Times New Roman"/>
          <w:smallCaps/>
          <w:color w:val="002060"/>
          <w:sz w:val="20"/>
          <w:szCs w:val="20"/>
        </w:rPr>
      </w:pPr>
    </w:p>
    <w:p w14:paraId="39164158" w14:textId="77777777" w:rsidR="00526238" w:rsidRPr="00FF7FB4" w:rsidRDefault="00000000">
      <w:pPr>
        <w:keepNext/>
        <w:pBdr>
          <w:top w:val="nil"/>
          <w:left w:val="nil"/>
          <w:bottom w:val="nil"/>
          <w:right w:val="nil"/>
          <w:between w:val="nil"/>
        </w:pBdr>
        <w:spacing w:after="200"/>
        <w:rPr>
          <w:rFonts w:ascii="Arial" w:eastAsia="Arial" w:hAnsi="Arial" w:cs="Arial"/>
          <w:color w:val="000000"/>
          <w:sz w:val="18"/>
          <w:szCs w:val="18"/>
        </w:rPr>
      </w:pPr>
      <w:r w:rsidRPr="00FF7FB4">
        <w:rPr>
          <w:rFonts w:ascii="Arial" w:eastAsia="Arial" w:hAnsi="Arial" w:cs="Arial"/>
          <w:color w:val="000000"/>
          <w:sz w:val="18"/>
          <w:szCs w:val="18"/>
        </w:rPr>
        <w:t>Table 1. Gram reaction and morphological characteristics of the representative bacterial isolates.</w:t>
      </w:r>
    </w:p>
    <w:tbl>
      <w:tblPr>
        <w:tblStyle w:val="a0"/>
        <w:tblW w:w="52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3118"/>
      </w:tblGrid>
      <w:tr w:rsidR="00526238" w:rsidRPr="00FF7FB4" w14:paraId="075E04A7" w14:textId="77777777">
        <w:tc>
          <w:tcPr>
            <w:tcW w:w="2122" w:type="dxa"/>
          </w:tcPr>
          <w:p w14:paraId="25D59E6B" w14:textId="77777777" w:rsidR="00526238" w:rsidRPr="00FF7FB4" w:rsidRDefault="00000000">
            <w:pPr>
              <w:widowControl w:val="0"/>
              <w:spacing w:after="120"/>
              <w:rPr>
                <w:rFonts w:ascii="Arial" w:eastAsia="Arial" w:hAnsi="Arial" w:cs="Arial"/>
                <w:b/>
                <w:bCs/>
                <w:sz w:val="20"/>
                <w:szCs w:val="20"/>
              </w:rPr>
            </w:pPr>
            <w:r w:rsidRPr="00FF7FB4">
              <w:rPr>
                <w:rFonts w:ascii="Arial" w:eastAsia="Arial" w:hAnsi="Arial" w:cs="Arial"/>
                <w:b/>
                <w:bCs/>
                <w:sz w:val="20"/>
                <w:szCs w:val="20"/>
              </w:rPr>
              <w:t>STRAIN CODE</w:t>
            </w:r>
          </w:p>
        </w:tc>
        <w:tc>
          <w:tcPr>
            <w:tcW w:w="3118" w:type="dxa"/>
          </w:tcPr>
          <w:p w14:paraId="0F2B335C" w14:textId="77777777" w:rsidR="00526238" w:rsidRPr="00FF7FB4" w:rsidRDefault="00000000">
            <w:pPr>
              <w:widowControl w:val="0"/>
              <w:spacing w:after="120"/>
              <w:rPr>
                <w:rFonts w:ascii="Arial" w:eastAsia="Arial" w:hAnsi="Arial" w:cs="Arial"/>
                <w:b/>
                <w:bCs/>
                <w:sz w:val="20"/>
                <w:szCs w:val="20"/>
              </w:rPr>
            </w:pPr>
            <w:r w:rsidRPr="00FF7FB4">
              <w:rPr>
                <w:rFonts w:ascii="Arial" w:eastAsia="Arial" w:hAnsi="Arial" w:cs="Arial"/>
                <w:b/>
                <w:bCs/>
                <w:sz w:val="20"/>
                <w:szCs w:val="20"/>
              </w:rPr>
              <w:t>GRAM STAINING, ROD/COCCI</w:t>
            </w:r>
          </w:p>
        </w:tc>
      </w:tr>
      <w:tr w:rsidR="00526238" w:rsidRPr="00FF7FB4" w14:paraId="0D9C2120" w14:textId="77777777">
        <w:tc>
          <w:tcPr>
            <w:tcW w:w="2122" w:type="dxa"/>
          </w:tcPr>
          <w:p w14:paraId="3CE51EEF"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1</w:t>
            </w:r>
          </w:p>
        </w:tc>
        <w:tc>
          <w:tcPr>
            <w:tcW w:w="3118" w:type="dxa"/>
          </w:tcPr>
          <w:p w14:paraId="3CE08D5E"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r w:rsidR="00526238" w:rsidRPr="00FF7FB4" w14:paraId="6479CB40" w14:textId="77777777">
        <w:tc>
          <w:tcPr>
            <w:tcW w:w="2122" w:type="dxa"/>
          </w:tcPr>
          <w:p w14:paraId="39AF7129"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2</w:t>
            </w:r>
          </w:p>
        </w:tc>
        <w:tc>
          <w:tcPr>
            <w:tcW w:w="3118" w:type="dxa"/>
          </w:tcPr>
          <w:p w14:paraId="1A951600"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r w:rsidR="00526238" w:rsidRPr="00FF7FB4" w14:paraId="4D4EC8BC" w14:textId="77777777">
        <w:tc>
          <w:tcPr>
            <w:tcW w:w="2122" w:type="dxa"/>
          </w:tcPr>
          <w:p w14:paraId="2F773A81"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4</w:t>
            </w:r>
          </w:p>
        </w:tc>
        <w:tc>
          <w:tcPr>
            <w:tcW w:w="3118" w:type="dxa"/>
          </w:tcPr>
          <w:p w14:paraId="0C0C420E"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r w:rsidR="00526238" w:rsidRPr="00FF7FB4" w14:paraId="2C2CB24B" w14:textId="77777777">
        <w:tc>
          <w:tcPr>
            <w:tcW w:w="2122" w:type="dxa"/>
          </w:tcPr>
          <w:p w14:paraId="6277B03B"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8</w:t>
            </w:r>
          </w:p>
        </w:tc>
        <w:tc>
          <w:tcPr>
            <w:tcW w:w="3118" w:type="dxa"/>
          </w:tcPr>
          <w:p w14:paraId="24B0C2C4"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r w:rsidR="00526238" w:rsidRPr="00FF7FB4" w14:paraId="140330CA" w14:textId="77777777">
        <w:tc>
          <w:tcPr>
            <w:tcW w:w="2122" w:type="dxa"/>
          </w:tcPr>
          <w:p w14:paraId="49C0BFF6"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9</w:t>
            </w:r>
          </w:p>
        </w:tc>
        <w:tc>
          <w:tcPr>
            <w:tcW w:w="3118" w:type="dxa"/>
          </w:tcPr>
          <w:p w14:paraId="02911C9C"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r w:rsidR="00526238" w:rsidRPr="00FF7FB4" w14:paraId="4B036B12" w14:textId="77777777">
        <w:trPr>
          <w:trHeight w:val="280"/>
        </w:trPr>
        <w:tc>
          <w:tcPr>
            <w:tcW w:w="2122" w:type="dxa"/>
          </w:tcPr>
          <w:p w14:paraId="59737DFD"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11</w:t>
            </w:r>
          </w:p>
        </w:tc>
        <w:tc>
          <w:tcPr>
            <w:tcW w:w="3118" w:type="dxa"/>
          </w:tcPr>
          <w:p w14:paraId="3EB54421" w14:textId="77777777" w:rsidR="00526238" w:rsidRPr="00FF7FB4" w:rsidRDefault="00000000">
            <w:pPr>
              <w:widowControl w:val="0"/>
              <w:spacing w:after="120"/>
              <w:rPr>
                <w:rFonts w:ascii="Arial" w:eastAsia="Arial" w:hAnsi="Arial" w:cs="Arial"/>
                <w:sz w:val="20"/>
                <w:szCs w:val="20"/>
              </w:rPr>
            </w:pPr>
            <w:r w:rsidRPr="00FF7FB4">
              <w:rPr>
                <w:rFonts w:ascii="Arial" w:eastAsia="Arial" w:hAnsi="Arial" w:cs="Arial"/>
                <w:sz w:val="20"/>
                <w:szCs w:val="20"/>
              </w:rPr>
              <w:t>+VE, Rod</w:t>
            </w:r>
          </w:p>
        </w:tc>
      </w:tr>
    </w:tbl>
    <w:p w14:paraId="5D2F7D82" w14:textId="77777777" w:rsidR="00526238" w:rsidRPr="00FF7FB4" w:rsidRDefault="00526238">
      <w:pPr>
        <w:keepNext/>
        <w:pBdr>
          <w:top w:val="nil"/>
          <w:left w:val="nil"/>
          <w:bottom w:val="nil"/>
          <w:right w:val="nil"/>
          <w:between w:val="nil"/>
        </w:pBdr>
        <w:rPr>
          <w:rFonts w:ascii="Arial" w:eastAsia="Arial" w:hAnsi="Arial" w:cs="Arial"/>
          <w:color w:val="000000"/>
          <w:sz w:val="20"/>
          <w:szCs w:val="20"/>
        </w:rPr>
      </w:pPr>
    </w:p>
    <w:p w14:paraId="01EEDA9E" w14:textId="77777777" w:rsidR="00526238" w:rsidRPr="00FF7FB4" w:rsidRDefault="00000000">
      <w:pPr>
        <w:widowControl w:val="0"/>
        <w:spacing w:after="120"/>
        <w:rPr>
          <w:rFonts w:ascii="Arial" w:eastAsia="Arial" w:hAnsi="Arial" w:cs="Arial"/>
          <w:sz w:val="18"/>
          <w:szCs w:val="18"/>
        </w:rPr>
      </w:pPr>
      <w:r w:rsidRPr="00FF7FB4">
        <w:rPr>
          <w:rFonts w:ascii="Arial" w:eastAsia="Arial" w:hAnsi="Arial" w:cs="Arial"/>
          <w:color w:val="000000"/>
          <w:sz w:val="20"/>
          <w:szCs w:val="20"/>
        </w:rPr>
        <w:t xml:space="preserve">Table 2. Biochemical characteristics of the representative bacterial isolates recovered from </w:t>
      </w:r>
      <w:proofErr w:type="spellStart"/>
      <w:r w:rsidRPr="00FF7FB4">
        <w:rPr>
          <w:rFonts w:ascii="Arial" w:eastAsia="Arial" w:hAnsi="Arial" w:cs="Arial"/>
          <w:i/>
          <w:iCs/>
          <w:color w:val="000000"/>
          <w:sz w:val="20"/>
          <w:szCs w:val="20"/>
        </w:rPr>
        <w:t>Allonothrus</w:t>
      </w:r>
      <w:proofErr w:type="spellEnd"/>
      <w:r w:rsidRPr="00FF7FB4">
        <w:rPr>
          <w:rFonts w:ascii="Arial" w:eastAsia="Arial" w:hAnsi="Arial" w:cs="Arial"/>
          <w:i/>
          <w:iCs/>
          <w:color w:val="000000"/>
          <w:sz w:val="20"/>
          <w:szCs w:val="20"/>
        </w:rPr>
        <w:t xml:space="preserve"> </w:t>
      </w:r>
      <w:proofErr w:type="spellStart"/>
      <w:r w:rsidRPr="00FF7FB4">
        <w:rPr>
          <w:rFonts w:ascii="Arial" w:eastAsia="Arial" w:hAnsi="Arial" w:cs="Arial"/>
          <w:i/>
          <w:iCs/>
          <w:color w:val="000000"/>
          <w:sz w:val="20"/>
          <w:szCs w:val="20"/>
        </w:rPr>
        <w:t>russeolus</w:t>
      </w:r>
      <w:proofErr w:type="spellEnd"/>
      <w:r w:rsidRPr="00FF7FB4">
        <w:rPr>
          <w:rFonts w:ascii="Arial" w:eastAsia="Arial" w:hAnsi="Arial" w:cs="Arial"/>
          <w:i/>
          <w:iCs/>
          <w:color w:val="000000"/>
          <w:sz w:val="20"/>
          <w:szCs w:val="20"/>
        </w:rPr>
        <w:t xml:space="preserve"> </w:t>
      </w:r>
      <w:proofErr w:type="spellStart"/>
      <w:r w:rsidRPr="00FF7FB4">
        <w:rPr>
          <w:rFonts w:ascii="Arial" w:eastAsia="Arial" w:hAnsi="Arial" w:cs="Arial"/>
          <w:i/>
          <w:iCs/>
          <w:color w:val="000000"/>
          <w:sz w:val="20"/>
          <w:szCs w:val="20"/>
        </w:rPr>
        <w:t>russeolus</w:t>
      </w:r>
      <w:proofErr w:type="spellEnd"/>
      <w:r w:rsidRPr="00FF7FB4">
        <w:rPr>
          <w:rFonts w:ascii="Arial" w:eastAsia="Arial" w:hAnsi="Arial" w:cs="Arial"/>
          <w:color w:val="000000"/>
          <w:sz w:val="20"/>
          <w:szCs w:val="20"/>
        </w:rPr>
        <w:t>.</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7"/>
        <w:gridCol w:w="1014"/>
        <w:gridCol w:w="570"/>
        <w:gridCol w:w="570"/>
        <w:gridCol w:w="1061"/>
        <w:gridCol w:w="1199"/>
        <w:gridCol w:w="1069"/>
        <w:gridCol w:w="619"/>
        <w:gridCol w:w="596"/>
        <w:gridCol w:w="586"/>
        <w:gridCol w:w="585"/>
        <w:gridCol w:w="250"/>
      </w:tblGrid>
      <w:tr w:rsidR="00526238" w:rsidRPr="00FF7FB4" w14:paraId="6E103C34" w14:textId="77777777">
        <w:tc>
          <w:tcPr>
            <w:tcW w:w="897" w:type="dxa"/>
            <w:tcBorders>
              <w:bottom w:val="nil"/>
            </w:tcBorders>
          </w:tcPr>
          <w:p w14:paraId="43459293"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STRAIN</w:t>
            </w:r>
          </w:p>
          <w:p w14:paraId="5F14ED91"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CODE</w:t>
            </w:r>
          </w:p>
        </w:tc>
        <w:tc>
          <w:tcPr>
            <w:tcW w:w="1014" w:type="dxa"/>
            <w:tcBorders>
              <w:bottom w:val="nil"/>
            </w:tcBorders>
          </w:tcPr>
          <w:p w14:paraId="40EAAE30"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 xml:space="preserve">INDOLE </w:t>
            </w:r>
          </w:p>
        </w:tc>
        <w:tc>
          <w:tcPr>
            <w:tcW w:w="570" w:type="dxa"/>
            <w:tcBorders>
              <w:bottom w:val="nil"/>
            </w:tcBorders>
          </w:tcPr>
          <w:p w14:paraId="06295177"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MR</w:t>
            </w:r>
          </w:p>
        </w:tc>
        <w:tc>
          <w:tcPr>
            <w:tcW w:w="570" w:type="dxa"/>
            <w:tcBorders>
              <w:bottom w:val="nil"/>
            </w:tcBorders>
          </w:tcPr>
          <w:p w14:paraId="7A26F687"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VP</w:t>
            </w:r>
          </w:p>
        </w:tc>
        <w:tc>
          <w:tcPr>
            <w:tcW w:w="1061" w:type="dxa"/>
            <w:tcBorders>
              <w:bottom w:val="nil"/>
            </w:tcBorders>
          </w:tcPr>
          <w:p w14:paraId="43CC9101"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CITRATE</w:t>
            </w:r>
          </w:p>
        </w:tc>
        <w:tc>
          <w:tcPr>
            <w:tcW w:w="1199" w:type="dxa"/>
            <w:tcBorders>
              <w:bottom w:val="nil"/>
            </w:tcBorders>
          </w:tcPr>
          <w:p w14:paraId="19E3A5DD"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CATALASE</w:t>
            </w:r>
          </w:p>
        </w:tc>
        <w:tc>
          <w:tcPr>
            <w:tcW w:w="1069" w:type="dxa"/>
            <w:tcBorders>
              <w:bottom w:val="nil"/>
            </w:tcBorders>
          </w:tcPr>
          <w:p w14:paraId="4D5EC23C"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OXIDASE</w:t>
            </w:r>
          </w:p>
        </w:tc>
        <w:tc>
          <w:tcPr>
            <w:tcW w:w="619" w:type="dxa"/>
            <w:tcBorders>
              <w:right w:val="nil"/>
            </w:tcBorders>
          </w:tcPr>
          <w:p w14:paraId="474E656B" w14:textId="77777777" w:rsidR="00526238" w:rsidRPr="00FF7FB4" w:rsidRDefault="00526238">
            <w:pPr>
              <w:spacing w:line="259" w:lineRule="auto"/>
              <w:rPr>
                <w:rFonts w:ascii="Arial" w:eastAsia="Arial" w:hAnsi="Arial" w:cs="Arial"/>
                <w:b/>
                <w:bCs/>
                <w:sz w:val="18"/>
                <w:szCs w:val="18"/>
              </w:rPr>
            </w:pPr>
          </w:p>
        </w:tc>
        <w:tc>
          <w:tcPr>
            <w:tcW w:w="596" w:type="dxa"/>
            <w:tcBorders>
              <w:left w:val="nil"/>
              <w:right w:val="nil"/>
            </w:tcBorders>
          </w:tcPr>
          <w:p w14:paraId="259589BF"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TSI</w:t>
            </w:r>
          </w:p>
        </w:tc>
        <w:tc>
          <w:tcPr>
            <w:tcW w:w="586" w:type="dxa"/>
            <w:tcBorders>
              <w:left w:val="nil"/>
              <w:right w:val="nil"/>
            </w:tcBorders>
          </w:tcPr>
          <w:p w14:paraId="74D22FFD" w14:textId="77777777" w:rsidR="00526238" w:rsidRPr="00FF7FB4" w:rsidRDefault="00526238">
            <w:pPr>
              <w:spacing w:line="259" w:lineRule="auto"/>
              <w:rPr>
                <w:rFonts w:ascii="Arial" w:eastAsia="Arial" w:hAnsi="Arial" w:cs="Arial"/>
                <w:b/>
                <w:bCs/>
                <w:sz w:val="18"/>
                <w:szCs w:val="18"/>
              </w:rPr>
            </w:pPr>
          </w:p>
        </w:tc>
        <w:tc>
          <w:tcPr>
            <w:tcW w:w="585" w:type="dxa"/>
            <w:tcBorders>
              <w:left w:val="nil"/>
              <w:bottom w:val="single" w:sz="4" w:space="0" w:color="000000"/>
              <w:right w:val="nil"/>
            </w:tcBorders>
          </w:tcPr>
          <w:p w14:paraId="3E87E151" w14:textId="77777777" w:rsidR="00526238" w:rsidRPr="00FF7FB4" w:rsidRDefault="00526238">
            <w:pPr>
              <w:spacing w:line="259" w:lineRule="auto"/>
              <w:rPr>
                <w:rFonts w:ascii="Arial" w:eastAsia="Arial" w:hAnsi="Arial" w:cs="Arial"/>
                <w:b/>
                <w:bCs/>
                <w:sz w:val="18"/>
                <w:szCs w:val="18"/>
              </w:rPr>
            </w:pPr>
          </w:p>
        </w:tc>
        <w:tc>
          <w:tcPr>
            <w:tcW w:w="250" w:type="dxa"/>
            <w:tcBorders>
              <w:left w:val="nil"/>
              <w:bottom w:val="single" w:sz="4" w:space="0" w:color="000000"/>
            </w:tcBorders>
          </w:tcPr>
          <w:p w14:paraId="7DDBA32F" w14:textId="77777777" w:rsidR="00526238" w:rsidRPr="00FF7FB4" w:rsidRDefault="00526238">
            <w:pPr>
              <w:spacing w:line="259" w:lineRule="auto"/>
              <w:rPr>
                <w:rFonts w:ascii="Arial" w:eastAsia="Arial" w:hAnsi="Arial" w:cs="Arial"/>
                <w:b/>
                <w:bCs/>
              </w:rPr>
            </w:pPr>
          </w:p>
        </w:tc>
      </w:tr>
      <w:tr w:rsidR="00526238" w:rsidRPr="00FF7FB4" w14:paraId="18311CFD" w14:textId="77777777">
        <w:tc>
          <w:tcPr>
            <w:tcW w:w="897" w:type="dxa"/>
            <w:tcBorders>
              <w:top w:val="nil"/>
            </w:tcBorders>
          </w:tcPr>
          <w:p w14:paraId="7FE29A16" w14:textId="77777777" w:rsidR="00526238" w:rsidRPr="00FF7FB4" w:rsidRDefault="00526238">
            <w:pPr>
              <w:spacing w:line="259" w:lineRule="auto"/>
              <w:rPr>
                <w:rFonts w:ascii="Arial" w:eastAsia="Arial" w:hAnsi="Arial" w:cs="Arial"/>
                <w:b/>
                <w:bCs/>
                <w:sz w:val="18"/>
                <w:szCs w:val="18"/>
              </w:rPr>
            </w:pPr>
          </w:p>
        </w:tc>
        <w:tc>
          <w:tcPr>
            <w:tcW w:w="1014" w:type="dxa"/>
            <w:tcBorders>
              <w:top w:val="nil"/>
            </w:tcBorders>
          </w:tcPr>
          <w:p w14:paraId="333E404B" w14:textId="77777777" w:rsidR="00526238" w:rsidRPr="00FF7FB4" w:rsidRDefault="00526238">
            <w:pPr>
              <w:spacing w:line="259" w:lineRule="auto"/>
              <w:rPr>
                <w:rFonts w:ascii="Arial" w:eastAsia="Arial" w:hAnsi="Arial" w:cs="Arial"/>
                <w:b/>
                <w:bCs/>
                <w:sz w:val="18"/>
                <w:szCs w:val="18"/>
              </w:rPr>
            </w:pPr>
          </w:p>
        </w:tc>
        <w:tc>
          <w:tcPr>
            <w:tcW w:w="570" w:type="dxa"/>
            <w:tcBorders>
              <w:top w:val="nil"/>
            </w:tcBorders>
          </w:tcPr>
          <w:p w14:paraId="76355249" w14:textId="77777777" w:rsidR="00526238" w:rsidRPr="00FF7FB4" w:rsidRDefault="00526238">
            <w:pPr>
              <w:spacing w:line="259" w:lineRule="auto"/>
              <w:rPr>
                <w:rFonts w:ascii="Arial" w:eastAsia="Arial" w:hAnsi="Arial" w:cs="Arial"/>
                <w:b/>
                <w:bCs/>
                <w:sz w:val="18"/>
                <w:szCs w:val="18"/>
              </w:rPr>
            </w:pPr>
          </w:p>
        </w:tc>
        <w:tc>
          <w:tcPr>
            <w:tcW w:w="570" w:type="dxa"/>
            <w:tcBorders>
              <w:top w:val="nil"/>
            </w:tcBorders>
          </w:tcPr>
          <w:p w14:paraId="76A2C0F0" w14:textId="77777777" w:rsidR="00526238" w:rsidRPr="00FF7FB4" w:rsidRDefault="00526238">
            <w:pPr>
              <w:spacing w:line="259" w:lineRule="auto"/>
              <w:rPr>
                <w:rFonts w:ascii="Arial" w:eastAsia="Arial" w:hAnsi="Arial" w:cs="Arial"/>
                <w:b/>
                <w:bCs/>
                <w:sz w:val="18"/>
                <w:szCs w:val="18"/>
              </w:rPr>
            </w:pPr>
          </w:p>
        </w:tc>
        <w:tc>
          <w:tcPr>
            <w:tcW w:w="1061" w:type="dxa"/>
            <w:tcBorders>
              <w:top w:val="nil"/>
            </w:tcBorders>
          </w:tcPr>
          <w:p w14:paraId="5CD0B24B" w14:textId="77777777" w:rsidR="00526238" w:rsidRPr="00FF7FB4" w:rsidRDefault="00526238">
            <w:pPr>
              <w:spacing w:line="259" w:lineRule="auto"/>
              <w:rPr>
                <w:rFonts w:ascii="Arial" w:eastAsia="Arial" w:hAnsi="Arial" w:cs="Arial"/>
                <w:b/>
                <w:bCs/>
                <w:sz w:val="18"/>
                <w:szCs w:val="18"/>
              </w:rPr>
            </w:pPr>
          </w:p>
        </w:tc>
        <w:tc>
          <w:tcPr>
            <w:tcW w:w="1199" w:type="dxa"/>
            <w:tcBorders>
              <w:top w:val="nil"/>
            </w:tcBorders>
          </w:tcPr>
          <w:p w14:paraId="4D54D1DE" w14:textId="77777777" w:rsidR="00526238" w:rsidRPr="00FF7FB4" w:rsidRDefault="00526238">
            <w:pPr>
              <w:spacing w:line="259" w:lineRule="auto"/>
              <w:rPr>
                <w:rFonts w:ascii="Arial" w:eastAsia="Arial" w:hAnsi="Arial" w:cs="Arial"/>
                <w:b/>
                <w:bCs/>
                <w:sz w:val="18"/>
                <w:szCs w:val="18"/>
              </w:rPr>
            </w:pPr>
          </w:p>
        </w:tc>
        <w:tc>
          <w:tcPr>
            <w:tcW w:w="1069" w:type="dxa"/>
            <w:tcBorders>
              <w:top w:val="nil"/>
            </w:tcBorders>
          </w:tcPr>
          <w:p w14:paraId="4A041DB2" w14:textId="77777777" w:rsidR="00526238" w:rsidRPr="00FF7FB4" w:rsidRDefault="00526238">
            <w:pPr>
              <w:spacing w:line="259" w:lineRule="auto"/>
              <w:rPr>
                <w:rFonts w:ascii="Arial" w:eastAsia="Arial" w:hAnsi="Arial" w:cs="Arial"/>
                <w:b/>
                <w:bCs/>
                <w:sz w:val="18"/>
                <w:szCs w:val="18"/>
              </w:rPr>
            </w:pPr>
          </w:p>
        </w:tc>
        <w:tc>
          <w:tcPr>
            <w:tcW w:w="619" w:type="dxa"/>
            <w:tcBorders>
              <w:right w:val="single" w:sz="4" w:space="0" w:color="000000"/>
            </w:tcBorders>
          </w:tcPr>
          <w:p w14:paraId="1AF40CA9"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GLU</w:t>
            </w:r>
          </w:p>
        </w:tc>
        <w:tc>
          <w:tcPr>
            <w:tcW w:w="596" w:type="dxa"/>
            <w:tcBorders>
              <w:left w:val="single" w:sz="4" w:space="0" w:color="000000"/>
              <w:right w:val="single" w:sz="4" w:space="0" w:color="000000"/>
            </w:tcBorders>
          </w:tcPr>
          <w:p w14:paraId="1F965E74"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LAC</w:t>
            </w:r>
          </w:p>
        </w:tc>
        <w:tc>
          <w:tcPr>
            <w:tcW w:w="586" w:type="dxa"/>
            <w:tcBorders>
              <w:left w:val="single" w:sz="4" w:space="0" w:color="000000"/>
              <w:right w:val="single" w:sz="4" w:space="0" w:color="000000"/>
            </w:tcBorders>
          </w:tcPr>
          <w:p w14:paraId="66B23E50"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SUC</w:t>
            </w:r>
          </w:p>
        </w:tc>
        <w:tc>
          <w:tcPr>
            <w:tcW w:w="585" w:type="dxa"/>
            <w:tcBorders>
              <w:left w:val="single" w:sz="4" w:space="0" w:color="000000"/>
              <w:right w:val="nil"/>
            </w:tcBorders>
          </w:tcPr>
          <w:p w14:paraId="5F0D696A" w14:textId="77777777" w:rsidR="00526238" w:rsidRPr="00FF7FB4" w:rsidRDefault="00000000">
            <w:pPr>
              <w:spacing w:line="259" w:lineRule="auto"/>
              <w:rPr>
                <w:rFonts w:ascii="Arial" w:eastAsia="Arial" w:hAnsi="Arial" w:cs="Arial"/>
                <w:b/>
                <w:bCs/>
                <w:sz w:val="18"/>
                <w:szCs w:val="18"/>
              </w:rPr>
            </w:pPr>
            <w:r w:rsidRPr="00FF7FB4">
              <w:rPr>
                <w:rFonts w:ascii="Arial" w:eastAsia="Arial" w:hAnsi="Arial" w:cs="Arial"/>
                <w:b/>
                <w:bCs/>
                <w:sz w:val="18"/>
                <w:szCs w:val="18"/>
              </w:rPr>
              <w:t>GAS</w:t>
            </w:r>
          </w:p>
        </w:tc>
        <w:tc>
          <w:tcPr>
            <w:tcW w:w="250" w:type="dxa"/>
            <w:tcBorders>
              <w:left w:val="nil"/>
            </w:tcBorders>
          </w:tcPr>
          <w:p w14:paraId="2091E5FF" w14:textId="77777777" w:rsidR="00526238" w:rsidRPr="00FF7FB4" w:rsidRDefault="00526238">
            <w:pPr>
              <w:spacing w:line="259" w:lineRule="auto"/>
              <w:rPr>
                <w:rFonts w:ascii="Arial" w:eastAsia="Arial" w:hAnsi="Arial" w:cs="Arial"/>
                <w:b/>
                <w:bCs/>
              </w:rPr>
            </w:pPr>
          </w:p>
        </w:tc>
      </w:tr>
      <w:tr w:rsidR="00526238" w:rsidRPr="00FF7FB4" w14:paraId="6211826F" w14:textId="77777777">
        <w:trPr>
          <w:trHeight w:val="409"/>
        </w:trPr>
        <w:tc>
          <w:tcPr>
            <w:tcW w:w="897" w:type="dxa"/>
          </w:tcPr>
          <w:p w14:paraId="2F31D5FA" w14:textId="77777777" w:rsidR="00526238" w:rsidRPr="00FF7FB4" w:rsidRDefault="00000000">
            <w:pPr>
              <w:rPr>
                <w:rFonts w:ascii="Arial" w:eastAsia="Arial" w:hAnsi="Arial" w:cs="Arial"/>
                <w:b/>
                <w:bCs/>
                <w:sz w:val="20"/>
                <w:szCs w:val="20"/>
              </w:rPr>
            </w:pPr>
            <w:r w:rsidRPr="00FF7FB4">
              <w:rPr>
                <w:rFonts w:ascii="Arial" w:eastAsia="Arial" w:hAnsi="Arial" w:cs="Arial"/>
                <w:b/>
                <w:bCs/>
                <w:sz w:val="20"/>
                <w:szCs w:val="20"/>
              </w:rPr>
              <w:t>1</w:t>
            </w:r>
          </w:p>
        </w:tc>
        <w:tc>
          <w:tcPr>
            <w:tcW w:w="1014" w:type="dxa"/>
          </w:tcPr>
          <w:p w14:paraId="25EA96E9"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33AC403D"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72292499"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2F6DE384"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25BE0204"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05601CBD"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533B2480"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1EF411ED"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14607942"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54188961"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4C5B351D" w14:textId="77777777" w:rsidR="00526238" w:rsidRPr="00FF7FB4" w:rsidRDefault="00526238">
            <w:pPr>
              <w:rPr>
                <w:rFonts w:ascii="Arial" w:eastAsia="Arial" w:hAnsi="Arial" w:cs="Arial"/>
                <w:b/>
                <w:bCs/>
              </w:rPr>
            </w:pPr>
          </w:p>
        </w:tc>
      </w:tr>
      <w:tr w:rsidR="00526238" w:rsidRPr="00FF7FB4" w14:paraId="7BFADA6A" w14:textId="77777777">
        <w:trPr>
          <w:trHeight w:val="414"/>
        </w:trPr>
        <w:tc>
          <w:tcPr>
            <w:tcW w:w="897" w:type="dxa"/>
          </w:tcPr>
          <w:p w14:paraId="54C5C18D" w14:textId="77777777" w:rsidR="00526238" w:rsidRPr="00FF7FB4" w:rsidRDefault="00000000">
            <w:pPr>
              <w:rPr>
                <w:rFonts w:ascii="Arial" w:eastAsia="Arial" w:hAnsi="Arial" w:cs="Arial"/>
                <w:b/>
                <w:bCs/>
                <w:sz w:val="20"/>
                <w:szCs w:val="20"/>
              </w:rPr>
            </w:pPr>
            <w:r w:rsidRPr="00FF7FB4">
              <w:rPr>
                <w:rFonts w:ascii="Arial" w:eastAsia="Arial" w:hAnsi="Arial" w:cs="Arial"/>
                <w:b/>
                <w:bCs/>
                <w:sz w:val="20"/>
                <w:szCs w:val="20"/>
              </w:rPr>
              <w:t>2</w:t>
            </w:r>
          </w:p>
        </w:tc>
        <w:tc>
          <w:tcPr>
            <w:tcW w:w="1014" w:type="dxa"/>
          </w:tcPr>
          <w:p w14:paraId="419F2746"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11B2753C"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0648393F"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1BC8CD14"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01702BAC"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474809D3"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31ADC12A"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71D84192"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10586BAA"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2B270258"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1291BC8B" w14:textId="77777777" w:rsidR="00526238" w:rsidRPr="00FF7FB4" w:rsidRDefault="00526238">
            <w:pPr>
              <w:rPr>
                <w:rFonts w:ascii="Arial" w:eastAsia="Arial" w:hAnsi="Arial" w:cs="Arial"/>
                <w:b/>
                <w:bCs/>
              </w:rPr>
            </w:pPr>
          </w:p>
        </w:tc>
      </w:tr>
      <w:tr w:rsidR="00526238" w:rsidRPr="00FF7FB4" w14:paraId="3E5FE7CE" w14:textId="77777777">
        <w:trPr>
          <w:trHeight w:val="420"/>
        </w:trPr>
        <w:tc>
          <w:tcPr>
            <w:tcW w:w="897" w:type="dxa"/>
          </w:tcPr>
          <w:p w14:paraId="6199FE01" w14:textId="77777777" w:rsidR="00526238" w:rsidRPr="00FF7FB4" w:rsidRDefault="00000000">
            <w:pPr>
              <w:rPr>
                <w:rFonts w:ascii="Arial" w:eastAsia="Arial" w:hAnsi="Arial" w:cs="Arial"/>
                <w:b/>
                <w:bCs/>
                <w:sz w:val="20"/>
                <w:szCs w:val="20"/>
              </w:rPr>
            </w:pPr>
            <w:r w:rsidRPr="00FF7FB4">
              <w:rPr>
                <w:rFonts w:ascii="Arial" w:eastAsia="Arial" w:hAnsi="Arial" w:cs="Arial"/>
                <w:b/>
                <w:bCs/>
                <w:sz w:val="20"/>
                <w:szCs w:val="20"/>
              </w:rPr>
              <w:t>4</w:t>
            </w:r>
          </w:p>
        </w:tc>
        <w:tc>
          <w:tcPr>
            <w:tcW w:w="1014" w:type="dxa"/>
          </w:tcPr>
          <w:p w14:paraId="6BB262F9"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358BD8E7"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510CE5DE"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76DB4837"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556E6CA0"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084A1FB4"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1EAEED3F"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37D04DD9"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4D474E01"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438863D7" w14:textId="77777777" w:rsidR="00526238" w:rsidRPr="00FF7FB4" w:rsidRDefault="00000000">
            <w:pPr>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626B0306" w14:textId="77777777" w:rsidR="00526238" w:rsidRPr="00FF7FB4" w:rsidRDefault="00526238">
            <w:pPr>
              <w:rPr>
                <w:rFonts w:ascii="Arial" w:eastAsia="Arial" w:hAnsi="Arial" w:cs="Arial"/>
                <w:b/>
                <w:bCs/>
              </w:rPr>
            </w:pPr>
          </w:p>
        </w:tc>
      </w:tr>
      <w:tr w:rsidR="00526238" w:rsidRPr="00FF7FB4" w14:paraId="74C2478E" w14:textId="77777777">
        <w:trPr>
          <w:trHeight w:val="349"/>
        </w:trPr>
        <w:tc>
          <w:tcPr>
            <w:tcW w:w="897" w:type="dxa"/>
          </w:tcPr>
          <w:p w14:paraId="004C8F86" w14:textId="77777777" w:rsidR="00526238" w:rsidRPr="00FF7FB4" w:rsidRDefault="00000000">
            <w:pPr>
              <w:spacing w:line="259" w:lineRule="auto"/>
              <w:rPr>
                <w:rFonts w:ascii="Arial" w:eastAsia="Arial" w:hAnsi="Arial" w:cs="Arial"/>
                <w:b/>
                <w:bCs/>
                <w:sz w:val="20"/>
                <w:szCs w:val="20"/>
              </w:rPr>
            </w:pPr>
            <w:r w:rsidRPr="00FF7FB4">
              <w:rPr>
                <w:rFonts w:ascii="Arial" w:eastAsia="Arial" w:hAnsi="Arial" w:cs="Arial"/>
                <w:b/>
                <w:bCs/>
                <w:sz w:val="20"/>
                <w:szCs w:val="20"/>
              </w:rPr>
              <w:t>8</w:t>
            </w:r>
          </w:p>
        </w:tc>
        <w:tc>
          <w:tcPr>
            <w:tcW w:w="1014" w:type="dxa"/>
          </w:tcPr>
          <w:p w14:paraId="142AB850"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45ED841E"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43F25DCD"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44056AE6"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1EE2C2D6"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7C5957F1"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0A8FAE57"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452007C3"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78D69A9B"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5BF6132F"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0A4ADB0D" w14:textId="77777777" w:rsidR="00526238" w:rsidRPr="00FF7FB4" w:rsidRDefault="00526238">
            <w:pPr>
              <w:spacing w:line="259" w:lineRule="auto"/>
              <w:rPr>
                <w:rFonts w:ascii="Arial" w:eastAsia="Arial" w:hAnsi="Arial" w:cs="Arial"/>
                <w:b/>
                <w:bCs/>
              </w:rPr>
            </w:pPr>
          </w:p>
        </w:tc>
      </w:tr>
      <w:tr w:rsidR="00526238" w:rsidRPr="00FF7FB4" w14:paraId="00DB4374" w14:textId="77777777">
        <w:trPr>
          <w:trHeight w:val="483"/>
        </w:trPr>
        <w:tc>
          <w:tcPr>
            <w:tcW w:w="897" w:type="dxa"/>
          </w:tcPr>
          <w:p w14:paraId="5C3FF783" w14:textId="77777777" w:rsidR="00526238" w:rsidRPr="00FF7FB4" w:rsidRDefault="00000000">
            <w:pPr>
              <w:spacing w:line="259" w:lineRule="auto"/>
              <w:rPr>
                <w:rFonts w:ascii="Arial" w:eastAsia="Arial" w:hAnsi="Arial" w:cs="Arial"/>
                <w:b/>
                <w:bCs/>
                <w:sz w:val="20"/>
                <w:szCs w:val="20"/>
              </w:rPr>
            </w:pPr>
            <w:r w:rsidRPr="00FF7FB4">
              <w:rPr>
                <w:rFonts w:ascii="Arial" w:eastAsia="Arial" w:hAnsi="Arial" w:cs="Arial"/>
                <w:b/>
                <w:bCs/>
                <w:sz w:val="20"/>
                <w:szCs w:val="20"/>
              </w:rPr>
              <w:t>9</w:t>
            </w:r>
          </w:p>
        </w:tc>
        <w:tc>
          <w:tcPr>
            <w:tcW w:w="1014" w:type="dxa"/>
          </w:tcPr>
          <w:p w14:paraId="1D075035"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3C9CBF25"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645DC9A1"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7D0D017F"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76FF676F"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3F3008BB"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30CBCE11"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15AD3DBE"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32265427"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03772381"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0C99BC58" w14:textId="77777777" w:rsidR="00526238" w:rsidRPr="00FF7FB4" w:rsidRDefault="00526238">
            <w:pPr>
              <w:spacing w:line="259" w:lineRule="auto"/>
              <w:rPr>
                <w:rFonts w:ascii="Arial" w:eastAsia="Arial" w:hAnsi="Arial" w:cs="Arial"/>
                <w:b/>
                <w:bCs/>
              </w:rPr>
            </w:pPr>
          </w:p>
        </w:tc>
      </w:tr>
      <w:tr w:rsidR="00526238" w:rsidRPr="00FF7FB4" w14:paraId="10DFD223" w14:textId="77777777">
        <w:trPr>
          <w:trHeight w:val="550"/>
        </w:trPr>
        <w:tc>
          <w:tcPr>
            <w:tcW w:w="897" w:type="dxa"/>
          </w:tcPr>
          <w:p w14:paraId="76B7778E" w14:textId="77777777" w:rsidR="00526238" w:rsidRPr="00FF7FB4" w:rsidRDefault="00000000">
            <w:pPr>
              <w:spacing w:line="259" w:lineRule="auto"/>
              <w:rPr>
                <w:rFonts w:ascii="Arial" w:eastAsia="Arial" w:hAnsi="Arial" w:cs="Arial"/>
                <w:b/>
                <w:bCs/>
                <w:sz w:val="20"/>
                <w:szCs w:val="20"/>
              </w:rPr>
            </w:pPr>
            <w:r w:rsidRPr="00FF7FB4">
              <w:rPr>
                <w:rFonts w:ascii="Arial" w:eastAsia="Arial" w:hAnsi="Arial" w:cs="Arial"/>
                <w:b/>
                <w:bCs/>
                <w:sz w:val="20"/>
                <w:szCs w:val="20"/>
              </w:rPr>
              <w:t>11</w:t>
            </w:r>
          </w:p>
        </w:tc>
        <w:tc>
          <w:tcPr>
            <w:tcW w:w="1014" w:type="dxa"/>
          </w:tcPr>
          <w:p w14:paraId="77726830"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7B13EA80"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70" w:type="dxa"/>
          </w:tcPr>
          <w:p w14:paraId="46183473"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1" w:type="dxa"/>
          </w:tcPr>
          <w:p w14:paraId="29A0F4AC"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199" w:type="dxa"/>
          </w:tcPr>
          <w:p w14:paraId="1ED73C9C"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1069" w:type="dxa"/>
          </w:tcPr>
          <w:p w14:paraId="423CE325"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619" w:type="dxa"/>
          </w:tcPr>
          <w:p w14:paraId="34E2DE4E"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96" w:type="dxa"/>
          </w:tcPr>
          <w:p w14:paraId="7E772455"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6" w:type="dxa"/>
          </w:tcPr>
          <w:p w14:paraId="3BB9D474"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585" w:type="dxa"/>
            <w:tcBorders>
              <w:right w:val="nil"/>
            </w:tcBorders>
          </w:tcPr>
          <w:p w14:paraId="63183E7B" w14:textId="77777777" w:rsidR="00526238" w:rsidRPr="00FF7FB4" w:rsidRDefault="00000000">
            <w:pPr>
              <w:spacing w:line="259" w:lineRule="auto"/>
              <w:rPr>
                <w:rFonts w:ascii="Arial" w:eastAsia="Arial" w:hAnsi="Arial" w:cs="Arial"/>
                <w:sz w:val="20"/>
                <w:szCs w:val="20"/>
              </w:rPr>
            </w:pPr>
            <w:r w:rsidRPr="00FF7FB4">
              <w:rPr>
                <w:rFonts w:ascii="Arial" w:eastAsia="Arial" w:hAnsi="Arial" w:cs="Arial"/>
                <w:sz w:val="20"/>
                <w:szCs w:val="20"/>
              </w:rPr>
              <w:t>+</w:t>
            </w:r>
            <w:proofErr w:type="spellStart"/>
            <w:r w:rsidRPr="00FF7FB4">
              <w:rPr>
                <w:rFonts w:ascii="Arial" w:eastAsia="Arial" w:hAnsi="Arial" w:cs="Arial"/>
                <w:sz w:val="20"/>
                <w:szCs w:val="20"/>
              </w:rPr>
              <w:t>ve</w:t>
            </w:r>
            <w:proofErr w:type="spellEnd"/>
          </w:p>
        </w:tc>
        <w:tc>
          <w:tcPr>
            <w:tcW w:w="250" w:type="dxa"/>
            <w:tcBorders>
              <w:left w:val="nil"/>
            </w:tcBorders>
          </w:tcPr>
          <w:p w14:paraId="3421D471" w14:textId="77777777" w:rsidR="00526238" w:rsidRPr="00FF7FB4" w:rsidRDefault="00526238">
            <w:pPr>
              <w:spacing w:line="259" w:lineRule="auto"/>
              <w:rPr>
                <w:rFonts w:ascii="Arial" w:eastAsia="Arial" w:hAnsi="Arial" w:cs="Arial"/>
                <w:b/>
                <w:bCs/>
              </w:rPr>
            </w:pPr>
          </w:p>
        </w:tc>
      </w:tr>
    </w:tbl>
    <w:p w14:paraId="758D4F72" w14:textId="77777777" w:rsidR="00526238" w:rsidRPr="00FF7FB4" w:rsidRDefault="00526238">
      <w:pPr>
        <w:rPr>
          <w:rFonts w:ascii="Arial" w:eastAsia="Arial" w:hAnsi="Arial" w:cs="Arial"/>
        </w:rPr>
      </w:pPr>
    </w:p>
    <w:p w14:paraId="492DB43C" w14:textId="77777777" w:rsidR="00526238" w:rsidRPr="00FF7FB4" w:rsidRDefault="00526238">
      <w:pPr>
        <w:rPr>
          <w:rFonts w:ascii="Arial" w:eastAsia="Arial" w:hAnsi="Arial" w:cs="Arial"/>
          <w:b/>
          <w:bCs/>
          <w:sz w:val="22"/>
          <w:szCs w:val="22"/>
        </w:rPr>
      </w:pPr>
    </w:p>
    <w:p w14:paraId="79684A52" w14:textId="77777777" w:rsidR="00526238" w:rsidRPr="00FF7FB4" w:rsidRDefault="00000000">
      <w:pPr>
        <w:rPr>
          <w:rFonts w:ascii="Arial" w:eastAsia="Arial" w:hAnsi="Arial" w:cs="Arial"/>
          <w:b/>
          <w:bCs/>
          <w:sz w:val="22"/>
          <w:szCs w:val="22"/>
        </w:rPr>
      </w:pPr>
      <w:r w:rsidRPr="00FF7FB4">
        <w:rPr>
          <w:rFonts w:ascii="Arial" w:eastAsia="Arial" w:hAnsi="Arial" w:cs="Arial"/>
          <w:b/>
          <w:bCs/>
          <w:sz w:val="22"/>
          <w:szCs w:val="22"/>
        </w:rPr>
        <w:t>3.5. Cellulolytic activity</w:t>
      </w:r>
    </w:p>
    <w:p w14:paraId="30F8148A"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lastRenderedPageBreak/>
        <w:t>Qualitative screening on CMC agar revealed cellulose hydrolysis by five of the six bacterial isolates (</w:t>
      </w:r>
      <w:r w:rsidRPr="00FF7FB4">
        <w:rPr>
          <w:rFonts w:ascii="Arial" w:eastAsia="Arial" w:hAnsi="Arial" w:cs="Arial"/>
          <w:b/>
          <w:bCs/>
          <w:sz w:val="22"/>
          <w:szCs w:val="22"/>
        </w:rPr>
        <w:t>1, 2, 8, 9, and 11</w:t>
      </w:r>
      <w:r w:rsidRPr="00FF7FB4">
        <w:rPr>
          <w:rFonts w:ascii="Arial" w:eastAsia="Arial" w:hAnsi="Arial" w:cs="Arial"/>
          <w:sz w:val="22"/>
          <w:szCs w:val="22"/>
        </w:rPr>
        <w:t>), as indicated by clear zones around the colonies following Congo red staining (Figure 2).</w:t>
      </w:r>
    </w:p>
    <w:p w14:paraId="3838C993"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 xml:space="preserve">Qualitative screening using Congo red staining is a widely accepted, rapid method for detecting cellulase-producing microorganisms (Kameshwar &amp; Qin, 2018). The cellulolytic activity exhibited by the isolates suggests that bacteria associated with </w:t>
      </w:r>
      <w:r w:rsidRPr="00FF7FB4">
        <w:rPr>
          <w:rFonts w:ascii="Arial" w:eastAsia="Arial" w:hAnsi="Arial" w:cs="Arial"/>
          <w:i/>
          <w:iCs/>
          <w:sz w:val="22"/>
          <w:szCs w:val="22"/>
        </w:rPr>
        <w:t>A. russeolus russeolus</w:t>
      </w:r>
      <w:r w:rsidRPr="00FF7FB4">
        <w:rPr>
          <w:rFonts w:ascii="Arial" w:eastAsia="Arial" w:hAnsi="Arial" w:cs="Arial"/>
          <w:sz w:val="22"/>
          <w:szCs w:val="22"/>
        </w:rPr>
        <w:t xml:space="preserve"> may be able to degrade cellulose or cellulose-derived substrates. A previous laboratory food-choice test on this mite species indicated a generalist feeding pattern; therefore, litter and plant-derived materials may form part of its diet. The presence of cellulolytic bacteria may consequently support the digestion of ingested plant material and nutrient absorption by the host. Similar roles of gut-associated microorganisms in the degradation of complex plant polymers have been reported in soil invertebrates and detritivorous arthropods (Bredon </w:t>
      </w:r>
      <w:r w:rsidRPr="00FF7FB4">
        <w:rPr>
          <w:rFonts w:ascii="Arial" w:eastAsia="Arial" w:hAnsi="Arial" w:cs="Arial"/>
          <w:i/>
          <w:iCs/>
          <w:sz w:val="22"/>
          <w:szCs w:val="22"/>
        </w:rPr>
        <w:t>et al.,</w:t>
      </w:r>
      <w:r w:rsidRPr="00FF7FB4">
        <w:rPr>
          <w:rFonts w:ascii="Arial" w:eastAsia="Arial" w:hAnsi="Arial" w:cs="Arial"/>
          <w:sz w:val="22"/>
          <w:szCs w:val="22"/>
        </w:rPr>
        <w:t xml:space="preserve"> 2018; Brune, 2014; Tláskal et al., 2016). However, the qualitative assay provides only an initial indication of cellulolytic potential, and further quantitative and culture-independent studies are required to clarify the functional significance of these bacterial associates.</w:t>
      </w:r>
    </w:p>
    <w:p w14:paraId="7599E544" w14:textId="77777777" w:rsidR="00526238" w:rsidRPr="00FF7FB4" w:rsidRDefault="00526238">
      <w:pPr>
        <w:rPr>
          <w:rFonts w:ascii="Arial" w:eastAsia="Arial" w:hAnsi="Arial" w:cs="Arial"/>
          <w:color w:val="000000"/>
          <w:sz w:val="18"/>
          <w:szCs w:val="18"/>
        </w:rPr>
      </w:pPr>
    </w:p>
    <w:p w14:paraId="2BFD4BE1" w14:textId="77777777" w:rsidR="00526238" w:rsidRPr="00FF7FB4" w:rsidRDefault="00526238">
      <w:pPr>
        <w:rPr>
          <w:rFonts w:ascii="Arial" w:eastAsia="Arial" w:hAnsi="Arial" w:cs="Arial"/>
          <w:color w:val="000000"/>
          <w:sz w:val="18"/>
          <w:szCs w:val="18"/>
        </w:rPr>
      </w:pPr>
    </w:p>
    <w:p w14:paraId="2F54B90D" w14:textId="77777777" w:rsidR="00526238" w:rsidRPr="00FF7FB4" w:rsidRDefault="00000000">
      <w:pPr>
        <w:rPr>
          <w:rFonts w:ascii="Arial" w:eastAsia="Arial" w:hAnsi="Arial" w:cs="Arial"/>
          <w:color w:val="000000"/>
          <w:sz w:val="18"/>
          <w:szCs w:val="18"/>
        </w:rPr>
      </w:pPr>
      <w:r w:rsidRPr="00FF7FB4">
        <w:rPr>
          <w:rFonts w:ascii="Arial" w:eastAsia="Arial" w:hAnsi="Arial" w:cs="Arial"/>
          <w:color w:val="000000"/>
          <w:sz w:val="18"/>
          <w:szCs w:val="18"/>
        </w:rPr>
        <w:t>Fig.2. CMC-Congo red plate showing cellulose hydrolysis by bacterial isolates</w:t>
      </w:r>
    </w:p>
    <w:p w14:paraId="604BF80B" w14:textId="77777777" w:rsidR="00526238" w:rsidRPr="00FF7FB4" w:rsidRDefault="00526238">
      <w:pPr>
        <w:rPr>
          <w:rFonts w:ascii="Arial" w:eastAsia="Arial" w:hAnsi="Arial" w:cs="Arial"/>
          <w:color w:val="000000"/>
          <w:sz w:val="18"/>
          <w:szCs w:val="18"/>
        </w:rPr>
      </w:pPr>
    </w:p>
    <w:p w14:paraId="5D77B368" w14:textId="77777777" w:rsidR="00526238" w:rsidRPr="00FF7FB4" w:rsidRDefault="00000000">
      <w:pPr>
        <w:rPr>
          <w:rFonts w:ascii="Arial" w:eastAsia="Arial" w:hAnsi="Arial" w:cs="Arial"/>
          <w:color w:val="000000"/>
          <w:sz w:val="18"/>
          <w:szCs w:val="18"/>
        </w:rPr>
      </w:pPr>
      <w:r w:rsidRPr="00FF7FB4">
        <w:rPr>
          <w:rFonts w:ascii="Times New Roman" w:eastAsia="Times New Roman" w:hAnsi="Times New Roman" w:cs="Times New Roman"/>
          <w:noProof/>
          <w:color w:val="000000"/>
          <w:sz w:val="24"/>
          <w:szCs w:val="24"/>
        </w:rPr>
        <w:drawing>
          <wp:inline distT="0" distB="0" distL="0" distR="0" wp14:anchorId="367E4996" wp14:editId="25D9D07E">
            <wp:extent cx="1987550" cy="1987550"/>
            <wp:effectExtent l="9525" t="9525" r="9525" b="9525"/>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a:stretch>
                      <a:fillRect/>
                    </a:stretch>
                  </pic:blipFill>
                  <pic:spPr>
                    <a:xfrm>
                      <a:off x="0" y="0"/>
                      <a:ext cx="1987550" cy="1987550"/>
                    </a:xfrm>
                    <a:prstGeom prst="rect">
                      <a:avLst/>
                    </a:prstGeom>
                    <a:ln w="9525">
                      <a:solidFill>
                        <a:srgbClr val="000000"/>
                      </a:solidFill>
                      <a:prstDash val="solid"/>
                    </a:ln>
                  </pic:spPr>
                </pic:pic>
              </a:graphicData>
            </a:graphic>
          </wp:inline>
        </w:drawing>
      </w:r>
    </w:p>
    <w:p w14:paraId="542A8ED2" w14:textId="77777777" w:rsidR="00526238" w:rsidRPr="00FF7FB4" w:rsidRDefault="00526238">
      <w:pPr>
        <w:rPr>
          <w:rFonts w:ascii="Arial" w:eastAsia="Arial" w:hAnsi="Arial" w:cs="Arial"/>
        </w:rPr>
      </w:pPr>
    </w:p>
    <w:p w14:paraId="7FB5F9A8" w14:textId="77777777" w:rsidR="00526238" w:rsidRPr="00FF7FB4" w:rsidRDefault="00526238">
      <w:pPr>
        <w:rPr>
          <w:rFonts w:ascii="Arial" w:eastAsia="Arial" w:hAnsi="Arial" w:cs="Arial"/>
        </w:rPr>
      </w:pPr>
    </w:p>
    <w:p w14:paraId="0337AD67" w14:textId="77777777" w:rsidR="00526238" w:rsidRPr="00FF7FB4" w:rsidRDefault="00000000">
      <w:pPr>
        <w:rPr>
          <w:rFonts w:ascii="Arial" w:eastAsia="Arial" w:hAnsi="Arial" w:cs="Arial"/>
          <w:b/>
          <w:bCs/>
          <w:sz w:val="22"/>
          <w:szCs w:val="22"/>
        </w:rPr>
      </w:pPr>
      <w:r w:rsidRPr="00FF7FB4">
        <w:rPr>
          <w:rFonts w:ascii="Arial" w:eastAsia="Arial" w:hAnsi="Arial" w:cs="Arial"/>
          <w:b/>
          <w:bCs/>
          <w:sz w:val="22"/>
          <w:szCs w:val="22"/>
        </w:rPr>
        <w:t>3.6. Molecular characterisation</w:t>
      </w:r>
    </w:p>
    <w:p w14:paraId="0A03F634"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 xml:space="preserve">Among the six isolates, DNA was successfully extracted from only three, and PCR amplification produced a clear single band for each isolate. Sequencing of the 16S rRNA gene yielded good-quality sequences of 700–900 bp for the three isolates. BLAST analysis showed high similarity to known bacterial taxa without ambiguous or conflicting assignments. Each biochemically distinct isolate matched a different taxon. Isolate </w:t>
      </w:r>
      <w:r w:rsidRPr="00FF7FB4">
        <w:rPr>
          <w:rFonts w:ascii="Arial" w:eastAsia="Arial" w:hAnsi="Arial" w:cs="Arial"/>
          <w:b/>
          <w:bCs/>
          <w:sz w:val="22"/>
          <w:szCs w:val="22"/>
        </w:rPr>
        <w:t>8</w:t>
      </w:r>
      <w:r w:rsidRPr="00FF7FB4">
        <w:rPr>
          <w:rFonts w:ascii="Arial" w:eastAsia="Arial" w:hAnsi="Arial" w:cs="Arial"/>
          <w:sz w:val="22"/>
          <w:szCs w:val="22"/>
        </w:rPr>
        <w:t xml:space="preserve"> matched </w:t>
      </w:r>
      <w:r w:rsidRPr="00FF7FB4">
        <w:rPr>
          <w:rFonts w:ascii="Arial" w:eastAsia="Arial" w:hAnsi="Arial" w:cs="Arial"/>
          <w:b/>
          <w:bCs/>
          <w:i/>
          <w:iCs/>
          <w:sz w:val="22"/>
          <w:szCs w:val="22"/>
        </w:rPr>
        <w:t>Priestia megaterium</w:t>
      </w:r>
      <w:r w:rsidRPr="00FF7FB4">
        <w:rPr>
          <w:rFonts w:ascii="Arial" w:eastAsia="Arial" w:hAnsi="Arial" w:cs="Arial"/>
          <w:sz w:val="22"/>
          <w:szCs w:val="22"/>
        </w:rPr>
        <w:t xml:space="preserve"> (formerly </w:t>
      </w:r>
      <w:r w:rsidRPr="00FF7FB4">
        <w:rPr>
          <w:rFonts w:ascii="Arial" w:eastAsia="Arial" w:hAnsi="Arial" w:cs="Arial"/>
          <w:i/>
          <w:iCs/>
          <w:sz w:val="22"/>
          <w:szCs w:val="22"/>
        </w:rPr>
        <w:t>Bacillus megaterium</w:t>
      </w:r>
      <w:r w:rsidRPr="00FF7FB4">
        <w:rPr>
          <w:rFonts w:ascii="Arial" w:eastAsia="Arial" w:hAnsi="Arial" w:cs="Arial"/>
          <w:sz w:val="22"/>
          <w:szCs w:val="22"/>
        </w:rPr>
        <w:t xml:space="preserve">), with approximately 99% query coverage and a top alignment to reference sequence MZ424518.1. Isolate </w:t>
      </w:r>
      <w:r w:rsidRPr="00FF7FB4">
        <w:rPr>
          <w:rFonts w:ascii="Arial" w:eastAsia="Arial" w:hAnsi="Arial" w:cs="Arial"/>
          <w:b/>
          <w:bCs/>
          <w:sz w:val="22"/>
          <w:szCs w:val="22"/>
        </w:rPr>
        <w:t>9</w:t>
      </w:r>
      <w:r w:rsidRPr="00FF7FB4">
        <w:rPr>
          <w:rFonts w:ascii="Arial" w:eastAsia="Arial" w:hAnsi="Arial" w:cs="Arial"/>
          <w:sz w:val="22"/>
          <w:szCs w:val="22"/>
        </w:rPr>
        <w:t xml:space="preserve"> showed a top BLAST match with </w:t>
      </w:r>
      <w:r w:rsidRPr="00FF7FB4">
        <w:rPr>
          <w:rFonts w:ascii="Arial" w:eastAsia="Arial" w:hAnsi="Arial" w:cs="Arial"/>
          <w:b/>
          <w:bCs/>
          <w:i/>
          <w:iCs/>
          <w:sz w:val="22"/>
          <w:szCs w:val="22"/>
        </w:rPr>
        <w:t>Pantoea dispersa</w:t>
      </w:r>
      <w:r w:rsidRPr="00FF7FB4">
        <w:rPr>
          <w:rFonts w:ascii="Arial" w:eastAsia="Arial" w:hAnsi="Arial" w:cs="Arial"/>
          <w:b/>
          <w:bCs/>
          <w:sz w:val="22"/>
          <w:szCs w:val="22"/>
        </w:rPr>
        <w:t xml:space="preserve">, </w:t>
      </w:r>
      <w:r w:rsidRPr="00FF7FB4">
        <w:rPr>
          <w:rFonts w:ascii="Arial" w:eastAsia="Arial" w:hAnsi="Arial" w:cs="Arial"/>
          <w:sz w:val="22"/>
          <w:szCs w:val="22"/>
        </w:rPr>
        <w:t xml:space="preserve">with 100% query coverage and top alignments to reference sequences MN428681.1 and MZ768656.1. Isolate </w:t>
      </w:r>
      <w:r w:rsidRPr="00FF7FB4">
        <w:rPr>
          <w:rFonts w:ascii="Arial" w:eastAsia="Arial" w:hAnsi="Arial" w:cs="Arial"/>
          <w:b/>
          <w:bCs/>
          <w:sz w:val="22"/>
          <w:szCs w:val="22"/>
        </w:rPr>
        <w:t>11</w:t>
      </w:r>
      <w:r w:rsidRPr="00FF7FB4">
        <w:rPr>
          <w:rFonts w:ascii="Arial" w:eastAsia="Arial" w:hAnsi="Arial" w:cs="Arial"/>
          <w:sz w:val="22"/>
          <w:szCs w:val="22"/>
        </w:rPr>
        <w:t xml:space="preserve"> corresponded to the </w:t>
      </w:r>
      <w:r w:rsidRPr="00FF7FB4">
        <w:rPr>
          <w:rFonts w:ascii="Arial" w:eastAsia="Arial" w:hAnsi="Arial" w:cs="Arial"/>
          <w:b/>
          <w:bCs/>
          <w:i/>
          <w:iCs/>
          <w:sz w:val="22"/>
          <w:szCs w:val="22"/>
        </w:rPr>
        <w:t>Bacillus cereus</w:t>
      </w:r>
      <w:r w:rsidRPr="00FF7FB4">
        <w:rPr>
          <w:rFonts w:ascii="Arial" w:eastAsia="Arial" w:hAnsi="Arial" w:cs="Arial"/>
          <w:sz w:val="22"/>
          <w:szCs w:val="22"/>
        </w:rPr>
        <w:t xml:space="preserve"> group, with 100% query coverage and top alignments to reference sequences CP044978.1 and OQ40573.1. Thus, molecular analysis of the </w:t>
      </w:r>
      <w:r w:rsidRPr="00FF7FB4">
        <w:rPr>
          <w:rFonts w:ascii="Arial" w:eastAsia="Arial" w:hAnsi="Arial" w:cs="Arial"/>
          <w:i/>
          <w:iCs/>
          <w:sz w:val="22"/>
          <w:szCs w:val="22"/>
        </w:rPr>
        <w:t>A. russeolus russeolus</w:t>
      </w:r>
      <w:r w:rsidRPr="00FF7FB4">
        <w:rPr>
          <w:rFonts w:ascii="Arial" w:eastAsia="Arial" w:hAnsi="Arial" w:cs="Arial"/>
          <w:sz w:val="22"/>
          <w:szCs w:val="22"/>
        </w:rPr>
        <w:t xml:space="preserve"> homogenate confirmed the presence of three distinct cultivable bacterial taxa.</w:t>
      </w:r>
    </w:p>
    <w:p w14:paraId="5508DBB2"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The recovery of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species from oribatid mites is consistent with previous culture-dependent studies. Wolf and Rockett (1984) isolated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from the alimentary canals of </w:t>
      </w:r>
      <w:r w:rsidRPr="00FF7FB4">
        <w:rPr>
          <w:rFonts w:ascii="Arial" w:eastAsia="Arial" w:hAnsi="Arial" w:cs="Arial"/>
          <w:i/>
          <w:iCs/>
          <w:color w:val="000000"/>
          <w:sz w:val="22"/>
          <w:szCs w:val="22"/>
        </w:rPr>
        <w:t>Rhysotritia</w:t>
      </w:r>
      <w:r w:rsidRPr="00FF7FB4">
        <w:rPr>
          <w:rFonts w:ascii="Arial" w:eastAsia="Arial" w:hAnsi="Arial" w:cs="Arial"/>
          <w:color w:val="000000"/>
          <w:sz w:val="22"/>
          <w:szCs w:val="22"/>
        </w:rPr>
        <w:t xml:space="preserve"> sp. and </w:t>
      </w:r>
      <w:r w:rsidRPr="00FF7FB4">
        <w:rPr>
          <w:rFonts w:ascii="Arial" w:eastAsia="Arial" w:hAnsi="Arial" w:cs="Arial"/>
          <w:i/>
          <w:iCs/>
          <w:color w:val="000000"/>
          <w:sz w:val="22"/>
          <w:szCs w:val="22"/>
        </w:rPr>
        <w:t>Pergalumna</w:t>
      </w:r>
      <w:r w:rsidRPr="00FF7FB4">
        <w:rPr>
          <w:rFonts w:ascii="Arial" w:eastAsia="Arial" w:hAnsi="Arial" w:cs="Arial"/>
          <w:color w:val="000000"/>
          <w:sz w:val="22"/>
          <w:szCs w:val="22"/>
        </w:rPr>
        <w:t xml:space="preserve"> sp., where it was among the most frequently recovered genera across different habitats. Seniczak</w:t>
      </w:r>
      <w:r w:rsidRPr="00FF7FB4">
        <w:rPr>
          <w:rFonts w:ascii="Arial" w:eastAsia="Arial" w:hAnsi="Arial" w:cs="Arial"/>
          <w:i/>
          <w:iCs/>
          <w:color w:val="000000"/>
          <w:sz w:val="22"/>
          <w:szCs w:val="22"/>
        </w:rPr>
        <w:t xml:space="preserve"> et al</w:t>
      </w:r>
      <w:r w:rsidRPr="00FF7FB4">
        <w:rPr>
          <w:rFonts w:ascii="Arial" w:eastAsia="Arial" w:hAnsi="Arial" w:cs="Arial"/>
          <w:color w:val="000000"/>
          <w:sz w:val="22"/>
          <w:szCs w:val="22"/>
        </w:rPr>
        <w:t xml:space="preserve">. (2016) similarly reported that Gram-positive bacilli, predominantly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constituted the largest proportion of bacteria isolated from the gut of </w:t>
      </w:r>
      <w:r w:rsidRPr="00FF7FB4">
        <w:rPr>
          <w:rFonts w:ascii="Arial" w:eastAsia="Arial" w:hAnsi="Arial" w:cs="Arial"/>
          <w:i/>
          <w:iCs/>
          <w:color w:val="000000"/>
          <w:sz w:val="22"/>
          <w:szCs w:val="22"/>
        </w:rPr>
        <w:t>Archegozetes longisetosus</w:t>
      </w:r>
      <w:r w:rsidRPr="00FF7FB4">
        <w:rPr>
          <w:rFonts w:ascii="Arial" w:eastAsia="Arial" w:hAnsi="Arial" w:cs="Arial"/>
          <w:color w:val="000000"/>
          <w:sz w:val="22"/>
          <w:szCs w:val="22"/>
        </w:rPr>
        <w:t xml:space="preserve">.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has also been identified among cultivable bacterial associates of other soil mesofauna (Liu </w:t>
      </w:r>
      <w:r w:rsidRPr="00FF7FB4">
        <w:rPr>
          <w:rFonts w:ascii="Arial" w:eastAsia="Arial" w:hAnsi="Arial" w:cs="Arial"/>
          <w:i/>
          <w:iCs/>
          <w:color w:val="000000"/>
          <w:sz w:val="22"/>
          <w:szCs w:val="22"/>
        </w:rPr>
        <w:t>et al</w:t>
      </w:r>
      <w:r w:rsidRPr="00FF7FB4">
        <w:rPr>
          <w:rFonts w:ascii="Arial" w:eastAsia="Arial" w:hAnsi="Arial" w:cs="Arial"/>
          <w:color w:val="000000"/>
          <w:sz w:val="22"/>
          <w:szCs w:val="22"/>
        </w:rPr>
        <w:t xml:space="preserve">., 2025). Erban et al. (2016) detected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among the most frequent and abundant bacterial sequences across multiple mite populations, indicating that it may be a recurrent component of mite-associated microbiomes. Chen and Chen (2025) further identified </w:t>
      </w:r>
      <w:r w:rsidRPr="00FF7FB4">
        <w:rPr>
          <w:rFonts w:ascii="Arial" w:eastAsia="Arial" w:hAnsi="Arial" w:cs="Arial"/>
          <w:i/>
          <w:iCs/>
          <w:color w:val="000000"/>
          <w:sz w:val="22"/>
          <w:szCs w:val="22"/>
        </w:rPr>
        <w:t>Bacillus</w:t>
      </w:r>
      <w:r w:rsidRPr="00FF7FB4">
        <w:rPr>
          <w:rFonts w:ascii="Arial" w:eastAsia="Arial" w:hAnsi="Arial" w:cs="Arial"/>
          <w:color w:val="000000"/>
          <w:sz w:val="22"/>
          <w:szCs w:val="22"/>
        </w:rPr>
        <w:t xml:space="preserve"> as a core genus in the internal bacterial communities of the oribatid mite </w:t>
      </w:r>
      <w:r w:rsidRPr="00FF7FB4">
        <w:rPr>
          <w:rFonts w:ascii="Arial" w:eastAsia="Arial" w:hAnsi="Arial" w:cs="Arial"/>
          <w:i/>
          <w:iCs/>
          <w:color w:val="000000"/>
          <w:sz w:val="22"/>
          <w:szCs w:val="22"/>
        </w:rPr>
        <w:t>Eremobelba eharai</w:t>
      </w:r>
      <w:r w:rsidRPr="00FF7FB4">
        <w:rPr>
          <w:rFonts w:ascii="Arial" w:eastAsia="Arial" w:hAnsi="Arial" w:cs="Arial"/>
          <w:color w:val="000000"/>
          <w:sz w:val="22"/>
          <w:szCs w:val="22"/>
        </w:rPr>
        <w:t xml:space="preserve"> across all five examined life stages.</w:t>
      </w:r>
    </w:p>
    <w:p w14:paraId="4FE10BFA"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 xml:space="preserve">The identification of </w:t>
      </w:r>
      <w:r w:rsidRPr="00FF7FB4">
        <w:rPr>
          <w:rFonts w:ascii="Arial" w:eastAsia="Arial" w:hAnsi="Arial" w:cs="Arial"/>
          <w:i/>
          <w:iCs/>
          <w:color w:val="000000"/>
          <w:sz w:val="22"/>
          <w:szCs w:val="22"/>
        </w:rPr>
        <w:t>Pantoea dispersa</w:t>
      </w:r>
      <w:r w:rsidRPr="00FF7FB4">
        <w:rPr>
          <w:rFonts w:ascii="Arial" w:eastAsia="Arial" w:hAnsi="Arial" w:cs="Arial"/>
          <w:color w:val="000000"/>
          <w:sz w:val="22"/>
          <w:szCs w:val="22"/>
        </w:rPr>
        <w:t xml:space="preserve"> in an oribatid mite is noteworthy. Although </w:t>
      </w:r>
      <w:r w:rsidRPr="00FF7FB4">
        <w:rPr>
          <w:rFonts w:ascii="Arial" w:eastAsia="Arial" w:hAnsi="Arial" w:cs="Arial"/>
          <w:i/>
          <w:iCs/>
          <w:color w:val="000000"/>
          <w:sz w:val="22"/>
          <w:szCs w:val="22"/>
        </w:rPr>
        <w:t>Pantoea</w:t>
      </w:r>
      <w:r w:rsidRPr="00FF7FB4">
        <w:rPr>
          <w:rFonts w:ascii="Arial" w:eastAsia="Arial" w:hAnsi="Arial" w:cs="Arial"/>
          <w:color w:val="000000"/>
          <w:sz w:val="22"/>
          <w:szCs w:val="22"/>
        </w:rPr>
        <w:t xml:space="preserve"> has been less commonly reported specifically from oribatid mites, </w:t>
      </w:r>
      <w:r w:rsidRPr="00FF7FB4">
        <w:rPr>
          <w:rFonts w:ascii="Arial" w:eastAsia="Arial" w:hAnsi="Arial" w:cs="Arial"/>
          <w:i/>
          <w:iCs/>
          <w:color w:val="000000"/>
          <w:sz w:val="22"/>
          <w:szCs w:val="22"/>
        </w:rPr>
        <w:t>Pantoea vagans</w:t>
      </w:r>
      <w:r w:rsidRPr="00FF7FB4">
        <w:rPr>
          <w:rFonts w:ascii="Arial" w:eastAsia="Arial" w:hAnsi="Arial" w:cs="Arial"/>
          <w:color w:val="000000"/>
          <w:sz w:val="22"/>
          <w:szCs w:val="22"/>
        </w:rPr>
        <w:t xml:space="preserve"> has been detected in the microbiome of </w:t>
      </w:r>
      <w:r w:rsidRPr="00FF7FB4">
        <w:rPr>
          <w:rFonts w:ascii="Arial" w:eastAsia="Arial" w:hAnsi="Arial" w:cs="Arial"/>
          <w:i/>
          <w:iCs/>
          <w:color w:val="000000"/>
          <w:sz w:val="22"/>
          <w:szCs w:val="22"/>
        </w:rPr>
        <w:t>Tyrophagus putrescentiae</w:t>
      </w:r>
      <w:r w:rsidRPr="00FF7FB4">
        <w:rPr>
          <w:rFonts w:ascii="Arial" w:eastAsia="Arial" w:hAnsi="Arial" w:cs="Arial"/>
          <w:color w:val="000000"/>
          <w:sz w:val="22"/>
          <w:szCs w:val="22"/>
        </w:rPr>
        <w:t xml:space="preserve">, where its occurrence varied following dietary perturbation (Erban et al., 2017). </w:t>
      </w:r>
      <w:r w:rsidRPr="00FF7FB4">
        <w:rPr>
          <w:rFonts w:ascii="Arial" w:eastAsia="Arial" w:hAnsi="Arial" w:cs="Arial"/>
          <w:i/>
          <w:iCs/>
          <w:color w:val="000000"/>
          <w:sz w:val="22"/>
          <w:szCs w:val="22"/>
        </w:rPr>
        <w:lastRenderedPageBreak/>
        <w:t>Pantoea dispersa</w:t>
      </w:r>
      <w:r w:rsidRPr="00FF7FB4">
        <w:rPr>
          <w:rFonts w:ascii="Arial" w:eastAsia="Arial" w:hAnsi="Arial" w:cs="Arial"/>
          <w:color w:val="000000"/>
          <w:sz w:val="22"/>
          <w:szCs w:val="22"/>
        </w:rPr>
        <w:t xml:space="preserve"> belongs to a versatile bacterial genus with documented roles as plant-associated bacteria, biocontrol agents, and enzyme producers (Walterson &amp; Stavrinides, 2015).</w:t>
      </w:r>
    </w:p>
    <w:p w14:paraId="07955BF4" w14:textId="77777777" w:rsidR="00526238" w:rsidRPr="00FF7FB4" w:rsidRDefault="00000000">
      <w:pPr>
        <w:keepNext/>
        <w:pBdr>
          <w:top w:val="nil"/>
          <w:left w:val="nil"/>
          <w:bottom w:val="nil"/>
          <w:right w:val="nil"/>
          <w:between w:val="nil"/>
        </w:pBdr>
        <w:rPr>
          <w:rFonts w:ascii="Arial" w:eastAsia="Arial" w:hAnsi="Arial" w:cs="Arial"/>
          <w:sz w:val="22"/>
          <w:szCs w:val="22"/>
        </w:rPr>
      </w:pPr>
      <w:r w:rsidRPr="00FF7FB4">
        <w:rPr>
          <w:rFonts w:ascii="Arial" w:eastAsia="Arial" w:hAnsi="Arial" w:cs="Arial"/>
          <w:i/>
          <w:iCs/>
          <w:sz w:val="22"/>
          <w:szCs w:val="22"/>
        </w:rPr>
        <w:t>P</w:t>
      </w:r>
      <w:r w:rsidRPr="00FF7FB4">
        <w:rPr>
          <w:rFonts w:ascii="Arial" w:eastAsia="Arial" w:hAnsi="Arial" w:cs="Arial"/>
          <w:i/>
          <w:iCs/>
          <w:color w:val="000000"/>
          <w:sz w:val="22"/>
          <w:szCs w:val="22"/>
        </w:rPr>
        <w:t>riestia megaterium</w:t>
      </w:r>
      <w:r w:rsidRPr="00FF7FB4">
        <w:rPr>
          <w:rFonts w:ascii="Arial" w:eastAsia="Arial" w:hAnsi="Arial" w:cs="Arial"/>
          <w:color w:val="000000"/>
          <w:sz w:val="22"/>
          <w:szCs w:val="22"/>
        </w:rPr>
        <w:t xml:space="preserve"> (formerly classified as </w:t>
      </w:r>
      <w:r w:rsidRPr="00FF7FB4">
        <w:rPr>
          <w:rFonts w:ascii="Arial" w:eastAsia="Arial" w:hAnsi="Arial" w:cs="Arial"/>
          <w:i/>
          <w:iCs/>
          <w:color w:val="000000"/>
          <w:sz w:val="22"/>
          <w:szCs w:val="22"/>
        </w:rPr>
        <w:t>Bacillus megaterium</w:t>
      </w:r>
      <w:r w:rsidRPr="00FF7FB4">
        <w:rPr>
          <w:rFonts w:ascii="Arial" w:eastAsia="Arial" w:hAnsi="Arial" w:cs="Arial"/>
          <w:color w:val="000000"/>
          <w:sz w:val="22"/>
          <w:szCs w:val="22"/>
        </w:rPr>
        <w:t xml:space="preserve">) is a well-characterised soil bacterium with diverse enzymatic capabilities. The recovery of </w:t>
      </w:r>
      <w:r w:rsidRPr="00FF7FB4">
        <w:rPr>
          <w:rFonts w:ascii="Arial" w:eastAsia="Arial" w:hAnsi="Arial" w:cs="Arial"/>
          <w:i/>
          <w:iCs/>
          <w:color w:val="000000"/>
          <w:sz w:val="22"/>
          <w:szCs w:val="22"/>
        </w:rPr>
        <w:t>P. megaterium</w:t>
      </w:r>
      <w:r w:rsidRPr="00FF7FB4">
        <w:rPr>
          <w:rFonts w:ascii="Arial" w:eastAsia="Arial" w:hAnsi="Arial" w:cs="Arial"/>
          <w:color w:val="000000"/>
          <w:sz w:val="22"/>
          <w:szCs w:val="22"/>
        </w:rPr>
        <w:t xml:space="preserve"> from oribatid mites is ecologically plausible because this organism is widespread in soil environments in which oribatid mites are abundant (</w:t>
      </w:r>
      <w:r w:rsidRPr="00FF7FB4">
        <w:rPr>
          <w:rFonts w:ascii="Arial" w:eastAsia="Arial" w:hAnsi="Arial" w:cs="Arial"/>
          <w:sz w:val="22"/>
          <w:szCs w:val="22"/>
        </w:rPr>
        <w:t xml:space="preserve">Dobrzyński </w:t>
      </w:r>
      <w:r w:rsidRPr="00FF7FB4">
        <w:rPr>
          <w:rFonts w:ascii="Arial" w:eastAsia="Arial" w:hAnsi="Arial" w:cs="Arial"/>
          <w:i/>
          <w:iCs/>
          <w:sz w:val="22"/>
          <w:szCs w:val="22"/>
        </w:rPr>
        <w:t>et al</w:t>
      </w:r>
      <w:r w:rsidRPr="00FF7FB4">
        <w:rPr>
          <w:rFonts w:ascii="Arial" w:eastAsia="Arial" w:hAnsi="Arial" w:cs="Arial"/>
          <w:sz w:val="22"/>
          <w:szCs w:val="22"/>
        </w:rPr>
        <w:t>., 2023</w:t>
      </w:r>
      <w:r w:rsidRPr="00FF7FB4">
        <w:rPr>
          <w:rFonts w:ascii="Arial" w:eastAsia="Arial" w:hAnsi="Arial" w:cs="Arial"/>
          <w:color w:val="000000"/>
          <w:sz w:val="22"/>
          <w:szCs w:val="22"/>
        </w:rPr>
        <w:t>). Many oribatid species feed on decaying plant material, fungi, algae, and detritus, which contain cellulose as a major structural polysaccharide. The presence of cellulolytic bacteria in mite homogenates therefore has potential relevance to the digestion of cellulosic substrates in the mite diet.</w:t>
      </w:r>
    </w:p>
    <w:p w14:paraId="07F542DC" w14:textId="77777777" w:rsidR="00526238" w:rsidRPr="00FF7FB4" w:rsidRDefault="00000000">
      <w:pPr>
        <w:keepNext/>
        <w:pBdr>
          <w:top w:val="nil"/>
          <w:left w:val="nil"/>
          <w:bottom w:val="nil"/>
          <w:right w:val="nil"/>
          <w:between w:val="nil"/>
        </w:pBdr>
        <w:rPr>
          <w:rFonts w:ascii="Arial" w:eastAsia="Arial" w:hAnsi="Arial" w:cs="Arial"/>
          <w:color w:val="000000"/>
          <w:sz w:val="22"/>
          <w:szCs w:val="22"/>
        </w:rPr>
      </w:pPr>
      <w:r w:rsidRPr="00FF7FB4">
        <w:rPr>
          <w:rFonts w:ascii="Arial" w:eastAsia="Arial" w:hAnsi="Arial" w:cs="Arial"/>
          <w:color w:val="000000"/>
          <w:sz w:val="22"/>
          <w:szCs w:val="22"/>
        </w:rPr>
        <w:t>Molecular characterisation was limited to three successfully sequenced representative isolates. Because the sequences were generated solely for species confirmation, they were not submitted to GenBank. Future studies should include additional sequencing and public deposition of sequence data.</w:t>
      </w:r>
    </w:p>
    <w:p w14:paraId="6712B3A2" w14:textId="77777777" w:rsidR="00526238" w:rsidRPr="00FF7FB4" w:rsidRDefault="00526238">
      <w:pPr>
        <w:keepNext/>
        <w:pBdr>
          <w:top w:val="nil"/>
          <w:left w:val="nil"/>
          <w:bottom w:val="nil"/>
          <w:right w:val="nil"/>
          <w:between w:val="nil"/>
        </w:pBdr>
        <w:rPr>
          <w:rFonts w:ascii="Arial" w:eastAsia="Arial" w:hAnsi="Arial" w:cs="Arial"/>
          <w:i/>
          <w:iCs/>
          <w:smallCaps/>
          <w:color w:val="000000"/>
          <w:sz w:val="22"/>
          <w:szCs w:val="22"/>
        </w:rPr>
      </w:pPr>
    </w:p>
    <w:p w14:paraId="53823327" w14:textId="77777777" w:rsidR="00526238" w:rsidRPr="00FF7FB4" w:rsidRDefault="00000000">
      <w:pPr>
        <w:spacing w:before="280" w:after="280"/>
        <w:rPr>
          <w:rFonts w:ascii="Arial" w:eastAsia="Arial" w:hAnsi="Arial" w:cs="Arial"/>
          <w:b/>
          <w:bCs/>
          <w:sz w:val="22"/>
          <w:szCs w:val="22"/>
        </w:rPr>
      </w:pPr>
      <w:r w:rsidRPr="00FF7FB4">
        <w:rPr>
          <w:rFonts w:ascii="Arial" w:eastAsia="Arial" w:hAnsi="Arial" w:cs="Arial"/>
          <w:b/>
          <w:bCs/>
          <w:smallCaps/>
          <w:color w:val="000000"/>
          <w:sz w:val="22"/>
          <w:szCs w:val="22"/>
        </w:rPr>
        <w:t xml:space="preserve">4. </w:t>
      </w:r>
      <w:r w:rsidRPr="00FF7FB4">
        <w:rPr>
          <w:rFonts w:ascii="Arial" w:eastAsia="Arial" w:hAnsi="Arial" w:cs="Arial"/>
          <w:b/>
          <w:bCs/>
          <w:sz w:val="22"/>
          <w:szCs w:val="22"/>
        </w:rPr>
        <w:t>Conclusion</w:t>
      </w:r>
    </w:p>
    <w:p w14:paraId="618D1D59" w14:textId="77777777" w:rsidR="008E0C32" w:rsidRDefault="008E0C32" w:rsidP="008E0C32">
      <w:pPr>
        <w:pStyle w:val="pdq2pgselectionanchorcontainer"/>
      </w:pPr>
      <w:r>
        <w:t>Six morphologically distinct cultivable bacterial isolates were recovered from pooled, surface-</w:t>
      </w:r>
      <w:proofErr w:type="spellStart"/>
      <w:r>
        <w:t>sterilised</w:t>
      </w:r>
      <w:proofErr w:type="spellEnd"/>
      <w:r>
        <w:t xml:space="preserve"> adults of </w:t>
      </w:r>
      <w:proofErr w:type="spellStart"/>
      <w:r>
        <w:rPr>
          <w:rStyle w:val="Emphasis"/>
        </w:rPr>
        <w:t>Allonothrus</w:t>
      </w:r>
      <w:proofErr w:type="spellEnd"/>
      <w:r>
        <w:rPr>
          <w:rStyle w:val="Emphasis"/>
        </w:rPr>
        <w:t xml:space="preserve"> </w:t>
      </w:r>
      <w:proofErr w:type="spellStart"/>
      <w:r>
        <w:rPr>
          <w:rStyle w:val="Emphasis"/>
        </w:rPr>
        <w:t>russeolus</w:t>
      </w:r>
      <w:proofErr w:type="spellEnd"/>
      <w:r>
        <w:rPr>
          <w:rStyle w:val="Emphasis"/>
        </w:rPr>
        <w:t xml:space="preserve"> </w:t>
      </w:r>
      <w:proofErr w:type="spellStart"/>
      <w:r>
        <w:rPr>
          <w:rStyle w:val="Emphasis"/>
        </w:rPr>
        <w:t>russeolus</w:t>
      </w:r>
      <w:proofErr w:type="spellEnd"/>
      <w:r>
        <w:t xml:space="preserve">. Four isolates were Gram-positive rods, two were Gram-negative rods, and their biochemical profiles varied across the tests performed. Five isolates produced clear zones on carboxymethyl cellulose agar after Congo red staining, indicating qualitative cellulolytic activity. Partial 16S rRNA gene sequencing identified three isolates as </w:t>
      </w:r>
      <w:proofErr w:type="spellStart"/>
      <w:r>
        <w:rPr>
          <w:rStyle w:val="Emphasis"/>
        </w:rPr>
        <w:t>Priestia</w:t>
      </w:r>
      <w:proofErr w:type="spellEnd"/>
      <w:r>
        <w:rPr>
          <w:rStyle w:val="Emphasis"/>
        </w:rPr>
        <w:t xml:space="preserve"> megaterium</w:t>
      </w:r>
      <w:r>
        <w:t xml:space="preserve">, </w:t>
      </w:r>
      <w:proofErr w:type="spellStart"/>
      <w:r>
        <w:rPr>
          <w:rStyle w:val="Emphasis"/>
        </w:rPr>
        <w:t>Pantoea</w:t>
      </w:r>
      <w:proofErr w:type="spellEnd"/>
      <w:r>
        <w:rPr>
          <w:rStyle w:val="Emphasis"/>
        </w:rPr>
        <w:t xml:space="preserve"> </w:t>
      </w:r>
      <w:proofErr w:type="spellStart"/>
      <w:r>
        <w:rPr>
          <w:rStyle w:val="Emphasis"/>
        </w:rPr>
        <w:t>dispersa</w:t>
      </w:r>
      <w:proofErr w:type="spellEnd"/>
      <w:r>
        <w:t xml:space="preserve">, and a member of the </w:t>
      </w:r>
      <w:r>
        <w:rPr>
          <w:rStyle w:val="Emphasis"/>
        </w:rPr>
        <w:t>Bacillus cereus</w:t>
      </w:r>
      <w:r>
        <w:t xml:space="preserve"> group. These findings provide preliminary culture-based evidence of cellulolytic bacteria associated with this oribatid mite under the experimental conditions used. However, analysis of whole-mite homogenates does not confirm that the isolates are stable gut residents or that they contribute directly to cellulose digestion in the host or decomposition in natural soil. The study therefore establishes baseline information for further replicated investigations using dissected guts, appropriate contamination controls, quantitative cellulase assays, broader culture conditions, culture-independent microbial profiling, and public deposition of sequence data.</w:t>
      </w:r>
    </w:p>
    <w:p w14:paraId="7877AD1D" w14:textId="77777777" w:rsidR="00526238" w:rsidRPr="00FF7FB4" w:rsidRDefault="00000000">
      <w:pPr>
        <w:spacing w:before="280" w:after="280"/>
        <w:jc w:val="left"/>
        <w:rPr>
          <w:rFonts w:ascii="Arial" w:eastAsia="Arial" w:hAnsi="Arial" w:cs="Arial"/>
          <w:b/>
          <w:bCs/>
          <w:sz w:val="22"/>
          <w:szCs w:val="22"/>
        </w:rPr>
      </w:pPr>
      <w:r w:rsidRPr="00FF7FB4">
        <w:rPr>
          <w:rFonts w:ascii="Arial" w:eastAsia="Arial" w:hAnsi="Arial" w:cs="Arial"/>
          <w:b/>
          <w:bCs/>
          <w:sz w:val="22"/>
          <w:szCs w:val="22"/>
        </w:rPr>
        <w:t>Limitations</w:t>
      </w:r>
    </w:p>
    <w:p w14:paraId="3618C54A" w14:textId="77777777" w:rsidR="00A517D4" w:rsidRDefault="00A517D4">
      <w:pPr>
        <w:jc w:val="left"/>
      </w:pPr>
      <w:r>
        <w:t>This study was limited to a single pooled sample of adult mites and culture-dependent bacterial isolation under one incubation condition. Cellulolytic activity was evaluated qualitatively, while molecular identification was completed for only three representative isolates. As whole-mite homogenates were used, the precise localisation of the bacteria within the gut could not be confirmed. Further studies involving biological replicates, gut dissection, quantitative enzyme assays, and culture-independent analyses are therefore warranted.</w:t>
      </w:r>
    </w:p>
    <w:p w14:paraId="3C4D7FAD" w14:textId="77777777" w:rsidR="00A517D4" w:rsidRDefault="00A517D4">
      <w:pPr>
        <w:jc w:val="left"/>
      </w:pPr>
    </w:p>
    <w:p w14:paraId="084FA4BD" w14:textId="6F5573EF" w:rsidR="00526238" w:rsidRPr="00FF7FB4" w:rsidRDefault="00000000">
      <w:pPr>
        <w:jc w:val="left"/>
        <w:rPr>
          <w:rFonts w:ascii="Arial" w:eastAsia="Arial" w:hAnsi="Arial" w:cs="Arial"/>
          <w:b/>
          <w:bCs/>
          <w:sz w:val="22"/>
          <w:szCs w:val="22"/>
        </w:rPr>
      </w:pPr>
      <w:r w:rsidRPr="00FF7FB4">
        <w:rPr>
          <w:rFonts w:ascii="Arial" w:eastAsia="Arial" w:hAnsi="Arial" w:cs="Arial"/>
          <w:b/>
          <w:bCs/>
          <w:sz w:val="22"/>
          <w:szCs w:val="22"/>
        </w:rPr>
        <w:t>Declaration of AI Use</w:t>
      </w:r>
    </w:p>
    <w:p w14:paraId="726F8C6C" w14:textId="77777777" w:rsidR="00526238" w:rsidRPr="00FF7FB4" w:rsidRDefault="00526238">
      <w:pPr>
        <w:jc w:val="left"/>
        <w:rPr>
          <w:rFonts w:ascii="Arial" w:eastAsia="Arial" w:hAnsi="Arial" w:cs="Arial"/>
          <w:sz w:val="22"/>
          <w:szCs w:val="22"/>
        </w:rPr>
      </w:pPr>
    </w:p>
    <w:p w14:paraId="3C6AFA0E" w14:textId="77777777" w:rsidR="00526238" w:rsidRPr="00FF7FB4" w:rsidRDefault="00000000">
      <w:pPr>
        <w:rPr>
          <w:rFonts w:ascii="Arial" w:eastAsia="Arial" w:hAnsi="Arial" w:cs="Arial"/>
          <w:sz w:val="22"/>
          <w:szCs w:val="22"/>
        </w:rPr>
      </w:pPr>
      <w:r w:rsidRPr="00FF7FB4">
        <w:rPr>
          <w:rFonts w:ascii="Arial" w:eastAsia="Arial" w:hAnsi="Arial" w:cs="Arial"/>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for grammar checking, language refinement, and reference formatting. These AI-assisted tools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F07B76F" w14:textId="77777777" w:rsidR="00526238" w:rsidRPr="00FF7FB4" w:rsidRDefault="00526238">
      <w:pPr>
        <w:spacing w:after="200" w:line="276" w:lineRule="auto"/>
        <w:jc w:val="left"/>
        <w:rPr>
          <w:rFonts w:ascii="Arial" w:eastAsia="Arial" w:hAnsi="Arial" w:cs="Arial"/>
          <w:sz w:val="22"/>
          <w:szCs w:val="22"/>
        </w:rPr>
      </w:pPr>
    </w:p>
    <w:p w14:paraId="1615210D"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p w14:paraId="43A1AFC9" w14:textId="77777777" w:rsidR="00526238" w:rsidRPr="00FF7FB4" w:rsidRDefault="00526238">
      <w:pPr>
        <w:keepNext/>
        <w:pBdr>
          <w:top w:val="nil"/>
          <w:left w:val="nil"/>
          <w:bottom w:val="nil"/>
          <w:right w:val="nil"/>
          <w:between w:val="nil"/>
        </w:pBdr>
        <w:rPr>
          <w:rFonts w:ascii="Arial" w:eastAsia="Arial" w:hAnsi="Arial" w:cs="Arial"/>
          <w:color w:val="000000"/>
          <w:sz w:val="22"/>
          <w:szCs w:val="22"/>
          <w:u w:val="single"/>
        </w:rPr>
      </w:pPr>
    </w:p>
    <w:p w14:paraId="2CE19779" w14:textId="77777777" w:rsidR="00526238" w:rsidRPr="00FF7FB4" w:rsidRDefault="00000000">
      <w:pPr>
        <w:spacing w:after="200" w:line="276" w:lineRule="auto"/>
        <w:jc w:val="left"/>
        <w:rPr>
          <w:rFonts w:ascii="Arial" w:eastAsia="Arial" w:hAnsi="Arial" w:cs="Arial"/>
          <w:b/>
          <w:bCs/>
          <w:sz w:val="22"/>
          <w:szCs w:val="22"/>
        </w:rPr>
      </w:pPr>
      <w:r w:rsidRPr="00FF7FB4">
        <w:rPr>
          <w:rFonts w:ascii="Arial" w:eastAsia="Arial" w:hAnsi="Arial" w:cs="Arial"/>
          <w:b/>
          <w:bCs/>
          <w:sz w:val="22"/>
          <w:szCs w:val="22"/>
        </w:rPr>
        <w:t>COMPETING INTERESTS DISCLAIMER:</w:t>
      </w:r>
    </w:p>
    <w:p w14:paraId="657CD48C" w14:textId="77777777" w:rsidR="00526238" w:rsidRPr="00FF7FB4" w:rsidRDefault="00000000">
      <w:pPr>
        <w:spacing w:after="200" w:line="276" w:lineRule="auto"/>
        <w:jc w:val="left"/>
        <w:rPr>
          <w:rFonts w:ascii="Arial" w:eastAsia="Arial" w:hAnsi="Arial" w:cs="Arial"/>
          <w:sz w:val="22"/>
          <w:szCs w:val="22"/>
        </w:rPr>
      </w:pPr>
      <w:r w:rsidRPr="00FF7FB4">
        <w:rPr>
          <w:rFonts w:ascii="Arial" w:eastAsia="Arial" w:hAnsi="Arial" w:cs="Arial"/>
          <w:sz w:val="22"/>
          <w:szCs w:val="22"/>
        </w:rPr>
        <w:t>Authors have declared that they have no known competing financial interests OR non-financial interests OR personal relationships that could have appeared to influence the work reported in this paper.</w:t>
      </w:r>
    </w:p>
    <w:p w14:paraId="00F2E5AA" w14:textId="77777777" w:rsidR="00526238" w:rsidRPr="00FF7FB4" w:rsidRDefault="00526238">
      <w:pPr>
        <w:keepNext/>
        <w:pBdr>
          <w:top w:val="nil"/>
          <w:left w:val="nil"/>
          <w:bottom w:val="nil"/>
          <w:right w:val="nil"/>
          <w:between w:val="nil"/>
        </w:pBdr>
        <w:rPr>
          <w:rFonts w:ascii="Arial" w:eastAsia="Arial" w:hAnsi="Arial" w:cs="Arial"/>
          <w:color w:val="000000"/>
          <w:sz w:val="20"/>
          <w:szCs w:val="20"/>
          <w:u w:val="single"/>
        </w:rPr>
      </w:pPr>
    </w:p>
    <w:p w14:paraId="01616654" w14:textId="77777777" w:rsidR="00526238" w:rsidRPr="00FF7FB4" w:rsidRDefault="00526238">
      <w:pPr>
        <w:keepNext/>
        <w:pBdr>
          <w:top w:val="nil"/>
          <w:left w:val="nil"/>
          <w:bottom w:val="nil"/>
          <w:right w:val="nil"/>
          <w:between w:val="nil"/>
        </w:pBdr>
        <w:rPr>
          <w:rFonts w:ascii="Arial" w:eastAsia="Arial" w:hAnsi="Arial" w:cs="Arial"/>
          <w:color w:val="000000"/>
          <w:sz w:val="20"/>
          <w:szCs w:val="20"/>
        </w:rPr>
      </w:pPr>
    </w:p>
    <w:p w14:paraId="109F6782" w14:textId="77777777" w:rsidR="00526238" w:rsidRPr="00FF7FB4" w:rsidRDefault="00526238">
      <w:pPr>
        <w:keepNext/>
        <w:pBdr>
          <w:top w:val="nil"/>
          <w:left w:val="nil"/>
          <w:bottom w:val="nil"/>
          <w:right w:val="nil"/>
          <w:between w:val="nil"/>
        </w:pBdr>
        <w:rPr>
          <w:rFonts w:ascii="Arial" w:eastAsia="Arial" w:hAnsi="Arial" w:cs="Arial"/>
          <w:b/>
          <w:bCs/>
          <w:smallCaps/>
          <w:color w:val="000000"/>
          <w:sz w:val="22"/>
          <w:szCs w:val="22"/>
        </w:rPr>
      </w:pPr>
    </w:p>
    <w:p w14:paraId="4E528DAC" w14:textId="77777777" w:rsidR="00526238" w:rsidRPr="00FF7FB4" w:rsidRDefault="00000000">
      <w:pPr>
        <w:keepNext/>
        <w:pBdr>
          <w:top w:val="nil"/>
          <w:left w:val="nil"/>
          <w:bottom w:val="nil"/>
          <w:right w:val="nil"/>
          <w:between w:val="nil"/>
        </w:pBdr>
        <w:rPr>
          <w:rFonts w:ascii="Arial" w:eastAsia="Arial" w:hAnsi="Arial" w:cs="Arial"/>
          <w:b/>
          <w:bCs/>
          <w:smallCaps/>
          <w:color w:val="000000"/>
          <w:sz w:val="22"/>
          <w:szCs w:val="22"/>
          <w:lang w:val="es-US"/>
        </w:rPr>
      </w:pPr>
      <w:proofErr w:type="spellStart"/>
      <w:r w:rsidRPr="00FF7FB4">
        <w:rPr>
          <w:rFonts w:ascii="Arial" w:eastAsia="Arial" w:hAnsi="Arial" w:cs="Arial"/>
          <w:b/>
          <w:bCs/>
          <w:smallCaps/>
          <w:color w:val="000000"/>
          <w:sz w:val="22"/>
          <w:szCs w:val="22"/>
          <w:lang w:val="es-US"/>
        </w:rPr>
        <w:t>References</w:t>
      </w:r>
      <w:proofErr w:type="spellEnd"/>
    </w:p>
    <w:p w14:paraId="5011EDD1"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s-US" w:eastAsia="en-US"/>
        </w:rPr>
        <w:t xml:space="preserve">Norton, R. A. (1990). </w:t>
      </w:r>
      <w:proofErr w:type="spellStart"/>
      <w:r w:rsidRPr="00FF7FB4">
        <w:rPr>
          <w:rFonts w:ascii="Times New Roman" w:eastAsia="Times New Roman" w:hAnsi="Times New Roman" w:cs="Times New Roman"/>
          <w:sz w:val="24"/>
          <w:szCs w:val="24"/>
          <w:lang w:val="es-US" w:eastAsia="en-US"/>
        </w:rPr>
        <w:t>Acarina</w:t>
      </w:r>
      <w:proofErr w:type="spellEnd"/>
      <w:r w:rsidRPr="00FF7FB4">
        <w:rPr>
          <w:rFonts w:ascii="Times New Roman" w:eastAsia="Times New Roman" w:hAnsi="Times New Roman" w:cs="Times New Roman"/>
          <w:sz w:val="24"/>
          <w:szCs w:val="24"/>
          <w:lang w:val="es-US" w:eastAsia="en-US"/>
        </w:rPr>
        <w:t xml:space="preserve">: </w:t>
      </w:r>
      <w:proofErr w:type="spellStart"/>
      <w:r w:rsidRPr="00FF7FB4">
        <w:rPr>
          <w:rFonts w:ascii="Times New Roman" w:eastAsia="Times New Roman" w:hAnsi="Times New Roman" w:cs="Times New Roman"/>
          <w:sz w:val="24"/>
          <w:szCs w:val="24"/>
          <w:lang w:val="es-US" w:eastAsia="en-US"/>
        </w:rPr>
        <w:t>Oribatida</w:t>
      </w:r>
      <w:proofErr w:type="spellEnd"/>
      <w:r w:rsidRPr="00FF7FB4">
        <w:rPr>
          <w:rFonts w:ascii="Times New Roman" w:eastAsia="Times New Roman" w:hAnsi="Times New Roman" w:cs="Times New Roman"/>
          <w:sz w:val="24"/>
          <w:szCs w:val="24"/>
          <w:lang w:val="es-US" w:eastAsia="en-US"/>
        </w:rPr>
        <w:t xml:space="preserve">. </w:t>
      </w:r>
      <w:r w:rsidRPr="00FF7FB4">
        <w:rPr>
          <w:rFonts w:ascii="Times New Roman" w:eastAsia="Times New Roman" w:hAnsi="Times New Roman" w:cs="Times New Roman"/>
          <w:sz w:val="24"/>
          <w:szCs w:val="24"/>
          <w:lang w:val="en-US" w:eastAsia="en-US"/>
        </w:rPr>
        <w:t xml:space="preserve">In D. L. </w:t>
      </w:r>
      <w:proofErr w:type="spellStart"/>
      <w:r w:rsidRPr="00FF7FB4">
        <w:rPr>
          <w:rFonts w:ascii="Times New Roman" w:eastAsia="Times New Roman" w:hAnsi="Times New Roman" w:cs="Times New Roman"/>
          <w:sz w:val="24"/>
          <w:szCs w:val="24"/>
          <w:lang w:val="en-US" w:eastAsia="en-US"/>
        </w:rPr>
        <w:t>Dindal</w:t>
      </w:r>
      <w:proofErr w:type="spellEnd"/>
      <w:r w:rsidRPr="00FF7FB4">
        <w:rPr>
          <w:rFonts w:ascii="Times New Roman" w:eastAsia="Times New Roman" w:hAnsi="Times New Roman" w:cs="Times New Roman"/>
          <w:sz w:val="24"/>
          <w:szCs w:val="24"/>
          <w:lang w:val="en-US" w:eastAsia="en-US"/>
        </w:rPr>
        <w:t xml:space="preserve"> (Ed.), </w:t>
      </w:r>
      <w:r w:rsidRPr="00FF7FB4">
        <w:rPr>
          <w:rFonts w:ascii="Times New Roman" w:eastAsia="Times New Roman" w:hAnsi="Times New Roman" w:cs="Times New Roman"/>
          <w:i/>
          <w:iCs/>
          <w:sz w:val="24"/>
          <w:szCs w:val="24"/>
          <w:lang w:val="en-US" w:eastAsia="en-US"/>
        </w:rPr>
        <w:t>Soil biology guide</w:t>
      </w:r>
      <w:r w:rsidRPr="00FF7FB4">
        <w:rPr>
          <w:rFonts w:ascii="Times New Roman" w:eastAsia="Times New Roman" w:hAnsi="Times New Roman" w:cs="Times New Roman"/>
          <w:sz w:val="24"/>
          <w:szCs w:val="24"/>
          <w:lang w:val="en-US" w:eastAsia="en-US"/>
        </w:rPr>
        <w:t xml:space="preserve"> (pp. 779–803). Wiley. </w:t>
      </w:r>
      <w:hyperlink r:id="rId17" w:tgtFrame="_new" w:history="1">
        <w:r w:rsidRPr="00FF7FB4">
          <w:rPr>
            <w:rFonts w:ascii="Times New Roman" w:eastAsia="Times New Roman" w:hAnsi="Times New Roman" w:cs="Times New Roman"/>
            <w:color w:val="0000FF"/>
            <w:sz w:val="24"/>
            <w:szCs w:val="24"/>
            <w:u w:val="single"/>
            <w:lang w:val="en-US" w:eastAsia="en-US"/>
          </w:rPr>
          <w:t>https://search.library.ucla.edu/discovery/fulldisplay/alma9930828873606533/01UCS_LAL%3AUCLA</w:t>
        </w:r>
      </w:hyperlink>
      <w:r w:rsidRPr="00FF7FB4">
        <w:rPr>
          <w:rFonts w:ascii="Times New Roman" w:eastAsia="Times New Roman" w:hAnsi="Times New Roman" w:cs="Times New Roman"/>
          <w:sz w:val="24"/>
          <w:szCs w:val="24"/>
          <w:lang w:val="en-US" w:eastAsia="en-US"/>
        </w:rPr>
        <w:t xml:space="preserve"> </w:t>
      </w:r>
    </w:p>
    <w:p w14:paraId="5ADD437D"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Maraun</w:t>
      </w:r>
      <w:proofErr w:type="spellEnd"/>
      <w:r w:rsidRPr="00FF7FB4">
        <w:rPr>
          <w:rFonts w:ascii="Times New Roman" w:eastAsia="Times New Roman" w:hAnsi="Times New Roman" w:cs="Times New Roman"/>
          <w:sz w:val="24"/>
          <w:szCs w:val="24"/>
          <w:lang w:val="en-US" w:eastAsia="en-US"/>
        </w:rPr>
        <w:t xml:space="preserve">, M., &amp; Scheu, S. (2000). The structure of oribatid mite communities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Patterns, mechanisms and implications for future research. </w:t>
      </w:r>
      <w:proofErr w:type="spellStart"/>
      <w:r w:rsidRPr="00FF7FB4">
        <w:rPr>
          <w:rFonts w:ascii="Times New Roman" w:eastAsia="Times New Roman" w:hAnsi="Times New Roman" w:cs="Times New Roman"/>
          <w:i/>
          <w:iCs/>
          <w:sz w:val="24"/>
          <w:szCs w:val="24"/>
          <w:lang w:val="en-US" w:eastAsia="en-US"/>
        </w:rPr>
        <w:t>Ecography</w:t>
      </w:r>
      <w:proofErr w:type="spellEnd"/>
      <w:r w:rsidRPr="00FF7FB4">
        <w:rPr>
          <w:rFonts w:ascii="Times New Roman" w:eastAsia="Times New Roman" w:hAnsi="Times New Roman" w:cs="Times New Roman"/>
          <w:i/>
          <w:iCs/>
          <w:sz w:val="24"/>
          <w:szCs w:val="24"/>
          <w:lang w:val="en-US" w:eastAsia="en-US"/>
        </w:rPr>
        <w:t>, 23</w:t>
      </w:r>
      <w:r w:rsidRPr="00FF7FB4">
        <w:rPr>
          <w:rFonts w:ascii="Times New Roman" w:eastAsia="Times New Roman" w:hAnsi="Times New Roman" w:cs="Times New Roman"/>
          <w:sz w:val="24"/>
          <w:szCs w:val="24"/>
          <w:lang w:val="en-US" w:eastAsia="en-US"/>
        </w:rPr>
        <w:t xml:space="preserve">(3), 374–382. https://doi.org/10.1111/j.1600-0587.2000.tb00294.x </w:t>
      </w:r>
    </w:p>
    <w:p w14:paraId="7573071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Weigmann, G. (2006). </w:t>
      </w:r>
      <w:r w:rsidRPr="00FF7FB4">
        <w:rPr>
          <w:rFonts w:ascii="Times New Roman" w:eastAsia="Times New Roman" w:hAnsi="Times New Roman" w:cs="Times New Roman"/>
          <w:i/>
          <w:iCs/>
          <w:sz w:val="24"/>
          <w:szCs w:val="24"/>
          <w:lang w:val="nl-BE" w:eastAsia="en-US"/>
        </w:rPr>
        <w:t>Hornmilben (Oribatida)</w:t>
      </w:r>
      <w:r w:rsidRPr="00FF7FB4">
        <w:rPr>
          <w:rFonts w:ascii="Times New Roman" w:eastAsia="Times New Roman" w:hAnsi="Times New Roman" w:cs="Times New Roman"/>
          <w:sz w:val="24"/>
          <w:szCs w:val="24"/>
          <w:lang w:val="nl-BE" w:eastAsia="en-US"/>
        </w:rPr>
        <w:t xml:space="preserve"> (Die Tierwelt Deutschlands, Teil 76). </w:t>
      </w:r>
      <w:r w:rsidRPr="00FF7FB4">
        <w:rPr>
          <w:rFonts w:ascii="Times New Roman" w:eastAsia="Times New Roman" w:hAnsi="Times New Roman" w:cs="Times New Roman"/>
          <w:sz w:val="24"/>
          <w:szCs w:val="24"/>
          <w:lang w:val="en-US" w:eastAsia="en-US"/>
        </w:rPr>
        <w:t xml:space="preserve">Goecke &amp; Evers. </w:t>
      </w:r>
    </w:p>
    <w:p w14:paraId="58E3369F"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Behan-Pelletier, V. M., &amp; Schatz, H. (2010). </w:t>
      </w:r>
      <w:r w:rsidRPr="00FF7FB4">
        <w:rPr>
          <w:rFonts w:ascii="Times New Roman" w:eastAsia="Times New Roman" w:hAnsi="Times New Roman" w:cs="Times New Roman"/>
          <w:sz w:val="24"/>
          <w:szCs w:val="24"/>
          <w:lang w:val="en-US" w:eastAsia="en-US"/>
        </w:rPr>
        <w:t xml:space="preserve">Patterns of diversity in the </w:t>
      </w:r>
      <w:proofErr w:type="spellStart"/>
      <w:r w:rsidRPr="00FF7FB4">
        <w:rPr>
          <w:rFonts w:ascii="Times New Roman" w:eastAsia="Times New Roman" w:hAnsi="Times New Roman" w:cs="Times New Roman"/>
          <w:sz w:val="24"/>
          <w:szCs w:val="24"/>
          <w:lang w:val="en-US" w:eastAsia="en-US"/>
        </w:rPr>
        <w:t>Ceratozetoidea</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A North American assessment. In M. W. </w:t>
      </w:r>
      <w:proofErr w:type="spellStart"/>
      <w:r w:rsidRPr="00FF7FB4">
        <w:rPr>
          <w:rFonts w:ascii="Times New Roman" w:eastAsia="Times New Roman" w:hAnsi="Times New Roman" w:cs="Times New Roman"/>
          <w:sz w:val="24"/>
          <w:szCs w:val="24"/>
          <w:lang w:val="en-US" w:eastAsia="en-US"/>
        </w:rPr>
        <w:t>Sabelis</w:t>
      </w:r>
      <w:proofErr w:type="spellEnd"/>
      <w:r w:rsidRPr="00FF7FB4">
        <w:rPr>
          <w:rFonts w:ascii="Times New Roman" w:eastAsia="Times New Roman" w:hAnsi="Times New Roman" w:cs="Times New Roman"/>
          <w:sz w:val="24"/>
          <w:szCs w:val="24"/>
          <w:lang w:val="en-US" w:eastAsia="en-US"/>
        </w:rPr>
        <w:t xml:space="preserve"> &amp; J. Bruin (Eds.), </w:t>
      </w:r>
      <w:r w:rsidRPr="00FF7FB4">
        <w:rPr>
          <w:rFonts w:ascii="Times New Roman" w:eastAsia="Times New Roman" w:hAnsi="Times New Roman" w:cs="Times New Roman"/>
          <w:i/>
          <w:iCs/>
          <w:sz w:val="24"/>
          <w:szCs w:val="24"/>
          <w:lang w:val="en-US" w:eastAsia="en-US"/>
        </w:rPr>
        <w:t>Trends in acarology: Proceedings of the 12th International Congress</w:t>
      </w:r>
      <w:r w:rsidRPr="00FF7FB4">
        <w:rPr>
          <w:rFonts w:ascii="Times New Roman" w:eastAsia="Times New Roman" w:hAnsi="Times New Roman" w:cs="Times New Roman"/>
          <w:sz w:val="24"/>
          <w:szCs w:val="24"/>
          <w:lang w:val="en-US" w:eastAsia="en-US"/>
        </w:rPr>
        <w:t xml:space="preserve"> (pp. 97–104). Springer. https://doi.org/10.1007/978-90-481-9837-5_15 </w:t>
      </w:r>
    </w:p>
    <w:p w14:paraId="1FB35FF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Julie, E., Ramani, N., &amp; Sheeja, U. M. (2013). </w:t>
      </w:r>
      <w:r w:rsidRPr="00FF7FB4">
        <w:rPr>
          <w:rFonts w:ascii="Times New Roman" w:eastAsia="Times New Roman" w:hAnsi="Times New Roman" w:cs="Times New Roman"/>
          <w:sz w:val="24"/>
          <w:szCs w:val="24"/>
          <w:lang w:val="en-US" w:eastAsia="en-US"/>
        </w:rPr>
        <w:t xml:space="preserve">Diversity of oribatid mites in some mangrove ecosystems of Calicut District, Kerala. In </w:t>
      </w:r>
      <w:r w:rsidRPr="00FF7FB4">
        <w:rPr>
          <w:rFonts w:ascii="Times New Roman" w:eastAsia="Times New Roman" w:hAnsi="Times New Roman" w:cs="Times New Roman"/>
          <w:i/>
          <w:iCs/>
          <w:sz w:val="24"/>
          <w:szCs w:val="24"/>
          <w:lang w:val="en-US" w:eastAsia="en-US"/>
        </w:rPr>
        <w:t>Mangroves in India: Their biology and uses</w:t>
      </w:r>
      <w:r w:rsidRPr="00FF7FB4">
        <w:rPr>
          <w:rFonts w:ascii="Times New Roman" w:eastAsia="Times New Roman" w:hAnsi="Times New Roman" w:cs="Times New Roman"/>
          <w:sz w:val="24"/>
          <w:szCs w:val="24"/>
          <w:lang w:val="en-US" w:eastAsia="en-US"/>
        </w:rPr>
        <w:t xml:space="preserve"> (pp. 351–358). Zoological Survey of India. </w:t>
      </w:r>
    </w:p>
    <w:p w14:paraId="3F760171"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Julie, E., &amp; Ramani, N. (2008). Inventory of oribatid mites of </w:t>
      </w:r>
      <w:proofErr w:type="spellStart"/>
      <w:r w:rsidRPr="00FF7FB4">
        <w:rPr>
          <w:rFonts w:ascii="Times New Roman" w:eastAsia="Times New Roman" w:hAnsi="Times New Roman" w:cs="Times New Roman"/>
          <w:sz w:val="24"/>
          <w:szCs w:val="24"/>
          <w:lang w:val="en-US" w:eastAsia="en-US"/>
        </w:rPr>
        <w:t>Muthanga</w:t>
      </w:r>
      <w:proofErr w:type="spellEnd"/>
      <w:r w:rsidRPr="00FF7FB4">
        <w:rPr>
          <w:rFonts w:ascii="Times New Roman" w:eastAsia="Times New Roman" w:hAnsi="Times New Roman" w:cs="Times New Roman"/>
          <w:sz w:val="24"/>
          <w:szCs w:val="24"/>
          <w:lang w:val="en-US" w:eastAsia="en-US"/>
        </w:rPr>
        <w:t xml:space="preserve"> Forest Reserve, Western Ghats, India. </w:t>
      </w:r>
      <w:proofErr w:type="spellStart"/>
      <w:r w:rsidRPr="00FF7FB4">
        <w:rPr>
          <w:rFonts w:ascii="Times New Roman" w:eastAsia="Times New Roman" w:hAnsi="Times New Roman" w:cs="Times New Roman"/>
          <w:i/>
          <w:iCs/>
          <w:sz w:val="24"/>
          <w:szCs w:val="24"/>
          <w:lang w:val="en-US" w:eastAsia="en-US"/>
        </w:rPr>
        <w:t>Biosystematica</w:t>
      </w:r>
      <w:proofErr w:type="spellEnd"/>
      <w:r w:rsidRPr="00FF7FB4">
        <w:rPr>
          <w:rFonts w:ascii="Times New Roman" w:eastAsia="Times New Roman" w:hAnsi="Times New Roman" w:cs="Times New Roman"/>
          <w:i/>
          <w:iCs/>
          <w:sz w:val="24"/>
          <w:szCs w:val="24"/>
          <w:lang w:val="en-US" w:eastAsia="en-US"/>
        </w:rPr>
        <w:t>, 1</w:t>
      </w:r>
      <w:r w:rsidRPr="00FF7FB4">
        <w:rPr>
          <w:rFonts w:ascii="Times New Roman" w:eastAsia="Times New Roman" w:hAnsi="Times New Roman" w:cs="Times New Roman"/>
          <w:sz w:val="24"/>
          <w:szCs w:val="24"/>
          <w:lang w:val="en-US" w:eastAsia="en-US"/>
        </w:rPr>
        <w:t xml:space="preserve">(2), 53–57. </w:t>
      </w:r>
      <w:hyperlink r:id="rId18" w:tgtFrame="_new" w:history="1">
        <w:r w:rsidRPr="00FF7FB4">
          <w:rPr>
            <w:rFonts w:ascii="Times New Roman" w:eastAsia="Times New Roman" w:hAnsi="Times New Roman" w:cs="Times New Roman"/>
            <w:color w:val="0000FF"/>
            <w:sz w:val="24"/>
            <w:szCs w:val="24"/>
            <w:u w:val="single"/>
            <w:lang w:val="en-US" w:eastAsia="en-US"/>
          </w:rPr>
          <w:t>https://www.academia.edu/143011293/BIOSYSTEMATICA</w:t>
        </w:r>
      </w:hyperlink>
      <w:r w:rsidRPr="00FF7FB4">
        <w:rPr>
          <w:rFonts w:ascii="Times New Roman" w:eastAsia="Times New Roman" w:hAnsi="Times New Roman" w:cs="Times New Roman"/>
          <w:sz w:val="24"/>
          <w:szCs w:val="24"/>
          <w:lang w:val="en-US" w:eastAsia="en-US"/>
        </w:rPr>
        <w:t xml:space="preserve"> </w:t>
      </w:r>
    </w:p>
    <w:p w14:paraId="2D221D0D"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Kerschbaumer</w:t>
      </w:r>
      <w:proofErr w:type="spellEnd"/>
      <w:r w:rsidRPr="00FF7FB4">
        <w:rPr>
          <w:rFonts w:ascii="Times New Roman" w:eastAsia="Times New Roman" w:hAnsi="Times New Roman" w:cs="Times New Roman"/>
          <w:sz w:val="24"/>
          <w:szCs w:val="24"/>
          <w:lang w:val="en-US" w:eastAsia="en-US"/>
        </w:rPr>
        <w:t xml:space="preserve">, M., &amp; </w:t>
      </w:r>
      <w:proofErr w:type="spellStart"/>
      <w:r w:rsidRPr="00FF7FB4">
        <w:rPr>
          <w:rFonts w:ascii="Times New Roman" w:eastAsia="Times New Roman" w:hAnsi="Times New Roman" w:cs="Times New Roman"/>
          <w:sz w:val="24"/>
          <w:szCs w:val="24"/>
          <w:lang w:val="en-US" w:eastAsia="en-US"/>
        </w:rPr>
        <w:t>Pfingstl</w:t>
      </w:r>
      <w:proofErr w:type="spellEnd"/>
      <w:r w:rsidRPr="00FF7FB4">
        <w:rPr>
          <w:rFonts w:ascii="Times New Roman" w:eastAsia="Times New Roman" w:hAnsi="Times New Roman" w:cs="Times New Roman"/>
          <w:sz w:val="24"/>
          <w:szCs w:val="24"/>
          <w:lang w:val="en-US" w:eastAsia="en-US"/>
        </w:rPr>
        <w:t xml:space="preserve">, T. (2024). Multiple factors influence claw characteristics in oribatid mites (Acari). </w:t>
      </w:r>
      <w:r w:rsidRPr="00FF7FB4">
        <w:rPr>
          <w:rFonts w:ascii="Times New Roman" w:eastAsia="Times New Roman" w:hAnsi="Times New Roman" w:cs="Times New Roman"/>
          <w:i/>
          <w:iCs/>
          <w:sz w:val="24"/>
          <w:szCs w:val="24"/>
          <w:lang w:val="en-US" w:eastAsia="en-US"/>
        </w:rPr>
        <w:t>Scientific Reports, 14</w:t>
      </w:r>
      <w:r w:rsidRPr="00FF7FB4">
        <w:rPr>
          <w:rFonts w:ascii="Times New Roman" w:eastAsia="Times New Roman" w:hAnsi="Times New Roman" w:cs="Times New Roman"/>
          <w:sz w:val="24"/>
          <w:szCs w:val="24"/>
          <w:lang w:val="en-US" w:eastAsia="en-US"/>
        </w:rPr>
        <w:t xml:space="preserve">, Article 7687. https://doi.org/10.1038/s41598-024-58214-4 </w:t>
      </w:r>
    </w:p>
    <w:p w14:paraId="10C13CC3"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Gong, X., Chen, T.-W., Zieger, S. L., Bluhm, C., Heidemann, K., Schaefer, I., Maraun, M., Liu, M., &amp; Scheu, S. (2018). </w:t>
      </w:r>
      <w:r w:rsidRPr="00FF7FB4">
        <w:rPr>
          <w:rFonts w:ascii="Times New Roman" w:eastAsia="Times New Roman" w:hAnsi="Times New Roman" w:cs="Times New Roman"/>
          <w:sz w:val="24"/>
          <w:szCs w:val="24"/>
          <w:lang w:val="en-US" w:eastAsia="en-US"/>
        </w:rPr>
        <w:t xml:space="preserve">Phylogenetic and trophic determinants of gut microbiota in soil oribatid mites. </w:t>
      </w:r>
      <w:r w:rsidRPr="00FF7FB4">
        <w:rPr>
          <w:rFonts w:ascii="Times New Roman" w:eastAsia="Times New Roman" w:hAnsi="Times New Roman" w:cs="Times New Roman"/>
          <w:i/>
          <w:iCs/>
          <w:sz w:val="24"/>
          <w:szCs w:val="24"/>
          <w:lang w:val="en-US" w:eastAsia="en-US"/>
        </w:rPr>
        <w:t>Soil Biology and Biochemistry, 123</w:t>
      </w:r>
      <w:r w:rsidRPr="00FF7FB4">
        <w:rPr>
          <w:rFonts w:ascii="Times New Roman" w:eastAsia="Times New Roman" w:hAnsi="Times New Roman" w:cs="Times New Roman"/>
          <w:sz w:val="24"/>
          <w:szCs w:val="24"/>
          <w:lang w:val="en-US" w:eastAsia="en-US"/>
        </w:rPr>
        <w:t xml:space="preserve">, 155–164. https://doi.org/10.1016/j.soilbio.2018.05.011 </w:t>
      </w:r>
    </w:p>
    <w:p w14:paraId="6044D1CA"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Gergócs</w:t>
      </w:r>
      <w:proofErr w:type="spellEnd"/>
      <w:r w:rsidRPr="00FF7FB4">
        <w:rPr>
          <w:rFonts w:ascii="Times New Roman" w:eastAsia="Times New Roman" w:hAnsi="Times New Roman" w:cs="Times New Roman"/>
          <w:sz w:val="24"/>
          <w:szCs w:val="24"/>
          <w:lang w:val="en-US" w:eastAsia="en-US"/>
        </w:rPr>
        <w:t xml:space="preserve">, V., &amp; Hufnagel, L. (2009). Application of oribatid mites as indicators. </w:t>
      </w:r>
      <w:r w:rsidRPr="00FF7FB4">
        <w:rPr>
          <w:rFonts w:ascii="Times New Roman" w:eastAsia="Times New Roman" w:hAnsi="Times New Roman" w:cs="Times New Roman"/>
          <w:i/>
          <w:iCs/>
          <w:sz w:val="24"/>
          <w:szCs w:val="24"/>
          <w:lang w:val="en-US" w:eastAsia="en-US"/>
        </w:rPr>
        <w:t>Applied Ecology and Environmental Research, 7</w:t>
      </w:r>
      <w:r w:rsidRPr="00FF7FB4">
        <w:rPr>
          <w:rFonts w:ascii="Times New Roman" w:eastAsia="Times New Roman" w:hAnsi="Times New Roman" w:cs="Times New Roman"/>
          <w:sz w:val="24"/>
          <w:szCs w:val="24"/>
          <w:lang w:val="en-US" w:eastAsia="en-US"/>
        </w:rPr>
        <w:t xml:space="preserve">(1), 79–98. https://doi.org/10.15666/aeer/0701_079098 </w:t>
      </w:r>
    </w:p>
    <w:p w14:paraId="4B312120"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Baran, Ş., &amp; Yaşa, M. (2019). Oribatid mite fauna of Kocaeli City Forest (Kocaeli, Turkey). </w:t>
      </w:r>
      <w:r w:rsidRPr="00FF7FB4">
        <w:rPr>
          <w:rFonts w:ascii="Times New Roman" w:eastAsia="Times New Roman" w:hAnsi="Times New Roman" w:cs="Times New Roman"/>
          <w:i/>
          <w:iCs/>
          <w:sz w:val="24"/>
          <w:szCs w:val="24"/>
          <w:lang w:val="en-US" w:eastAsia="en-US"/>
        </w:rPr>
        <w:t>Turkish Journal of Entomology, 43</w:t>
      </w:r>
      <w:r w:rsidRPr="00FF7FB4">
        <w:rPr>
          <w:rFonts w:ascii="Times New Roman" w:eastAsia="Times New Roman" w:hAnsi="Times New Roman" w:cs="Times New Roman"/>
          <w:sz w:val="24"/>
          <w:szCs w:val="24"/>
          <w:lang w:val="en-US" w:eastAsia="en-US"/>
        </w:rPr>
        <w:t xml:space="preserve">(1), 41–56. https://doi.org/10.16970/entoted.508099 </w:t>
      </w:r>
    </w:p>
    <w:p w14:paraId="36D0B44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Maraun</w:t>
      </w:r>
      <w:proofErr w:type="spellEnd"/>
      <w:r w:rsidRPr="00FF7FB4">
        <w:rPr>
          <w:rFonts w:ascii="Times New Roman" w:eastAsia="Times New Roman" w:hAnsi="Times New Roman" w:cs="Times New Roman"/>
          <w:sz w:val="24"/>
          <w:szCs w:val="24"/>
          <w:lang w:val="en-US" w:eastAsia="en-US"/>
        </w:rPr>
        <w:t xml:space="preserve">, M., Augustin, D., </w:t>
      </w:r>
      <w:proofErr w:type="spellStart"/>
      <w:r w:rsidRPr="00FF7FB4">
        <w:rPr>
          <w:rFonts w:ascii="Times New Roman" w:eastAsia="Times New Roman" w:hAnsi="Times New Roman" w:cs="Times New Roman"/>
          <w:sz w:val="24"/>
          <w:szCs w:val="24"/>
          <w:lang w:val="en-US" w:eastAsia="en-US"/>
        </w:rPr>
        <w:t>Pollierer</w:t>
      </w:r>
      <w:proofErr w:type="spellEnd"/>
      <w:r w:rsidRPr="00FF7FB4">
        <w:rPr>
          <w:rFonts w:ascii="Times New Roman" w:eastAsia="Times New Roman" w:hAnsi="Times New Roman" w:cs="Times New Roman"/>
          <w:sz w:val="24"/>
          <w:szCs w:val="24"/>
          <w:lang w:val="en-US" w:eastAsia="en-US"/>
        </w:rPr>
        <w:t xml:space="preserve">, M. M., &amp; Scheu, S. (2020). Variation in trophic niches of oribatid mites in temperate forest ecosystems as indicated by neutral lipid fatty acid patterns. </w:t>
      </w:r>
      <w:r w:rsidRPr="00FF7FB4">
        <w:rPr>
          <w:rFonts w:ascii="Times New Roman" w:eastAsia="Times New Roman" w:hAnsi="Times New Roman" w:cs="Times New Roman"/>
          <w:i/>
          <w:iCs/>
          <w:sz w:val="24"/>
          <w:szCs w:val="24"/>
          <w:lang w:val="en-US" w:eastAsia="en-US"/>
        </w:rPr>
        <w:t>Experimental and Applied Acarology, 81</w:t>
      </w:r>
      <w:r w:rsidRPr="00FF7FB4">
        <w:rPr>
          <w:rFonts w:ascii="Times New Roman" w:eastAsia="Times New Roman" w:hAnsi="Times New Roman" w:cs="Times New Roman"/>
          <w:sz w:val="24"/>
          <w:szCs w:val="24"/>
          <w:lang w:val="en-US" w:eastAsia="en-US"/>
        </w:rPr>
        <w:t xml:space="preserve">(1), 103–115. </w:t>
      </w:r>
      <w:hyperlink r:id="rId19" w:tgtFrame="_new" w:history="1">
        <w:r w:rsidRPr="00FF7FB4">
          <w:rPr>
            <w:rFonts w:ascii="Times New Roman" w:eastAsia="Times New Roman" w:hAnsi="Times New Roman" w:cs="Times New Roman"/>
            <w:color w:val="0000FF"/>
            <w:sz w:val="24"/>
            <w:szCs w:val="24"/>
            <w:u w:val="single"/>
            <w:lang w:val="en-US" w:eastAsia="en-US"/>
          </w:rPr>
          <w:t>https://doi.org/10.1007/s10493-020-00494-2</w:t>
        </w:r>
      </w:hyperlink>
      <w:r w:rsidRPr="00FF7FB4">
        <w:rPr>
          <w:rFonts w:ascii="Times New Roman" w:eastAsia="Times New Roman" w:hAnsi="Times New Roman" w:cs="Times New Roman"/>
          <w:sz w:val="24"/>
          <w:szCs w:val="24"/>
          <w:lang w:val="en-US" w:eastAsia="en-US"/>
        </w:rPr>
        <w:t xml:space="preserve"> </w:t>
      </w:r>
    </w:p>
    <w:p w14:paraId="7FA1A21F"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Thakur, M. P., Sigurðsson, B. D., Sigurðsson, P., &amp; Holmstrup, M. (2023). Warming shifts the biomass distribution of soil microarthropod communities. </w:t>
      </w:r>
      <w:r w:rsidRPr="00FF7FB4">
        <w:rPr>
          <w:rFonts w:ascii="Times New Roman" w:eastAsia="Times New Roman" w:hAnsi="Times New Roman" w:cs="Times New Roman"/>
          <w:i/>
          <w:iCs/>
          <w:sz w:val="24"/>
          <w:szCs w:val="24"/>
          <w:lang w:val="en-US" w:eastAsia="en-US"/>
        </w:rPr>
        <w:t>Soil Biology and Biochemistry, 177</w:t>
      </w:r>
      <w:r w:rsidRPr="00FF7FB4">
        <w:rPr>
          <w:rFonts w:ascii="Times New Roman" w:eastAsia="Times New Roman" w:hAnsi="Times New Roman" w:cs="Times New Roman"/>
          <w:sz w:val="24"/>
          <w:szCs w:val="24"/>
          <w:lang w:val="en-US" w:eastAsia="en-US"/>
        </w:rPr>
        <w:t xml:space="preserve">, Article 108894. https://doi.org/10.1016/j.soilbio.2022.108894 </w:t>
      </w:r>
    </w:p>
    <w:p w14:paraId="76D56948"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s-US" w:eastAsia="en-US"/>
        </w:rPr>
      </w:pPr>
      <w:r w:rsidRPr="00FF7FB4">
        <w:rPr>
          <w:rFonts w:ascii="Times New Roman" w:eastAsia="Times New Roman" w:hAnsi="Times New Roman" w:cs="Times New Roman"/>
          <w:sz w:val="24"/>
          <w:szCs w:val="24"/>
          <w:lang w:val="es-US" w:eastAsia="en-US"/>
        </w:rPr>
        <w:t xml:space="preserve">Ramani, N., &amp; Haq, M. A. (1990). </w:t>
      </w:r>
      <w:r w:rsidRPr="00FF7FB4">
        <w:rPr>
          <w:rFonts w:ascii="Times New Roman" w:eastAsia="Times New Roman" w:hAnsi="Times New Roman" w:cs="Times New Roman"/>
          <w:sz w:val="24"/>
          <w:szCs w:val="24"/>
          <w:lang w:val="en-US" w:eastAsia="en-US"/>
        </w:rPr>
        <w:t xml:space="preserve">Oribatid mites from coconut palm. II. A new species of </w:t>
      </w:r>
      <w:proofErr w:type="spellStart"/>
      <w:r w:rsidRPr="00FF7FB4">
        <w:rPr>
          <w:rFonts w:ascii="Times New Roman" w:eastAsia="Times New Roman" w:hAnsi="Times New Roman" w:cs="Times New Roman"/>
          <w:i/>
          <w:iCs/>
          <w:sz w:val="24"/>
          <w:szCs w:val="24"/>
          <w:lang w:val="en-US" w:eastAsia="en-US"/>
        </w:rPr>
        <w:t>Notogalumna</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Oribatei</w:t>
      </w:r>
      <w:proofErr w:type="spellEnd"/>
      <w:r w:rsidRPr="00FF7FB4">
        <w:rPr>
          <w:rFonts w:ascii="Times New Roman" w:eastAsia="Times New Roman" w:hAnsi="Times New Roman" w:cs="Times New Roman"/>
          <w:sz w:val="24"/>
          <w:szCs w:val="24"/>
          <w:lang w:val="en-US" w:eastAsia="en-US"/>
        </w:rPr>
        <w:t xml:space="preserve">) from Kerala, India. </w:t>
      </w:r>
      <w:proofErr w:type="spellStart"/>
      <w:r w:rsidRPr="00FF7FB4">
        <w:rPr>
          <w:rFonts w:ascii="Times New Roman" w:eastAsia="Times New Roman" w:hAnsi="Times New Roman" w:cs="Times New Roman"/>
          <w:i/>
          <w:iCs/>
          <w:sz w:val="24"/>
          <w:szCs w:val="24"/>
          <w:lang w:val="es-US" w:eastAsia="en-US"/>
        </w:rPr>
        <w:t>Acarologia</w:t>
      </w:r>
      <w:proofErr w:type="spellEnd"/>
      <w:r w:rsidRPr="00FF7FB4">
        <w:rPr>
          <w:rFonts w:ascii="Times New Roman" w:eastAsia="Times New Roman" w:hAnsi="Times New Roman" w:cs="Times New Roman"/>
          <w:i/>
          <w:iCs/>
          <w:sz w:val="24"/>
          <w:szCs w:val="24"/>
          <w:lang w:val="es-US" w:eastAsia="en-US"/>
        </w:rPr>
        <w:t>, 31</w:t>
      </w:r>
      <w:r w:rsidRPr="00FF7FB4">
        <w:rPr>
          <w:rFonts w:ascii="Times New Roman" w:eastAsia="Times New Roman" w:hAnsi="Times New Roman" w:cs="Times New Roman"/>
          <w:sz w:val="24"/>
          <w:szCs w:val="24"/>
          <w:lang w:val="es-US" w:eastAsia="en-US"/>
        </w:rPr>
        <w:t xml:space="preserve">(4), 401–404. </w:t>
      </w:r>
      <w:hyperlink r:id="rId20" w:tgtFrame="_new" w:history="1">
        <w:r w:rsidRPr="00FF7FB4">
          <w:rPr>
            <w:rFonts w:ascii="Times New Roman" w:eastAsia="Times New Roman" w:hAnsi="Times New Roman" w:cs="Times New Roman"/>
            <w:color w:val="0000FF"/>
            <w:sz w:val="24"/>
            <w:szCs w:val="24"/>
            <w:u w:val="single"/>
            <w:lang w:val="es-US" w:eastAsia="en-US"/>
          </w:rPr>
          <w:t>https://www1.montpellier.inra.fr/CBGP/acarologia/article.php?id=2449</w:t>
        </w:r>
      </w:hyperlink>
      <w:r w:rsidRPr="00FF7FB4">
        <w:rPr>
          <w:rFonts w:ascii="Times New Roman" w:eastAsia="Times New Roman" w:hAnsi="Times New Roman" w:cs="Times New Roman"/>
          <w:sz w:val="24"/>
          <w:szCs w:val="24"/>
          <w:lang w:val="es-US" w:eastAsia="en-US"/>
        </w:rPr>
        <w:t xml:space="preserve"> </w:t>
      </w:r>
    </w:p>
    <w:p w14:paraId="7434F041"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s-US" w:eastAsia="en-US"/>
        </w:rPr>
        <w:lastRenderedPageBreak/>
        <w:t xml:space="preserve">Ramani, N., &amp; Haq, M. A. (1999). </w:t>
      </w:r>
      <w:r w:rsidRPr="00FF7FB4">
        <w:rPr>
          <w:rFonts w:ascii="Times New Roman" w:eastAsia="Times New Roman" w:hAnsi="Times New Roman" w:cs="Times New Roman"/>
          <w:sz w:val="24"/>
          <w:szCs w:val="24"/>
          <w:lang w:val="en-US" w:eastAsia="en-US"/>
        </w:rPr>
        <w:t xml:space="preserve">Oribatid mites from weeds—1. A new species of </w:t>
      </w:r>
      <w:proofErr w:type="spellStart"/>
      <w:r w:rsidRPr="00FF7FB4">
        <w:rPr>
          <w:rFonts w:ascii="Times New Roman" w:eastAsia="Times New Roman" w:hAnsi="Times New Roman" w:cs="Times New Roman"/>
          <w:i/>
          <w:iCs/>
          <w:sz w:val="24"/>
          <w:szCs w:val="24"/>
          <w:lang w:val="en-US" w:eastAsia="en-US"/>
        </w:rPr>
        <w:t>Zygoribatula</w:t>
      </w:r>
      <w:proofErr w:type="spellEnd"/>
      <w:r w:rsidRPr="00FF7FB4">
        <w:rPr>
          <w:rFonts w:ascii="Times New Roman" w:eastAsia="Times New Roman" w:hAnsi="Times New Roman" w:cs="Times New Roman"/>
          <w:sz w:val="24"/>
          <w:szCs w:val="24"/>
          <w:lang w:val="en-US" w:eastAsia="en-US"/>
        </w:rPr>
        <w:t xml:space="preserve"> Berlese, 1916 from </w:t>
      </w:r>
      <w:proofErr w:type="spellStart"/>
      <w:r w:rsidRPr="00FF7FB4">
        <w:rPr>
          <w:rFonts w:ascii="Times New Roman" w:eastAsia="Times New Roman" w:hAnsi="Times New Roman" w:cs="Times New Roman"/>
          <w:i/>
          <w:iCs/>
          <w:sz w:val="24"/>
          <w:szCs w:val="24"/>
          <w:lang w:val="en-US" w:eastAsia="en-US"/>
        </w:rPr>
        <w:t>Chromolaena</w:t>
      </w:r>
      <w:proofErr w:type="spellEnd"/>
      <w:r w:rsidRPr="00FF7FB4">
        <w:rPr>
          <w:rFonts w:ascii="Times New Roman" w:eastAsia="Times New Roman" w:hAnsi="Times New Roman" w:cs="Times New Roman"/>
          <w:i/>
          <w:iCs/>
          <w:sz w:val="24"/>
          <w:szCs w:val="24"/>
          <w:lang w:val="en-US" w:eastAsia="en-US"/>
        </w:rPr>
        <w:t xml:space="preserve"> odorata</w:t>
      </w:r>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Entomon</w:t>
      </w:r>
      <w:proofErr w:type="spellEnd"/>
      <w:r w:rsidRPr="00FF7FB4">
        <w:rPr>
          <w:rFonts w:ascii="Times New Roman" w:eastAsia="Times New Roman" w:hAnsi="Times New Roman" w:cs="Times New Roman"/>
          <w:i/>
          <w:iCs/>
          <w:sz w:val="24"/>
          <w:szCs w:val="24"/>
          <w:lang w:val="en-US" w:eastAsia="en-US"/>
        </w:rPr>
        <w:t>, 24</w:t>
      </w:r>
      <w:r w:rsidRPr="00FF7FB4">
        <w:rPr>
          <w:rFonts w:ascii="Times New Roman" w:eastAsia="Times New Roman" w:hAnsi="Times New Roman" w:cs="Times New Roman"/>
          <w:sz w:val="24"/>
          <w:szCs w:val="24"/>
          <w:lang w:val="en-US" w:eastAsia="en-US"/>
        </w:rPr>
        <w:t xml:space="preserve">(1), 15–19. </w:t>
      </w:r>
    </w:p>
    <w:p w14:paraId="2DF1EC9E"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Padinhare</w:t>
      </w:r>
      <w:proofErr w:type="spellEnd"/>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sz w:val="24"/>
          <w:szCs w:val="24"/>
          <w:lang w:val="en-US" w:eastAsia="en-US"/>
        </w:rPr>
        <w:t>Kaithayil</w:t>
      </w:r>
      <w:proofErr w:type="spellEnd"/>
      <w:r w:rsidRPr="00FF7FB4">
        <w:rPr>
          <w:rFonts w:ascii="Times New Roman" w:eastAsia="Times New Roman" w:hAnsi="Times New Roman" w:cs="Times New Roman"/>
          <w:sz w:val="24"/>
          <w:szCs w:val="24"/>
          <w:lang w:val="en-US" w:eastAsia="en-US"/>
        </w:rPr>
        <w:t xml:space="preserve">, S., &amp; </w:t>
      </w:r>
      <w:proofErr w:type="spellStart"/>
      <w:r w:rsidRPr="00FF7FB4">
        <w:rPr>
          <w:rFonts w:ascii="Times New Roman" w:eastAsia="Times New Roman" w:hAnsi="Times New Roman" w:cs="Times New Roman"/>
          <w:sz w:val="24"/>
          <w:szCs w:val="24"/>
          <w:lang w:val="en-US" w:eastAsia="en-US"/>
        </w:rPr>
        <w:t>Neravathu</w:t>
      </w:r>
      <w:proofErr w:type="spellEnd"/>
      <w:r w:rsidRPr="00FF7FB4">
        <w:rPr>
          <w:rFonts w:ascii="Times New Roman" w:eastAsia="Times New Roman" w:hAnsi="Times New Roman" w:cs="Times New Roman"/>
          <w:sz w:val="24"/>
          <w:szCs w:val="24"/>
          <w:lang w:val="en-US" w:eastAsia="en-US"/>
        </w:rPr>
        <w:t xml:space="preserve">, R. (2020). Biology of the oribatid mite </w:t>
      </w:r>
      <w:proofErr w:type="spellStart"/>
      <w:r w:rsidRPr="00FF7FB4">
        <w:rPr>
          <w:rFonts w:ascii="Times New Roman" w:eastAsia="Times New Roman" w:hAnsi="Times New Roman" w:cs="Times New Roman"/>
          <w:i/>
          <w:iCs/>
          <w:sz w:val="24"/>
          <w:szCs w:val="24"/>
          <w:lang w:val="en-US" w:eastAsia="en-US"/>
        </w:rPr>
        <w:t>Acrotritia</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clavata</w:t>
      </w:r>
      <w:proofErr w:type="spellEnd"/>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sz w:val="24"/>
          <w:szCs w:val="24"/>
          <w:lang w:val="en-US" w:eastAsia="en-US"/>
        </w:rPr>
        <w:t>Märkel</w:t>
      </w:r>
      <w:proofErr w:type="spellEnd"/>
      <w:r w:rsidRPr="00FF7FB4">
        <w:rPr>
          <w:rFonts w:ascii="Times New Roman" w:eastAsia="Times New Roman" w:hAnsi="Times New Roman" w:cs="Times New Roman"/>
          <w:sz w:val="24"/>
          <w:szCs w:val="24"/>
          <w:lang w:val="en-US" w:eastAsia="en-US"/>
        </w:rPr>
        <w:t xml:space="preserve">, 1964) from the mangrove ecosystems of North Kerala, India. </w:t>
      </w:r>
      <w:r w:rsidRPr="00FF7FB4">
        <w:rPr>
          <w:rFonts w:ascii="Times New Roman" w:eastAsia="Times New Roman" w:hAnsi="Times New Roman" w:cs="Times New Roman"/>
          <w:i/>
          <w:iCs/>
          <w:sz w:val="24"/>
          <w:szCs w:val="24"/>
          <w:lang w:val="en-US" w:eastAsia="en-US"/>
        </w:rPr>
        <w:t>Acarological Studies, 2</w:t>
      </w:r>
      <w:r w:rsidRPr="00FF7FB4">
        <w:rPr>
          <w:rFonts w:ascii="Times New Roman" w:eastAsia="Times New Roman" w:hAnsi="Times New Roman" w:cs="Times New Roman"/>
          <w:sz w:val="24"/>
          <w:szCs w:val="24"/>
          <w:lang w:val="en-US" w:eastAsia="en-US"/>
        </w:rPr>
        <w:t xml:space="preserve">(2), 59–68. https://doi.org/10.47121/acarolstud.669572 </w:t>
      </w:r>
    </w:p>
    <w:p w14:paraId="350F3EBE"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Heidemann, K., Scheu, S., Ruess, L., &amp; </w:t>
      </w:r>
      <w:proofErr w:type="spellStart"/>
      <w:r w:rsidRPr="00FF7FB4">
        <w:rPr>
          <w:rFonts w:ascii="Times New Roman" w:eastAsia="Times New Roman" w:hAnsi="Times New Roman" w:cs="Times New Roman"/>
          <w:sz w:val="24"/>
          <w:szCs w:val="24"/>
          <w:lang w:val="en-US" w:eastAsia="en-US"/>
        </w:rPr>
        <w:t>Maraun</w:t>
      </w:r>
      <w:proofErr w:type="spellEnd"/>
      <w:r w:rsidRPr="00FF7FB4">
        <w:rPr>
          <w:rFonts w:ascii="Times New Roman" w:eastAsia="Times New Roman" w:hAnsi="Times New Roman" w:cs="Times New Roman"/>
          <w:sz w:val="24"/>
          <w:szCs w:val="24"/>
          <w:lang w:val="en-US" w:eastAsia="en-US"/>
        </w:rPr>
        <w:t xml:space="preserve">, M. (2011). Molecular detection of nematode predation and scavenging in oribatid mites: Laboratory and field experiments. </w:t>
      </w:r>
      <w:r w:rsidRPr="00FF7FB4">
        <w:rPr>
          <w:rFonts w:ascii="Times New Roman" w:eastAsia="Times New Roman" w:hAnsi="Times New Roman" w:cs="Times New Roman"/>
          <w:i/>
          <w:iCs/>
          <w:sz w:val="24"/>
          <w:szCs w:val="24"/>
          <w:lang w:val="en-US" w:eastAsia="en-US"/>
        </w:rPr>
        <w:t>Soil Biology and Biochemistry, 43</w:t>
      </w:r>
      <w:r w:rsidRPr="00FF7FB4">
        <w:rPr>
          <w:rFonts w:ascii="Times New Roman" w:eastAsia="Times New Roman" w:hAnsi="Times New Roman" w:cs="Times New Roman"/>
          <w:sz w:val="24"/>
          <w:szCs w:val="24"/>
          <w:lang w:val="en-US" w:eastAsia="en-US"/>
        </w:rPr>
        <w:t xml:space="preserve">(11), 2229–2236. https://doi.org/10.1016/j.soilbio.2011.07.015 </w:t>
      </w:r>
    </w:p>
    <w:p w14:paraId="24E6D498"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Siepel, H., &amp; de Ruiter-Dijkman, E. M. (1993). </w:t>
      </w:r>
      <w:r w:rsidRPr="00FF7FB4">
        <w:rPr>
          <w:rFonts w:ascii="Times New Roman" w:eastAsia="Times New Roman" w:hAnsi="Times New Roman" w:cs="Times New Roman"/>
          <w:sz w:val="24"/>
          <w:szCs w:val="24"/>
          <w:lang w:val="en-US" w:eastAsia="en-US"/>
        </w:rPr>
        <w:t xml:space="preserve">Feeding guilds of oribatid mites based on their carbohydrase activities. </w:t>
      </w:r>
      <w:r w:rsidRPr="00FF7FB4">
        <w:rPr>
          <w:rFonts w:ascii="Times New Roman" w:eastAsia="Times New Roman" w:hAnsi="Times New Roman" w:cs="Times New Roman"/>
          <w:i/>
          <w:iCs/>
          <w:sz w:val="24"/>
          <w:szCs w:val="24"/>
          <w:lang w:val="en-US" w:eastAsia="en-US"/>
        </w:rPr>
        <w:t>Soil Biology and Biochemistry, 25</w:t>
      </w:r>
      <w:r w:rsidRPr="00FF7FB4">
        <w:rPr>
          <w:rFonts w:ascii="Times New Roman" w:eastAsia="Times New Roman" w:hAnsi="Times New Roman" w:cs="Times New Roman"/>
          <w:sz w:val="24"/>
          <w:szCs w:val="24"/>
          <w:lang w:val="en-US" w:eastAsia="en-US"/>
        </w:rPr>
        <w:t xml:space="preserve">(11), 1491–1497. https://doi.org/10.1016/0038-0717(93)90004-U </w:t>
      </w:r>
    </w:p>
    <w:p w14:paraId="46768F54"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Potapov, A. M., Beaulieu, F., Birkhofer, K., Bluhm, S. L., Degtyarev, M. I., </w:t>
      </w:r>
      <w:proofErr w:type="spellStart"/>
      <w:r w:rsidRPr="00FF7FB4">
        <w:rPr>
          <w:rFonts w:ascii="Times New Roman" w:eastAsia="Times New Roman" w:hAnsi="Times New Roman" w:cs="Times New Roman"/>
          <w:sz w:val="24"/>
          <w:szCs w:val="24"/>
          <w:lang w:val="en-US" w:eastAsia="en-US"/>
        </w:rPr>
        <w:t>Devetter</w:t>
      </w:r>
      <w:proofErr w:type="spellEnd"/>
      <w:r w:rsidRPr="00FF7FB4">
        <w:rPr>
          <w:rFonts w:ascii="Times New Roman" w:eastAsia="Times New Roman" w:hAnsi="Times New Roman" w:cs="Times New Roman"/>
          <w:sz w:val="24"/>
          <w:szCs w:val="24"/>
          <w:lang w:val="en-US" w:eastAsia="en-US"/>
        </w:rPr>
        <w:t xml:space="preserve">, M., Goncharov, A. A., Gongalsky, K. B., Klarner, B., </w:t>
      </w:r>
      <w:proofErr w:type="spellStart"/>
      <w:r w:rsidRPr="00FF7FB4">
        <w:rPr>
          <w:rFonts w:ascii="Times New Roman" w:eastAsia="Times New Roman" w:hAnsi="Times New Roman" w:cs="Times New Roman"/>
          <w:sz w:val="24"/>
          <w:szCs w:val="24"/>
          <w:lang w:val="en-US" w:eastAsia="en-US"/>
        </w:rPr>
        <w:t>Korobushkin</w:t>
      </w:r>
      <w:proofErr w:type="spellEnd"/>
      <w:r w:rsidRPr="00FF7FB4">
        <w:rPr>
          <w:rFonts w:ascii="Times New Roman" w:eastAsia="Times New Roman" w:hAnsi="Times New Roman" w:cs="Times New Roman"/>
          <w:sz w:val="24"/>
          <w:szCs w:val="24"/>
          <w:lang w:val="en-US" w:eastAsia="en-US"/>
        </w:rPr>
        <w:t xml:space="preserve">, D. I., </w:t>
      </w:r>
      <w:proofErr w:type="spellStart"/>
      <w:r w:rsidRPr="00FF7FB4">
        <w:rPr>
          <w:rFonts w:ascii="Times New Roman" w:eastAsia="Times New Roman" w:hAnsi="Times New Roman" w:cs="Times New Roman"/>
          <w:sz w:val="24"/>
          <w:szCs w:val="24"/>
          <w:lang w:val="en-US" w:eastAsia="en-US"/>
        </w:rPr>
        <w:t>Liebke</w:t>
      </w:r>
      <w:proofErr w:type="spellEnd"/>
      <w:r w:rsidRPr="00FF7FB4">
        <w:rPr>
          <w:rFonts w:ascii="Times New Roman" w:eastAsia="Times New Roman" w:hAnsi="Times New Roman" w:cs="Times New Roman"/>
          <w:sz w:val="24"/>
          <w:szCs w:val="24"/>
          <w:lang w:val="en-US" w:eastAsia="en-US"/>
        </w:rPr>
        <w:t xml:space="preserve">, D. F., </w:t>
      </w:r>
      <w:proofErr w:type="spellStart"/>
      <w:r w:rsidRPr="00FF7FB4">
        <w:rPr>
          <w:rFonts w:ascii="Times New Roman" w:eastAsia="Times New Roman" w:hAnsi="Times New Roman" w:cs="Times New Roman"/>
          <w:sz w:val="24"/>
          <w:szCs w:val="24"/>
          <w:lang w:val="en-US" w:eastAsia="en-US"/>
        </w:rPr>
        <w:t>Maraun</w:t>
      </w:r>
      <w:proofErr w:type="spellEnd"/>
      <w:r w:rsidRPr="00FF7FB4">
        <w:rPr>
          <w:rFonts w:ascii="Times New Roman" w:eastAsia="Times New Roman" w:hAnsi="Times New Roman" w:cs="Times New Roman"/>
          <w:sz w:val="24"/>
          <w:szCs w:val="24"/>
          <w:lang w:val="en-US" w:eastAsia="en-US"/>
        </w:rPr>
        <w:t xml:space="preserve">, M., Mc Donnell, R. J., </w:t>
      </w:r>
      <w:proofErr w:type="spellStart"/>
      <w:r w:rsidRPr="00FF7FB4">
        <w:rPr>
          <w:rFonts w:ascii="Times New Roman" w:eastAsia="Times New Roman" w:hAnsi="Times New Roman" w:cs="Times New Roman"/>
          <w:sz w:val="24"/>
          <w:szCs w:val="24"/>
          <w:lang w:val="en-US" w:eastAsia="en-US"/>
        </w:rPr>
        <w:t>Pollierer</w:t>
      </w:r>
      <w:proofErr w:type="spellEnd"/>
      <w:r w:rsidRPr="00FF7FB4">
        <w:rPr>
          <w:rFonts w:ascii="Times New Roman" w:eastAsia="Times New Roman" w:hAnsi="Times New Roman" w:cs="Times New Roman"/>
          <w:sz w:val="24"/>
          <w:szCs w:val="24"/>
          <w:lang w:val="en-US" w:eastAsia="en-US"/>
        </w:rPr>
        <w:t xml:space="preserve">, M. M., Schaefer, I., </w:t>
      </w:r>
      <w:proofErr w:type="spellStart"/>
      <w:r w:rsidRPr="00FF7FB4">
        <w:rPr>
          <w:rFonts w:ascii="Times New Roman" w:eastAsia="Times New Roman" w:hAnsi="Times New Roman" w:cs="Times New Roman"/>
          <w:sz w:val="24"/>
          <w:szCs w:val="24"/>
          <w:lang w:val="en-US" w:eastAsia="en-US"/>
        </w:rPr>
        <w:t>Shrubovych</w:t>
      </w:r>
      <w:proofErr w:type="spellEnd"/>
      <w:r w:rsidRPr="00FF7FB4">
        <w:rPr>
          <w:rFonts w:ascii="Times New Roman" w:eastAsia="Times New Roman" w:hAnsi="Times New Roman" w:cs="Times New Roman"/>
          <w:sz w:val="24"/>
          <w:szCs w:val="24"/>
          <w:lang w:val="en-US" w:eastAsia="en-US"/>
        </w:rPr>
        <w:t xml:space="preserve">, J., Semenyuk, I. I., Sendra, A., Tuma, J., … Scheu, S. (2022). Feeding habits and multifunctional classification of soil-associated consumers from protists to vertebrates. </w:t>
      </w:r>
      <w:r w:rsidRPr="00FF7FB4">
        <w:rPr>
          <w:rFonts w:ascii="Times New Roman" w:eastAsia="Times New Roman" w:hAnsi="Times New Roman" w:cs="Times New Roman"/>
          <w:i/>
          <w:iCs/>
          <w:sz w:val="24"/>
          <w:szCs w:val="24"/>
          <w:lang w:val="en-US" w:eastAsia="en-US"/>
        </w:rPr>
        <w:t>Biological Reviews, 97</w:t>
      </w:r>
      <w:r w:rsidRPr="00FF7FB4">
        <w:rPr>
          <w:rFonts w:ascii="Times New Roman" w:eastAsia="Times New Roman" w:hAnsi="Times New Roman" w:cs="Times New Roman"/>
          <w:sz w:val="24"/>
          <w:szCs w:val="24"/>
          <w:lang w:val="en-US" w:eastAsia="en-US"/>
        </w:rPr>
        <w:t xml:space="preserve">(3), 1057–1117. </w:t>
      </w:r>
      <w:hyperlink r:id="rId21" w:tgtFrame="_new" w:history="1">
        <w:r w:rsidRPr="00FF7FB4">
          <w:rPr>
            <w:rFonts w:ascii="Times New Roman" w:eastAsia="Times New Roman" w:hAnsi="Times New Roman" w:cs="Times New Roman"/>
            <w:color w:val="0000FF"/>
            <w:sz w:val="24"/>
            <w:szCs w:val="24"/>
            <w:u w:val="single"/>
            <w:lang w:val="en-US" w:eastAsia="en-US"/>
          </w:rPr>
          <w:t>https://doi.org/10.1111/brv.12832</w:t>
        </w:r>
      </w:hyperlink>
      <w:r w:rsidRPr="00FF7FB4">
        <w:rPr>
          <w:rFonts w:ascii="Times New Roman" w:eastAsia="Times New Roman" w:hAnsi="Times New Roman" w:cs="Times New Roman"/>
          <w:sz w:val="24"/>
          <w:szCs w:val="24"/>
          <w:lang w:val="en-US" w:eastAsia="en-US"/>
        </w:rPr>
        <w:t xml:space="preserve"> </w:t>
      </w:r>
    </w:p>
    <w:p w14:paraId="4D6567A0"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Ley, R. E., </w:t>
      </w:r>
      <w:proofErr w:type="spellStart"/>
      <w:r w:rsidRPr="00FF7FB4">
        <w:rPr>
          <w:rFonts w:ascii="Times New Roman" w:eastAsia="Times New Roman" w:hAnsi="Times New Roman" w:cs="Times New Roman"/>
          <w:sz w:val="24"/>
          <w:szCs w:val="24"/>
          <w:lang w:val="en-US" w:eastAsia="en-US"/>
        </w:rPr>
        <w:t>Lozupone</w:t>
      </w:r>
      <w:proofErr w:type="spellEnd"/>
      <w:r w:rsidRPr="00FF7FB4">
        <w:rPr>
          <w:rFonts w:ascii="Times New Roman" w:eastAsia="Times New Roman" w:hAnsi="Times New Roman" w:cs="Times New Roman"/>
          <w:sz w:val="24"/>
          <w:szCs w:val="24"/>
          <w:lang w:val="en-US" w:eastAsia="en-US"/>
        </w:rPr>
        <w:t xml:space="preserve">, C. A., Hamady, M., Knight, R., &amp; Gordon, J. I. (2008). Worlds within worlds: Evolution of the vertebrate gut microbiota. </w:t>
      </w:r>
      <w:r w:rsidRPr="00FF7FB4">
        <w:rPr>
          <w:rFonts w:ascii="Times New Roman" w:eastAsia="Times New Roman" w:hAnsi="Times New Roman" w:cs="Times New Roman"/>
          <w:i/>
          <w:iCs/>
          <w:sz w:val="24"/>
          <w:szCs w:val="24"/>
          <w:lang w:val="en-US" w:eastAsia="en-US"/>
        </w:rPr>
        <w:t>Nature Reviews Microbiology, 6</w:t>
      </w:r>
      <w:r w:rsidRPr="00FF7FB4">
        <w:rPr>
          <w:rFonts w:ascii="Times New Roman" w:eastAsia="Times New Roman" w:hAnsi="Times New Roman" w:cs="Times New Roman"/>
          <w:sz w:val="24"/>
          <w:szCs w:val="24"/>
          <w:lang w:val="en-US" w:eastAsia="en-US"/>
        </w:rPr>
        <w:t xml:space="preserve">(10), 776–788. https://doi.org/10.1038/nrmicro1978 </w:t>
      </w:r>
    </w:p>
    <w:p w14:paraId="4645445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Shapira, M. (2016). Gut microbiotas and host evolution: Scaling up symbiosis. </w:t>
      </w:r>
      <w:r w:rsidRPr="00FF7FB4">
        <w:rPr>
          <w:rFonts w:ascii="Times New Roman" w:eastAsia="Times New Roman" w:hAnsi="Times New Roman" w:cs="Times New Roman"/>
          <w:i/>
          <w:iCs/>
          <w:sz w:val="24"/>
          <w:szCs w:val="24"/>
          <w:lang w:val="en-US" w:eastAsia="en-US"/>
        </w:rPr>
        <w:t>Trends in Ecology &amp; Evolution, 31</w:t>
      </w:r>
      <w:r w:rsidRPr="00FF7FB4">
        <w:rPr>
          <w:rFonts w:ascii="Times New Roman" w:eastAsia="Times New Roman" w:hAnsi="Times New Roman" w:cs="Times New Roman"/>
          <w:sz w:val="24"/>
          <w:szCs w:val="24"/>
          <w:lang w:val="en-US" w:eastAsia="en-US"/>
        </w:rPr>
        <w:t xml:space="preserve">(7), 539–549. https://doi.org/10.1016/j.tree.2016.03.006 </w:t>
      </w:r>
    </w:p>
    <w:p w14:paraId="6A5C5217"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Chen, Y., &amp; Chen, J. (2025). Shift patterns of internal bacterial communities across five life stages of laboratory-maintained </w:t>
      </w:r>
      <w:proofErr w:type="spellStart"/>
      <w:r w:rsidRPr="00FF7FB4">
        <w:rPr>
          <w:rFonts w:ascii="Times New Roman" w:eastAsia="Times New Roman" w:hAnsi="Times New Roman" w:cs="Times New Roman"/>
          <w:i/>
          <w:iCs/>
          <w:sz w:val="24"/>
          <w:szCs w:val="24"/>
          <w:lang w:val="en-US" w:eastAsia="en-US"/>
        </w:rPr>
        <w:t>Eremobelba</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eharai</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sz w:val="24"/>
          <w:szCs w:val="24"/>
          <w:lang w:val="en-US" w:eastAsia="en-US"/>
        </w:rPr>
        <w:t>Eremobelbidae</w:t>
      </w:r>
      <w:proofErr w:type="spellEnd"/>
      <w:r w:rsidRPr="00FF7FB4">
        <w:rPr>
          <w:rFonts w:ascii="Times New Roman" w:eastAsia="Times New Roman" w:hAnsi="Times New Roman" w:cs="Times New Roman"/>
          <w:sz w:val="24"/>
          <w:szCs w:val="24"/>
          <w:lang w:val="en-US" w:eastAsia="en-US"/>
        </w:rPr>
        <w:t xml:space="preserve">). </w:t>
      </w:r>
      <w:r w:rsidRPr="00FF7FB4">
        <w:rPr>
          <w:rFonts w:ascii="Times New Roman" w:eastAsia="Times New Roman" w:hAnsi="Times New Roman" w:cs="Times New Roman"/>
          <w:i/>
          <w:iCs/>
          <w:sz w:val="24"/>
          <w:szCs w:val="24"/>
          <w:lang w:val="en-US" w:eastAsia="en-US"/>
        </w:rPr>
        <w:t>Frontiers in Microbiology, 16</w:t>
      </w:r>
      <w:r w:rsidRPr="00FF7FB4">
        <w:rPr>
          <w:rFonts w:ascii="Times New Roman" w:eastAsia="Times New Roman" w:hAnsi="Times New Roman" w:cs="Times New Roman"/>
          <w:sz w:val="24"/>
          <w:szCs w:val="24"/>
          <w:lang w:val="en-US" w:eastAsia="en-US"/>
        </w:rPr>
        <w:t xml:space="preserve">, Article 1512653. https://doi.org/10.3389/fmicb.2025.1512653 </w:t>
      </w:r>
    </w:p>
    <w:p w14:paraId="72C61FEF"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Zhu, D., Delgado-Baquerizo, M., Ding, J., Gillings, M. R., &amp; Zhu, Y.-G. (2021). Trophic level drives the host microbiome of soil invertebrates at a continental scale. </w:t>
      </w:r>
      <w:r w:rsidRPr="00FF7FB4">
        <w:rPr>
          <w:rFonts w:ascii="Times New Roman" w:eastAsia="Times New Roman" w:hAnsi="Times New Roman" w:cs="Times New Roman"/>
          <w:i/>
          <w:iCs/>
          <w:sz w:val="24"/>
          <w:szCs w:val="24"/>
          <w:lang w:val="en-US" w:eastAsia="en-US"/>
        </w:rPr>
        <w:t>Microbiome, 9</w:t>
      </w:r>
      <w:r w:rsidRPr="00FF7FB4">
        <w:rPr>
          <w:rFonts w:ascii="Times New Roman" w:eastAsia="Times New Roman" w:hAnsi="Times New Roman" w:cs="Times New Roman"/>
          <w:sz w:val="24"/>
          <w:szCs w:val="24"/>
          <w:lang w:val="en-US" w:eastAsia="en-US"/>
        </w:rPr>
        <w:t xml:space="preserve">, Article 189. https://doi.org/10.1186/s40168-021-01144-4 </w:t>
      </w:r>
    </w:p>
    <w:p w14:paraId="35C3FD06"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Yoo, J. Y., Groer, M., Dutra, S. V. O., Sarkar, A., &amp; McSkimming, D. I. (2020). </w:t>
      </w:r>
      <w:r w:rsidRPr="00FF7FB4">
        <w:rPr>
          <w:rFonts w:ascii="Times New Roman" w:eastAsia="Times New Roman" w:hAnsi="Times New Roman" w:cs="Times New Roman"/>
          <w:sz w:val="24"/>
          <w:szCs w:val="24"/>
          <w:lang w:val="en-US" w:eastAsia="en-US"/>
        </w:rPr>
        <w:t xml:space="preserve">Gut microbiota and immune system interactions. </w:t>
      </w:r>
      <w:r w:rsidRPr="00FF7FB4">
        <w:rPr>
          <w:rFonts w:ascii="Times New Roman" w:eastAsia="Times New Roman" w:hAnsi="Times New Roman" w:cs="Times New Roman"/>
          <w:i/>
          <w:iCs/>
          <w:sz w:val="24"/>
          <w:szCs w:val="24"/>
          <w:lang w:val="en-US" w:eastAsia="en-US"/>
        </w:rPr>
        <w:t>Microorganisms, 8</w:t>
      </w:r>
      <w:r w:rsidRPr="00FF7FB4">
        <w:rPr>
          <w:rFonts w:ascii="Times New Roman" w:eastAsia="Times New Roman" w:hAnsi="Times New Roman" w:cs="Times New Roman"/>
          <w:sz w:val="24"/>
          <w:szCs w:val="24"/>
          <w:lang w:val="en-US" w:eastAsia="en-US"/>
        </w:rPr>
        <w:t xml:space="preserve">(10), Article 1587. https://doi.org/10.3390/microorganisms8101587 </w:t>
      </w:r>
    </w:p>
    <w:p w14:paraId="3ACEA9EB"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Dethlefsen, L., McFall-Ngai, M., &amp; Relman, D. A. (2007). An ecological and evolutionary perspective on human–microbe mutualism and disease. </w:t>
      </w:r>
      <w:r w:rsidRPr="00FF7FB4">
        <w:rPr>
          <w:rFonts w:ascii="Times New Roman" w:eastAsia="Times New Roman" w:hAnsi="Times New Roman" w:cs="Times New Roman"/>
          <w:i/>
          <w:iCs/>
          <w:sz w:val="24"/>
          <w:szCs w:val="24"/>
          <w:lang w:val="en-US" w:eastAsia="en-US"/>
        </w:rPr>
        <w:t>Nature, 449</w:t>
      </w:r>
      <w:r w:rsidRPr="00FF7FB4">
        <w:rPr>
          <w:rFonts w:ascii="Times New Roman" w:eastAsia="Times New Roman" w:hAnsi="Times New Roman" w:cs="Times New Roman"/>
          <w:sz w:val="24"/>
          <w:szCs w:val="24"/>
          <w:lang w:val="en-US" w:eastAsia="en-US"/>
        </w:rPr>
        <w:t xml:space="preserve">(7164), 811–818. https://doi.org/10.1038/nature06245 </w:t>
      </w:r>
    </w:p>
    <w:p w14:paraId="255974F0"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Pekas, A., Palevsky, E., Sumner, J. C., Perotti, M. A., </w:t>
      </w:r>
      <w:proofErr w:type="spellStart"/>
      <w:r w:rsidRPr="00FF7FB4">
        <w:rPr>
          <w:rFonts w:ascii="Times New Roman" w:eastAsia="Times New Roman" w:hAnsi="Times New Roman" w:cs="Times New Roman"/>
          <w:sz w:val="24"/>
          <w:szCs w:val="24"/>
          <w:lang w:val="en-US" w:eastAsia="en-US"/>
        </w:rPr>
        <w:t>Nesvorna</w:t>
      </w:r>
      <w:proofErr w:type="spellEnd"/>
      <w:r w:rsidRPr="00FF7FB4">
        <w:rPr>
          <w:rFonts w:ascii="Times New Roman" w:eastAsia="Times New Roman" w:hAnsi="Times New Roman" w:cs="Times New Roman"/>
          <w:sz w:val="24"/>
          <w:szCs w:val="24"/>
          <w:lang w:val="en-US" w:eastAsia="en-US"/>
        </w:rPr>
        <w:t xml:space="preserve">, M., &amp; Hubert, J. (2017). Comparison of bacterial microbiota of the predatory mite </w:t>
      </w:r>
      <w:proofErr w:type="spellStart"/>
      <w:r w:rsidRPr="00FF7FB4">
        <w:rPr>
          <w:rFonts w:ascii="Times New Roman" w:eastAsia="Times New Roman" w:hAnsi="Times New Roman" w:cs="Times New Roman"/>
          <w:i/>
          <w:iCs/>
          <w:sz w:val="24"/>
          <w:szCs w:val="24"/>
          <w:lang w:val="en-US" w:eastAsia="en-US"/>
        </w:rPr>
        <w:t>Neoseiulus</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cucumeris</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Phytoseiidae</w:t>
      </w:r>
      <w:proofErr w:type="spellEnd"/>
      <w:r w:rsidRPr="00FF7FB4">
        <w:rPr>
          <w:rFonts w:ascii="Times New Roman" w:eastAsia="Times New Roman" w:hAnsi="Times New Roman" w:cs="Times New Roman"/>
          <w:sz w:val="24"/>
          <w:szCs w:val="24"/>
          <w:lang w:val="en-US" w:eastAsia="en-US"/>
        </w:rPr>
        <w:t xml:space="preserve">) and its factitious prey </w:t>
      </w:r>
      <w:proofErr w:type="spellStart"/>
      <w:r w:rsidRPr="00FF7FB4">
        <w:rPr>
          <w:rFonts w:ascii="Times New Roman" w:eastAsia="Times New Roman" w:hAnsi="Times New Roman" w:cs="Times New Roman"/>
          <w:i/>
          <w:iCs/>
          <w:sz w:val="24"/>
          <w:szCs w:val="24"/>
          <w:lang w:val="en-US" w:eastAsia="en-US"/>
        </w:rPr>
        <w:t>Tyrophagus</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putrescentiae</w:t>
      </w:r>
      <w:proofErr w:type="spellEnd"/>
      <w:r w:rsidRPr="00FF7FB4">
        <w:rPr>
          <w:rFonts w:ascii="Times New Roman" w:eastAsia="Times New Roman" w:hAnsi="Times New Roman" w:cs="Times New Roman"/>
          <w:sz w:val="24"/>
          <w:szCs w:val="24"/>
          <w:lang w:val="en-US" w:eastAsia="en-US"/>
        </w:rPr>
        <w:t xml:space="preserve"> (Acari: Acaridae). </w:t>
      </w:r>
      <w:r w:rsidRPr="00FF7FB4">
        <w:rPr>
          <w:rFonts w:ascii="Times New Roman" w:eastAsia="Times New Roman" w:hAnsi="Times New Roman" w:cs="Times New Roman"/>
          <w:i/>
          <w:iCs/>
          <w:sz w:val="24"/>
          <w:szCs w:val="24"/>
          <w:lang w:val="en-US" w:eastAsia="en-US"/>
        </w:rPr>
        <w:t>Scientific Reports, 7</w:t>
      </w:r>
      <w:r w:rsidRPr="00FF7FB4">
        <w:rPr>
          <w:rFonts w:ascii="Times New Roman" w:eastAsia="Times New Roman" w:hAnsi="Times New Roman" w:cs="Times New Roman"/>
          <w:sz w:val="24"/>
          <w:szCs w:val="24"/>
          <w:lang w:val="en-US" w:eastAsia="en-US"/>
        </w:rPr>
        <w:t xml:space="preserve">, Article 2. https://doi.org/10.1038/s41598-017-00046-6 </w:t>
      </w:r>
    </w:p>
    <w:p w14:paraId="73E7E97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s-US" w:eastAsia="en-US"/>
        </w:rPr>
      </w:pPr>
      <w:r w:rsidRPr="00FF7FB4">
        <w:rPr>
          <w:rFonts w:ascii="Times New Roman" w:eastAsia="Times New Roman" w:hAnsi="Times New Roman" w:cs="Times New Roman"/>
          <w:sz w:val="24"/>
          <w:szCs w:val="24"/>
          <w:lang w:val="en-US" w:eastAsia="en-US"/>
        </w:rPr>
        <w:lastRenderedPageBreak/>
        <w:t xml:space="preserve">Velazco, V. N., Saravia, L. A., </w:t>
      </w:r>
      <w:proofErr w:type="spellStart"/>
      <w:r w:rsidRPr="00FF7FB4">
        <w:rPr>
          <w:rFonts w:ascii="Times New Roman" w:eastAsia="Times New Roman" w:hAnsi="Times New Roman" w:cs="Times New Roman"/>
          <w:sz w:val="24"/>
          <w:szCs w:val="24"/>
          <w:lang w:val="en-US" w:eastAsia="en-US"/>
        </w:rPr>
        <w:t>Coviella</w:t>
      </w:r>
      <w:proofErr w:type="spellEnd"/>
      <w:r w:rsidRPr="00FF7FB4">
        <w:rPr>
          <w:rFonts w:ascii="Times New Roman" w:eastAsia="Times New Roman" w:hAnsi="Times New Roman" w:cs="Times New Roman"/>
          <w:sz w:val="24"/>
          <w:szCs w:val="24"/>
          <w:lang w:val="en-US" w:eastAsia="en-US"/>
        </w:rPr>
        <w:t xml:space="preserve">, C. E., &amp; Falco, L. B. (2023). Trophic resources of the edaphic microarthropods: A worldwide review of the empirical evidence. </w:t>
      </w:r>
      <w:proofErr w:type="spellStart"/>
      <w:r w:rsidRPr="00FF7FB4">
        <w:rPr>
          <w:rFonts w:ascii="Times New Roman" w:eastAsia="Times New Roman" w:hAnsi="Times New Roman" w:cs="Times New Roman"/>
          <w:i/>
          <w:iCs/>
          <w:sz w:val="24"/>
          <w:szCs w:val="24"/>
          <w:lang w:val="es-US" w:eastAsia="en-US"/>
        </w:rPr>
        <w:t>Heliyon</w:t>
      </w:r>
      <w:proofErr w:type="spellEnd"/>
      <w:r w:rsidRPr="00FF7FB4">
        <w:rPr>
          <w:rFonts w:ascii="Times New Roman" w:eastAsia="Times New Roman" w:hAnsi="Times New Roman" w:cs="Times New Roman"/>
          <w:i/>
          <w:iCs/>
          <w:sz w:val="24"/>
          <w:szCs w:val="24"/>
          <w:lang w:val="es-US" w:eastAsia="en-US"/>
        </w:rPr>
        <w:t>, 9</w:t>
      </w:r>
      <w:r w:rsidRPr="00FF7FB4">
        <w:rPr>
          <w:rFonts w:ascii="Times New Roman" w:eastAsia="Times New Roman" w:hAnsi="Times New Roman" w:cs="Times New Roman"/>
          <w:sz w:val="24"/>
          <w:szCs w:val="24"/>
          <w:lang w:val="es-US" w:eastAsia="en-US"/>
        </w:rPr>
        <w:t xml:space="preserve">(10), </w:t>
      </w:r>
      <w:proofErr w:type="spellStart"/>
      <w:r w:rsidRPr="00FF7FB4">
        <w:rPr>
          <w:rFonts w:ascii="Times New Roman" w:eastAsia="Times New Roman" w:hAnsi="Times New Roman" w:cs="Times New Roman"/>
          <w:sz w:val="24"/>
          <w:szCs w:val="24"/>
          <w:lang w:val="es-US" w:eastAsia="en-US"/>
        </w:rPr>
        <w:t>Article</w:t>
      </w:r>
      <w:proofErr w:type="spellEnd"/>
      <w:r w:rsidRPr="00FF7FB4">
        <w:rPr>
          <w:rFonts w:ascii="Times New Roman" w:eastAsia="Times New Roman" w:hAnsi="Times New Roman" w:cs="Times New Roman"/>
          <w:sz w:val="24"/>
          <w:szCs w:val="24"/>
          <w:lang w:val="es-US" w:eastAsia="en-US"/>
        </w:rPr>
        <w:t xml:space="preserve"> e20439. https://doi.org/10.1016/j.heliyon.2023.e20439 </w:t>
      </w:r>
    </w:p>
    <w:p w14:paraId="22F5332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s-US" w:eastAsia="en-US"/>
        </w:rPr>
        <w:t xml:space="preserve">Haq, M. A., &amp; Ramani, N. (2002). </w:t>
      </w:r>
      <w:r w:rsidRPr="00FF7FB4">
        <w:rPr>
          <w:rFonts w:ascii="Times New Roman" w:eastAsia="Times New Roman" w:hAnsi="Times New Roman" w:cs="Times New Roman"/>
          <w:sz w:val="24"/>
          <w:szCs w:val="24"/>
          <w:lang w:val="en-US" w:eastAsia="en-US"/>
        </w:rPr>
        <w:t xml:space="preserve">Sampling, extraction and identification of oribatid mites. In P. R. Yadav, R. Chauhan, B. N. </w:t>
      </w:r>
      <w:proofErr w:type="spellStart"/>
      <w:r w:rsidRPr="00FF7FB4">
        <w:rPr>
          <w:rFonts w:ascii="Times New Roman" w:eastAsia="Times New Roman" w:hAnsi="Times New Roman" w:cs="Times New Roman"/>
          <w:sz w:val="24"/>
          <w:szCs w:val="24"/>
          <w:lang w:val="en-US" w:eastAsia="en-US"/>
        </w:rPr>
        <w:t>Putatunda</w:t>
      </w:r>
      <w:proofErr w:type="spellEnd"/>
      <w:r w:rsidRPr="00FF7FB4">
        <w:rPr>
          <w:rFonts w:ascii="Times New Roman" w:eastAsia="Times New Roman" w:hAnsi="Times New Roman" w:cs="Times New Roman"/>
          <w:sz w:val="24"/>
          <w:szCs w:val="24"/>
          <w:lang w:val="en-US" w:eastAsia="en-US"/>
        </w:rPr>
        <w:t xml:space="preserve">, &amp; B. S. </w:t>
      </w:r>
      <w:proofErr w:type="spellStart"/>
      <w:r w:rsidRPr="00FF7FB4">
        <w:rPr>
          <w:rFonts w:ascii="Times New Roman" w:eastAsia="Times New Roman" w:hAnsi="Times New Roman" w:cs="Times New Roman"/>
          <w:sz w:val="24"/>
          <w:szCs w:val="24"/>
          <w:lang w:val="en-US" w:eastAsia="en-US"/>
        </w:rPr>
        <w:t>Chhillar</w:t>
      </w:r>
      <w:proofErr w:type="spellEnd"/>
      <w:r w:rsidRPr="00FF7FB4">
        <w:rPr>
          <w:rFonts w:ascii="Times New Roman" w:eastAsia="Times New Roman" w:hAnsi="Times New Roman" w:cs="Times New Roman"/>
          <w:sz w:val="24"/>
          <w:szCs w:val="24"/>
          <w:lang w:val="en-US" w:eastAsia="en-US"/>
        </w:rPr>
        <w:t xml:space="preserve"> (Eds.), </w:t>
      </w:r>
      <w:r w:rsidRPr="00FF7FB4">
        <w:rPr>
          <w:rFonts w:ascii="Times New Roman" w:eastAsia="Times New Roman" w:hAnsi="Times New Roman" w:cs="Times New Roman"/>
          <w:i/>
          <w:iCs/>
          <w:sz w:val="24"/>
          <w:szCs w:val="24"/>
          <w:lang w:val="en-US" w:eastAsia="en-US"/>
        </w:rPr>
        <w:t>Mites: Their identification and management</w:t>
      </w:r>
      <w:r w:rsidRPr="00FF7FB4">
        <w:rPr>
          <w:rFonts w:ascii="Times New Roman" w:eastAsia="Times New Roman" w:hAnsi="Times New Roman" w:cs="Times New Roman"/>
          <w:sz w:val="24"/>
          <w:szCs w:val="24"/>
          <w:lang w:val="en-US" w:eastAsia="en-US"/>
        </w:rPr>
        <w:t xml:space="preserve"> (pp. 195–212). ICAR Centre of Advanced Studies, Department of Entomology, CCS Haryana Agricultural University. </w:t>
      </w:r>
    </w:p>
    <w:p w14:paraId="33B7673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Arun, A., &amp; Ramani, N. (2020). Two remarkable new species of oribatid mites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from </w:t>
      </w:r>
      <w:r w:rsidRPr="00FF7FB4">
        <w:rPr>
          <w:rFonts w:ascii="Times New Roman" w:eastAsia="Times New Roman" w:hAnsi="Times New Roman" w:cs="Times New Roman"/>
          <w:i/>
          <w:iCs/>
          <w:sz w:val="24"/>
          <w:szCs w:val="24"/>
          <w:lang w:val="en-US" w:eastAsia="en-US"/>
        </w:rPr>
        <w:t>Acacia</w:t>
      </w:r>
      <w:r w:rsidRPr="00FF7FB4">
        <w:rPr>
          <w:rFonts w:ascii="Times New Roman" w:eastAsia="Times New Roman" w:hAnsi="Times New Roman" w:cs="Times New Roman"/>
          <w:sz w:val="24"/>
          <w:szCs w:val="24"/>
          <w:lang w:val="en-US" w:eastAsia="en-US"/>
        </w:rPr>
        <w:t xml:space="preserve"> litter of Kerala, India. </w:t>
      </w:r>
      <w:proofErr w:type="spellStart"/>
      <w:r w:rsidRPr="00FF7FB4">
        <w:rPr>
          <w:rFonts w:ascii="Times New Roman" w:eastAsia="Times New Roman" w:hAnsi="Times New Roman" w:cs="Times New Roman"/>
          <w:i/>
          <w:iCs/>
          <w:sz w:val="24"/>
          <w:szCs w:val="24"/>
          <w:lang w:val="en-US" w:eastAsia="en-US"/>
        </w:rPr>
        <w:t>Zootaxa</w:t>
      </w:r>
      <w:proofErr w:type="spellEnd"/>
      <w:r w:rsidRPr="00FF7FB4">
        <w:rPr>
          <w:rFonts w:ascii="Times New Roman" w:eastAsia="Times New Roman" w:hAnsi="Times New Roman" w:cs="Times New Roman"/>
          <w:i/>
          <w:iCs/>
          <w:sz w:val="24"/>
          <w:szCs w:val="24"/>
          <w:lang w:val="en-US" w:eastAsia="en-US"/>
        </w:rPr>
        <w:t>, 4877</w:t>
      </w:r>
      <w:r w:rsidRPr="00FF7FB4">
        <w:rPr>
          <w:rFonts w:ascii="Times New Roman" w:eastAsia="Times New Roman" w:hAnsi="Times New Roman" w:cs="Times New Roman"/>
          <w:sz w:val="24"/>
          <w:szCs w:val="24"/>
          <w:lang w:val="en-US" w:eastAsia="en-US"/>
        </w:rPr>
        <w:t xml:space="preserve">(3), 539–558. https://doi.org/10.11646/zootaxa.4877.3.7 </w:t>
      </w:r>
    </w:p>
    <w:p w14:paraId="1DFF3D83"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Haq, M. A., &amp; Konikkara, I. D. (1989). </w:t>
      </w:r>
      <w:r w:rsidRPr="00FF7FB4">
        <w:rPr>
          <w:rFonts w:ascii="Times New Roman" w:eastAsia="Times New Roman" w:hAnsi="Times New Roman" w:cs="Times New Roman"/>
          <w:sz w:val="24"/>
          <w:szCs w:val="24"/>
          <w:lang w:val="en-US" w:eastAsia="en-US"/>
        </w:rPr>
        <w:t xml:space="preserve">Microbial associations in xylophagous oribatids. In G. P. </w:t>
      </w:r>
      <w:proofErr w:type="spellStart"/>
      <w:r w:rsidRPr="00FF7FB4">
        <w:rPr>
          <w:rFonts w:ascii="Times New Roman" w:eastAsia="Times New Roman" w:hAnsi="Times New Roman" w:cs="Times New Roman"/>
          <w:sz w:val="24"/>
          <w:szCs w:val="24"/>
          <w:lang w:val="en-US" w:eastAsia="en-US"/>
        </w:rPr>
        <w:t>Channabasavanna</w:t>
      </w:r>
      <w:proofErr w:type="spellEnd"/>
      <w:r w:rsidRPr="00FF7FB4">
        <w:rPr>
          <w:rFonts w:ascii="Times New Roman" w:eastAsia="Times New Roman" w:hAnsi="Times New Roman" w:cs="Times New Roman"/>
          <w:sz w:val="24"/>
          <w:szCs w:val="24"/>
          <w:lang w:val="en-US" w:eastAsia="en-US"/>
        </w:rPr>
        <w:t xml:space="preserve"> &amp; C. A. </w:t>
      </w:r>
      <w:proofErr w:type="spellStart"/>
      <w:r w:rsidRPr="00FF7FB4">
        <w:rPr>
          <w:rFonts w:ascii="Times New Roman" w:eastAsia="Times New Roman" w:hAnsi="Times New Roman" w:cs="Times New Roman"/>
          <w:sz w:val="24"/>
          <w:szCs w:val="24"/>
          <w:lang w:val="en-US" w:eastAsia="en-US"/>
        </w:rPr>
        <w:t>Viraktamath</w:t>
      </w:r>
      <w:proofErr w:type="spellEnd"/>
      <w:r w:rsidRPr="00FF7FB4">
        <w:rPr>
          <w:rFonts w:ascii="Times New Roman" w:eastAsia="Times New Roman" w:hAnsi="Times New Roman" w:cs="Times New Roman"/>
          <w:sz w:val="24"/>
          <w:szCs w:val="24"/>
          <w:lang w:val="en-US" w:eastAsia="en-US"/>
        </w:rPr>
        <w:t xml:space="preserve"> (Eds.), </w:t>
      </w:r>
      <w:r w:rsidRPr="00FF7FB4">
        <w:rPr>
          <w:rFonts w:ascii="Times New Roman" w:eastAsia="Times New Roman" w:hAnsi="Times New Roman" w:cs="Times New Roman"/>
          <w:i/>
          <w:iCs/>
          <w:sz w:val="24"/>
          <w:szCs w:val="24"/>
          <w:lang w:val="en-US" w:eastAsia="en-US"/>
        </w:rPr>
        <w:t>Progress in acarology</w:t>
      </w:r>
      <w:r w:rsidRPr="00FF7FB4">
        <w:rPr>
          <w:rFonts w:ascii="Times New Roman" w:eastAsia="Times New Roman" w:hAnsi="Times New Roman" w:cs="Times New Roman"/>
          <w:sz w:val="24"/>
          <w:szCs w:val="24"/>
          <w:lang w:val="en-US" w:eastAsia="en-US"/>
        </w:rPr>
        <w:t xml:space="preserve"> (Vol. 1, pp. 469–474). Brill. </w:t>
      </w:r>
      <w:hyperlink r:id="rId22" w:tgtFrame="_new" w:history="1">
        <w:r w:rsidRPr="00FF7FB4">
          <w:rPr>
            <w:rFonts w:ascii="Times New Roman" w:eastAsia="Times New Roman" w:hAnsi="Times New Roman" w:cs="Times New Roman"/>
            <w:color w:val="0000FF"/>
            <w:sz w:val="24"/>
            <w:szCs w:val="24"/>
            <w:u w:val="single"/>
            <w:lang w:val="en-US" w:eastAsia="en-US"/>
          </w:rPr>
          <w:t>https://external.dandelon.com/download/attachments/dandelon/ids/DE00659E511D8D733B163C1257A36004585D0.pdf</w:t>
        </w:r>
      </w:hyperlink>
      <w:r w:rsidRPr="00FF7FB4">
        <w:rPr>
          <w:rFonts w:ascii="Times New Roman" w:eastAsia="Times New Roman" w:hAnsi="Times New Roman" w:cs="Times New Roman"/>
          <w:sz w:val="24"/>
          <w:szCs w:val="24"/>
          <w:lang w:val="en-US" w:eastAsia="en-US"/>
        </w:rPr>
        <w:t xml:space="preserve"> </w:t>
      </w:r>
    </w:p>
    <w:p w14:paraId="63E79B96"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Balogh, J. (1965). A synopsis of the world oribatid (Acari) genera. </w:t>
      </w:r>
      <w:r w:rsidRPr="00FF7FB4">
        <w:rPr>
          <w:rFonts w:ascii="Times New Roman" w:eastAsia="Times New Roman" w:hAnsi="Times New Roman" w:cs="Times New Roman"/>
          <w:i/>
          <w:iCs/>
          <w:sz w:val="24"/>
          <w:szCs w:val="24"/>
          <w:lang w:val="en-US" w:eastAsia="en-US"/>
        </w:rPr>
        <w:t xml:space="preserve">Acta </w:t>
      </w:r>
      <w:proofErr w:type="spellStart"/>
      <w:r w:rsidRPr="00FF7FB4">
        <w:rPr>
          <w:rFonts w:ascii="Times New Roman" w:eastAsia="Times New Roman" w:hAnsi="Times New Roman" w:cs="Times New Roman"/>
          <w:i/>
          <w:iCs/>
          <w:sz w:val="24"/>
          <w:szCs w:val="24"/>
          <w:lang w:val="en-US" w:eastAsia="en-US"/>
        </w:rPr>
        <w:t>Zoologica</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Academiae</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Scientiarum</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Hungaricae</w:t>
      </w:r>
      <w:proofErr w:type="spellEnd"/>
      <w:r w:rsidRPr="00FF7FB4">
        <w:rPr>
          <w:rFonts w:ascii="Times New Roman" w:eastAsia="Times New Roman" w:hAnsi="Times New Roman" w:cs="Times New Roman"/>
          <w:i/>
          <w:iCs/>
          <w:sz w:val="24"/>
          <w:szCs w:val="24"/>
          <w:lang w:val="en-US" w:eastAsia="en-US"/>
        </w:rPr>
        <w:t>, 11</w:t>
      </w:r>
      <w:r w:rsidRPr="00FF7FB4">
        <w:rPr>
          <w:rFonts w:ascii="Times New Roman" w:eastAsia="Times New Roman" w:hAnsi="Times New Roman" w:cs="Times New Roman"/>
          <w:sz w:val="24"/>
          <w:szCs w:val="24"/>
          <w:lang w:val="en-US" w:eastAsia="en-US"/>
        </w:rPr>
        <w:t xml:space="preserve">(1–2), 5–99. </w:t>
      </w:r>
    </w:p>
    <w:p w14:paraId="4748B0E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nl-BE" w:eastAsia="en-US"/>
        </w:rPr>
      </w:pPr>
      <w:r w:rsidRPr="00FF7FB4">
        <w:rPr>
          <w:rFonts w:ascii="Times New Roman" w:eastAsia="Times New Roman" w:hAnsi="Times New Roman" w:cs="Times New Roman"/>
          <w:sz w:val="24"/>
          <w:szCs w:val="24"/>
          <w:lang w:val="en-US" w:eastAsia="en-US"/>
        </w:rPr>
        <w:t xml:space="preserve">Balogh, J. (1972). </w:t>
      </w:r>
      <w:r w:rsidRPr="00FF7FB4">
        <w:rPr>
          <w:rFonts w:ascii="Times New Roman" w:eastAsia="Times New Roman" w:hAnsi="Times New Roman" w:cs="Times New Roman"/>
          <w:i/>
          <w:iCs/>
          <w:sz w:val="24"/>
          <w:szCs w:val="24"/>
          <w:lang w:val="en-US" w:eastAsia="en-US"/>
        </w:rPr>
        <w:t>The oribatid genera of the world</w:t>
      </w:r>
      <w:r w:rsidRPr="00FF7FB4">
        <w:rPr>
          <w:rFonts w:ascii="Times New Roman" w:eastAsia="Times New Roman" w:hAnsi="Times New Roman" w:cs="Times New Roman"/>
          <w:sz w:val="24"/>
          <w:szCs w:val="24"/>
          <w:lang w:val="en-US" w:eastAsia="en-US"/>
        </w:rPr>
        <w:t xml:space="preserve">. </w:t>
      </w:r>
      <w:r w:rsidRPr="00FF7FB4">
        <w:rPr>
          <w:rFonts w:ascii="Times New Roman" w:eastAsia="Times New Roman" w:hAnsi="Times New Roman" w:cs="Times New Roman"/>
          <w:sz w:val="24"/>
          <w:szCs w:val="24"/>
          <w:lang w:val="nl-BE" w:eastAsia="en-US"/>
        </w:rPr>
        <w:t xml:space="preserve">Akadémiai Kiadó. </w:t>
      </w:r>
      <w:hyperlink r:id="rId23" w:tgtFrame="_new" w:history="1">
        <w:r w:rsidRPr="00FF7FB4">
          <w:rPr>
            <w:rFonts w:ascii="Times New Roman" w:eastAsia="Times New Roman" w:hAnsi="Times New Roman" w:cs="Times New Roman"/>
            <w:color w:val="0000FF"/>
            <w:sz w:val="24"/>
            <w:szCs w:val="24"/>
            <w:u w:val="single"/>
            <w:lang w:val="nl-BE" w:eastAsia="en-US"/>
          </w:rPr>
          <w:t>https://real-eod.mtak.hu/12740/</w:t>
        </w:r>
      </w:hyperlink>
      <w:r w:rsidRPr="00FF7FB4">
        <w:rPr>
          <w:rFonts w:ascii="Times New Roman" w:eastAsia="Times New Roman" w:hAnsi="Times New Roman" w:cs="Times New Roman"/>
          <w:sz w:val="24"/>
          <w:szCs w:val="24"/>
          <w:lang w:val="nl-BE" w:eastAsia="en-US"/>
        </w:rPr>
        <w:t xml:space="preserve"> </w:t>
      </w:r>
    </w:p>
    <w:p w14:paraId="4AB70E24"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Balogh, J., &amp; Balogh, P. (1988). </w:t>
      </w:r>
      <w:r w:rsidRPr="00FF7FB4">
        <w:rPr>
          <w:rFonts w:ascii="Times New Roman" w:eastAsia="Times New Roman" w:hAnsi="Times New Roman" w:cs="Times New Roman"/>
          <w:i/>
          <w:iCs/>
          <w:sz w:val="24"/>
          <w:szCs w:val="24"/>
          <w:lang w:val="en-US" w:eastAsia="en-US"/>
        </w:rPr>
        <w:t>Oribatid mites of the Neotropical region I</w:t>
      </w:r>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sz w:val="24"/>
          <w:szCs w:val="24"/>
          <w:lang w:val="en-US" w:eastAsia="en-US"/>
        </w:rPr>
        <w:t>Akadémiai</w:t>
      </w:r>
      <w:proofErr w:type="spellEnd"/>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sz w:val="24"/>
          <w:szCs w:val="24"/>
          <w:lang w:val="en-US" w:eastAsia="en-US"/>
        </w:rPr>
        <w:t>Kiadó</w:t>
      </w:r>
      <w:proofErr w:type="spellEnd"/>
      <w:r w:rsidRPr="00FF7FB4">
        <w:rPr>
          <w:rFonts w:ascii="Times New Roman" w:eastAsia="Times New Roman" w:hAnsi="Times New Roman" w:cs="Times New Roman"/>
          <w:sz w:val="24"/>
          <w:szCs w:val="24"/>
          <w:lang w:val="en-US" w:eastAsia="en-US"/>
        </w:rPr>
        <w:t xml:space="preserve">–Elsevier. </w:t>
      </w:r>
      <w:hyperlink r:id="rId24" w:tgtFrame="_new" w:history="1">
        <w:r w:rsidRPr="00FF7FB4">
          <w:rPr>
            <w:rFonts w:ascii="Times New Roman" w:eastAsia="Times New Roman" w:hAnsi="Times New Roman" w:cs="Times New Roman"/>
            <w:color w:val="0000FF"/>
            <w:sz w:val="24"/>
            <w:szCs w:val="24"/>
            <w:u w:val="single"/>
            <w:lang w:val="en-US" w:eastAsia="en-US"/>
          </w:rPr>
          <w:t>https://real-eod.mtak.hu/18996/</w:t>
        </w:r>
      </w:hyperlink>
      <w:r w:rsidRPr="00FF7FB4">
        <w:rPr>
          <w:rFonts w:ascii="Times New Roman" w:eastAsia="Times New Roman" w:hAnsi="Times New Roman" w:cs="Times New Roman"/>
          <w:sz w:val="24"/>
          <w:szCs w:val="24"/>
          <w:lang w:val="en-US" w:eastAsia="en-US"/>
        </w:rPr>
        <w:t xml:space="preserve"> </w:t>
      </w:r>
    </w:p>
    <w:p w14:paraId="6BA669D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Balogh, J., &amp; Balogh, P. (1998). On the family </w:t>
      </w:r>
      <w:proofErr w:type="spellStart"/>
      <w:r w:rsidRPr="00FF7FB4">
        <w:rPr>
          <w:rFonts w:ascii="Times New Roman" w:eastAsia="Times New Roman" w:hAnsi="Times New Roman" w:cs="Times New Roman"/>
          <w:sz w:val="24"/>
          <w:szCs w:val="24"/>
          <w:lang w:val="en-US" w:eastAsia="en-US"/>
        </w:rPr>
        <w:t>Micreremidae</w:t>
      </w:r>
      <w:proofErr w:type="spellEnd"/>
      <w:r w:rsidRPr="00FF7FB4">
        <w:rPr>
          <w:rFonts w:ascii="Times New Roman" w:eastAsia="Times New Roman" w:hAnsi="Times New Roman" w:cs="Times New Roman"/>
          <w:sz w:val="24"/>
          <w:szCs w:val="24"/>
          <w:lang w:val="en-US" w:eastAsia="en-US"/>
        </w:rPr>
        <w:t xml:space="preserve"> Grandjean, 1954 (Acari, </w:t>
      </w:r>
      <w:proofErr w:type="spellStart"/>
      <w:r w:rsidRPr="00FF7FB4">
        <w:rPr>
          <w:rFonts w:ascii="Times New Roman" w:eastAsia="Times New Roman" w:hAnsi="Times New Roman" w:cs="Times New Roman"/>
          <w:sz w:val="24"/>
          <w:szCs w:val="24"/>
          <w:lang w:val="en-US" w:eastAsia="en-US"/>
        </w:rPr>
        <w:t>Oribatei</w:t>
      </w:r>
      <w:proofErr w:type="spellEnd"/>
      <w:r w:rsidRPr="00FF7FB4">
        <w:rPr>
          <w:rFonts w:ascii="Times New Roman" w:eastAsia="Times New Roman" w:hAnsi="Times New Roman" w:cs="Times New Roman"/>
          <w:sz w:val="24"/>
          <w:szCs w:val="24"/>
          <w:lang w:val="en-US" w:eastAsia="en-US"/>
        </w:rPr>
        <w:t xml:space="preserve">). </w:t>
      </w:r>
      <w:r w:rsidRPr="00FF7FB4">
        <w:rPr>
          <w:rFonts w:ascii="Times New Roman" w:eastAsia="Times New Roman" w:hAnsi="Times New Roman" w:cs="Times New Roman"/>
          <w:i/>
          <w:iCs/>
          <w:sz w:val="24"/>
          <w:szCs w:val="24"/>
          <w:lang w:val="en-US" w:eastAsia="en-US"/>
        </w:rPr>
        <w:t xml:space="preserve">Opuscula </w:t>
      </w:r>
      <w:proofErr w:type="spellStart"/>
      <w:r w:rsidRPr="00FF7FB4">
        <w:rPr>
          <w:rFonts w:ascii="Times New Roman" w:eastAsia="Times New Roman" w:hAnsi="Times New Roman" w:cs="Times New Roman"/>
          <w:i/>
          <w:iCs/>
          <w:sz w:val="24"/>
          <w:szCs w:val="24"/>
          <w:lang w:val="en-US" w:eastAsia="en-US"/>
        </w:rPr>
        <w:t>Zoologica</w:t>
      </w:r>
      <w:proofErr w:type="spellEnd"/>
      <w:r w:rsidRPr="00FF7FB4">
        <w:rPr>
          <w:rFonts w:ascii="Times New Roman" w:eastAsia="Times New Roman" w:hAnsi="Times New Roman" w:cs="Times New Roman"/>
          <w:i/>
          <w:iCs/>
          <w:sz w:val="24"/>
          <w:szCs w:val="24"/>
          <w:lang w:val="en-US" w:eastAsia="en-US"/>
        </w:rPr>
        <w:t xml:space="preserve"> Budapest, 31</w:t>
      </w:r>
      <w:r w:rsidRPr="00FF7FB4">
        <w:rPr>
          <w:rFonts w:ascii="Times New Roman" w:eastAsia="Times New Roman" w:hAnsi="Times New Roman" w:cs="Times New Roman"/>
          <w:sz w:val="24"/>
          <w:szCs w:val="24"/>
          <w:lang w:val="en-US" w:eastAsia="en-US"/>
        </w:rPr>
        <w:t xml:space="preserve">, 17–24. </w:t>
      </w:r>
      <w:hyperlink r:id="rId25" w:tgtFrame="_new" w:history="1">
        <w:r w:rsidRPr="00FF7FB4">
          <w:rPr>
            <w:rFonts w:ascii="Times New Roman" w:eastAsia="Times New Roman" w:hAnsi="Times New Roman" w:cs="Times New Roman"/>
            <w:color w:val="0000FF"/>
            <w:sz w:val="24"/>
            <w:szCs w:val="24"/>
            <w:u w:val="single"/>
            <w:lang w:val="en-US" w:eastAsia="en-US"/>
          </w:rPr>
          <w:t>https://opuscula.elte.hu/tom31.htm</w:t>
        </w:r>
      </w:hyperlink>
      <w:r w:rsidRPr="00FF7FB4">
        <w:rPr>
          <w:rFonts w:ascii="Times New Roman" w:eastAsia="Times New Roman" w:hAnsi="Times New Roman" w:cs="Times New Roman"/>
          <w:sz w:val="24"/>
          <w:szCs w:val="24"/>
          <w:lang w:val="en-US" w:eastAsia="en-US"/>
        </w:rPr>
        <w:t xml:space="preserve"> </w:t>
      </w:r>
    </w:p>
    <w:p w14:paraId="6A3688F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Jüds, M., Heidemann, K., Eitzinger, B., &amp; Scheu, S. (2023). </w:t>
      </w:r>
      <w:r w:rsidRPr="00FF7FB4">
        <w:rPr>
          <w:rFonts w:ascii="Times New Roman" w:eastAsia="Times New Roman" w:hAnsi="Times New Roman" w:cs="Times New Roman"/>
          <w:sz w:val="24"/>
          <w:szCs w:val="24"/>
          <w:lang w:val="en-US" w:eastAsia="en-US"/>
        </w:rPr>
        <w:t xml:space="preserve">Testing the effectiveness of different wash protocols to remove body surface contaminants in invertebrate food web studies. </w:t>
      </w:r>
      <w:proofErr w:type="spellStart"/>
      <w:r w:rsidRPr="00FF7FB4">
        <w:rPr>
          <w:rFonts w:ascii="Times New Roman" w:eastAsia="Times New Roman" w:hAnsi="Times New Roman" w:cs="Times New Roman"/>
          <w:i/>
          <w:iCs/>
          <w:sz w:val="24"/>
          <w:szCs w:val="24"/>
          <w:lang w:val="en-US" w:eastAsia="en-US"/>
        </w:rPr>
        <w:t>PeerJ</w:t>
      </w:r>
      <w:proofErr w:type="spellEnd"/>
      <w:r w:rsidRPr="00FF7FB4">
        <w:rPr>
          <w:rFonts w:ascii="Times New Roman" w:eastAsia="Times New Roman" w:hAnsi="Times New Roman" w:cs="Times New Roman"/>
          <w:i/>
          <w:iCs/>
          <w:sz w:val="24"/>
          <w:szCs w:val="24"/>
          <w:lang w:val="en-US" w:eastAsia="en-US"/>
        </w:rPr>
        <w:t>, 11</w:t>
      </w:r>
      <w:r w:rsidRPr="00FF7FB4">
        <w:rPr>
          <w:rFonts w:ascii="Times New Roman" w:eastAsia="Times New Roman" w:hAnsi="Times New Roman" w:cs="Times New Roman"/>
          <w:sz w:val="24"/>
          <w:szCs w:val="24"/>
          <w:lang w:val="en-US" w:eastAsia="en-US"/>
        </w:rPr>
        <w:t xml:space="preserve">, Article e16018. https://doi.org/10.7717/peerj.16018 </w:t>
      </w:r>
    </w:p>
    <w:p w14:paraId="49311FF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Holt, J. G., Krieg, N. R., Sneath, P. H. A., Staley, J. T., &amp; Williams, S. T. (Eds.). (1994). </w:t>
      </w:r>
      <w:r w:rsidRPr="00FF7FB4">
        <w:rPr>
          <w:rFonts w:ascii="Times New Roman" w:eastAsia="Times New Roman" w:hAnsi="Times New Roman" w:cs="Times New Roman"/>
          <w:i/>
          <w:iCs/>
          <w:sz w:val="24"/>
          <w:szCs w:val="24"/>
          <w:lang w:val="en-US" w:eastAsia="en-US"/>
        </w:rPr>
        <w:t>Bergey’s manual of determinative bacteriology</w:t>
      </w:r>
      <w:r w:rsidRPr="00FF7FB4">
        <w:rPr>
          <w:rFonts w:ascii="Times New Roman" w:eastAsia="Times New Roman" w:hAnsi="Times New Roman" w:cs="Times New Roman"/>
          <w:sz w:val="24"/>
          <w:szCs w:val="24"/>
          <w:lang w:val="en-US" w:eastAsia="en-US"/>
        </w:rPr>
        <w:t xml:space="preserve"> (9th ed.). Williams &amp; Wilkins. </w:t>
      </w:r>
      <w:hyperlink r:id="rId26" w:tgtFrame="_new" w:history="1">
        <w:r w:rsidRPr="00FF7FB4">
          <w:rPr>
            <w:rFonts w:ascii="Times New Roman" w:eastAsia="Times New Roman" w:hAnsi="Times New Roman" w:cs="Times New Roman"/>
            <w:color w:val="0000FF"/>
            <w:sz w:val="24"/>
            <w:szCs w:val="24"/>
            <w:u w:val="single"/>
            <w:lang w:val="en-US" w:eastAsia="en-US"/>
          </w:rPr>
          <w:t>https://search.library.wisc.edu/catalog/999724574602121</w:t>
        </w:r>
      </w:hyperlink>
      <w:r w:rsidRPr="00FF7FB4">
        <w:rPr>
          <w:rFonts w:ascii="Times New Roman" w:eastAsia="Times New Roman" w:hAnsi="Times New Roman" w:cs="Times New Roman"/>
          <w:sz w:val="24"/>
          <w:szCs w:val="24"/>
          <w:lang w:val="en-US" w:eastAsia="en-US"/>
        </w:rPr>
        <w:t xml:space="preserve"> </w:t>
      </w:r>
    </w:p>
    <w:p w14:paraId="7CA3C4A1"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Vashist, H., Sharma, D., &amp; Gupta, A. (2013). A review on commonly used biochemical test for bacteria. </w:t>
      </w:r>
      <w:r w:rsidRPr="00FF7FB4">
        <w:rPr>
          <w:rFonts w:ascii="Times New Roman" w:eastAsia="Times New Roman" w:hAnsi="Times New Roman" w:cs="Times New Roman"/>
          <w:i/>
          <w:iCs/>
          <w:sz w:val="24"/>
          <w:szCs w:val="24"/>
          <w:lang w:val="en-US" w:eastAsia="en-US"/>
        </w:rPr>
        <w:t>Innovare Journal of Life Sciences, 1</w:t>
      </w:r>
      <w:r w:rsidRPr="00FF7FB4">
        <w:rPr>
          <w:rFonts w:ascii="Times New Roman" w:eastAsia="Times New Roman" w:hAnsi="Times New Roman" w:cs="Times New Roman"/>
          <w:sz w:val="24"/>
          <w:szCs w:val="24"/>
          <w:lang w:val="en-US" w:eastAsia="en-US"/>
        </w:rPr>
        <w:t xml:space="preserve">(1), 1–7. </w:t>
      </w:r>
      <w:hyperlink r:id="rId27" w:tgtFrame="_new" w:history="1">
        <w:r w:rsidRPr="00FF7FB4">
          <w:rPr>
            <w:rFonts w:ascii="Times New Roman" w:eastAsia="Times New Roman" w:hAnsi="Times New Roman" w:cs="Times New Roman"/>
            <w:color w:val="0000FF"/>
            <w:sz w:val="24"/>
            <w:szCs w:val="24"/>
            <w:u w:val="single"/>
            <w:lang w:val="en-US" w:eastAsia="en-US"/>
          </w:rPr>
          <w:t>https://www.academia.edu/75583185/A_Review_on_Commonly_Used_Biochemical_Test_for_Bacteria</w:t>
        </w:r>
      </w:hyperlink>
      <w:r w:rsidRPr="00FF7FB4">
        <w:rPr>
          <w:rFonts w:ascii="Times New Roman" w:eastAsia="Times New Roman" w:hAnsi="Times New Roman" w:cs="Times New Roman"/>
          <w:sz w:val="24"/>
          <w:szCs w:val="24"/>
          <w:lang w:val="en-US" w:eastAsia="en-US"/>
        </w:rPr>
        <w:t xml:space="preserve"> </w:t>
      </w:r>
    </w:p>
    <w:p w14:paraId="31BB516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Lane, D. J. (1991). 16S/23S rRNA sequencing. In E. </w:t>
      </w:r>
      <w:proofErr w:type="spellStart"/>
      <w:r w:rsidRPr="00FF7FB4">
        <w:rPr>
          <w:rFonts w:ascii="Times New Roman" w:eastAsia="Times New Roman" w:hAnsi="Times New Roman" w:cs="Times New Roman"/>
          <w:sz w:val="24"/>
          <w:szCs w:val="24"/>
          <w:lang w:val="en-US" w:eastAsia="en-US"/>
        </w:rPr>
        <w:t>Stackebrandt</w:t>
      </w:r>
      <w:proofErr w:type="spellEnd"/>
      <w:r w:rsidRPr="00FF7FB4">
        <w:rPr>
          <w:rFonts w:ascii="Times New Roman" w:eastAsia="Times New Roman" w:hAnsi="Times New Roman" w:cs="Times New Roman"/>
          <w:sz w:val="24"/>
          <w:szCs w:val="24"/>
          <w:lang w:val="en-US" w:eastAsia="en-US"/>
        </w:rPr>
        <w:t xml:space="preserve"> &amp; M. Goodfellow (Eds.), </w:t>
      </w:r>
      <w:r w:rsidRPr="00FF7FB4">
        <w:rPr>
          <w:rFonts w:ascii="Times New Roman" w:eastAsia="Times New Roman" w:hAnsi="Times New Roman" w:cs="Times New Roman"/>
          <w:i/>
          <w:iCs/>
          <w:sz w:val="24"/>
          <w:szCs w:val="24"/>
          <w:lang w:val="en-US" w:eastAsia="en-US"/>
        </w:rPr>
        <w:t>Nucleic acid techniques in bacterial systematics</w:t>
      </w:r>
      <w:r w:rsidRPr="00FF7FB4">
        <w:rPr>
          <w:rFonts w:ascii="Times New Roman" w:eastAsia="Times New Roman" w:hAnsi="Times New Roman" w:cs="Times New Roman"/>
          <w:sz w:val="24"/>
          <w:szCs w:val="24"/>
          <w:lang w:val="en-US" w:eastAsia="en-US"/>
        </w:rPr>
        <w:t xml:space="preserve"> (pp. 115–175). Wiley. </w:t>
      </w:r>
      <w:hyperlink r:id="rId28" w:tgtFrame="_new" w:history="1">
        <w:r w:rsidRPr="00FF7FB4">
          <w:rPr>
            <w:rFonts w:ascii="Times New Roman" w:eastAsia="Times New Roman" w:hAnsi="Times New Roman" w:cs="Times New Roman"/>
            <w:color w:val="0000FF"/>
            <w:sz w:val="24"/>
            <w:szCs w:val="24"/>
            <w:u w:val="single"/>
            <w:lang w:val="en-US" w:eastAsia="en-US"/>
          </w:rPr>
          <w:t>https://catalog.nlm.nih.gov/discovery/fulldisplay/alma996854943406676/01NLM_INST%3A01NLM_INST</w:t>
        </w:r>
      </w:hyperlink>
      <w:r w:rsidRPr="00FF7FB4">
        <w:rPr>
          <w:rFonts w:ascii="Times New Roman" w:eastAsia="Times New Roman" w:hAnsi="Times New Roman" w:cs="Times New Roman"/>
          <w:sz w:val="24"/>
          <w:szCs w:val="24"/>
          <w:lang w:val="en-US" w:eastAsia="en-US"/>
        </w:rPr>
        <w:t xml:space="preserve"> </w:t>
      </w:r>
    </w:p>
    <w:p w14:paraId="7A2E61B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Altschul, S. F., Gish, W., Miller, W., Myers, E. W., &amp; Lipman, D. J. (1990). Basic local alignment search tool. </w:t>
      </w:r>
      <w:r w:rsidRPr="00FF7FB4">
        <w:rPr>
          <w:rFonts w:ascii="Times New Roman" w:eastAsia="Times New Roman" w:hAnsi="Times New Roman" w:cs="Times New Roman"/>
          <w:i/>
          <w:iCs/>
          <w:sz w:val="24"/>
          <w:szCs w:val="24"/>
          <w:lang w:val="en-US" w:eastAsia="en-US"/>
        </w:rPr>
        <w:t>Journal of Molecular Biology, 215</w:t>
      </w:r>
      <w:r w:rsidRPr="00FF7FB4">
        <w:rPr>
          <w:rFonts w:ascii="Times New Roman" w:eastAsia="Times New Roman" w:hAnsi="Times New Roman" w:cs="Times New Roman"/>
          <w:sz w:val="24"/>
          <w:szCs w:val="24"/>
          <w:lang w:val="en-US" w:eastAsia="en-US"/>
        </w:rPr>
        <w:t xml:space="preserve">(3), 403–410. https://doi.org/10.1016/S0022-2836(05)80360-2 </w:t>
      </w:r>
    </w:p>
    <w:p w14:paraId="60686587"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Aoki, J.-I. (2000). Oribatid mites in moss cushions growing on city constructions. In </w:t>
      </w:r>
      <w:r w:rsidRPr="00FF7FB4">
        <w:rPr>
          <w:rFonts w:ascii="Times New Roman" w:eastAsia="Times New Roman" w:hAnsi="Times New Roman" w:cs="Times New Roman"/>
          <w:i/>
          <w:iCs/>
          <w:sz w:val="24"/>
          <w:szCs w:val="24"/>
          <w:lang w:val="en-US" w:eastAsia="en-US"/>
        </w:rPr>
        <w:t>Characteristics of urban animals</w:t>
      </w:r>
      <w:r w:rsidRPr="00FF7FB4">
        <w:rPr>
          <w:rFonts w:ascii="Times New Roman" w:eastAsia="Times New Roman" w:hAnsi="Times New Roman" w:cs="Times New Roman"/>
          <w:sz w:val="24"/>
          <w:szCs w:val="24"/>
          <w:lang w:val="en-US" w:eastAsia="en-US"/>
        </w:rPr>
        <w:t xml:space="preserve"> (pp. 161–172). Tokai University Press. </w:t>
      </w:r>
      <w:hyperlink r:id="rId29" w:tgtFrame="_new" w:history="1">
        <w:r w:rsidRPr="00FF7FB4">
          <w:rPr>
            <w:rFonts w:ascii="Times New Roman" w:eastAsia="Times New Roman" w:hAnsi="Times New Roman" w:cs="Times New Roman"/>
            <w:color w:val="0000FF"/>
            <w:sz w:val="24"/>
            <w:szCs w:val="24"/>
            <w:u w:val="single"/>
            <w:lang w:val="en-US" w:eastAsia="en-US"/>
          </w:rPr>
          <w:t>https://cir.nii.ac.jp/crid/1572824499940924160?lang=en</w:t>
        </w:r>
      </w:hyperlink>
      <w:r w:rsidRPr="00FF7FB4">
        <w:rPr>
          <w:rFonts w:ascii="Times New Roman" w:eastAsia="Times New Roman" w:hAnsi="Times New Roman" w:cs="Times New Roman"/>
          <w:sz w:val="24"/>
          <w:szCs w:val="24"/>
          <w:lang w:val="en-US" w:eastAsia="en-US"/>
        </w:rPr>
        <w:t xml:space="preserve"> </w:t>
      </w:r>
    </w:p>
    <w:p w14:paraId="200BCC2E"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lastRenderedPageBreak/>
        <w:t xml:space="preserve">Norton, R. A., &amp; Ermilov, S. G. (2024). Evaluation of morphological traits in </w:t>
      </w:r>
      <w:proofErr w:type="spellStart"/>
      <w:r w:rsidRPr="00FF7FB4">
        <w:rPr>
          <w:rFonts w:ascii="Times New Roman" w:eastAsia="Times New Roman" w:hAnsi="Times New Roman" w:cs="Times New Roman"/>
          <w:sz w:val="24"/>
          <w:szCs w:val="24"/>
          <w:lang w:val="en-US" w:eastAsia="en-US"/>
        </w:rPr>
        <w:t>Trhypochthoniidae</w:t>
      </w:r>
      <w:proofErr w:type="spellEnd"/>
      <w:r w:rsidRPr="00FF7FB4">
        <w:rPr>
          <w:rFonts w:ascii="Times New Roman" w:eastAsia="Times New Roman" w:hAnsi="Times New Roman" w:cs="Times New Roman"/>
          <w:sz w:val="24"/>
          <w:szCs w:val="24"/>
          <w:lang w:val="en-US" w:eastAsia="en-US"/>
        </w:rPr>
        <w:t xml:space="preserve"> with focus on </w:t>
      </w:r>
      <w:proofErr w:type="spellStart"/>
      <w:r w:rsidRPr="00FF7FB4">
        <w:rPr>
          <w:rFonts w:ascii="Times New Roman" w:eastAsia="Times New Roman" w:hAnsi="Times New Roman" w:cs="Times New Roman"/>
          <w:i/>
          <w:iCs/>
          <w:sz w:val="24"/>
          <w:szCs w:val="24"/>
          <w:lang w:val="en-US" w:eastAsia="en-US"/>
        </w:rPr>
        <w:t>Allonothrus</w:t>
      </w:r>
      <w:proofErr w:type="spellEnd"/>
      <w:r w:rsidRPr="00FF7FB4">
        <w:rPr>
          <w:rFonts w:ascii="Times New Roman" w:eastAsia="Times New Roman" w:hAnsi="Times New Roman" w:cs="Times New Roman"/>
          <w:sz w:val="24"/>
          <w:szCs w:val="24"/>
          <w:lang w:val="en-US" w:eastAsia="en-US"/>
        </w:rPr>
        <w:t xml:space="preserve">, and morphology–molecule conflict in classification and phylogeny of </w:t>
      </w:r>
      <w:proofErr w:type="spellStart"/>
      <w:r w:rsidRPr="00FF7FB4">
        <w:rPr>
          <w:rFonts w:ascii="Times New Roman" w:eastAsia="Times New Roman" w:hAnsi="Times New Roman" w:cs="Times New Roman"/>
          <w:sz w:val="24"/>
          <w:szCs w:val="24"/>
          <w:lang w:val="en-US" w:eastAsia="en-US"/>
        </w:rPr>
        <w:t>Nothrina</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Zootaxa</w:t>
      </w:r>
      <w:proofErr w:type="spellEnd"/>
      <w:r w:rsidRPr="00FF7FB4">
        <w:rPr>
          <w:rFonts w:ascii="Times New Roman" w:eastAsia="Times New Roman" w:hAnsi="Times New Roman" w:cs="Times New Roman"/>
          <w:i/>
          <w:iCs/>
          <w:sz w:val="24"/>
          <w:szCs w:val="24"/>
          <w:lang w:val="en-US" w:eastAsia="en-US"/>
        </w:rPr>
        <w:t>, 5556</w:t>
      </w:r>
      <w:r w:rsidRPr="00FF7FB4">
        <w:rPr>
          <w:rFonts w:ascii="Times New Roman" w:eastAsia="Times New Roman" w:hAnsi="Times New Roman" w:cs="Times New Roman"/>
          <w:sz w:val="24"/>
          <w:szCs w:val="24"/>
          <w:lang w:val="en-US" w:eastAsia="en-US"/>
        </w:rPr>
        <w:t xml:space="preserve">(1), 144–199. </w:t>
      </w:r>
      <w:hyperlink r:id="rId30" w:tgtFrame="_new" w:history="1">
        <w:r w:rsidRPr="00FF7FB4">
          <w:rPr>
            <w:rFonts w:ascii="Times New Roman" w:eastAsia="Times New Roman" w:hAnsi="Times New Roman" w:cs="Times New Roman"/>
            <w:color w:val="0000FF"/>
            <w:sz w:val="24"/>
            <w:szCs w:val="24"/>
            <w:u w:val="single"/>
            <w:lang w:val="en-US" w:eastAsia="en-US"/>
          </w:rPr>
          <w:t>https://doi.org/10.11646/zootaxa.5556.1.13</w:t>
        </w:r>
      </w:hyperlink>
      <w:r w:rsidRPr="00FF7FB4">
        <w:rPr>
          <w:rFonts w:ascii="Times New Roman" w:eastAsia="Times New Roman" w:hAnsi="Times New Roman" w:cs="Times New Roman"/>
          <w:sz w:val="24"/>
          <w:szCs w:val="24"/>
          <w:lang w:val="en-US" w:eastAsia="en-US"/>
        </w:rPr>
        <w:t xml:space="preserve"> </w:t>
      </w:r>
    </w:p>
    <w:p w14:paraId="7FA4B5E8"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Amann, R. I., Ludwig, W., &amp; Schleifer, K.-H. (1995). </w:t>
      </w:r>
      <w:r w:rsidRPr="00FF7FB4">
        <w:rPr>
          <w:rFonts w:ascii="Times New Roman" w:eastAsia="Times New Roman" w:hAnsi="Times New Roman" w:cs="Times New Roman"/>
          <w:sz w:val="24"/>
          <w:szCs w:val="24"/>
          <w:lang w:val="en-US" w:eastAsia="en-US"/>
        </w:rPr>
        <w:t xml:space="preserve">Phylogenetic identification and in situ detection of individual microbial cells without cultivation. </w:t>
      </w:r>
      <w:r w:rsidRPr="00FF7FB4">
        <w:rPr>
          <w:rFonts w:ascii="Times New Roman" w:eastAsia="Times New Roman" w:hAnsi="Times New Roman" w:cs="Times New Roman"/>
          <w:i/>
          <w:iCs/>
          <w:sz w:val="24"/>
          <w:szCs w:val="24"/>
          <w:lang w:val="en-US" w:eastAsia="en-US"/>
        </w:rPr>
        <w:t>Microbiological Reviews, 59</w:t>
      </w:r>
      <w:r w:rsidRPr="00FF7FB4">
        <w:rPr>
          <w:rFonts w:ascii="Times New Roman" w:eastAsia="Times New Roman" w:hAnsi="Times New Roman" w:cs="Times New Roman"/>
          <w:sz w:val="24"/>
          <w:szCs w:val="24"/>
          <w:lang w:val="en-US" w:eastAsia="en-US"/>
        </w:rPr>
        <w:t xml:space="preserve">(1), 143–169. https://doi.org/10.1128/mr.59.1.143-169.1995 </w:t>
      </w:r>
    </w:p>
    <w:p w14:paraId="6CE3842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Lagier, J.-C., Dubourg, G., Million, M., Cadoret, F., Bilen, M., </w:t>
      </w:r>
      <w:proofErr w:type="spellStart"/>
      <w:r w:rsidRPr="00FF7FB4">
        <w:rPr>
          <w:rFonts w:ascii="Times New Roman" w:eastAsia="Times New Roman" w:hAnsi="Times New Roman" w:cs="Times New Roman"/>
          <w:sz w:val="24"/>
          <w:szCs w:val="24"/>
          <w:lang w:val="en-US" w:eastAsia="en-US"/>
        </w:rPr>
        <w:t>Fenollar</w:t>
      </w:r>
      <w:proofErr w:type="spellEnd"/>
      <w:r w:rsidRPr="00FF7FB4">
        <w:rPr>
          <w:rFonts w:ascii="Times New Roman" w:eastAsia="Times New Roman" w:hAnsi="Times New Roman" w:cs="Times New Roman"/>
          <w:sz w:val="24"/>
          <w:szCs w:val="24"/>
          <w:lang w:val="en-US" w:eastAsia="en-US"/>
        </w:rPr>
        <w:t xml:space="preserve">, F., Levasseur, A., Rolain, J.-M., Fournier, P.-E., &amp; Raoult, D. (2018). Culturing the human microbiota and culturomics. </w:t>
      </w:r>
      <w:r w:rsidRPr="00FF7FB4">
        <w:rPr>
          <w:rFonts w:ascii="Times New Roman" w:eastAsia="Times New Roman" w:hAnsi="Times New Roman" w:cs="Times New Roman"/>
          <w:i/>
          <w:iCs/>
          <w:sz w:val="24"/>
          <w:szCs w:val="24"/>
          <w:lang w:val="en-US" w:eastAsia="en-US"/>
        </w:rPr>
        <w:t>Nature Reviews Microbiology, 16</w:t>
      </w:r>
      <w:r w:rsidRPr="00FF7FB4">
        <w:rPr>
          <w:rFonts w:ascii="Times New Roman" w:eastAsia="Times New Roman" w:hAnsi="Times New Roman" w:cs="Times New Roman"/>
          <w:sz w:val="24"/>
          <w:szCs w:val="24"/>
          <w:lang w:val="en-US" w:eastAsia="en-US"/>
        </w:rPr>
        <w:t xml:space="preserve">(9), 540–550. https://doi.org/10.1038/s41579-018-0041-0 </w:t>
      </w:r>
    </w:p>
    <w:p w14:paraId="6F50FA1E"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Kameshwar, A. K. S., &amp; Qin, W. (2018). Isolation and screening of cellulose-degrading microorganisms from different ecological niches. In W. Qin (Ed.), </w:t>
      </w:r>
      <w:r w:rsidRPr="00FF7FB4">
        <w:rPr>
          <w:rFonts w:ascii="Times New Roman" w:eastAsia="Times New Roman" w:hAnsi="Times New Roman" w:cs="Times New Roman"/>
          <w:i/>
          <w:iCs/>
          <w:sz w:val="24"/>
          <w:szCs w:val="24"/>
          <w:lang w:val="en-US" w:eastAsia="en-US"/>
        </w:rPr>
        <w:t>Cellulases: Methods and protocols</w:t>
      </w:r>
      <w:r w:rsidRPr="00FF7FB4">
        <w:rPr>
          <w:rFonts w:ascii="Times New Roman" w:eastAsia="Times New Roman" w:hAnsi="Times New Roman" w:cs="Times New Roman"/>
          <w:sz w:val="24"/>
          <w:szCs w:val="24"/>
          <w:lang w:val="en-US" w:eastAsia="en-US"/>
        </w:rPr>
        <w:t xml:space="preserve"> (pp. 47–56). Humana Press. https://doi.org/10.1007/978-1-4939-7877-9_4 </w:t>
      </w:r>
    </w:p>
    <w:p w14:paraId="10985526"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Brune, A. (2014). Symbiotic digestion of lignocellulose in termite guts. </w:t>
      </w:r>
      <w:r w:rsidRPr="00FF7FB4">
        <w:rPr>
          <w:rFonts w:ascii="Times New Roman" w:eastAsia="Times New Roman" w:hAnsi="Times New Roman" w:cs="Times New Roman"/>
          <w:i/>
          <w:iCs/>
          <w:sz w:val="24"/>
          <w:szCs w:val="24"/>
          <w:lang w:val="en-US" w:eastAsia="en-US"/>
        </w:rPr>
        <w:t>Nature Reviews Microbiology, 12</w:t>
      </w:r>
      <w:r w:rsidRPr="00FF7FB4">
        <w:rPr>
          <w:rFonts w:ascii="Times New Roman" w:eastAsia="Times New Roman" w:hAnsi="Times New Roman" w:cs="Times New Roman"/>
          <w:sz w:val="24"/>
          <w:szCs w:val="24"/>
          <w:lang w:val="en-US" w:eastAsia="en-US"/>
        </w:rPr>
        <w:t xml:space="preserve">(3), 168–180. https://doi.org/10.1038/nrmicro3182 </w:t>
      </w:r>
    </w:p>
    <w:p w14:paraId="3F075D3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Bredon, M., Dittmer, J., Noël, C., Moumen, B., &amp; Bouchon, D. (2018). Lignocellulose degradation at the holobiont level: Teamwork in a keystone soil invertebrate. </w:t>
      </w:r>
      <w:r w:rsidRPr="00FF7FB4">
        <w:rPr>
          <w:rFonts w:ascii="Times New Roman" w:eastAsia="Times New Roman" w:hAnsi="Times New Roman" w:cs="Times New Roman"/>
          <w:i/>
          <w:iCs/>
          <w:sz w:val="24"/>
          <w:szCs w:val="24"/>
          <w:lang w:val="en-US" w:eastAsia="en-US"/>
        </w:rPr>
        <w:t>Microbiome, 6</w:t>
      </w:r>
      <w:r w:rsidRPr="00FF7FB4">
        <w:rPr>
          <w:rFonts w:ascii="Times New Roman" w:eastAsia="Times New Roman" w:hAnsi="Times New Roman" w:cs="Times New Roman"/>
          <w:sz w:val="24"/>
          <w:szCs w:val="24"/>
          <w:lang w:val="en-US" w:eastAsia="en-US"/>
        </w:rPr>
        <w:t xml:space="preserve">, Article 162. https://doi.org/10.1186/s40168-018-0536-y </w:t>
      </w:r>
    </w:p>
    <w:p w14:paraId="188FA24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proofErr w:type="spellStart"/>
      <w:r w:rsidRPr="00FF7FB4">
        <w:rPr>
          <w:rFonts w:ascii="Times New Roman" w:eastAsia="Times New Roman" w:hAnsi="Times New Roman" w:cs="Times New Roman"/>
          <w:sz w:val="24"/>
          <w:szCs w:val="24"/>
          <w:lang w:val="en-US" w:eastAsia="en-US"/>
        </w:rPr>
        <w:t>Tláskal</w:t>
      </w:r>
      <w:proofErr w:type="spellEnd"/>
      <w:r w:rsidRPr="00FF7FB4">
        <w:rPr>
          <w:rFonts w:ascii="Times New Roman" w:eastAsia="Times New Roman" w:hAnsi="Times New Roman" w:cs="Times New Roman"/>
          <w:sz w:val="24"/>
          <w:szCs w:val="24"/>
          <w:lang w:val="en-US" w:eastAsia="en-US"/>
        </w:rPr>
        <w:t xml:space="preserve">, V., Voříšková, J., &amp; Baldrian, P. (2016). Bacterial succession on decomposing leaf litter exhibits a specific occurrence pattern of cellulolytic taxa and potential decomposers of fungal mycelia. </w:t>
      </w:r>
      <w:r w:rsidRPr="00FF7FB4">
        <w:rPr>
          <w:rFonts w:ascii="Times New Roman" w:eastAsia="Times New Roman" w:hAnsi="Times New Roman" w:cs="Times New Roman"/>
          <w:i/>
          <w:iCs/>
          <w:sz w:val="24"/>
          <w:szCs w:val="24"/>
          <w:lang w:val="en-US" w:eastAsia="en-US"/>
        </w:rPr>
        <w:t>FEMS Microbiology Ecology, 92</w:t>
      </w:r>
      <w:r w:rsidRPr="00FF7FB4">
        <w:rPr>
          <w:rFonts w:ascii="Times New Roman" w:eastAsia="Times New Roman" w:hAnsi="Times New Roman" w:cs="Times New Roman"/>
          <w:sz w:val="24"/>
          <w:szCs w:val="24"/>
          <w:lang w:val="en-US" w:eastAsia="en-US"/>
        </w:rPr>
        <w:t>(11), Article fiw177. https://doi.org/10.1093/femsec/fiw177</w:t>
      </w:r>
    </w:p>
    <w:p w14:paraId="595075F2"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Zhou, X., Chen, X., Qi, X., Zeng, Y., Guo, X., Zhuang, G., &amp; Ma, A. (2023). </w:t>
      </w:r>
      <w:r w:rsidRPr="00FF7FB4">
        <w:rPr>
          <w:rFonts w:ascii="Times New Roman" w:eastAsia="Times New Roman" w:hAnsi="Times New Roman" w:cs="Times New Roman"/>
          <w:sz w:val="24"/>
          <w:szCs w:val="24"/>
          <w:lang w:val="en-US" w:eastAsia="en-US"/>
        </w:rPr>
        <w:t xml:space="preserve">Soil bacterial communities associated with multi-nutrient cycling under long-term warming in the alpine meadow. </w:t>
      </w:r>
      <w:r w:rsidRPr="00FF7FB4">
        <w:rPr>
          <w:rFonts w:ascii="Times New Roman" w:eastAsia="Times New Roman" w:hAnsi="Times New Roman" w:cs="Times New Roman"/>
          <w:i/>
          <w:iCs/>
          <w:sz w:val="24"/>
          <w:szCs w:val="24"/>
          <w:lang w:val="en-US" w:eastAsia="en-US"/>
        </w:rPr>
        <w:t>Frontiers in Microbiology, 14</w:t>
      </w:r>
      <w:r w:rsidRPr="00FF7FB4">
        <w:rPr>
          <w:rFonts w:ascii="Times New Roman" w:eastAsia="Times New Roman" w:hAnsi="Times New Roman" w:cs="Times New Roman"/>
          <w:sz w:val="24"/>
          <w:szCs w:val="24"/>
          <w:lang w:val="en-US" w:eastAsia="en-US"/>
        </w:rPr>
        <w:t xml:space="preserve">, Article 1136187. </w:t>
      </w:r>
      <w:hyperlink r:id="rId31" w:tgtFrame="_new" w:history="1">
        <w:r w:rsidRPr="00FF7FB4">
          <w:rPr>
            <w:rFonts w:ascii="Times New Roman" w:eastAsia="Times New Roman" w:hAnsi="Times New Roman" w:cs="Times New Roman"/>
            <w:color w:val="0000FF"/>
            <w:sz w:val="24"/>
            <w:szCs w:val="24"/>
            <w:u w:val="single"/>
            <w:lang w:val="en-US" w:eastAsia="en-US"/>
          </w:rPr>
          <w:t>https://doi.org/10.3389/fmicb.2023.1136187</w:t>
        </w:r>
      </w:hyperlink>
    </w:p>
    <w:p w14:paraId="7EC9B90D"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Walterson, A. M., &amp; </w:t>
      </w:r>
      <w:proofErr w:type="spellStart"/>
      <w:r w:rsidRPr="00FF7FB4">
        <w:rPr>
          <w:rFonts w:ascii="Times New Roman" w:eastAsia="Times New Roman" w:hAnsi="Times New Roman" w:cs="Times New Roman"/>
          <w:sz w:val="24"/>
          <w:szCs w:val="24"/>
          <w:lang w:val="en-US" w:eastAsia="en-US"/>
        </w:rPr>
        <w:t>Stavrinides</w:t>
      </w:r>
      <w:proofErr w:type="spellEnd"/>
      <w:r w:rsidRPr="00FF7FB4">
        <w:rPr>
          <w:rFonts w:ascii="Times New Roman" w:eastAsia="Times New Roman" w:hAnsi="Times New Roman" w:cs="Times New Roman"/>
          <w:sz w:val="24"/>
          <w:szCs w:val="24"/>
          <w:lang w:val="en-US" w:eastAsia="en-US"/>
        </w:rPr>
        <w:t xml:space="preserve">, J. (2015). </w:t>
      </w:r>
      <w:proofErr w:type="spellStart"/>
      <w:r w:rsidRPr="00FF7FB4">
        <w:rPr>
          <w:rFonts w:ascii="Times New Roman" w:eastAsia="Times New Roman" w:hAnsi="Times New Roman" w:cs="Times New Roman"/>
          <w:i/>
          <w:iCs/>
          <w:sz w:val="24"/>
          <w:szCs w:val="24"/>
          <w:lang w:val="en-US" w:eastAsia="en-US"/>
        </w:rPr>
        <w:t>Pantoea</w:t>
      </w:r>
      <w:proofErr w:type="spellEnd"/>
      <w:r w:rsidRPr="00FF7FB4">
        <w:rPr>
          <w:rFonts w:ascii="Times New Roman" w:eastAsia="Times New Roman" w:hAnsi="Times New Roman" w:cs="Times New Roman"/>
          <w:sz w:val="24"/>
          <w:szCs w:val="24"/>
          <w:lang w:val="en-US" w:eastAsia="en-US"/>
        </w:rPr>
        <w:t xml:space="preserve">: Insights into a highly versatile and diverse genus within the Enterobacteriaceae. </w:t>
      </w:r>
      <w:r w:rsidRPr="00FF7FB4">
        <w:rPr>
          <w:rFonts w:ascii="Times New Roman" w:eastAsia="Times New Roman" w:hAnsi="Times New Roman" w:cs="Times New Roman"/>
          <w:i/>
          <w:iCs/>
          <w:sz w:val="24"/>
          <w:szCs w:val="24"/>
          <w:lang w:val="en-US" w:eastAsia="en-US"/>
        </w:rPr>
        <w:t>FEMS Microbiology Reviews, 39</w:t>
      </w:r>
      <w:r w:rsidRPr="00FF7FB4">
        <w:rPr>
          <w:rFonts w:ascii="Times New Roman" w:eastAsia="Times New Roman" w:hAnsi="Times New Roman" w:cs="Times New Roman"/>
          <w:sz w:val="24"/>
          <w:szCs w:val="24"/>
          <w:lang w:val="en-US" w:eastAsia="en-US"/>
        </w:rPr>
        <w:t xml:space="preserve">(6), 968–984. https://doi.org/10.1093/femsre/fuv027 </w:t>
      </w:r>
    </w:p>
    <w:p w14:paraId="1BCD1665"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t xml:space="preserve">Renker, C., Otto, P., Schneider, K., Zimdars, B., Maraun, M., &amp; Buscot, F. (2005). </w:t>
      </w:r>
      <w:r w:rsidRPr="00FF7FB4">
        <w:rPr>
          <w:rFonts w:ascii="Times New Roman" w:eastAsia="Times New Roman" w:hAnsi="Times New Roman" w:cs="Times New Roman"/>
          <w:sz w:val="24"/>
          <w:szCs w:val="24"/>
          <w:lang w:val="en-US" w:eastAsia="en-US"/>
        </w:rPr>
        <w:t xml:space="preserve">Oribatid mites as potential vectors for soil </w:t>
      </w:r>
      <w:proofErr w:type="spellStart"/>
      <w:r w:rsidRPr="00FF7FB4">
        <w:rPr>
          <w:rFonts w:ascii="Times New Roman" w:eastAsia="Times New Roman" w:hAnsi="Times New Roman" w:cs="Times New Roman"/>
          <w:sz w:val="24"/>
          <w:szCs w:val="24"/>
          <w:lang w:val="en-US" w:eastAsia="en-US"/>
        </w:rPr>
        <w:t>microfungi</w:t>
      </w:r>
      <w:proofErr w:type="spellEnd"/>
      <w:r w:rsidRPr="00FF7FB4">
        <w:rPr>
          <w:rFonts w:ascii="Times New Roman" w:eastAsia="Times New Roman" w:hAnsi="Times New Roman" w:cs="Times New Roman"/>
          <w:sz w:val="24"/>
          <w:szCs w:val="24"/>
          <w:lang w:val="en-US" w:eastAsia="en-US"/>
        </w:rPr>
        <w:t xml:space="preserve">: Study of mite-associated fungal species. </w:t>
      </w:r>
      <w:r w:rsidRPr="00FF7FB4">
        <w:rPr>
          <w:rFonts w:ascii="Times New Roman" w:eastAsia="Times New Roman" w:hAnsi="Times New Roman" w:cs="Times New Roman"/>
          <w:i/>
          <w:iCs/>
          <w:sz w:val="24"/>
          <w:szCs w:val="24"/>
          <w:lang w:val="en-US" w:eastAsia="en-US"/>
        </w:rPr>
        <w:t>Microbial Ecology, 50</w:t>
      </w:r>
      <w:r w:rsidRPr="00FF7FB4">
        <w:rPr>
          <w:rFonts w:ascii="Times New Roman" w:eastAsia="Times New Roman" w:hAnsi="Times New Roman" w:cs="Times New Roman"/>
          <w:sz w:val="24"/>
          <w:szCs w:val="24"/>
          <w:lang w:val="en-US" w:eastAsia="en-US"/>
        </w:rPr>
        <w:t xml:space="preserve">(4), 518–528. https://doi.org/10.1007/s00248-005-5017-8 </w:t>
      </w:r>
    </w:p>
    <w:p w14:paraId="25E0DF1C"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Wolf, M. M., &amp; Rockett, C. L. (1984). Habitat changes affecting bacterial composition in the alimentary canal of oribatid mites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w:t>
      </w:r>
      <w:r w:rsidRPr="00FF7FB4">
        <w:rPr>
          <w:rFonts w:ascii="Times New Roman" w:eastAsia="Times New Roman" w:hAnsi="Times New Roman" w:cs="Times New Roman"/>
          <w:i/>
          <w:iCs/>
          <w:sz w:val="24"/>
          <w:szCs w:val="24"/>
          <w:lang w:val="en-US" w:eastAsia="en-US"/>
        </w:rPr>
        <w:t>International Journal of Acarology, 10</w:t>
      </w:r>
      <w:r w:rsidRPr="00FF7FB4">
        <w:rPr>
          <w:rFonts w:ascii="Times New Roman" w:eastAsia="Times New Roman" w:hAnsi="Times New Roman" w:cs="Times New Roman"/>
          <w:sz w:val="24"/>
          <w:szCs w:val="24"/>
          <w:lang w:val="en-US" w:eastAsia="en-US"/>
        </w:rPr>
        <w:t xml:space="preserve">(4), 209–216. https://doi.org/10.1080/01647958408683379 </w:t>
      </w:r>
    </w:p>
    <w:p w14:paraId="3EDBF469"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Seniczak, A., Ligocka, A., Seniczak, S., &amp; </w:t>
      </w:r>
      <w:proofErr w:type="spellStart"/>
      <w:r w:rsidRPr="00FF7FB4">
        <w:rPr>
          <w:rFonts w:ascii="Times New Roman" w:eastAsia="Times New Roman" w:hAnsi="Times New Roman" w:cs="Times New Roman"/>
          <w:sz w:val="24"/>
          <w:szCs w:val="24"/>
          <w:lang w:val="en-US" w:eastAsia="en-US"/>
        </w:rPr>
        <w:t>Paluszak</w:t>
      </w:r>
      <w:proofErr w:type="spellEnd"/>
      <w:r w:rsidRPr="00FF7FB4">
        <w:rPr>
          <w:rFonts w:ascii="Times New Roman" w:eastAsia="Times New Roman" w:hAnsi="Times New Roman" w:cs="Times New Roman"/>
          <w:sz w:val="24"/>
          <w:szCs w:val="24"/>
          <w:lang w:val="en-US" w:eastAsia="en-US"/>
        </w:rPr>
        <w:t xml:space="preserve">, Z. (2016). Effects of green algae and napa cabbage on life-history parameters and gut microflora of </w:t>
      </w:r>
      <w:proofErr w:type="spellStart"/>
      <w:r w:rsidRPr="00FF7FB4">
        <w:rPr>
          <w:rFonts w:ascii="Times New Roman" w:eastAsia="Times New Roman" w:hAnsi="Times New Roman" w:cs="Times New Roman"/>
          <w:i/>
          <w:iCs/>
          <w:sz w:val="24"/>
          <w:szCs w:val="24"/>
          <w:lang w:val="en-US" w:eastAsia="en-US"/>
        </w:rPr>
        <w:t>Archegozetes</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longisetosus</w:t>
      </w:r>
      <w:proofErr w:type="spellEnd"/>
      <w:r w:rsidRPr="00FF7FB4">
        <w:rPr>
          <w:rFonts w:ascii="Times New Roman" w:eastAsia="Times New Roman" w:hAnsi="Times New Roman" w:cs="Times New Roman"/>
          <w:sz w:val="24"/>
          <w:szCs w:val="24"/>
          <w:lang w:val="en-US" w:eastAsia="en-US"/>
        </w:rPr>
        <w:t xml:space="preserve"> (Acari: </w:t>
      </w:r>
      <w:proofErr w:type="spellStart"/>
      <w:r w:rsidRPr="00FF7FB4">
        <w:rPr>
          <w:rFonts w:ascii="Times New Roman" w:eastAsia="Times New Roman" w:hAnsi="Times New Roman" w:cs="Times New Roman"/>
          <w:sz w:val="24"/>
          <w:szCs w:val="24"/>
          <w:lang w:val="en-US" w:eastAsia="en-US"/>
        </w:rPr>
        <w:t>Oribatida</w:t>
      </w:r>
      <w:proofErr w:type="spellEnd"/>
      <w:r w:rsidRPr="00FF7FB4">
        <w:rPr>
          <w:rFonts w:ascii="Times New Roman" w:eastAsia="Times New Roman" w:hAnsi="Times New Roman" w:cs="Times New Roman"/>
          <w:sz w:val="24"/>
          <w:szCs w:val="24"/>
          <w:lang w:val="en-US" w:eastAsia="en-US"/>
        </w:rPr>
        <w:t xml:space="preserve">) under laboratory conditions. </w:t>
      </w:r>
      <w:r w:rsidRPr="00FF7FB4">
        <w:rPr>
          <w:rFonts w:ascii="Times New Roman" w:eastAsia="Times New Roman" w:hAnsi="Times New Roman" w:cs="Times New Roman"/>
          <w:i/>
          <w:iCs/>
          <w:sz w:val="24"/>
          <w:szCs w:val="24"/>
          <w:lang w:val="en-US" w:eastAsia="en-US"/>
        </w:rPr>
        <w:t>Biological Letters, 53</w:t>
      </w:r>
      <w:r w:rsidRPr="00FF7FB4">
        <w:rPr>
          <w:rFonts w:ascii="Times New Roman" w:eastAsia="Times New Roman" w:hAnsi="Times New Roman" w:cs="Times New Roman"/>
          <w:sz w:val="24"/>
          <w:szCs w:val="24"/>
          <w:lang w:val="en-US" w:eastAsia="en-US"/>
        </w:rPr>
        <w:t xml:space="preserve">(2), 67–78. https://doi.org/10.1515/biolet-2017-0007 </w:t>
      </w:r>
    </w:p>
    <w:p w14:paraId="173C45AD"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Liu, B.-W., Wen, J., Ye, S.-F., Gu, J.-J., Li, M.-X., Xiong, X.-B., Liang, Z.-Z., &amp; Wang, H.-T. (2025). Soil mesofauna bacterial diversity: Insights from cultured collembolans, enchytraeids, and mite species. </w:t>
      </w:r>
      <w:r w:rsidRPr="00FF7FB4">
        <w:rPr>
          <w:rFonts w:ascii="Times New Roman" w:eastAsia="Times New Roman" w:hAnsi="Times New Roman" w:cs="Times New Roman"/>
          <w:i/>
          <w:iCs/>
          <w:sz w:val="24"/>
          <w:szCs w:val="24"/>
          <w:lang w:val="en-US" w:eastAsia="en-US"/>
        </w:rPr>
        <w:t>Food Webs, 44</w:t>
      </w:r>
      <w:r w:rsidRPr="00FF7FB4">
        <w:rPr>
          <w:rFonts w:ascii="Times New Roman" w:eastAsia="Times New Roman" w:hAnsi="Times New Roman" w:cs="Times New Roman"/>
          <w:sz w:val="24"/>
          <w:szCs w:val="24"/>
          <w:lang w:val="en-US" w:eastAsia="en-US"/>
        </w:rPr>
        <w:t>, Article e00421. https://doi.org/10.1016/j.fooweb.2025.e00421</w:t>
      </w:r>
    </w:p>
    <w:p w14:paraId="7E49B60A"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nl-BE" w:eastAsia="en-US"/>
        </w:rPr>
        <w:lastRenderedPageBreak/>
        <w:t xml:space="preserve">Erban, T., Klimov, P. B., Smrz, J., Phillips, T. W., Nesvorna, M., Kopecky, J., &amp; Hubert, J. (2016). </w:t>
      </w:r>
      <w:r w:rsidRPr="00FF7FB4">
        <w:rPr>
          <w:rFonts w:ascii="Times New Roman" w:eastAsia="Times New Roman" w:hAnsi="Times New Roman" w:cs="Times New Roman"/>
          <w:sz w:val="24"/>
          <w:szCs w:val="24"/>
          <w:lang w:val="en-US" w:eastAsia="en-US"/>
        </w:rPr>
        <w:t xml:space="preserve">Populations of stored-product mite </w:t>
      </w:r>
      <w:proofErr w:type="spellStart"/>
      <w:r w:rsidRPr="00FF7FB4">
        <w:rPr>
          <w:rFonts w:ascii="Times New Roman" w:eastAsia="Times New Roman" w:hAnsi="Times New Roman" w:cs="Times New Roman"/>
          <w:i/>
          <w:iCs/>
          <w:sz w:val="24"/>
          <w:szCs w:val="24"/>
          <w:lang w:val="en-US" w:eastAsia="en-US"/>
        </w:rPr>
        <w:t>Tyrophagus</w:t>
      </w:r>
      <w:proofErr w:type="spellEnd"/>
      <w:r w:rsidRPr="00FF7FB4">
        <w:rPr>
          <w:rFonts w:ascii="Times New Roman" w:eastAsia="Times New Roman" w:hAnsi="Times New Roman" w:cs="Times New Roman"/>
          <w:i/>
          <w:iCs/>
          <w:sz w:val="24"/>
          <w:szCs w:val="24"/>
          <w:lang w:val="en-US" w:eastAsia="en-US"/>
        </w:rPr>
        <w:t xml:space="preserve"> </w:t>
      </w:r>
      <w:proofErr w:type="spellStart"/>
      <w:r w:rsidRPr="00FF7FB4">
        <w:rPr>
          <w:rFonts w:ascii="Times New Roman" w:eastAsia="Times New Roman" w:hAnsi="Times New Roman" w:cs="Times New Roman"/>
          <w:i/>
          <w:iCs/>
          <w:sz w:val="24"/>
          <w:szCs w:val="24"/>
          <w:lang w:val="en-US" w:eastAsia="en-US"/>
        </w:rPr>
        <w:t>putrescentiae</w:t>
      </w:r>
      <w:proofErr w:type="spellEnd"/>
      <w:r w:rsidRPr="00FF7FB4">
        <w:rPr>
          <w:rFonts w:ascii="Times New Roman" w:eastAsia="Times New Roman" w:hAnsi="Times New Roman" w:cs="Times New Roman"/>
          <w:sz w:val="24"/>
          <w:szCs w:val="24"/>
          <w:lang w:val="en-US" w:eastAsia="en-US"/>
        </w:rPr>
        <w:t xml:space="preserve"> differ in their bacterial communities. </w:t>
      </w:r>
      <w:r w:rsidRPr="00FF7FB4">
        <w:rPr>
          <w:rFonts w:ascii="Times New Roman" w:eastAsia="Times New Roman" w:hAnsi="Times New Roman" w:cs="Times New Roman"/>
          <w:i/>
          <w:iCs/>
          <w:sz w:val="24"/>
          <w:szCs w:val="24"/>
          <w:lang w:val="en-US" w:eastAsia="en-US"/>
        </w:rPr>
        <w:t>Frontiers in Microbiology, 7</w:t>
      </w:r>
      <w:r w:rsidRPr="00FF7FB4">
        <w:rPr>
          <w:rFonts w:ascii="Times New Roman" w:eastAsia="Times New Roman" w:hAnsi="Times New Roman" w:cs="Times New Roman"/>
          <w:sz w:val="24"/>
          <w:szCs w:val="24"/>
          <w:lang w:val="en-US" w:eastAsia="en-US"/>
        </w:rPr>
        <w:t xml:space="preserve">, Article 1046. </w:t>
      </w:r>
      <w:hyperlink r:id="rId32" w:tgtFrame="_new" w:history="1">
        <w:r w:rsidRPr="00FF7FB4">
          <w:rPr>
            <w:rFonts w:ascii="Times New Roman" w:eastAsia="Times New Roman" w:hAnsi="Times New Roman" w:cs="Times New Roman"/>
            <w:color w:val="0000FF"/>
            <w:sz w:val="24"/>
            <w:szCs w:val="24"/>
            <w:u w:val="single"/>
            <w:lang w:val="en-US" w:eastAsia="en-US"/>
          </w:rPr>
          <w:t>https://doi.org/10.3389/fmicb.2016.01046</w:t>
        </w:r>
      </w:hyperlink>
      <w:r w:rsidRPr="00FF7FB4">
        <w:rPr>
          <w:rFonts w:ascii="Times New Roman" w:eastAsia="Times New Roman" w:hAnsi="Times New Roman" w:cs="Times New Roman"/>
          <w:sz w:val="24"/>
          <w:szCs w:val="24"/>
          <w:lang w:val="en-US" w:eastAsia="en-US"/>
        </w:rPr>
        <w:t xml:space="preserve"> </w:t>
      </w:r>
    </w:p>
    <w:p w14:paraId="6CD9A6AD" w14:textId="77777777" w:rsidR="009D27D2" w:rsidRPr="00FF7FB4" w:rsidRDefault="009D27D2" w:rsidP="009D27D2">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Dobrzyński, J., </w:t>
      </w:r>
      <w:proofErr w:type="spellStart"/>
      <w:r w:rsidRPr="00FF7FB4">
        <w:rPr>
          <w:rFonts w:ascii="Times New Roman" w:eastAsia="Times New Roman" w:hAnsi="Times New Roman" w:cs="Times New Roman"/>
          <w:sz w:val="24"/>
          <w:szCs w:val="24"/>
          <w:lang w:val="en-US" w:eastAsia="en-US"/>
        </w:rPr>
        <w:t>Wróbel</w:t>
      </w:r>
      <w:proofErr w:type="spellEnd"/>
      <w:r w:rsidRPr="00FF7FB4">
        <w:rPr>
          <w:rFonts w:ascii="Times New Roman" w:eastAsia="Times New Roman" w:hAnsi="Times New Roman" w:cs="Times New Roman"/>
          <w:sz w:val="24"/>
          <w:szCs w:val="24"/>
          <w:lang w:val="en-US" w:eastAsia="en-US"/>
        </w:rPr>
        <w:t xml:space="preserve">, B., &amp; </w:t>
      </w:r>
      <w:proofErr w:type="spellStart"/>
      <w:r w:rsidRPr="00FF7FB4">
        <w:rPr>
          <w:rFonts w:ascii="Times New Roman" w:eastAsia="Times New Roman" w:hAnsi="Times New Roman" w:cs="Times New Roman"/>
          <w:sz w:val="24"/>
          <w:szCs w:val="24"/>
          <w:lang w:val="en-US" w:eastAsia="en-US"/>
        </w:rPr>
        <w:t>Górska</w:t>
      </w:r>
      <w:proofErr w:type="spellEnd"/>
      <w:r w:rsidRPr="00FF7FB4">
        <w:rPr>
          <w:rFonts w:ascii="Times New Roman" w:eastAsia="Times New Roman" w:hAnsi="Times New Roman" w:cs="Times New Roman"/>
          <w:sz w:val="24"/>
          <w:szCs w:val="24"/>
          <w:lang w:val="en-US" w:eastAsia="en-US"/>
        </w:rPr>
        <w:t xml:space="preserve">, E. B. (2023). Taxonomy, ecology, and cellulolytic properties of the genus </w:t>
      </w:r>
      <w:r w:rsidRPr="00FF7FB4">
        <w:rPr>
          <w:rFonts w:ascii="Times New Roman" w:eastAsia="Times New Roman" w:hAnsi="Times New Roman" w:cs="Times New Roman"/>
          <w:i/>
          <w:iCs/>
          <w:sz w:val="24"/>
          <w:szCs w:val="24"/>
          <w:lang w:val="en-US" w:eastAsia="en-US"/>
        </w:rPr>
        <w:t>Bacillus</w:t>
      </w:r>
      <w:r w:rsidRPr="00FF7FB4">
        <w:rPr>
          <w:rFonts w:ascii="Times New Roman" w:eastAsia="Times New Roman" w:hAnsi="Times New Roman" w:cs="Times New Roman"/>
          <w:sz w:val="24"/>
          <w:szCs w:val="24"/>
          <w:lang w:val="en-US" w:eastAsia="en-US"/>
        </w:rPr>
        <w:t xml:space="preserve"> and related genera. </w:t>
      </w:r>
      <w:r w:rsidRPr="00FF7FB4">
        <w:rPr>
          <w:rFonts w:ascii="Times New Roman" w:eastAsia="Times New Roman" w:hAnsi="Times New Roman" w:cs="Times New Roman"/>
          <w:i/>
          <w:iCs/>
          <w:sz w:val="24"/>
          <w:szCs w:val="24"/>
          <w:lang w:val="en-US" w:eastAsia="en-US"/>
        </w:rPr>
        <w:t>Agriculture, 13</w:t>
      </w:r>
      <w:r w:rsidRPr="00FF7FB4">
        <w:rPr>
          <w:rFonts w:ascii="Times New Roman" w:eastAsia="Times New Roman" w:hAnsi="Times New Roman" w:cs="Times New Roman"/>
          <w:sz w:val="24"/>
          <w:szCs w:val="24"/>
          <w:lang w:val="en-US" w:eastAsia="en-US"/>
        </w:rPr>
        <w:t xml:space="preserve">(10), Article 1979. </w:t>
      </w:r>
      <w:hyperlink r:id="rId33" w:tgtFrame="_new" w:history="1">
        <w:r w:rsidRPr="00FF7FB4">
          <w:rPr>
            <w:rFonts w:ascii="Times New Roman" w:eastAsia="Times New Roman" w:hAnsi="Times New Roman" w:cs="Times New Roman"/>
            <w:color w:val="0000FF"/>
            <w:sz w:val="24"/>
            <w:szCs w:val="24"/>
            <w:u w:val="single"/>
            <w:lang w:val="en-US" w:eastAsia="en-US"/>
          </w:rPr>
          <w:t>https://doi.org/10.3390/agriculture13101979</w:t>
        </w:r>
      </w:hyperlink>
    </w:p>
    <w:p w14:paraId="74DC1D3A" w14:textId="77777777" w:rsidR="00246C9C" w:rsidRPr="00FF7FB4" w:rsidRDefault="00000000">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Ibitoye, F. O., Elehinafe, T. R., &amp; Awoyo, I. I. (2026). Isolation of bacteria with potential to produce enzyme cellulase from soil samples. </w:t>
      </w:r>
      <w:r w:rsidRPr="00FF7FB4">
        <w:rPr>
          <w:rFonts w:ascii="Times New Roman" w:eastAsia="Times New Roman" w:hAnsi="Times New Roman" w:cs="Times New Roman"/>
          <w:i/>
          <w:iCs/>
          <w:sz w:val="24"/>
          <w:szCs w:val="24"/>
          <w:lang w:val="en-US" w:eastAsia="en-US"/>
        </w:rPr>
        <w:t>Asian Journal of Biotechnology and Bioresource Technology, 12</w:t>
      </w:r>
      <w:r w:rsidRPr="00FF7FB4">
        <w:rPr>
          <w:rFonts w:ascii="Times New Roman" w:eastAsia="Times New Roman" w:hAnsi="Times New Roman" w:cs="Times New Roman"/>
          <w:sz w:val="24"/>
          <w:szCs w:val="24"/>
          <w:lang w:val="en-US" w:eastAsia="en-US"/>
        </w:rPr>
        <w:t>(3), 94–101. https://doi.org/10.9734/ajb2t/2026/v12i3307</w:t>
      </w:r>
    </w:p>
    <w:p w14:paraId="3B5A26F1" w14:textId="77777777" w:rsidR="00246C9C" w:rsidRPr="00FF7FB4" w:rsidRDefault="00000000">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Gul, T., Ara, S., Jabbar, U., &amp; Gul, S. (2026). Screening and identification of cellulolytic bacteria from organic waste for antifungal applications. </w:t>
      </w:r>
      <w:r w:rsidRPr="00FF7FB4">
        <w:rPr>
          <w:rFonts w:ascii="Times New Roman" w:eastAsia="Times New Roman" w:hAnsi="Times New Roman" w:cs="Times New Roman"/>
          <w:i/>
          <w:iCs/>
          <w:sz w:val="24"/>
          <w:szCs w:val="24"/>
          <w:lang w:val="en-US" w:eastAsia="en-US"/>
        </w:rPr>
        <w:t>Plant Cell Biotechnology and Molecular Biology, 27</w:t>
      </w:r>
      <w:r w:rsidRPr="00FF7FB4">
        <w:rPr>
          <w:rFonts w:ascii="Times New Roman" w:eastAsia="Times New Roman" w:hAnsi="Times New Roman" w:cs="Times New Roman"/>
          <w:sz w:val="24"/>
          <w:szCs w:val="24"/>
          <w:lang w:val="en-US" w:eastAsia="en-US"/>
        </w:rPr>
        <w:t>(7–8), 151–159. https://doi.org/10.56557/pcbmb/2026/v27i7-810729</w:t>
      </w:r>
    </w:p>
    <w:p w14:paraId="0C94C28C" w14:textId="77777777" w:rsidR="00246C9C" w:rsidRPr="00FF7FB4" w:rsidRDefault="00000000">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Biswas, S., Paul, D., &amp; Bhattacharjee, A. (2024). Cellulolytic potential of </w:t>
      </w:r>
      <w:r w:rsidRPr="00FF7FB4">
        <w:rPr>
          <w:rFonts w:ascii="Times New Roman" w:eastAsia="Times New Roman" w:hAnsi="Times New Roman" w:cs="Times New Roman"/>
          <w:i/>
          <w:iCs/>
          <w:sz w:val="24"/>
          <w:szCs w:val="24"/>
          <w:lang w:val="en-US" w:eastAsia="en-US"/>
        </w:rPr>
        <w:t>Lysinibacillus fusiformis</w:t>
      </w:r>
      <w:r w:rsidRPr="00FF7FB4">
        <w:rPr>
          <w:rFonts w:ascii="Times New Roman" w:eastAsia="Times New Roman" w:hAnsi="Times New Roman" w:cs="Times New Roman"/>
          <w:sz w:val="24"/>
          <w:szCs w:val="24"/>
          <w:lang w:val="en-US" w:eastAsia="en-US"/>
        </w:rPr>
        <w:t xml:space="preserve"> strain WGI4 isolated from white grub beetle </w:t>
      </w:r>
      <w:r w:rsidRPr="00FF7FB4">
        <w:rPr>
          <w:rFonts w:ascii="Times New Roman" w:eastAsia="Times New Roman" w:hAnsi="Times New Roman" w:cs="Times New Roman"/>
          <w:i/>
          <w:iCs/>
          <w:sz w:val="24"/>
          <w:szCs w:val="24"/>
          <w:lang w:val="en-US" w:eastAsia="en-US"/>
        </w:rPr>
        <w:t>Phyllophaga</w:t>
      </w:r>
      <w:r w:rsidRPr="00FF7FB4">
        <w:rPr>
          <w:rFonts w:ascii="Times New Roman" w:eastAsia="Times New Roman" w:hAnsi="Times New Roman" w:cs="Times New Roman"/>
          <w:sz w:val="24"/>
          <w:szCs w:val="24"/>
          <w:lang w:val="en-US" w:eastAsia="en-US"/>
        </w:rPr>
        <w:t xml:space="preserve"> sp. (Coleoptera: Scarabaeidae) larvae gut. </w:t>
      </w:r>
      <w:r w:rsidRPr="00FF7FB4">
        <w:rPr>
          <w:rFonts w:ascii="Times New Roman" w:eastAsia="Times New Roman" w:hAnsi="Times New Roman" w:cs="Times New Roman"/>
          <w:i/>
          <w:iCs/>
          <w:sz w:val="24"/>
          <w:szCs w:val="24"/>
          <w:lang w:val="en-US" w:eastAsia="en-US"/>
        </w:rPr>
        <w:t>Proceedings of the Zoological Society, 77</w:t>
      </w:r>
      <w:r w:rsidRPr="00FF7FB4">
        <w:rPr>
          <w:rFonts w:ascii="Times New Roman" w:eastAsia="Times New Roman" w:hAnsi="Times New Roman" w:cs="Times New Roman"/>
          <w:sz w:val="24"/>
          <w:szCs w:val="24"/>
          <w:lang w:val="en-US" w:eastAsia="en-US"/>
        </w:rPr>
        <w:t>, 116–125. https://doi.org/10.1007/s12595-024-00514-8</w:t>
      </w:r>
    </w:p>
    <w:p w14:paraId="41F823EA" w14:textId="77777777" w:rsidR="00246C9C" w:rsidRPr="00FF7FB4" w:rsidRDefault="00000000">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Nweze, J. E., Gupta, S., Salcher, M. M., Šustr, V., Horváthová, T., &amp; Angel, R. (2024). Disruption of millipede-gut microbiota in </w:t>
      </w:r>
      <w:r w:rsidRPr="00FF7FB4">
        <w:rPr>
          <w:rFonts w:ascii="Times New Roman" w:eastAsia="Times New Roman" w:hAnsi="Times New Roman" w:cs="Times New Roman"/>
          <w:i/>
          <w:iCs/>
          <w:sz w:val="24"/>
          <w:szCs w:val="24"/>
          <w:lang w:val="en-US" w:eastAsia="en-US"/>
        </w:rPr>
        <w:t>E. pulchripes</w:t>
      </w:r>
      <w:r w:rsidRPr="00FF7FB4">
        <w:rPr>
          <w:rFonts w:ascii="Times New Roman" w:eastAsia="Times New Roman" w:hAnsi="Times New Roman" w:cs="Times New Roman"/>
          <w:sz w:val="24"/>
          <w:szCs w:val="24"/>
          <w:lang w:val="en-US" w:eastAsia="en-US"/>
        </w:rPr>
        <w:t xml:space="preserve"> and </w:t>
      </w:r>
      <w:r w:rsidRPr="00FF7FB4">
        <w:rPr>
          <w:rFonts w:ascii="Times New Roman" w:eastAsia="Times New Roman" w:hAnsi="Times New Roman" w:cs="Times New Roman"/>
          <w:i/>
          <w:iCs/>
          <w:sz w:val="24"/>
          <w:szCs w:val="24"/>
          <w:lang w:val="en-US" w:eastAsia="en-US"/>
        </w:rPr>
        <w:t>G. connexa</w:t>
      </w:r>
      <w:r w:rsidRPr="00FF7FB4">
        <w:rPr>
          <w:rFonts w:ascii="Times New Roman" w:eastAsia="Times New Roman" w:hAnsi="Times New Roman" w:cs="Times New Roman"/>
          <w:sz w:val="24"/>
          <w:szCs w:val="24"/>
          <w:lang w:val="en-US" w:eastAsia="en-US"/>
        </w:rPr>
        <w:t xml:space="preserve"> highlights the limited role of litter fermentation and the importance of litter-associated microbes for nutrition. </w:t>
      </w:r>
      <w:r w:rsidRPr="00FF7FB4">
        <w:rPr>
          <w:rFonts w:ascii="Times New Roman" w:eastAsia="Times New Roman" w:hAnsi="Times New Roman" w:cs="Times New Roman"/>
          <w:i/>
          <w:iCs/>
          <w:sz w:val="24"/>
          <w:szCs w:val="24"/>
          <w:lang w:val="en-US" w:eastAsia="en-US"/>
        </w:rPr>
        <w:t>Communications Biology, 7</w:t>
      </w:r>
      <w:r w:rsidRPr="00FF7FB4">
        <w:rPr>
          <w:rFonts w:ascii="Times New Roman" w:eastAsia="Times New Roman" w:hAnsi="Times New Roman" w:cs="Times New Roman"/>
          <w:sz w:val="24"/>
          <w:szCs w:val="24"/>
          <w:lang w:val="en-US" w:eastAsia="en-US"/>
        </w:rPr>
        <w:t>, Article 1204. https://doi.org/10.1038/s42003-024-06821-2</w:t>
      </w:r>
    </w:p>
    <w:p w14:paraId="6786A48B" w14:textId="77777777" w:rsidR="00246C9C" w:rsidRPr="00FF7FB4" w:rsidRDefault="00000000">
      <w:pPr>
        <w:spacing w:before="100" w:beforeAutospacing="1" w:after="100" w:afterAutospacing="1"/>
        <w:ind w:left="630" w:hanging="630"/>
        <w:rPr>
          <w:rFonts w:ascii="Times New Roman" w:eastAsia="Times New Roman" w:hAnsi="Times New Roman" w:cs="Times New Roman"/>
          <w:sz w:val="24"/>
          <w:szCs w:val="24"/>
          <w:lang w:val="en-US" w:eastAsia="en-US"/>
        </w:rPr>
      </w:pPr>
      <w:r w:rsidRPr="00FF7FB4">
        <w:rPr>
          <w:rFonts w:ascii="Times New Roman" w:eastAsia="Times New Roman" w:hAnsi="Times New Roman" w:cs="Times New Roman"/>
          <w:sz w:val="24"/>
          <w:szCs w:val="24"/>
          <w:lang w:val="en-US" w:eastAsia="en-US"/>
        </w:rPr>
        <w:t xml:space="preserve">Chen, Y., Chen, Y., Qiao, G., &amp; Chen, J. (2026). Divergent diversity and composition of microbial communities between the whole body and dissected gut of oribatid mites revealed by high-throughput sequencing. </w:t>
      </w:r>
      <w:r w:rsidRPr="00FF7FB4">
        <w:rPr>
          <w:rFonts w:ascii="Times New Roman" w:eastAsia="Times New Roman" w:hAnsi="Times New Roman" w:cs="Times New Roman"/>
          <w:i/>
          <w:iCs/>
          <w:sz w:val="24"/>
          <w:szCs w:val="24"/>
          <w:lang w:val="en-US" w:eastAsia="en-US"/>
        </w:rPr>
        <w:t>Experimental and Applied Acarology, 97</w:t>
      </w:r>
      <w:r w:rsidRPr="00FF7FB4">
        <w:rPr>
          <w:rFonts w:ascii="Times New Roman" w:eastAsia="Times New Roman" w:hAnsi="Times New Roman" w:cs="Times New Roman"/>
          <w:sz w:val="24"/>
          <w:szCs w:val="24"/>
          <w:lang w:val="en-US" w:eastAsia="en-US"/>
        </w:rPr>
        <w:t>, Article 12. https://doi.org/10.1007/s10493-026-01158-3</w:t>
      </w:r>
    </w:p>
    <w:p w14:paraId="33634ED9" w14:textId="77777777" w:rsidR="00526238" w:rsidRPr="00FF7FB4" w:rsidRDefault="00526238">
      <w:pPr>
        <w:keepNext/>
        <w:pBdr>
          <w:top w:val="nil"/>
          <w:left w:val="nil"/>
          <w:bottom w:val="nil"/>
          <w:right w:val="nil"/>
          <w:between w:val="nil"/>
        </w:pBdr>
        <w:rPr>
          <w:rFonts w:ascii="Arial" w:eastAsia="Arial" w:hAnsi="Arial" w:cs="Arial"/>
          <w:smallCaps/>
          <w:color w:val="000000"/>
          <w:sz w:val="22"/>
          <w:szCs w:val="22"/>
        </w:rPr>
      </w:pPr>
      <w:r w:rsidRPr="00FF7FB4">
        <w:t xml:space="preserve">Subías, L. S., &amp; Sarkar, S. (1982). New representatives of nothroides oribatids (Acarida) from India (Trhypochthoniidae and Malaconothridae). </w:t>
      </w:r>
      <w:r w:rsidRPr="00FF7FB4">
        <w:rPr>
          <w:i/>
        </w:rPr>
        <w:t>Redia, 65</w:t>
      </w:r>
      <w:r w:rsidRPr="00FF7FB4">
        <w:t>, 39–49.</w:t>
      </w:r>
    </w:p>
    <w:p w14:paraId="03D4B952" w14:textId="77777777" w:rsidR="00CF5B4F" w:rsidRDefault="00000000">
      <w:pPr>
        <w:spacing w:before="100" w:after="100"/>
        <w:ind w:left="630" w:hanging="630"/>
      </w:pPr>
      <w:r w:rsidRPr="00FF7FB4">
        <w:t xml:space="preserve">Erban, T., Ledvinka, O., Nesvorna, M., &amp; Hubert, J. (2017). Experimental manipulation shows a greater influence of population than dietary perturbation on the microbiome of </w:t>
      </w:r>
      <w:r w:rsidRPr="00FF7FB4">
        <w:rPr>
          <w:i/>
          <w:iCs/>
        </w:rPr>
        <w:t>Tyrophagus putrescentiae</w:t>
      </w:r>
      <w:r w:rsidRPr="00FF7FB4">
        <w:t xml:space="preserve">. </w:t>
      </w:r>
      <w:r w:rsidRPr="00FF7FB4">
        <w:rPr>
          <w:i/>
          <w:iCs/>
        </w:rPr>
        <w:t>Applied and Environmental Microbiology, 83</w:t>
      </w:r>
      <w:r w:rsidRPr="00FF7FB4">
        <w:t>(9), Article e00128-17. https://doi.org/10.1128/AEM.00128-17</w:t>
      </w:r>
    </w:p>
    <w:sectPr w:rsidR="00CF5B4F">
      <w:headerReference w:type="even" r:id="rId34"/>
      <w:headerReference w:type="default" r:id="rId35"/>
      <w:footerReference w:type="default" r:id="rId36"/>
      <w:headerReference w:type="first" r:id="rId37"/>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9B382" w14:textId="77777777" w:rsidR="00E92FEC" w:rsidRDefault="00E92FEC">
      <w:r>
        <w:separator/>
      </w:r>
    </w:p>
  </w:endnote>
  <w:endnote w:type="continuationSeparator" w:id="0">
    <w:p w14:paraId="772AB93C" w14:textId="77777777" w:rsidR="00E92FEC" w:rsidRDefault="00E9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auto"/>
    <w:pitch w:val="default"/>
    <w:embedRegular r:id="rId1" w:fontKey="{AB934479-0592-43E3-B1C8-29E4FBB114E8}"/>
    <w:embedBold r:id="rId2" w:fontKey="{7FCE9680-C29F-42A2-B469-EAB721B7F002}"/>
    <w:embedItalic r:id="rId3" w:fontKey="{A6FA5AC9-0706-4E4D-AF5A-85CE91C54654}"/>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D22222F-40F5-4B1C-B8FF-D537DBDFCD77}"/>
  </w:font>
  <w:font w:name="Cambria Math">
    <w:panose1 w:val="02040503050406030204"/>
    <w:charset w:val="00"/>
    <w:family w:val="roman"/>
    <w:pitch w:val="variable"/>
    <w:sig w:usb0="E00006FF" w:usb1="420024FF" w:usb2="02000000" w:usb3="00000000" w:csb0="0000019F" w:csb1="00000000"/>
    <w:embedRegular r:id="rId5" w:fontKey="{BA4322F5-498C-4502-88EE-AB5F926AB25D}"/>
  </w:font>
  <w:font w:name="Calibri">
    <w:panose1 w:val="020F0502020204030204"/>
    <w:charset w:val="00"/>
    <w:family w:val="swiss"/>
    <w:pitch w:val="variable"/>
    <w:sig w:usb0="E4002EFF" w:usb1="C200247B" w:usb2="00000009" w:usb3="00000000" w:csb0="000001FF" w:csb1="00000000"/>
    <w:embedRegular r:id="rId6" w:fontKey="{3A9FAF8F-E45D-405E-AC41-F2492DF88C8D}"/>
  </w:font>
  <w:font w:name="Cambria">
    <w:panose1 w:val="02040503050406030204"/>
    <w:charset w:val="00"/>
    <w:family w:val="roman"/>
    <w:pitch w:val="variable"/>
    <w:sig w:usb0="E00006FF" w:usb1="420024FF" w:usb2="02000000" w:usb3="00000000" w:csb0="0000019F" w:csb1="00000000"/>
    <w:embedRegular r:id="rId7" w:fontKey="{16582831-5F4C-4035-A16E-84FF7D2F23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A17E" w14:textId="77777777" w:rsidR="00526238" w:rsidRDefault="00526238">
    <w:pPr>
      <w:pBdr>
        <w:top w:val="nil"/>
        <w:left w:val="nil"/>
        <w:bottom w:val="nil"/>
        <w:right w:val="nil"/>
        <w:between w:val="nil"/>
      </w:pBdr>
      <w:tabs>
        <w:tab w:val="center" w:pos="4320"/>
        <w:tab w:val="right" w:pos="8640"/>
      </w:tabs>
      <w:jc w:val="left"/>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CD89" w14:textId="77777777" w:rsidR="00526238" w:rsidRDefault="00526238">
    <w:pPr>
      <w:pBdr>
        <w:top w:val="nil"/>
        <w:left w:val="nil"/>
        <w:bottom w:val="nil"/>
        <w:right w:val="nil"/>
        <w:between w:val="nil"/>
      </w:pBdr>
      <w:tabs>
        <w:tab w:val="center" w:pos="4320"/>
        <w:tab w:val="right" w:pos="8640"/>
      </w:tabs>
      <w:jc w:val="left"/>
      <w:rPr>
        <w:rFonts w:ascii="Arial" w:eastAsia="Arial" w:hAnsi="Arial" w:cs="Arial"/>
        <w:color w:val="000000"/>
        <w:sz w:val="16"/>
        <w:szCs w:val="16"/>
      </w:rPr>
    </w:pPr>
  </w:p>
  <w:p w14:paraId="58FCC22E" w14:textId="77777777" w:rsidR="00526238" w:rsidRDefault="00000000">
    <w:pPr>
      <w:pBdr>
        <w:top w:val="nil"/>
        <w:left w:val="nil"/>
        <w:bottom w:val="nil"/>
        <w:right w:val="nil"/>
        <w:between w:val="nil"/>
      </w:pBdr>
      <w:tabs>
        <w:tab w:val="center" w:pos="4320"/>
        <w:tab w:val="right" w:pos="8640"/>
      </w:tabs>
      <w:jc w:val="center"/>
      <w:rPr>
        <w:rFonts w:ascii="Arial" w:eastAsia="Arial" w:hAnsi="Arial" w:cs="Arial"/>
        <w:color w:val="000000"/>
        <w:sz w:val="16"/>
        <w:szCs w:val="16"/>
      </w:rPr>
    </w:pPr>
    <w:r>
      <w:rPr>
        <w:rFonts w:ascii="Arial" w:eastAsia="Arial" w:hAnsi="Arial" w:cs="Arial"/>
        <w:color w:val="000000"/>
        <w:sz w:val="16"/>
        <w:szCs w:val="16"/>
      </w:rPr>
      <w:t>____________________________________________________________________________________________</w:t>
    </w:r>
  </w:p>
  <w:p w14:paraId="73B24E80" w14:textId="77777777" w:rsidR="00526238" w:rsidRDefault="00526238">
    <w:pPr>
      <w:pBdr>
        <w:top w:val="nil"/>
        <w:left w:val="nil"/>
        <w:bottom w:val="nil"/>
        <w:right w:val="nil"/>
        <w:between w:val="nil"/>
      </w:pBdr>
      <w:tabs>
        <w:tab w:val="center" w:pos="4320"/>
        <w:tab w:val="right" w:pos="8640"/>
      </w:tabs>
      <w:jc w:val="left"/>
      <w:rPr>
        <w:rFonts w:ascii="Arial" w:eastAsia="Arial" w:hAnsi="Arial" w:cs="Arial"/>
        <w:color w:val="000000"/>
        <w:sz w:val="16"/>
        <w:szCs w:val="16"/>
      </w:rPr>
    </w:pPr>
  </w:p>
  <w:p w14:paraId="1A7A8501" w14:textId="77777777" w:rsidR="00526238" w:rsidRDefault="00000000">
    <w:pPr>
      <w:pBdr>
        <w:top w:val="nil"/>
        <w:left w:val="nil"/>
        <w:bottom w:val="nil"/>
        <w:right w:val="nil"/>
        <w:between w:val="nil"/>
      </w:pBdr>
      <w:tabs>
        <w:tab w:val="center" w:pos="4320"/>
        <w:tab w:val="right" w:pos="8640"/>
      </w:tabs>
      <w:jc w:val="left"/>
      <w:rPr>
        <w:rFonts w:ascii="Arial" w:eastAsia="Arial" w:hAnsi="Arial" w:cs="Arial"/>
        <w:i/>
        <w:iCs/>
        <w:color w:val="000000"/>
        <w:sz w:val="16"/>
        <w:szCs w:val="16"/>
      </w:rPr>
    </w:pPr>
    <w:r>
      <w:rPr>
        <w:rFonts w:ascii="Arial" w:eastAsia="Arial" w:hAnsi="Arial" w:cs="Arial"/>
        <w:i/>
        <w:iCs/>
        <w:color w:val="000000"/>
        <w:sz w:val="16"/>
        <w:szCs w:val="16"/>
      </w:rPr>
      <w:t>*Corresponding author: Email: XYZ@ABC.COM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816C" w14:textId="77777777" w:rsidR="00526238" w:rsidRDefault="00526238">
    <w:pPr>
      <w:pBdr>
        <w:top w:val="nil"/>
        <w:left w:val="nil"/>
        <w:bottom w:val="nil"/>
        <w:right w:val="nil"/>
        <w:between w:val="nil"/>
      </w:pBdr>
      <w:tabs>
        <w:tab w:val="center" w:pos="4320"/>
        <w:tab w:val="right" w:pos="8640"/>
      </w:tabs>
      <w:jc w:val="lef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A89BE" w14:textId="77777777" w:rsidR="00E92FEC" w:rsidRDefault="00E92FEC">
      <w:r>
        <w:separator/>
      </w:r>
    </w:p>
  </w:footnote>
  <w:footnote w:type="continuationSeparator" w:id="0">
    <w:p w14:paraId="6F568E43" w14:textId="77777777" w:rsidR="00E92FEC" w:rsidRDefault="00E92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037C4"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noProof/>
      </w:rPr>
      <mc:AlternateContent>
        <mc:Choice Requires="wps">
          <w:drawing>
            <wp:anchor distT="0" distB="0" distL="114300" distR="114300" simplePos="0" relativeHeight="251660288" behindDoc="1" locked="0" layoutInCell="1" hidden="0" allowOverlap="1" wp14:anchorId="7AC6B95C" wp14:editId="34C201B2">
              <wp:simplePos x="0" y="0"/>
              <wp:positionH relativeFrom="margin">
                <wp:align>center</wp:align>
              </wp:positionH>
              <wp:positionV relativeFrom="margin">
                <wp:align>center</wp:align>
              </wp:positionV>
              <wp:extent cx="5208549" cy="5208549"/>
              <wp:effectExtent l="0" t="0" r="0" b="0"/>
              <wp:wrapNone/>
              <wp:docPr id="8" name="Rectangle 8"/>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3FAA3D6F"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7AC6B95C" id="Rectangle 8" o:spid="_x0000_s1026" style="position:absolute;margin-left:0;margin-top:0;width:410.1pt;height:410.1pt;rotation:-45;z-index:-25165619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" filled="f" stroked="f">
              <v:textbox inset="2.53958mm,2.53958mm,2.53958mm,2.53958mm">
                <w:txbxContent>
                  <w:p w14:paraId="3FAA3D6F"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141C"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noProof/>
      </w:rPr>
      <mc:AlternateContent>
        <mc:Choice Requires="wps">
          <w:drawing>
            <wp:anchor distT="0" distB="0" distL="114300" distR="114300" simplePos="0" relativeHeight="251658240" behindDoc="1" locked="0" layoutInCell="1" hidden="0" allowOverlap="1" wp14:anchorId="11C7EC7F" wp14:editId="3DC88E04">
              <wp:simplePos x="0" y="0"/>
              <wp:positionH relativeFrom="margin">
                <wp:align>center</wp:align>
              </wp:positionH>
              <wp:positionV relativeFrom="margin">
                <wp:align>center</wp:align>
              </wp:positionV>
              <wp:extent cx="5208549" cy="5208549"/>
              <wp:effectExtent l="0" t="0" r="0" b="0"/>
              <wp:wrapNone/>
              <wp:docPr id="3" name="Rectangle 3"/>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0490862D"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11C7EC7F" id="Rectangle 3" o:spid="_x0000_s1027" style="position:absolute;margin-left:0;margin-top:0;width:410.1pt;height:410.1pt;rotation:-45;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" filled="f" stroked="f">
              <v:textbox inset="2.53958mm,2.53958mm,2.53958mm,2.53958mm">
                <w:txbxContent>
                  <w:p w14:paraId="0490862D"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9B1BE" w14:textId="77777777" w:rsidR="00526238" w:rsidRDefault="00000000">
    <w:pPr>
      <w:ind w:left="2160"/>
      <w:jc w:val="center"/>
      <w:rPr>
        <w:rFonts w:ascii="Times New Roman" w:eastAsia="Times New Roman" w:hAnsi="Times New Roman" w:cs="Times New Roman"/>
        <w:i/>
        <w:iCs/>
        <w:sz w:val="18"/>
        <w:szCs w:val="18"/>
      </w:rPr>
    </w:pPr>
    <w:r>
      <w:rPr>
        <w:noProof/>
      </w:rPr>
      <mc:AlternateContent>
        <mc:Choice Requires="wps">
          <w:drawing>
            <wp:anchor distT="0" distB="0" distL="114300" distR="114300" simplePos="0" relativeHeight="251659264" behindDoc="1" locked="0" layoutInCell="1" hidden="0" allowOverlap="1" wp14:anchorId="51FD0D0A" wp14:editId="73EA0D73">
              <wp:simplePos x="0" y="0"/>
              <wp:positionH relativeFrom="margin">
                <wp:align>center</wp:align>
              </wp:positionH>
              <wp:positionV relativeFrom="margin">
                <wp:align>center</wp:align>
              </wp:positionV>
              <wp:extent cx="5208549" cy="5208549"/>
              <wp:effectExtent l="0" t="0" r="0" b="0"/>
              <wp:wrapNone/>
              <wp:docPr id="4" name="Rectangle 4"/>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13C91D16"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51FD0D0A" id="Rectangle 4" o:spid="_x0000_s1028" style="position:absolute;left:0;text-align:left;margin-left:0;margin-top:0;width:410.1pt;height:410.1pt;rotation:-45;z-index:-25165721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" filled="f" stroked="f">
              <v:textbox inset="2.53958mm,2.53958mm,2.53958mm,2.53958mm">
                <w:txbxContent>
                  <w:p w14:paraId="13C91D16"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p w14:paraId="72A49A04" w14:textId="77777777" w:rsidR="00526238" w:rsidRDefault="00000000">
    <w:pPr>
      <w:ind w:left="4320"/>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2FB57D0C" w14:textId="77777777" w:rsidR="00526238"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w:t>
    </w:r>
  </w:p>
  <w:p w14:paraId="608AF6EC" w14:textId="77777777" w:rsidR="00526238" w:rsidRDefault="00000000">
    <w:pPr>
      <w:spacing w:after="200"/>
      <w:jc w:val="center"/>
      <w:rPr>
        <w:rFonts w:ascii="Times New Roman" w:eastAsia="Times New Roman" w:hAnsi="Times New Roman" w:cs="Times New Roman"/>
        <w:b/>
        <w:bCs/>
        <w:i/>
        <w:iCs/>
        <w:sz w:val="32"/>
        <w:szCs w:val="32"/>
      </w:rPr>
    </w:pPr>
    <w:r>
      <w:rPr>
        <w:rFonts w:ascii="Times New Roman" w:eastAsia="Times New Roman" w:hAnsi="Times New Roman" w:cs="Times New Roman"/>
        <w:b/>
        <w:bCs/>
        <w:i/>
        <w:iCs/>
        <w:sz w:val="32"/>
        <w:szCs w:val="32"/>
      </w:rPr>
      <w:t xml:space="preserve">              . </w:t>
    </w:r>
  </w:p>
  <w:p w14:paraId="4E2F931A" w14:textId="77777777" w:rsidR="00526238"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122B1E58" w14:textId="77777777" w:rsidR="00526238" w:rsidRDefault="00000000">
    <w:pPr>
      <w:tabs>
        <w:tab w:val="left" w:pos="2145"/>
      </w:tabs>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b/>
      <w:t>.</w:t>
    </w:r>
  </w:p>
  <w:p w14:paraId="1B37DDE7"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color w:val="000000"/>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29A2"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noProof/>
      </w:rPr>
      <mc:AlternateContent>
        <mc:Choice Requires="wps">
          <w:drawing>
            <wp:anchor distT="0" distB="0" distL="114300" distR="114300" simplePos="0" relativeHeight="251665408" behindDoc="1" locked="0" layoutInCell="1" hidden="0" allowOverlap="1" wp14:anchorId="7512E64A" wp14:editId="7119AC47">
              <wp:simplePos x="0" y="0"/>
              <wp:positionH relativeFrom="margin">
                <wp:align>center</wp:align>
              </wp:positionH>
              <wp:positionV relativeFrom="margin">
                <wp:align>center</wp:align>
              </wp:positionV>
              <wp:extent cx="5208549" cy="5208549"/>
              <wp:effectExtent l="0" t="0" r="0" b="0"/>
              <wp:wrapNone/>
              <wp:docPr id="6" name="Rectangle 6"/>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77DF60D4"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7512E64A" id="Rectangle 6" o:spid="_x0000_s1029" style="position:absolute;margin-left:0;margin-top:0;width:410.1pt;height:410.1pt;rotation:-45;z-index:-25165107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" filled="f" stroked="f">
              <v:textbox inset="2.53958mm,2.53958mm,2.53958mm,2.53958mm">
                <w:txbxContent>
                  <w:p w14:paraId="77DF60D4"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r>
      <w:rPr>
        <w:noProof/>
      </w:rPr>
      <mc:AlternateContent>
        <mc:Choice Requires="wps">
          <w:drawing>
            <wp:anchor distT="0" distB="0" distL="114300" distR="114300" simplePos="0" relativeHeight="251666432" behindDoc="1" locked="0" layoutInCell="1" hidden="0" allowOverlap="1" wp14:anchorId="00F30254" wp14:editId="05ACFE9A">
              <wp:simplePos x="0" y="0"/>
              <wp:positionH relativeFrom="margin">
                <wp:align>center</wp:align>
              </wp:positionH>
              <wp:positionV relativeFrom="margin">
                <wp:align>center</wp:align>
              </wp:positionV>
              <wp:extent cx="5208549" cy="5208549"/>
              <wp:effectExtent l="0" t="0" r="0" b="0"/>
              <wp:wrapNone/>
              <wp:docPr id="1" name="Rectangle 1"/>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47F0260E"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00F30254" id="Rectangle 1" o:spid="_x0000_s1030" style="position:absolute;margin-left:0;margin-top:0;width:410.1pt;height:410.1pt;rotation:-45;z-index:-25165004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" filled="f" stroked="f">
              <v:textbox inset="2.53958mm,2.53958mm,2.53958mm,2.53958mm">
                <w:txbxContent>
                  <w:p w14:paraId="47F0260E"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BF54"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noProof/>
      </w:rPr>
      <mc:AlternateContent>
        <mc:Choice Requires="wps">
          <w:drawing>
            <wp:anchor distT="0" distB="0" distL="114300" distR="114300" simplePos="0" relativeHeight="251661312" behindDoc="1" locked="0" layoutInCell="1" hidden="0" allowOverlap="1" wp14:anchorId="58B00242" wp14:editId="735378AB">
              <wp:simplePos x="0" y="0"/>
              <wp:positionH relativeFrom="margin">
                <wp:align>center</wp:align>
              </wp:positionH>
              <wp:positionV relativeFrom="margin">
                <wp:align>center</wp:align>
              </wp:positionV>
              <wp:extent cx="5208549" cy="5208549"/>
              <wp:effectExtent l="0" t="0" r="0" b="0"/>
              <wp:wrapNone/>
              <wp:docPr id="2" name="Rectangle 2"/>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4AEF2135"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58B00242" id="Rectangle 2" o:spid="_x0000_s1031" style="position:absolute;margin-left:0;margin-top:0;width:410.1pt;height:410.1pt;rotation:-45;z-index:-25165516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" filled="f" stroked="f">
              <v:textbox inset="2.53958mm,2.53958mm,2.53958mm,2.53958mm">
                <w:txbxContent>
                  <w:p w14:paraId="4AEF2135"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r>
      <w:rPr>
        <w:noProof/>
      </w:rPr>
      <mc:AlternateContent>
        <mc:Choice Requires="wps">
          <w:drawing>
            <wp:anchor distT="0" distB="0" distL="114300" distR="114300" simplePos="0" relativeHeight="251662336" behindDoc="1" locked="0" layoutInCell="1" hidden="0" allowOverlap="1" wp14:anchorId="64493F24" wp14:editId="69082E34">
              <wp:simplePos x="0" y="0"/>
              <wp:positionH relativeFrom="margin">
                <wp:align>center</wp:align>
              </wp:positionH>
              <wp:positionV relativeFrom="margin">
                <wp:align>center</wp:align>
              </wp:positionV>
              <wp:extent cx="5208549" cy="5208549"/>
              <wp:effectExtent l="0" t="0" r="0" b="0"/>
              <wp:wrapNone/>
              <wp:docPr id="9" name="Rectangle 9"/>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0756F879"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64493F24" id="Rectangle 9" o:spid="_x0000_s1032" style="position:absolute;margin-left:0;margin-top:0;width:410.1pt;height:410.1pt;rotation:-45;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" filled="f" stroked="f">
              <v:textbox inset="2.53958mm,2.53958mm,2.53958mm,2.53958mm">
                <w:txbxContent>
                  <w:p w14:paraId="0756F879"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C7A1" w14:textId="77777777" w:rsidR="00526238" w:rsidRDefault="00000000">
    <w:pPr>
      <w:ind w:left="2160"/>
      <w:jc w:val="center"/>
      <w:rPr>
        <w:rFonts w:ascii="Times New Roman" w:eastAsia="Times New Roman" w:hAnsi="Times New Roman" w:cs="Times New Roman"/>
        <w:i/>
        <w:iCs/>
        <w:sz w:val="18"/>
        <w:szCs w:val="18"/>
      </w:rPr>
    </w:pPr>
    <w:r>
      <w:rPr>
        <w:noProof/>
      </w:rPr>
      <mc:AlternateContent>
        <mc:Choice Requires="wps">
          <w:drawing>
            <wp:anchor distT="0" distB="0" distL="114300" distR="114300" simplePos="0" relativeHeight="251663360" behindDoc="1" locked="0" layoutInCell="1" hidden="0" allowOverlap="1" wp14:anchorId="79E170D5" wp14:editId="58B28374">
              <wp:simplePos x="0" y="0"/>
              <wp:positionH relativeFrom="margin">
                <wp:align>center</wp:align>
              </wp:positionH>
              <wp:positionV relativeFrom="margin">
                <wp:align>center</wp:align>
              </wp:positionV>
              <wp:extent cx="5208549" cy="5208549"/>
              <wp:effectExtent l="0" t="0" r="0" b="0"/>
              <wp:wrapNone/>
              <wp:docPr id="10" name="Rectangle 10"/>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09862A8B"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79E170D5" id="Rectangle 10" o:spid="_x0000_s1033" style="position:absolute;left:0;text-align:left;margin-left:0;margin-top:0;width:410.1pt;height:410.1pt;rotation:-45;z-index:-25165312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" filled="f" stroked="f">
              <v:textbox inset="2.53958mm,2.53958mm,2.53958mm,2.53958mm">
                <w:txbxContent>
                  <w:p w14:paraId="09862A8B"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r>
      <w:rPr>
        <w:noProof/>
      </w:rPr>
      <mc:AlternateContent>
        <mc:Choice Requires="wps">
          <w:drawing>
            <wp:anchor distT="0" distB="0" distL="114300" distR="114300" simplePos="0" relativeHeight="251664384" behindDoc="1" locked="0" layoutInCell="1" hidden="0" allowOverlap="1" wp14:anchorId="5369DE85" wp14:editId="1F8A64F1">
              <wp:simplePos x="0" y="0"/>
              <wp:positionH relativeFrom="margin">
                <wp:align>center</wp:align>
              </wp:positionH>
              <wp:positionV relativeFrom="margin">
                <wp:align>center</wp:align>
              </wp:positionV>
              <wp:extent cx="5208549" cy="5208549"/>
              <wp:effectExtent l="0" t="0" r="0" b="0"/>
              <wp:wrapNone/>
              <wp:docPr id="5" name="Rectangle 5"/>
              <wp:cNvGraphicFramePr/>
              <a:graphic xmlns:a="http://schemas.openxmlformats.org/drawingml/2006/main">
                <a:graphicData uri="http://schemas.microsoft.com/office/word/2010/wordprocessingShape">
                  <wps:wsp>
                    <wps:cNvSpPr/>
                    <wps:spPr>
                      <a:xfrm rot="-2700000">
                        <a:off x="2039873" y="3412653"/>
                        <a:ext cx="6612255" cy="734695"/>
                      </a:xfrm>
                      <a:prstGeom prst="rect">
                        <a:avLst/>
                      </a:prstGeom>
                    </wps:spPr>
                    <wps:txbx>
                      <w:txbxContent>
                        <w:p w14:paraId="4D758A9F" w14:textId="77777777" w:rsidR="00526238" w:rsidRDefault="00000000">
                          <w:pPr>
                            <w:jc w:val="center"/>
                            <w:textDirection w:val="btLr"/>
                          </w:pPr>
                          <w:r>
                            <w:rPr>
                              <w:color w:val="C0C0C0"/>
                              <w:sz w:val="144"/>
                            </w:rPr>
                            <w:t>UNDER PEER REVIEW</w:t>
                          </w:r>
                        </w:p>
                      </w:txbxContent>
                    </wps:txbx>
                    <wps:bodyPr spcFirstLastPara="1" wrap="square" lIns="91425" tIns="91425" rIns="91425" bIns="91425" anchor="ctr" anchorCtr="0">
                      <a:noAutofit/>
                    </wps:bodyPr>
                  </wps:wsp>
                </a:graphicData>
              </a:graphic>
            </wp:anchor>
          </w:drawing>
        </mc:Choice>
        <mc:Fallback>
          <w:pict>
            <v:rect w14:anchorId="5369DE85" id="Rectangle 5" o:spid="_x0000_s1034" style="position:absolute;left:0;text-align:left;margin-left:0;margin-top:0;width:410.1pt;height:410.1pt;rotation:-45;z-index:-25165209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" filled="f" stroked="f">
              <v:textbox inset="2.53958mm,2.53958mm,2.53958mm,2.53958mm">
                <w:txbxContent>
                  <w:p w14:paraId="4D758A9F" w14:textId="77777777" w:rsidR="00526238" w:rsidRDefault="00000000">
                    <w:pPr>
                      <w:jc w:val="center"/>
                      <w:textDirection w:val="btLr"/>
                    </w:pPr>
                    <w:r>
                      <w:rPr>
                        <w:color w:val="C0C0C0"/>
                        <w:sz w:val="144"/>
                      </w:rPr>
                      <w:t>UNDER PEER REVIEW</w:t>
                    </w:r>
                  </w:p>
                </w:txbxContent>
              </v:textbox>
              <w10:wrap anchorx="margin" anchory="margin"/>
            </v:rect>
          </w:pict>
        </mc:Fallback>
      </mc:AlternateContent>
    </w:r>
  </w:p>
  <w:p w14:paraId="54906878" w14:textId="77777777" w:rsidR="00526238" w:rsidRDefault="00000000">
    <w:pPr>
      <w:ind w:left="4320"/>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43049C89" w14:textId="77777777" w:rsidR="00526238"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w:t>
    </w:r>
  </w:p>
  <w:p w14:paraId="22F5FE8D" w14:textId="77777777" w:rsidR="00526238" w:rsidRDefault="00000000">
    <w:pPr>
      <w:spacing w:after="200"/>
      <w:jc w:val="center"/>
      <w:rPr>
        <w:rFonts w:ascii="Times New Roman" w:eastAsia="Times New Roman" w:hAnsi="Times New Roman" w:cs="Times New Roman"/>
        <w:b/>
        <w:bCs/>
        <w:i/>
        <w:iCs/>
        <w:sz w:val="32"/>
        <w:szCs w:val="32"/>
      </w:rPr>
    </w:pPr>
    <w:r>
      <w:rPr>
        <w:rFonts w:ascii="Times New Roman" w:eastAsia="Times New Roman" w:hAnsi="Times New Roman" w:cs="Times New Roman"/>
        <w:b/>
        <w:bCs/>
        <w:i/>
        <w:iCs/>
        <w:sz w:val="32"/>
        <w:szCs w:val="32"/>
      </w:rPr>
      <w:t xml:space="preserve">              . </w:t>
    </w:r>
  </w:p>
  <w:p w14:paraId="52332556" w14:textId="77777777" w:rsidR="00526238" w:rsidRDefault="00000000">
    <w:pPr>
      <w:jc w:val="center"/>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 xml:space="preserve">                     </w:t>
    </w:r>
  </w:p>
  <w:p w14:paraId="0F2C4457" w14:textId="77777777" w:rsidR="00526238" w:rsidRDefault="00000000">
    <w:pPr>
      <w:tabs>
        <w:tab w:val="left" w:pos="2145"/>
      </w:tabs>
      <w:rPr>
        <w:rFonts w:ascii="Times New Roman" w:eastAsia="Times New Roman" w:hAnsi="Times New Roman" w:cs="Times New Roman"/>
        <w:i/>
        <w:iCs/>
        <w:sz w:val="18"/>
        <w:szCs w:val="18"/>
      </w:rPr>
    </w:pPr>
    <w:r>
      <w:rPr>
        <w:rFonts w:ascii="Times New Roman" w:eastAsia="Times New Roman" w:hAnsi="Times New Roman" w:cs="Times New Roman"/>
        <w:i/>
        <w:iCs/>
        <w:sz w:val="18"/>
        <w:szCs w:val="18"/>
      </w:rPr>
      <w:tab/>
      <w:t>.</w:t>
    </w:r>
  </w:p>
  <w:p w14:paraId="304666E4" w14:textId="77777777" w:rsidR="00526238" w:rsidRDefault="00000000">
    <w:pPr>
      <w:pBdr>
        <w:top w:val="nil"/>
        <w:left w:val="nil"/>
        <w:bottom w:val="nil"/>
        <w:right w:val="nil"/>
        <w:between w:val="nil"/>
      </w:pBdr>
      <w:tabs>
        <w:tab w:val="center" w:pos="4320"/>
        <w:tab w:val="right" w:pos="8640"/>
      </w:tabs>
      <w:jc w:val="left"/>
      <w:rPr>
        <w:color w:val="000000"/>
        <w:sz w:val="20"/>
        <w:szCs w:val="20"/>
      </w:rPr>
    </w:pPr>
    <w:r>
      <w:rPr>
        <w:color w:val="000000"/>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6DC"/>
    <w:multiLevelType w:val="hybridMultilevel"/>
    <w:tmpl w:val="CC345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223AC"/>
    <w:multiLevelType w:val="multilevel"/>
    <w:tmpl w:val="6B307D7A"/>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3B2FC1"/>
    <w:multiLevelType w:val="multilevel"/>
    <w:tmpl w:val="840E8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0A6E87"/>
    <w:multiLevelType w:val="multilevel"/>
    <w:tmpl w:val="12405FC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9E3723"/>
    <w:multiLevelType w:val="multilevel"/>
    <w:tmpl w:val="FB7C730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99695F"/>
    <w:multiLevelType w:val="multilevel"/>
    <w:tmpl w:val="4D10D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CC1723"/>
    <w:multiLevelType w:val="multilevel"/>
    <w:tmpl w:val="A21C77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E577455"/>
    <w:multiLevelType w:val="multilevel"/>
    <w:tmpl w:val="6256DF5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4C3F4B"/>
    <w:multiLevelType w:val="multilevel"/>
    <w:tmpl w:val="AFC4A0F2"/>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0771AF"/>
    <w:multiLevelType w:val="multilevel"/>
    <w:tmpl w:val="4FE0D0B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462845">
    <w:abstractNumId w:val="5"/>
  </w:num>
  <w:num w:numId="2" w16cid:durableId="553590137">
    <w:abstractNumId w:val="2"/>
  </w:num>
  <w:num w:numId="3" w16cid:durableId="1305085530">
    <w:abstractNumId w:val="7"/>
  </w:num>
  <w:num w:numId="4" w16cid:durableId="809706994">
    <w:abstractNumId w:val="6"/>
  </w:num>
  <w:num w:numId="5" w16cid:durableId="1209300675">
    <w:abstractNumId w:val="9"/>
  </w:num>
  <w:num w:numId="6" w16cid:durableId="1736124569">
    <w:abstractNumId w:val="8"/>
  </w:num>
  <w:num w:numId="7" w16cid:durableId="210700546">
    <w:abstractNumId w:val="3"/>
  </w:num>
  <w:num w:numId="8" w16cid:durableId="396634144">
    <w:abstractNumId w:val="4"/>
  </w:num>
  <w:num w:numId="9" w16cid:durableId="403798086">
    <w:abstractNumId w:val="1"/>
  </w:num>
  <w:num w:numId="10" w16cid:durableId="202205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38"/>
    <w:rsid w:val="00246C9C"/>
    <w:rsid w:val="00275C8F"/>
    <w:rsid w:val="00513A0F"/>
    <w:rsid w:val="00526238"/>
    <w:rsid w:val="005E4112"/>
    <w:rsid w:val="006A573E"/>
    <w:rsid w:val="007B706D"/>
    <w:rsid w:val="008E0C32"/>
    <w:rsid w:val="00964E48"/>
    <w:rsid w:val="009D27D2"/>
    <w:rsid w:val="00A517D4"/>
    <w:rsid w:val="00AF434C"/>
    <w:rsid w:val="00CD735F"/>
    <w:rsid w:val="00CF5B4F"/>
    <w:rsid w:val="00D63800"/>
    <w:rsid w:val="00E92FEC"/>
    <w:rsid w:val="00F34FC1"/>
    <w:rsid w:val="00FB4698"/>
    <w:rsid w:val="00FF7F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D0E54"/>
  <w15:docId w15:val="{E9591F03-A429-40EF-8617-A8AAF2657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1"/>
        <w:szCs w:val="21"/>
        <w:lang w:val="en-IN" w:eastAsia="en-I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jc w:val="left"/>
      <w:outlineLvl w:val="0"/>
    </w:pPr>
    <w:rPr>
      <w:rFonts w:ascii="Arial" w:eastAsia="Arial" w:hAnsi="Arial" w:cs="Arial"/>
      <w:b/>
      <w:bCs/>
      <w:color w:val="000000"/>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jc w:val="left"/>
      <w:outlineLvl w:val="1"/>
    </w:pPr>
    <w:rPr>
      <w:b/>
      <w:bCs/>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jc w:val="left"/>
      <w:outlineLvl w:val="2"/>
    </w:pPr>
    <w:rPr>
      <w:b/>
      <w:bCs/>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jc w:val="left"/>
      <w:outlineLvl w:val="3"/>
    </w:pPr>
    <w:rPr>
      <w:b/>
      <w:bCs/>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jc w:val="left"/>
      <w:outlineLvl w:val="4"/>
    </w:pPr>
    <w:rPr>
      <w:b/>
      <w:bCs/>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jc w:val="left"/>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after="360"/>
      <w:jc w:val="right"/>
    </w:pPr>
    <w:rPr>
      <w:b/>
      <w:bCs/>
      <w:color w:val="000000"/>
      <w:sz w:val="36"/>
      <w:szCs w:val="36"/>
    </w:rPr>
  </w:style>
  <w:style w:type="paragraph" w:styleId="Subtitle">
    <w:name w:val="Subtitle"/>
    <w:basedOn w:val="Normal"/>
    <w:next w:val="Normal"/>
    <w:uiPriority w:val="11"/>
    <w:qFormat/>
    <w:pPr>
      <w:keepNext/>
      <w:keepLines/>
      <w:pBdr>
        <w:top w:val="nil"/>
        <w:left w:val="nil"/>
        <w:bottom w:val="nil"/>
        <w:right w:val="nil"/>
        <w:between w:val="nil"/>
      </w:pBdr>
      <w:spacing w:before="360" w:after="80"/>
      <w:jc w:val="left"/>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9D27D2"/>
    <w:pPr>
      <w:ind w:left="720"/>
      <w:contextualSpacing/>
    </w:pPr>
  </w:style>
  <w:style w:type="character" w:styleId="Emphasis">
    <w:name w:val="Emphasis"/>
    <w:basedOn w:val="DefaultParagraphFont"/>
    <w:uiPriority w:val="20"/>
    <w:qFormat/>
    <w:rsid w:val="00FF7FB4"/>
    <w:rPr>
      <w:i/>
      <w:iCs/>
    </w:rPr>
  </w:style>
  <w:style w:type="paragraph" w:customStyle="1" w:styleId="pdq2pgselectionanchorcontainer">
    <w:name w:val="pdq2pg_selectionanchorcontainer"/>
    <w:basedOn w:val="Normal"/>
    <w:rsid w:val="00D63800"/>
    <w:pPr>
      <w:spacing w:before="100" w:beforeAutospacing="1" w:after="100" w:afterAutospacing="1"/>
      <w:jc w:val="left"/>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D63800"/>
    <w:rPr>
      <w:b/>
      <w:bCs/>
    </w:rPr>
  </w:style>
  <w:style w:type="paragraph" w:styleId="NormalWeb">
    <w:name w:val="Normal (Web)"/>
    <w:basedOn w:val="Normal"/>
    <w:uiPriority w:val="99"/>
    <w:semiHidden/>
    <w:unhideWhenUsed/>
    <w:rsid w:val="00D63800"/>
    <w:pPr>
      <w:spacing w:before="100" w:beforeAutospacing="1" w:after="100" w:afterAutospacing="1"/>
      <w:jc w:val="left"/>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1.png"/><Relationship Id="rId18" Type="http://schemas.openxmlformats.org/officeDocument/2006/relationships/hyperlink" Target="https://www.academia.edu/143011293/BIOSYSTEMATICA" TargetMode="External"/><Relationship Id="rId26" Type="http://schemas.openxmlformats.org/officeDocument/2006/relationships/hyperlink" Target="https://search.library.wisc.edu/catalog/999724574602121" TargetMode="External"/><Relationship Id="rId39" Type="http://schemas.openxmlformats.org/officeDocument/2006/relationships/theme" Target="theme/theme1.xml"/><Relationship Id="rId21" Type="http://schemas.openxmlformats.org/officeDocument/2006/relationships/hyperlink" Target="https://doi.org/10.1111/brv.12832"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arch.library.ucla.edu/discovery/fulldisplay/alma9930828873606533/01UCS_LAL%3AUCLA?utm_source=chatgpt.com" TargetMode="External"/><Relationship Id="rId25" Type="http://schemas.openxmlformats.org/officeDocument/2006/relationships/hyperlink" Target="https://opuscula.elte.hu/tom31.htm?utm_source=chatgpt.com" TargetMode="External"/><Relationship Id="rId33" Type="http://schemas.openxmlformats.org/officeDocument/2006/relationships/hyperlink" Target="https://doi.org/10.3390/agriculture1310197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yperlink" Target="https://www1.montpellier.inra.fr/CBGP/acarologia/article.php?id=2449" TargetMode="External"/><Relationship Id="rId29" Type="http://schemas.openxmlformats.org/officeDocument/2006/relationships/hyperlink" Target="https://cir.nii.ac.jp/crid/1572824499940924160?la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real-eod.mtak.hu/18996/" TargetMode="External"/><Relationship Id="rId32" Type="http://schemas.openxmlformats.org/officeDocument/2006/relationships/hyperlink" Target="https://doi.org/10.3389/fmicb.2016.01046" TargetMode="External"/><Relationship Id="rId37"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real-eod.mtak.hu/12740/" TargetMode="External"/><Relationship Id="rId28" Type="http://schemas.openxmlformats.org/officeDocument/2006/relationships/hyperlink" Target="https://catalog.nlm.nih.gov/discovery/fulldisplay/alma996854943406676/01NLM_INST%3A01NLM_INST" TargetMode="External"/><Relationship Id="rId36"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doi.org/10.1007/s10493-020-00494-2" TargetMode="External"/><Relationship Id="rId31" Type="http://schemas.openxmlformats.org/officeDocument/2006/relationships/hyperlink" Target="https://doi.org/10.3389/fmicb.2023.1136187"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external.dandelon.com/download/attachments/dandelon/ids/DE00659E511D8D733B163C1257A36004585D0.pdf?utm_source=chatgpt.com" TargetMode="External"/><Relationship Id="rId27" Type="http://schemas.openxmlformats.org/officeDocument/2006/relationships/hyperlink" Target="https://www.academia.edu/75583185/A_Review_on_Commonly_Used_Biochemical_Test_for_Bacteria" TargetMode="External"/><Relationship Id="rId30" Type="http://schemas.openxmlformats.org/officeDocument/2006/relationships/hyperlink" Target="https://doi.org/10.11646/zootaxa.5556.1.13" TargetMode="External"/><Relationship Id="rId35"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LoclUV7J3+hWTaLGs584gyzqPQ==">CgMxLjA4AHIhMUlEdUtYOGE1dG9OQ0ZSOHIxdklWd3J6Nk1tWVJ0d2N1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6055</Words>
  <Characters>34520</Characters>
  <Application>Microsoft Office Word</Application>
  <DocSecurity>0</DocSecurity>
  <Lines>287</Lines>
  <Paragraphs>80</Paragraphs>
  <ScaleCrop>false</ScaleCrop>
  <Company/>
  <LinksUpToDate>false</LinksUpToDate>
  <CharactersWithSpaces>40495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Editor-17</cp:lastModifiedBy>
  <cp:revision>10</cp:revision>
  <dcterms:created xsi:type="dcterms:W3CDTF">2026-07-21T16:48:00Z</dcterms:created>
  <dcterms:modified xsi:type="dcterms:W3CDTF">2026-07-25T08:50:00Z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8fcdae43a2604ee3984bd4cb37742fe2_23</vt:lpwstr>
  </property>
  <property fmtid="{D5CDD505-2E9C-101B-9397-08002B2CF9AE}" pid="3" name="GrammarlyDocumentId">
    <vt:lpwstr>fb4e17aa-ad45-42be-827f-b01570cd123a</vt:lpwstr>
  </property>
</Properties>
</file>