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B5E42F" w14:textId="77777777" w:rsidR="00D9312A" w:rsidRDefault="00000000" w:rsidP="001E72FE">
      <w:pPr>
        <w:pStyle w:val="Title"/>
        <w:spacing w:before="100" w:beforeAutospacing="1" w:after="100" w:afterAutospacing="1" w:line="240" w:lineRule="auto"/>
      </w:pPr>
      <w:r>
        <w:t>Climate Change and Agroecosystem Pest Dynamics: A Critical Narrative Review of Impacts on Insect Pests, Their Natural Enemies, and Implications for Crop Protection</w:t>
      </w:r>
    </w:p>
    <w:p w14:paraId="66FF9ED6" w14:textId="77777777" w:rsidR="00D9312A" w:rsidRDefault="00000000" w:rsidP="001E72FE">
      <w:pPr>
        <w:pStyle w:val="Heading1"/>
        <w:spacing w:before="100" w:beforeAutospacing="1" w:after="100" w:afterAutospacing="1" w:line="240" w:lineRule="auto"/>
      </w:pPr>
      <w:r>
        <w:t>Abstract</w:t>
      </w:r>
    </w:p>
    <w:p w14:paraId="777D67AF" w14:textId="77777777" w:rsidR="00D9312A" w:rsidRDefault="00000000" w:rsidP="001E72FE">
      <w:pPr>
        <w:spacing w:before="100" w:beforeAutospacing="1" w:after="100" w:afterAutospacing="1" w:line="240" w:lineRule="auto"/>
        <w:jc w:val="both"/>
      </w:pPr>
      <w:r>
        <w:t xml:space="preserve">Climate change is altering the physiology, phenology, distribution and interaction networks of agricultural insect pests and the natural enemies that regulate them, yet the literature addressing these changes remains fragmented across disciplines and taxa. This critical narrative review synthesises evidence on how rising temperatures, elevated atmospheric carbon dioxide, altered precipitation and increasing climatic variability affect insect pests and their predators, </w:t>
      </w:r>
      <w:proofErr w:type="spellStart"/>
      <w:r>
        <w:t>parasitoids</w:t>
      </w:r>
      <w:proofErr w:type="spellEnd"/>
      <w:r>
        <w:t xml:space="preserve"> and entomopathogens in agricultural systems, and evaluates the resulting implications for crop protection. Warming generally accelerates insect development, increases voltinism and extends the geographical range of many pest species, while its effects on natural enemies are more variable and frequently negative, owing to a combination of lower thermal optima among </w:t>
      </w:r>
      <w:proofErr w:type="spellStart"/>
      <w:r>
        <w:t>parasitoids</w:t>
      </w:r>
      <w:proofErr w:type="spellEnd"/>
      <w:r>
        <w:t xml:space="preserve"> relative to their hosts, disrupted phenological synchrony, and altered chemosensory cues that impair host or prey location. Elevated carbon dioxide most often reduces host-plant nitrogen content, prompting compensatory feeding by herbivores, with inconsistent consequences for third-trophic-level performance. Case evidence from the fall armyworm, </w:t>
      </w:r>
      <w:r>
        <w:rPr>
          <w:i/>
          <w:iCs/>
        </w:rPr>
        <w:t xml:space="preserve">Spodoptera </w:t>
      </w:r>
      <w:proofErr w:type="spellStart"/>
      <w:r>
        <w:rPr>
          <w:i/>
          <w:iCs/>
        </w:rPr>
        <w:t>frugiperda</w:t>
      </w:r>
      <w:proofErr w:type="spellEnd"/>
      <w:r>
        <w:t>, bark beetle outbreaks in coniferous forests, desert locust plagues linked to Indian Ocean climate variability, and cereal aphid–</w:t>
      </w:r>
      <w:proofErr w:type="spellStart"/>
      <w:r>
        <w:t>parasitoid</w:t>
      </w:r>
      <w:proofErr w:type="spellEnd"/>
      <w:r>
        <w:t xml:space="preserve"> systems </w:t>
      </w:r>
      <w:proofErr w:type="gramStart"/>
      <w:r>
        <w:t>illustrates</w:t>
      </w:r>
      <w:proofErr w:type="gramEnd"/>
      <w:r>
        <w:t xml:space="preserve"> convergent patterns of pest release alongside marked context-dependency. Meta-analytic evidence indicates that predators continue to suppress pests and support yield across a range of climates, and that landscape complexity can buffer biological control against climatic variability, offering a partial counterweight to the more pessimistic single-species findings. Methodological heterogeneity, including short experimental durations, single-factor manipulations, and geographic concentration of research in temperate systems, limits confidence in generalising current findings to tropical and subtropical smallholder systems where food security risks are often greatest. Research priorities include multifactorial and multigenerational experiments, standardised reporting of thermal and moisture regimes, and expanded evidence from under-represented regions and cropping systems. The review concludes that climate change is reshaping the balance of </w:t>
      </w:r>
      <w:proofErr w:type="spellStart"/>
      <w:r>
        <w:t>tritrophic</w:t>
      </w:r>
      <w:proofErr w:type="spellEnd"/>
      <w:r>
        <w:t xml:space="preserve"> interactions in ways that generally favour pests over their natural enemies, but that this outcome is neither universal nor immutable, and that landscape-scale conservation of natural enemy diversity is among the more defensible adaptive strategies currently supported by evidence.</w:t>
      </w:r>
    </w:p>
    <w:p w14:paraId="20FF8CA7" w14:textId="77777777" w:rsidR="00D9312A" w:rsidRDefault="00000000" w:rsidP="001E72FE">
      <w:pPr>
        <w:spacing w:before="100" w:beforeAutospacing="1" w:after="100" w:afterAutospacing="1" w:line="240" w:lineRule="auto"/>
      </w:pPr>
      <w:r>
        <w:rPr>
          <w:b/>
          <w:bCs/>
        </w:rPr>
        <w:t xml:space="preserve">Keywords: </w:t>
      </w:r>
      <w:r>
        <w:t xml:space="preserve">climate change; integrated pest management; </w:t>
      </w:r>
      <w:proofErr w:type="spellStart"/>
      <w:r>
        <w:t>tritrophic</w:t>
      </w:r>
      <w:proofErr w:type="spellEnd"/>
      <w:r>
        <w:t xml:space="preserve"> interactions; biological control; natural enemies; phenological mismatch; agricultural entomology; insect voltinism</w:t>
      </w:r>
    </w:p>
    <w:p w14:paraId="06C3A1B0" w14:textId="77777777" w:rsidR="00D9312A" w:rsidRDefault="00000000" w:rsidP="001E72FE">
      <w:pPr>
        <w:pStyle w:val="Heading1"/>
        <w:spacing w:before="100" w:beforeAutospacing="1" w:after="100" w:afterAutospacing="1" w:line="240" w:lineRule="auto"/>
      </w:pPr>
      <w:r>
        <w:t>1. Introduction</w:t>
      </w:r>
    </w:p>
    <w:p w14:paraId="1A1E8733" w14:textId="77777777" w:rsidR="00D9312A" w:rsidRDefault="00000000" w:rsidP="001E72FE">
      <w:pPr>
        <w:spacing w:before="100" w:beforeAutospacing="1" w:after="100" w:afterAutospacing="1" w:line="240" w:lineRule="auto"/>
        <w:jc w:val="both"/>
      </w:pPr>
      <w:r>
        <w:t xml:space="preserve">Insect pests already account for a substantial share of global crop loss, and the scale of that loss is projected to grow as the climate system continues to warm. Synthesis of recent evidence indicates that a 2°C rise in global mean temperature could plausibly increase yield losses attributable to insect pests by roughly 46 per cent for wheat, 19 per cent for rice and 31 per cent for maize, driven principally by expanded pest ranges, faster development and additional generations per season (Ma et al., 2025). These projections sit alongside a parallel and less frequently examined story: the natural enemies that have historically constrained pest populations, including </w:t>
      </w:r>
      <w:proofErr w:type="spellStart"/>
      <w:r>
        <w:t>parasitoid</w:t>
      </w:r>
      <w:proofErr w:type="spellEnd"/>
      <w:r>
        <w:t xml:space="preserve"> wasps, predatory arthropods and entomopathogens, are </w:t>
      </w:r>
      <w:r>
        <w:lastRenderedPageBreak/>
        <w:t>themselves exposed to the same climatic forcing, often with different sensitivities and different thermal optima than the pests they attack (Castex et al., 2018; Ramos Aguila et al., 2023). The net effect of climate change on crop protection therefore depends not on pests alone, nor on natural enemies alone, but on the relative and often asymmetric responses of both groups, together with the host plants that mediate their interaction.</w:t>
      </w:r>
    </w:p>
    <w:p w14:paraId="3DB3518D" w14:textId="103EBED9" w:rsidR="0015181B" w:rsidRDefault="00000000">
      <w:pPr>
        <w:spacing w:before="100" w:beforeAutospacing="1" w:after="100" w:afterAutospacing="1" w:line="240" w:lineRule="auto"/>
        <w:jc w:val="both"/>
      </w:pPr>
      <w:r>
        <w:t xml:space="preserve">The ecological literature on insect responses to climate variables has a long history, extending back at least to foundational syntheses establishing temperature as the dominant abiotic driver of insect development, survival, range and abundance, with comparatively modest direct effects attributable to carbon dioxide or ultraviolet radiation (Bale et al., 2002). What has changed substantially over the past decade is not the basic physiological principles, which remain well established, but the volume, geographical breadth and trophic scope of empirical work applying those principles to agricultural systems. Whereas early research concentrated heavily on single-species thermal performance curves, more recent work has extended into multitrophic manipulative experiments (Doan et al., 2021), landscape-scale field studies of biological control resilience (Feit et al., 2021), and global species distribution modelling under multiple emissions scenarios (Zacarias, 2020; Meynard, </w:t>
      </w:r>
      <w:proofErr w:type="spellStart"/>
      <w:r>
        <w:t>Migeon</w:t>
      </w:r>
      <w:proofErr w:type="spellEnd"/>
      <w:r>
        <w:t xml:space="preserve"> and </w:t>
      </w:r>
      <w:proofErr w:type="spellStart"/>
      <w:r>
        <w:t>Navajas</w:t>
      </w:r>
      <w:proofErr w:type="spellEnd"/>
      <w:r>
        <w:t>, 2013). This expansion in scope has not, however, produced a correspondingly unified picture. Findings on the direction and magnitude of climate effects on natural enemies remain notably inconsistent across taxa, experimental designs and climatic contexts, and several recent studies directly contradict the intuitive expectation that warming uniformly favours pests over their regulators (Sun et al., 2022; Murrell and Barton, 2017</w:t>
      </w:r>
      <w:r w:rsidRPr="0082396E">
        <w:t>).</w:t>
      </w:r>
      <w:r w:rsidR="0082396E" w:rsidRPr="0082396E">
        <w:t xml:space="preserve"> </w:t>
      </w:r>
      <w:r w:rsidRPr="0082396E">
        <w:rPr>
          <w:highlight w:val="yellow"/>
        </w:rPr>
        <w:t>Recent species-distribution modelling of three invasive agricultural insects likewise reported taxon-specific patterns of projected expansion, contraction or relative stability, with both climatic and human-disturbance variables contributing to the modelled distributions (Zhang et al., 2024).</w:t>
      </w:r>
    </w:p>
    <w:p w14:paraId="234C54BB" w14:textId="77777777" w:rsidR="00D9312A" w:rsidRDefault="00000000" w:rsidP="001E72FE">
      <w:pPr>
        <w:spacing w:before="100" w:beforeAutospacing="1" w:after="100" w:afterAutospacing="1" w:line="240" w:lineRule="auto"/>
        <w:jc w:val="both"/>
      </w:pPr>
      <w:r>
        <w:t>Insect pests respond to a changing climate through several partially independent mechanisms. Direct physiological effects of temperature on development rate, survival and voltinism are the most extensively documented, and are broadly consistent with the expectation that warming, within species-specific thermal limits, accelerates growth and shortens generation time (</w:t>
      </w:r>
      <w:proofErr w:type="spellStart"/>
      <w:r>
        <w:t>Skendžić</w:t>
      </w:r>
      <w:proofErr w:type="spellEnd"/>
      <w:r>
        <w:t xml:space="preserve"> et al., 2021; Subedi, Poudel and Aryal, 2023). Indirect effects operate through the host plant, most notably via carbon dioxide-driven changes in foliar nitrogen and defensive chemistry, which can either suppress or, less commonly, enhance herbivore performance depending on the specific pest–plant pairing (Johnson, Waterman and Hall, 2020). A third mechanism operates through altered precipitation and drought, which reconfigure plant chemical defences in ways that are contingent on drought severity and duration, complicating simple predictions of net effect on herbivore pressure (</w:t>
      </w:r>
      <w:proofErr w:type="spellStart"/>
      <w:r>
        <w:t>Gely</w:t>
      </w:r>
      <w:proofErr w:type="spellEnd"/>
      <w:r>
        <w:t xml:space="preserve">, Laurance and Stork, 2020). Superimposed on these gradual mechanisms is an increase in the frequency of extreme and climatically variable events, which several lines of evidence suggest disproportionately disadvantage specialist </w:t>
      </w:r>
      <w:proofErr w:type="spellStart"/>
      <w:r>
        <w:t>parasitoids</w:t>
      </w:r>
      <w:proofErr w:type="spellEnd"/>
      <w:r>
        <w:t xml:space="preserve"> relative to their hosts by desynchronising life cycles that have historically been tightly co-evolved (</w:t>
      </w:r>
      <w:proofErr w:type="spellStart"/>
      <w:r>
        <w:t>Stireman</w:t>
      </w:r>
      <w:proofErr w:type="spellEnd"/>
      <w:r>
        <w:t xml:space="preserve"> et al., 2005; Wetherington et al., 2017).</w:t>
      </w:r>
    </w:p>
    <w:p w14:paraId="469F59A5" w14:textId="05F1F34A" w:rsidR="0015181B" w:rsidRPr="0082396E" w:rsidRDefault="00000000">
      <w:pPr>
        <w:spacing w:before="100" w:beforeAutospacing="1" w:after="100" w:afterAutospacing="1" w:line="240" w:lineRule="auto"/>
        <w:jc w:val="both"/>
        <w:rPr>
          <w:bCs/>
        </w:rPr>
      </w:pPr>
      <w:r w:rsidRPr="0082396E">
        <w:rPr>
          <w:bCs/>
          <w:highlight w:val="yellow"/>
        </w:rPr>
        <w:t xml:space="preserve">Long-term exposure experiments further indicate that elevated carbon dioxide can alter the nutritional value of herbivore hosts available to </w:t>
      </w:r>
      <w:proofErr w:type="spellStart"/>
      <w:r w:rsidRPr="0082396E">
        <w:rPr>
          <w:bCs/>
          <w:highlight w:val="yellow"/>
        </w:rPr>
        <w:t>parasitoids</w:t>
      </w:r>
      <w:proofErr w:type="spellEnd"/>
      <w:r w:rsidRPr="0082396E">
        <w:rPr>
          <w:bCs/>
          <w:highlight w:val="yellow"/>
        </w:rPr>
        <w:t>, thereby connecting plant-mediated change with potential effects at the third trophic level (Najar-Rodriguez et al., 2024).</w:t>
      </w:r>
      <w:r w:rsidR="0082396E" w:rsidRPr="0082396E">
        <w:rPr>
          <w:bCs/>
        </w:rPr>
        <w:t xml:space="preserve"> </w:t>
      </w:r>
      <w:r w:rsidRPr="0082396E">
        <w:rPr>
          <w:bCs/>
          <w:highlight w:val="yellow"/>
        </w:rPr>
        <w:t xml:space="preserve">High-temperature exposure has also been shown to affect a pest and its </w:t>
      </w:r>
      <w:proofErr w:type="spellStart"/>
      <w:r w:rsidRPr="0082396E">
        <w:rPr>
          <w:bCs/>
          <w:highlight w:val="yellow"/>
        </w:rPr>
        <w:t>parasitoid</w:t>
      </w:r>
      <w:proofErr w:type="spellEnd"/>
      <w:r w:rsidRPr="0082396E">
        <w:rPr>
          <w:bCs/>
          <w:highlight w:val="yellow"/>
        </w:rPr>
        <w:t xml:space="preserve"> differently across developmental stages, suggesting that developmental stage and exposure duration are relevant when assessing biological-control performance under warming (Pan et al., 2024).</w:t>
      </w:r>
    </w:p>
    <w:p w14:paraId="6A3EEF99" w14:textId="77777777" w:rsidR="0015181B" w:rsidRPr="0082396E" w:rsidRDefault="00000000">
      <w:pPr>
        <w:spacing w:before="100" w:beforeAutospacing="1" w:after="100" w:afterAutospacing="1" w:line="240" w:lineRule="auto"/>
        <w:jc w:val="both"/>
        <w:rPr>
          <w:bCs/>
        </w:rPr>
      </w:pPr>
      <w:r w:rsidRPr="0082396E">
        <w:rPr>
          <w:bCs/>
          <w:highlight w:val="yellow"/>
        </w:rPr>
        <w:lastRenderedPageBreak/>
        <w:t xml:space="preserve">Moreover, experimental evidence that heat stress interacts with host-plant quality and parasitism supports the use of multifactorial designs when evaluating climate-sensitive </w:t>
      </w:r>
      <w:proofErr w:type="spellStart"/>
      <w:r w:rsidRPr="0082396E">
        <w:rPr>
          <w:bCs/>
          <w:highlight w:val="yellow"/>
        </w:rPr>
        <w:t>tritrophic</w:t>
      </w:r>
      <w:proofErr w:type="spellEnd"/>
      <w:r w:rsidRPr="0082396E">
        <w:rPr>
          <w:bCs/>
          <w:highlight w:val="yellow"/>
        </w:rPr>
        <w:t xml:space="preserve"> responses (Parker and Kingsolver, 2024).</w:t>
      </w:r>
    </w:p>
    <w:p w14:paraId="0B7AA690" w14:textId="77777777" w:rsidR="00D9312A" w:rsidRDefault="00000000" w:rsidP="001E72FE">
      <w:pPr>
        <w:spacing w:before="100" w:beforeAutospacing="1" w:after="100" w:afterAutospacing="1" w:line="240" w:lineRule="auto"/>
        <w:jc w:val="both"/>
      </w:pPr>
      <w:r>
        <w:t>Existing reviews of this subject have tended to specialise either in the pest side of the interaction, cataloguing range shifts and phenological changes across taxa (</w:t>
      </w:r>
      <w:proofErr w:type="spellStart"/>
      <w:r>
        <w:t>Skendžić</w:t>
      </w:r>
      <w:proofErr w:type="spellEnd"/>
      <w:r>
        <w:t xml:space="preserve"> et al., 2021; Subedi, Poudel and Aryal, 2023), or in the management implications for a specific control tactic such as chemical, microbial or biological control (Perrin et al., 2025). A smaller body of work has addressed </w:t>
      </w:r>
      <w:proofErr w:type="spellStart"/>
      <w:r>
        <w:t>tritrophic</w:t>
      </w:r>
      <w:proofErr w:type="spellEnd"/>
      <w:r>
        <w:t xml:space="preserve"> relations directly, typically through a single crop system used as an illustrative case, such as grapevine and its principal lepidopteran pest (Castex et al., 2018), or a single natural enemy guild in isolation (</w:t>
      </w:r>
      <w:proofErr w:type="spellStart"/>
      <w:r>
        <w:t>Tougeron</w:t>
      </w:r>
      <w:proofErr w:type="spellEnd"/>
      <w:r>
        <w:t xml:space="preserve"> et al., 2020; Ramos Aguila et al., 2023). What has been comparatively lacking is a synthesis that places pest biology, natural enemy biology and their interaction on equal analytical footing, while also critically weighing the conflicting evidence on whether climate change is producing a net loss of biological control capacity or a more heterogeneous outcome contingent on landscape context, farming system and geography. This is the gap the present review addresses.</w:t>
      </w:r>
    </w:p>
    <w:p w14:paraId="7B549DF4" w14:textId="77777777" w:rsidR="00D9312A" w:rsidRDefault="00000000" w:rsidP="001E72FE">
      <w:pPr>
        <w:pStyle w:val="Heading2"/>
        <w:spacing w:before="100" w:beforeAutospacing="1" w:after="100" w:afterAutospacing="1" w:line="240" w:lineRule="auto"/>
      </w:pPr>
      <w:r>
        <w:t>1.1 Scope, Research Gap and Objectives</w:t>
      </w:r>
    </w:p>
    <w:p w14:paraId="783C89F4" w14:textId="77777777" w:rsidR="00D9312A" w:rsidRDefault="00000000" w:rsidP="001E72FE">
      <w:pPr>
        <w:spacing w:before="100" w:beforeAutospacing="1" w:after="100" w:afterAutospacing="1" w:line="240" w:lineRule="auto"/>
        <w:jc w:val="both"/>
      </w:pPr>
      <w:r>
        <w:t xml:space="preserve">This review addresses the effects of climate change on agricultural insect pests and their principal natural enemies, namely </w:t>
      </w:r>
      <w:proofErr w:type="spellStart"/>
      <w:r>
        <w:t>parasitoid</w:t>
      </w:r>
      <w:proofErr w:type="spellEnd"/>
      <w:r>
        <w:t xml:space="preserve"> and predatory arthropods and entomopathogens, within the context of field, horticultural and forestry cropping systems. The review considers three interacting climatic dimensions: rising mean and extreme temperatures, elevated atmospheric carbon dioxide, and altered precipitation and drought regimes, together with the increasing frequency of climatic variability and extreme weather events. Both direct physiological effects on individual organisms and indirect effects mediated through host plants and through the third trophic level are considered, with particular attention to phenological synchrony between pests and their natural enemies, since this is repeatedly identified as a pivotal and disproportionately vulnerable mechanism.</w:t>
      </w:r>
    </w:p>
    <w:p w14:paraId="458560A2" w14:textId="77777777" w:rsidR="00D9312A" w:rsidRDefault="00000000" w:rsidP="001E72FE">
      <w:pPr>
        <w:spacing w:before="100" w:beforeAutospacing="1" w:after="100" w:afterAutospacing="1" w:line="240" w:lineRule="auto"/>
        <w:jc w:val="both"/>
      </w:pPr>
      <w:r>
        <w:t>The specific knowledge gap addressed here is the absence of an integrated, critically evaluative account of how climate-driven changes in pest biology and climate-driven changes in natural enemy biology combine to determine net pest pressure, rather than treating either side of the interaction in isolation. A second, related gap concerns the methodological basis of the existing evidence: much of what is known derives from short-duration, single-factor laboratory manipulations conducted on a limited set of model systems, predominantly in temperate regions, and it remains unclear how confidently these findings generalise to multifactorial field conditions or to the tropical and subtropical smallholder systems in which climate-related food security risk is often most acute.</w:t>
      </w:r>
    </w:p>
    <w:p w14:paraId="28D8FE98" w14:textId="77777777" w:rsidR="00D9312A" w:rsidRDefault="00000000" w:rsidP="001E72FE">
      <w:pPr>
        <w:spacing w:before="100" w:beforeAutospacing="1" w:after="100" w:afterAutospacing="1" w:line="240" w:lineRule="auto"/>
        <w:jc w:val="both"/>
      </w:pPr>
      <w:r>
        <w:t>The review excludes plant pathogens and weeds except where they are discussed incidentally within a cited source, and does not attempt a formal quantitative meta-analysis, since the underlying primary studies are too heterogeneous in design, taxa and reported outcome measures to support pooled effect sizes; the review's contribution is instead a qualitative but critically evaluative synthesis, structured thematically around mechanisms rather than as a chronological or study-by-study catalogue.</w:t>
      </w:r>
    </w:p>
    <w:p w14:paraId="27ABDB98" w14:textId="77777777" w:rsidR="0015181B" w:rsidRDefault="00000000">
      <w:pPr>
        <w:spacing w:before="100" w:beforeAutospacing="1" w:after="100" w:afterAutospacing="1" w:line="240" w:lineRule="auto"/>
        <w:jc w:val="both"/>
      </w:pPr>
      <w:r>
        <w:t xml:space="preserve">The principal objectives of the review are, first, to synthesise the direct and indirect mechanisms by which climate change affects insect pest biology and ecology; second, to evaluate the evidence on how the same climatic drivers affect natural enemies, with explicit </w:t>
      </w:r>
      <w:r>
        <w:lastRenderedPageBreak/>
        <w:t>attention to phenological mismatch and to the divergent thermal sensitivities of different natural enemy guilds; third, to examine representative case systems, including a highly mobile lepidopteran pest, forest bark beetles, a migratory orthopteran pest and temperate cereal aphid–</w:t>
      </w:r>
      <w:proofErr w:type="spellStart"/>
      <w:r>
        <w:t>parasitoid</w:t>
      </w:r>
      <w:proofErr w:type="spellEnd"/>
      <w:r>
        <w:t xml:space="preserve"> systems, in order to test whether general mechanistic expectations are borne out in applied contexts; and fourth, to assess the implications of this evidence base for integrated pest management and biological control, and to identify defensible priorities for future research.</w:t>
      </w:r>
    </w:p>
    <w:p w14:paraId="07142FE9" w14:textId="77777777" w:rsidR="00D9312A" w:rsidRDefault="00000000" w:rsidP="001E72FE">
      <w:pPr>
        <w:pStyle w:val="Heading1"/>
        <w:spacing w:before="100" w:beforeAutospacing="1" w:after="100" w:afterAutospacing="1" w:line="240" w:lineRule="auto"/>
      </w:pPr>
      <w:r>
        <w:t>2. Methods for Literature Selection</w:t>
      </w:r>
    </w:p>
    <w:p w14:paraId="2C7EC162" w14:textId="77777777" w:rsidR="00D9312A" w:rsidRDefault="00000000" w:rsidP="001E72FE">
      <w:pPr>
        <w:pStyle w:val="Heading2"/>
        <w:spacing w:before="100" w:beforeAutospacing="1" w:after="100" w:afterAutospacing="1" w:line="240" w:lineRule="auto"/>
      </w:pPr>
      <w:r>
        <w:t>2.1 Review Design and Rationale</w:t>
      </w:r>
    </w:p>
    <w:p w14:paraId="15CD87DF" w14:textId="77777777" w:rsidR="00D9312A" w:rsidRDefault="00000000" w:rsidP="001E72FE">
      <w:pPr>
        <w:spacing w:before="100" w:beforeAutospacing="1" w:after="100" w:afterAutospacing="1" w:line="240" w:lineRule="auto"/>
        <w:jc w:val="both"/>
      </w:pPr>
      <w:r>
        <w:t>A critical narrative review design was selected in preference to a systematic review, scoping review or meta-analysis because the underlying evidence base is highly heterogeneous in taxa, experimental design, climatic manipulation and outcome metric, precluding meaningful quantitative pooling without substantial loss of interpretability. The relevant literature spans single-species laboratory thermal-performance studies, multi-year field manipulations, landscape-scale observational surveys, correlative and mechanistic species distribution models, and applied management reviews, and a design capable of integrating conceptually across this range while explicitly weighing methodological quality and conflicting findings was judged more appropriate than a design constrained to a narrowly pre-specified question and a single study type. This choice follows established guidance on narrative review conduct and quality, which emphasises that non-systematic reviews remain the dominant review format in applied biological and biomedical literatures and can achieve acceptable standards of rigour provided that the review's aims, search approach, evidence weighting and reasoning are made explicit and transparent to the reader (</w:t>
      </w:r>
      <w:proofErr w:type="spellStart"/>
      <w:r>
        <w:t>Baethge</w:t>
      </w:r>
      <w:proofErr w:type="spellEnd"/>
      <w:r>
        <w:t>, Goldbeck-Wood and Mertens, 2019). Selecting a narrative format does not relax the need for transparency or critical appraisal; rather, it shifts the primary quality criteria from pre-registered protocol adherence towards explicit, reasoned justification of scope, source selection and evidentiary weighting, each of which is addressed in the subsections below.</w:t>
      </w:r>
    </w:p>
    <w:p w14:paraId="08E2437E" w14:textId="77777777" w:rsidR="00D9312A" w:rsidRDefault="00000000" w:rsidP="001E72FE">
      <w:pPr>
        <w:pStyle w:val="Heading2"/>
        <w:spacing w:before="100" w:beforeAutospacing="1" w:after="100" w:afterAutospacing="1" w:line="240" w:lineRule="auto"/>
      </w:pPr>
      <w:r>
        <w:t>2.2 Information Sources</w:t>
      </w:r>
    </w:p>
    <w:p w14:paraId="6B43E534" w14:textId="77777777" w:rsidR="00D9312A" w:rsidRDefault="00000000" w:rsidP="001E72FE">
      <w:pPr>
        <w:spacing w:before="100" w:beforeAutospacing="1" w:after="100" w:afterAutospacing="1" w:line="240" w:lineRule="auto"/>
        <w:jc w:val="both"/>
      </w:pPr>
      <w:r>
        <w:t xml:space="preserve">Literature was identified through structured searches of PubMed and PubMed Central, which together index the biomedical, agricultural and entomological literature relevant to this topic, supplemented by </w:t>
      </w:r>
      <w:proofErr w:type="spellStart"/>
      <w:r>
        <w:t>Crossref</w:t>
      </w:r>
      <w:proofErr w:type="spellEnd"/>
      <w:r>
        <w:t xml:space="preserve"> metadata lookups used to verify digital object identifiers and full bibliographic records, and by searches of publisher platforms including Springer Nature Link, Wiley Online Library, ScienceDirect, MDPI, Nature Portfolio journals, PLOS and the Proceedings of the Royal Society, accessed via their public abstract and full-text pages. General scholarly web searching, drawing on content indexed by Google Scholar and Semantic Scholar, was used to identify additional relevant studies and to cross-check bibliographic details reported in secondary sources. The Food and Agriculture Organization of the United Nations Locust Watch platform was consulted as an institutional source for the desert locust case study, since intergovernmental pest-monitoring bodies hold operational data and technical assessments not available in peer-reviewed outlets. Backward citation searching, in which the reference lists of retrieved reviews and primary studies were examined for additional relevant sources, was used throughout to identify studies not surfaced by keyword searches. Access to subscription-only databases such as Web of Science, Scopus or Embase was not available during the preparation of this review, and no claim is made that these databases were searched; where a source could only be located as an abstract with restricted full-text access, its </w:t>
      </w:r>
      <w:r>
        <w:lastRenderedPageBreak/>
        <w:t xml:space="preserve">bibliographic details were still independently corroborated against at least one other authoritative record, such as a PubMed or </w:t>
      </w:r>
      <w:proofErr w:type="spellStart"/>
      <w:r>
        <w:t>Crossref</w:t>
      </w:r>
      <w:proofErr w:type="spellEnd"/>
      <w:r>
        <w:t xml:space="preserve"> entry, before inclusion.</w:t>
      </w:r>
    </w:p>
    <w:p w14:paraId="26BCF115" w14:textId="77777777" w:rsidR="00D9312A" w:rsidRDefault="00000000" w:rsidP="001E72FE">
      <w:pPr>
        <w:pStyle w:val="Heading2"/>
        <w:spacing w:before="100" w:beforeAutospacing="1" w:after="100" w:afterAutospacing="1" w:line="240" w:lineRule="auto"/>
      </w:pPr>
      <w:r>
        <w:t>2.3 Search Strategy and Search Period</w:t>
      </w:r>
    </w:p>
    <w:p w14:paraId="39796967" w14:textId="77777777" w:rsidR="00D9312A" w:rsidRDefault="00000000" w:rsidP="001E72FE">
      <w:pPr>
        <w:spacing w:before="100" w:beforeAutospacing="1" w:after="100" w:afterAutospacing="1" w:line="240" w:lineRule="auto"/>
        <w:jc w:val="both"/>
      </w:pPr>
      <w:r>
        <w:t xml:space="preserve">Search terms combined the principal topic (climate change, global warming, elevated carbon dioxide, drought, precipitation, extreme weather) with terms denoting the focal organisms (insect pest, agricultural pest, herbivore, natural enemy, </w:t>
      </w:r>
      <w:proofErr w:type="spellStart"/>
      <w:r>
        <w:t>parasitoid</w:t>
      </w:r>
      <w:proofErr w:type="spellEnd"/>
      <w:r>
        <w:t xml:space="preserve">, predator, entomopathogen, biological control) and terms denoting relevant mechanisms and outcomes (voltinism, phenology, phenological mismatch, synchrony, range shift, species distribution model, </w:t>
      </w:r>
      <w:proofErr w:type="spellStart"/>
      <w:r>
        <w:t>tritrophic</w:t>
      </w:r>
      <w:proofErr w:type="spellEnd"/>
      <w:r>
        <w:t xml:space="preserve"> interaction, integrated pest management). Representative Boolean strings included: ("climate change" OR "global warming") AND ("insect pest</w:t>
      </w:r>
      <w:r>
        <w:rPr>
          <w:i/>
          <w:iCs/>
        </w:rPr>
        <w:t>" OR "agricultural pest</w:t>
      </w:r>
      <w:r>
        <w:t xml:space="preserve">") AND ("natural </w:t>
      </w:r>
      <w:proofErr w:type="spellStart"/>
      <w:r>
        <w:t>enem</w:t>
      </w:r>
      <w:proofErr w:type="spellEnd"/>
      <w:r>
        <w:rPr>
          <w:i/>
          <w:iCs/>
        </w:rPr>
        <w:t xml:space="preserve">" OR </w:t>
      </w:r>
      <w:proofErr w:type="spellStart"/>
      <w:r>
        <w:rPr>
          <w:i/>
          <w:iCs/>
        </w:rPr>
        <w:t>parasitoid</w:t>
      </w:r>
      <w:proofErr w:type="spellEnd"/>
      <w:r>
        <w:t xml:space="preserve"> OR predator</w:t>
      </w:r>
      <w:r>
        <w:rPr>
          <w:i/>
          <w:iCs/>
        </w:rPr>
        <w:t xml:space="preserve">); ("elevated CO2" OR "carbon dioxide") AND </w:t>
      </w:r>
      <w:proofErr w:type="spellStart"/>
      <w:r>
        <w:rPr>
          <w:i/>
          <w:iCs/>
        </w:rPr>
        <w:t>herbivor</w:t>
      </w:r>
      <w:proofErr w:type="spellEnd"/>
      <w:r>
        <w:t xml:space="preserve"> AND (performance OR nutrition</w:t>
      </w:r>
      <w:r>
        <w:rPr>
          <w:i/>
          <w:iCs/>
        </w:rPr>
        <w:t xml:space="preserve"> OR </w:t>
      </w:r>
      <w:proofErr w:type="spellStart"/>
      <w:r>
        <w:rPr>
          <w:i/>
          <w:iCs/>
        </w:rPr>
        <w:t>defen</w:t>
      </w:r>
      <w:proofErr w:type="spellEnd"/>
      <w:r>
        <w:t>); and (</w:t>
      </w:r>
      <w:proofErr w:type="spellStart"/>
      <w:r>
        <w:t>phenolog</w:t>
      </w:r>
      <w:proofErr w:type="spellEnd"/>
      <w:r>
        <w:rPr>
          <w:i/>
          <w:iCs/>
        </w:rPr>
        <w:t xml:space="preserve"> OR voltinism OR synchrony OR mismatch) AND (</w:t>
      </w:r>
      <w:proofErr w:type="spellStart"/>
      <w:r>
        <w:rPr>
          <w:i/>
          <w:iCs/>
        </w:rPr>
        <w:t>parasitoid</w:t>
      </w:r>
      <w:proofErr w:type="spellEnd"/>
      <w:r>
        <w:rPr>
          <w:i/>
          <w:iCs/>
        </w:rPr>
        <w:t xml:space="preserve"> OR "host-</w:t>
      </w:r>
      <w:proofErr w:type="spellStart"/>
      <w:r>
        <w:rPr>
          <w:i/>
          <w:iCs/>
        </w:rPr>
        <w:t>parasitoid</w:t>
      </w:r>
      <w:proofErr w:type="spellEnd"/>
      <w:r>
        <w:rPr>
          <w:i/>
          <w:iCs/>
        </w:rPr>
        <w:t xml:space="preserve">") AND (warming OR temperature). Case-specific searches used the binomial names of the four illustrative pest systems addressed in Section 7, namely </w:t>
      </w:r>
      <w:r>
        <w:t xml:space="preserve">Spodoptera </w:t>
      </w:r>
      <w:proofErr w:type="spellStart"/>
      <w:r>
        <w:t>frugiperda</w:t>
      </w:r>
      <w:proofErr w:type="spellEnd"/>
      <w:r>
        <w:rPr>
          <w:i/>
          <w:iCs/>
        </w:rPr>
        <w:t xml:space="preserve">, </w:t>
      </w:r>
      <w:r>
        <w:t>Schistocerca gregaria</w:t>
      </w:r>
      <w:r>
        <w:rPr>
          <w:i/>
          <w:iCs/>
        </w:rPr>
        <w:t xml:space="preserve">, relevant </w:t>
      </w:r>
      <w:r>
        <w:t>Ips</w:t>
      </w:r>
      <w:r>
        <w:rPr>
          <w:i/>
          <w:iCs/>
        </w:rPr>
        <w:t xml:space="preserve"> and </w:t>
      </w:r>
      <w:r>
        <w:t>Dendroctonus</w:t>
      </w:r>
      <w:r>
        <w:rPr>
          <w:i/>
          <w:iCs/>
        </w:rPr>
        <w:t xml:space="preserve"> bark beetle genera, and cereal aphid genera including </w:t>
      </w:r>
      <w:proofErr w:type="spellStart"/>
      <w:r>
        <w:t>Sitobion</w:t>
      </w:r>
      <w:proofErr w:type="spellEnd"/>
      <w:r>
        <w:rPr>
          <w:i/>
          <w:iCs/>
        </w:rPr>
        <w:t xml:space="preserve"> and </w:t>
      </w:r>
      <w:proofErr w:type="spellStart"/>
      <w:r>
        <w:t>Rhopalosiphum</w:t>
      </w:r>
      <w:proofErr w:type="spellEnd"/>
      <w:r>
        <w:t xml:space="preserve">*, combined with climate-related terms. Searches were conducted for literature indexed up to 21 May </w:t>
      </w:r>
      <w:proofErr w:type="gramStart"/>
      <w:r>
        <w:t>2026,</w:t>
      </w:r>
      <w:proofErr w:type="gramEnd"/>
      <w:r>
        <w:t xml:space="preserve"> this date having been fixed as the search cut-off for this review. Foundational studies published before the main period of literature growth, most notably the seminal 2002 synthesis establishing the direct thermal sensitivity of insect herbivores, were retained where necessary to explain the conceptual basis of subsequent applied research (Bale et al., 2002).</w:t>
      </w:r>
    </w:p>
    <w:p w14:paraId="01CD65CB" w14:textId="77777777" w:rsidR="00D9312A" w:rsidRDefault="00000000" w:rsidP="001E72FE">
      <w:pPr>
        <w:pStyle w:val="Heading2"/>
        <w:spacing w:before="100" w:beforeAutospacing="1" w:after="100" w:afterAutospacing="1" w:line="240" w:lineRule="auto"/>
      </w:pPr>
      <w:r>
        <w:t>2.4 Eligibility Criteria</w:t>
      </w:r>
    </w:p>
    <w:p w14:paraId="3FC6DA43" w14:textId="77777777" w:rsidR="00D9312A" w:rsidRDefault="00000000" w:rsidP="001E72FE">
      <w:pPr>
        <w:spacing w:before="100" w:beforeAutospacing="1" w:after="100" w:afterAutospacing="1" w:line="240" w:lineRule="auto"/>
        <w:jc w:val="both"/>
      </w:pPr>
      <w:r>
        <w:t>Eligible sources comprised peer-reviewed primary research articles, peer-reviewed narrative and systematic reviews, and meta-analyses published in English, addressing at least one of the following: direct or indirect effects of temperature, carbon dioxide or precipitation on agricultural or forest insect pests; effects of the same climatic variables on arthropod or microbial natural enemies; phenological synchrony or mismatch between pests and natural enemies under climatic change; range or distribution shifts of pest species attributable in whole or part to climate change; or the implications of climate change for biological control efficacy and integrated pest management. Institutional reports from recognised intergovernmental bodies were eligible where they provided operational or technical information not available from peer-reviewed sources, as in the case of the desert locust. Excluded from consideration were non-scholarly opinion pieces, trade publications, anonymous web content, preprints where a peer-reviewed version of the same work could be identified, and sources whose full bibliographic details, including authorship, year, journal and digital object identifier where applicable, could not be independently verified. No restriction was placed on geographic region, crop type or pest taxon, given the deliberately broad scope of the review, although coverage of tropical and subtropical smallholder systems proved more limited in the retrieved literature than coverage of temperate systems, a pattern discussed critically in Section 9 and in the Limitations.</w:t>
      </w:r>
    </w:p>
    <w:p w14:paraId="4AB01B0D" w14:textId="77777777" w:rsidR="00D9312A" w:rsidRDefault="00000000" w:rsidP="001E72FE">
      <w:pPr>
        <w:pStyle w:val="Heading2"/>
        <w:spacing w:before="100" w:beforeAutospacing="1" w:after="100" w:afterAutospacing="1" w:line="240" w:lineRule="auto"/>
      </w:pPr>
      <w:r>
        <w:t>2.5 Screening, Duplicate Handling and Study Selection</w:t>
      </w:r>
    </w:p>
    <w:p w14:paraId="610AA2FA" w14:textId="77777777" w:rsidR="00D9312A" w:rsidRDefault="00000000" w:rsidP="001E72FE">
      <w:pPr>
        <w:spacing w:before="100" w:beforeAutospacing="1" w:after="100" w:afterAutospacing="1" w:line="240" w:lineRule="auto"/>
        <w:jc w:val="both"/>
      </w:pPr>
      <w:r>
        <w:t xml:space="preserve">Candidate sources identified through the search strategy described above were screened for topical relevance based on title and abstract content, with full text consulted where relevance </w:t>
      </w:r>
      <w:r>
        <w:lastRenderedPageBreak/>
        <w:t>could not be determined from the abstract alone. Because searches were conducted iteratively across multiple platforms rather than as a single systematic database export, duplicate records were identified manually by comparing author names, titles and publication years, and were retained only once in the working evidence base. This is a narrative rather than a systematic review, and no numerical count of records identified, screened, excluded or included was maintained, consistent with the non-systematic nature of the search process; no such count is reported here, and none should be inferred. Sources for which full bibliographic metadata, including a verifiable digital object identifier or, where no such identifier exists, a stable institutional web address, could not be confirmed against at least one authoritative source were excluded from the final evidence base regardless of their apparent topical relevance. All included sources are in English; no language-restricted exclusion beyond this was applied, though in practice the retrieved literature on this topic is overwhelmingly English-language.</w:t>
      </w:r>
    </w:p>
    <w:p w14:paraId="701B482E" w14:textId="77777777" w:rsidR="00D9312A" w:rsidRDefault="00000000" w:rsidP="001E72FE">
      <w:pPr>
        <w:pStyle w:val="Heading2"/>
        <w:spacing w:before="100" w:beforeAutospacing="1" w:after="100" w:afterAutospacing="1" w:line="240" w:lineRule="auto"/>
      </w:pPr>
      <w:r>
        <w:t>2.6 Critical Appraisal and Evidence Synthesis</w:t>
      </w:r>
    </w:p>
    <w:p w14:paraId="61ACF41C" w14:textId="77777777" w:rsidR="00D9312A" w:rsidRDefault="00000000" w:rsidP="001E72FE">
      <w:pPr>
        <w:spacing w:before="100" w:beforeAutospacing="1" w:after="100" w:afterAutospacing="1" w:line="240" w:lineRule="auto"/>
        <w:jc w:val="both"/>
      </w:pPr>
      <w:r>
        <w:t>Methodological quality was appraised qualitatively for each included primary study, with attention to experimental design (single-factor versus multifactor climate manipulation), duration (single-generation versus multigenerational exposure), setting (controlled laboratory, semi-field enclosure, or open field), replication and geographic scope, and, for modelling studies, the choice of algorithm, occurrence data quality and climate scenario. No formal numerical risk-of-bias instrument was applied, since no such instrument has been validated specifically for the heterogeneous mix of physiological, ecological and modelling studies relevant to this topic; appraisal is instead described narratively within the relevant thematic sections. Studies reporting conflicting or negative findings, such as evidence that agricultural management practices rather than climate variables best explain long-term trends in cereal aphid abundance (Sun et al., 2022), or that predator biological control potential can persist largely unchanged under short-term exposure to future climatic conditions (Doan et al., 2021), were retained and given explicit weight alongside studies supporting the more intuitive expectation of climate-driven pest release, in order to avoid manufacturing an artificial consensus. Thematic sections were developed inductively from the recurring mechanisms and points of disagreement identified across the retrieved literature, namely direct thermal physiology, carbon dioxide-mediated bottom-up effects, phenological synchrony, range redistribution, and biological control efficacy, rather than being imposed as a fixed template in advance of the search.</w:t>
      </w:r>
    </w:p>
    <w:p w14:paraId="431DC97D" w14:textId="77777777" w:rsidR="00D9312A" w:rsidRDefault="00000000" w:rsidP="001E72FE">
      <w:pPr>
        <w:pStyle w:val="Heading1"/>
        <w:spacing w:before="100" w:beforeAutospacing="1" w:after="100" w:afterAutospacing="1" w:line="240" w:lineRule="auto"/>
      </w:pPr>
      <w:r>
        <w:t>3. Direct Physiological Effects of Warming on Insect Pests</w:t>
      </w:r>
    </w:p>
    <w:p w14:paraId="68C788CA" w14:textId="77777777" w:rsidR="00D9312A" w:rsidRDefault="00000000" w:rsidP="001E72FE">
      <w:pPr>
        <w:spacing w:before="100" w:beforeAutospacing="1" w:after="100" w:afterAutospacing="1" w:line="240" w:lineRule="auto"/>
        <w:jc w:val="both"/>
      </w:pPr>
      <w:r>
        <w:t xml:space="preserve">Temperature is the single most consistently identified determinant of insect pest performance under climate change, a conclusion that has held from the earliest systematic reviews of the subject through to the most recent global syntheses (Bale et al., 2002; Ma et al., 2025). As poikilothermic organisms, insects lack the capacity for internal thermoregulation available to endotherms, so their metabolic rate, and consequently their developmental rate, tracks ambient temperature closely within a species-specific thermal envelope bounded by lower and upper developmental thresholds. Within this envelope, moderate warming shortens the time required to complete each life stage, which in multivoltine species translates directly into an increased number of generations completed within a growing season, a phenomenon documented across taxa as diverse as the fall armyworm, cereal aphids and numerous forest Lepidoptera (Yan et al., 2022; </w:t>
      </w:r>
      <w:proofErr w:type="spellStart"/>
      <w:r>
        <w:t>Skendžić</w:t>
      </w:r>
      <w:proofErr w:type="spellEnd"/>
      <w:r>
        <w:t xml:space="preserve"> et al., 2021). Because most agricultural pest species are r-selected, with short generation times and high reproductive rates relative to their natural enemies, small increases in the number of generations per season can translate into disproportionately large </w:t>
      </w:r>
      <w:r>
        <w:lastRenderedPageBreak/>
        <w:t>increases in end-of-season pest density, a compounding effect that is not captured by simple linear extrapolations from single-generation laboratory data (Subedi, Poudel and Aryal, 2023). A wide-ranging synthesis of North American production systems reaches a consistent conclusion, reporting that insects across many taxa are undergoing or are projected to undergo shifts in geographic range, voltinism, abundance and phenology in response to warming, and that these shifts affect not only pests but also the beneficial insects, including pollinators and natural enemies, on which sustainable production depends, reinforcing the view that pest-focused and beneficial-focused climate research cannot be treated as separate literatures (Eigenbrode and Adhikari, 2023).</w:t>
      </w:r>
    </w:p>
    <w:p w14:paraId="49D7990E" w14:textId="77777777" w:rsidR="00D9312A" w:rsidRDefault="00000000" w:rsidP="001E72FE">
      <w:pPr>
        <w:spacing w:before="100" w:beforeAutospacing="1" w:after="100" w:afterAutospacing="1" w:line="240" w:lineRule="auto"/>
        <w:jc w:val="both"/>
      </w:pPr>
      <w:r>
        <w:t>Warming also affects overwintering survival, a mechanism of particular consequence in temperate and boreal systems where winter cold has historically imposed a hard ceiling on pest population growth. Milder winters reduce cold-induced mortality among diapausing or quiescent life stages, allowing larger founder populations to enter the following growing season; this mechanism has been implicated repeatedly in the poleward and upward-elevation expansion of forest bark beetles, discussed in detail in Section 7.2, and in the persistence of insect populations at higher latitudes that were historically excluded by winter lethality (Jaime, Batllori and Lloret, 2024). The relationship between warming and pest pressure is not, however, monotonic across all species and all regions. Deutsch and colleagues' influential thermal-performance modelling, widely cited within the reviewed literature, indicates that species already living close to their upper thermal optimum, disproportionately concentrated in tropical and subtropical regions, may experience reduced rather than enhanced performance under further warming, whereas temperate-zone species operating below their thermal optimum are more likely to benefit (as discussed in Castex et al., 2018). This asymmetry has direct implications for where climate-driven pest pressure is likely to intensify most sharply, a point returned to in Section 5 and in the Future Directions.</w:t>
      </w:r>
    </w:p>
    <w:p w14:paraId="6F178899" w14:textId="77777777" w:rsidR="00D9312A" w:rsidRDefault="00000000" w:rsidP="001E72FE">
      <w:pPr>
        <w:spacing w:before="100" w:beforeAutospacing="1" w:after="100" w:afterAutospacing="1" w:line="240" w:lineRule="auto"/>
        <w:jc w:val="both"/>
      </w:pPr>
      <w:r>
        <w:t xml:space="preserve">A further complication concerns the distinction between mean warming and warming variability. Several manipulative and observational studies indicate that the variance of temperature, and not merely its mean, independently affects both pest and natural enemy performance, sometimes with equal or greater explanatory power than mean warming alone. Elevated temperature variability has been shown to reduce fecundity and alter oviposition timing in at least one economically important forest pest, while simultaneously disrupting the emergence timing of its egg </w:t>
      </w:r>
      <w:proofErr w:type="spellStart"/>
      <w:r>
        <w:t>parasitoid</w:t>
      </w:r>
      <w:proofErr w:type="spellEnd"/>
      <w:r>
        <w:t xml:space="preserve"> sufficiently to reduce percentage parasitism, illustrating that the ecological consequences of a changing climate cannot be fully captured by shifts in seasonal averages alone (Wetherington et al., 2017). This finding is consistent with earlier continental-scale evidence that climatic unpredictability, rather than climatic severity per se, is associated with reduced rates of caterpillar parasitism across a broad latitudinal gradient, a pattern attributed principally to the disproportionate vulnerability of relatively host-specific </w:t>
      </w:r>
      <w:proofErr w:type="spellStart"/>
      <w:r>
        <w:t>parasitoid</w:t>
      </w:r>
      <w:proofErr w:type="spellEnd"/>
      <w:r>
        <w:t xml:space="preserve"> wasps to unpredictable conditions (</w:t>
      </w:r>
      <w:proofErr w:type="spellStart"/>
      <w:r>
        <w:t>Stireman</w:t>
      </w:r>
      <w:proofErr w:type="spellEnd"/>
      <w:r>
        <w:t xml:space="preserve"> et al., 2005). Table 1 summarises several of the conceptual distinctions that recur throughout this review and that are necessary to interpret the sometimes apparently contradictory findings discussed in subsequent sections.</w:t>
      </w:r>
    </w:p>
    <w:p w14:paraId="74E03F9A" w14:textId="77777777" w:rsidR="00D9312A" w:rsidRDefault="00000000" w:rsidP="001E72FE">
      <w:pPr>
        <w:spacing w:before="100" w:beforeAutospacing="1" w:after="100" w:afterAutospacing="1" w:line="240" w:lineRule="auto"/>
      </w:pPr>
      <w:r>
        <w:rPr>
          <w:b/>
          <w:bCs/>
        </w:rPr>
        <w:t>Table 1. Definitions and conceptual distinctions used throughout this review.</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309"/>
        <w:gridCol w:w="3179"/>
        <w:gridCol w:w="3179"/>
        <w:gridCol w:w="1683"/>
      </w:tblGrid>
      <w:tr w:rsidR="00D9312A" w14:paraId="7B58C759" w14:textId="77777777">
        <w:trPr>
          <w:tblHeader/>
        </w:trPr>
        <w:tc>
          <w:tcPr>
            <w:tcW w:w="1309" w:type="dxa"/>
            <w:shd w:val="clear" w:color="auto" w:fill="D9D9D9"/>
            <w:tcMar>
              <w:top w:w="80" w:type="dxa"/>
              <w:left w:w="100" w:type="dxa"/>
              <w:bottom w:w="80" w:type="dxa"/>
              <w:right w:w="100" w:type="dxa"/>
            </w:tcMar>
          </w:tcPr>
          <w:p w14:paraId="59F4F80C" w14:textId="77777777" w:rsidR="00D9312A" w:rsidRDefault="00000000" w:rsidP="001E72FE">
            <w:pPr>
              <w:spacing w:before="100" w:beforeAutospacing="1" w:after="100" w:afterAutospacing="1" w:line="240" w:lineRule="auto"/>
            </w:pPr>
            <w:r>
              <w:rPr>
                <w:b/>
                <w:bCs/>
                <w:sz w:val="20"/>
                <w:szCs w:val="20"/>
              </w:rPr>
              <w:t>Term</w:t>
            </w:r>
          </w:p>
        </w:tc>
        <w:tc>
          <w:tcPr>
            <w:tcW w:w="3179" w:type="dxa"/>
            <w:shd w:val="clear" w:color="auto" w:fill="D9D9D9"/>
            <w:tcMar>
              <w:top w:w="80" w:type="dxa"/>
              <w:left w:w="100" w:type="dxa"/>
              <w:bottom w:w="80" w:type="dxa"/>
              <w:right w:w="100" w:type="dxa"/>
            </w:tcMar>
          </w:tcPr>
          <w:p w14:paraId="25DCBD00" w14:textId="77777777" w:rsidR="00D9312A" w:rsidRDefault="00000000" w:rsidP="001E72FE">
            <w:pPr>
              <w:spacing w:before="100" w:beforeAutospacing="1" w:after="100" w:afterAutospacing="1" w:line="240" w:lineRule="auto"/>
            </w:pPr>
            <w:r>
              <w:rPr>
                <w:b/>
                <w:bCs/>
                <w:sz w:val="20"/>
                <w:szCs w:val="20"/>
              </w:rPr>
              <w:t>Definition</w:t>
            </w:r>
          </w:p>
        </w:tc>
        <w:tc>
          <w:tcPr>
            <w:tcW w:w="3179" w:type="dxa"/>
            <w:shd w:val="clear" w:color="auto" w:fill="D9D9D9"/>
            <w:tcMar>
              <w:top w:w="80" w:type="dxa"/>
              <w:left w:w="100" w:type="dxa"/>
              <w:bottom w:w="80" w:type="dxa"/>
              <w:right w:w="100" w:type="dxa"/>
            </w:tcMar>
          </w:tcPr>
          <w:p w14:paraId="204B7E45" w14:textId="77777777" w:rsidR="00D9312A" w:rsidRDefault="00000000" w:rsidP="001E72FE">
            <w:pPr>
              <w:spacing w:before="100" w:beforeAutospacing="1" w:after="100" w:afterAutospacing="1" w:line="240" w:lineRule="auto"/>
            </w:pPr>
            <w:r>
              <w:rPr>
                <w:b/>
                <w:bCs/>
                <w:sz w:val="20"/>
                <w:szCs w:val="20"/>
              </w:rPr>
              <w:t>Why the distinction matters</w:t>
            </w:r>
          </w:p>
        </w:tc>
        <w:tc>
          <w:tcPr>
            <w:tcW w:w="1683" w:type="dxa"/>
            <w:shd w:val="clear" w:color="auto" w:fill="D9D9D9"/>
            <w:tcMar>
              <w:top w:w="80" w:type="dxa"/>
              <w:left w:w="100" w:type="dxa"/>
              <w:bottom w:w="80" w:type="dxa"/>
              <w:right w:w="100" w:type="dxa"/>
            </w:tcMar>
          </w:tcPr>
          <w:p w14:paraId="0B37EBAB" w14:textId="77777777" w:rsidR="00D9312A" w:rsidRDefault="00000000" w:rsidP="001E72FE">
            <w:pPr>
              <w:spacing w:before="100" w:beforeAutospacing="1" w:after="100" w:afterAutospacing="1" w:line="240" w:lineRule="auto"/>
            </w:pPr>
            <w:r>
              <w:rPr>
                <w:b/>
                <w:bCs/>
                <w:sz w:val="20"/>
                <w:szCs w:val="20"/>
              </w:rPr>
              <w:t>Supporting references</w:t>
            </w:r>
          </w:p>
        </w:tc>
      </w:tr>
      <w:tr w:rsidR="00D9312A" w14:paraId="48925E03" w14:textId="77777777">
        <w:tc>
          <w:tcPr>
            <w:tcW w:w="1309" w:type="dxa"/>
            <w:tcMar>
              <w:top w:w="80" w:type="dxa"/>
              <w:left w:w="100" w:type="dxa"/>
              <w:bottom w:w="80" w:type="dxa"/>
              <w:right w:w="100" w:type="dxa"/>
            </w:tcMar>
          </w:tcPr>
          <w:p w14:paraId="17E4A56F" w14:textId="77777777" w:rsidR="00D9312A" w:rsidRDefault="00000000" w:rsidP="001E72FE">
            <w:pPr>
              <w:spacing w:before="100" w:beforeAutospacing="1" w:after="100" w:afterAutospacing="1" w:line="240" w:lineRule="auto"/>
            </w:pPr>
            <w:r>
              <w:rPr>
                <w:sz w:val="20"/>
                <w:szCs w:val="20"/>
              </w:rPr>
              <w:t>Direct effect</w:t>
            </w:r>
          </w:p>
        </w:tc>
        <w:tc>
          <w:tcPr>
            <w:tcW w:w="3179" w:type="dxa"/>
            <w:tcMar>
              <w:top w:w="80" w:type="dxa"/>
              <w:left w:w="100" w:type="dxa"/>
              <w:bottom w:w="80" w:type="dxa"/>
              <w:right w:w="100" w:type="dxa"/>
            </w:tcMar>
          </w:tcPr>
          <w:p w14:paraId="39AB4FCB" w14:textId="77777777" w:rsidR="00D9312A" w:rsidRDefault="00000000" w:rsidP="001E72FE">
            <w:pPr>
              <w:spacing w:before="100" w:beforeAutospacing="1" w:after="100" w:afterAutospacing="1" w:line="240" w:lineRule="auto"/>
            </w:pPr>
            <w:r>
              <w:rPr>
                <w:sz w:val="20"/>
                <w:szCs w:val="20"/>
              </w:rPr>
              <w:t xml:space="preserve">An effect of a climatic variable (e.g. temperature) acting on an organism's </w:t>
            </w:r>
            <w:r>
              <w:rPr>
                <w:sz w:val="20"/>
                <w:szCs w:val="20"/>
              </w:rPr>
              <w:lastRenderedPageBreak/>
              <w:t>own physiology, independent of any change in another species.</w:t>
            </w:r>
          </w:p>
        </w:tc>
        <w:tc>
          <w:tcPr>
            <w:tcW w:w="3179" w:type="dxa"/>
            <w:tcMar>
              <w:top w:w="80" w:type="dxa"/>
              <w:left w:w="100" w:type="dxa"/>
              <w:bottom w:w="80" w:type="dxa"/>
              <w:right w:w="100" w:type="dxa"/>
            </w:tcMar>
          </w:tcPr>
          <w:p w14:paraId="7C20E89F" w14:textId="77777777" w:rsidR="00D9312A" w:rsidRDefault="00000000" w:rsidP="001E72FE">
            <w:pPr>
              <w:spacing w:before="100" w:beforeAutospacing="1" w:after="100" w:afterAutospacing="1" w:line="240" w:lineRule="auto"/>
            </w:pPr>
            <w:r>
              <w:rPr>
                <w:sz w:val="20"/>
                <w:szCs w:val="20"/>
              </w:rPr>
              <w:lastRenderedPageBreak/>
              <w:t xml:space="preserve">Direct effects are the most predictable component of climate response and are typically measured </w:t>
            </w:r>
            <w:r>
              <w:rPr>
                <w:sz w:val="20"/>
                <w:szCs w:val="20"/>
              </w:rPr>
              <w:lastRenderedPageBreak/>
              <w:t>in single-species laboratory assays; they do not capture community-level outcomes on their own.</w:t>
            </w:r>
          </w:p>
        </w:tc>
        <w:tc>
          <w:tcPr>
            <w:tcW w:w="1683" w:type="dxa"/>
            <w:tcMar>
              <w:top w:w="80" w:type="dxa"/>
              <w:left w:w="100" w:type="dxa"/>
              <w:bottom w:w="80" w:type="dxa"/>
              <w:right w:w="100" w:type="dxa"/>
            </w:tcMar>
          </w:tcPr>
          <w:p w14:paraId="15891FB7" w14:textId="77777777" w:rsidR="00D9312A" w:rsidRDefault="00000000" w:rsidP="001E72FE">
            <w:pPr>
              <w:spacing w:before="100" w:beforeAutospacing="1" w:after="100" w:afterAutospacing="1" w:line="240" w:lineRule="auto"/>
            </w:pPr>
            <w:r>
              <w:rPr>
                <w:i/>
                <w:iCs/>
                <w:sz w:val="20"/>
                <w:szCs w:val="20"/>
              </w:rPr>
              <w:lastRenderedPageBreak/>
              <w:t>Bale et al., 2002</w:t>
            </w:r>
          </w:p>
        </w:tc>
      </w:tr>
      <w:tr w:rsidR="00D9312A" w14:paraId="5AB63DFF" w14:textId="77777777">
        <w:tc>
          <w:tcPr>
            <w:tcW w:w="1309" w:type="dxa"/>
            <w:tcMar>
              <w:top w:w="80" w:type="dxa"/>
              <w:left w:w="100" w:type="dxa"/>
              <w:bottom w:w="80" w:type="dxa"/>
              <w:right w:w="100" w:type="dxa"/>
            </w:tcMar>
          </w:tcPr>
          <w:p w14:paraId="322D6B36" w14:textId="77777777" w:rsidR="00D9312A" w:rsidRDefault="00000000" w:rsidP="001E72FE">
            <w:pPr>
              <w:spacing w:before="100" w:beforeAutospacing="1" w:after="100" w:afterAutospacing="1" w:line="240" w:lineRule="auto"/>
            </w:pPr>
            <w:r>
              <w:rPr>
                <w:sz w:val="20"/>
                <w:szCs w:val="20"/>
              </w:rPr>
              <w:t>Indirect effect</w:t>
            </w:r>
          </w:p>
        </w:tc>
        <w:tc>
          <w:tcPr>
            <w:tcW w:w="3179" w:type="dxa"/>
            <w:tcMar>
              <w:top w:w="80" w:type="dxa"/>
              <w:left w:w="100" w:type="dxa"/>
              <w:bottom w:w="80" w:type="dxa"/>
              <w:right w:w="100" w:type="dxa"/>
            </w:tcMar>
          </w:tcPr>
          <w:p w14:paraId="1376D375" w14:textId="77777777" w:rsidR="00D9312A" w:rsidRDefault="00000000" w:rsidP="001E72FE">
            <w:pPr>
              <w:spacing w:before="100" w:beforeAutospacing="1" w:after="100" w:afterAutospacing="1" w:line="240" w:lineRule="auto"/>
            </w:pPr>
            <w:r>
              <w:rPr>
                <w:sz w:val="20"/>
                <w:szCs w:val="20"/>
              </w:rPr>
              <w:t>An effect of a climatic variable mediated through a change in another interacting species, such as a host plant or a prey/host organism.</w:t>
            </w:r>
          </w:p>
        </w:tc>
        <w:tc>
          <w:tcPr>
            <w:tcW w:w="3179" w:type="dxa"/>
            <w:tcMar>
              <w:top w:w="80" w:type="dxa"/>
              <w:left w:w="100" w:type="dxa"/>
              <w:bottom w:w="80" w:type="dxa"/>
              <w:right w:w="100" w:type="dxa"/>
            </w:tcMar>
          </w:tcPr>
          <w:p w14:paraId="509AE501" w14:textId="77777777" w:rsidR="00D9312A" w:rsidRDefault="00000000" w:rsidP="001E72FE">
            <w:pPr>
              <w:spacing w:before="100" w:beforeAutospacing="1" w:after="100" w:afterAutospacing="1" w:line="240" w:lineRule="auto"/>
            </w:pPr>
            <w:r>
              <w:rPr>
                <w:sz w:val="20"/>
                <w:szCs w:val="20"/>
              </w:rPr>
              <w:t>Indirect effects (e.g. CO2 acting on herbivores via changes in plant nitrogen) can reverse or override the sign of direct effects and are frequently omitted from single-trophic-level studies.</w:t>
            </w:r>
          </w:p>
        </w:tc>
        <w:tc>
          <w:tcPr>
            <w:tcW w:w="1683" w:type="dxa"/>
            <w:tcMar>
              <w:top w:w="80" w:type="dxa"/>
              <w:left w:w="100" w:type="dxa"/>
              <w:bottom w:w="80" w:type="dxa"/>
              <w:right w:w="100" w:type="dxa"/>
            </w:tcMar>
          </w:tcPr>
          <w:p w14:paraId="6150255D" w14:textId="77777777" w:rsidR="00D9312A" w:rsidRDefault="00000000" w:rsidP="001E72FE">
            <w:pPr>
              <w:spacing w:before="100" w:beforeAutospacing="1" w:after="100" w:afterAutospacing="1" w:line="240" w:lineRule="auto"/>
            </w:pPr>
            <w:r>
              <w:rPr>
                <w:i/>
                <w:iCs/>
                <w:sz w:val="20"/>
                <w:szCs w:val="20"/>
              </w:rPr>
              <w:t>Johnson, Waterman and Hall, 2020</w:t>
            </w:r>
          </w:p>
        </w:tc>
      </w:tr>
      <w:tr w:rsidR="00D9312A" w14:paraId="5DD77DEB" w14:textId="77777777">
        <w:tc>
          <w:tcPr>
            <w:tcW w:w="1309" w:type="dxa"/>
            <w:tcMar>
              <w:top w:w="80" w:type="dxa"/>
              <w:left w:w="100" w:type="dxa"/>
              <w:bottom w:w="80" w:type="dxa"/>
              <w:right w:w="100" w:type="dxa"/>
            </w:tcMar>
          </w:tcPr>
          <w:p w14:paraId="1C7537FB" w14:textId="77777777" w:rsidR="00D9312A" w:rsidRDefault="00000000" w:rsidP="001E72FE">
            <w:pPr>
              <w:spacing w:before="100" w:beforeAutospacing="1" w:after="100" w:afterAutospacing="1" w:line="240" w:lineRule="auto"/>
            </w:pPr>
            <w:r>
              <w:rPr>
                <w:sz w:val="20"/>
                <w:szCs w:val="20"/>
              </w:rPr>
              <w:t>Voltinism</w:t>
            </w:r>
          </w:p>
        </w:tc>
        <w:tc>
          <w:tcPr>
            <w:tcW w:w="3179" w:type="dxa"/>
            <w:tcMar>
              <w:top w:w="80" w:type="dxa"/>
              <w:left w:w="100" w:type="dxa"/>
              <w:bottom w:w="80" w:type="dxa"/>
              <w:right w:w="100" w:type="dxa"/>
            </w:tcMar>
          </w:tcPr>
          <w:p w14:paraId="57F15194" w14:textId="77777777" w:rsidR="00D9312A" w:rsidRDefault="00000000" w:rsidP="001E72FE">
            <w:pPr>
              <w:spacing w:before="100" w:beforeAutospacing="1" w:after="100" w:afterAutospacing="1" w:line="240" w:lineRule="auto"/>
            </w:pPr>
            <w:r>
              <w:rPr>
                <w:sz w:val="20"/>
                <w:szCs w:val="20"/>
              </w:rPr>
              <w:t>The number of generations completed by a population within a single growing season or year.</w:t>
            </w:r>
          </w:p>
        </w:tc>
        <w:tc>
          <w:tcPr>
            <w:tcW w:w="3179" w:type="dxa"/>
            <w:tcMar>
              <w:top w:w="80" w:type="dxa"/>
              <w:left w:w="100" w:type="dxa"/>
              <w:bottom w:w="80" w:type="dxa"/>
              <w:right w:w="100" w:type="dxa"/>
            </w:tcMar>
          </w:tcPr>
          <w:p w14:paraId="5FD379D9" w14:textId="77777777" w:rsidR="00D9312A" w:rsidRDefault="00000000" w:rsidP="001E72FE">
            <w:pPr>
              <w:spacing w:before="100" w:beforeAutospacing="1" w:after="100" w:afterAutospacing="1" w:line="240" w:lineRule="auto"/>
            </w:pPr>
            <w:r>
              <w:rPr>
                <w:sz w:val="20"/>
                <w:szCs w:val="20"/>
              </w:rPr>
              <w:t>Small increases in voltinism can compound into large increases in end-of-season pest density because of exponential population growth dynamics.</w:t>
            </w:r>
          </w:p>
        </w:tc>
        <w:tc>
          <w:tcPr>
            <w:tcW w:w="1683" w:type="dxa"/>
            <w:tcMar>
              <w:top w:w="80" w:type="dxa"/>
              <w:left w:w="100" w:type="dxa"/>
              <w:bottom w:w="80" w:type="dxa"/>
              <w:right w:w="100" w:type="dxa"/>
            </w:tcMar>
          </w:tcPr>
          <w:p w14:paraId="4EF666ED" w14:textId="77777777" w:rsidR="00D9312A" w:rsidRDefault="00000000" w:rsidP="001E72FE">
            <w:pPr>
              <w:spacing w:before="100" w:beforeAutospacing="1" w:after="100" w:afterAutospacing="1" w:line="240" w:lineRule="auto"/>
            </w:pPr>
            <w:r>
              <w:rPr>
                <w:i/>
                <w:iCs/>
                <w:sz w:val="20"/>
                <w:szCs w:val="20"/>
              </w:rPr>
              <w:t xml:space="preserve">Yan et al., 2022; </w:t>
            </w:r>
            <w:proofErr w:type="spellStart"/>
            <w:r>
              <w:rPr>
                <w:i/>
                <w:iCs/>
                <w:sz w:val="20"/>
                <w:szCs w:val="20"/>
              </w:rPr>
              <w:t>Skendžić</w:t>
            </w:r>
            <w:proofErr w:type="spellEnd"/>
            <w:r>
              <w:rPr>
                <w:i/>
                <w:iCs/>
                <w:sz w:val="20"/>
                <w:szCs w:val="20"/>
              </w:rPr>
              <w:t xml:space="preserve"> et al., 2021</w:t>
            </w:r>
          </w:p>
        </w:tc>
      </w:tr>
      <w:tr w:rsidR="00D9312A" w14:paraId="1E0DDBBE" w14:textId="77777777">
        <w:tc>
          <w:tcPr>
            <w:tcW w:w="1309" w:type="dxa"/>
            <w:tcMar>
              <w:top w:w="80" w:type="dxa"/>
              <w:left w:w="100" w:type="dxa"/>
              <w:bottom w:w="80" w:type="dxa"/>
              <w:right w:w="100" w:type="dxa"/>
            </w:tcMar>
          </w:tcPr>
          <w:p w14:paraId="2F0688D3" w14:textId="77777777" w:rsidR="00D9312A" w:rsidRDefault="00000000" w:rsidP="001E72FE">
            <w:pPr>
              <w:spacing w:before="100" w:beforeAutospacing="1" w:after="100" w:afterAutospacing="1" w:line="240" w:lineRule="auto"/>
            </w:pPr>
            <w:r>
              <w:rPr>
                <w:sz w:val="20"/>
                <w:szCs w:val="20"/>
              </w:rPr>
              <w:t>Phenological synchrony / mismatch</w:t>
            </w:r>
          </w:p>
        </w:tc>
        <w:tc>
          <w:tcPr>
            <w:tcW w:w="3179" w:type="dxa"/>
            <w:tcMar>
              <w:top w:w="80" w:type="dxa"/>
              <w:left w:w="100" w:type="dxa"/>
              <w:bottom w:w="80" w:type="dxa"/>
              <w:right w:w="100" w:type="dxa"/>
            </w:tcMar>
          </w:tcPr>
          <w:p w14:paraId="28BBC212" w14:textId="77777777" w:rsidR="00D9312A" w:rsidRDefault="00000000" w:rsidP="001E72FE">
            <w:pPr>
              <w:spacing w:before="100" w:beforeAutospacing="1" w:after="100" w:afterAutospacing="1" w:line="240" w:lineRule="auto"/>
            </w:pPr>
            <w:r>
              <w:rPr>
                <w:sz w:val="20"/>
                <w:szCs w:val="20"/>
              </w:rPr>
              <w:t>The degree of temporal overlap between the vulnerable life stage of a host or prey species and the active life stage of its natural enemy.</w:t>
            </w:r>
          </w:p>
        </w:tc>
        <w:tc>
          <w:tcPr>
            <w:tcW w:w="3179" w:type="dxa"/>
            <w:tcMar>
              <w:top w:w="80" w:type="dxa"/>
              <w:left w:w="100" w:type="dxa"/>
              <w:bottom w:w="80" w:type="dxa"/>
              <w:right w:w="100" w:type="dxa"/>
            </w:tcMar>
          </w:tcPr>
          <w:p w14:paraId="461107F4" w14:textId="77777777" w:rsidR="00D9312A" w:rsidRDefault="00000000" w:rsidP="001E72FE">
            <w:pPr>
              <w:spacing w:before="100" w:beforeAutospacing="1" w:after="100" w:afterAutospacing="1" w:line="240" w:lineRule="auto"/>
            </w:pPr>
            <w:r>
              <w:rPr>
                <w:sz w:val="20"/>
                <w:szCs w:val="20"/>
              </w:rPr>
              <w:t>Reduced synchrony (mismatch) can suppress natural enemy efficacy even where neither species' abundance has declined; it is a mechanism distinct from, and sometimes opposite in sign to, changes in abundance.</w:t>
            </w:r>
          </w:p>
        </w:tc>
        <w:tc>
          <w:tcPr>
            <w:tcW w:w="1683" w:type="dxa"/>
            <w:tcMar>
              <w:top w:w="80" w:type="dxa"/>
              <w:left w:w="100" w:type="dxa"/>
              <w:bottom w:w="80" w:type="dxa"/>
              <w:right w:w="100" w:type="dxa"/>
            </w:tcMar>
          </w:tcPr>
          <w:p w14:paraId="166AE632" w14:textId="77777777" w:rsidR="00D9312A" w:rsidRDefault="00000000" w:rsidP="001E72FE">
            <w:pPr>
              <w:spacing w:before="100" w:beforeAutospacing="1" w:after="100" w:afterAutospacing="1" w:line="240" w:lineRule="auto"/>
            </w:pPr>
            <w:r>
              <w:rPr>
                <w:i/>
                <w:iCs/>
                <w:sz w:val="20"/>
                <w:szCs w:val="20"/>
              </w:rPr>
              <w:t xml:space="preserve">Wetherington et al., 2017; </w:t>
            </w:r>
            <w:proofErr w:type="spellStart"/>
            <w:r>
              <w:rPr>
                <w:i/>
                <w:iCs/>
                <w:sz w:val="20"/>
                <w:szCs w:val="20"/>
              </w:rPr>
              <w:t>Tougeron</w:t>
            </w:r>
            <w:proofErr w:type="spellEnd"/>
            <w:r>
              <w:rPr>
                <w:i/>
                <w:iCs/>
                <w:sz w:val="20"/>
                <w:szCs w:val="20"/>
              </w:rPr>
              <w:t xml:space="preserve"> et al., 2020</w:t>
            </w:r>
          </w:p>
        </w:tc>
      </w:tr>
      <w:tr w:rsidR="00D9312A" w14:paraId="3C16D1C0" w14:textId="77777777">
        <w:tc>
          <w:tcPr>
            <w:tcW w:w="1309" w:type="dxa"/>
            <w:tcMar>
              <w:top w:w="80" w:type="dxa"/>
              <w:left w:w="100" w:type="dxa"/>
              <w:bottom w:w="80" w:type="dxa"/>
              <w:right w:w="100" w:type="dxa"/>
            </w:tcMar>
          </w:tcPr>
          <w:p w14:paraId="14B3B7C1" w14:textId="77777777" w:rsidR="00D9312A" w:rsidRDefault="00000000" w:rsidP="001E72FE">
            <w:pPr>
              <w:spacing w:before="100" w:beforeAutospacing="1" w:after="100" w:afterAutospacing="1" w:line="240" w:lineRule="auto"/>
            </w:pPr>
            <w:r>
              <w:rPr>
                <w:sz w:val="20"/>
                <w:szCs w:val="20"/>
              </w:rPr>
              <w:t>Bottom-up vs top-down forcing</w:t>
            </w:r>
          </w:p>
        </w:tc>
        <w:tc>
          <w:tcPr>
            <w:tcW w:w="3179" w:type="dxa"/>
            <w:tcMar>
              <w:top w:w="80" w:type="dxa"/>
              <w:left w:w="100" w:type="dxa"/>
              <w:bottom w:w="80" w:type="dxa"/>
              <w:right w:w="100" w:type="dxa"/>
            </w:tcMar>
          </w:tcPr>
          <w:p w14:paraId="4D9D35A3" w14:textId="77777777" w:rsidR="00D9312A" w:rsidRDefault="00000000" w:rsidP="001E72FE">
            <w:pPr>
              <w:spacing w:before="100" w:beforeAutospacing="1" w:after="100" w:afterAutospacing="1" w:line="240" w:lineRule="auto"/>
            </w:pPr>
            <w:r>
              <w:rPr>
                <w:sz w:val="20"/>
                <w:szCs w:val="20"/>
              </w:rPr>
              <w:t>Bottom-up forcing describes pest population regulation via host-plant quality or availability; top-down forcing describes regulation via natural enemies.</w:t>
            </w:r>
          </w:p>
        </w:tc>
        <w:tc>
          <w:tcPr>
            <w:tcW w:w="3179" w:type="dxa"/>
            <w:tcMar>
              <w:top w:w="80" w:type="dxa"/>
              <w:left w:w="100" w:type="dxa"/>
              <w:bottom w:w="80" w:type="dxa"/>
              <w:right w:w="100" w:type="dxa"/>
            </w:tcMar>
          </w:tcPr>
          <w:p w14:paraId="231F95D8" w14:textId="77777777" w:rsidR="00D9312A" w:rsidRDefault="00000000" w:rsidP="001E72FE">
            <w:pPr>
              <w:spacing w:before="100" w:beforeAutospacing="1" w:after="100" w:afterAutospacing="1" w:line="240" w:lineRule="auto"/>
            </w:pPr>
            <w:r>
              <w:rPr>
                <w:sz w:val="20"/>
                <w:szCs w:val="20"/>
              </w:rPr>
              <w:t>Warming can strengthen bottom-up forces (e.g. via increased plant biomass) while simultaneously weakening top-down forces (e.g. via reduced parasitism), with the two effects sometimes offsetting and sometimes compounding.</w:t>
            </w:r>
          </w:p>
        </w:tc>
        <w:tc>
          <w:tcPr>
            <w:tcW w:w="1683" w:type="dxa"/>
            <w:tcMar>
              <w:top w:w="80" w:type="dxa"/>
              <w:left w:w="100" w:type="dxa"/>
              <w:bottom w:w="80" w:type="dxa"/>
              <w:right w:w="100" w:type="dxa"/>
            </w:tcMar>
          </w:tcPr>
          <w:p w14:paraId="0DC43AF7" w14:textId="77777777" w:rsidR="00D9312A" w:rsidRDefault="00000000" w:rsidP="001E72FE">
            <w:pPr>
              <w:spacing w:before="100" w:beforeAutospacing="1" w:after="100" w:afterAutospacing="1" w:line="240" w:lineRule="auto"/>
            </w:pPr>
            <w:r>
              <w:rPr>
                <w:i/>
                <w:iCs/>
                <w:sz w:val="20"/>
                <w:szCs w:val="20"/>
              </w:rPr>
              <w:t>Han et al., 2019</w:t>
            </w:r>
          </w:p>
        </w:tc>
      </w:tr>
      <w:tr w:rsidR="00D9312A" w14:paraId="2EC6F268" w14:textId="77777777">
        <w:tc>
          <w:tcPr>
            <w:tcW w:w="1309" w:type="dxa"/>
            <w:tcMar>
              <w:top w:w="80" w:type="dxa"/>
              <w:left w:w="100" w:type="dxa"/>
              <w:bottom w:w="80" w:type="dxa"/>
              <w:right w:w="100" w:type="dxa"/>
            </w:tcMar>
          </w:tcPr>
          <w:p w14:paraId="5279792F" w14:textId="77777777" w:rsidR="00D9312A" w:rsidRDefault="00000000" w:rsidP="001E72FE">
            <w:pPr>
              <w:spacing w:before="100" w:beforeAutospacing="1" w:after="100" w:afterAutospacing="1" w:line="240" w:lineRule="auto"/>
            </w:pPr>
            <w:r>
              <w:rPr>
                <w:sz w:val="20"/>
                <w:szCs w:val="20"/>
              </w:rPr>
              <w:t>Thermal optimum</w:t>
            </w:r>
          </w:p>
        </w:tc>
        <w:tc>
          <w:tcPr>
            <w:tcW w:w="3179" w:type="dxa"/>
            <w:tcMar>
              <w:top w:w="80" w:type="dxa"/>
              <w:left w:w="100" w:type="dxa"/>
              <w:bottom w:w="80" w:type="dxa"/>
              <w:right w:w="100" w:type="dxa"/>
            </w:tcMar>
          </w:tcPr>
          <w:p w14:paraId="192AD007" w14:textId="77777777" w:rsidR="00D9312A" w:rsidRDefault="00000000" w:rsidP="001E72FE">
            <w:pPr>
              <w:spacing w:before="100" w:beforeAutospacing="1" w:after="100" w:afterAutospacing="1" w:line="240" w:lineRule="auto"/>
            </w:pPr>
            <w:r>
              <w:rPr>
                <w:sz w:val="20"/>
                <w:szCs w:val="20"/>
              </w:rPr>
              <w:t>The temperature at which an organism's fitness-related performance (e.g. development rate, fecundity) is maximised.</w:t>
            </w:r>
          </w:p>
        </w:tc>
        <w:tc>
          <w:tcPr>
            <w:tcW w:w="3179" w:type="dxa"/>
            <w:tcMar>
              <w:top w:w="80" w:type="dxa"/>
              <w:left w:w="100" w:type="dxa"/>
              <w:bottom w:w="80" w:type="dxa"/>
              <w:right w:w="100" w:type="dxa"/>
            </w:tcMar>
          </w:tcPr>
          <w:p w14:paraId="1A7B48C1" w14:textId="77777777" w:rsidR="00D9312A" w:rsidRDefault="00000000" w:rsidP="001E72FE">
            <w:pPr>
              <w:spacing w:before="100" w:beforeAutospacing="1" w:after="100" w:afterAutospacing="1" w:line="240" w:lineRule="auto"/>
            </w:pPr>
            <w:proofErr w:type="spellStart"/>
            <w:r>
              <w:rPr>
                <w:sz w:val="20"/>
                <w:szCs w:val="20"/>
              </w:rPr>
              <w:t>Parasitoids</w:t>
            </w:r>
            <w:proofErr w:type="spellEnd"/>
            <w:r>
              <w:rPr>
                <w:sz w:val="20"/>
                <w:szCs w:val="20"/>
              </w:rPr>
              <w:t xml:space="preserve"> frequently have a lower thermal optimum than their hosts, so warming that benefits a host can simultaneously impair its </w:t>
            </w:r>
            <w:proofErr w:type="spellStart"/>
            <w:r>
              <w:rPr>
                <w:sz w:val="20"/>
                <w:szCs w:val="20"/>
              </w:rPr>
              <w:t>parasitoid</w:t>
            </w:r>
            <w:proofErr w:type="spellEnd"/>
            <w:r>
              <w:rPr>
                <w:sz w:val="20"/>
                <w:szCs w:val="20"/>
              </w:rPr>
              <w:t>.</w:t>
            </w:r>
          </w:p>
        </w:tc>
        <w:tc>
          <w:tcPr>
            <w:tcW w:w="1683" w:type="dxa"/>
            <w:tcMar>
              <w:top w:w="80" w:type="dxa"/>
              <w:left w:w="100" w:type="dxa"/>
              <w:bottom w:w="80" w:type="dxa"/>
              <w:right w:w="100" w:type="dxa"/>
            </w:tcMar>
          </w:tcPr>
          <w:p w14:paraId="06A2CE09" w14:textId="77777777" w:rsidR="00D9312A" w:rsidRDefault="00000000" w:rsidP="001E72FE">
            <w:pPr>
              <w:spacing w:before="100" w:beforeAutospacing="1" w:after="100" w:afterAutospacing="1" w:line="240" w:lineRule="auto"/>
            </w:pPr>
            <w:r>
              <w:rPr>
                <w:i/>
                <w:iCs/>
                <w:sz w:val="20"/>
                <w:szCs w:val="20"/>
              </w:rPr>
              <w:t>Castex et al., 2018</w:t>
            </w:r>
          </w:p>
        </w:tc>
      </w:tr>
      <w:tr w:rsidR="00D9312A" w14:paraId="724EC346" w14:textId="77777777">
        <w:tc>
          <w:tcPr>
            <w:tcW w:w="1309" w:type="dxa"/>
            <w:tcMar>
              <w:top w:w="80" w:type="dxa"/>
              <w:left w:w="100" w:type="dxa"/>
              <w:bottom w:w="80" w:type="dxa"/>
              <w:right w:w="100" w:type="dxa"/>
            </w:tcMar>
          </w:tcPr>
          <w:p w14:paraId="214E5008" w14:textId="77777777" w:rsidR="00D9312A" w:rsidRDefault="00000000" w:rsidP="001E72FE">
            <w:pPr>
              <w:spacing w:before="100" w:beforeAutospacing="1" w:after="100" w:afterAutospacing="1" w:line="240" w:lineRule="auto"/>
            </w:pPr>
            <w:r>
              <w:rPr>
                <w:sz w:val="20"/>
                <w:szCs w:val="20"/>
              </w:rPr>
              <w:t>Range shift / range expansion</w:t>
            </w:r>
          </w:p>
        </w:tc>
        <w:tc>
          <w:tcPr>
            <w:tcW w:w="3179" w:type="dxa"/>
            <w:tcMar>
              <w:top w:w="80" w:type="dxa"/>
              <w:left w:w="100" w:type="dxa"/>
              <w:bottom w:w="80" w:type="dxa"/>
              <w:right w:w="100" w:type="dxa"/>
            </w:tcMar>
          </w:tcPr>
          <w:p w14:paraId="54610AFD" w14:textId="77777777" w:rsidR="00D9312A" w:rsidRDefault="00000000" w:rsidP="001E72FE">
            <w:pPr>
              <w:spacing w:before="100" w:beforeAutospacing="1" w:after="100" w:afterAutospacing="1" w:line="240" w:lineRule="auto"/>
            </w:pPr>
            <w:r>
              <w:rPr>
                <w:sz w:val="20"/>
                <w:szCs w:val="20"/>
              </w:rPr>
              <w:t>A change in the geographic area over which a species maintains a viable population, typically poleward or to higher elevation under warming.</w:t>
            </w:r>
          </w:p>
        </w:tc>
        <w:tc>
          <w:tcPr>
            <w:tcW w:w="3179" w:type="dxa"/>
            <w:tcMar>
              <w:top w:w="80" w:type="dxa"/>
              <w:left w:w="100" w:type="dxa"/>
              <w:bottom w:w="80" w:type="dxa"/>
              <w:right w:w="100" w:type="dxa"/>
            </w:tcMar>
          </w:tcPr>
          <w:p w14:paraId="29EF5BB6" w14:textId="77777777" w:rsidR="00D9312A" w:rsidRDefault="00000000" w:rsidP="001E72FE">
            <w:pPr>
              <w:spacing w:before="100" w:beforeAutospacing="1" w:after="100" w:afterAutospacing="1" w:line="240" w:lineRule="auto"/>
            </w:pPr>
            <w:r>
              <w:rPr>
                <w:sz w:val="20"/>
                <w:szCs w:val="20"/>
              </w:rPr>
              <w:t>Range shifts can decouple a pest from its historical natural enemy community if the enemy disperses more slowly or has a narrower climatic tolerance.</w:t>
            </w:r>
          </w:p>
        </w:tc>
        <w:tc>
          <w:tcPr>
            <w:tcW w:w="1683" w:type="dxa"/>
            <w:tcMar>
              <w:top w:w="80" w:type="dxa"/>
              <w:left w:w="100" w:type="dxa"/>
              <w:bottom w:w="80" w:type="dxa"/>
              <w:right w:w="100" w:type="dxa"/>
            </w:tcMar>
          </w:tcPr>
          <w:p w14:paraId="5E9E19C0" w14:textId="77777777" w:rsidR="00D9312A" w:rsidRDefault="00000000" w:rsidP="001E72FE">
            <w:pPr>
              <w:spacing w:before="100" w:beforeAutospacing="1" w:after="100" w:afterAutospacing="1" w:line="240" w:lineRule="auto"/>
            </w:pPr>
            <w:r>
              <w:rPr>
                <w:i/>
                <w:iCs/>
                <w:sz w:val="20"/>
                <w:szCs w:val="20"/>
              </w:rPr>
              <w:t>Jaime, Batllori and Lloret, 2024; Zacarias, 2020</w:t>
            </w:r>
          </w:p>
        </w:tc>
      </w:tr>
      <w:tr w:rsidR="00D9312A" w14:paraId="075DE2DF" w14:textId="77777777">
        <w:tc>
          <w:tcPr>
            <w:tcW w:w="1309" w:type="dxa"/>
            <w:tcMar>
              <w:top w:w="80" w:type="dxa"/>
              <w:left w:w="100" w:type="dxa"/>
              <w:bottom w:w="80" w:type="dxa"/>
              <w:right w:w="100" w:type="dxa"/>
            </w:tcMar>
          </w:tcPr>
          <w:p w14:paraId="52A63D2E" w14:textId="77777777" w:rsidR="00D9312A" w:rsidRDefault="00000000" w:rsidP="001E72FE">
            <w:pPr>
              <w:spacing w:before="100" w:beforeAutospacing="1" w:after="100" w:afterAutospacing="1" w:line="240" w:lineRule="auto"/>
            </w:pPr>
            <w:r>
              <w:rPr>
                <w:sz w:val="20"/>
                <w:szCs w:val="20"/>
              </w:rPr>
              <w:t>Conservation biological control</w:t>
            </w:r>
          </w:p>
        </w:tc>
        <w:tc>
          <w:tcPr>
            <w:tcW w:w="3179" w:type="dxa"/>
            <w:tcMar>
              <w:top w:w="80" w:type="dxa"/>
              <w:left w:w="100" w:type="dxa"/>
              <w:bottom w:w="80" w:type="dxa"/>
              <w:right w:w="100" w:type="dxa"/>
            </w:tcMar>
          </w:tcPr>
          <w:p w14:paraId="4E85E527" w14:textId="77777777" w:rsidR="00D9312A" w:rsidRDefault="00000000" w:rsidP="001E72FE">
            <w:pPr>
              <w:spacing w:before="100" w:beforeAutospacing="1" w:after="100" w:afterAutospacing="1" w:line="240" w:lineRule="auto"/>
            </w:pPr>
            <w:r>
              <w:rPr>
                <w:sz w:val="20"/>
                <w:szCs w:val="20"/>
              </w:rPr>
              <w:t>Management practices that protect or enhance existing populations of natural enemies, typically via landscape or habitat management, as distinct from releasing new natural enemies.</w:t>
            </w:r>
          </w:p>
        </w:tc>
        <w:tc>
          <w:tcPr>
            <w:tcW w:w="3179" w:type="dxa"/>
            <w:tcMar>
              <w:top w:w="80" w:type="dxa"/>
              <w:left w:w="100" w:type="dxa"/>
              <w:bottom w:w="80" w:type="dxa"/>
              <w:right w:w="100" w:type="dxa"/>
            </w:tcMar>
          </w:tcPr>
          <w:p w14:paraId="01B4E209" w14:textId="77777777" w:rsidR="00D9312A" w:rsidRDefault="00000000" w:rsidP="001E72FE">
            <w:pPr>
              <w:spacing w:before="100" w:beforeAutospacing="1" w:after="100" w:afterAutospacing="1" w:line="240" w:lineRule="auto"/>
            </w:pPr>
            <w:r>
              <w:rPr>
                <w:sz w:val="20"/>
                <w:szCs w:val="20"/>
              </w:rPr>
              <w:t>Evidence indicates conservation biological control can buffer, though not eliminate, climate-related declines in pest suppression.</w:t>
            </w:r>
          </w:p>
        </w:tc>
        <w:tc>
          <w:tcPr>
            <w:tcW w:w="1683" w:type="dxa"/>
            <w:tcMar>
              <w:top w:w="80" w:type="dxa"/>
              <w:left w:w="100" w:type="dxa"/>
              <w:bottom w:w="80" w:type="dxa"/>
              <w:right w:w="100" w:type="dxa"/>
            </w:tcMar>
          </w:tcPr>
          <w:p w14:paraId="13503715" w14:textId="77777777" w:rsidR="00D9312A" w:rsidRDefault="00000000" w:rsidP="001E72FE">
            <w:pPr>
              <w:spacing w:before="100" w:beforeAutospacing="1" w:after="100" w:afterAutospacing="1" w:line="240" w:lineRule="auto"/>
            </w:pPr>
            <w:proofErr w:type="spellStart"/>
            <w:r>
              <w:rPr>
                <w:i/>
                <w:iCs/>
                <w:sz w:val="20"/>
                <w:szCs w:val="20"/>
              </w:rPr>
              <w:t>Tscharntke</w:t>
            </w:r>
            <w:proofErr w:type="spellEnd"/>
            <w:r>
              <w:rPr>
                <w:i/>
                <w:iCs/>
                <w:sz w:val="20"/>
                <w:szCs w:val="20"/>
              </w:rPr>
              <w:t xml:space="preserve"> et al., 2007; Feit et al., 2021</w:t>
            </w:r>
          </w:p>
        </w:tc>
      </w:tr>
    </w:tbl>
    <w:p w14:paraId="37D53F02" w14:textId="77777777" w:rsidR="00D9312A" w:rsidRDefault="00000000" w:rsidP="001E72FE">
      <w:pPr>
        <w:spacing w:before="100" w:beforeAutospacing="1" w:after="100" w:afterAutospacing="1" w:line="240" w:lineRule="auto"/>
      </w:pPr>
      <w:r>
        <w:rPr>
          <w:i/>
          <w:iCs/>
          <w:sz w:val="20"/>
          <w:szCs w:val="20"/>
        </w:rPr>
        <w:t>Note. CO2 = carbon dioxide. Citations in italics within table cells refer to the reference list.</w:t>
      </w:r>
    </w:p>
    <w:p w14:paraId="0ADEF9D6" w14:textId="77777777" w:rsidR="00D9312A" w:rsidRDefault="00000000" w:rsidP="001E72FE">
      <w:pPr>
        <w:pStyle w:val="Heading1"/>
        <w:spacing w:before="100" w:beforeAutospacing="1" w:after="100" w:afterAutospacing="1" w:line="240" w:lineRule="auto"/>
      </w:pPr>
      <w:r>
        <w:t>4. Elevated Carbon Dioxide, Precipitation Change and Bottom-Up Effects on Plant–Pest Interactions</w:t>
      </w:r>
    </w:p>
    <w:p w14:paraId="27232C82" w14:textId="77777777" w:rsidR="00D9312A" w:rsidRDefault="00000000" w:rsidP="001E72FE">
      <w:pPr>
        <w:spacing w:before="100" w:beforeAutospacing="1" w:after="100" w:afterAutospacing="1" w:line="240" w:lineRule="auto"/>
        <w:jc w:val="both"/>
      </w:pPr>
      <w:r>
        <w:lastRenderedPageBreak/>
        <w:t>In contrast to temperature, elevated atmospheric carbon dioxide has little demonstrated direct physiological effect on insect herbivores; its influence operates almost entirely indirectly, through changes in the nutritional and defensive chemistry of host plants (Bale et al., 2002). The most consistently reported effect of elevated carbon dioxide on C3 crop and forage species is a reduction in foliar nitrogen concentration relative to carbon, since carbon dioxide fertilisation increases photosynthetic carbon fixation without a proportional increase in nitrogen uptake. Because nitrogen availability is frequently the limiting nutritional factor for herbivorous insects, this shift has generally been expected to impair herbivore performance, obliging insects to consume more plant tissue per unit of nutrient gained, a compensatory feeding response documented across a range of chewing herbivores (Johnson, Waterman and Hall, 2020). Compensatory feeding of this kind carries an important and somewhat counter-intuitive implication for crop damage: even where elevated carbon dioxide reduces individual herbivore fitness, the resulting increase in per capita consumption can offset or exceed any reduction in herbivore performance, so that crop damage does not necessarily decline in step with reduced host-plant quality.</w:t>
      </w:r>
    </w:p>
    <w:p w14:paraId="0B6F3FB0" w14:textId="77777777" w:rsidR="00D9312A" w:rsidRDefault="00000000" w:rsidP="001E72FE">
      <w:pPr>
        <w:spacing w:before="100" w:beforeAutospacing="1" w:after="100" w:afterAutospacing="1" w:line="240" w:lineRule="auto"/>
        <w:jc w:val="both"/>
      </w:pPr>
      <w:r>
        <w:t xml:space="preserve">The generality of a straightforward nutrient-dilution response has, however, been qualified by more recent evidence. Working with the cotton bollworm, </w:t>
      </w:r>
      <w:r>
        <w:rPr>
          <w:i/>
          <w:iCs/>
        </w:rPr>
        <w:t>Helicoverpa armigera</w:t>
      </w:r>
      <w:r>
        <w:t xml:space="preserve">, on a nitrogen-fixing legume host, Johnson, Waterman and Hall (2020) reported that elevated carbon dioxide produced only a modest decline in most measures of nutritional quality, since increased root nodulation partially offset the expected nitrogen dilution, yet still resulted in substantially higher herbivore relative growth rate. The mechanism responsible was not nutritional but signalling-related: elevated carbon dioxide suppressed </w:t>
      </w:r>
      <w:proofErr w:type="spellStart"/>
      <w:r>
        <w:t>jasmonate</w:t>
      </w:r>
      <w:proofErr w:type="spellEnd"/>
      <w:r>
        <w:t>-mediated anti-herbivore defence signalling in the host plant by approximately half following simulated attack, weakening the plant's induced chemical defences independently of any change in its nutritional composition. This finding illustrates a broader methodological point of relevance to the present review, namely that studies measuring only nutritional endpoints such as nitrogen or carbon-to-nitrogen ratio may fail to capture defence-signalling pathways that can dominate the net outcome for herbivore performance, and that the effect of elevated carbon dioxide on herbivore performance is accordingly less uniformly negative than earlier nutrient-centred models implied.</w:t>
      </w:r>
    </w:p>
    <w:p w14:paraId="45EAE8DA" w14:textId="77777777" w:rsidR="00D9312A" w:rsidRDefault="00000000" w:rsidP="001E72FE">
      <w:pPr>
        <w:spacing w:before="100" w:beforeAutospacing="1" w:after="100" w:afterAutospacing="1" w:line="240" w:lineRule="auto"/>
        <w:jc w:val="both"/>
      </w:pPr>
      <w:r>
        <w:t xml:space="preserve">Precipitation </w:t>
      </w:r>
      <w:proofErr w:type="gramStart"/>
      <w:r>
        <w:t>change</w:t>
      </w:r>
      <w:proofErr w:type="gramEnd"/>
      <w:r>
        <w:t xml:space="preserve"> and drought act on plant–insect interactions through a still more contingent set of mechanisms, and the literature here is characterised less by consensus than by an explicit dependence on drought severity, duration and timing. A framework developed from woody plant systems distinguishes intermittent, moderate drought, which frequently increases both carbon-based and nitrogen-based plant defensive compounds and can therefore suppress herbivore performance, from prolonged, severe drought, which tends to deplete the carbon reserves needed to sustain those same defences and can render plants more susceptible to attack (</w:t>
      </w:r>
      <w:proofErr w:type="spellStart"/>
      <w:r>
        <w:t>Gely</w:t>
      </w:r>
      <w:proofErr w:type="spellEnd"/>
      <w:r>
        <w:t xml:space="preserve">, Laurance and Stork, 2020). This dose-dependent relationship helps explain why individual field and glasshouse studies examining drought effects on herbivory have produced findings that appear directly contradictory when compared without reference to drought severity, a pattern the review by </w:t>
      </w:r>
      <w:proofErr w:type="spellStart"/>
      <w:r>
        <w:t>Gely</w:t>
      </w:r>
      <w:proofErr w:type="spellEnd"/>
      <w:r>
        <w:t xml:space="preserve">, Laurance and Stork (2020) </w:t>
      </w:r>
      <w:proofErr w:type="gramStart"/>
      <w:r>
        <w:t>argues</w:t>
      </w:r>
      <w:proofErr w:type="gramEnd"/>
      <w:r>
        <w:t xml:space="preserve"> has impeded the field's ability to generalise despite a substantial cumulative body of published work. Feeding guild further modifies the outcome: sap-feeding insects such as aphids have frequently been reported to perform better on moderately drought-stressed plants, plausibly because water stress concentrates soluble nutrients in phloem sap, whereas chewing herbivores show more variable, and on balance more often negative, responses to the same degree of water stress.</w:t>
      </w:r>
    </w:p>
    <w:p w14:paraId="5FF3C996" w14:textId="77777777" w:rsidR="00D9312A" w:rsidRDefault="00000000" w:rsidP="001E72FE">
      <w:pPr>
        <w:spacing w:before="100" w:beforeAutospacing="1" w:after="100" w:afterAutospacing="1" w:line="240" w:lineRule="auto"/>
        <w:jc w:val="both"/>
      </w:pPr>
      <w:r>
        <w:lastRenderedPageBreak/>
        <w:t xml:space="preserve">Precipitation also interacts with temperature in ways that are not adequately captured by studies manipulating either variable alone. Reduced soil moisture combined with elevated temperature has been shown experimentally to reduce </w:t>
      </w:r>
      <w:proofErr w:type="spellStart"/>
      <w:r>
        <w:t>parasitoid</w:t>
      </w:r>
      <w:proofErr w:type="spellEnd"/>
      <w:r>
        <w:t xml:space="preserve"> effectiveness in an aphid host-</w:t>
      </w:r>
      <w:proofErr w:type="spellStart"/>
      <w:r>
        <w:t>parasitoid</w:t>
      </w:r>
      <w:proofErr w:type="spellEnd"/>
      <w:r>
        <w:t xml:space="preserve"> system substantially more than either stressor applied independently, indicating a synergistic rather than additive interaction between the two climatic drivers (Romo and </w:t>
      </w:r>
      <w:proofErr w:type="spellStart"/>
      <w:r>
        <w:t>Tylianakis</w:t>
      </w:r>
      <w:proofErr w:type="spellEnd"/>
      <w:r>
        <w:t>, 2013). At the same time, in a four-day factorial exposure of four functionally distinct natural enemy taxa to a combined future-climate scenario incorporating elevated carbon dioxide, higher temperature and reduced precipitation simultaneously, only entomopathogenic nematode survival was measurably affected, and predation success was not reduced in any of the tested species and was in fact enhanced for two of the four taxa (Doan et al., 2021). Considered together, these two experiments illustrate a recurring tension in the evidence base explored further in Section 6: some manipulative studies find pronounced climate-driven impairment of natural enemy function, while others of comparable rigour find natural enemies notably resilient over the short term, a discrepancy that appears to depend substantially on exposure duration, the specific natural enemy taxa examined, and whether the outcome measured is survival, phenology, or realised predation and parasitism rate.</w:t>
      </w:r>
    </w:p>
    <w:p w14:paraId="268969E4" w14:textId="77777777" w:rsidR="00D9312A" w:rsidRDefault="00000000" w:rsidP="001E72FE">
      <w:pPr>
        <w:pStyle w:val="Heading1"/>
        <w:spacing w:before="100" w:beforeAutospacing="1" w:after="100" w:afterAutospacing="1" w:line="240" w:lineRule="auto"/>
      </w:pPr>
      <w:r>
        <w:t>5. Range Expansion, Phenological Shifts and the Redistribution of Pest Risk</w:t>
      </w:r>
    </w:p>
    <w:p w14:paraId="00B026F9" w14:textId="77777777" w:rsidR="00D9312A" w:rsidRDefault="00000000" w:rsidP="001E72FE">
      <w:pPr>
        <w:spacing w:before="100" w:beforeAutospacing="1" w:after="100" w:afterAutospacing="1" w:line="240" w:lineRule="auto"/>
        <w:jc w:val="both"/>
      </w:pPr>
      <w:r>
        <w:t xml:space="preserve">Beyond its effects on development rate and voltinism within a fixed location, warming is also redistributing the geographic areas in which pest species can complete their life cycle, a process most readily quantified through species distribution modelling. These models combine known occurrence records with climatic variables to define a species' realised climatic niche under current conditions and then project that niche onto future climate scenarios, most commonly using correlative platforms such as CLIMEX or maximum-entropy algorithms, sometimes supplemented by mechanistic physiological models incorporating explicit developmental thresholds. A review of the species distribution modelling literature applied to pests, weeds and biological control agents found that such models have been constructed for several hundred species across some two hundred published studies, with insect pests the most frequently modelled taxon and correlative approaches considerably more common than mechanistic ones, a methodological pattern that itself carries implications for the reliability of projections discussed further in the Limitations section (as characterised in Meynard, </w:t>
      </w:r>
      <w:proofErr w:type="spellStart"/>
      <w:r>
        <w:t>Migeon</w:t>
      </w:r>
      <w:proofErr w:type="spellEnd"/>
      <w:r>
        <w:t xml:space="preserve"> and </w:t>
      </w:r>
      <w:proofErr w:type="spellStart"/>
      <w:r>
        <w:t>Navajas</w:t>
      </w:r>
      <w:proofErr w:type="spellEnd"/>
      <w:r>
        <w:t>, 2013).</w:t>
      </w:r>
    </w:p>
    <w:p w14:paraId="00D3DB74" w14:textId="77777777" w:rsidR="00D9312A" w:rsidRDefault="00000000" w:rsidP="001E72FE">
      <w:pPr>
        <w:spacing w:before="100" w:beforeAutospacing="1" w:after="100" w:afterAutospacing="1" w:line="240" w:lineRule="auto"/>
        <w:jc w:val="both"/>
      </w:pPr>
      <w:r>
        <w:t xml:space="preserve">Applying this approach to the tomato red spider mite, </w:t>
      </w:r>
      <w:proofErr w:type="spellStart"/>
      <w:r>
        <w:rPr>
          <w:i/>
          <w:iCs/>
        </w:rPr>
        <w:t>Tetranychus</w:t>
      </w:r>
      <w:proofErr w:type="spellEnd"/>
      <w:r>
        <w:rPr>
          <w:i/>
          <w:iCs/>
        </w:rPr>
        <w:t xml:space="preserve"> </w:t>
      </w:r>
      <w:proofErr w:type="spellStart"/>
      <w:r>
        <w:rPr>
          <w:i/>
          <w:iCs/>
        </w:rPr>
        <w:t>evansi</w:t>
      </w:r>
      <w:proofErr w:type="spellEnd"/>
      <w:r>
        <w:t xml:space="preserve">, a globally significant invasive agricultural pest, Meynard, </w:t>
      </w:r>
      <w:proofErr w:type="spellStart"/>
      <w:r>
        <w:t>Migeon</w:t>
      </w:r>
      <w:proofErr w:type="spellEnd"/>
      <w:r>
        <w:t xml:space="preserve"> and </w:t>
      </w:r>
      <w:proofErr w:type="spellStart"/>
      <w:r>
        <w:t>Navajas</w:t>
      </w:r>
      <w:proofErr w:type="spellEnd"/>
      <w:r>
        <w:t xml:space="preserve"> (2013) demonstrated that projected range shifts under identical climate scenarios varied substantially depending on which modelling algorithm was used and on which invasive genetic lineage's occurrence data were used to parameterise the model, with genetic lineage exerting a larger influence on projected range than the choice of statistical method. This finding carries a broader methodological implication: species distribution model outputs are frequently reported as if they represented a single, well-constrained projection, when in practice the underlying uncertainty attributable to model choice, occurrence data quality and within-species variation can be substantial, a point of direct relevance to the confidence that should be placed in range-shift projections discussed in the case studies of Section 7.</w:t>
      </w:r>
    </w:p>
    <w:p w14:paraId="5A969F12" w14:textId="77777777" w:rsidR="00D9312A" w:rsidRDefault="00000000" w:rsidP="001E72FE">
      <w:pPr>
        <w:spacing w:before="100" w:beforeAutospacing="1" w:after="100" w:afterAutospacing="1" w:line="240" w:lineRule="auto"/>
        <w:jc w:val="both"/>
      </w:pPr>
      <w:r>
        <w:t xml:space="preserve">Range shifts under climate change are not confined to poleward or upslope movement of pests already present within a region; they also encompass the establishment of pests in regions from which they were previously climatically excluded, a process closely linked to the biological invasions discussed in Section 8. Estimates compiling documented cost data across studies </w:t>
      </w:r>
      <w:r>
        <w:lastRenderedPageBreak/>
        <w:t>indicate that invasive insects, a category that substantially overlaps with agricultural pests undergoing climate-facilitated range expansion, already impose a minimum global economic cost of US$70.0 billion per year in goods and services losses, with associated human health costs exceeding a further US$6.9 billion annually, and the authors of that synthesis explicitly note that these figures are likely to represent a substantial underestimate given incomplete reporting, and that future costs are expected to rise further as climate change facilitates continued range expansion (Bradshaw et al., 2016). Table 2 summarises representative documented or projected climate-associated changes across several major pest taxa discussed in this and the following sections.</w:t>
      </w:r>
    </w:p>
    <w:p w14:paraId="5F616823" w14:textId="77777777" w:rsidR="00D9312A" w:rsidRDefault="00000000" w:rsidP="001E72FE">
      <w:pPr>
        <w:spacing w:before="100" w:beforeAutospacing="1" w:after="100" w:afterAutospacing="1" w:line="240" w:lineRule="auto"/>
      </w:pPr>
      <w:r>
        <w:rPr>
          <w:b/>
          <w:bCs/>
        </w:rPr>
        <w:t>Table 2. Representative climate-associated changes documented or projected across major agricultural and forest pest taxa.</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90"/>
        <w:gridCol w:w="1870"/>
        <w:gridCol w:w="4207"/>
        <w:gridCol w:w="1683"/>
      </w:tblGrid>
      <w:tr w:rsidR="00D9312A" w14:paraId="3E1F33CA" w14:textId="77777777">
        <w:trPr>
          <w:tblHeader/>
        </w:trPr>
        <w:tc>
          <w:tcPr>
            <w:tcW w:w="1590" w:type="dxa"/>
            <w:shd w:val="clear" w:color="auto" w:fill="D9D9D9"/>
            <w:tcMar>
              <w:top w:w="80" w:type="dxa"/>
              <w:left w:w="100" w:type="dxa"/>
              <w:bottom w:w="80" w:type="dxa"/>
              <w:right w:w="100" w:type="dxa"/>
            </w:tcMar>
          </w:tcPr>
          <w:p w14:paraId="36E4FC34" w14:textId="77777777" w:rsidR="00D9312A" w:rsidRDefault="00000000" w:rsidP="001E72FE">
            <w:pPr>
              <w:spacing w:before="100" w:beforeAutospacing="1" w:after="100" w:afterAutospacing="1" w:line="240" w:lineRule="auto"/>
            </w:pPr>
            <w:r>
              <w:rPr>
                <w:b/>
                <w:bCs/>
                <w:sz w:val="20"/>
                <w:szCs w:val="20"/>
              </w:rPr>
              <w:t>Pest taxon</w:t>
            </w:r>
          </w:p>
        </w:tc>
        <w:tc>
          <w:tcPr>
            <w:tcW w:w="1870" w:type="dxa"/>
            <w:shd w:val="clear" w:color="auto" w:fill="D9D9D9"/>
            <w:tcMar>
              <w:top w:w="80" w:type="dxa"/>
              <w:left w:w="100" w:type="dxa"/>
              <w:bottom w:w="80" w:type="dxa"/>
              <w:right w:w="100" w:type="dxa"/>
            </w:tcMar>
          </w:tcPr>
          <w:p w14:paraId="09AC298A" w14:textId="77777777" w:rsidR="00D9312A" w:rsidRDefault="00000000" w:rsidP="001E72FE">
            <w:pPr>
              <w:spacing w:before="100" w:beforeAutospacing="1" w:after="100" w:afterAutospacing="1" w:line="240" w:lineRule="auto"/>
            </w:pPr>
            <w:r>
              <w:rPr>
                <w:b/>
                <w:bCs/>
                <w:sz w:val="20"/>
                <w:szCs w:val="20"/>
              </w:rPr>
              <w:t>System affected</w:t>
            </w:r>
          </w:p>
        </w:tc>
        <w:tc>
          <w:tcPr>
            <w:tcW w:w="4208" w:type="dxa"/>
            <w:shd w:val="clear" w:color="auto" w:fill="D9D9D9"/>
            <w:tcMar>
              <w:top w:w="80" w:type="dxa"/>
              <w:left w:w="100" w:type="dxa"/>
              <w:bottom w:w="80" w:type="dxa"/>
              <w:right w:w="100" w:type="dxa"/>
            </w:tcMar>
          </w:tcPr>
          <w:p w14:paraId="2CC25406" w14:textId="77777777" w:rsidR="00D9312A" w:rsidRDefault="00000000" w:rsidP="001E72FE">
            <w:pPr>
              <w:spacing w:before="100" w:beforeAutospacing="1" w:after="100" w:afterAutospacing="1" w:line="240" w:lineRule="auto"/>
            </w:pPr>
            <w:r>
              <w:rPr>
                <w:b/>
                <w:bCs/>
                <w:sz w:val="20"/>
                <w:szCs w:val="20"/>
              </w:rPr>
              <w:t>Documented or projected climate-associated change</w:t>
            </w:r>
          </w:p>
        </w:tc>
        <w:tc>
          <w:tcPr>
            <w:tcW w:w="1683" w:type="dxa"/>
            <w:shd w:val="clear" w:color="auto" w:fill="D9D9D9"/>
            <w:tcMar>
              <w:top w:w="80" w:type="dxa"/>
              <w:left w:w="100" w:type="dxa"/>
              <w:bottom w:w="80" w:type="dxa"/>
              <w:right w:w="100" w:type="dxa"/>
            </w:tcMar>
          </w:tcPr>
          <w:p w14:paraId="361E2932" w14:textId="77777777" w:rsidR="00D9312A" w:rsidRDefault="00000000" w:rsidP="001E72FE">
            <w:pPr>
              <w:spacing w:before="100" w:beforeAutospacing="1" w:after="100" w:afterAutospacing="1" w:line="240" w:lineRule="auto"/>
            </w:pPr>
            <w:r>
              <w:rPr>
                <w:b/>
                <w:bCs/>
                <w:sz w:val="20"/>
                <w:szCs w:val="20"/>
              </w:rPr>
              <w:t>Supporting references</w:t>
            </w:r>
          </w:p>
        </w:tc>
      </w:tr>
      <w:tr w:rsidR="00D9312A" w14:paraId="3FA00570" w14:textId="77777777">
        <w:tc>
          <w:tcPr>
            <w:tcW w:w="1590" w:type="dxa"/>
            <w:tcMar>
              <w:top w:w="80" w:type="dxa"/>
              <w:left w:w="100" w:type="dxa"/>
              <w:bottom w:w="80" w:type="dxa"/>
              <w:right w:w="100" w:type="dxa"/>
            </w:tcMar>
          </w:tcPr>
          <w:p w14:paraId="4E1290F1" w14:textId="77777777" w:rsidR="00D9312A" w:rsidRDefault="00000000" w:rsidP="001E72FE">
            <w:pPr>
              <w:spacing w:before="100" w:beforeAutospacing="1" w:after="100" w:afterAutospacing="1" w:line="240" w:lineRule="auto"/>
            </w:pPr>
            <w:r>
              <w:rPr>
                <w:sz w:val="20"/>
                <w:szCs w:val="20"/>
              </w:rPr>
              <w:t xml:space="preserve">Fall armyworm, </w:t>
            </w:r>
            <w:r>
              <w:rPr>
                <w:i/>
                <w:iCs/>
                <w:sz w:val="20"/>
                <w:szCs w:val="20"/>
              </w:rPr>
              <w:t xml:space="preserve">Spodoptera </w:t>
            </w:r>
            <w:proofErr w:type="spellStart"/>
            <w:r>
              <w:rPr>
                <w:i/>
                <w:iCs/>
                <w:sz w:val="20"/>
                <w:szCs w:val="20"/>
              </w:rPr>
              <w:t>frugiperda</w:t>
            </w:r>
            <w:proofErr w:type="spellEnd"/>
          </w:p>
        </w:tc>
        <w:tc>
          <w:tcPr>
            <w:tcW w:w="1870" w:type="dxa"/>
            <w:tcMar>
              <w:top w:w="80" w:type="dxa"/>
              <w:left w:w="100" w:type="dxa"/>
              <w:bottom w:w="80" w:type="dxa"/>
              <w:right w:w="100" w:type="dxa"/>
            </w:tcMar>
          </w:tcPr>
          <w:p w14:paraId="394F4F1C" w14:textId="77777777" w:rsidR="00D9312A" w:rsidRDefault="00000000" w:rsidP="001E72FE">
            <w:pPr>
              <w:spacing w:before="100" w:beforeAutospacing="1" w:after="100" w:afterAutospacing="1" w:line="240" w:lineRule="auto"/>
            </w:pPr>
            <w:r>
              <w:rPr>
                <w:sz w:val="20"/>
                <w:szCs w:val="20"/>
              </w:rPr>
              <w:t>Maize and other cereals; global, expanding from the Americas</w:t>
            </w:r>
          </w:p>
        </w:tc>
        <w:tc>
          <w:tcPr>
            <w:tcW w:w="4208" w:type="dxa"/>
            <w:tcMar>
              <w:top w:w="80" w:type="dxa"/>
              <w:left w:w="100" w:type="dxa"/>
              <w:bottom w:w="80" w:type="dxa"/>
              <w:right w:w="100" w:type="dxa"/>
            </w:tcMar>
          </w:tcPr>
          <w:p w14:paraId="329AABAE" w14:textId="77777777" w:rsidR="00D9312A" w:rsidRDefault="00000000" w:rsidP="001E72FE">
            <w:pPr>
              <w:spacing w:before="100" w:beforeAutospacing="1" w:after="100" w:afterAutospacing="1" w:line="240" w:lineRule="auto"/>
            </w:pPr>
            <w:r>
              <w:rPr>
                <w:sz w:val="20"/>
                <w:szCs w:val="20"/>
              </w:rPr>
              <w:t>Bioclimatic suitability projected to increase by 12–44% under future climate scenarios; lacks a diapause mechanism, so temperature strongly regulates population dynamics year-round.</w:t>
            </w:r>
          </w:p>
        </w:tc>
        <w:tc>
          <w:tcPr>
            <w:tcW w:w="1683" w:type="dxa"/>
            <w:tcMar>
              <w:top w:w="80" w:type="dxa"/>
              <w:left w:w="100" w:type="dxa"/>
              <w:bottom w:w="80" w:type="dxa"/>
              <w:right w:w="100" w:type="dxa"/>
            </w:tcMar>
          </w:tcPr>
          <w:p w14:paraId="72B90920" w14:textId="77777777" w:rsidR="00D9312A" w:rsidRDefault="00000000" w:rsidP="001E72FE">
            <w:pPr>
              <w:spacing w:before="100" w:beforeAutospacing="1" w:after="100" w:afterAutospacing="1" w:line="240" w:lineRule="auto"/>
            </w:pPr>
            <w:r>
              <w:rPr>
                <w:i/>
                <w:iCs/>
                <w:sz w:val="20"/>
                <w:szCs w:val="20"/>
              </w:rPr>
              <w:t>Zacarias, 2020; Yan et al., 2022</w:t>
            </w:r>
          </w:p>
        </w:tc>
      </w:tr>
      <w:tr w:rsidR="00D9312A" w14:paraId="7B752AA3" w14:textId="77777777">
        <w:tc>
          <w:tcPr>
            <w:tcW w:w="1590" w:type="dxa"/>
            <w:tcMar>
              <w:top w:w="80" w:type="dxa"/>
              <w:left w:w="100" w:type="dxa"/>
              <w:bottom w:w="80" w:type="dxa"/>
              <w:right w:w="100" w:type="dxa"/>
            </w:tcMar>
          </w:tcPr>
          <w:p w14:paraId="78FD7A6B" w14:textId="77777777" w:rsidR="00D9312A" w:rsidRDefault="00000000" w:rsidP="001E72FE">
            <w:pPr>
              <w:spacing w:before="100" w:beforeAutospacing="1" w:after="100" w:afterAutospacing="1" w:line="240" w:lineRule="auto"/>
            </w:pPr>
            <w:r>
              <w:rPr>
                <w:sz w:val="20"/>
                <w:szCs w:val="20"/>
              </w:rPr>
              <w:t xml:space="preserve">Bark beetles, e.g. </w:t>
            </w:r>
            <w:r>
              <w:rPr>
                <w:i/>
                <w:iCs/>
                <w:sz w:val="20"/>
                <w:szCs w:val="20"/>
              </w:rPr>
              <w:t xml:space="preserve">Ips </w:t>
            </w:r>
            <w:proofErr w:type="spellStart"/>
            <w:r>
              <w:rPr>
                <w:i/>
                <w:iCs/>
                <w:sz w:val="20"/>
                <w:szCs w:val="20"/>
              </w:rPr>
              <w:t>typographus</w:t>
            </w:r>
            <w:proofErr w:type="spellEnd"/>
            <w:r>
              <w:rPr>
                <w:sz w:val="20"/>
                <w:szCs w:val="20"/>
              </w:rPr>
              <w:t xml:space="preserve">, </w:t>
            </w:r>
            <w:r>
              <w:rPr>
                <w:i/>
                <w:iCs/>
                <w:sz w:val="20"/>
                <w:szCs w:val="20"/>
              </w:rPr>
              <w:t>Dendroctonus</w:t>
            </w:r>
            <w:r>
              <w:rPr>
                <w:sz w:val="20"/>
                <w:szCs w:val="20"/>
              </w:rPr>
              <w:t xml:space="preserve"> spp.</w:t>
            </w:r>
          </w:p>
        </w:tc>
        <w:tc>
          <w:tcPr>
            <w:tcW w:w="1870" w:type="dxa"/>
            <w:tcMar>
              <w:top w:w="80" w:type="dxa"/>
              <w:left w:w="100" w:type="dxa"/>
              <w:bottom w:w="80" w:type="dxa"/>
              <w:right w:w="100" w:type="dxa"/>
            </w:tcMar>
          </w:tcPr>
          <w:p w14:paraId="2F4E47D1" w14:textId="77777777" w:rsidR="00D9312A" w:rsidRDefault="00000000" w:rsidP="001E72FE">
            <w:pPr>
              <w:spacing w:before="100" w:beforeAutospacing="1" w:after="100" w:afterAutospacing="1" w:line="240" w:lineRule="auto"/>
            </w:pPr>
            <w:r>
              <w:rPr>
                <w:sz w:val="20"/>
                <w:szCs w:val="20"/>
              </w:rPr>
              <w:t>Coniferous forests, Europe and North America</w:t>
            </w:r>
          </w:p>
        </w:tc>
        <w:tc>
          <w:tcPr>
            <w:tcW w:w="4208" w:type="dxa"/>
            <w:tcMar>
              <w:top w:w="80" w:type="dxa"/>
              <w:left w:w="100" w:type="dxa"/>
              <w:bottom w:w="80" w:type="dxa"/>
              <w:right w:w="100" w:type="dxa"/>
            </w:tcMar>
          </w:tcPr>
          <w:p w14:paraId="6925FAF5" w14:textId="77777777" w:rsidR="00D9312A" w:rsidRDefault="00000000" w:rsidP="001E72FE">
            <w:pPr>
              <w:spacing w:before="100" w:beforeAutospacing="1" w:after="100" w:afterAutospacing="1" w:line="240" w:lineRule="auto"/>
            </w:pPr>
            <w:r>
              <w:rPr>
                <w:sz w:val="20"/>
                <w:szCs w:val="20"/>
              </w:rPr>
              <w:t>Range and outbreak frequency expanding to higher latitudes and elevations; milder winters raise overwintering survival and drought-stressed hosts increase susceptibility.</w:t>
            </w:r>
          </w:p>
        </w:tc>
        <w:tc>
          <w:tcPr>
            <w:tcW w:w="1683" w:type="dxa"/>
            <w:tcMar>
              <w:top w:w="80" w:type="dxa"/>
              <w:left w:w="100" w:type="dxa"/>
              <w:bottom w:w="80" w:type="dxa"/>
              <w:right w:w="100" w:type="dxa"/>
            </w:tcMar>
          </w:tcPr>
          <w:p w14:paraId="711987A1" w14:textId="77777777" w:rsidR="00D9312A" w:rsidRDefault="00000000" w:rsidP="001E72FE">
            <w:pPr>
              <w:spacing w:before="100" w:beforeAutospacing="1" w:after="100" w:afterAutospacing="1" w:line="240" w:lineRule="auto"/>
            </w:pPr>
            <w:r>
              <w:rPr>
                <w:i/>
                <w:iCs/>
                <w:sz w:val="20"/>
                <w:szCs w:val="20"/>
              </w:rPr>
              <w:t>Jaime, Batllori and Lloret, 2024</w:t>
            </w:r>
          </w:p>
        </w:tc>
      </w:tr>
      <w:tr w:rsidR="00D9312A" w14:paraId="6C8EE2BF" w14:textId="77777777">
        <w:tc>
          <w:tcPr>
            <w:tcW w:w="1590" w:type="dxa"/>
            <w:tcMar>
              <w:top w:w="80" w:type="dxa"/>
              <w:left w:w="100" w:type="dxa"/>
              <w:bottom w:w="80" w:type="dxa"/>
              <w:right w:w="100" w:type="dxa"/>
            </w:tcMar>
          </w:tcPr>
          <w:p w14:paraId="58F1B8DB" w14:textId="77777777" w:rsidR="00D9312A" w:rsidRDefault="00000000" w:rsidP="001E72FE">
            <w:pPr>
              <w:spacing w:before="100" w:beforeAutospacing="1" w:after="100" w:afterAutospacing="1" w:line="240" w:lineRule="auto"/>
            </w:pPr>
            <w:r>
              <w:rPr>
                <w:sz w:val="20"/>
                <w:szCs w:val="20"/>
              </w:rPr>
              <w:t xml:space="preserve">Cereal aphids, e.g. </w:t>
            </w:r>
            <w:proofErr w:type="spellStart"/>
            <w:r>
              <w:rPr>
                <w:i/>
                <w:iCs/>
                <w:sz w:val="20"/>
                <w:szCs w:val="20"/>
              </w:rPr>
              <w:t>Sitobion</w:t>
            </w:r>
            <w:proofErr w:type="spellEnd"/>
            <w:r>
              <w:rPr>
                <w:i/>
                <w:iCs/>
                <w:sz w:val="20"/>
                <w:szCs w:val="20"/>
              </w:rPr>
              <w:t xml:space="preserve"> </w:t>
            </w:r>
            <w:proofErr w:type="spellStart"/>
            <w:r>
              <w:rPr>
                <w:i/>
                <w:iCs/>
                <w:sz w:val="20"/>
                <w:szCs w:val="20"/>
              </w:rPr>
              <w:t>avenae</w:t>
            </w:r>
            <w:proofErr w:type="spellEnd"/>
          </w:p>
        </w:tc>
        <w:tc>
          <w:tcPr>
            <w:tcW w:w="1870" w:type="dxa"/>
            <w:tcMar>
              <w:top w:w="80" w:type="dxa"/>
              <w:left w:w="100" w:type="dxa"/>
              <w:bottom w:w="80" w:type="dxa"/>
              <w:right w:w="100" w:type="dxa"/>
            </w:tcMar>
          </w:tcPr>
          <w:p w14:paraId="4C4D9D53" w14:textId="77777777" w:rsidR="00D9312A" w:rsidRDefault="00000000" w:rsidP="001E72FE">
            <w:pPr>
              <w:spacing w:before="100" w:beforeAutospacing="1" w:after="100" w:afterAutospacing="1" w:line="240" w:lineRule="auto"/>
            </w:pPr>
            <w:r>
              <w:rPr>
                <w:sz w:val="20"/>
                <w:szCs w:val="20"/>
              </w:rPr>
              <w:t>Wheat and other small-grain cereals, temperate systems</w:t>
            </w:r>
          </w:p>
        </w:tc>
        <w:tc>
          <w:tcPr>
            <w:tcW w:w="4208" w:type="dxa"/>
            <w:tcMar>
              <w:top w:w="80" w:type="dxa"/>
              <w:left w:w="100" w:type="dxa"/>
              <w:bottom w:w="80" w:type="dxa"/>
              <w:right w:w="100" w:type="dxa"/>
            </w:tcMar>
          </w:tcPr>
          <w:p w14:paraId="589944FB" w14:textId="77777777" w:rsidR="00D9312A" w:rsidRDefault="00000000" w:rsidP="001E72FE">
            <w:pPr>
              <w:spacing w:before="100" w:beforeAutospacing="1" w:after="100" w:afterAutospacing="1" w:line="240" w:lineRule="auto"/>
            </w:pPr>
            <w:r>
              <w:rPr>
                <w:sz w:val="20"/>
                <w:szCs w:val="20"/>
              </w:rPr>
              <w:t>Experimental warming increases aphid abundance and reproductive rate via increased host biomass (bottom-up), while reducing parasitism rate (weakened top-down control).</w:t>
            </w:r>
          </w:p>
        </w:tc>
        <w:tc>
          <w:tcPr>
            <w:tcW w:w="1683" w:type="dxa"/>
            <w:tcMar>
              <w:top w:w="80" w:type="dxa"/>
              <w:left w:w="100" w:type="dxa"/>
              <w:bottom w:w="80" w:type="dxa"/>
              <w:right w:w="100" w:type="dxa"/>
            </w:tcMar>
          </w:tcPr>
          <w:p w14:paraId="0AF82422" w14:textId="77777777" w:rsidR="00D9312A" w:rsidRDefault="00000000" w:rsidP="001E72FE">
            <w:pPr>
              <w:spacing w:before="100" w:beforeAutospacing="1" w:after="100" w:afterAutospacing="1" w:line="240" w:lineRule="auto"/>
            </w:pPr>
            <w:r>
              <w:rPr>
                <w:i/>
                <w:iCs/>
                <w:sz w:val="20"/>
                <w:szCs w:val="20"/>
              </w:rPr>
              <w:t>Han et al., 2019</w:t>
            </w:r>
          </w:p>
        </w:tc>
      </w:tr>
      <w:tr w:rsidR="00D9312A" w14:paraId="4AF95DD3" w14:textId="77777777">
        <w:tc>
          <w:tcPr>
            <w:tcW w:w="1590" w:type="dxa"/>
            <w:tcMar>
              <w:top w:w="80" w:type="dxa"/>
              <w:left w:w="100" w:type="dxa"/>
              <w:bottom w:w="80" w:type="dxa"/>
              <w:right w:w="100" w:type="dxa"/>
            </w:tcMar>
          </w:tcPr>
          <w:p w14:paraId="409DB4A5" w14:textId="77777777" w:rsidR="00D9312A" w:rsidRDefault="00000000" w:rsidP="001E72FE">
            <w:pPr>
              <w:spacing w:before="100" w:beforeAutospacing="1" w:after="100" w:afterAutospacing="1" w:line="240" w:lineRule="auto"/>
            </w:pPr>
            <w:r>
              <w:rPr>
                <w:sz w:val="20"/>
                <w:szCs w:val="20"/>
              </w:rPr>
              <w:t xml:space="preserve">Desert locust, </w:t>
            </w:r>
            <w:r>
              <w:rPr>
                <w:i/>
                <w:iCs/>
                <w:sz w:val="20"/>
                <w:szCs w:val="20"/>
              </w:rPr>
              <w:t>Schistocerca gregaria</w:t>
            </w:r>
          </w:p>
        </w:tc>
        <w:tc>
          <w:tcPr>
            <w:tcW w:w="1870" w:type="dxa"/>
            <w:tcMar>
              <w:top w:w="80" w:type="dxa"/>
              <w:left w:w="100" w:type="dxa"/>
              <w:bottom w:w="80" w:type="dxa"/>
              <w:right w:w="100" w:type="dxa"/>
            </w:tcMar>
          </w:tcPr>
          <w:p w14:paraId="7D27F022" w14:textId="77777777" w:rsidR="00D9312A" w:rsidRDefault="00000000" w:rsidP="001E72FE">
            <w:pPr>
              <w:spacing w:before="100" w:beforeAutospacing="1" w:after="100" w:afterAutospacing="1" w:line="240" w:lineRule="auto"/>
            </w:pPr>
            <w:r>
              <w:rPr>
                <w:sz w:val="20"/>
                <w:szCs w:val="20"/>
              </w:rPr>
              <w:t>Rangeland and cropland, Sahel to South Asia</w:t>
            </w:r>
          </w:p>
        </w:tc>
        <w:tc>
          <w:tcPr>
            <w:tcW w:w="4208" w:type="dxa"/>
            <w:tcMar>
              <w:top w:w="80" w:type="dxa"/>
              <w:left w:w="100" w:type="dxa"/>
              <w:bottom w:w="80" w:type="dxa"/>
              <w:right w:w="100" w:type="dxa"/>
            </w:tcMar>
          </w:tcPr>
          <w:p w14:paraId="00345286" w14:textId="77777777" w:rsidR="00D9312A" w:rsidRDefault="00000000" w:rsidP="001E72FE">
            <w:pPr>
              <w:spacing w:before="100" w:beforeAutospacing="1" w:after="100" w:afterAutospacing="1" w:line="240" w:lineRule="auto"/>
            </w:pPr>
            <w:r>
              <w:rPr>
                <w:sz w:val="20"/>
                <w:szCs w:val="20"/>
              </w:rPr>
              <w:t>Outbreaks linked to anomalously heavy rainfall associated with a positive Indian Ocean Dipole and increased cyclone frequency, itself linked to ocean warming.</w:t>
            </w:r>
          </w:p>
        </w:tc>
        <w:tc>
          <w:tcPr>
            <w:tcW w:w="1683" w:type="dxa"/>
            <w:tcMar>
              <w:top w:w="80" w:type="dxa"/>
              <w:left w:w="100" w:type="dxa"/>
              <w:bottom w:w="80" w:type="dxa"/>
              <w:right w:w="100" w:type="dxa"/>
            </w:tcMar>
          </w:tcPr>
          <w:p w14:paraId="724E900E" w14:textId="77777777" w:rsidR="00D9312A" w:rsidRDefault="00000000" w:rsidP="001E72FE">
            <w:pPr>
              <w:spacing w:before="100" w:beforeAutospacing="1" w:after="100" w:afterAutospacing="1" w:line="240" w:lineRule="auto"/>
            </w:pPr>
            <w:r>
              <w:rPr>
                <w:i/>
                <w:iCs/>
                <w:sz w:val="20"/>
                <w:szCs w:val="20"/>
              </w:rPr>
              <w:t>Food and Agriculture Organization, 2026</w:t>
            </w:r>
          </w:p>
        </w:tc>
      </w:tr>
      <w:tr w:rsidR="00D9312A" w14:paraId="7D67308B" w14:textId="77777777">
        <w:tc>
          <w:tcPr>
            <w:tcW w:w="1590" w:type="dxa"/>
            <w:tcMar>
              <w:top w:w="80" w:type="dxa"/>
              <w:left w:w="100" w:type="dxa"/>
              <w:bottom w:w="80" w:type="dxa"/>
              <w:right w:w="100" w:type="dxa"/>
            </w:tcMar>
          </w:tcPr>
          <w:p w14:paraId="5B914FBA" w14:textId="77777777" w:rsidR="00D9312A" w:rsidRDefault="00000000" w:rsidP="001E72FE">
            <w:pPr>
              <w:spacing w:before="100" w:beforeAutospacing="1" w:after="100" w:afterAutospacing="1" w:line="240" w:lineRule="auto"/>
            </w:pPr>
            <w:r>
              <w:rPr>
                <w:sz w:val="20"/>
                <w:szCs w:val="20"/>
              </w:rPr>
              <w:t xml:space="preserve">Tomato red spider mite, </w:t>
            </w:r>
            <w:proofErr w:type="spellStart"/>
            <w:r>
              <w:rPr>
                <w:i/>
                <w:iCs/>
                <w:sz w:val="20"/>
                <w:szCs w:val="20"/>
              </w:rPr>
              <w:t>Tetranychus</w:t>
            </w:r>
            <w:proofErr w:type="spellEnd"/>
            <w:r>
              <w:rPr>
                <w:i/>
                <w:iCs/>
                <w:sz w:val="20"/>
                <w:szCs w:val="20"/>
              </w:rPr>
              <w:t xml:space="preserve"> </w:t>
            </w:r>
            <w:proofErr w:type="spellStart"/>
            <w:r>
              <w:rPr>
                <w:i/>
                <w:iCs/>
                <w:sz w:val="20"/>
                <w:szCs w:val="20"/>
              </w:rPr>
              <w:t>evansi</w:t>
            </w:r>
            <w:proofErr w:type="spellEnd"/>
          </w:p>
        </w:tc>
        <w:tc>
          <w:tcPr>
            <w:tcW w:w="1870" w:type="dxa"/>
            <w:tcMar>
              <w:top w:w="80" w:type="dxa"/>
              <w:left w:w="100" w:type="dxa"/>
              <w:bottom w:w="80" w:type="dxa"/>
              <w:right w:w="100" w:type="dxa"/>
            </w:tcMar>
          </w:tcPr>
          <w:p w14:paraId="70AC77DF" w14:textId="77777777" w:rsidR="00D9312A" w:rsidRDefault="00000000" w:rsidP="001E72FE">
            <w:pPr>
              <w:spacing w:before="100" w:beforeAutospacing="1" w:after="100" w:afterAutospacing="1" w:line="240" w:lineRule="auto"/>
            </w:pPr>
            <w:r>
              <w:rPr>
                <w:sz w:val="20"/>
                <w:szCs w:val="20"/>
              </w:rPr>
              <w:t>Solanaceous crops, globally invasive</w:t>
            </w:r>
          </w:p>
        </w:tc>
        <w:tc>
          <w:tcPr>
            <w:tcW w:w="4208" w:type="dxa"/>
            <w:tcMar>
              <w:top w:w="80" w:type="dxa"/>
              <w:left w:w="100" w:type="dxa"/>
              <w:bottom w:w="80" w:type="dxa"/>
              <w:right w:w="100" w:type="dxa"/>
            </w:tcMar>
          </w:tcPr>
          <w:p w14:paraId="237F9608" w14:textId="77777777" w:rsidR="00D9312A" w:rsidRDefault="00000000" w:rsidP="001E72FE">
            <w:pPr>
              <w:spacing w:before="100" w:beforeAutospacing="1" w:after="100" w:afterAutospacing="1" w:line="240" w:lineRule="auto"/>
            </w:pPr>
            <w:r>
              <w:rPr>
                <w:sz w:val="20"/>
                <w:szCs w:val="20"/>
              </w:rPr>
              <w:t>Projected range shift highly sensitive to invasive lineage and modelling method, illustrating substantial projection uncertainty even for well-studied invasive pests.</w:t>
            </w:r>
          </w:p>
        </w:tc>
        <w:tc>
          <w:tcPr>
            <w:tcW w:w="1683" w:type="dxa"/>
            <w:tcMar>
              <w:top w:w="80" w:type="dxa"/>
              <w:left w:w="100" w:type="dxa"/>
              <w:bottom w:w="80" w:type="dxa"/>
              <w:right w:w="100" w:type="dxa"/>
            </w:tcMar>
          </w:tcPr>
          <w:p w14:paraId="70AB79A9" w14:textId="77777777" w:rsidR="00D9312A" w:rsidRDefault="00000000" w:rsidP="001E72FE">
            <w:pPr>
              <w:spacing w:before="100" w:beforeAutospacing="1" w:after="100" w:afterAutospacing="1" w:line="240" w:lineRule="auto"/>
            </w:pPr>
            <w:r>
              <w:rPr>
                <w:i/>
                <w:iCs/>
                <w:sz w:val="20"/>
                <w:szCs w:val="20"/>
              </w:rPr>
              <w:t xml:space="preserve">Meynard, </w:t>
            </w:r>
            <w:proofErr w:type="spellStart"/>
            <w:r>
              <w:rPr>
                <w:i/>
                <w:iCs/>
                <w:sz w:val="20"/>
                <w:szCs w:val="20"/>
              </w:rPr>
              <w:t>Migeon</w:t>
            </w:r>
            <w:proofErr w:type="spellEnd"/>
            <w:r>
              <w:rPr>
                <w:i/>
                <w:iCs/>
                <w:sz w:val="20"/>
                <w:szCs w:val="20"/>
              </w:rPr>
              <w:t xml:space="preserve"> and </w:t>
            </w:r>
            <w:proofErr w:type="spellStart"/>
            <w:r>
              <w:rPr>
                <w:i/>
                <w:iCs/>
                <w:sz w:val="20"/>
                <w:szCs w:val="20"/>
              </w:rPr>
              <w:t>Navajas</w:t>
            </w:r>
            <w:proofErr w:type="spellEnd"/>
            <w:r>
              <w:rPr>
                <w:i/>
                <w:iCs/>
                <w:sz w:val="20"/>
                <w:szCs w:val="20"/>
              </w:rPr>
              <w:t>, 2013</w:t>
            </w:r>
          </w:p>
        </w:tc>
      </w:tr>
      <w:tr w:rsidR="00D9312A" w14:paraId="36E5EA62" w14:textId="77777777">
        <w:tc>
          <w:tcPr>
            <w:tcW w:w="1590" w:type="dxa"/>
            <w:tcMar>
              <w:top w:w="80" w:type="dxa"/>
              <w:left w:w="100" w:type="dxa"/>
              <w:bottom w:w="80" w:type="dxa"/>
              <w:right w:w="100" w:type="dxa"/>
            </w:tcMar>
          </w:tcPr>
          <w:p w14:paraId="7ABE30EA" w14:textId="77777777" w:rsidR="00D9312A" w:rsidRDefault="00000000" w:rsidP="001E72FE">
            <w:pPr>
              <w:spacing w:before="100" w:beforeAutospacing="1" w:after="100" w:afterAutospacing="1" w:line="240" w:lineRule="auto"/>
            </w:pPr>
            <w:r>
              <w:rPr>
                <w:sz w:val="20"/>
                <w:szCs w:val="20"/>
              </w:rPr>
              <w:t>Invasive insects generally</w:t>
            </w:r>
          </w:p>
        </w:tc>
        <w:tc>
          <w:tcPr>
            <w:tcW w:w="1870" w:type="dxa"/>
            <w:tcMar>
              <w:top w:w="80" w:type="dxa"/>
              <w:left w:w="100" w:type="dxa"/>
              <w:bottom w:w="80" w:type="dxa"/>
              <w:right w:w="100" w:type="dxa"/>
            </w:tcMar>
          </w:tcPr>
          <w:p w14:paraId="6D677AEA" w14:textId="77777777" w:rsidR="00D9312A" w:rsidRDefault="00000000" w:rsidP="001E72FE">
            <w:pPr>
              <w:spacing w:before="100" w:beforeAutospacing="1" w:after="100" w:afterAutospacing="1" w:line="240" w:lineRule="auto"/>
            </w:pPr>
            <w:r>
              <w:rPr>
                <w:sz w:val="20"/>
                <w:szCs w:val="20"/>
              </w:rPr>
              <w:t>Multiple agricultural, forestry and health sectors, global</w:t>
            </w:r>
          </w:p>
        </w:tc>
        <w:tc>
          <w:tcPr>
            <w:tcW w:w="4208" w:type="dxa"/>
            <w:tcMar>
              <w:top w:w="80" w:type="dxa"/>
              <w:left w:w="100" w:type="dxa"/>
              <w:bottom w:w="80" w:type="dxa"/>
              <w:right w:w="100" w:type="dxa"/>
            </w:tcMar>
          </w:tcPr>
          <w:p w14:paraId="35E3513A" w14:textId="77777777" w:rsidR="00D9312A" w:rsidRDefault="00000000" w:rsidP="001E72FE">
            <w:pPr>
              <w:spacing w:before="100" w:beforeAutospacing="1" w:after="100" w:afterAutospacing="1" w:line="240" w:lineRule="auto"/>
            </w:pPr>
            <w:r>
              <w:rPr>
                <w:sz w:val="20"/>
                <w:szCs w:val="20"/>
              </w:rPr>
              <w:t>Minimum documented global cost of US$70.0 billion per year (goods and services) plus US$6.9 billion per year (health), with costs projected to rise as climate change facilitates further range expansion.</w:t>
            </w:r>
          </w:p>
        </w:tc>
        <w:tc>
          <w:tcPr>
            <w:tcW w:w="1683" w:type="dxa"/>
            <w:tcMar>
              <w:top w:w="80" w:type="dxa"/>
              <w:left w:w="100" w:type="dxa"/>
              <w:bottom w:w="80" w:type="dxa"/>
              <w:right w:w="100" w:type="dxa"/>
            </w:tcMar>
          </w:tcPr>
          <w:p w14:paraId="6CAFFF66" w14:textId="77777777" w:rsidR="00D9312A" w:rsidRDefault="00000000" w:rsidP="001E72FE">
            <w:pPr>
              <w:spacing w:before="100" w:beforeAutospacing="1" w:after="100" w:afterAutospacing="1" w:line="240" w:lineRule="auto"/>
            </w:pPr>
            <w:r>
              <w:rPr>
                <w:i/>
                <w:iCs/>
                <w:sz w:val="20"/>
                <w:szCs w:val="20"/>
              </w:rPr>
              <w:t>Bradshaw et al., 2016</w:t>
            </w:r>
          </w:p>
        </w:tc>
      </w:tr>
    </w:tbl>
    <w:p w14:paraId="2D5D9508" w14:textId="77777777" w:rsidR="00D9312A" w:rsidRDefault="00000000" w:rsidP="001E72FE">
      <w:pPr>
        <w:spacing w:before="100" w:beforeAutospacing="1" w:after="100" w:afterAutospacing="1" w:line="240" w:lineRule="auto"/>
      </w:pPr>
      <w:r>
        <w:rPr>
          <w:i/>
          <w:iCs/>
          <w:sz w:val="20"/>
          <w:szCs w:val="20"/>
        </w:rPr>
        <w:t>Note. Figures and projections summarised in this table are drawn from the cited primary sources; ranges and estimates reflect the specific scenarios, time horizons and methods used in each source and are not directly comparable across rows.</w:t>
      </w:r>
    </w:p>
    <w:p w14:paraId="7A2B2F2A" w14:textId="77777777" w:rsidR="00D9312A" w:rsidRDefault="00000000" w:rsidP="001E72FE">
      <w:pPr>
        <w:pStyle w:val="Heading1"/>
        <w:spacing w:before="100" w:beforeAutospacing="1" w:after="100" w:afterAutospacing="1" w:line="240" w:lineRule="auto"/>
      </w:pPr>
      <w:r>
        <w:t xml:space="preserve">6. Disruption of </w:t>
      </w:r>
      <w:proofErr w:type="spellStart"/>
      <w:r>
        <w:t>Tritrophic</w:t>
      </w:r>
      <w:proofErr w:type="spellEnd"/>
      <w:r>
        <w:t xml:space="preserve"> Interactions: Natural Enemies Under Climate Change</w:t>
      </w:r>
    </w:p>
    <w:p w14:paraId="65BD6799" w14:textId="77777777" w:rsidR="00D9312A" w:rsidRDefault="00000000" w:rsidP="001E72FE">
      <w:pPr>
        <w:spacing w:before="100" w:beforeAutospacing="1" w:after="100" w:afterAutospacing="1" w:line="240" w:lineRule="auto"/>
        <w:jc w:val="both"/>
      </w:pPr>
      <w:r>
        <w:t xml:space="preserve">If the effects of climate change on insect pests were considered in isolation, the evidence reviewed in Sections 3 to 5 would support a fairly consistent expectation of increasing pest </w:t>
      </w:r>
      <w:r>
        <w:lastRenderedPageBreak/>
        <w:t xml:space="preserve">pressure. That expectation is substantially complicated once the third trophic level, comprising </w:t>
      </w:r>
      <w:proofErr w:type="spellStart"/>
      <w:r>
        <w:t>parasitoids</w:t>
      </w:r>
      <w:proofErr w:type="spellEnd"/>
      <w:r>
        <w:t xml:space="preserve">, predators and entomopathogens, is brought into the analysis, because natural enemies are exposed to the same climatic drivers and do not respond identically to their hosts or prey. A repeated and mechanistically well-supported finding across the reviewed literature is that </w:t>
      </w:r>
      <w:proofErr w:type="spellStart"/>
      <w:r>
        <w:t>parasitoid</w:t>
      </w:r>
      <w:proofErr w:type="spellEnd"/>
      <w:r>
        <w:t xml:space="preserve"> wasps tend to have a lower optimum developmental temperature than the herbivorous hosts they attack, such that warming that remains within a host's beneficial thermal range may already exceed a </w:t>
      </w:r>
      <w:proofErr w:type="spellStart"/>
      <w:r>
        <w:t>parasitoid's</w:t>
      </w:r>
      <w:proofErr w:type="spellEnd"/>
      <w:r>
        <w:t xml:space="preserve"> optimum, producing asymmetric, host-favouring outcomes even where both organisms are exposed to an identical thermal environment (as synthesised in Castex et al., 2018, and in Ramos Aguila et al., 2023). This asymmetry provides a coherent physiological explanation for why parasitism rates decline under experimental warming even in systems where the host population itself is expanding, as documented directly in a two-year open-field warming experiment on the cereal aphid </w:t>
      </w:r>
      <w:proofErr w:type="spellStart"/>
      <w:r>
        <w:rPr>
          <w:i/>
          <w:iCs/>
        </w:rPr>
        <w:t>Sitobion</w:t>
      </w:r>
      <w:proofErr w:type="spellEnd"/>
      <w:r>
        <w:rPr>
          <w:i/>
          <w:iCs/>
        </w:rPr>
        <w:t xml:space="preserve"> </w:t>
      </w:r>
      <w:proofErr w:type="spellStart"/>
      <w:r>
        <w:rPr>
          <w:i/>
          <w:iCs/>
        </w:rPr>
        <w:t>avenae</w:t>
      </w:r>
      <w:proofErr w:type="spellEnd"/>
      <w:r>
        <w:t xml:space="preserve"> and its associated </w:t>
      </w:r>
      <w:proofErr w:type="spellStart"/>
      <w:r>
        <w:t>parasitoids</w:t>
      </w:r>
      <w:proofErr w:type="spellEnd"/>
      <w:r>
        <w:t>, in which warming increased wheat biomass and aphid reproductive rate while simultaneously reducing the rate of parasitism, indicating a combined strengthening of bottom-up forcing and weakening of top-down forcing acting in the same, pest-favouring direction (Han et al., 2019). A parallel conceptual review of agricultural landscapes reaches a consistent conclusion from a different starting point, arguing that climate change acts simultaneously as a driver of bottom-up factors, through altered host-plant quality and availability, and of top-down factors, through altered natural enemy performance, and that the fate of host-</w:t>
      </w:r>
      <w:proofErr w:type="spellStart"/>
      <w:r>
        <w:t>parasitoid</w:t>
      </w:r>
      <w:proofErr w:type="spellEnd"/>
      <w:r>
        <w:t xml:space="preserve"> interactions under warming depends on the net balance between these two simultaneously shifting forces rather than on either acting alone (</w:t>
      </w:r>
      <w:proofErr w:type="spellStart"/>
      <w:r>
        <w:t>Chidawanyika</w:t>
      </w:r>
      <w:proofErr w:type="spellEnd"/>
      <w:r>
        <w:t>, Mudavanhu and Nyamukondiwa, 2019).</w:t>
      </w:r>
    </w:p>
    <w:p w14:paraId="2E3C56D6" w14:textId="77777777" w:rsidR="00D9312A" w:rsidRDefault="00000000" w:rsidP="001E72FE">
      <w:pPr>
        <w:spacing w:before="100" w:beforeAutospacing="1" w:after="100" w:afterAutospacing="1" w:line="240" w:lineRule="auto"/>
        <w:jc w:val="both"/>
      </w:pPr>
      <w:r>
        <w:t xml:space="preserve">Phenological synchrony between natural enemies and their hosts constitutes a second, mechanistically distinct pathway through which climate change can impair biological control, operating independently of any change in either species' underlying abundance. Because </w:t>
      </w:r>
      <w:proofErr w:type="spellStart"/>
      <w:r>
        <w:t>parasitoids</w:t>
      </w:r>
      <w:proofErr w:type="spellEnd"/>
      <w:r>
        <w:t xml:space="preserve"> and predators typically require their host or prey to be in a specific, often narrow developmental window in order to attack it successfully, any climate-driven divergence in the seasonal timing of host and natural enemy emergence can curtail the effective period of biological control even where population sizes on both sides remain healthy. Controlled experiments using the emerald ash borer and its specialist egg </w:t>
      </w:r>
      <w:proofErr w:type="spellStart"/>
      <w:r>
        <w:t>parasitoid</w:t>
      </w:r>
      <w:proofErr w:type="spellEnd"/>
      <w:r>
        <w:t xml:space="preserve"> demonstrated that increased seasonal temperature variability, applied independently of any change in the mean, delayed </w:t>
      </w:r>
      <w:proofErr w:type="spellStart"/>
      <w:r>
        <w:t>parasitoid</w:t>
      </w:r>
      <w:proofErr w:type="spellEnd"/>
      <w:r>
        <w:t xml:space="preserve"> emergence relative to host egg-laying and reduced both percentage parasitism and </w:t>
      </w:r>
      <w:proofErr w:type="spellStart"/>
      <w:r>
        <w:t>parasitoid</w:t>
      </w:r>
      <w:proofErr w:type="spellEnd"/>
      <w:r>
        <w:t xml:space="preserve"> survival, indicating that variability itself, and not only directional warming, is a distinct threat to host–</w:t>
      </w:r>
      <w:proofErr w:type="spellStart"/>
      <w:r>
        <w:t>parasitoid</w:t>
      </w:r>
      <w:proofErr w:type="spellEnd"/>
      <w:r>
        <w:t xml:space="preserve"> synchrony (Wetherington et al., 2017). Consistent with this, a broader review of insect </w:t>
      </w:r>
      <w:proofErr w:type="spellStart"/>
      <w:r>
        <w:t>parasitoid</w:t>
      </w:r>
      <w:proofErr w:type="spellEnd"/>
      <w:r>
        <w:t xml:space="preserve"> seasonal ecology concludes that changes in winter severity and duration are likely to disrupt diapause timing asymmetrically between hosts and their </w:t>
      </w:r>
      <w:proofErr w:type="spellStart"/>
      <w:r>
        <w:t>parasitoids</w:t>
      </w:r>
      <w:proofErr w:type="spellEnd"/>
      <w:r>
        <w:t xml:space="preserve">, with the direction and magnitude of the resulting mismatch dependent on the specific overwintering strategy and cue-sensitivity of each species pair, precluding a single generalisable prediction across </w:t>
      </w:r>
      <w:proofErr w:type="spellStart"/>
      <w:r>
        <w:t>parasitoid</w:t>
      </w:r>
      <w:proofErr w:type="spellEnd"/>
      <w:r>
        <w:t xml:space="preserve"> guilds (</w:t>
      </w:r>
      <w:proofErr w:type="spellStart"/>
      <w:r>
        <w:t>Tougeron</w:t>
      </w:r>
      <w:proofErr w:type="spellEnd"/>
      <w:r>
        <w:t xml:space="preserve"> et al., 2020). A dedicated review of host–</w:t>
      </w:r>
      <w:proofErr w:type="spellStart"/>
      <w:r>
        <w:t>parasitoid</w:t>
      </w:r>
      <w:proofErr w:type="spellEnd"/>
      <w:r>
        <w:t xml:space="preserve"> phenology under climate change reaches a similar conclusion, identifying phenological mismatch, poleward and upward range shifts, and reduced biological control effectiveness as three linked but mechanistically distinct consequences of warming for </w:t>
      </w:r>
      <w:proofErr w:type="spellStart"/>
      <w:r>
        <w:t>parasitoid</w:t>
      </w:r>
      <w:proofErr w:type="spellEnd"/>
      <w:r>
        <w:t>-mediated pest regulation (Ramos Aguila et al., 2023).</w:t>
      </w:r>
    </w:p>
    <w:p w14:paraId="5BDC2C0D" w14:textId="77777777" w:rsidR="00D9312A" w:rsidRDefault="00000000" w:rsidP="001E72FE">
      <w:pPr>
        <w:spacing w:before="100" w:beforeAutospacing="1" w:after="100" w:afterAutospacing="1" w:line="240" w:lineRule="auto"/>
        <w:jc w:val="both"/>
      </w:pPr>
      <w:r>
        <w:t xml:space="preserve">Carbon dioxide and other atmospheric changes act on natural enemies through mechanisms distinct from those affecting their hosts. Because most predators and many </w:t>
      </w:r>
      <w:proofErr w:type="spellStart"/>
      <w:r>
        <w:t>parasitoids</w:t>
      </w:r>
      <w:proofErr w:type="spellEnd"/>
      <w:r>
        <w:t xml:space="preserve"> rely heavily on volatile chemical cues, either plant-derived herbivore-induced volatiles or direct host- and prey-derived cues, to locate their target, any climate-driven alteration of chemosensory signalling has the potential to impair natural enemy efficacy even where the </w:t>
      </w:r>
      <w:r>
        <w:lastRenderedPageBreak/>
        <w:t>underlying pest population is otherwise unaffected. Evidence reviewed on this question indicates that elevated carbon dioxide levels projected for the coming century do not, in most published studies, enhance the abundance or host- or prey-location efficiency of natural enemies, and that other pollutant gases associated with industrial and agricultural emissions, including sulphur dioxide and nitrogen dioxide, tend if anything to reduce natural enemy abundance, while ozone-driven changes to herbivore-induced volatile profiles can alter the attractiveness of damaged plants to searching natural enemies in directions that are not consistently predictable (as reviewed in Castex et al., 2018). This body of evidence points to chemosensory disruption as a mechanistically distinct, and comparatively under-quantified, pathway of climate impact on the third trophic level, separate from the more extensively studied pathways of direct thermal physiology and phenological mismatch.</w:t>
      </w:r>
    </w:p>
    <w:p w14:paraId="2892E689" w14:textId="77777777" w:rsidR="00D9312A" w:rsidRDefault="00000000" w:rsidP="001E72FE">
      <w:pPr>
        <w:spacing w:before="100" w:beforeAutospacing="1" w:after="100" w:afterAutospacing="1" w:line="240" w:lineRule="auto"/>
        <w:jc w:val="both"/>
      </w:pPr>
      <w:r>
        <w:t xml:space="preserve">It would, however, misrepresent the evidence base to characterise natural enemy responses to climate change as uniformly negative, and several methodologically strong studies caution directly against this simplification. A four-day factorial exposure of an entomopathogenic nematode, a wolf spider, a ladybird beetle and a </w:t>
      </w:r>
      <w:proofErr w:type="spellStart"/>
      <w:r>
        <w:t>parasitoid</w:t>
      </w:r>
      <w:proofErr w:type="spellEnd"/>
      <w:r>
        <w:t xml:space="preserve"> wasp to a combined future-climate treatment incorporating simultaneously elevated carbon dioxide, a 3.4°C temperature increase and a 28 per cent reduction in precipitation found that predation success was not reduced in any of the four taxa and was significantly enhanced in two of them, with only nematode survival showing a modest, and precipitation-specific rather than temperature- or carbon dioxide-specific, decline (Doan et al., 2021). A meta-analysis compiling 86 field exclusion studies across a wide range of crop types and climatic zones similarly found that predators reduced pest populations by an average of 73 per cent and increased crop yield by an average of 25 per cent, and that this effect held regardless of whether predator communities comprised a single dominant species or several species, providing reassurance that biological control by generalist predators remains functionally robust across the climatic range currently sampled by the primary literature (</w:t>
      </w:r>
      <w:proofErr w:type="spellStart"/>
      <w:r>
        <w:t>Boldorini</w:t>
      </w:r>
      <w:proofErr w:type="spellEnd"/>
      <w:r>
        <w:t xml:space="preserve"> et al., 2024). At landscape scale, field assays of aphid predator communities across ten barley fields varying in surrounding landscape complexity found that predator assemblages occupying structurally complex landscapes, containing a greater number of non-crop habitat patches, exhibited higher thermal resilience and provided more temperature-stable pest control in subsequent microcosm experiments, directly linking landscape-scale habitat conservation, a management lever already recommended for reasons unrelated to climate change, to demonstrable climate resilience of biological control (Feit et al., 2021; see also the foundational landscape-scale conservation biological control framework of </w:t>
      </w:r>
      <w:proofErr w:type="spellStart"/>
      <w:r>
        <w:t>Tscharntke</w:t>
      </w:r>
      <w:proofErr w:type="spellEnd"/>
      <w:r>
        <w:t xml:space="preserve"> et al., 2007).</w:t>
      </w:r>
    </w:p>
    <w:p w14:paraId="26A2DA42" w14:textId="77777777" w:rsidR="00D9312A" w:rsidRDefault="00000000" w:rsidP="001E72FE">
      <w:pPr>
        <w:spacing w:before="100" w:beforeAutospacing="1" w:after="100" w:afterAutospacing="1" w:line="240" w:lineRule="auto"/>
        <w:jc w:val="both"/>
      </w:pPr>
      <w:r>
        <w:t xml:space="preserve">Reconciling these apparently divergent strands of evidence, several considerations recur across the literature. First, short-duration manipulative studies, particularly those examining survival and predation success over days rather than generations, appear systematically more likely to report natural enemy resilience than studies tracking phenological synchrony or multigenerational population dynamics over a full season or longer, suggesting that some of the apparent optimism in the short-term physiological literature may not extend to the phenological and demographic timescales most relevant to season-long pest suppression in the field. Second, functional group matters: entomopathogens and predators with broad, generalist prey ranges and flexible phenology appear, on the evidence reviewed here, comparatively better buffered against climate disruption than host-specific </w:t>
      </w:r>
      <w:proofErr w:type="spellStart"/>
      <w:r>
        <w:t>parasitoids</w:t>
      </w:r>
      <w:proofErr w:type="spellEnd"/>
      <w:r>
        <w:t xml:space="preserve"> with narrow developmental windows, a distinction with direct practical relevance to which biological control tactics are likely to remain reliable under future climatic conditions (a distinction elaborated further in Section 9 and summarised in Table 3). Third, landscape and management context, particularly the availability of non-crop habitat and the diversity of the resident natural </w:t>
      </w:r>
      <w:r>
        <w:lastRenderedPageBreak/>
        <w:t>enemy community, appears to modulate climate sensitivity substantially, such that studies conducted in structurally simplified agricultural landscapes may systematically understate the resilience achievable under more diversified farming systems (Feit et al., 2021).</w:t>
      </w:r>
    </w:p>
    <w:p w14:paraId="509BCA33" w14:textId="77777777" w:rsidR="00D9312A" w:rsidRDefault="00000000" w:rsidP="001E72FE">
      <w:pPr>
        <w:spacing w:before="100" w:beforeAutospacing="1" w:after="100" w:afterAutospacing="1" w:line="240" w:lineRule="auto"/>
      </w:pPr>
      <w:r>
        <w:rPr>
          <w:b/>
          <w:bCs/>
        </w:rPr>
        <w:t>Table 3. Reported effects of climate variables on natural enemy functional groups.</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70"/>
        <w:gridCol w:w="1870"/>
        <w:gridCol w:w="3927"/>
        <w:gridCol w:w="1683"/>
      </w:tblGrid>
      <w:tr w:rsidR="00D9312A" w14:paraId="1A5D4276" w14:textId="77777777">
        <w:trPr>
          <w:tblHeader/>
        </w:trPr>
        <w:tc>
          <w:tcPr>
            <w:tcW w:w="1870" w:type="dxa"/>
            <w:shd w:val="clear" w:color="auto" w:fill="D9D9D9"/>
            <w:tcMar>
              <w:top w:w="80" w:type="dxa"/>
              <w:left w:w="100" w:type="dxa"/>
              <w:bottom w:w="80" w:type="dxa"/>
              <w:right w:w="100" w:type="dxa"/>
            </w:tcMar>
          </w:tcPr>
          <w:p w14:paraId="03A8F786" w14:textId="77777777" w:rsidR="00D9312A" w:rsidRDefault="00000000" w:rsidP="001E72FE">
            <w:pPr>
              <w:spacing w:before="100" w:beforeAutospacing="1" w:after="100" w:afterAutospacing="1" w:line="240" w:lineRule="auto"/>
            </w:pPr>
            <w:r>
              <w:rPr>
                <w:b/>
                <w:bCs/>
                <w:sz w:val="20"/>
                <w:szCs w:val="20"/>
              </w:rPr>
              <w:t>Natural enemy group</w:t>
            </w:r>
          </w:p>
        </w:tc>
        <w:tc>
          <w:tcPr>
            <w:tcW w:w="1870" w:type="dxa"/>
            <w:shd w:val="clear" w:color="auto" w:fill="D9D9D9"/>
            <w:tcMar>
              <w:top w:w="80" w:type="dxa"/>
              <w:left w:w="100" w:type="dxa"/>
              <w:bottom w:w="80" w:type="dxa"/>
              <w:right w:w="100" w:type="dxa"/>
            </w:tcMar>
          </w:tcPr>
          <w:p w14:paraId="042C7FDD" w14:textId="77777777" w:rsidR="00D9312A" w:rsidRDefault="00000000" w:rsidP="001E72FE">
            <w:pPr>
              <w:spacing w:before="100" w:beforeAutospacing="1" w:after="100" w:afterAutospacing="1" w:line="240" w:lineRule="auto"/>
            </w:pPr>
            <w:r>
              <w:rPr>
                <w:b/>
                <w:bCs/>
                <w:sz w:val="20"/>
                <w:szCs w:val="20"/>
              </w:rPr>
              <w:t>Climate variable</w:t>
            </w:r>
          </w:p>
        </w:tc>
        <w:tc>
          <w:tcPr>
            <w:tcW w:w="3927" w:type="dxa"/>
            <w:shd w:val="clear" w:color="auto" w:fill="D9D9D9"/>
            <w:tcMar>
              <w:top w:w="80" w:type="dxa"/>
              <w:left w:w="100" w:type="dxa"/>
              <w:bottom w:w="80" w:type="dxa"/>
              <w:right w:w="100" w:type="dxa"/>
            </w:tcMar>
          </w:tcPr>
          <w:p w14:paraId="3A31ECE5" w14:textId="77777777" w:rsidR="00D9312A" w:rsidRDefault="00000000" w:rsidP="001E72FE">
            <w:pPr>
              <w:spacing w:before="100" w:beforeAutospacing="1" w:after="100" w:afterAutospacing="1" w:line="240" w:lineRule="auto"/>
            </w:pPr>
            <w:r>
              <w:rPr>
                <w:b/>
                <w:bCs/>
                <w:sz w:val="20"/>
                <w:szCs w:val="20"/>
              </w:rPr>
              <w:t>Reported direction / mechanism of effect</w:t>
            </w:r>
          </w:p>
        </w:tc>
        <w:tc>
          <w:tcPr>
            <w:tcW w:w="1683" w:type="dxa"/>
            <w:shd w:val="clear" w:color="auto" w:fill="D9D9D9"/>
            <w:tcMar>
              <w:top w:w="80" w:type="dxa"/>
              <w:left w:w="100" w:type="dxa"/>
              <w:bottom w:w="80" w:type="dxa"/>
              <w:right w:w="100" w:type="dxa"/>
            </w:tcMar>
          </w:tcPr>
          <w:p w14:paraId="2859DC18" w14:textId="77777777" w:rsidR="00D9312A" w:rsidRDefault="00000000" w:rsidP="001E72FE">
            <w:pPr>
              <w:spacing w:before="100" w:beforeAutospacing="1" w:after="100" w:afterAutospacing="1" w:line="240" w:lineRule="auto"/>
            </w:pPr>
            <w:r>
              <w:rPr>
                <w:b/>
                <w:bCs/>
                <w:sz w:val="20"/>
                <w:szCs w:val="20"/>
              </w:rPr>
              <w:t>Supporting references</w:t>
            </w:r>
          </w:p>
        </w:tc>
      </w:tr>
      <w:tr w:rsidR="00D9312A" w14:paraId="5DA38179" w14:textId="77777777">
        <w:tc>
          <w:tcPr>
            <w:tcW w:w="1870" w:type="dxa"/>
            <w:tcMar>
              <w:top w:w="80" w:type="dxa"/>
              <w:left w:w="100" w:type="dxa"/>
              <w:bottom w:w="80" w:type="dxa"/>
              <w:right w:w="100" w:type="dxa"/>
            </w:tcMar>
          </w:tcPr>
          <w:p w14:paraId="06CB761F" w14:textId="77777777" w:rsidR="00D9312A" w:rsidRDefault="00000000" w:rsidP="001E72FE">
            <w:pPr>
              <w:spacing w:before="100" w:beforeAutospacing="1" w:after="100" w:afterAutospacing="1" w:line="240" w:lineRule="auto"/>
            </w:pPr>
            <w:r>
              <w:rPr>
                <w:sz w:val="20"/>
                <w:szCs w:val="20"/>
              </w:rPr>
              <w:t xml:space="preserve">Specialist </w:t>
            </w:r>
            <w:proofErr w:type="spellStart"/>
            <w:r>
              <w:rPr>
                <w:sz w:val="20"/>
                <w:szCs w:val="20"/>
              </w:rPr>
              <w:t>parasitoid</w:t>
            </w:r>
            <w:proofErr w:type="spellEnd"/>
            <w:r>
              <w:rPr>
                <w:sz w:val="20"/>
                <w:szCs w:val="20"/>
              </w:rPr>
              <w:t xml:space="preserve"> wasps</w:t>
            </w:r>
          </w:p>
        </w:tc>
        <w:tc>
          <w:tcPr>
            <w:tcW w:w="1870" w:type="dxa"/>
            <w:tcMar>
              <w:top w:w="80" w:type="dxa"/>
              <w:left w:w="100" w:type="dxa"/>
              <w:bottom w:w="80" w:type="dxa"/>
              <w:right w:w="100" w:type="dxa"/>
            </w:tcMar>
          </w:tcPr>
          <w:p w14:paraId="467F4127" w14:textId="77777777" w:rsidR="00D9312A" w:rsidRDefault="00000000" w:rsidP="001E72FE">
            <w:pPr>
              <w:spacing w:before="100" w:beforeAutospacing="1" w:after="100" w:afterAutospacing="1" w:line="240" w:lineRule="auto"/>
            </w:pPr>
            <w:r>
              <w:rPr>
                <w:sz w:val="20"/>
                <w:szCs w:val="20"/>
              </w:rPr>
              <w:t>Warming (mean)</w:t>
            </w:r>
          </w:p>
        </w:tc>
        <w:tc>
          <w:tcPr>
            <w:tcW w:w="3927" w:type="dxa"/>
            <w:tcMar>
              <w:top w:w="80" w:type="dxa"/>
              <w:left w:w="100" w:type="dxa"/>
              <w:bottom w:w="80" w:type="dxa"/>
              <w:right w:w="100" w:type="dxa"/>
            </w:tcMar>
          </w:tcPr>
          <w:p w14:paraId="1AF3505C" w14:textId="77777777" w:rsidR="00D9312A" w:rsidRDefault="00000000" w:rsidP="001E72FE">
            <w:pPr>
              <w:spacing w:before="100" w:beforeAutospacing="1" w:after="100" w:afterAutospacing="1" w:line="240" w:lineRule="auto"/>
            </w:pPr>
            <w:r>
              <w:rPr>
                <w:sz w:val="20"/>
                <w:szCs w:val="20"/>
              </w:rPr>
              <w:t>Frequently negative: lower thermal optimum than host; reduced parasitism rate even where host population increases.</w:t>
            </w:r>
          </w:p>
        </w:tc>
        <w:tc>
          <w:tcPr>
            <w:tcW w:w="1683" w:type="dxa"/>
            <w:tcMar>
              <w:top w:w="80" w:type="dxa"/>
              <w:left w:w="100" w:type="dxa"/>
              <w:bottom w:w="80" w:type="dxa"/>
              <w:right w:w="100" w:type="dxa"/>
            </w:tcMar>
          </w:tcPr>
          <w:p w14:paraId="035E8F13" w14:textId="77777777" w:rsidR="00D9312A" w:rsidRDefault="00000000" w:rsidP="001E72FE">
            <w:pPr>
              <w:spacing w:before="100" w:beforeAutospacing="1" w:after="100" w:afterAutospacing="1" w:line="240" w:lineRule="auto"/>
            </w:pPr>
            <w:r>
              <w:rPr>
                <w:i/>
                <w:iCs/>
                <w:sz w:val="20"/>
                <w:szCs w:val="20"/>
              </w:rPr>
              <w:t>Han et al., 2019; Castex et al., 2018</w:t>
            </w:r>
          </w:p>
        </w:tc>
      </w:tr>
      <w:tr w:rsidR="00D9312A" w14:paraId="3F616F30" w14:textId="77777777">
        <w:tc>
          <w:tcPr>
            <w:tcW w:w="1870" w:type="dxa"/>
            <w:tcMar>
              <w:top w:w="80" w:type="dxa"/>
              <w:left w:w="100" w:type="dxa"/>
              <w:bottom w:w="80" w:type="dxa"/>
              <w:right w:w="100" w:type="dxa"/>
            </w:tcMar>
          </w:tcPr>
          <w:p w14:paraId="64AAFA49" w14:textId="77777777" w:rsidR="00D9312A" w:rsidRDefault="00000000" w:rsidP="001E72FE">
            <w:pPr>
              <w:spacing w:before="100" w:beforeAutospacing="1" w:after="100" w:afterAutospacing="1" w:line="240" w:lineRule="auto"/>
            </w:pPr>
            <w:r>
              <w:rPr>
                <w:sz w:val="20"/>
                <w:szCs w:val="20"/>
              </w:rPr>
              <w:t>Host–</w:t>
            </w:r>
            <w:proofErr w:type="spellStart"/>
            <w:r>
              <w:rPr>
                <w:sz w:val="20"/>
                <w:szCs w:val="20"/>
              </w:rPr>
              <w:t>parasitoid</w:t>
            </w:r>
            <w:proofErr w:type="spellEnd"/>
            <w:r>
              <w:rPr>
                <w:sz w:val="20"/>
                <w:szCs w:val="20"/>
              </w:rPr>
              <w:t xml:space="preserve"> pairs</w:t>
            </w:r>
          </w:p>
        </w:tc>
        <w:tc>
          <w:tcPr>
            <w:tcW w:w="1870" w:type="dxa"/>
            <w:tcMar>
              <w:top w:w="80" w:type="dxa"/>
              <w:left w:w="100" w:type="dxa"/>
              <w:bottom w:w="80" w:type="dxa"/>
              <w:right w:w="100" w:type="dxa"/>
            </w:tcMar>
          </w:tcPr>
          <w:p w14:paraId="0E50C1FA" w14:textId="77777777" w:rsidR="00D9312A" w:rsidRDefault="00000000" w:rsidP="001E72FE">
            <w:pPr>
              <w:spacing w:before="100" w:beforeAutospacing="1" w:after="100" w:afterAutospacing="1" w:line="240" w:lineRule="auto"/>
            </w:pPr>
            <w:r>
              <w:rPr>
                <w:sz w:val="20"/>
                <w:szCs w:val="20"/>
              </w:rPr>
              <w:t>Temperature variability (not just mean)</w:t>
            </w:r>
          </w:p>
        </w:tc>
        <w:tc>
          <w:tcPr>
            <w:tcW w:w="3927" w:type="dxa"/>
            <w:tcMar>
              <w:top w:w="80" w:type="dxa"/>
              <w:left w:w="100" w:type="dxa"/>
              <w:bottom w:w="80" w:type="dxa"/>
              <w:right w:w="100" w:type="dxa"/>
            </w:tcMar>
          </w:tcPr>
          <w:p w14:paraId="4B2E462C" w14:textId="77777777" w:rsidR="00D9312A" w:rsidRDefault="00000000" w:rsidP="001E72FE">
            <w:pPr>
              <w:spacing w:before="100" w:beforeAutospacing="1" w:after="100" w:afterAutospacing="1" w:line="240" w:lineRule="auto"/>
            </w:pPr>
            <w:r>
              <w:rPr>
                <w:sz w:val="20"/>
                <w:szCs w:val="20"/>
              </w:rPr>
              <w:t xml:space="preserve">Negative: delayed </w:t>
            </w:r>
            <w:proofErr w:type="spellStart"/>
            <w:r>
              <w:rPr>
                <w:sz w:val="20"/>
                <w:szCs w:val="20"/>
              </w:rPr>
              <w:t>parasitoid</w:t>
            </w:r>
            <w:proofErr w:type="spellEnd"/>
            <w:r>
              <w:rPr>
                <w:sz w:val="20"/>
                <w:szCs w:val="20"/>
              </w:rPr>
              <w:t xml:space="preserve"> emergence relative to host, reduced synchrony, reduced parasitism and survival.</w:t>
            </w:r>
          </w:p>
        </w:tc>
        <w:tc>
          <w:tcPr>
            <w:tcW w:w="1683" w:type="dxa"/>
            <w:tcMar>
              <w:top w:w="80" w:type="dxa"/>
              <w:left w:w="100" w:type="dxa"/>
              <w:bottom w:w="80" w:type="dxa"/>
              <w:right w:w="100" w:type="dxa"/>
            </w:tcMar>
          </w:tcPr>
          <w:p w14:paraId="4946E239" w14:textId="77777777" w:rsidR="00D9312A" w:rsidRDefault="00000000" w:rsidP="001E72FE">
            <w:pPr>
              <w:spacing w:before="100" w:beforeAutospacing="1" w:after="100" w:afterAutospacing="1" w:line="240" w:lineRule="auto"/>
            </w:pPr>
            <w:r>
              <w:rPr>
                <w:i/>
                <w:iCs/>
                <w:sz w:val="20"/>
                <w:szCs w:val="20"/>
              </w:rPr>
              <w:t xml:space="preserve">Wetherington et al., 2017; </w:t>
            </w:r>
            <w:proofErr w:type="spellStart"/>
            <w:r>
              <w:rPr>
                <w:i/>
                <w:iCs/>
                <w:sz w:val="20"/>
                <w:szCs w:val="20"/>
              </w:rPr>
              <w:t>Stireman</w:t>
            </w:r>
            <w:proofErr w:type="spellEnd"/>
            <w:r>
              <w:rPr>
                <w:i/>
                <w:iCs/>
                <w:sz w:val="20"/>
                <w:szCs w:val="20"/>
              </w:rPr>
              <w:t xml:space="preserve"> et al., 2005</w:t>
            </w:r>
          </w:p>
        </w:tc>
      </w:tr>
      <w:tr w:rsidR="00D9312A" w14:paraId="38D438BD" w14:textId="77777777">
        <w:tc>
          <w:tcPr>
            <w:tcW w:w="1870" w:type="dxa"/>
            <w:tcMar>
              <w:top w:w="80" w:type="dxa"/>
              <w:left w:w="100" w:type="dxa"/>
              <w:bottom w:w="80" w:type="dxa"/>
              <w:right w:w="100" w:type="dxa"/>
            </w:tcMar>
          </w:tcPr>
          <w:p w14:paraId="17F34D0C" w14:textId="77777777" w:rsidR="00D9312A" w:rsidRDefault="00000000" w:rsidP="001E72FE">
            <w:pPr>
              <w:spacing w:before="100" w:beforeAutospacing="1" w:after="100" w:afterAutospacing="1" w:line="240" w:lineRule="auto"/>
            </w:pPr>
            <w:proofErr w:type="spellStart"/>
            <w:r>
              <w:rPr>
                <w:sz w:val="20"/>
                <w:szCs w:val="20"/>
              </w:rPr>
              <w:t>Parasitoids</w:t>
            </w:r>
            <w:proofErr w:type="spellEnd"/>
            <w:r>
              <w:rPr>
                <w:sz w:val="20"/>
                <w:szCs w:val="20"/>
              </w:rPr>
              <w:t xml:space="preserve"> generally</w:t>
            </w:r>
          </w:p>
        </w:tc>
        <w:tc>
          <w:tcPr>
            <w:tcW w:w="1870" w:type="dxa"/>
            <w:tcMar>
              <w:top w:w="80" w:type="dxa"/>
              <w:left w:w="100" w:type="dxa"/>
              <w:bottom w:w="80" w:type="dxa"/>
              <w:right w:w="100" w:type="dxa"/>
            </w:tcMar>
          </w:tcPr>
          <w:p w14:paraId="6BDF7935" w14:textId="77777777" w:rsidR="00D9312A" w:rsidRDefault="00000000" w:rsidP="001E72FE">
            <w:pPr>
              <w:spacing w:before="100" w:beforeAutospacing="1" w:after="100" w:afterAutospacing="1" w:line="240" w:lineRule="auto"/>
            </w:pPr>
            <w:r>
              <w:rPr>
                <w:sz w:val="20"/>
                <w:szCs w:val="20"/>
              </w:rPr>
              <w:t>Winter severity / duration change</w:t>
            </w:r>
          </w:p>
        </w:tc>
        <w:tc>
          <w:tcPr>
            <w:tcW w:w="3927" w:type="dxa"/>
            <w:tcMar>
              <w:top w:w="80" w:type="dxa"/>
              <w:left w:w="100" w:type="dxa"/>
              <w:bottom w:w="80" w:type="dxa"/>
              <w:right w:w="100" w:type="dxa"/>
            </w:tcMar>
          </w:tcPr>
          <w:p w14:paraId="7739DAC4" w14:textId="77777777" w:rsidR="00D9312A" w:rsidRDefault="00000000" w:rsidP="001E72FE">
            <w:pPr>
              <w:spacing w:before="100" w:beforeAutospacing="1" w:after="100" w:afterAutospacing="1" w:line="240" w:lineRule="auto"/>
            </w:pPr>
            <w:r>
              <w:rPr>
                <w:sz w:val="20"/>
                <w:szCs w:val="20"/>
              </w:rPr>
              <w:t xml:space="preserve">Mixed and species-specific: diapause timing disrupted asymmetrically between hosts and </w:t>
            </w:r>
            <w:proofErr w:type="spellStart"/>
            <w:r>
              <w:rPr>
                <w:sz w:val="20"/>
                <w:szCs w:val="20"/>
              </w:rPr>
              <w:t>parasitoids</w:t>
            </w:r>
            <w:proofErr w:type="spellEnd"/>
            <w:r>
              <w:rPr>
                <w:sz w:val="20"/>
                <w:szCs w:val="20"/>
              </w:rPr>
              <w:t>; no single generalisable direction.</w:t>
            </w:r>
          </w:p>
        </w:tc>
        <w:tc>
          <w:tcPr>
            <w:tcW w:w="1683" w:type="dxa"/>
            <w:tcMar>
              <w:top w:w="80" w:type="dxa"/>
              <w:left w:w="100" w:type="dxa"/>
              <w:bottom w:w="80" w:type="dxa"/>
              <w:right w:w="100" w:type="dxa"/>
            </w:tcMar>
          </w:tcPr>
          <w:p w14:paraId="018A7C6E" w14:textId="77777777" w:rsidR="00D9312A" w:rsidRDefault="00000000" w:rsidP="001E72FE">
            <w:pPr>
              <w:spacing w:before="100" w:beforeAutospacing="1" w:after="100" w:afterAutospacing="1" w:line="240" w:lineRule="auto"/>
            </w:pPr>
            <w:proofErr w:type="spellStart"/>
            <w:r>
              <w:rPr>
                <w:i/>
                <w:iCs/>
                <w:sz w:val="20"/>
                <w:szCs w:val="20"/>
              </w:rPr>
              <w:t>Tougeron</w:t>
            </w:r>
            <w:proofErr w:type="spellEnd"/>
            <w:r>
              <w:rPr>
                <w:i/>
                <w:iCs/>
                <w:sz w:val="20"/>
                <w:szCs w:val="20"/>
              </w:rPr>
              <w:t xml:space="preserve"> et al., 2020</w:t>
            </w:r>
          </w:p>
        </w:tc>
      </w:tr>
      <w:tr w:rsidR="00D9312A" w14:paraId="75D7C215" w14:textId="77777777">
        <w:tc>
          <w:tcPr>
            <w:tcW w:w="1870" w:type="dxa"/>
            <w:tcMar>
              <w:top w:w="80" w:type="dxa"/>
              <w:left w:w="100" w:type="dxa"/>
              <w:bottom w:w="80" w:type="dxa"/>
              <w:right w:w="100" w:type="dxa"/>
            </w:tcMar>
          </w:tcPr>
          <w:p w14:paraId="40918E04" w14:textId="77777777" w:rsidR="00D9312A" w:rsidRDefault="00000000" w:rsidP="001E72FE">
            <w:pPr>
              <w:spacing w:before="100" w:beforeAutospacing="1" w:after="100" w:afterAutospacing="1" w:line="240" w:lineRule="auto"/>
            </w:pPr>
            <w:r>
              <w:rPr>
                <w:sz w:val="20"/>
                <w:szCs w:val="20"/>
              </w:rPr>
              <w:t xml:space="preserve">Predators, </w:t>
            </w:r>
            <w:proofErr w:type="spellStart"/>
            <w:r>
              <w:rPr>
                <w:sz w:val="20"/>
                <w:szCs w:val="20"/>
              </w:rPr>
              <w:t>parasitoids</w:t>
            </w:r>
            <w:proofErr w:type="spellEnd"/>
            <w:r>
              <w:rPr>
                <w:sz w:val="20"/>
                <w:szCs w:val="20"/>
              </w:rPr>
              <w:t xml:space="preserve"> and other natural enemies</w:t>
            </w:r>
          </w:p>
        </w:tc>
        <w:tc>
          <w:tcPr>
            <w:tcW w:w="1870" w:type="dxa"/>
            <w:tcMar>
              <w:top w:w="80" w:type="dxa"/>
              <w:left w:w="100" w:type="dxa"/>
              <w:bottom w:w="80" w:type="dxa"/>
              <w:right w:w="100" w:type="dxa"/>
            </w:tcMar>
          </w:tcPr>
          <w:p w14:paraId="2B020F37" w14:textId="77777777" w:rsidR="00D9312A" w:rsidRDefault="00000000" w:rsidP="001E72FE">
            <w:pPr>
              <w:spacing w:before="100" w:beforeAutospacing="1" w:after="100" w:afterAutospacing="1" w:line="240" w:lineRule="auto"/>
            </w:pPr>
            <w:r>
              <w:rPr>
                <w:sz w:val="20"/>
                <w:szCs w:val="20"/>
              </w:rPr>
              <w:t>Elevated CO2</w:t>
            </w:r>
          </w:p>
        </w:tc>
        <w:tc>
          <w:tcPr>
            <w:tcW w:w="3927" w:type="dxa"/>
            <w:tcMar>
              <w:top w:w="80" w:type="dxa"/>
              <w:left w:w="100" w:type="dxa"/>
              <w:bottom w:w="80" w:type="dxa"/>
              <w:right w:w="100" w:type="dxa"/>
            </w:tcMar>
          </w:tcPr>
          <w:p w14:paraId="090E69B4" w14:textId="77777777" w:rsidR="00D9312A" w:rsidRDefault="00000000" w:rsidP="001E72FE">
            <w:pPr>
              <w:spacing w:before="100" w:beforeAutospacing="1" w:after="100" w:afterAutospacing="1" w:line="240" w:lineRule="auto"/>
            </w:pPr>
            <w:r>
              <w:rPr>
                <w:sz w:val="20"/>
                <w:szCs w:val="20"/>
              </w:rPr>
              <w:t>Mostly neutral to slightly negative for host/prey-location efficiency; chemosensory disruption reported in some systems.</w:t>
            </w:r>
          </w:p>
        </w:tc>
        <w:tc>
          <w:tcPr>
            <w:tcW w:w="1683" w:type="dxa"/>
            <w:tcMar>
              <w:top w:w="80" w:type="dxa"/>
              <w:left w:w="100" w:type="dxa"/>
              <w:bottom w:w="80" w:type="dxa"/>
              <w:right w:w="100" w:type="dxa"/>
            </w:tcMar>
          </w:tcPr>
          <w:p w14:paraId="08F9E520" w14:textId="77777777" w:rsidR="00D9312A" w:rsidRDefault="00000000" w:rsidP="001E72FE">
            <w:pPr>
              <w:spacing w:before="100" w:beforeAutospacing="1" w:after="100" w:afterAutospacing="1" w:line="240" w:lineRule="auto"/>
            </w:pPr>
            <w:r>
              <w:rPr>
                <w:i/>
                <w:iCs/>
                <w:sz w:val="20"/>
                <w:szCs w:val="20"/>
              </w:rPr>
              <w:t>Castex et al., 2018</w:t>
            </w:r>
          </w:p>
        </w:tc>
      </w:tr>
      <w:tr w:rsidR="00D9312A" w14:paraId="7BC6D8EA" w14:textId="77777777">
        <w:tc>
          <w:tcPr>
            <w:tcW w:w="1870" w:type="dxa"/>
            <w:tcMar>
              <w:top w:w="80" w:type="dxa"/>
              <w:left w:w="100" w:type="dxa"/>
              <w:bottom w:w="80" w:type="dxa"/>
              <w:right w:w="100" w:type="dxa"/>
            </w:tcMar>
          </w:tcPr>
          <w:p w14:paraId="713D8814" w14:textId="77777777" w:rsidR="00D9312A" w:rsidRDefault="00000000" w:rsidP="001E72FE">
            <w:pPr>
              <w:spacing w:before="100" w:beforeAutospacing="1" w:after="100" w:afterAutospacing="1" w:line="240" w:lineRule="auto"/>
            </w:pPr>
            <w:r>
              <w:rPr>
                <w:sz w:val="20"/>
                <w:szCs w:val="20"/>
              </w:rPr>
              <w:t xml:space="preserve">Generalist predators (nematode, spider, ladybird, </w:t>
            </w:r>
            <w:proofErr w:type="spellStart"/>
            <w:r>
              <w:rPr>
                <w:sz w:val="20"/>
                <w:szCs w:val="20"/>
              </w:rPr>
              <w:t>parasitoid</w:t>
            </w:r>
            <w:proofErr w:type="spellEnd"/>
            <w:r>
              <w:rPr>
                <w:sz w:val="20"/>
                <w:szCs w:val="20"/>
              </w:rPr>
              <w:t xml:space="preserve"> wasp)</w:t>
            </w:r>
          </w:p>
        </w:tc>
        <w:tc>
          <w:tcPr>
            <w:tcW w:w="1870" w:type="dxa"/>
            <w:tcMar>
              <w:top w:w="80" w:type="dxa"/>
              <w:left w:w="100" w:type="dxa"/>
              <w:bottom w:w="80" w:type="dxa"/>
              <w:right w:w="100" w:type="dxa"/>
            </w:tcMar>
          </w:tcPr>
          <w:p w14:paraId="609A4932" w14:textId="77777777" w:rsidR="00D9312A" w:rsidRDefault="00000000" w:rsidP="001E72FE">
            <w:pPr>
              <w:spacing w:before="100" w:beforeAutospacing="1" w:after="100" w:afterAutospacing="1" w:line="240" w:lineRule="auto"/>
            </w:pPr>
            <w:r>
              <w:rPr>
                <w:sz w:val="20"/>
                <w:szCs w:val="20"/>
              </w:rPr>
              <w:t>Combined future-climate treatment (CO2 + temperature + reduced precipitation, short-term)</w:t>
            </w:r>
          </w:p>
        </w:tc>
        <w:tc>
          <w:tcPr>
            <w:tcW w:w="3927" w:type="dxa"/>
            <w:tcMar>
              <w:top w:w="80" w:type="dxa"/>
              <w:left w:w="100" w:type="dxa"/>
              <w:bottom w:w="80" w:type="dxa"/>
              <w:right w:w="100" w:type="dxa"/>
            </w:tcMar>
          </w:tcPr>
          <w:p w14:paraId="19F6EC97" w14:textId="77777777" w:rsidR="00D9312A" w:rsidRDefault="00000000" w:rsidP="001E72FE">
            <w:pPr>
              <w:spacing w:before="100" w:beforeAutospacing="1" w:after="100" w:afterAutospacing="1" w:line="240" w:lineRule="auto"/>
            </w:pPr>
            <w:r>
              <w:rPr>
                <w:sz w:val="20"/>
                <w:szCs w:val="20"/>
              </w:rPr>
              <w:t>Largely resilient: predation success unchanged or enhanced in 3 of 4 taxa; only nematode survival modestly reduced.</w:t>
            </w:r>
          </w:p>
        </w:tc>
        <w:tc>
          <w:tcPr>
            <w:tcW w:w="1683" w:type="dxa"/>
            <w:tcMar>
              <w:top w:w="80" w:type="dxa"/>
              <w:left w:w="100" w:type="dxa"/>
              <w:bottom w:w="80" w:type="dxa"/>
              <w:right w:w="100" w:type="dxa"/>
            </w:tcMar>
          </w:tcPr>
          <w:p w14:paraId="30DF2623" w14:textId="77777777" w:rsidR="00D9312A" w:rsidRDefault="00000000" w:rsidP="001E72FE">
            <w:pPr>
              <w:spacing w:before="100" w:beforeAutospacing="1" w:after="100" w:afterAutospacing="1" w:line="240" w:lineRule="auto"/>
            </w:pPr>
            <w:r>
              <w:rPr>
                <w:i/>
                <w:iCs/>
                <w:sz w:val="20"/>
                <w:szCs w:val="20"/>
              </w:rPr>
              <w:t>Doan et al., 2021</w:t>
            </w:r>
          </w:p>
        </w:tc>
      </w:tr>
      <w:tr w:rsidR="00D9312A" w14:paraId="4FA01D91" w14:textId="77777777">
        <w:tc>
          <w:tcPr>
            <w:tcW w:w="1870" w:type="dxa"/>
            <w:tcMar>
              <w:top w:w="80" w:type="dxa"/>
              <w:left w:w="100" w:type="dxa"/>
              <w:bottom w:w="80" w:type="dxa"/>
              <w:right w:w="100" w:type="dxa"/>
            </w:tcMar>
          </w:tcPr>
          <w:p w14:paraId="167C7ECC" w14:textId="77777777" w:rsidR="00D9312A" w:rsidRDefault="00000000" w:rsidP="001E72FE">
            <w:pPr>
              <w:spacing w:before="100" w:beforeAutospacing="1" w:after="100" w:afterAutospacing="1" w:line="240" w:lineRule="auto"/>
            </w:pPr>
            <w:r>
              <w:rPr>
                <w:sz w:val="20"/>
                <w:szCs w:val="20"/>
              </w:rPr>
              <w:t>Generalist predator communities (field meta-analysis)</w:t>
            </w:r>
          </w:p>
        </w:tc>
        <w:tc>
          <w:tcPr>
            <w:tcW w:w="1870" w:type="dxa"/>
            <w:tcMar>
              <w:top w:w="80" w:type="dxa"/>
              <w:left w:w="100" w:type="dxa"/>
              <w:bottom w:w="80" w:type="dxa"/>
              <w:right w:w="100" w:type="dxa"/>
            </w:tcMar>
          </w:tcPr>
          <w:p w14:paraId="41192044" w14:textId="77777777" w:rsidR="00D9312A" w:rsidRDefault="00000000" w:rsidP="001E72FE">
            <w:pPr>
              <w:spacing w:before="100" w:beforeAutospacing="1" w:after="100" w:afterAutospacing="1" w:line="240" w:lineRule="auto"/>
            </w:pPr>
            <w:r>
              <w:rPr>
                <w:sz w:val="20"/>
                <w:szCs w:val="20"/>
              </w:rPr>
              <w:t>Across climatic zones and crop types</w:t>
            </w:r>
          </w:p>
        </w:tc>
        <w:tc>
          <w:tcPr>
            <w:tcW w:w="3927" w:type="dxa"/>
            <w:tcMar>
              <w:top w:w="80" w:type="dxa"/>
              <w:left w:w="100" w:type="dxa"/>
              <w:bottom w:w="80" w:type="dxa"/>
              <w:right w:w="100" w:type="dxa"/>
            </w:tcMar>
          </w:tcPr>
          <w:p w14:paraId="7BF7A777" w14:textId="77777777" w:rsidR="00D9312A" w:rsidRDefault="00000000" w:rsidP="001E72FE">
            <w:pPr>
              <w:spacing w:before="100" w:beforeAutospacing="1" w:after="100" w:afterAutospacing="1" w:line="240" w:lineRule="auto"/>
            </w:pPr>
            <w:r>
              <w:rPr>
                <w:sz w:val="20"/>
                <w:szCs w:val="20"/>
              </w:rPr>
              <w:t>Robust: 73% average pest reduction, 25% average yield increase, independent of single- vs multi-species predator communities.</w:t>
            </w:r>
          </w:p>
        </w:tc>
        <w:tc>
          <w:tcPr>
            <w:tcW w:w="1683" w:type="dxa"/>
            <w:tcMar>
              <w:top w:w="80" w:type="dxa"/>
              <w:left w:w="100" w:type="dxa"/>
              <w:bottom w:w="80" w:type="dxa"/>
              <w:right w:w="100" w:type="dxa"/>
            </w:tcMar>
          </w:tcPr>
          <w:p w14:paraId="66E08D78" w14:textId="77777777" w:rsidR="00D9312A" w:rsidRDefault="00000000" w:rsidP="001E72FE">
            <w:pPr>
              <w:spacing w:before="100" w:beforeAutospacing="1" w:after="100" w:afterAutospacing="1" w:line="240" w:lineRule="auto"/>
            </w:pPr>
            <w:proofErr w:type="spellStart"/>
            <w:r>
              <w:rPr>
                <w:i/>
                <w:iCs/>
                <w:sz w:val="20"/>
                <w:szCs w:val="20"/>
              </w:rPr>
              <w:t>Boldorini</w:t>
            </w:r>
            <w:proofErr w:type="spellEnd"/>
            <w:r>
              <w:rPr>
                <w:i/>
                <w:iCs/>
                <w:sz w:val="20"/>
                <w:szCs w:val="20"/>
              </w:rPr>
              <w:t xml:space="preserve"> et al., 2024</w:t>
            </w:r>
          </w:p>
        </w:tc>
      </w:tr>
      <w:tr w:rsidR="00D9312A" w14:paraId="3E4B609C" w14:textId="77777777">
        <w:tc>
          <w:tcPr>
            <w:tcW w:w="1870" w:type="dxa"/>
            <w:tcMar>
              <w:top w:w="80" w:type="dxa"/>
              <w:left w:w="100" w:type="dxa"/>
              <w:bottom w:w="80" w:type="dxa"/>
              <w:right w:w="100" w:type="dxa"/>
            </w:tcMar>
          </w:tcPr>
          <w:p w14:paraId="4C9B2FDF" w14:textId="77777777" w:rsidR="00D9312A" w:rsidRDefault="00000000" w:rsidP="001E72FE">
            <w:pPr>
              <w:spacing w:before="100" w:beforeAutospacing="1" w:after="100" w:afterAutospacing="1" w:line="240" w:lineRule="auto"/>
            </w:pPr>
            <w:r>
              <w:rPr>
                <w:sz w:val="20"/>
                <w:szCs w:val="20"/>
              </w:rPr>
              <w:t>Aphid predator communities</w:t>
            </w:r>
          </w:p>
        </w:tc>
        <w:tc>
          <w:tcPr>
            <w:tcW w:w="1870" w:type="dxa"/>
            <w:tcMar>
              <w:top w:w="80" w:type="dxa"/>
              <w:left w:w="100" w:type="dxa"/>
              <w:bottom w:w="80" w:type="dxa"/>
              <w:right w:w="100" w:type="dxa"/>
            </w:tcMar>
          </w:tcPr>
          <w:p w14:paraId="788862F0" w14:textId="77777777" w:rsidR="00D9312A" w:rsidRDefault="00000000" w:rsidP="001E72FE">
            <w:pPr>
              <w:spacing w:before="100" w:beforeAutospacing="1" w:after="100" w:afterAutospacing="1" w:line="240" w:lineRule="auto"/>
            </w:pPr>
            <w:r>
              <w:rPr>
                <w:sz w:val="20"/>
                <w:szCs w:val="20"/>
              </w:rPr>
              <w:t>Landscape complexity as a moderator of thermal variability</w:t>
            </w:r>
          </w:p>
        </w:tc>
        <w:tc>
          <w:tcPr>
            <w:tcW w:w="3927" w:type="dxa"/>
            <w:tcMar>
              <w:top w:w="80" w:type="dxa"/>
              <w:left w:w="100" w:type="dxa"/>
              <w:bottom w:w="80" w:type="dxa"/>
              <w:right w:w="100" w:type="dxa"/>
            </w:tcMar>
          </w:tcPr>
          <w:p w14:paraId="234884BB" w14:textId="77777777" w:rsidR="00D9312A" w:rsidRDefault="00000000" w:rsidP="001E72FE">
            <w:pPr>
              <w:spacing w:before="100" w:beforeAutospacing="1" w:after="100" w:afterAutospacing="1" w:line="240" w:lineRule="auto"/>
            </w:pPr>
            <w:r>
              <w:rPr>
                <w:sz w:val="20"/>
                <w:szCs w:val="20"/>
              </w:rPr>
              <w:t>Positive moderating effect: predator assemblages in complex landscapes show higher thermal resilience and more stable pest control.</w:t>
            </w:r>
          </w:p>
        </w:tc>
        <w:tc>
          <w:tcPr>
            <w:tcW w:w="1683" w:type="dxa"/>
            <w:tcMar>
              <w:top w:w="80" w:type="dxa"/>
              <w:left w:w="100" w:type="dxa"/>
              <w:bottom w:w="80" w:type="dxa"/>
              <w:right w:w="100" w:type="dxa"/>
            </w:tcMar>
          </w:tcPr>
          <w:p w14:paraId="3018B102" w14:textId="77777777" w:rsidR="00D9312A" w:rsidRDefault="00000000" w:rsidP="001E72FE">
            <w:pPr>
              <w:spacing w:before="100" w:beforeAutospacing="1" w:after="100" w:afterAutospacing="1" w:line="240" w:lineRule="auto"/>
            </w:pPr>
            <w:r>
              <w:rPr>
                <w:i/>
                <w:iCs/>
                <w:sz w:val="20"/>
                <w:szCs w:val="20"/>
              </w:rPr>
              <w:t xml:space="preserve">Feit et al., 2021; </w:t>
            </w:r>
            <w:proofErr w:type="spellStart"/>
            <w:r>
              <w:rPr>
                <w:i/>
                <w:iCs/>
                <w:sz w:val="20"/>
                <w:szCs w:val="20"/>
              </w:rPr>
              <w:t>Tscharntke</w:t>
            </w:r>
            <w:proofErr w:type="spellEnd"/>
            <w:r>
              <w:rPr>
                <w:i/>
                <w:iCs/>
                <w:sz w:val="20"/>
                <w:szCs w:val="20"/>
              </w:rPr>
              <w:t xml:space="preserve"> et al., 2007</w:t>
            </w:r>
          </w:p>
        </w:tc>
      </w:tr>
    </w:tbl>
    <w:p w14:paraId="6CC61411" w14:textId="77777777" w:rsidR="00D9312A" w:rsidRDefault="00000000" w:rsidP="001E72FE">
      <w:pPr>
        <w:spacing w:before="100" w:beforeAutospacing="1" w:after="100" w:afterAutospacing="1" w:line="240" w:lineRule="auto"/>
      </w:pPr>
      <w:r>
        <w:rPr>
          <w:i/>
          <w:iCs/>
          <w:sz w:val="20"/>
          <w:szCs w:val="20"/>
        </w:rPr>
        <w:t xml:space="preserve">Note. CO2 = carbon dioxide. Rows are organised from more specialist, </w:t>
      </w:r>
      <w:proofErr w:type="spellStart"/>
      <w:r>
        <w:rPr>
          <w:i/>
          <w:iCs/>
          <w:sz w:val="20"/>
          <w:szCs w:val="20"/>
        </w:rPr>
        <w:t>phenologically</w:t>
      </w:r>
      <w:proofErr w:type="spellEnd"/>
      <w:r>
        <w:rPr>
          <w:i/>
          <w:iCs/>
          <w:sz w:val="20"/>
          <w:szCs w:val="20"/>
        </w:rPr>
        <w:t xml:space="preserve"> constrained natural enemies (generally more climate-vulnerable) to more generalist, landscape-buffered natural enemy communities (generally more climate-resilient).</w:t>
      </w:r>
    </w:p>
    <w:p w14:paraId="05FCB063" w14:textId="77777777" w:rsidR="00D9312A" w:rsidRDefault="00000000" w:rsidP="001E72FE">
      <w:pPr>
        <w:pStyle w:val="Heading1"/>
        <w:spacing w:before="100" w:beforeAutospacing="1" w:after="100" w:afterAutospacing="1" w:line="240" w:lineRule="auto"/>
      </w:pPr>
      <w:r>
        <w:t>7. Case Studies in Climate-Driven Pest and Natural Enemy Dynamics</w:t>
      </w:r>
    </w:p>
    <w:p w14:paraId="4A078222" w14:textId="77777777" w:rsidR="00D9312A" w:rsidRDefault="00000000" w:rsidP="001E72FE">
      <w:pPr>
        <w:spacing w:before="100" w:beforeAutospacing="1" w:after="100" w:afterAutospacing="1" w:line="240" w:lineRule="auto"/>
        <w:jc w:val="both"/>
      </w:pPr>
      <w:r>
        <w:t>The mechanistic evidence reviewed in Sections 3 to 6 is drawn substantially from controlled or semi-controlled experimental systems. This section examines four applied case systems, selected because each has generated a sufficiently mature body of field and modelling evidence to test whether the mechanistic expectations established above are borne out, and because collectively they span a deliberately wide range of taxa, climatic zones and production systems: a highly polyphagous, non-diapausing migratory lepidopteran; forest bark beetles; a migratory orthopteran with an unusually direct climatic trigger; and temperate cereal aphid–</w:t>
      </w:r>
      <w:proofErr w:type="spellStart"/>
      <w:r>
        <w:t>parasitoid</w:t>
      </w:r>
      <w:proofErr w:type="spellEnd"/>
      <w:r>
        <w:t xml:space="preserve"> systems, which are treated more briefly here since they were addressed mechanistically in Section 6.</w:t>
      </w:r>
    </w:p>
    <w:p w14:paraId="1D1826B9" w14:textId="77777777" w:rsidR="00D9312A" w:rsidRDefault="00000000" w:rsidP="001E72FE">
      <w:pPr>
        <w:pStyle w:val="Heading2"/>
        <w:spacing w:before="100" w:beforeAutospacing="1" w:after="100" w:afterAutospacing="1" w:line="240" w:lineRule="auto"/>
      </w:pPr>
      <w:r>
        <w:lastRenderedPageBreak/>
        <w:t xml:space="preserve">7.1 Fall Armyworm (Spodoptera </w:t>
      </w:r>
      <w:proofErr w:type="spellStart"/>
      <w:r>
        <w:t>frugiperda</w:t>
      </w:r>
      <w:proofErr w:type="spellEnd"/>
      <w:r>
        <w:t>)</w:t>
      </w:r>
    </w:p>
    <w:p w14:paraId="42924EEA" w14:textId="77777777" w:rsidR="00D9312A" w:rsidRDefault="00000000" w:rsidP="001E72FE">
      <w:pPr>
        <w:spacing w:before="100" w:beforeAutospacing="1" w:after="100" w:afterAutospacing="1" w:line="240" w:lineRule="auto"/>
        <w:jc w:val="both"/>
      </w:pPr>
      <w:r>
        <w:t>The fall armyworm is native to the tropical and subtropical Americas but has, since 2016, spread rapidly through Africa, South and Southeast Asia and Oceania, and is now among the most economically significant migratory crop pests globally, attacking maize preferentially but also sorghum, rice and a wide range of other host plants (Zacarias, 2020; Yan et al., 2022). Its climate sensitivity is unusually direct because the species lacks a diapause mechanism, meaning that, unlike many temperate pests, its population dynamics are governed continuously by ambient temperature rather than being punctuated by an overwintering dormancy stage; this makes it an informative test case for the direct thermal mechanisms discussed in Section 3, since confounding effects of diapause timing are largely absent (Yan et al., 2022). Global bioclimatic suitability modelling projects that the area climatically suitable for the species will expand by between 12 and 44 per cent under future climate scenarios relative to the present day, with the largest projected increases in border regions between the United States and Canada, in sub-Saharan Africa and in central Europe, indicating that the species' invasive front is likely to continue advancing into regions currently at its climatic margin (Zacarias, 2020). Because the fall armyworm's spread has occurred over a sufficiently short period to be documented in near real time, it also offers a rare opportunity to compare model-projected range expansion against observed invasion trajectories, an opportunity not yet available for slower-moving range shifts in less mobile taxa.</w:t>
      </w:r>
    </w:p>
    <w:p w14:paraId="01EA3A55" w14:textId="77777777" w:rsidR="00D9312A" w:rsidRDefault="00000000" w:rsidP="001E72FE">
      <w:pPr>
        <w:pStyle w:val="Heading2"/>
        <w:spacing w:before="100" w:beforeAutospacing="1" w:after="100" w:afterAutospacing="1" w:line="240" w:lineRule="auto"/>
      </w:pPr>
      <w:r>
        <w:t>7.2 Bark Beetles in Coniferous Forests</w:t>
      </w:r>
    </w:p>
    <w:p w14:paraId="11CC81C2" w14:textId="77777777" w:rsidR="00D9312A" w:rsidRDefault="00000000" w:rsidP="001E72FE">
      <w:pPr>
        <w:spacing w:before="100" w:beforeAutospacing="1" w:after="100" w:afterAutospacing="1" w:line="240" w:lineRule="auto"/>
        <w:jc w:val="both"/>
      </w:pPr>
      <w:r>
        <w:t xml:space="preserve">Bark beetles, principally within the genera </w:t>
      </w:r>
      <w:r>
        <w:rPr>
          <w:i/>
          <w:iCs/>
        </w:rPr>
        <w:t>Ips</w:t>
      </w:r>
      <w:r>
        <w:t xml:space="preserve"> and </w:t>
      </w:r>
      <w:r>
        <w:rPr>
          <w:i/>
          <w:iCs/>
        </w:rPr>
        <w:t>Dendroctonus</w:t>
      </w:r>
      <w:r>
        <w:t xml:space="preserve">, provide the clearest documented instance within the reviewed literature of climate change directly precipitating outbreak-scale forest disturbance rather than merely modulating background pest pressure. A synthesis of the climate-effects literature on bark beetle–host tree systems concludes that extreme weather episodes attributable to anthropogenic climate change, particularly drought, have already measurably intensified the frequency and severity of bark beetle disturbance across coniferous forests in multiple regions, operating through two compounding mechanisms: reduced winter mortality of overwintering beetle life stages under milder winters, and reduced host tree resin-based defensive capacity under drought stress, which together increase both beetle survival and host susceptibility simultaneously (Jaime, Batllori and Lloret, 2024). This dual mechanism, in which climate change simultaneously benefits the pest directly and weakens the host plant's defences, distinguishes the bark beetle case from the more typical single-mechanism pathways discussed elsewhere in this review, and may partly explain why bark beetle outbreaks have proven among the most visually dramatic and economically costly instances of climate-attributed pest disturbance documented to date. The bark beetle case also illustrates a scale mismatch of direct relevance to natural enemy dynamics: because outbreak-phase bark beetle populations can expand far more rapidly than the specialist predator and </w:t>
      </w:r>
      <w:proofErr w:type="spellStart"/>
      <w:r>
        <w:t>parasitoid</w:t>
      </w:r>
      <w:proofErr w:type="spellEnd"/>
      <w:r>
        <w:t xml:space="preserve"> communities that regulate them at endemic densities, natural enemy populations are frequently unable to track outbreak-phase host density, a pattern consistent with the more general asymmetry between host and natural enemy population growth rates discussed in Section 6.</w:t>
      </w:r>
    </w:p>
    <w:p w14:paraId="6D9AAFC4" w14:textId="77777777" w:rsidR="00D9312A" w:rsidRDefault="00000000" w:rsidP="001E72FE">
      <w:pPr>
        <w:pStyle w:val="Heading2"/>
        <w:spacing w:before="100" w:beforeAutospacing="1" w:after="100" w:afterAutospacing="1" w:line="240" w:lineRule="auto"/>
      </w:pPr>
      <w:r>
        <w:t>7.3 Desert Locust (Schistocerca gregaria)</w:t>
      </w:r>
    </w:p>
    <w:p w14:paraId="6255DD33" w14:textId="31554C87" w:rsidR="00D9312A" w:rsidRDefault="00000000" w:rsidP="001E72FE">
      <w:pPr>
        <w:spacing w:before="100" w:beforeAutospacing="1" w:after="100" w:afterAutospacing="1" w:line="240" w:lineRule="auto"/>
        <w:jc w:val="both"/>
      </w:pPr>
      <w:r>
        <w:t xml:space="preserve">The desert locust offers an unusually direct illustration of a climatic teleconnection driving pest outbreak dynamics. Locust population dynamics are governed primarily by rainfall rather than by temperature: periods of drought suppress locust numbers by limiting the vegetation on </w:t>
      </w:r>
      <w:r>
        <w:lastRenderedPageBreak/>
        <w:t xml:space="preserve">which they depend, whereas anomalously heavy rainfall in the arid recession areas spanning West Africa to South Asia promotes rapid vegetation growth that supports the transition from the solitary to the destructive gregarious phase (Food and Agriculture Organization, </w:t>
      </w:r>
      <w:r w:rsidR="003A6EA6">
        <w:t>n.d.</w:t>
      </w:r>
      <w:r>
        <w:t>). The severe 2019 to 2021 desert locust upsurge across the Horn of Africa, the Arabian Peninsula and parts of South Asia has been linked by the Food and Agriculture Organization's technical monitoring to an unusually intense positive phase of the Indian Ocean Dipole, itself associated with anomalous warming of the western Indian Ocean, which produced markedly above-average rainfall and an elevated frequency of cyclones across the region during the preceding two years. This case illustrates a pathway distinct from the direct thermal and carbon dioxide mechanisms emphasised elsewhere in this review, namely a climate-driven shift in the frequency of extreme precipitation events acting through an intermediate ocean–atmosphere teleconnection, and underscores that the net agricultural risk from climate change cannot be inferred from mean temperature trends alone.</w:t>
      </w:r>
    </w:p>
    <w:p w14:paraId="1313D60E" w14:textId="77777777" w:rsidR="00D9312A" w:rsidRDefault="00000000" w:rsidP="001E72FE">
      <w:pPr>
        <w:pStyle w:val="Heading2"/>
        <w:spacing w:before="100" w:beforeAutospacing="1" w:after="100" w:afterAutospacing="1" w:line="240" w:lineRule="auto"/>
      </w:pPr>
      <w:r>
        <w:t>7.4 Cereal Aphid–</w:t>
      </w:r>
      <w:proofErr w:type="spellStart"/>
      <w:r>
        <w:t>Parasitoid</w:t>
      </w:r>
      <w:proofErr w:type="spellEnd"/>
      <w:r>
        <w:t xml:space="preserve"> Systems: A Synthesis Across Cases</w:t>
      </w:r>
    </w:p>
    <w:p w14:paraId="7B079978" w14:textId="77777777" w:rsidR="00D9312A" w:rsidRDefault="00000000" w:rsidP="001E72FE">
      <w:pPr>
        <w:spacing w:before="100" w:beforeAutospacing="1" w:after="100" w:afterAutospacing="1" w:line="240" w:lineRule="auto"/>
        <w:jc w:val="both"/>
      </w:pPr>
      <w:r>
        <w:t>Temperate cereal aphid–</w:t>
      </w:r>
      <w:proofErr w:type="spellStart"/>
      <w:r>
        <w:t>parasitoid</w:t>
      </w:r>
      <w:proofErr w:type="spellEnd"/>
      <w:r>
        <w:t xml:space="preserve"> systems, examined mechanistically in Section 6, merit brief synthesis alongside the preceding three cases because they most directly illustrate the </w:t>
      </w:r>
      <w:proofErr w:type="spellStart"/>
      <w:r>
        <w:t>tritrophic</w:t>
      </w:r>
      <w:proofErr w:type="spellEnd"/>
      <w:r>
        <w:t xml:space="preserve"> mechanism at the centre of this review, namely simultaneous strengthening of bottom-up and weakening of top-down forces under warming (Han et al., 2019). Considered together, the four cases indicate that no single climatic pathway dominates across pest systems: the fall armyworm case is governed principally by direct thermal physiology in the near-total absence of diapause; the bark beetle case by a compound mechanism combining reduced overwintering mortality with drought-weakened host defence; the desert locust case by precipitation extremes transmitted through an ocean–atmosphere teleconnection; and the cereal aphid case by the differential thermal sensitivity of a host and its specialist </w:t>
      </w:r>
      <w:proofErr w:type="spellStart"/>
      <w:r>
        <w:t>parasitoid</w:t>
      </w:r>
      <w:proofErr w:type="spellEnd"/>
      <w:r>
        <w:t>. This diversity of operative mechanisms across only four case systems cautions against extrapolating findings from any single well-studied system, such as the fall armyworm or bark beetles, to agricultural pests generally, and supports the more cautious, mechanism-specific approach to synthesis adopted throughout this review rather than a single unifying climate-pest model.</w:t>
      </w:r>
    </w:p>
    <w:p w14:paraId="6D978E3F" w14:textId="77777777" w:rsidR="00D9312A" w:rsidRDefault="00000000" w:rsidP="001E72FE">
      <w:pPr>
        <w:pStyle w:val="Heading1"/>
        <w:spacing w:before="100" w:beforeAutospacing="1" w:after="100" w:afterAutospacing="1" w:line="240" w:lineRule="auto"/>
      </w:pPr>
      <w:r>
        <w:t>8. Extreme Weather Events and Outbreak Dynamics</w:t>
      </w:r>
    </w:p>
    <w:p w14:paraId="6A38F840" w14:textId="24B95BF5" w:rsidR="00D9312A" w:rsidRDefault="00000000" w:rsidP="001E72FE">
      <w:pPr>
        <w:spacing w:before="100" w:beforeAutospacing="1" w:after="100" w:afterAutospacing="1" w:line="240" w:lineRule="auto"/>
        <w:jc w:val="both"/>
      </w:pPr>
      <w:r>
        <w:t xml:space="preserve">A recurring theme across the case systems examined in Section 7, and across the mechanistic literature reviewed in Sections 3 to 6, is that discrete extreme weather events, rather than gradual shifts in seasonal means, frequently function as the proximate trigger for pest outbreak or for the collapse of natural enemy regulation. This distinction carries direct implications for how climate-pest relationships should be modelled and communicated: a modelling or management framework calibrated solely to projected changes in mean temperature or mean annual rainfall risks systematically understating risk in systems where extremes, rather than means, are the operative driver. The desert locust case discussed in Section 7.3 is the clearest illustration within this review, since locust plague dynamics are driven by anomalous rainfall episodes and cyclone frequency rather than by any trend in mean precipitation (Food and Agriculture Organization, </w:t>
      </w:r>
      <w:r w:rsidR="003A6EA6">
        <w:t>n.d.</w:t>
      </w:r>
      <w:r>
        <w:t>). The bark beetle case provides a second, mechanistically distinct illustration, in which discrete drought episodes, rather than a gradual trend in mean precipitation, appear to be the proximate trigger for the weakening of host tree defences that precipitates outbreak-scale mortality (Jaime, Batllori and Lloret, 2024).</w:t>
      </w:r>
    </w:p>
    <w:p w14:paraId="2698A8B6" w14:textId="77777777" w:rsidR="00D9312A" w:rsidRDefault="00000000" w:rsidP="001E72FE">
      <w:pPr>
        <w:spacing w:before="100" w:beforeAutospacing="1" w:after="100" w:afterAutospacing="1" w:line="240" w:lineRule="auto"/>
        <w:jc w:val="both"/>
      </w:pPr>
      <w:r>
        <w:t xml:space="preserve">Extreme heat episodes, distinct from drought, constitute a further category of concern, with particular relevance to natural enemies. Because many predatory arthropods rely on active </w:t>
      </w:r>
      <w:r>
        <w:lastRenderedPageBreak/>
        <w:t>foraging behaviour that is itself temperature-sensitive, short-duration heat waves with high daytime temperature peaks have been reported to alter the locomotion, diurnal activity rhythm and preferred microhabitat location of predatory mirid bugs used in biological control, with corresponding reductions in realised pest suppression during and immediately following the heat event, independent of any change in predator survival or abundance (as characterised within the broader predator–prey climate literature synthesised in Section 6). This behavioural pathway, operating over hours to days rather than across a full generation, is mechanistically distinct from the phenological mismatch and thermal-optimum pathways discussed in Section 6, and indicates that even natural enemy populations that appear numerically stable across a season may experience transient, extreme-event-driven lapses in pest suppression efficacy that are difficult to detect without high-frequency field monitoring.</w:t>
      </w:r>
    </w:p>
    <w:p w14:paraId="498D1274" w14:textId="77777777" w:rsidR="00D9312A" w:rsidRDefault="00000000" w:rsidP="001E72FE">
      <w:pPr>
        <w:spacing w:before="100" w:beforeAutospacing="1" w:after="100" w:afterAutospacing="1" w:line="240" w:lineRule="auto"/>
        <w:jc w:val="both"/>
      </w:pPr>
      <w:r>
        <w:t>Increased climatic variability, as distinct from either mean change or discrete extreme events, has also been shown experimentally to disrupt host–</w:t>
      </w:r>
      <w:proofErr w:type="spellStart"/>
      <w:r>
        <w:t>parasitoid</w:t>
      </w:r>
      <w:proofErr w:type="spellEnd"/>
      <w:r>
        <w:t xml:space="preserve"> synchrony even where neither species' mean environment has changed, as demonstrated in the emerald ash borer–</w:t>
      </w:r>
      <w:proofErr w:type="spellStart"/>
      <w:r>
        <w:t>parasitoid</w:t>
      </w:r>
      <w:proofErr w:type="spellEnd"/>
      <w:r>
        <w:t xml:space="preserve"> system discussed in Section 6, where increased temperature and humidity variability delayed </w:t>
      </w:r>
      <w:proofErr w:type="spellStart"/>
      <w:r>
        <w:t>parasitoid</w:t>
      </w:r>
      <w:proofErr w:type="spellEnd"/>
      <w:r>
        <w:t xml:space="preserve"> emergence relative to host oviposition and reduced parasitism independently of any change in mean conditions (Wetherington et al., 2017). Taken together, the evidence reviewed in this section indicates that projections of climate-driven pest risk based solely on shifts in seasonal or annual mean climate variables are likely to be systematically incomplete, and that a fuller risk assessment requires explicit attention to the projected frequency and intensity of extreme and anomalous events, a point returned to in the discussion of forecasting approaches in Section 10 and in the Future Directions.</w:t>
      </w:r>
    </w:p>
    <w:p w14:paraId="4409B8CB" w14:textId="77777777" w:rsidR="00D9312A" w:rsidRDefault="00000000" w:rsidP="001E72FE">
      <w:pPr>
        <w:pStyle w:val="Heading1"/>
        <w:spacing w:before="100" w:beforeAutospacing="1" w:after="100" w:afterAutospacing="1" w:line="240" w:lineRule="auto"/>
      </w:pPr>
      <w:r>
        <w:t>9. Implications for Biological Control and Integrated Pest Management</w:t>
      </w:r>
    </w:p>
    <w:p w14:paraId="4403169E" w14:textId="77777777" w:rsidR="00D9312A" w:rsidRDefault="00000000" w:rsidP="001E72FE">
      <w:pPr>
        <w:spacing w:before="100" w:beforeAutospacing="1" w:after="100" w:afterAutospacing="1" w:line="240" w:lineRule="auto"/>
        <w:jc w:val="both"/>
      </w:pPr>
      <w:r>
        <w:t>The evidence synthesised in the preceding sections carries direct implications for the four principal tactics comprising integrated pest management, namely chemical insecticides, pheromone-based mating disruption, entomopathogens, and biological control using predatory and parasitic arthropods. A recent review examining the influence of climate, and temperature specifically, across all four tactics concludes that reliance on chemical insecticides is likely to increase simply because pest populations are projected to grow, but that the temperature-dependence of insecticide toxicity is itself complex and varies both between insecticide classes and between pest species, such that warming does not uniformly increase or decrease chemical control efficacy (Perrin et al., 2025). The same review finds that entomopathogens and their derivatives may see improved field efficacy under warming, since higher temperatures generally enhance the infectivity and pathogenicity of many entomopathogenic fungi, bacteria and nematodes, although the interacting effect of temperature on insect host immune competence remains difficult to predict and could, in some systems, offset this benefit. Biological control using predatory and parasitic arthropods is identified as the most climatically context-dependent of the four tactics, with outcomes reported to depend substantially on the specific relative thermal sensitivity of the pest and its natural enemy in each system, precisely the asymmetry emphasised throughout Section 6 of this review (Perrin et al., 2025).</w:t>
      </w:r>
    </w:p>
    <w:p w14:paraId="45878131" w14:textId="77777777" w:rsidR="00D9312A" w:rsidRDefault="00000000" w:rsidP="001E72FE">
      <w:pPr>
        <w:spacing w:before="100" w:beforeAutospacing="1" w:after="100" w:afterAutospacing="1" w:line="240" w:lineRule="auto"/>
        <w:jc w:val="both"/>
      </w:pPr>
      <w:r>
        <w:t>A central practical implication follows directly from the landscape-scale evidence discussed in Section 6: because structurally complex agricultural landscapes containing greater non-crop habitat area have been shown to support natural enemy communities with measurably higher thermal resilience and more temperature-stable pest suppression (Feit et al., 2021), landscape-level conservation of natural enemy habitat, already recommended on biodiversity and general pest-suppression grounds (</w:t>
      </w:r>
      <w:proofErr w:type="spellStart"/>
      <w:r>
        <w:t>Tscharntke</w:t>
      </w:r>
      <w:proofErr w:type="spellEnd"/>
      <w:r>
        <w:t xml:space="preserve"> et al., 2007), emerges from the climate-specific literature </w:t>
      </w:r>
      <w:r>
        <w:lastRenderedPageBreak/>
        <w:t>as one of the more directly evidence-supported adaptive management strategies currently available, in contrast to several other proposed adaptations for which the supporting evidence remains preliminary. This does not imply that landscape complexity is a complete substitute for climate-responsive management; rather, the evidence indicates it functions as a buffer that reduces, without eliminating, the vulnerability of biological control to climatic variability.</w:t>
      </w:r>
    </w:p>
    <w:p w14:paraId="7A740DD0" w14:textId="77777777" w:rsidR="00D9312A" w:rsidRDefault="00000000" w:rsidP="001E72FE">
      <w:pPr>
        <w:spacing w:before="100" w:beforeAutospacing="1" w:after="100" w:afterAutospacing="1" w:line="240" w:lineRule="auto"/>
        <w:jc w:val="both"/>
      </w:pPr>
      <w:r>
        <w:t xml:space="preserve">A second implication concerns the differential vulnerability of biological control tactics by natural enemy functional group, summarised in Table 3. Because host-specific </w:t>
      </w:r>
      <w:proofErr w:type="spellStart"/>
      <w:r>
        <w:t>parasitoids</w:t>
      </w:r>
      <w:proofErr w:type="spellEnd"/>
      <w:r>
        <w:t xml:space="preserve"> appear, on the balance of evidence reviewed in Section 6, more consistently vulnerable to phenological mismatch and thermal-optimum asymmetry than generalist predators or entomopathogens, integrated pest management programmes relying heavily on a single specialist </w:t>
      </w:r>
      <w:proofErr w:type="spellStart"/>
      <w:r>
        <w:t>parasitoid</w:t>
      </w:r>
      <w:proofErr w:type="spellEnd"/>
      <w:r>
        <w:t xml:space="preserve"> species may be structurally more exposed to climate-driven efficacy loss than programmes that combine multiple natural enemy functional groups, a diversification rationale that parallels, and is reinforced by, the ecological insurance logic underlying the landscape complexity findings discussed above (Feit et al., 2021).</w:t>
      </w:r>
    </w:p>
    <w:p w14:paraId="5142DCAC" w14:textId="77777777" w:rsidR="00D9312A" w:rsidRDefault="00000000" w:rsidP="001E72FE">
      <w:pPr>
        <w:spacing w:before="100" w:beforeAutospacing="1" w:after="100" w:afterAutospacing="1" w:line="240" w:lineRule="auto"/>
        <w:jc w:val="both"/>
      </w:pPr>
      <w:r>
        <w:t>Translating this evidence base into confident, specific management prescriptions is nonetheless constrained by a set of recurring methodological limitations, summarised in Table 4, which recur across the primary literature reviewed in this synthesis and which materially limit the confidence that can currently be placed in extrapolating findings beyond the specific systems in which they were generated.</w:t>
      </w:r>
    </w:p>
    <w:p w14:paraId="0D1892EC" w14:textId="77777777" w:rsidR="00D9312A" w:rsidRDefault="00000000" w:rsidP="001E72FE">
      <w:pPr>
        <w:spacing w:before="100" w:beforeAutospacing="1" w:after="100" w:afterAutospacing="1" w:line="240" w:lineRule="auto"/>
      </w:pPr>
      <w:r>
        <w:rPr>
          <w:b/>
          <w:bCs/>
        </w:rPr>
        <w:t>Table 4. Methodological limitations identified across the reviewed evidence base.</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83"/>
        <w:gridCol w:w="2805"/>
        <w:gridCol w:w="2992"/>
        <w:gridCol w:w="1870"/>
      </w:tblGrid>
      <w:tr w:rsidR="00D9312A" w14:paraId="5E2929DA" w14:textId="77777777">
        <w:trPr>
          <w:tblHeader/>
        </w:trPr>
        <w:tc>
          <w:tcPr>
            <w:tcW w:w="1683" w:type="dxa"/>
            <w:shd w:val="clear" w:color="auto" w:fill="D9D9D9"/>
            <w:tcMar>
              <w:top w:w="80" w:type="dxa"/>
              <w:left w:w="100" w:type="dxa"/>
              <w:bottom w:w="80" w:type="dxa"/>
              <w:right w:w="100" w:type="dxa"/>
            </w:tcMar>
          </w:tcPr>
          <w:p w14:paraId="02C91273" w14:textId="77777777" w:rsidR="00D9312A" w:rsidRDefault="00000000" w:rsidP="001E72FE">
            <w:pPr>
              <w:spacing w:before="100" w:beforeAutospacing="1" w:after="100" w:afterAutospacing="1" w:line="240" w:lineRule="auto"/>
            </w:pPr>
            <w:r>
              <w:rPr>
                <w:b/>
                <w:bCs/>
                <w:sz w:val="20"/>
                <w:szCs w:val="20"/>
              </w:rPr>
              <w:t>Limitation</w:t>
            </w:r>
          </w:p>
        </w:tc>
        <w:tc>
          <w:tcPr>
            <w:tcW w:w="2805" w:type="dxa"/>
            <w:shd w:val="clear" w:color="auto" w:fill="D9D9D9"/>
            <w:tcMar>
              <w:top w:w="80" w:type="dxa"/>
              <w:left w:w="100" w:type="dxa"/>
              <w:bottom w:w="80" w:type="dxa"/>
              <w:right w:w="100" w:type="dxa"/>
            </w:tcMar>
          </w:tcPr>
          <w:p w14:paraId="76D5676B" w14:textId="77777777" w:rsidR="00D9312A" w:rsidRDefault="00000000" w:rsidP="001E72FE">
            <w:pPr>
              <w:spacing w:before="100" w:beforeAutospacing="1" w:after="100" w:afterAutospacing="1" w:line="240" w:lineRule="auto"/>
            </w:pPr>
            <w:r>
              <w:rPr>
                <w:b/>
                <w:bCs/>
                <w:sz w:val="20"/>
                <w:szCs w:val="20"/>
              </w:rPr>
              <w:t>Description</w:t>
            </w:r>
          </w:p>
        </w:tc>
        <w:tc>
          <w:tcPr>
            <w:tcW w:w="2992" w:type="dxa"/>
            <w:shd w:val="clear" w:color="auto" w:fill="D9D9D9"/>
            <w:tcMar>
              <w:top w:w="80" w:type="dxa"/>
              <w:left w:w="100" w:type="dxa"/>
              <w:bottom w:w="80" w:type="dxa"/>
              <w:right w:w="100" w:type="dxa"/>
            </w:tcMar>
          </w:tcPr>
          <w:p w14:paraId="73ED6310" w14:textId="77777777" w:rsidR="00D9312A" w:rsidRDefault="00000000" w:rsidP="001E72FE">
            <w:pPr>
              <w:spacing w:before="100" w:beforeAutospacing="1" w:after="100" w:afterAutospacing="1" w:line="240" w:lineRule="auto"/>
            </w:pPr>
            <w:r>
              <w:rPr>
                <w:b/>
                <w:bCs/>
                <w:sz w:val="20"/>
                <w:szCs w:val="20"/>
              </w:rPr>
              <w:t>Implication for confidence</w:t>
            </w:r>
          </w:p>
        </w:tc>
        <w:tc>
          <w:tcPr>
            <w:tcW w:w="1870" w:type="dxa"/>
            <w:shd w:val="clear" w:color="auto" w:fill="D9D9D9"/>
            <w:tcMar>
              <w:top w:w="80" w:type="dxa"/>
              <w:left w:w="100" w:type="dxa"/>
              <w:bottom w:w="80" w:type="dxa"/>
              <w:right w:w="100" w:type="dxa"/>
            </w:tcMar>
          </w:tcPr>
          <w:p w14:paraId="74FE6302" w14:textId="77777777" w:rsidR="00D9312A" w:rsidRDefault="00000000" w:rsidP="001E72FE">
            <w:pPr>
              <w:spacing w:before="100" w:beforeAutospacing="1" w:after="100" w:afterAutospacing="1" w:line="240" w:lineRule="auto"/>
            </w:pPr>
            <w:r>
              <w:rPr>
                <w:b/>
                <w:bCs/>
                <w:sz w:val="20"/>
                <w:szCs w:val="20"/>
              </w:rPr>
              <w:t>Illustrative sources</w:t>
            </w:r>
          </w:p>
        </w:tc>
      </w:tr>
      <w:tr w:rsidR="00D9312A" w14:paraId="6961580D" w14:textId="77777777">
        <w:tc>
          <w:tcPr>
            <w:tcW w:w="1683" w:type="dxa"/>
            <w:tcMar>
              <w:top w:w="80" w:type="dxa"/>
              <w:left w:w="100" w:type="dxa"/>
              <w:bottom w:w="80" w:type="dxa"/>
              <w:right w:w="100" w:type="dxa"/>
            </w:tcMar>
          </w:tcPr>
          <w:p w14:paraId="6C378036" w14:textId="77777777" w:rsidR="00D9312A" w:rsidRDefault="00000000" w:rsidP="001E72FE">
            <w:pPr>
              <w:spacing w:before="100" w:beforeAutospacing="1" w:after="100" w:afterAutospacing="1" w:line="240" w:lineRule="auto"/>
            </w:pPr>
            <w:r>
              <w:rPr>
                <w:sz w:val="20"/>
                <w:szCs w:val="20"/>
              </w:rPr>
              <w:t>Single-factor manipulation</w:t>
            </w:r>
          </w:p>
        </w:tc>
        <w:tc>
          <w:tcPr>
            <w:tcW w:w="2805" w:type="dxa"/>
            <w:tcMar>
              <w:top w:w="80" w:type="dxa"/>
              <w:left w:w="100" w:type="dxa"/>
              <w:bottom w:w="80" w:type="dxa"/>
              <w:right w:w="100" w:type="dxa"/>
            </w:tcMar>
          </w:tcPr>
          <w:p w14:paraId="283E86AA" w14:textId="77777777" w:rsidR="00D9312A" w:rsidRDefault="00000000" w:rsidP="001E72FE">
            <w:pPr>
              <w:spacing w:before="100" w:beforeAutospacing="1" w:after="100" w:afterAutospacing="1" w:line="240" w:lineRule="auto"/>
            </w:pPr>
            <w:r>
              <w:rPr>
                <w:sz w:val="20"/>
                <w:szCs w:val="20"/>
              </w:rPr>
              <w:t>Many studies manipulate temperature, CO2 or precipitation independently rather than in combination.</w:t>
            </w:r>
          </w:p>
        </w:tc>
        <w:tc>
          <w:tcPr>
            <w:tcW w:w="2992" w:type="dxa"/>
            <w:tcMar>
              <w:top w:w="80" w:type="dxa"/>
              <w:left w:w="100" w:type="dxa"/>
              <w:bottom w:w="80" w:type="dxa"/>
              <w:right w:w="100" w:type="dxa"/>
            </w:tcMar>
          </w:tcPr>
          <w:p w14:paraId="01C0E2BB" w14:textId="77777777" w:rsidR="00D9312A" w:rsidRDefault="00000000" w:rsidP="001E72FE">
            <w:pPr>
              <w:spacing w:before="100" w:beforeAutospacing="1" w:after="100" w:afterAutospacing="1" w:line="240" w:lineRule="auto"/>
            </w:pPr>
            <w:r>
              <w:rPr>
                <w:sz w:val="20"/>
                <w:szCs w:val="20"/>
              </w:rPr>
              <w:t>May miss synergistic or antagonistic interactions between climate variables that dominate under real multifactor field conditions.</w:t>
            </w:r>
          </w:p>
        </w:tc>
        <w:tc>
          <w:tcPr>
            <w:tcW w:w="1870" w:type="dxa"/>
            <w:tcMar>
              <w:top w:w="80" w:type="dxa"/>
              <w:left w:w="100" w:type="dxa"/>
              <w:bottom w:w="80" w:type="dxa"/>
              <w:right w:w="100" w:type="dxa"/>
            </w:tcMar>
          </w:tcPr>
          <w:p w14:paraId="5FC6D189" w14:textId="77777777" w:rsidR="00D9312A" w:rsidRDefault="00000000" w:rsidP="001E72FE">
            <w:pPr>
              <w:spacing w:before="100" w:beforeAutospacing="1" w:after="100" w:afterAutospacing="1" w:line="240" w:lineRule="auto"/>
            </w:pPr>
            <w:r>
              <w:rPr>
                <w:i/>
                <w:iCs/>
                <w:sz w:val="20"/>
                <w:szCs w:val="20"/>
              </w:rPr>
              <w:t xml:space="preserve">Romo and </w:t>
            </w:r>
            <w:proofErr w:type="spellStart"/>
            <w:r>
              <w:rPr>
                <w:i/>
                <w:iCs/>
                <w:sz w:val="20"/>
                <w:szCs w:val="20"/>
              </w:rPr>
              <w:t>Tylianakis</w:t>
            </w:r>
            <w:proofErr w:type="spellEnd"/>
            <w:r>
              <w:rPr>
                <w:i/>
                <w:iCs/>
                <w:sz w:val="20"/>
                <w:szCs w:val="20"/>
              </w:rPr>
              <w:t>, 2013; Doan et al., 2021</w:t>
            </w:r>
          </w:p>
        </w:tc>
      </w:tr>
      <w:tr w:rsidR="00D9312A" w14:paraId="016B7FED" w14:textId="77777777">
        <w:tc>
          <w:tcPr>
            <w:tcW w:w="1683" w:type="dxa"/>
            <w:tcMar>
              <w:top w:w="80" w:type="dxa"/>
              <w:left w:w="100" w:type="dxa"/>
              <w:bottom w:w="80" w:type="dxa"/>
              <w:right w:w="100" w:type="dxa"/>
            </w:tcMar>
          </w:tcPr>
          <w:p w14:paraId="567BCF0D" w14:textId="77777777" w:rsidR="00D9312A" w:rsidRDefault="00000000" w:rsidP="001E72FE">
            <w:pPr>
              <w:spacing w:before="100" w:beforeAutospacing="1" w:after="100" w:afterAutospacing="1" w:line="240" w:lineRule="auto"/>
            </w:pPr>
            <w:r>
              <w:rPr>
                <w:sz w:val="20"/>
                <w:szCs w:val="20"/>
              </w:rPr>
              <w:t>Short experimental duration</w:t>
            </w:r>
          </w:p>
        </w:tc>
        <w:tc>
          <w:tcPr>
            <w:tcW w:w="2805" w:type="dxa"/>
            <w:tcMar>
              <w:top w:w="80" w:type="dxa"/>
              <w:left w:w="100" w:type="dxa"/>
              <w:bottom w:w="80" w:type="dxa"/>
              <w:right w:w="100" w:type="dxa"/>
            </w:tcMar>
          </w:tcPr>
          <w:p w14:paraId="66C307E0" w14:textId="77777777" w:rsidR="00D9312A" w:rsidRDefault="00000000" w:rsidP="001E72FE">
            <w:pPr>
              <w:spacing w:before="100" w:beforeAutospacing="1" w:after="100" w:afterAutospacing="1" w:line="240" w:lineRule="auto"/>
            </w:pPr>
            <w:r>
              <w:rPr>
                <w:sz w:val="20"/>
                <w:szCs w:val="20"/>
              </w:rPr>
              <w:t>Several key manipulative studies expose organisms for days rather than across a full generation or season.</w:t>
            </w:r>
          </w:p>
        </w:tc>
        <w:tc>
          <w:tcPr>
            <w:tcW w:w="2992" w:type="dxa"/>
            <w:tcMar>
              <w:top w:w="80" w:type="dxa"/>
              <w:left w:w="100" w:type="dxa"/>
              <w:bottom w:w="80" w:type="dxa"/>
              <w:right w:w="100" w:type="dxa"/>
            </w:tcMar>
          </w:tcPr>
          <w:p w14:paraId="63121AA1" w14:textId="77777777" w:rsidR="00D9312A" w:rsidRDefault="00000000" w:rsidP="001E72FE">
            <w:pPr>
              <w:spacing w:before="100" w:beforeAutospacing="1" w:after="100" w:afterAutospacing="1" w:line="240" w:lineRule="auto"/>
            </w:pPr>
            <w:r>
              <w:rPr>
                <w:sz w:val="20"/>
                <w:szCs w:val="20"/>
              </w:rPr>
              <w:t>Short-term survival or predation-success outcomes may not predict season-long phenological synchrony or multigenerational population dynamics.</w:t>
            </w:r>
          </w:p>
        </w:tc>
        <w:tc>
          <w:tcPr>
            <w:tcW w:w="1870" w:type="dxa"/>
            <w:tcMar>
              <w:top w:w="80" w:type="dxa"/>
              <w:left w:w="100" w:type="dxa"/>
              <w:bottom w:w="80" w:type="dxa"/>
              <w:right w:w="100" w:type="dxa"/>
            </w:tcMar>
          </w:tcPr>
          <w:p w14:paraId="48946ECD" w14:textId="77777777" w:rsidR="00D9312A" w:rsidRDefault="00000000" w:rsidP="001E72FE">
            <w:pPr>
              <w:spacing w:before="100" w:beforeAutospacing="1" w:after="100" w:afterAutospacing="1" w:line="240" w:lineRule="auto"/>
            </w:pPr>
            <w:r>
              <w:rPr>
                <w:i/>
                <w:iCs/>
                <w:sz w:val="20"/>
                <w:szCs w:val="20"/>
              </w:rPr>
              <w:t>Doan et al., 2021</w:t>
            </w:r>
          </w:p>
        </w:tc>
      </w:tr>
      <w:tr w:rsidR="00D9312A" w14:paraId="0EDDAFD5" w14:textId="77777777">
        <w:tc>
          <w:tcPr>
            <w:tcW w:w="1683" w:type="dxa"/>
            <w:tcMar>
              <w:top w:w="80" w:type="dxa"/>
              <w:left w:w="100" w:type="dxa"/>
              <w:bottom w:w="80" w:type="dxa"/>
              <w:right w:w="100" w:type="dxa"/>
            </w:tcMar>
          </w:tcPr>
          <w:p w14:paraId="14174539" w14:textId="77777777" w:rsidR="00D9312A" w:rsidRDefault="00000000" w:rsidP="001E72FE">
            <w:pPr>
              <w:spacing w:before="100" w:beforeAutospacing="1" w:after="100" w:afterAutospacing="1" w:line="240" w:lineRule="auto"/>
            </w:pPr>
            <w:r>
              <w:rPr>
                <w:sz w:val="20"/>
                <w:szCs w:val="20"/>
              </w:rPr>
              <w:t>Laboratory or short-term semi-field setting</w:t>
            </w:r>
          </w:p>
        </w:tc>
        <w:tc>
          <w:tcPr>
            <w:tcW w:w="2805" w:type="dxa"/>
            <w:tcMar>
              <w:top w:w="80" w:type="dxa"/>
              <w:left w:w="100" w:type="dxa"/>
              <w:bottom w:w="80" w:type="dxa"/>
              <w:right w:w="100" w:type="dxa"/>
            </w:tcMar>
          </w:tcPr>
          <w:p w14:paraId="5BC74FEF" w14:textId="77777777" w:rsidR="00D9312A" w:rsidRDefault="00000000" w:rsidP="001E72FE">
            <w:pPr>
              <w:spacing w:before="100" w:beforeAutospacing="1" w:after="100" w:afterAutospacing="1" w:line="240" w:lineRule="auto"/>
            </w:pPr>
            <w:r>
              <w:rPr>
                <w:sz w:val="20"/>
                <w:szCs w:val="20"/>
              </w:rPr>
              <w:t>Substantial evidence derives from controlled-chamber or brief field-enclosure assays rather than open-field, multi-season monitoring.</w:t>
            </w:r>
          </w:p>
        </w:tc>
        <w:tc>
          <w:tcPr>
            <w:tcW w:w="2992" w:type="dxa"/>
            <w:tcMar>
              <w:top w:w="80" w:type="dxa"/>
              <w:left w:w="100" w:type="dxa"/>
              <w:bottom w:w="80" w:type="dxa"/>
              <w:right w:w="100" w:type="dxa"/>
            </w:tcMar>
          </w:tcPr>
          <w:p w14:paraId="085259F5" w14:textId="77777777" w:rsidR="00D9312A" w:rsidRDefault="00000000" w:rsidP="001E72FE">
            <w:pPr>
              <w:spacing w:before="100" w:beforeAutospacing="1" w:after="100" w:afterAutospacing="1" w:line="240" w:lineRule="auto"/>
            </w:pPr>
            <w:r>
              <w:rPr>
                <w:sz w:val="20"/>
                <w:szCs w:val="20"/>
              </w:rPr>
              <w:t>Findings may not capture landscape-scale processes such as natural enemy spillover, dispersal or habitat buffering.</w:t>
            </w:r>
          </w:p>
        </w:tc>
        <w:tc>
          <w:tcPr>
            <w:tcW w:w="1870" w:type="dxa"/>
            <w:tcMar>
              <w:top w:w="80" w:type="dxa"/>
              <w:left w:w="100" w:type="dxa"/>
              <w:bottom w:w="80" w:type="dxa"/>
              <w:right w:w="100" w:type="dxa"/>
            </w:tcMar>
          </w:tcPr>
          <w:p w14:paraId="5A51CACB" w14:textId="77777777" w:rsidR="00D9312A" w:rsidRDefault="00000000" w:rsidP="001E72FE">
            <w:pPr>
              <w:spacing w:before="100" w:beforeAutospacing="1" w:after="100" w:afterAutospacing="1" w:line="240" w:lineRule="auto"/>
            </w:pPr>
            <w:r>
              <w:rPr>
                <w:i/>
                <w:iCs/>
                <w:sz w:val="20"/>
                <w:szCs w:val="20"/>
              </w:rPr>
              <w:t>Feit et al., 2021</w:t>
            </w:r>
          </w:p>
        </w:tc>
      </w:tr>
      <w:tr w:rsidR="00D9312A" w14:paraId="018CC253" w14:textId="77777777">
        <w:tc>
          <w:tcPr>
            <w:tcW w:w="1683" w:type="dxa"/>
            <w:tcMar>
              <w:top w:w="80" w:type="dxa"/>
              <w:left w:w="100" w:type="dxa"/>
              <w:bottom w:w="80" w:type="dxa"/>
              <w:right w:w="100" w:type="dxa"/>
            </w:tcMar>
          </w:tcPr>
          <w:p w14:paraId="69AF28F0" w14:textId="77777777" w:rsidR="00D9312A" w:rsidRDefault="00000000" w:rsidP="001E72FE">
            <w:pPr>
              <w:spacing w:before="100" w:beforeAutospacing="1" w:after="100" w:afterAutospacing="1" w:line="240" w:lineRule="auto"/>
            </w:pPr>
            <w:r>
              <w:rPr>
                <w:sz w:val="20"/>
                <w:szCs w:val="20"/>
              </w:rPr>
              <w:t>Geographic concentration</w:t>
            </w:r>
          </w:p>
        </w:tc>
        <w:tc>
          <w:tcPr>
            <w:tcW w:w="2805" w:type="dxa"/>
            <w:tcMar>
              <w:top w:w="80" w:type="dxa"/>
              <w:left w:w="100" w:type="dxa"/>
              <w:bottom w:w="80" w:type="dxa"/>
              <w:right w:w="100" w:type="dxa"/>
            </w:tcMar>
          </w:tcPr>
          <w:p w14:paraId="7FC25F9E" w14:textId="77777777" w:rsidR="00D9312A" w:rsidRDefault="00000000" w:rsidP="001E72FE">
            <w:pPr>
              <w:spacing w:before="100" w:beforeAutospacing="1" w:after="100" w:afterAutospacing="1" w:line="240" w:lineRule="auto"/>
            </w:pPr>
            <w:r>
              <w:rPr>
                <w:sz w:val="20"/>
                <w:szCs w:val="20"/>
              </w:rPr>
              <w:t>Much of the primary experimental literature originates from temperate systems in North America, Europe and China.</w:t>
            </w:r>
          </w:p>
        </w:tc>
        <w:tc>
          <w:tcPr>
            <w:tcW w:w="2992" w:type="dxa"/>
            <w:tcMar>
              <w:top w:w="80" w:type="dxa"/>
              <w:left w:w="100" w:type="dxa"/>
              <w:bottom w:w="80" w:type="dxa"/>
              <w:right w:w="100" w:type="dxa"/>
            </w:tcMar>
          </w:tcPr>
          <w:p w14:paraId="5EDB27D5" w14:textId="77777777" w:rsidR="00D9312A" w:rsidRDefault="00000000" w:rsidP="001E72FE">
            <w:pPr>
              <w:spacing w:before="100" w:beforeAutospacing="1" w:after="100" w:afterAutospacing="1" w:line="240" w:lineRule="auto"/>
            </w:pPr>
            <w:r>
              <w:rPr>
                <w:sz w:val="20"/>
                <w:szCs w:val="20"/>
              </w:rPr>
              <w:t>Limits confidence in extrapolating findings to tropical and subtropical smallholder systems, where much projected food-security risk is concentrated.</w:t>
            </w:r>
          </w:p>
        </w:tc>
        <w:tc>
          <w:tcPr>
            <w:tcW w:w="1870" w:type="dxa"/>
            <w:tcMar>
              <w:top w:w="80" w:type="dxa"/>
              <w:left w:w="100" w:type="dxa"/>
              <w:bottom w:w="80" w:type="dxa"/>
              <w:right w:w="100" w:type="dxa"/>
            </w:tcMar>
          </w:tcPr>
          <w:p w14:paraId="189404E7" w14:textId="77777777" w:rsidR="00D9312A" w:rsidRDefault="00000000" w:rsidP="001E72FE">
            <w:pPr>
              <w:spacing w:before="100" w:beforeAutospacing="1" w:after="100" w:afterAutospacing="1" w:line="240" w:lineRule="auto"/>
            </w:pPr>
            <w:r>
              <w:rPr>
                <w:i/>
                <w:iCs/>
                <w:sz w:val="20"/>
                <w:szCs w:val="20"/>
              </w:rPr>
              <w:t>Ma et al., 2025</w:t>
            </w:r>
          </w:p>
        </w:tc>
      </w:tr>
      <w:tr w:rsidR="00D9312A" w14:paraId="0422A687" w14:textId="77777777">
        <w:tc>
          <w:tcPr>
            <w:tcW w:w="1683" w:type="dxa"/>
            <w:tcMar>
              <w:top w:w="80" w:type="dxa"/>
              <w:left w:w="100" w:type="dxa"/>
              <w:bottom w:w="80" w:type="dxa"/>
              <w:right w:w="100" w:type="dxa"/>
            </w:tcMar>
          </w:tcPr>
          <w:p w14:paraId="1007AAAB" w14:textId="77777777" w:rsidR="00D9312A" w:rsidRDefault="00000000" w:rsidP="001E72FE">
            <w:pPr>
              <w:spacing w:before="100" w:beforeAutospacing="1" w:after="100" w:afterAutospacing="1" w:line="240" w:lineRule="auto"/>
            </w:pPr>
            <w:r>
              <w:rPr>
                <w:sz w:val="20"/>
                <w:szCs w:val="20"/>
              </w:rPr>
              <w:t>Model-choice and data-quality uncertainty in species distribution modelling</w:t>
            </w:r>
          </w:p>
        </w:tc>
        <w:tc>
          <w:tcPr>
            <w:tcW w:w="2805" w:type="dxa"/>
            <w:tcMar>
              <w:top w:w="80" w:type="dxa"/>
              <w:left w:w="100" w:type="dxa"/>
              <w:bottom w:w="80" w:type="dxa"/>
              <w:right w:w="100" w:type="dxa"/>
            </w:tcMar>
          </w:tcPr>
          <w:p w14:paraId="112B24A9" w14:textId="77777777" w:rsidR="00D9312A" w:rsidRDefault="00000000" w:rsidP="001E72FE">
            <w:pPr>
              <w:spacing w:before="100" w:beforeAutospacing="1" w:after="100" w:afterAutospacing="1" w:line="240" w:lineRule="auto"/>
            </w:pPr>
            <w:r>
              <w:rPr>
                <w:sz w:val="20"/>
                <w:szCs w:val="20"/>
              </w:rPr>
              <w:t>Projected range shifts vary with modelling algorithm and occurrence-data provenance, sometimes as much as with the climate scenario itself.</w:t>
            </w:r>
          </w:p>
        </w:tc>
        <w:tc>
          <w:tcPr>
            <w:tcW w:w="2992" w:type="dxa"/>
            <w:tcMar>
              <w:top w:w="80" w:type="dxa"/>
              <w:left w:w="100" w:type="dxa"/>
              <w:bottom w:w="80" w:type="dxa"/>
              <w:right w:w="100" w:type="dxa"/>
            </w:tcMar>
          </w:tcPr>
          <w:p w14:paraId="3F2A31C3" w14:textId="77777777" w:rsidR="00D9312A" w:rsidRDefault="00000000" w:rsidP="001E72FE">
            <w:pPr>
              <w:spacing w:before="100" w:beforeAutospacing="1" w:after="100" w:afterAutospacing="1" w:line="240" w:lineRule="auto"/>
            </w:pPr>
            <w:r>
              <w:rPr>
                <w:sz w:val="20"/>
                <w:szCs w:val="20"/>
              </w:rPr>
              <w:t>Single-model range-shift projections should be treated as illustrative rather than as precise forecasts.</w:t>
            </w:r>
          </w:p>
        </w:tc>
        <w:tc>
          <w:tcPr>
            <w:tcW w:w="1870" w:type="dxa"/>
            <w:tcMar>
              <w:top w:w="80" w:type="dxa"/>
              <w:left w:w="100" w:type="dxa"/>
              <w:bottom w:w="80" w:type="dxa"/>
              <w:right w:w="100" w:type="dxa"/>
            </w:tcMar>
          </w:tcPr>
          <w:p w14:paraId="50C3D72C" w14:textId="77777777" w:rsidR="00D9312A" w:rsidRDefault="00000000" w:rsidP="001E72FE">
            <w:pPr>
              <w:spacing w:before="100" w:beforeAutospacing="1" w:after="100" w:afterAutospacing="1" w:line="240" w:lineRule="auto"/>
            </w:pPr>
            <w:r>
              <w:rPr>
                <w:i/>
                <w:iCs/>
                <w:sz w:val="20"/>
                <w:szCs w:val="20"/>
              </w:rPr>
              <w:t xml:space="preserve">Meynard, </w:t>
            </w:r>
            <w:proofErr w:type="spellStart"/>
            <w:r>
              <w:rPr>
                <w:i/>
                <w:iCs/>
                <w:sz w:val="20"/>
                <w:szCs w:val="20"/>
              </w:rPr>
              <w:t>Migeon</w:t>
            </w:r>
            <w:proofErr w:type="spellEnd"/>
            <w:r>
              <w:rPr>
                <w:i/>
                <w:iCs/>
                <w:sz w:val="20"/>
                <w:szCs w:val="20"/>
              </w:rPr>
              <w:t xml:space="preserve"> and </w:t>
            </w:r>
            <w:proofErr w:type="spellStart"/>
            <w:r>
              <w:rPr>
                <w:i/>
                <w:iCs/>
                <w:sz w:val="20"/>
                <w:szCs w:val="20"/>
              </w:rPr>
              <w:t>Navajas</w:t>
            </w:r>
            <w:proofErr w:type="spellEnd"/>
            <w:r>
              <w:rPr>
                <w:i/>
                <w:iCs/>
                <w:sz w:val="20"/>
                <w:szCs w:val="20"/>
              </w:rPr>
              <w:t>, 2013</w:t>
            </w:r>
          </w:p>
        </w:tc>
      </w:tr>
      <w:tr w:rsidR="00D9312A" w14:paraId="5C30ED41" w14:textId="77777777">
        <w:tc>
          <w:tcPr>
            <w:tcW w:w="1683" w:type="dxa"/>
            <w:tcMar>
              <w:top w:w="80" w:type="dxa"/>
              <w:left w:w="100" w:type="dxa"/>
              <w:bottom w:w="80" w:type="dxa"/>
              <w:right w:w="100" w:type="dxa"/>
            </w:tcMar>
          </w:tcPr>
          <w:p w14:paraId="405B3FF7" w14:textId="77777777" w:rsidR="00D9312A" w:rsidRDefault="00000000" w:rsidP="001E72FE">
            <w:pPr>
              <w:spacing w:before="100" w:beforeAutospacing="1" w:after="100" w:afterAutospacing="1" w:line="240" w:lineRule="auto"/>
            </w:pPr>
            <w:r>
              <w:rPr>
                <w:sz w:val="20"/>
                <w:szCs w:val="20"/>
              </w:rPr>
              <w:lastRenderedPageBreak/>
              <w:t>Confounding between climatic and non-climatic drivers</w:t>
            </w:r>
          </w:p>
        </w:tc>
        <w:tc>
          <w:tcPr>
            <w:tcW w:w="2805" w:type="dxa"/>
            <w:tcMar>
              <w:top w:w="80" w:type="dxa"/>
              <w:left w:w="100" w:type="dxa"/>
              <w:bottom w:w="80" w:type="dxa"/>
              <w:right w:w="100" w:type="dxa"/>
            </w:tcMar>
          </w:tcPr>
          <w:p w14:paraId="07B1C60B" w14:textId="77777777" w:rsidR="00D9312A" w:rsidRDefault="00000000" w:rsidP="001E72FE">
            <w:pPr>
              <w:spacing w:before="100" w:beforeAutospacing="1" w:after="100" w:afterAutospacing="1" w:line="240" w:lineRule="auto"/>
            </w:pPr>
            <w:r>
              <w:rPr>
                <w:sz w:val="20"/>
                <w:szCs w:val="20"/>
              </w:rPr>
              <w:t>Long-term field trends in pest abundance reflect simultaneous change in agricultural practice, land use and climate.</w:t>
            </w:r>
          </w:p>
        </w:tc>
        <w:tc>
          <w:tcPr>
            <w:tcW w:w="2992" w:type="dxa"/>
            <w:tcMar>
              <w:top w:w="80" w:type="dxa"/>
              <w:left w:w="100" w:type="dxa"/>
              <w:bottom w:w="80" w:type="dxa"/>
              <w:right w:w="100" w:type="dxa"/>
            </w:tcMar>
          </w:tcPr>
          <w:p w14:paraId="4A074945" w14:textId="77777777" w:rsidR="00D9312A" w:rsidRDefault="00000000" w:rsidP="001E72FE">
            <w:pPr>
              <w:spacing w:before="100" w:beforeAutospacing="1" w:after="100" w:afterAutospacing="1" w:line="240" w:lineRule="auto"/>
            </w:pPr>
            <w:r>
              <w:rPr>
                <w:sz w:val="20"/>
                <w:szCs w:val="20"/>
              </w:rPr>
              <w:t>Attribution of observed pest trends to climate change alone can overstate climate's relative contribution where management change is not controlled for.</w:t>
            </w:r>
          </w:p>
        </w:tc>
        <w:tc>
          <w:tcPr>
            <w:tcW w:w="1870" w:type="dxa"/>
            <w:tcMar>
              <w:top w:w="80" w:type="dxa"/>
              <w:left w:w="100" w:type="dxa"/>
              <w:bottom w:w="80" w:type="dxa"/>
              <w:right w:w="100" w:type="dxa"/>
            </w:tcMar>
          </w:tcPr>
          <w:p w14:paraId="1492BB87" w14:textId="77777777" w:rsidR="00D9312A" w:rsidRDefault="00000000" w:rsidP="001E72FE">
            <w:pPr>
              <w:spacing w:before="100" w:beforeAutospacing="1" w:after="100" w:afterAutospacing="1" w:line="240" w:lineRule="auto"/>
            </w:pPr>
            <w:r>
              <w:rPr>
                <w:i/>
                <w:iCs/>
                <w:sz w:val="20"/>
                <w:szCs w:val="20"/>
              </w:rPr>
              <w:t>Sun et al., 2022</w:t>
            </w:r>
          </w:p>
        </w:tc>
      </w:tr>
    </w:tbl>
    <w:p w14:paraId="5C0AADD4" w14:textId="77777777" w:rsidR="00D9312A" w:rsidRDefault="00000000" w:rsidP="001E72FE">
      <w:pPr>
        <w:spacing w:before="100" w:beforeAutospacing="1" w:after="100" w:afterAutospacing="1" w:line="240" w:lineRule="auto"/>
      </w:pPr>
      <w:r>
        <w:rPr>
          <w:i/>
          <w:iCs/>
          <w:sz w:val="20"/>
          <w:szCs w:val="20"/>
        </w:rPr>
        <w:t>Note. CO2 = carbon dioxide. This table synthesises limitations discussed narratively across Sections 3–9 rather than reporting a formal, pre-registered risk-of-bias assessment.</w:t>
      </w:r>
    </w:p>
    <w:p w14:paraId="20BB8857" w14:textId="77777777" w:rsidR="00D9312A" w:rsidRDefault="00000000" w:rsidP="001E72FE">
      <w:pPr>
        <w:pStyle w:val="Heading1"/>
        <w:spacing w:before="100" w:beforeAutospacing="1" w:after="100" w:afterAutospacing="1" w:line="240" w:lineRule="auto"/>
      </w:pPr>
      <w:r>
        <w:t>10. Modelling and Forecasting Pest and Natural Enemy Responses to Climate Change</w:t>
      </w:r>
    </w:p>
    <w:p w14:paraId="556A41C7" w14:textId="77777777" w:rsidR="00D9312A" w:rsidRDefault="00000000" w:rsidP="001E72FE">
      <w:pPr>
        <w:spacing w:before="100" w:beforeAutospacing="1" w:after="100" w:afterAutospacing="1" w:line="240" w:lineRule="auto"/>
        <w:jc w:val="both"/>
      </w:pPr>
      <w:r>
        <w:t xml:space="preserve">Two broad modelling traditions recur across the literature reviewed in this synthesis. Correlative species distribution models, of the kind applied to the fall armyworm and to </w:t>
      </w:r>
      <w:proofErr w:type="spellStart"/>
      <w:r>
        <w:rPr>
          <w:i/>
          <w:iCs/>
        </w:rPr>
        <w:t>Tetranychus</w:t>
      </w:r>
      <w:proofErr w:type="spellEnd"/>
      <w:r>
        <w:rPr>
          <w:i/>
          <w:iCs/>
        </w:rPr>
        <w:t xml:space="preserve"> </w:t>
      </w:r>
      <w:proofErr w:type="spellStart"/>
      <w:r>
        <w:rPr>
          <w:i/>
          <w:iCs/>
        </w:rPr>
        <w:t>evansi</w:t>
      </w:r>
      <w:proofErr w:type="spellEnd"/>
      <w:r>
        <w:t xml:space="preserve"> in Section 7 and Section 5 respectively, relate current species occurrence records statistically to a set of climatic predictor variables and then project the fitted relationship onto future climate scenarios; these models are comparatively straightforward to implement given adequate occurrence data and are accordingly the most widely used approach within the reviewed pest distribution literature (Meynard, </w:t>
      </w:r>
      <w:proofErr w:type="spellStart"/>
      <w:r>
        <w:t>Migeon</w:t>
      </w:r>
      <w:proofErr w:type="spellEnd"/>
      <w:r>
        <w:t xml:space="preserve"> and </w:t>
      </w:r>
      <w:proofErr w:type="spellStart"/>
      <w:r>
        <w:t>Navajas</w:t>
      </w:r>
      <w:proofErr w:type="spellEnd"/>
      <w:r>
        <w:t xml:space="preserve">, 2013). Mechanistic, physiologically explicit models, by contrast, incorporate directly measured developmental thresholds, thermal performance curves and, in some cases, diapause cues, and project population or distributional outcomes from these underlying physiological parameters rather than from statistical association with occurrence records; such models are used less frequently within the reviewed literature, in substantial part because they require considerably more extensive laboratory characterisation of the focal species' thermal biology than correlative approaches demand (as characterised in Meynard, </w:t>
      </w:r>
      <w:proofErr w:type="spellStart"/>
      <w:r>
        <w:t>Migeon</w:t>
      </w:r>
      <w:proofErr w:type="spellEnd"/>
      <w:r>
        <w:t xml:space="preserve"> and </w:t>
      </w:r>
      <w:proofErr w:type="spellStart"/>
      <w:r>
        <w:t>Navajas</w:t>
      </w:r>
      <w:proofErr w:type="spellEnd"/>
      <w:r>
        <w:t>, 2013).</w:t>
      </w:r>
    </w:p>
    <w:p w14:paraId="686A56C4" w14:textId="77777777" w:rsidR="00D9312A" w:rsidRDefault="00000000" w:rsidP="001E72FE">
      <w:pPr>
        <w:spacing w:before="100" w:beforeAutospacing="1" w:after="100" w:afterAutospacing="1" w:line="240" w:lineRule="auto"/>
        <w:jc w:val="both"/>
      </w:pPr>
      <w:r>
        <w:t>Both modelling traditions share a structural limitation of direct relevance to this review's central theme: the overwhelming majority of published species distribution models address the pest species alone, without incorporating the distribution or thermal biology of its principal natural enemies. Because Section 6 establishes that pest and natural enemy populations frequently diverge in their thermal responses even within a shared location, a model projecting only the pest's future range is liable to overstate the effective, realised increase in pest pressure wherever the pest's natural enemy community fails to track the pest into newly suitable areas, or conversely to understate pest release wherever natural enemy decline outpaces any range contraction in the pest itself. Modelling frameworks that jointly project pest and natural enemy distributions, rather than the pest alone, remain comparatively rare within the reviewed literature and constitute one of the more consequential methodological gaps identified by this review, addressed further in the Future Directions.</w:t>
      </w:r>
    </w:p>
    <w:p w14:paraId="528F977C" w14:textId="30945396" w:rsidR="00D9312A" w:rsidRDefault="00000000" w:rsidP="001E72FE">
      <w:pPr>
        <w:spacing w:before="100" w:beforeAutospacing="1" w:after="100" w:afterAutospacing="1" w:line="240" w:lineRule="auto"/>
        <w:jc w:val="both"/>
      </w:pPr>
      <w:r>
        <w:t xml:space="preserve">A further limitation concerns the treatment of climatic variability and extreme events within forecasting frameworks. Because Section 8 establishes that discrete extreme events and short-term climatic variability, rather than shifts in seasonal means alone, frequently function as the proximate trigger for outbreak dynamics in systems such as the desert locust and bark beetles, forecasting approaches calibrated primarily to projected changes in mean climate variables are likely to be systematically less informative for these variability-driven systems than for systems, such as the fall armyworm, whose population dynamics are governed more directly by mean thermal conditions. Operational locust forecasting, of the kind conducted by the Food and Agriculture Organization's Locust Watch programme, already incorporates monitoring of </w:t>
      </w:r>
      <w:r>
        <w:lastRenderedPageBreak/>
        <w:t xml:space="preserve">ocean–atmosphere teleconnections such as the Indian Ocean Dipole specifically because mean-climate projections alone have proved insufficient for this purpose (Food and Agriculture Organization, </w:t>
      </w:r>
      <w:r w:rsidR="003A6EA6">
        <w:t>n.d.</w:t>
      </w:r>
      <w:r>
        <w:t>), and this operational precedent may offer a template for incorporating variability-sensitive indicators into forecasting frameworks for other climatically volatile pest systems.</w:t>
      </w:r>
    </w:p>
    <w:p w14:paraId="69B35AAB" w14:textId="77777777" w:rsidR="00D9312A" w:rsidRDefault="00000000" w:rsidP="001E72FE">
      <w:pPr>
        <w:pStyle w:val="Heading1"/>
        <w:spacing w:before="100" w:beforeAutospacing="1" w:after="100" w:afterAutospacing="1" w:line="240" w:lineRule="auto"/>
      </w:pPr>
      <w:r>
        <w:t>Future Directions</w:t>
      </w:r>
    </w:p>
    <w:p w14:paraId="20AA3E2C" w14:textId="77777777" w:rsidR="00D9312A" w:rsidRDefault="00000000" w:rsidP="001E72FE">
      <w:pPr>
        <w:spacing w:before="100" w:beforeAutospacing="1" w:after="100" w:afterAutospacing="1" w:line="240" w:lineRule="auto"/>
        <w:jc w:val="both"/>
      </w:pPr>
      <w:r>
        <w:t xml:space="preserve">The most immediate research priority identified by this review is the systematic extension of manipulative climate experiments from single-factor, single-generation designs towards multifactorial, multigenerational designs that combine temperature, carbon dioxide and precipitation manipulation within a single experimental framework. As documented in Sections 4 and 8, the limited number of studies that have applied combined climatic treatments, such as the four-taxon natural enemy exposure reported by Doan et al. (2021) and the temperature–drought interaction reported by Romo and </w:t>
      </w:r>
      <w:proofErr w:type="spellStart"/>
      <w:r>
        <w:t>Tylianakis</w:t>
      </w:r>
      <w:proofErr w:type="spellEnd"/>
      <w:r>
        <w:t xml:space="preserve"> (2013), have in each case identified interaction effects not predictable from single-factor studies alone, indicating that the current evidence base, still dominated by single-factor designs, is likely to be systematically biased in ways that cannot be corrected by further single-factor replication. Because such experiments are resource-intensive, this priority is best pursued through coordinated, multi-site networks capable of sharing standardised protocols and climatic treatment specifications across research groups, an approach that would also address the geographic concentration of existing evidence identified in Table 4 by deliberately incorporating tropical and subtropical field sites alongside the temperate sites that currently dominate the literature.</w:t>
      </w:r>
    </w:p>
    <w:p w14:paraId="3E1FCE9D" w14:textId="77777777" w:rsidR="00D9312A" w:rsidRDefault="00000000" w:rsidP="001E72FE">
      <w:pPr>
        <w:spacing w:before="100" w:beforeAutospacing="1" w:after="100" w:afterAutospacing="1" w:line="240" w:lineRule="auto"/>
        <w:jc w:val="both"/>
      </w:pPr>
      <w:r>
        <w:t>A second immediate priority concerns the extension of experimental exposure durations beyond the days-to-</w:t>
      </w:r>
      <w:proofErr w:type="spellStart"/>
      <w:r>
        <w:t>weeks</w:t>
      </w:r>
      <w:proofErr w:type="spellEnd"/>
      <w:r>
        <w:t xml:space="preserve"> timescale that characterises much of the existing manipulative literature towards full-season and, where feasible, multigenerational designs capable of capturing phenological synchrony and cumulative population dynamics rather than short-term survival or predation-success endpoints alone. Because Section 6 documents that short-duration studies more frequently report natural enemy resilience than do studies tracking seasonal-scale phenological synchrony, resolving whether this pattern reflects a genuine timescale-dependent divergence in climate sensitivity, or merely reflects differences in the specific taxa and outcome measures examined by shorter- versus longer-duration studies, is a tractable and consequential empirical question that existing infrastructure, including the long-term agricultural research stations already used for studies such as Han et al. (2019), is well placed to address.</w:t>
      </w:r>
    </w:p>
    <w:p w14:paraId="65463274" w14:textId="77777777" w:rsidR="00D9312A" w:rsidRDefault="00000000" w:rsidP="001E72FE">
      <w:pPr>
        <w:spacing w:before="100" w:beforeAutospacing="1" w:after="100" w:afterAutospacing="1" w:line="240" w:lineRule="auto"/>
        <w:jc w:val="both"/>
      </w:pPr>
      <w:r>
        <w:t>A longer-term but methodologically more demanding priority is the development of coupled species distribution and population models that jointly project pest and natural enemy responses to climate change within a shared spatial and temporal framework, rather than modelling pest distribution alone, as identified in Section 10. Because such joint models require detailed thermal-performance data for natural enemies, which are currently available for substantially fewer species than are equivalent data for their pest hosts, this priority would benefit from a coordinated effort to characterise the thermal biology of the natural enemy species most heavily relied upon in commercial biological control programmes, prioritised by economic importance and by data availability for their associated pest hosts, so that joint pest–natural enemy projections become feasible for a meaningful subset of economically important systems within a reasonable timeframe.</w:t>
      </w:r>
    </w:p>
    <w:p w14:paraId="510A68AD" w14:textId="77777777" w:rsidR="00D9312A" w:rsidRDefault="00000000" w:rsidP="001E72FE">
      <w:pPr>
        <w:spacing w:before="100" w:beforeAutospacing="1" w:after="100" w:afterAutospacing="1" w:line="240" w:lineRule="auto"/>
        <w:jc w:val="both"/>
      </w:pPr>
      <w:r>
        <w:lastRenderedPageBreak/>
        <w:t>A further longer-term priority concerns the explicit incorporation of climatic variability and extreme-event frequency, rather than mean-climate change alone, into both experimental designs and forecasting frameworks, following the precedent set by operational locust monitoring discussed in Section 10. Because Section 8 indicates that variability-driven systems such as the desert locust and bark beetles are poorly served by mean-climate-calibrated forecasts, extending variability-sensitive monitoring approaches to additional climatically volatile pest systems, potentially including other migratory orthopterans and drought-sensitive forest pests beyond those examined in this review, represents a policy-relevant extension of an approach already operationally validated in at least one major pest system.</w:t>
      </w:r>
    </w:p>
    <w:p w14:paraId="175E9B34" w14:textId="77777777" w:rsidR="00D9312A" w:rsidRDefault="00000000" w:rsidP="001E72FE">
      <w:pPr>
        <w:spacing w:before="100" w:beforeAutospacing="1" w:after="100" w:afterAutospacing="1" w:line="240" w:lineRule="auto"/>
        <w:jc w:val="both"/>
      </w:pPr>
      <w:r>
        <w:t>Finally, given the landscape complexity findings discussed in Sections 6 and 9, a policy-relevant and comparatively tractable near-term priority is the systematic evaluation of non-crop habitat conservation and landscape diversification as a climate adaptation strategy specifically, rather than solely as a general biodiversity or pest-suppression measure as it has predominantly been evaluated to date. Because the existing evidence linking landscape complexity to climate-resilient biological control derives substantially from a single well-designed but geographically limited study system (Feit et al., 2021), replicating this specific climate-resilience framework across additional crop systems, climatic zones and landscape gradients would materially strengthen the evidentiary basis for what is currently one of the more promising, but still narrowly evidenced, adaptive management recommendations to emerge from this review. Table 5 summarises these priorities alongside an indicative distinction between near-term and longer-term research needs.</w:t>
      </w:r>
    </w:p>
    <w:p w14:paraId="2374D204" w14:textId="77777777" w:rsidR="00D9312A" w:rsidRDefault="00000000" w:rsidP="001E72FE">
      <w:pPr>
        <w:spacing w:before="100" w:beforeAutospacing="1" w:after="100" w:afterAutospacing="1" w:line="240" w:lineRule="auto"/>
      </w:pPr>
      <w:r>
        <w:rPr>
          <w:b/>
          <w:bCs/>
        </w:rPr>
        <w:t>Table 5. Research priorities identified by this review.</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70"/>
        <w:gridCol w:w="2805"/>
        <w:gridCol w:w="2992"/>
        <w:gridCol w:w="1683"/>
      </w:tblGrid>
      <w:tr w:rsidR="00D9312A" w14:paraId="73F75139" w14:textId="77777777">
        <w:trPr>
          <w:tblHeader/>
        </w:trPr>
        <w:tc>
          <w:tcPr>
            <w:tcW w:w="1870" w:type="dxa"/>
            <w:shd w:val="clear" w:color="auto" w:fill="D9D9D9"/>
            <w:tcMar>
              <w:top w:w="80" w:type="dxa"/>
              <w:left w:w="100" w:type="dxa"/>
              <w:bottom w:w="80" w:type="dxa"/>
              <w:right w:w="100" w:type="dxa"/>
            </w:tcMar>
          </w:tcPr>
          <w:p w14:paraId="53A998CD" w14:textId="77777777" w:rsidR="00D9312A" w:rsidRDefault="00000000" w:rsidP="001E72FE">
            <w:pPr>
              <w:spacing w:before="100" w:beforeAutospacing="1" w:after="100" w:afterAutospacing="1" w:line="240" w:lineRule="auto"/>
            </w:pPr>
            <w:r>
              <w:rPr>
                <w:b/>
                <w:bCs/>
                <w:sz w:val="20"/>
                <w:szCs w:val="20"/>
              </w:rPr>
              <w:t>Priority</w:t>
            </w:r>
          </w:p>
        </w:tc>
        <w:tc>
          <w:tcPr>
            <w:tcW w:w="2805" w:type="dxa"/>
            <w:shd w:val="clear" w:color="auto" w:fill="D9D9D9"/>
            <w:tcMar>
              <w:top w:w="80" w:type="dxa"/>
              <w:left w:w="100" w:type="dxa"/>
              <w:bottom w:w="80" w:type="dxa"/>
              <w:right w:w="100" w:type="dxa"/>
            </w:tcMar>
          </w:tcPr>
          <w:p w14:paraId="2C57D6E7" w14:textId="77777777" w:rsidR="00D9312A" w:rsidRDefault="00000000" w:rsidP="001E72FE">
            <w:pPr>
              <w:spacing w:before="100" w:beforeAutospacing="1" w:after="100" w:afterAutospacing="1" w:line="240" w:lineRule="auto"/>
            </w:pPr>
            <w:r>
              <w:rPr>
                <w:b/>
                <w:bCs/>
                <w:sz w:val="20"/>
                <w:szCs w:val="20"/>
              </w:rPr>
              <w:t>Why current evidence is inadequate</w:t>
            </w:r>
          </w:p>
        </w:tc>
        <w:tc>
          <w:tcPr>
            <w:tcW w:w="2992" w:type="dxa"/>
            <w:shd w:val="clear" w:color="auto" w:fill="D9D9D9"/>
            <w:tcMar>
              <w:top w:w="80" w:type="dxa"/>
              <w:left w:w="100" w:type="dxa"/>
              <w:bottom w:w="80" w:type="dxa"/>
              <w:right w:w="100" w:type="dxa"/>
            </w:tcMar>
          </w:tcPr>
          <w:p w14:paraId="40DC1B02" w14:textId="77777777" w:rsidR="00D9312A" w:rsidRDefault="00000000" w:rsidP="001E72FE">
            <w:pPr>
              <w:spacing w:before="100" w:beforeAutospacing="1" w:after="100" w:afterAutospacing="1" w:line="240" w:lineRule="auto"/>
            </w:pPr>
            <w:r>
              <w:rPr>
                <w:b/>
                <w:bCs/>
                <w:sz w:val="20"/>
                <w:szCs w:val="20"/>
              </w:rPr>
              <w:t>Proposed approach</w:t>
            </w:r>
          </w:p>
        </w:tc>
        <w:tc>
          <w:tcPr>
            <w:tcW w:w="1683" w:type="dxa"/>
            <w:shd w:val="clear" w:color="auto" w:fill="D9D9D9"/>
            <w:tcMar>
              <w:top w:w="80" w:type="dxa"/>
              <w:left w:w="100" w:type="dxa"/>
              <w:bottom w:w="80" w:type="dxa"/>
              <w:right w:w="100" w:type="dxa"/>
            </w:tcMar>
          </w:tcPr>
          <w:p w14:paraId="5704F351" w14:textId="77777777" w:rsidR="00D9312A" w:rsidRDefault="00000000" w:rsidP="001E72FE">
            <w:pPr>
              <w:spacing w:before="100" w:beforeAutospacing="1" w:after="100" w:afterAutospacing="1" w:line="240" w:lineRule="auto"/>
            </w:pPr>
            <w:r>
              <w:rPr>
                <w:b/>
                <w:bCs/>
                <w:sz w:val="20"/>
                <w:szCs w:val="20"/>
              </w:rPr>
              <w:t>Indicative timescale</w:t>
            </w:r>
          </w:p>
        </w:tc>
      </w:tr>
      <w:tr w:rsidR="00D9312A" w14:paraId="584E0904" w14:textId="77777777">
        <w:tc>
          <w:tcPr>
            <w:tcW w:w="1870" w:type="dxa"/>
            <w:tcMar>
              <w:top w:w="80" w:type="dxa"/>
              <w:left w:w="100" w:type="dxa"/>
              <w:bottom w:w="80" w:type="dxa"/>
              <w:right w:w="100" w:type="dxa"/>
            </w:tcMar>
          </w:tcPr>
          <w:p w14:paraId="71F40000" w14:textId="77777777" w:rsidR="00D9312A" w:rsidRDefault="00000000" w:rsidP="001E72FE">
            <w:pPr>
              <w:spacing w:before="100" w:beforeAutospacing="1" w:after="100" w:afterAutospacing="1" w:line="240" w:lineRule="auto"/>
            </w:pPr>
            <w:r>
              <w:rPr>
                <w:sz w:val="20"/>
                <w:szCs w:val="20"/>
              </w:rPr>
              <w:t>Multifactorial, coordinated climate manipulation experiments</w:t>
            </w:r>
          </w:p>
        </w:tc>
        <w:tc>
          <w:tcPr>
            <w:tcW w:w="2805" w:type="dxa"/>
            <w:tcMar>
              <w:top w:w="80" w:type="dxa"/>
              <w:left w:w="100" w:type="dxa"/>
              <w:bottom w:w="80" w:type="dxa"/>
              <w:right w:w="100" w:type="dxa"/>
            </w:tcMar>
          </w:tcPr>
          <w:p w14:paraId="38B0E96D" w14:textId="77777777" w:rsidR="00D9312A" w:rsidRDefault="00000000" w:rsidP="001E72FE">
            <w:pPr>
              <w:spacing w:before="100" w:beforeAutospacing="1" w:after="100" w:afterAutospacing="1" w:line="240" w:lineRule="auto"/>
            </w:pPr>
            <w:r>
              <w:rPr>
                <w:sz w:val="20"/>
                <w:szCs w:val="20"/>
              </w:rPr>
              <w:t>Most manipulative studies vary one climatic factor at a time; interaction effects are documented but rarely characterised systematically.</w:t>
            </w:r>
          </w:p>
        </w:tc>
        <w:tc>
          <w:tcPr>
            <w:tcW w:w="2992" w:type="dxa"/>
            <w:tcMar>
              <w:top w:w="80" w:type="dxa"/>
              <w:left w:w="100" w:type="dxa"/>
              <w:bottom w:w="80" w:type="dxa"/>
              <w:right w:w="100" w:type="dxa"/>
            </w:tcMar>
          </w:tcPr>
          <w:p w14:paraId="75F7C3F3" w14:textId="77777777" w:rsidR="00D9312A" w:rsidRDefault="00000000" w:rsidP="001E72FE">
            <w:pPr>
              <w:spacing w:before="100" w:beforeAutospacing="1" w:after="100" w:afterAutospacing="1" w:line="240" w:lineRule="auto"/>
            </w:pPr>
            <w:r>
              <w:rPr>
                <w:sz w:val="20"/>
                <w:szCs w:val="20"/>
              </w:rPr>
              <w:t>Multi-site experimental networks applying standardised combined temperature, CO2 and precipitation treatments, including sites outside temperate regions.</w:t>
            </w:r>
          </w:p>
        </w:tc>
        <w:tc>
          <w:tcPr>
            <w:tcW w:w="1683" w:type="dxa"/>
            <w:tcMar>
              <w:top w:w="80" w:type="dxa"/>
              <w:left w:w="100" w:type="dxa"/>
              <w:bottom w:w="80" w:type="dxa"/>
              <w:right w:w="100" w:type="dxa"/>
            </w:tcMar>
          </w:tcPr>
          <w:p w14:paraId="3D253AD0" w14:textId="77777777" w:rsidR="00D9312A" w:rsidRDefault="00000000" w:rsidP="001E72FE">
            <w:pPr>
              <w:spacing w:before="100" w:beforeAutospacing="1" w:after="100" w:afterAutospacing="1" w:line="240" w:lineRule="auto"/>
            </w:pPr>
            <w:r>
              <w:rPr>
                <w:sz w:val="20"/>
                <w:szCs w:val="20"/>
              </w:rPr>
              <w:t>Near-term (immediate priority)</w:t>
            </w:r>
          </w:p>
        </w:tc>
      </w:tr>
      <w:tr w:rsidR="00D9312A" w14:paraId="39271553" w14:textId="77777777">
        <w:tc>
          <w:tcPr>
            <w:tcW w:w="1870" w:type="dxa"/>
            <w:tcMar>
              <w:top w:w="80" w:type="dxa"/>
              <w:left w:w="100" w:type="dxa"/>
              <w:bottom w:w="80" w:type="dxa"/>
              <w:right w:w="100" w:type="dxa"/>
            </w:tcMar>
          </w:tcPr>
          <w:p w14:paraId="44BCB4EC" w14:textId="77777777" w:rsidR="00D9312A" w:rsidRDefault="00000000" w:rsidP="001E72FE">
            <w:pPr>
              <w:spacing w:before="100" w:beforeAutospacing="1" w:after="100" w:afterAutospacing="1" w:line="240" w:lineRule="auto"/>
            </w:pPr>
            <w:r>
              <w:rPr>
                <w:sz w:val="20"/>
                <w:szCs w:val="20"/>
              </w:rPr>
              <w:t>Full-season and multigenerational exposure designs</w:t>
            </w:r>
          </w:p>
        </w:tc>
        <w:tc>
          <w:tcPr>
            <w:tcW w:w="2805" w:type="dxa"/>
            <w:tcMar>
              <w:top w:w="80" w:type="dxa"/>
              <w:left w:w="100" w:type="dxa"/>
              <w:bottom w:w="80" w:type="dxa"/>
              <w:right w:w="100" w:type="dxa"/>
            </w:tcMar>
          </w:tcPr>
          <w:p w14:paraId="16758CBE" w14:textId="77777777" w:rsidR="00D9312A" w:rsidRDefault="00000000" w:rsidP="001E72FE">
            <w:pPr>
              <w:spacing w:before="100" w:beforeAutospacing="1" w:after="100" w:afterAutospacing="1" w:line="240" w:lineRule="auto"/>
            </w:pPr>
            <w:r>
              <w:rPr>
                <w:sz w:val="20"/>
                <w:szCs w:val="20"/>
              </w:rPr>
              <w:t>Short-duration (days-to-weeks) studies dominate and may not predict season-long phenological or population outcomes.</w:t>
            </w:r>
          </w:p>
        </w:tc>
        <w:tc>
          <w:tcPr>
            <w:tcW w:w="2992" w:type="dxa"/>
            <w:tcMar>
              <w:top w:w="80" w:type="dxa"/>
              <w:left w:w="100" w:type="dxa"/>
              <w:bottom w:w="80" w:type="dxa"/>
              <w:right w:w="100" w:type="dxa"/>
            </w:tcMar>
          </w:tcPr>
          <w:p w14:paraId="36A501AE" w14:textId="77777777" w:rsidR="00D9312A" w:rsidRDefault="00000000" w:rsidP="001E72FE">
            <w:pPr>
              <w:spacing w:before="100" w:beforeAutospacing="1" w:after="100" w:afterAutospacing="1" w:line="240" w:lineRule="auto"/>
            </w:pPr>
            <w:r>
              <w:rPr>
                <w:sz w:val="20"/>
                <w:szCs w:val="20"/>
              </w:rPr>
              <w:t>Extend existing long-term field infrastructure to track phenological synchrony and multigenerational natural enemy dynamics.</w:t>
            </w:r>
          </w:p>
        </w:tc>
        <w:tc>
          <w:tcPr>
            <w:tcW w:w="1683" w:type="dxa"/>
            <w:tcMar>
              <w:top w:w="80" w:type="dxa"/>
              <w:left w:w="100" w:type="dxa"/>
              <w:bottom w:w="80" w:type="dxa"/>
              <w:right w:w="100" w:type="dxa"/>
            </w:tcMar>
          </w:tcPr>
          <w:p w14:paraId="733E53F0" w14:textId="77777777" w:rsidR="00D9312A" w:rsidRDefault="00000000" w:rsidP="001E72FE">
            <w:pPr>
              <w:spacing w:before="100" w:beforeAutospacing="1" w:after="100" w:afterAutospacing="1" w:line="240" w:lineRule="auto"/>
            </w:pPr>
            <w:r>
              <w:rPr>
                <w:sz w:val="20"/>
                <w:szCs w:val="20"/>
              </w:rPr>
              <w:t>Near-term (immediate priority)</w:t>
            </w:r>
          </w:p>
        </w:tc>
      </w:tr>
      <w:tr w:rsidR="00D9312A" w14:paraId="61C896A4" w14:textId="77777777">
        <w:tc>
          <w:tcPr>
            <w:tcW w:w="1870" w:type="dxa"/>
            <w:tcMar>
              <w:top w:w="80" w:type="dxa"/>
              <w:left w:w="100" w:type="dxa"/>
              <w:bottom w:w="80" w:type="dxa"/>
              <w:right w:w="100" w:type="dxa"/>
            </w:tcMar>
          </w:tcPr>
          <w:p w14:paraId="2B69E3CD" w14:textId="77777777" w:rsidR="00D9312A" w:rsidRDefault="00000000" w:rsidP="001E72FE">
            <w:pPr>
              <w:spacing w:before="100" w:beforeAutospacing="1" w:after="100" w:afterAutospacing="1" w:line="240" w:lineRule="auto"/>
            </w:pPr>
            <w:r>
              <w:rPr>
                <w:sz w:val="20"/>
                <w:szCs w:val="20"/>
              </w:rPr>
              <w:t>Coupled pest–natural enemy distribution and population models</w:t>
            </w:r>
          </w:p>
        </w:tc>
        <w:tc>
          <w:tcPr>
            <w:tcW w:w="2805" w:type="dxa"/>
            <w:tcMar>
              <w:top w:w="80" w:type="dxa"/>
              <w:left w:w="100" w:type="dxa"/>
              <w:bottom w:w="80" w:type="dxa"/>
              <w:right w:w="100" w:type="dxa"/>
            </w:tcMar>
          </w:tcPr>
          <w:p w14:paraId="1854F05D" w14:textId="77777777" w:rsidR="00D9312A" w:rsidRDefault="00000000" w:rsidP="001E72FE">
            <w:pPr>
              <w:spacing w:before="100" w:beforeAutospacing="1" w:after="100" w:afterAutospacing="1" w:line="240" w:lineRule="auto"/>
            </w:pPr>
            <w:r>
              <w:rPr>
                <w:sz w:val="20"/>
                <w:szCs w:val="20"/>
              </w:rPr>
              <w:t>Species distribution models overwhelmingly project pest ranges alone, omitting natural enemy thermal biology and distribution.</w:t>
            </w:r>
          </w:p>
        </w:tc>
        <w:tc>
          <w:tcPr>
            <w:tcW w:w="2992" w:type="dxa"/>
            <w:tcMar>
              <w:top w:w="80" w:type="dxa"/>
              <w:left w:w="100" w:type="dxa"/>
              <w:bottom w:w="80" w:type="dxa"/>
              <w:right w:w="100" w:type="dxa"/>
            </w:tcMar>
          </w:tcPr>
          <w:p w14:paraId="0D95DECE" w14:textId="77777777" w:rsidR="00D9312A" w:rsidRDefault="00000000" w:rsidP="001E72FE">
            <w:pPr>
              <w:spacing w:before="100" w:beforeAutospacing="1" w:after="100" w:afterAutospacing="1" w:line="240" w:lineRule="auto"/>
            </w:pPr>
            <w:r>
              <w:rPr>
                <w:sz w:val="20"/>
                <w:szCs w:val="20"/>
              </w:rPr>
              <w:t>Prioritised thermal-performance characterisation of economically important natural enemy species, feeding into joint projection frameworks.</w:t>
            </w:r>
          </w:p>
        </w:tc>
        <w:tc>
          <w:tcPr>
            <w:tcW w:w="1683" w:type="dxa"/>
            <w:tcMar>
              <w:top w:w="80" w:type="dxa"/>
              <w:left w:w="100" w:type="dxa"/>
              <w:bottom w:w="80" w:type="dxa"/>
              <w:right w:w="100" w:type="dxa"/>
            </w:tcMar>
          </w:tcPr>
          <w:p w14:paraId="49912F18" w14:textId="77777777" w:rsidR="00D9312A" w:rsidRDefault="00000000" w:rsidP="001E72FE">
            <w:pPr>
              <w:spacing w:before="100" w:beforeAutospacing="1" w:after="100" w:afterAutospacing="1" w:line="240" w:lineRule="auto"/>
            </w:pPr>
            <w:r>
              <w:rPr>
                <w:sz w:val="20"/>
                <w:szCs w:val="20"/>
              </w:rPr>
              <w:t>Longer-term</w:t>
            </w:r>
          </w:p>
        </w:tc>
      </w:tr>
      <w:tr w:rsidR="00D9312A" w14:paraId="375A3510" w14:textId="77777777">
        <w:tc>
          <w:tcPr>
            <w:tcW w:w="1870" w:type="dxa"/>
            <w:tcMar>
              <w:top w:w="80" w:type="dxa"/>
              <w:left w:w="100" w:type="dxa"/>
              <w:bottom w:w="80" w:type="dxa"/>
              <w:right w:w="100" w:type="dxa"/>
            </w:tcMar>
          </w:tcPr>
          <w:p w14:paraId="6747F322" w14:textId="77777777" w:rsidR="00D9312A" w:rsidRDefault="00000000" w:rsidP="001E72FE">
            <w:pPr>
              <w:spacing w:before="100" w:beforeAutospacing="1" w:after="100" w:afterAutospacing="1" w:line="240" w:lineRule="auto"/>
            </w:pPr>
            <w:r>
              <w:rPr>
                <w:sz w:val="20"/>
                <w:szCs w:val="20"/>
              </w:rPr>
              <w:t>Variability- and extreme-event-sensitive forecasting</w:t>
            </w:r>
          </w:p>
        </w:tc>
        <w:tc>
          <w:tcPr>
            <w:tcW w:w="2805" w:type="dxa"/>
            <w:tcMar>
              <w:top w:w="80" w:type="dxa"/>
              <w:left w:w="100" w:type="dxa"/>
              <w:bottom w:w="80" w:type="dxa"/>
              <w:right w:w="100" w:type="dxa"/>
            </w:tcMar>
          </w:tcPr>
          <w:p w14:paraId="4E474C39" w14:textId="77777777" w:rsidR="00D9312A" w:rsidRDefault="00000000" w:rsidP="001E72FE">
            <w:pPr>
              <w:spacing w:before="100" w:beforeAutospacing="1" w:after="100" w:afterAutospacing="1" w:line="240" w:lineRule="auto"/>
            </w:pPr>
            <w:r>
              <w:rPr>
                <w:sz w:val="20"/>
                <w:szCs w:val="20"/>
              </w:rPr>
              <w:t>Mean-climate-calibrated forecasts are shown to be poorly suited to variability-driven systems such as locusts and bark beetles.</w:t>
            </w:r>
          </w:p>
        </w:tc>
        <w:tc>
          <w:tcPr>
            <w:tcW w:w="2992" w:type="dxa"/>
            <w:tcMar>
              <w:top w:w="80" w:type="dxa"/>
              <w:left w:w="100" w:type="dxa"/>
              <w:bottom w:w="80" w:type="dxa"/>
              <w:right w:w="100" w:type="dxa"/>
            </w:tcMar>
          </w:tcPr>
          <w:p w14:paraId="2043FDA0" w14:textId="77777777" w:rsidR="00D9312A" w:rsidRDefault="00000000" w:rsidP="001E72FE">
            <w:pPr>
              <w:spacing w:before="100" w:beforeAutospacing="1" w:after="100" w:afterAutospacing="1" w:line="240" w:lineRule="auto"/>
            </w:pPr>
            <w:r>
              <w:rPr>
                <w:sz w:val="20"/>
                <w:szCs w:val="20"/>
              </w:rPr>
              <w:t>Extend teleconnection- and variability-sensitive monitoring, following the operational locust-forecasting precedent, to additional volatile pest systems.</w:t>
            </w:r>
          </w:p>
        </w:tc>
        <w:tc>
          <w:tcPr>
            <w:tcW w:w="1683" w:type="dxa"/>
            <w:tcMar>
              <w:top w:w="80" w:type="dxa"/>
              <w:left w:w="100" w:type="dxa"/>
              <w:bottom w:w="80" w:type="dxa"/>
              <w:right w:w="100" w:type="dxa"/>
            </w:tcMar>
          </w:tcPr>
          <w:p w14:paraId="6B65B193" w14:textId="77777777" w:rsidR="00D9312A" w:rsidRDefault="00000000" w:rsidP="001E72FE">
            <w:pPr>
              <w:spacing w:before="100" w:beforeAutospacing="1" w:after="100" w:afterAutospacing="1" w:line="240" w:lineRule="auto"/>
            </w:pPr>
            <w:r>
              <w:rPr>
                <w:sz w:val="20"/>
                <w:szCs w:val="20"/>
              </w:rPr>
              <w:t>Longer-term</w:t>
            </w:r>
          </w:p>
        </w:tc>
      </w:tr>
      <w:tr w:rsidR="00D9312A" w14:paraId="4B8DC3A0" w14:textId="77777777">
        <w:tc>
          <w:tcPr>
            <w:tcW w:w="1870" w:type="dxa"/>
            <w:tcMar>
              <w:top w:w="80" w:type="dxa"/>
              <w:left w:w="100" w:type="dxa"/>
              <w:bottom w:w="80" w:type="dxa"/>
              <w:right w:w="100" w:type="dxa"/>
            </w:tcMar>
          </w:tcPr>
          <w:p w14:paraId="1AB26694" w14:textId="77777777" w:rsidR="00D9312A" w:rsidRDefault="00000000" w:rsidP="001E72FE">
            <w:pPr>
              <w:spacing w:before="100" w:beforeAutospacing="1" w:after="100" w:afterAutospacing="1" w:line="240" w:lineRule="auto"/>
            </w:pPr>
            <w:r>
              <w:rPr>
                <w:sz w:val="20"/>
                <w:szCs w:val="20"/>
              </w:rPr>
              <w:t xml:space="preserve">Replicated evaluation of landscape complexity as a </w:t>
            </w:r>
            <w:r>
              <w:rPr>
                <w:sz w:val="20"/>
                <w:szCs w:val="20"/>
              </w:rPr>
              <w:lastRenderedPageBreak/>
              <w:t>climate-specific adaptation</w:t>
            </w:r>
          </w:p>
        </w:tc>
        <w:tc>
          <w:tcPr>
            <w:tcW w:w="2805" w:type="dxa"/>
            <w:tcMar>
              <w:top w:w="80" w:type="dxa"/>
              <w:left w:w="100" w:type="dxa"/>
              <w:bottom w:w="80" w:type="dxa"/>
              <w:right w:w="100" w:type="dxa"/>
            </w:tcMar>
          </w:tcPr>
          <w:p w14:paraId="49160558" w14:textId="77777777" w:rsidR="00D9312A" w:rsidRDefault="00000000" w:rsidP="001E72FE">
            <w:pPr>
              <w:spacing w:before="100" w:beforeAutospacing="1" w:after="100" w:afterAutospacing="1" w:line="240" w:lineRule="auto"/>
            </w:pPr>
            <w:r>
              <w:rPr>
                <w:sz w:val="20"/>
                <w:szCs w:val="20"/>
              </w:rPr>
              <w:lastRenderedPageBreak/>
              <w:t xml:space="preserve">Evidence linking landscape complexity to climate-resilient biological control derives from </w:t>
            </w:r>
            <w:r>
              <w:rPr>
                <w:sz w:val="20"/>
                <w:szCs w:val="20"/>
              </w:rPr>
              <w:lastRenderedPageBreak/>
              <w:t>a single, geographically limited study system.</w:t>
            </w:r>
          </w:p>
        </w:tc>
        <w:tc>
          <w:tcPr>
            <w:tcW w:w="2992" w:type="dxa"/>
            <w:tcMar>
              <w:top w:w="80" w:type="dxa"/>
              <w:left w:w="100" w:type="dxa"/>
              <w:bottom w:w="80" w:type="dxa"/>
              <w:right w:w="100" w:type="dxa"/>
            </w:tcMar>
          </w:tcPr>
          <w:p w14:paraId="6CD7E90B" w14:textId="77777777" w:rsidR="00D9312A" w:rsidRDefault="00000000" w:rsidP="001E72FE">
            <w:pPr>
              <w:spacing w:before="100" w:beforeAutospacing="1" w:after="100" w:afterAutospacing="1" w:line="240" w:lineRule="auto"/>
            </w:pPr>
            <w:r>
              <w:rPr>
                <w:sz w:val="20"/>
                <w:szCs w:val="20"/>
              </w:rPr>
              <w:lastRenderedPageBreak/>
              <w:t>Replicate the climate-resilience index and field design across additional crops, climatic zones and landscape gradients.</w:t>
            </w:r>
          </w:p>
        </w:tc>
        <w:tc>
          <w:tcPr>
            <w:tcW w:w="1683" w:type="dxa"/>
            <w:tcMar>
              <w:top w:w="80" w:type="dxa"/>
              <w:left w:w="100" w:type="dxa"/>
              <w:bottom w:w="80" w:type="dxa"/>
              <w:right w:w="100" w:type="dxa"/>
            </w:tcMar>
          </w:tcPr>
          <w:p w14:paraId="3214304D" w14:textId="77777777" w:rsidR="00D9312A" w:rsidRDefault="00000000" w:rsidP="001E72FE">
            <w:pPr>
              <w:spacing w:before="100" w:beforeAutospacing="1" w:after="100" w:afterAutospacing="1" w:line="240" w:lineRule="auto"/>
            </w:pPr>
            <w:r>
              <w:rPr>
                <w:sz w:val="20"/>
                <w:szCs w:val="20"/>
              </w:rPr>
              <w:t>Near-term (policy-relevant)</w:t>
            </w:r>
          </w:p>
        </w:tc>
      </w:tr>
    </w:tbl>
    <w:p w14:paraId="1896C02C" w14:textId="77777777" w:rsidR="00D9312A" w:rsidRDefault="00000000" w:rsidP="001E72FE">
      <w:pPr>
        <w:spacing w:before="100" w:beforeAutospacing="1" w:after="100" w:afterAutospacing="1" w:line="240" w:lineRule="auto"/>
      </w:pPr>
      <w:r>
        <w:rPr>
          <w:i/>
          <w:iCs/>
          <w:sz w:val="20"/>
          <w:szCs w:val="20"/>
        </w:rPr>
        <w:t>Note. CO2 = carbon dioxide. Timescale designations are indicative and reflect the authors' assessment of relative feasibility and urgency rather than a formal prioritisation exercise.</w:t>
      </w:r>
    </w:p>
    <w:p w14:paraId="6A5712CD" w14:textId="77777777" w:rsidR="00D9312A" w:rsidRDefault="00000000" w:rsidP="001E72FE">
      <w:pPr>
        <w:pStyle w:val="Heading1"/>
        <w:spacing w:before="100" w:beforeAutospacing="1" w:after="100" w:afterAutospacing="1" w:line="240" w:lineRule="auto"/>
      </w:pPr>
      <w:r>
        <w:t>Conclusions</w:t>
      </w:r>
    </w:p>
    <w:p w14:paraId="297932DE" w14:textId="77777777" w:rsidR="00D9312A" w:rsidRDefault="00000000" w:rsidP="001E72FE">
      <w:pPr>
        <w:spacing w:before="100" w:beforeAutospacing="1" w:after="100" w:afterAutospacing="1" w:line="240" w:lineRule="auto"/>
        <w:jc w:val="both"/>
      </w:pPr>
      <w:r>
        <w:t>This review set out to synthesise, on equal analytical footing, the evidence on how climate change affects agricultural insect pests and the natural enemies that regulate them, and to evaluate the implications of that combined evidence for crop protection. Several conclusions can be drawn with reasonable confidence from the evidence reviewed. Warming acts on insect pests through well-established and broadly consistent direct physiological mechanisms, accelerating development, increasing voltinism and, in many though not all systems, improving overwintering survival and facilitating range expansion into previously unsuitable areas. These direct effects are reinforced in numerous, though not universal, cases by indirect bottom-up effects mediated through host-plant nitrogen and defensive chemistry under elevated carbon dioxide, and by drought-mediated changes in plant chemical defence that depend strongly on drought severity and duration rather than acting in a single, uniform direction.</w:t>
      </w:r>
    </w:p>
    <w:p w14:paraId="29A133CF" w14:textId="77777777" w:rsidR="00D9312A" w:rsidRDefault="00000000" w:rsidP="001E72FE">
      <w:pPr>
        <w:spacing w:before="100" w:beforeAutospacing="1" w:after="100" w:afterAutospacing="1" w:line="240" w:lineRule="auto"/>
        <w:jc w:val="both"/>
      </w:pPr>
      <w:r>
        <w:t>The evidence on natural enemies is less uniform, and this heterogeneity is itself a substantive finding rather than a gap to be dismissed. A recurring and mechanistically coherent pattern across host–</w:t>
      </w:r>
      <w:proofErr w:type="spellStart"/>
      <w:r>
        <w:t>parasitoid</w:t>
      </w:r>
      <w:proofErr w:type="spellEnd"/>
      <w:r>
        <w:t xml:space="preserve"> systems is that specialist </w:t>
      </w:r>
      <w:proofErr w:type="spellStart"/>
      <w:r>
        <w:t>parasitoids</w:t>
      </w:r>
      <w:proofErr w:type="spellEnd"/>
      <w:r>
        <w:t>, owing to a combination of lower thermal optima than their hosts and a comparatively narrow window of phenological synchrony with host development, are disproportionately vulnerable to both directional warming and to increased climatic variability, in ways that can suppress biological control even where neither the pest nor the natural enemy population has measurably declined in abundance. Generalist predators and entomopathogens, by contrast, together with predator communities embedded within structurally complex, non-crop-rich landscapes, show more consistent evidence of functional resilience across the studies reviewed here, indicating that the overall trajectory of climate change is better characterised as a differential reweighting of which natural enemy functional groups remain reliable, rather than as a uniform collapse of biological control capacity.</w:t>
      </w:r>
    </w:p>
    <w:p w14:paraId="284D58C7" w14:textId="77777777" w:rsidR="00D9312A" w:rsidRDefault="00000000" w:rsidP="001E72FE">
      <w:pPr>
        <w:spacing w:before="100" w:beforeAutospacing="1" w:after="100" w:afterAutospacing="1" w:line="240" w:lineRule="auto"/>
        <w:jc w:val="both"/>
      </w:pPr>
      <w:r>
        <w:t>The four case systems examined in this review, spanning a non-diapausing migratory lepidopteran, forest bark beetles, a rainfall-triggered migratory orthopteran and temperate cereal aphid–</w:t>
      </w:r>
      <w:proofErr w:type="spellStart"/>
      <w:r>
        <w:t>parasitoid</w:t>
      </w:r>
      <w:proofErr w:type="spellEnd"/>
      <w:r>
        <w:t xml:space="preserve"> systems, illustrate that no single climatic pathway, whether direct thermal physiology, drought-weakened host defence, precipitation-driven teleconnection, or differential host–</w:t>
      </w:r>
      <w:proofErr w:type="spellStart"/>
      <w:r>
        <w:t>parasitoid</w:t>
      </w:r>
      <w:proofErr w:type="spellEnd"/>
      <w:r>
        <w:t xml:space="preserve"> thermal sensitivity, dominates across pest systems generally. This diversity of operative mechanisms is among the review's more consequential findings, since it implies that management and forecasting frameworks calibrated to any single well-studied system are unlikely to transfer reliably to pest systems governed by a different primary mechanism.</w:t>
      </w:r>
    </w:p>
    <w:p w14:paraId="3A539632" w14:textId="77777777" w:rsidR="00D9312A" w:rsidRDefault="00000000" w:rsidP="001E72FE">
      <w:pPr>
        <w:spacing w:before="100" w:beforeAutospacing="1" w:after="100" w:afterAutospacing="1" w:line="240" w:lineRule="auto"/>
        <w:jc w:val="both"/>
      </w:pPr>
      <w:r>
        <w:t xml:space="preserve">For crop protection practice, the clearest evidence-supported implication to emerge from this synthesis is that landscape-scale conservation of non-crop habitat, already recommended for general biodiversity and pest-suppression reasons independent of climate change, additionally confers measurable resilience of biological control specifically against climatic variability, and </w:t>
      </w:r>
      <w:r>
        <w:lastRenderedPageBreak/>
        <w:t>constitutes one of the more directly evidenced adaptive strategies currently available to practitioners, even though the evidentiary base for this specific claim remains narrower than would be desirable. Chemical, microbial and pheromone-based control tactics each face distinct, climate-mediated shifts in efficacy that are not uniformly positive or negative, underscoring that no single control tactic can be assumed immune to climate disruption and that management strategies combining multiple tactics and multiple natural enemy functional groups are likely to prove more robust than strategies reliant on any single approach. The overall picture that emerges is one of climate change generally, though not universally, favouring pests over their natural enemies, mediated through mechanisms that are increasingly well characterised at the level of individual systems but that remain incompletely integrated into a predictive framework capable of anticipating outcomes in systems not yet directly studied.</w:t>
      </w:r>
    </w:p>
    <w:p w14:paraId="33B5D614" w14:textId="77777777" w:rsidR="00D9312A" w:rsidRDefault="00000000" w:rsidP="001E72FE">
      <w:pPr>
        <w:pStyle w:val="Heading1"/>
        <w:spacing w:before="100" w:beforeAutospacing="1" w:after="100" w:afterAutospacing="1" w:line="240" w:lineRule="auto"/>
      </w:pPr>
      <w:r>
        <w:t>Limitations</w:t>
      </w:r>
    </w:p>
    <w:p w14:paraId="61E295E7" w14:textId="77777777" w:rsidR="00D9312A" w:rsidRDefault="00000000" w:rsidP="001E72FE">
      <w:pPr>
        <w:spacing w:before="100" w:beforeAutospacing="1" w:after="100" w:afterAutospacing="1" w:line="240" w:lineRule="auto"/>
        <w:jc w:val="both"/>
      </w:pPr>
      <w:r>
        <w:t>As with any narrative review, this synthesis is subject to the intrinsic limitations of the narrative review format, including the possibility of selection and interpretive bias in the choice and weighting of sources, notwithstanding the transparent search, eligibility and appraisal process described in Section 2. Because search and screening were conducted iteratively across multiple platforms rather than through a single systematic database export, the review cannot exclude the possibility that some relevant studies, particularly those published in venues outside the platforms consulted, were not identified.</w:t>
      </w:r>
    </w:p>
    <w:p w14:paraId="4C9DBA8D" w14:textId="77777777" w:rsidR="00D9312A" w:rsidRDefault="00000000" w:rsidP="001E72FE">
      <w:pPr>
        <w:spacing w:before="100" w:beforeAutospacing="1" w:after="100" w:afterAutospacing="1" w:line="240" w:lineRule="auto"/>
        <w:jc w:val="both"/>
      </w:pPr>
      <w:r>
        <w:t>Access to subscription-restricted bibliographic databases, including Web of Science, Scopus and Embase, was not available during preparation of this review, and the evidence base is accordingly drawn from openly accessible peer-reviewed literature, institutional sources, and publisher platforms reachable without subscription access. While the reviewed literature nonetheless spans a broad range of high-quality peer-reviewed outlets, this constraint may have led to under-representation of relevant findings published exclusively in subscription-only venues not otherwise indexed in the openly accessible sources consulted.</w:t>
      </w:r>
    </w:p>
    <w:p w14:paraId="5A0A81D2" w14:textId="77777777" w:rsidR="00D9312A" w:rsidRDefault="00000000" w:rsidP="001E72FE">
      <w:pPr>
        <w:spacing w:before="100" w:beforeAutospacing="1" w:after="100" w:afterAutospacing="1" w:line="240" w:lineRule="auto"/>
        <w:jc w:val="both"/>
      </w:pPr>
      <w:r>
        <w:t>The evidence base synthesised in this review is also geographically uneven, with a substantial majority of the primary experimental and field literature originating from temperate systems in North America, Europe and China, and comparatively less primary evidence available from tropical and subtropical smallholder farming systems, notwithstanding that such systems are frequently identified within the reviewed literature itself as facing disproportionate climate-related food security risk. Conclusions drawn in this review about the relative resilience or vulnerability of particular natural enemy functional groups should accordingly be regarded as most strongly supported for the temperate systems in which most underlying studies were conducted, and as provisional rather than established for under-represented regions and cropping systems.</w:t>
      </w:r>
    </w:p>
    <w:p w14:paraId="602343E2" w14:textId="77777777" w:rsidR="00D9312A" w:rsidRDefault="00000000" w:rsidP="001E72FE">
      <w:pPr>
        <w:spacing w:before="100" w:beforeAutospacing="1" w:after="100" w:afterAutospacing="1" w:line="240" w:lineRule="auto"/>
        <w:jc w:val="both"/>
      </w:pPr>
      <w:r>
        <w:t xml:space="preserve">Heterogeneity in study design, including substantial variation in the taxa, life stages, exposure durations, climatic treatment magnitudes and outcome measures used across the primary literature, precluded quantitative synthesis, and the conclusions offered in this review are accordingly qualitative and interpretive rather than derived from pooled statistical effect sizes. Much of the primary evidence, particularly regarding combined multifactor climate effects and multigenerational population dynamics, is drawn from a comparatively small number of methodologically rigorous but individually narrow studies, so that the review's conclusions on these specific points should be understood as provisional, pending replication across a broader </w:t>
      </w:r>
      <w:r>
        <w:lastRenderedPageBreak/>
        <w:t>range of systems, rather than as settled findings. Finally, this review relies substantially on observational field data and short- to medium-duration experimental manipulations, and offers only limited coverage of very long-term, multi-decadal field evidence, since the rapid recent development of this research field means that few study systems have yet accumulated observational records of sufficient duration to disentangle gradual climatic trends from the substantial year-to-year climatic and agronomic variability that characterises most agricultural systems.</w:t>
      </w:r>
    </w:p>
    <w:p w14:paraId="43F012D6" w14:textId="77777777" w:rsidR="00532E21" w:rsidRPr="00532E21" w:rsidRDefault="00532E21" w:rsidP="00532E21">
      <w:pPr>
        <w:spacing w:line="240" w:lineRule="auto"/>
        <w:rPr>
          <w:rFonts w:eastAsia="Calibri"/>
          <w:b/>
          <w:sz w:val="22"/>
          <w:szCs w:val="22"/>
          <w:lang w:val="en-US" w:eastAsia="en-US"/>
        </w:rPr>
      </w:pPr>
      <w:r w:rsidRPr="00532E21">
        <w:rPr>
          <w:rFonts w:eastAsia="Calibri"/>
          <w:b/>
          <w:sz w:val="22"/>
          <w:szCs w:val="22"/>
          <w:lang w:val="en-US" w:eastAsia="en-US"/>
        </w:rPr>
        <w:t>Declaration of AI Use</w:t>
      </w:r>
    </w:p>
    <w:p w14:paraId="6C0F7E7F" w14:textId="77777777" w:rsidR="00532E21" w:rsidRPr="00532E21" w:rsidRDefault="00532E21" w:rsidP="00532E21">
      <w:pPr>
        <w:spacing w:line="240" w:lineRule="auto"/>
        <w:rPr>
          <w:rFonts w:eastAsia="Calibri"/>
          <w:sz w:val="22"/>
          <w:szCs w:val="22"/>
          <w:lang w:val="en-US" w:eastAsia="en-US"/>
        </w:rPr>
      </w:pPr>
    </w:p>
    <w:p w14:paraId="2974B76A" w14:textId="77777777" w:rsidR="00532E21" w:rsidRPr="00532E21" w:rsidRDefault="00532E21" w:rsidP="00532E21">
      <w:pPr>
        <w:spacing w:line="240" w:lineRule="auto"/>
        <w:jc w:val="both"/>
        <w:rPr>
          <w:rFonts w:eastAsia="Calibri"/>
          <w:sz w:val="22"/>
          <w:szCs w:val="22"/>
          <w:lang w:val="en-US" w:eastAsia="en-US"/>
        </w:rPr>
      </w:pPr>
      <w:r w:rsidRPr="00532E21">
        <w:rPr>
          <w:rFonts w:eastAsia="Calibri"/>
          <w:sz w:val="22"/>
          <w:szCs w:val="22"/>
          <w:lang w:val="en-US" w:eastAsia="en-US"/>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7DAD18EC" w14:textId="77777777" w:rsidR="00532E21" w:rsidRPr="00532E21" w:rsidRDefault="00532E21" w:rsidP="00532E21">
      <w:pPr>
        <w:spacing w:line="240" w:lineRule="auto"/>
        <w:jc w:val="both"/>
        <w:rPr>
          <w:rFonts w:eastAsia="Calibri"/>
          <w:sz w:val="22"/>
          <w:szCs w:val="22"/>
          <w:lang w:val="en-US" w:eastAsia="en-US"/>
        </w:rPr>
      </w:pPr>
    </w:p>
    <w:p w14:paraId="74A21782" w14:textId="77777777" w:rsidR="00532E21" w:rsidRPr="00532E21" w:rsidRDefault="00532E21" w:rsidP="00532E21">
      <w:pPr>
        <w:spacing w:line="240" w:lineRule="auto"/>
        <w:jc w:val="both"/>
        <w:rPr>
          <w:rFonts w:eastAsia="Calibri"/>
          <w:sz w:val="22"/>
          <w:szCs w:val="22"/>
          <w:lang w:val="en-US" w:eastAsia="en-US"/>
        </w:rPr>
      </w:pPr>
    </w:p>
    <w:p w14:paraId="096CC726" w14:textId="0C0C211D" w:rsidR="00532E21" w:rsidRPr="00532E21" w:rsidRDefault="00532E21" w:rsidP="00532E21">
      <w:pPr>
        <w:spacing w:after="200" w:line="276" w:lineRule="auto"/>
        <w:rPr>
          <w:rFonts w:ascii="Cambria" w:hAnsi="Cambria" w:cs="Arial"/>
          <w:b/>
          <w:bCs/>
          <w:sz w:val="22"/>
          <w:szCs w:val="22"/>
        </w:rPr>
      </w:pPr>
      <w:r w:rsidRPr="00532E21">
        <w:rPr>
          <w:rFonts w:ascii="Cambria" w:hAnsi="Cambria" w:cs="Arial"/>
          <w:b/>
          <w:bCs/>
          <w:sz w:val="22"/>
          <w:szCs w:val="22"/>
        </w:rPr>
        <w:t>COMPETING INTERESTS:</w:t>
      </w:r>
    </w:p>
    <w:p w14:paraId="3EF3DC46" w14:textId="395E4E8C" w:rsidR="00532E21" w:rsidRPr="00090507" w:rsidRDefault="00532E21" w:rsidP="00090507">
      <w:pPr>
        <w:spacing w:after="200" w:line="276" w:lineRule="auto"/>
        <w:rPr>
          <w:rFonts w:ascii="Cambria" w:hAnsi="Cambria"/>
          <w:sz w:val="22"/>
          <w:szCs w:val="22"/>
        </w:rPr>
      </w:pPr>
      <w:r w:rsidRPr="00532E21">
        <w:rPr>
          <w:rFonts w:ascii="Cambria" w:hAnsi="Cambria" w:cs="Arial"/>
          <w:sz w:val="22"/>
          <w:szCs w:val="22"/>
        </w:rPr>
        <w:t>Authors have declared that they have no known competing financial interests OR non-financial interests OR personal relationships that could have appeared to influence the work reported in this paper.</w:t>
      </w:r>
    </w:p>
    <w:p w14:paraId="2C56516F" w14:textId="77777777" w:rsidR="00532E21" w:rsidRDefault="00532E21" w:rsidP="001E72FE">
      <w:pPr>
        <w:spacing w:before="100" w:beforeAutospacing="1" w:after="100" w:afterAutospacing="1" w:line="240" w:lineRule="auto"/>
        <w:jc w:val="both"/>
      </w:pPr>
    </w:p>
    <w:p w14:paraId="067EC74D" w14:textId="77777777" w:rsidR="00D9312A" w:rsidRDefault="00000000" w:rsidP="001E72FE">
      <w:pPr>
        <w:pStyle w:val="Heading1"/>
        <w:spacing w:before="100" w:beforeAutospacing="1" w:after="100" w:afterAutospacing="1" w:line="240" w:lineRule="auto"/>
      </w:pPr>
      <w:r>
        <w:t>References</w:t>
      </w:r>
    </w:p>
    <w:p w14:paraId="450B91B7" w14:textId="77777777" w:rsidR="003A6EA6" w:rsidRPr="003A6EA6" w:rsidRDefault="003A6EA6" w:rsidP="003A6EA6">
      <w:pPr>
        <w:spacing w:before="100" w:beforeAutospacing="1" w:after="100" w:afterAutospacing="1" w:line="240" w:lineRule="auto"/>
        <w:rPr>
          <w:lang w:val="en-US" w:eastAsia="en-US"/>
        </w:rPr>
      </w:pPr>
      <w:proofErr w:type="spellStart"/>
      <w:r w:rsidRPr="003A6EA6">
        <w:rPr>
          <w:lang w:val="en-US" w:eastAsia="en-US"/>
        </w:rPr>
        <w:t>Baethge</w:t>
      </w:r>
      <w:proofErr w:type="spellEnd"/>
      <w:r w:rsidRPr="003A6EA6">
        <w:rPr>
          <w:lang w:val="en-US" w:eastAsia="en-US"/>
        </w:rPr>
        <w:t xml:space="preserve">, C., Goldbeck-Wood, S., &amp; Mertens, S. (2019). SANRA—A scale for the quality assessment of narrative review articles. </w:t>
      </w:r>
      <w:r w:rsidRPr="003A6EA6">
        <w:rPr>
          <w:i/>
          <w:iCs/>
          <w:lang w:val="en-US" w:eastAsia="en-US"/>
        </w:rPr>
        <w:t>Research Integrity and Peer Review, 4</w:t>
      </w:r>
      <w:r w:rsidRPr="003A6EA6">
        <w:rPr>
          <w:lang w:val="en-US" w:eastAsia="en-US"/>
        </w:rPr>
        <w:t xml:space="preserve">, Article 5. </w:t>
      </w:r>
      <w:hyperlink r:id="rId8" w:history="1">
        <w:r w:rsidRPr="003A6EA6">
          <w:rPr>
            <w:color w:val="0000FF"/>
            <w:u w:val="single"/>
            <w:lang w:val="en-US" w:eastAsia="en-US"/>
          </w:rPr>
          <w:t>https://doi.org/10.1186/s41073-019-0064-8</w:t>
        </w:r>
      </w:hyperlink>
    </w:p>
    <w:p w14:paraId="67E1FBEF" w14:textId="77777777" w:rsidR="003A6EA6" w:rsidRPr="003A6EA6" w:rsidRDefault="003A6EA6" w:rsidP="003A6EA6">
      <w:pPr>
        <w:spacing w:before="100" w:beforeAutospacing="1" w:after="100" w:afterAutospacing="1" w:line="240" w:lineRule="auto"/>
        <w:rPr>
          <w:lang w:val="en-US" w:eastAsia="en-US"/>
        </w:rPr>
      </w:pPr>
      <w:r w:rsidRPr="003A6EA6">
        <w:rPr>
          <w:lang w:val="en-US" w:eastAsia="en-US"/>
        </w:rPr>
        <w:t xml:space="preserve">Bale, J. S., Masters, G. J., Hodkinson, I. D., Awmack, C., Bezemer, T. M., Brown, V. K., Butterfield, J., Buse, A., Coulson, J. C., Farrar, J., Good, J. E. G., Harrington, R., Hartley, S., Jones, T. H., Lindroth, R. L., Press, M. C., Symrnioudis, I., Watt, A. D., &amp; Whittaker, J. B. (2002). Herbivory in global climate change research: Direct effects of rising temperature on insect herbivores. </w:t>
      </w:r>
      <w:r w:rsidRPr="003A6EA6">
        <w:rPr>
          <w:i/>
          <w:iCs/>
          <w:lang w:val="en-US" w:eastAsia="en-US"/>
        </w:rPr>
        <w:t>Global Change Biology, 8</w:t>
      </w:r>
      <w:r w:rsidRPr="003A6EA6">
        <w:rPr>
          <w:lang w:val="en-US" w:eastAsia="en-US"/>
        </w:rPr>
        <w:t xml:space="preserve">(1), 1–16. </w:t>
      </w:r>
      <w:hyperlink r:id="rId9" w:history="1">
        <w:r w:rsidRPr="003A6EA6">
          <w:rPr>
            <w:color w:val="0000FF"/>
            <w:u w:val="single"/>
            <w:lang w:val="en-US" w:eastAsia="en-US"/>
          </w:rPr>
          <w:t>https://doi.org/10.1046/j.1365-2486.2002.00451.x</w:t>
        </w:r>
      </w:hyperlink>
    </w:p>
    <w:p w14:paraId="638AF396" w14:textId="77777777" w:rsidR="003A6EA6" w:rsidRPr="003A6EA6" w:rsidRDefault="003A6EA6" w:rsidP="003A6EA6">
      <w:pPr>
        <w:spacing w:before="100" w:beforeAutospacing="1" w:after="100" w:afterAutospacing="1" w:line="240" w:lineRule="auto"/>
        <w:rPr>
          <w:lang w:val="en-US" w:eastAsia="en-US"/>
        </w:rPr>
      </w:pPr>
      <w:proofErr w:type="spellStart"/>
      <w:r w:rsidRPr="003A6EA6">
        <w:rPr>
          <w:lang w:val="en-US" w:eastAsia="en-US"/>
        </w:rPr>
        <w:t>Boldorini</w:t>
      </w:r>
      <w:proofErr w:type="spellEnd"/>
      <w:r w:rsidRPr="003A6EA6">
        <w:rPr>
          <w:lang w:val="en-US" w:eastAsia="en-US"/>
        </w:rPr>
        <w:t xml:space="preserve">, G. X., McCary, M. A., Romero, G. Q., Mills, K. L., Sanders, N. J., Reich, P. B., Michalko, R., &amp; Gonçalves-Souza, T. (2024). Predators control pests and increase yield across crop types and climates: A meta-analysis. </w:t>
      </w:r>
      <w:r w:rsidRPr="003A6EA6">
        <w:rPr>
          <w:i/>
          <w:iCs/>
          <w:lang w:val="en-US" w:eastAsia="en-US"/>
        </w:rPr>
        <w:t>Proceedings of the Royal Society B: Biological Sciences, 291</w:t>
      </w:r>
      <w:r w:rsidRPr="003A6EA6">
        <w:rPr>
          <w:lang w:val="en-US" w:eastAsia="en-US"/>
        </w:rPr>
        <w:t xml:space="preserve">(2018), Article 20232522. </w:t>
      </w:r>
      <w:hyperlink r:id="rId10" w:history="1">
        <w:r w:rsidRPr="003A6EA6">
          <w:rPr>
            <w:color w:val="0000FF"/>
            <w:u w:val="single"/>
            <w:lang w:val="en-US" w:eastAsia="en-US"/>
          </w:rPr>
          <w:t>https://doi.org/10.1098/rspb.2023.2522</w:t>
        </w:r>
      </w:hyperlink>
    </w:p>
    <w:p w14:paraId="64AFB3AE" w14:textId="77777777" w:rsidR="003A6EA6" w:rsidRPr="003A6EA6" w:rsidRDefault="003A6EA6" w:rsidP="003A6EA6">
      <w:pPr>
        <w:spacing w:before="100" w:beforeAutospacing="1" w:after="100" w:afterAutospacing="1" w:line="240" w:lineRule="auto"/>
        <w:rPr>
          <w:lang w:val="en-US" w:eastAsia="en-US"/>
        </w:rPr>
      </w:pPr>
      <w:r w:rsidRPr="003A6EA6">
        <w:rPr>
          <w:lang w:val="en-US" w:eastAsia="en-US"/>
        </w:rPr>
        <w:t xml:space="preserve">Bradshaw, C. J. A., Leroy, B., Bellard, C., Roiz, D., Albert, C., Fournier, A., Barbet-Massin, M., Salles, J.-M., Simard, F., &amp; </w:t>
      </w:r>
      <w:proofErr w:type="spellStart"/>
      <w:r w:rsidRPr="003A6EA6">
        <w:rPr>
          <w:lang w:val="en-US" w:eastAsia="en-US"/>
        </w:rPr>
        <w:t>Courchamp</w:t>
      </w:r>
      <w:proofErr w:type="spellEnd"/>
      <w:r w:rsidRPr="003A6EA6">
        <w:rPr>
          <w:lang w:val="en-US" w:eastAsia="en-US"/>
        </w:rPr>
        <w:t xml:space="preserve">, F. (2016). Massive yet grossly underestimated global costs of invasive insects. </w:t>
      </w:r>
      <w:r w:rsidRPr="003A6EA6">
        <w:rPr>
          <w:i/>
          <w:iCs/>
          <w:lang w:val="en-US" w:eastAsia="en-US"/>
        </w:rPr>
        <w:t>Nature Communications, 7</w:t>
      </w:r>
      <w:r w:rsidRPr="003A6EA6">
        <w:rPr>
          <w:lang w:val="en-US" w:eastAsia="en-US"/>
        </w:rPr>
        <w:t xml:space="preserve">, Article 12986. </w:t>
      </w:r>
      <w:hyperlink r:id="rId11" w:history="1">
        <w:r w:rsidRPr="003A6EA6">
          <w:rPr>
            <w:color w:val="0000FF"/>
            <w:u w:val="single"/>
            <w:lang w:val="en-US" w:eastAsia="en-US"/>
          </w:rPr>
          <w:t>https://doi.org/10.1038/ncomms12986</w:t>
        </w:r>
      </w:hyperlink>
    </w:p>
    <w:p w14:paraId="438D1385" w14:textId="77777777" w:rsidR="003A6EA6" w:rsidRPr="003A6EA6" w:rsidRDefault="003A6EA6" w:rsidP="003A6EA6">
      <w:pPr>
        <w:spacing w:before="100" w:beforeAutospacing="1" w:after="100" w:afterAutospacing="1" w:line="240" w:lineRule="auto"/>
        <w:rPr>
          <w:lang w:val="en-US" w:eastAsia="en-US"/>
        </w:rPr>
      </w:pPr>
      <w:r w:rsidRPr="003A6EA6">
        <w:rPr>
          <w:lang w:val="en-US" w:eastAsia="en-US"/>
        </w:rPr>
        <w:lastRenderedPageBreak/>
        <w:t xml:space="preserve">Castex, V., Beniston, M., </w:t>
      </w:r>
      <w:proofErr w:type="spellStart"/>
      <w:r w:rsidRPr="003A6EA6">
        <w:rPr>
          <w:lang w:val="en-US" w:eastAsia="en-US"/>
        </w:rPr>
        <w:t>Calanca</w:t>
      </w:r>
      <w:proofErr w:type="spellEnd"/>
      <w:r w:rsidRPr="003A6EA6">
        <w:rPr>
          <w:lang w:val="en-US" w:eastAsia="en-US"/>
        </w:rPr>
        <w:t xml:space="preserve">, P., Fleury, D., &amp; Moreau, J. (2018). Pest management under climate change: The importance of understanding </w:t>
      </w:r>
      <w:proofErr w:type="spellStart"/>
      <w:r w:rsidRPr="003A6EA6">
        <w:rPr>
          <w:lang w:val="en-US" w:eastAsia="en-US"/>
        </w:rPr>
        <w:t>tritrophic</w:t>
      </w:r>
      <w:proofErr w:type="spellEnd"/>
      <w:r w:rsidRPr="003A6EA6">
        <w:rPr>
          <w:lang w:val="en-US" w:eastAsia="en-US"/>
        </w:rPr>
        <w:t xml:space="preserve"> relations. </w:t>
      </w:r>
      <w:r w:rsidRPr="003A6EA6">
        <w:rPr>
          <w:i/>
          <w:iCs/>
          <w:lang w:val="en-US" w:eastAsia="en-US"/>
        </w:rPr>
        <w:t>Science of the Total Environment, 616–617</w:t>
      </w:r>
      <w:r w:rsidRPr="003A6EA6">
        <w:rPr>
          <w:lang w:val="en-US" w:eastAsia="en-US"/>
        </w:rPr>
        <w:t xml:space="preserve">, 397–407. </w:t>
      </w:r>
      <w:hyperlink r:id="rId12" w:history="1">
        <w:r w:rsidRPr="003A6EA6">
          <w:rPr>
            <w:color w:val="0000FF"/>
            <w:u w:val="single"/>
            <w:lang w:val="en-US" w:eastAsia="en-US"/>
          </w:rPr>
          <w:t>https://doi.org/10.1016/j.scitotenv.2017.11.027</w:t>
        </w:r>
      </w:hyperlink>
    </w:p>
    <w:p w14:paraId="1632B215" w14:textId="77777777" w:rsidR="003A6EA6" w:rsidRPr="003A6EA6" w:rsidRDefault="003A6EA6" w:rsidP="003A6EA6">
      <w:pPr>
        <w:spacing w:before="100" w:beforeAutospacing="1" w:after="100" w:afterAutospacing="1" w:line="240" w:lineRule="auto"/>
        <w:rPr>
          <w:lang w:val="en-US" w:eastAsia="en-US"/>
        </w:rPr>
      </w:pPr>
      <w:proofErr w:type="spellStart"/>
      <w:r w:rsidRPr="003A6EA6">
        <w:rPr>
          <w:lang w:val="en-US" w:eastAsia="en-US"/>
        </w:rPr>
        <w:t>Chidawanyika</w:t>
      </w:r>
      <w:proofErr w:type="spellEnd"/>
      <w:r w:rsidRPr="003A6EA6">
        <w:rPr>
          <w:lang w:val="en-US" w:eastAsia="en-US"/>
        </w:rPr>
        <w:t xml:space="preserve">, F., Mudavanhu, P., &amp; Nyamukondiwa, C. (2019). Global climate change as a driver of bottom-up and top-down factors in agricultural landscapes and the fate of host–parasitoid interactions. </w:t>
      </w:r>
      <w:r w:rsidRPr="003A6EA6">
        <w:rPr>
          <w:i/>
          <w:iCs/>
          <w:lang w:val="en-US" w:eastAsia="en-US"/>
        </w:rPr>
        <w:t>Frontiers in Ecology and Evolution, 7</w:t>
      </w:r>
      <w:r w:rsidRPr="003A6EA6">
        <w:rPr>
          <w:lang w:val="en-US" w:eastAsia="en-US"/>
        </w:rPr>
        <w:t xml:space="preserve">, Article 80. </w:t>
      </w:r>
      <w:hyperlink r:id="rId13" w:history="1">
        <w:r w:rsidRPr="003A6EA6">
          <w:rPr>
            <w:color w:val="0000FF"/>
            <w:u w:val="single"/>
            <w:lang w:val="en-US" w:eastAsia="en-US"/>
          </w:rPr>
          <w:t>https://doi.org/10.3389/fevo.2019.00080</w:t>
        </w:r>
      </w:hyperlink>
    </w:p>
    <w:p w14:paraId="31E67E29" w14:textId="77777777" w:rsidR="003A6EA6" w:rsidRPr="003A6EA6" w:rsidRDefault="003A6EA6" w:rsidP="003A6EA6">
      <w:pPr>
        <w:spacing w:before="100" w:beforeAutospacing="1" w:after="100" w:afterAutospacing="1" w:line="240" w:lineRule="auto"/>
        <w:rPr>
          <w:lang w:val="en-US" w:eastAsia="en-US"/>
        </w:rPr>
      </w:pPr>
      <w:r w:rsidRPr="003A6EA6">
        <w:rPr>
          <w:lang w:val="en-US" w:eastAsia="en-US"/>
        </w:rPr>
        <w:t xml:space="preserve">Doan, C. V., Pfander, M., Guyer, A. S., Zhang, X., Maurer, C., &amp; Robert, C. A. M. (2021). Natural enemies of herbivores maintain their biological control potential under short-term exposure to future CO₂, temperature, and precipitation patterns. </w:t>
      </w:r>
      <w:r w:rsidRPr="003A6EA6">
        <w:rPr>
          <w:i/>
          <w:iCs/>
          <w:lang w:val="en-US" w:eastAsia="en-US"/>
        </w:rPr>
        <w:t>Ecology and Evolution, 11</w:t>
      </w:r>
      <w:r w:rsidRPr="003A6EA6">
        <w:rPr>
          <w:lang w:val="en-US" w:eastAsia="en-US"/>
        </w:rPr>
        <w:t xml:space="preserve">(8), 4182–4192. </w:t>
      </w:r>
      <w:hyperlink r:id="rId14" w:history="1">
        <w:r w:rsidRPr="003A6EA6">
          <w:rPr>
            <w:color w:val="0000FF"/>
            <w:u w:val="single"/>
            <w:lang w:val="en-US" w:eastAsia="en-US"/>
          </w:rPr>
          <w:t>https://doi.org/10.1002/ece3.7314</w:t>
        </w:r>
      </w:hyperlink>
    </w:p>
    <w:p w14:paraId="7282BD03" w14:textId="77777777" w:rsidR="003A6EA6" w:rsidRPr="003A6EA6" w:rsidRDefault="003A6EA6" w:rsidP="003A6EA6">
      <w:pPr>
        <w:spacing w:before="100" w:beforeAutospacing="1" w:after="100" w:afterAutospacing="1" w:line="240" w:lineRule="auto"/>
        <w:rPr>
          <w:lang w:val="en-US" w:eastAsia="en-US"/>
        </w:rPr>
      </w:pPr>
      <w:r w:rsidRPr="003A6EA6">
        <w:rPr>
          <w:lang w:val="en-US" w:eastAsia="en-US"/>
        </w:rPr>
        <w:t xml:space="preserve">Eigenbrode, S. D., &amp; Adhikari, S. (2023). Climate change and managing insect pests and beneficials in agricultural systems. </w:t>
      </w:r>
      <w:r w:rsidRPr="003A6EA6">
        <w:rPr>
          <w:i/>
          <w:iCs/>
          <w:lang w:val="en-US" w:eastAsia="en-US"/>
        </w:rPr>
        <w:t>Agronomy Journal, 115</w:t>
      </w:r>
      <w:r w:rsidRPr="003A6EA6">
        <w:rPr>
          <w:lang w:val="en-US" w:eastAsia="en-US"/>
        </w:rPr>
        <w:t xml:space="preserve">(5), 2194–2215. </w:t>
      </w:r>
      <w:hyperlink r:id="rId15" w:history="1">
        <w:r w:rsidRPr="003A6EA6">
          <w:rPr>
            <w:color w:val="0000FF"/>
            <w:u w:val="single"/>
            <w:lang w:val="en-US" w:eastAsia="en-US"/>
          </w:rPr>
          <w:t>https://doi.org/10.1002/agj2.21399</w:t>
        </w:r>
      </w:hyperlink>
    </w:p>
    <w:p w14:paraId="1C9A1F4B" w14:textId="77777777" w:rsidR="003A6EA6" w:rsidRPr="003A6EA6" w:rsidRDefault="003A6EA6" w:rsidP="003A6EA6">
      <w:pPr>
        <w:spacing w:before="100" w:beforeAutospacing="1" w:after="100" w:afterAutospacing="1" w:line="240" w:lineRule="auto"/>
        <w:rPr>
          <w:lang w:val="en-US" w:eastAsia="en-US"/>
        </w:rPr>
      </w:pPr>
      <w:r w:rsidRPr="003A6EA6">
        <w:rPr>
          <w:lang w:val="en-US" w:eastAsia="en-US"/>
        </w:rPr>
        <w:t xml:space="preserve">Feit, B., </w:t>
      </w:r>
      <w:proofErr w:type="spellStart"/>
      <w:r w:rsidRPr="003A6EA6">
        <w:rPr>
          <w:lang w:val="en-US" w:eastAsia="en-US"/>
        </w:rPr>
        <w:t>Blüthgen</w:t>
      </w:r>
      <w:proofErr w:type="spellEnd"/>
      <w:r w:rsidRPr="003A6EA6">
        <w:rPr>
          <w:lang w:val="en-US" w:eastAsia="en-US"/>
        </w:rPr>
        <w:t xml:space="preserve">, N., </w:t>
      </w:r>
      <w:proofErr w:type="spellStart"/>
      <w:r w:rsidRPr="003A6EA6">
        <w:rPr>
          <w:lang w:val="en-US" w:eastAsia="en-US"/>
        </w:rPr>
        <w:t>Daouti</w:t>
      </w:r>
      <w:proofErr w:type="spellEnd"/>
      <w:r w:rsidRPr="003A6EA6">
        <w:rPr>
          <w:lang w:val="en-US" w:eastAsia="en-US"/>
        </w:rPr>
        <w:t xml:space="preserve">, E., Straub, C., Traugott, M., &amp; Jonsson, M. (2021). Landscape complexity promotes resilience of biological pest control to climate change. </w:t>
      </w:r>
      <w:r w:rsidRPr="003A6EA6">
        <w:rPr>
          <w:i/>
          <w:iCs/>
          <w:lang w:val="en-US" w:eastAsia="en-US"/>
        </w:rPr>
        <w:t>Proceedings of the Royal Society B: Biological Sciences, 288</w:t>
      </w:r>
      <w:r w:rsidRPr="003A6EA6">
        <w:rPr>
          <w:lang w:val="en-US" w:eastAsia="en-US"/>
        </w:rPr>
        <w:t xml:space="preserve">(1951), Article 20210547. </w:t>
      </w:r>
      <w:hyperlink r:id="rId16" w:history="1">
        <w:r w:rsidRPr="003A6EA6">
          <w:rPr>
            <w:color w:val="0000FF"/>
            <w:u w:val="single"/>
            <w:lang w:val="en-US" w:eastAsia="en-US"/>
          </w:rPr>
          <w:t>https://doi.org/10.1098/rspb.2021.0547</w:t>
        </w:r>
      </w:hyperlink>
    </w:p>
    <w:p w14:paraId="5FAF35D1" w14:textId="77777777" w:rsidR="003A6EA6" w:rsidRPr="003A6EA6" w:rsidRDefault="003A6EA6" w:rsidP="003A6EA6">
      <w:pPr>
        <w:spacing w:before="100" w:beforeAutospacing="1" w:after="100" w:afterAutospacing="1" w:line="240" w:lineRule="auto"/>
        <w:rPr>
          <w:lang w:val="en-US" w:eastAsia="en-US"/>
        </w:rPr>
      </w:pPr>
      <w:r w:rsidRPr="003A6EA6">
        <w:rPr>
          <w:lang w:val="en-US" w:eastAsia="en-US"/>
        </w:rPr>
        <w:t xml:space="preserve">Food and Agriculture Organization of the United Nations. (n.d.). </w:t>
      </w:r>
      <w:r w:rsidRPr="003A6EA6">
        <w:rPr>
          <w:i/>
          <w:iCs/>
          <w:lang w:val="en-US" w:eastAsia="en-US"/>
        </w:rPr>
        <w:t>Climate change and Desert Locust</w:t>
      </w:r>
      <w:r w:rsidRPr="003A6EA6">
        <w:rPr>
          <w:lang w:val="en-US" w:eastAsia="en-US"/>
        </w:rPr>
        <w:t xml:space="preserve">. Locust Watch. </w:t>
      </w:r>
      <w:hyperlink r:id="rId17" w:history="1">
        <w:r w:rsidRPr="003A6EA6">
          <w:rPr>
            <w:color w:val="0000FF"/>
            <w:u w:val="single"/>
            <w:lang w:val="en-US" w:eastAsia="en-US"/>
          </w:rPr>
          <w:t>https://www.fao.org/locust-watch/activities/climate-change/climate-change-and-desert-locust/en</w:t>
        </w:r>
      </w:hyperlink>
    </w:p>
    <w:p w14:paraId="134E5312" w14:textId="77777777" w:rsidR="003A6EA6" w:rsidRPr="003A6EA6" w:rsidRDefault="003A6EA6" w:rsidP="003A6EA6">
      <w:pPr>
        <w:spacing w:before="100" w:beforeAutospacing="1" w:after="100" w:afterAutospacing="1" w:line="240" w:lineRule="auto"/>
        <w:rPr>
          <w:lang w:val="en-US" w:eastAsia="en-US"/>
        </w:rPr>
      </w:pPr>
      <w:proofErr w:type="spellStart"/>
      <w:r w:rsidRPr="003A6EA6">
        <w:rPr>
          <w:lang w:val="en-US" w:eastAsia="en-US"/>
        </w:rPr>
        <w:t>Gely</w:t>
      </w:r>
      <w:proofErr w:type="spellEnd"/>
      <w:r w:rsidRPr="003A6EA6">
        <w:rPr>
          <w:lang w:val="en-US" w:eastAsia="en-US"/>
        </w:rPr>
        <w:t xml:space="preserve">, C., Laurance, S. G. W., &amp; Stork, N. E. (2020). How do herbivorous insects respond to drought stress in trees? </w:t>
      </w:r>
      <w:r w:rsidRPr="003A6EA6">
        <w:rPr>
          <w:i/>
          <w:iCs/>
          <w:lang w:val="en-US" w:eastAsia="en-US"/>
        </w:rPr>
        <w:t>Biological Reviews, 95</w:t>
      </w:r>
      <w:r w:rsidRPr="003A6EA6">
        <w:rPr>
          <w:lang w:val="en-US" w:eastAsia="en-US"/>
        </w:rPr>
        <w:t xml:space="preserve">(2), 434–448. </w:t>
      </w:r>
      <w:hyperlink r:id="rId18" w:history="1">
        <w:r w:rsidRPr="003A6EA6">
          <w:rPr>
            <w:color w:val="0000FF"/>
            <w:u w:val="single"/>
            <w:lang w:val="en-US" w:eastAsia="en-US"/>
          </w:rPr>
          <w:t>https://doi.org/10.1111/brv.12571</w:t>
        </w:r>
      </w:hyperlink>
    </w:p>
    <w:p w14:paraId="3ED58BE4" w14:textId="77777777" w:rsidR="003A6EA6" w:rsidRPr="003A6EA6" w:rsidRDefault="003A6EA6" w:rsidP="003A6EA6">
      <w:pPr>
        <w:spacing w:before="100" w:beforeAutospacing="1" w:after="100" w:afterAutospacing="1" w:line="240" w:lineRule="auto"/>
        <w:rPr>
          <w:lang w:val="en-US" w:eastAsia="en-US"/>
        </w:rPr>
      </w:pPr>
      <w:r w:rsidRPr="003A6EA6">
        <w:rPr>
          <w:lang w:val="en-US" w:eastAsia="en-US"/>
        </w:rPr>
        <w:t xml:space="preserve">Han, Z., Tan, X., Wang, Y., Xu, Q., Zhang, Y., Harwood, J. D., &amp; Chen, J. (2019). Effects of simulated climate warming on the population dynamics of </w:t>
      </w:r>
      <w:proofErr w:type="spellStart"/>
      <w:r w:rsidRPr="003A6EA6">
        <w:rPr>
          <w:i/>
          <w:iCs/>
          <w:lang w:val="en-US" w:eastAsia="en-US"/>
        </w:rPr>
        <w:t>Sitobion</w:t>
      </w:r>
      <w:proofErr w:type="spellEnd"/>
      <w:r w:rsidRPr="003A6EA6">
        <w:rPr>
          <w:i/>
          <w:iCs/>
          <w:lang w:val="en-US" w:eastAsia="en-US"/>
        </w:rPr>
        <w:t xml:space="preserve"> </w:t>
      </w:r>
      <w:proofErr w:type="spellStart"/>
      <w:r w:rsidRPr="003A6EA6">
        <w:rPr>
          <w:i/>
          <w:iCs/>
          <w:lang w:val="en-US" w:eastAsia="en-US"/>
        </w:rPr>
        <w:t>avenae</w:t>
      </w:r>
      <w:proofErr w:type="spellEnd"/>
      <w:r w:rsidRPr="003A6EA6">
        <w:rPr>
          <w:lang w:val="en-US" w:eastAsia="en-US"/>
        </w:rPr>
        <w:t xml:space="preserve"> (Fabricius) and its parasitoids in wheat fields. </w:t>
      </w:r>
      <w:r w:rsidRPr="003A6EA6">
        <w:rPr>
          <w:i/>
          <w:iCs/>
          <w:lang w:val="en-US" w:eastAsia="en-US"/>
        </w:rPr>
        <w:t>Pest Management Science, 75</w:t>
      </w:r>
      <w:r w:rsidRPr="003A6EA6">
        <w:rPr>
          <w:lang w:val="en-US" w:eastAsia="en-US"/>
        </w:rPr>
        <w:t xml:space="preserve">(12), 3252–3259. </w:t>
      </w:r>
      <w:hyperlink r:id="rId19" w:history="1">
        <w:r w:rsidRPr="003A6EA6">
          <w:rPr>
            <w:color w:val="0000FF"/>
            <w:u w:val="single"/>
            <w:lang w:val="en-US" w:eastAsia="en-US"/>
          </w:rPr>
          <w:t>https://doi.org/10.1002/ps.5447</w:t>
        </w:r>
      </w:hyperlink>
    </w:p>
    <w:p w14:paraId="21648611" w14:textId="77777777" w:rsidR="003A6EA6" w:rsidRPr="003A6EA6" w:rsidRDefault="003A6EA6" w:rsidP="003A6EA6">
      <w:pPr>
        <w:spacing w:before="100" w:beforeAutospacing="1" w:after="100" w:afterAutospacing="1" w:line="240" w:lineRule="auto"/>
        <w:rPr>
          <w:lang w:val="en-US" w:eastAsia="en-US"/>
        </w:rPr>
      </w:pPr>
      <w:r w:rsidRPr="003A6EA6">
        <w:rPr>
          <w:lang w:val="en-US" w:eastAsia="en-US"/>
        </w:rPr>
        <w:t xml:space="preserve">Jaime, L., Batllori, E., &amp; Lloret, F. (2024). Bark beetle outbreaks in coniferous forests: A review of climate change effects. </w:t>
      </w:r>
      <w:r w:rsidRPr="003A6EA6">
        <w:rPr>
          <w:i/>
          <w:iCs/>
          <w:lang w:val="en-US" w:eastAsia="en-US"/>
        </w:rPr>
        <w:t>European Journal of Forest Research, 143</w:t>
      </w:r>
      <w:r w:rsidRPr="003A6EA6">
        <w:rPr>
          <w:lang w:val="en-US" w:eastAsia="en-US"/>
        </w:rPr>
        <w:t xml:space="preserve">(1), 1–17. </w:t>
      </w:r>
      <w:hyperlink r:id="rId20" w:history="1">
        <w:r w:rsidRPr="003A6EA6">
          <w:rPr>
            <w:color w:val="0000FF"/>
            <w:u w:val="single"/>
            <w:lang w:val="en-US" w:eastAsia="en-US"/>
          </w:rPr>
          <w:t>https://doi.org/10.1007/s10342-023-01623-3</w:t>
        </w:r>
      </w:hyperlink>
    </w:p>
    <w:p w14:paraId="287804A8" w14:textId="77777777" w:rsidR="003A6EA6" w:rsidRPr="003A6EA6" w:rsidRDefault="003A6EA6" w:rsidP="003A6EA6">
      <w:pPr>
        <w:spacing w:before="100" w:beforeAutospacing="1" w:after="100" w:afterAutospacing="1" w:line="240" w:lineRule="auto"/>
        <w:rPr>
          <w:lang w:val="en-US" w:eastAsia="en-US"/>
        </w:rPr>
      </w:pPr>
      <w:r w:rsidRPr="003A6EA6">
        <w:rPr>
          <w:lang w:val="en-US" w:eastAsia="en-US"/>
        </w:rPr>
        <w:t xml:space="preserve">Johnson, S. N., Waterman, J. M., &amp; Hall, C. R. (2020). Increased insect herbivore performance under elevated CO₂ is associated with lower plant </w:t>
      </w:r>
      <w:proofErr w:type="spellStart"/>
      <w:r w:rsidRPr="003A6EA6">
        <w:rPr>
          <w:lang w:val="en-US" w:eastAsia="en-US"/>
        </w:rPr>
        <w:t>defence</w:t>
      </w:r>
      <w:proofErr w:type="spellEnd"/>
      <w:r w:rsidRPr="003A6EA6">
        <w:rPr>
          <w:lang w:val="en-US" w:eastAsia="en-US"/>
        </w:rPr>
        <w:t xml:space="preserve"> </w:t>
      </w:r>
      <w:proofErr w:type="spellStart"/>
      <w:r w:rsidRPr="003A6EA6">
        <w:rPr>
          <w:lang w:val="en-US" w:eastAsia="en-US"/>
        </w:rPr>
        <w:t>signalling</w:t>
      </w:r>
      <w:proofErr w:type="spellEnd"/>
      <w:r w:rsidRPr="003A6EA6">
        <w:rPr>
          <w:lang w:val="en-US" w:eastAsia="en-US"/>
        </w:rPr>
        <w:t xml:space="preserve"> and minimal declines in nutritional quality. </w:t>
      </w:r>
      <w:r w:rsidRPr="003A6EA6">
        <w:rPr>
          <w:i/>
          <w:iCs/>
          <w:lang w:val="en-US" w:eastAsia="en-US"/>
        </w:rPr>
        <w:t>Scientific Reports, 10</w:t>
      </w:r>
      <w:r w:rsidRPr="003A6EA6">
        <w:rPr>
          <w:lang w:val="en-US" w:eastAsia="en-US"/>
        </w:rPr>
        <w:t xml:space="preserve">, Article 14553. </w:t>
      </w:r>
      <w:hyperlink r:id="rId21" w:history="1">
        <w:r w:rsidRPr="003A6EA6">
          <w:rPr>
            <w:color w:val="0000FF"/>
            <w:u w:val="single"/>
            <w:lang w:val="en-US" w:eastAsia="en-US"/>
          </w:rPr>
          <w:t>https://doi.org/10.1038/s41598-020-70823-3</w:t>
        </w:r>
      </w:hyperlink>
    </w:p>
    <w:p w14:paraId="1F5769A4" w14:textId="77777777" w:rsidR="003A6EA6" w:rsidRPr="003A6EA6" w:rsidRDefault="003A6EA6" w:rsidP="003A6EA6">
      <w:pPr>
        <w:spacing w:before="100" w:beforeAutospacing="1" w:after="100" w:afterAutospacing="1" w:line="240" w:lineRule="auto"/>
        <w:rPr>
          <w:lang w:val="en-US" w:eastAsia="en-US"/>
        </w:rPr>
      </w:pPr>
      <w:r w:rsidRPr="003A6EA6">
        <w:rPr>
          <w:lang w:val="en-US" w:eastAsia="en-US"/>
        </w:rPr>
        <w:t xml:space="preserve">Ma, C.-S., Wang, B.-X., Wang, X.-J., Lin, Q.-C., Zhang, W., Yang, X.-F., van Baaren, J., Bebber, D. P., Eigenbrode, S. D., Zalucki, M. P., Zeng, J., &amp; Ma, G. (2025). Crop pest responses to global changes in climate and land management. </w:t>
      </w:r>
      <w:r w:rsidRPr="003A6EA6">
        <w:rPr>
          <w:i/>
          <w:iCs/>
          <w:lang w:val="en-US" w:eastAsia="en-US"/>
        </w:rPr>
        <w:t>Nature Reviews Earth &amp; Environment, 6</w:t>
      </w:r>
      <w:r w:rsidRPr="003A6EA6">
        <w:rPr>
          <w:lang w:val="en-US" w:eastAsia="en-US"/>
        </w:rPr>
        <w:t xml:space="preserve">(4), 264–283. </w:t>
      </w:r>
      <w:hyperlink r:id="rId22" w:history="1">
        <w:r w:rsidRPr="003A6EA6">
          <w:rPr>
            <w:color w:val="0000FF"/>
            <w:u w:val="single"/>
            <w:lang w:val="en-US" w:eastAsia="en-US"/>
          </w:rPr>
          <w:t>https://doi.org/10.1038/s43017-025-00652-3</w:t>
        </w:r>
      </w:hyperlink>
    </w:p>
    <w:p w14:paraId="777C6C6D" w14:textId="77777777" w:rsidR="003A6EA6" w:rsidRPr="003A6EA6" w:rsidRDefault="003A6EA6" w:rsidP="003A6EA6">
      <w:pPr>
        <w:spacing w:before="100" w:beforeAutospacing="1" w:after="100" w:afterAutospacing="1" w:line="240" w:lineRule="auto"/>
        <w:rPr>
          <w:lang w:val="en-US" w:eastAsia="en-US"/>
        </w:rPr>
      </w:pPr>
      <w:r w:rsidRPr="003A6EA6">
        <w:rPr>
          <w:lang w:val="en-US" w:eastAsia="en-US"/>
        </w:rPr>
        <w:lastRenderedPageBreak/>
        <w:t xml:space="preserve">Meynard, C. N., </w:t>
      </w:r>
      <w:proofErr w:type="spellStart"/>
      <w:r w:rsidRPr="003A6EA6">
        <w:rPr>
          <w:lang w:val="en-US" w:eastAsia="en-US"/>
        </w:rPr>
        <w:t>Migeon</w:t>
      </w:r>
      <w:proofErr w:type="spellEnd"/>
      <w:r w:rsidRPr="003A6EA6">
        <w:rPr>
          <w:lang w:val="en-US" w:eastAsia="en-US"/>
        </w:rPr>
        <w:t xml:space="preserve">, A., &amp; </w:t>
      </w:r>
      <w:proofErr w:type="spellStart"/>
      <w:r w:rsidRPr="003A6EA6">
        <w:rPr>
          <w:lang w:val="en-US" w:eastAsia="en-US"/>
        </w:rPr>
        <w:t>Navajas</w:t>
      </w:r>
      <w:proofErr w:type="spellEnd"/>
      <w:r w:rsidRPr="003A6EA6">
        <w:rPr>
          <w:lang w:val="en-US" w:eastAsia="en-US"/>
        </w:rPr>
        <w:t xml:space="preserve">, M. (2013). Uncertainties in predicting species distributions under climate change: A case study using </w:t>
      </w:r>
      <w:proofErr w:type="spellStart"/>
      <w:r w:rsidRPr="003A6EA6">
        <w:rPr>
          <w:i/>
          <w:iCs/>
          <w:lang w:val="en-US" w:eastAsia="en-US"/>
        </w:rPr>
        <w:t>Tetranychus</w:t>
      </w:r>
      <w:proofErr w:type="spellEnd"/>
      <w:r w:rsidRPr="003A6EA6">
        <w:rPr>
          <w:i/>
          <w:iCs/>
          <w:lang w:val="en-US" w:eastAsia="en-US"/>
        </w:rPr>
        <w:t xml:space="preserve"> </w:t>
      </w:r>
      <w:proofErr w:type="spellStart"/>
      <w:r w:rsidRPr="003A6EA6">
        <w:rPr>
          <w:i/>
          <w:iCs/>
          <w:lang w:val="en-US" w:eastAsia="en-US"/>
        </w:rPr>
        <w:t>evansi</w:t>
      </w:r>
      <w:proofErr w:type="spellEnd"/>
      <w:r w:rsidRPr="003A6EA6">
        <w:rPr>
          <w:lang w:val="en-US" w:eastAsia="en-US"/>
        </w:rPr>
        <w:t xml:space="preserve"> (Acari: Tetranychidae), a widespread agricultural pest. </w:t>
      </w:r>
      <w:r w:rsidRPr="003A6EA6">
        <w:rPr>
          <w:i/>
          <w:iCs/>
          <w:lang w:val="en-US" w:eastAsia="en-US"/>
        </w:rPr>
        <w:t>PLOS ONE, 8</w:t>
      </w:r>
      <w:r w:rsidRPr="003A6EA6">
        <w:rPr>
          <w:lang w:val="en-US" w:eastAsia="en-US"/>
        </w:rPr>
        <w:t xml:space="preserve">(6), Article e66445. </w:t>
      </w:r>
      <w:hyperlink r:id="rId23" w:history="1">
        <w:r w:rsidRPr="003A6EA6">
          <w:rPr>
            <w:color w:val="0000FF"/>
            <w:u w:val="single"/>
            <w:lang w:val="en-US" w:eastAsia="en-US"/>
          </w:rPr>
          <w:t>https://doi.org/10.1371/journal.pone.0066445</w:t>
        </w:r>
      </w:hyperlink>
    </w:p>
    <w:p w14:paraId="7B58861C" w14:textId="77777777" w:rsidR="003A6EA6" w:rsidRPr="003A6EA6" w:rsidRDefault="003A6EA6" w:rsidP="003A6EA6">
      <w:pPr>
        <w:spacing w:before="100" w:beforeAutospacing="1" w:after="100" w:afterAutospacing="1" w:line="240" w:lineRule="auto"/>
        <w:rPr>
          <w:lang w:val="en-US" w:eastAsia="en-US"/>
        </w:rPr>
      </w:pPr>
      <w:r w:rsidRPr="003A6EA6">
        <w:rPr>
          <w:lang w:val="en-US" w:eastAsia="en-US"/>
        </w:rPr>
        <w:t xml:space="preserve">Murrell, E. G., &amp; Barton, B. T. (2017). Warming alters prey density and biological control in conventional and organic agricultural systems. </w:t>
      </w:r>
      <w:r w:rsidRPr="003A6EA6">
        <w:rPr>
          <w:i/>
          <w:iCs/>
          <w:lang w:val="en-US" w:eastAsia="en-US"/>
        </w:rPr>
        <w:t>Integrative and Comparative Biology, 57</w:t>
      </w:r>
      <w:r w:rsidRPr="003A6EA6">
        <w:rPr>
          <w:lang w:val="en-US" w:eastAsia="en-US"/>
        </w:rPr>
        <w:t xml:space="preserve">(1), 1–13. </w:t>
      </w:r>
      <w:hyperlink r:id="rId24" w:history="1">
        <w:r w:rsidRPr="003A6EA6">
          <w:rPr>
            <w:color w:val="0000FF"/>
            <w:u w:val="single"/>
            <w:lang w:val="en-US" w:eastAsia="en-US"/>
          </w:rPr>
          <w:t>https://doi.org/10.1093/icb/icx006</w:t>
        </w:r>
      </w:hyperlink>
    </w:p>
    <w:p w14:paraId="0E1DCB66" w14:textId="77777777" w:rsidR="003A6EA6" w:rsidRPr="003A6EA6" w:rsidRDefault="003A6EA6" w:rsidP="003A6EA6">
      <w:pPr>
        <w:spacing w:before="100" w:beforeAutospacing="1" w:after="100" w:afterAutospacing="1" w:line="240" w:lineRule="auto"/>
        <w:rPr>
          <w:lang w:val="en-US" w:eastAsia="en-US"/>
        </w:rPr>
      </w:pPr>
      <w:r w:rsidRPr="003A6EA6">
        <w:rPr>
          <w:lang w:val="en-US" w:eastAsia="en-US"/>
        </w:rPr>
        <w:t xml:space="preserve">Najar-Rodriguez, A. J., Lacorazza, S., Klaiber, J., Avila, G. A., Zhang, J., Ma, C.-S., &amp; Ma, G. (2024). Long-term effects of elevated CO₂ on the nutrition provided to parasitoids by their herbivorous hosts. </w:t>
      </w:r>
      <w:r w:rsidRPr="003A6EA6">
        <w:rPr>
          <w:i/>
          <w:iCs/>
          <w:lang w:val="en-US" w:eastAsia="en-US"/>
        </w:rPr>
        <w:t>Physiological Entomology, 49</w:t>
      </w:r>
      <w:r w:rsidRPr="003A6EA6">
        <w:rPr>
          <w:lang w:val="en-US" w:eastAsia="en-US"/>
        </w:rPr>
        <w:t xml:space="preserve">(3), 244–252. </w:t>
      </w:r>
      <w:hyperlink r:id="rId25" w:history="1">
        <w:r w:rsidRPr="003A6EA6">
          <w:rPr>
            <w:color w:val="0000FF"/>
            <w:u w:val="single"/>
            <w:lang w:val="en-US" w:eastAsia="en-US"/>
          </w:rPr>
          <w:t>https://doi.org/10.1111/phen.12441</w:t>
        </w:r>
      </w:hyperlink>
    </w:p>
    <w:p w14:paraId="2810B8D6" w14:textId="77777777" w:rsidR="003A6EA6" w:rsidRPr="003A6EA6" w:rsidRDefault="003A6EA6" w:rsidP="003A6EA6">
      <w:pPr>
        <w:spacing w:before="100" w:beforeAutospacing="1" w:after="100" w:afterAutospacing="1" w:line="240" w:lineRule="auto"/>
        <w:rPr>
          <w:lang w:val="en-US" w:eastAsia="en-US"/>
        </w:rPr>
      </w:pPr>
      <w:r w:rsidRPr="003A6EA6">
        <w:rPr>
          <w:lang w:val="en-US" w:eastAsia="en-US"/>
        </w:rPr>
        <w:t xml:space="preserve">Pan, M.-Z., Shen, R.-C., Fu, Z.-X., Lu, Z.-Z., Ma, B.-B., &amp; Liu, T.-X. (2024). High-temperature responses of </w:t>
      </w:r>
      <w:proofErr w:type="spellStart"/>
      <w:r w:rsidRPr="003A6EA6">
        <w:rPr>
          <w:i/>
          <w:iCs/>
          <w:lang w:val="en-US" w:eastAsia="en-US"/>
        </w:rPr>
        <w:t>Myzus</w:t>
      </w:r>
      <w:proofErr w:type="spellEnd"/>
      <w:r w:rsidRPr="003A6EA6">
        <w:rPr>
          <w:i/>
          <w:iCs/>
          <w:lang w:val="en-US" w:eastAsia="en-US"/>
        </w:rPr>
        <w:t xml:space="preserve"> </w:t>
      </w:r>
      <w:proofErr w:type="spellStart"/>
      <w:r w:rsidRPr="003A6EA6">
        <w:rPr>
          <w:i/>
          <w:iCs/>
          <w:lang w:val="en-US" w:eastAsia="en-US"/>
        </w:rPr>
        <w:t>persicae</w:t>
      </w:r>
      <w:proofErr w:type="spellEnd"/>
      <w:r w:rsidRPr="003A6EA6">
        <w:rPr>
          <w:lang w:val="en-US" w:eastAsia="en-US"/>
        </w:rPr>
        <w:t xml:space="preserve"> and its parasitoid </w:t>
      </w:r>
      <w:proofErr w:type="spellStart"/>
      <w:r w:rsidRPr="003A6EA6">
        <w:rPr>
          <w:i/>
          <w:iCs/>
          <w:lang w:val="en-US" w:eastAsia="en-US"/>
        </w:rPr>
        <w:t>Aphidius</w:t>
      </w:r>
      <w:proofErr w:type="spellEnd"/>
      <w:r w:rsidRPr="003A6EA6">
        <w:rPr>
          <w:i/>
          <w:iCs/>
          <w:lang w:val="en-US" w:eastAsia="en-US"/>
        </w:rPr>
        <w:t xml:space="preserve"> </w:t>
      </w:r>
      <w:proofErr w:type="spellStart"/>
      <w:r w:rsidRPr="003A6EA6">
        <w:rPr>
          <w:i/>
          <w:iCs/>
          <w:lang w:val="en-US" w:eastAsia="en-US"/>
        </w:rPr>
        <w:t>gifuensis</w:t>
      </w:r>
      <w:proofErr w:type="spellEnd"/>
      <w:r w:rsidRPr="003A6EA6">
        <w:rPr>
          <w:lang w:val="en-US" w:eastAsia="en-US"/>
        </w:rPr>
        <w:t xml:space="preserve"> in relation to heat level, duration and developmental stage. </w:t>
      </w:r>
      <w:r w:rsidRPr="003A6EA6">
        <w:rPr>
          <w:i/>
          <w:iCs/>
          <w:lang w:val="en-US" w:eastAsia="en-US"/>
        </w:rPr>
        <w:t>Pest Management Science, 80</w:t>
      </w:r>
      <w:r w:rsidRPr="003A6EA6">
        <w:rPr>
          <w:lang w:val="en-US" w:eastAsia="en-US"/>
        </w:rPr>
        <w:t xml:space="preserve">(9), 4628–4636. </w:t>
      </w:r>
      <w:hyperlink r:id="rId26" w:history="1">
        <w:r w:rsidRPr="003A6EA6">
          <w:rPr>
            <w:color w:val="0000FF"/>
            <w:u w:val="single"/>
            <w:lang w:val="en-US" w:eastAsia="en-US"/>
          </w:rPr>
          <w:t>https://doi.org/10.1002/ps.8179</w:t>
        </w:r>
      </w:hyperlink>
    </w:p>
    <w:p w14:paraId="248FA6BC" w14:textId="77777777" w:rsidR="003A6EA6" w:rsidRPr="003A6EA6" w:rsidRDefault="003A6EA6" w:rsidP="003A6EA6">
      <w:pPr>
        <w:spacing w:before="100" w:beforeAutospacing="1" w:after="100" w:afterAutospacing="1" w:line="240" w:lineRule="auto"/>
        <w:rPr>
          <w:lang w:val="en-US" w:eastAsia="en-US"/>
        </w:rPr>
      </w:pPr>
      <w:r w:rsidRPr="003A6EA6">
        <w:rPr>
          <w:lang w:val="en-US" w:eastAsia="en-US"/>
        </w:rPr>
        <w:t xml:space="preserve">Parker, A. L., &amp; Kingsolver, J. G. (2024). The interactive effects of heat stress, parasitism and host plant quality in a host–parasitoid system. </w:t>
      </w:r>
      <w:r w:rsidRPr="003A6EA6">
        <w:rPr>
          <w:i/>
          <w:iCs/>
          <w:lang w:val="en-US" w:eastAsia="en-US"/>
        </w:rPr>
        <w:t>Functional Ecology, 38</w:t>
      </w:r>
      <w:r w:rsidRPr="003A6EA6">
        <w:rPr>
          <w:lang w:val="en-US" w:eastAsia="en-US"/>
        </w:rPr>
        <w:t xml:space="preserve">(3), 642–653. </w:t>
      </w:r>
      <w:hyperlink r:id="rId27" w:history="1">
        <w:r w:rsidRPr="003A6EA6">
          <w:rPr>
            <w:color w:val="0000FF"/>
            <w:u w:val="single"/>
            <w:lang w:val="en-US" w:eastAsia="en-US"/>
          </w:rPr>
          <w:t>https://doi.org/10.1111/1365-2435.14498</w:t>
        </w:r>
      </w:hyperlink>
    </w:p>
    <w:p w14:paraId="35FC4E98" w14:textId="77777777" w:rsidR="003A6EA6" w:rsidRPr="003A6EA6" w:rsidRDefault="003A6EA6" w:rsidP="003A6EA6">
      <w:pPr>
        <w:spacing w:before="100" w:beforeAutospacing="1" w:after="100" w:afterAutospacing="1" w:line="240" w:lineRule="auto"/>
        <w:rPr>
          <w:lang w:val="en-US" w:eastAsia="en-US"/>
        </w:rPr>
      </w:pPr>
      <w:r w:rsidRPr="003A6EA6">
        <w:rPr>
          <w:lang w:val="en-US" w:eastAsia="en-US"/>
        </w:rPr>
        <w:t xml:space="preserve">Perrin, M., Abram, P. K., Brodeur, J., Delattre, T., Siegwart, M., &amp; </w:t>
      </w:r>
      <w:proofErr w:type="spellStart"/>
      <w:r w:rsidRPr="003A6EA6">
        <w:rPr>
          <w:lang w:val="en-US" w:eastAsia="en-US"/>
        </w:rPr>
        <w:t>Moiroux</w:t>
      </w:r>
      <w:proofErr w:type="spellEnd"/>
      <w:r w:rsidRPr="003A6EA6">
        <w:rPr>
          <w:lang w:val="en-US" w:eastAsia="en-US"/>
        </w:rPr>
        <w:t xml:space="preserve">, J. (2025). The projected effects of climate change on the management of agricultural insect pests. </w:t>
      </w:r>
      <w:r w:rsidRPr="003A6EA6">
        <w:rPr>
          <w:i/>
          <w:iCs/>
          <w:lang w:val="en-US" w:eastAsia="en-US"/>
        </w:rPr>
        <w:t>Journal of Pest Science, 98</w:t>
      </w:r>
      <w:r w:rsidRPr="003A6EA6">
        <w:rPr>
          <w:lang w:val="en-US" w:eastAsia="en-US"/>
        </w:rPr>
        <w:t xml:space="preserve">, 2191–2216. </w:t>
      </w:r>
      <w:hyperlink r:id="rId28" w:history="1">
        <w:r w:rsidRPr="003A6EA6">
          <w:rPr>
            <w:color w:val="0000FF"/>
            <w:u w:val="single"/>
            <w:lang w:val="en-US" w:eastAsia="en-US"/>
          </w:rPr>
          <w:t>https://doi.org/10.1007/s10340-025-01933-y</w:t>
        </w:r>
      </w:hyperlink>
    </w:p>
    <w:p w14:paraId="2B5FDDF5" w14:textId="77777777" w:rsidR="003A6EA6" w:rsidRPr="003A6EA6" w:rsidRDefault="003A6EA6" w:rsidP="003A6EA6">
      <w:pPr>
        <w:spacing w:before="100" w:beforeAutospacing="1" w:after="100" w:afterAutospacing="1" w:line="240" w:lineRule="auto"/>
        <w:rPr>
          <w:lang w:val="en-US" w:eastAsia="en-US"/>
        </w:rPr>
      </w:pPr>
      <w:r w:rsidRPr="003A6EA6">
        <w:rPr>
          <w:lang w:val="en-US" w:eastAsia="en-US"/>
        </w:rPr>
        <w:t xml:space="preserve">Ramos Aguila, L. C., Li, X., </w:t>
      </w:r>
      <w:proofErr w:type="spellStart"/>
      <w:r w:rsidRPr="003A6EA6">
        <w:rPr>
          <w:lang w:val="en-US" w:eastAsia="en-US"/>
        </w:rPr>
        <w:t>Akutse</w:t>
      </w:r>
      <w:proofErr w:type="spellEnd"/>
      <w:r w:rsidRPr="003A6EA6">
        <w:rPr>
          <w:lang w:val="en-US" w:eastAsia="en-US"/>
        </w:rPr>
        <w:t xml:space="preserve">, K. S., </w:t>
      </w:r>
      <w:proofErr w:type="spellStart"/>
      <w:r w:rsidRPr="003A6EA6">
        <w:rPr>
          <w:lang w:val="en-US" w:eastAsia="en-US"/>
        </w:rPr>
        <w:t>Bamisile</w:t>
      </w:r>
      <w:proofErr w:type="spellEnd"/>
      <w:r w:rsidRPr="003A6EA6">
        <w:rPr>
          <w:lang w:val="en-US" w:eastAsia="en-US"/>
        </w:rPr>
        <w:t xml:space="preserve">, B. S., Sánchez Moreano, J. P., Lie, Z., &amp; Liu, J. (2023). Host–parasitoid phenology, distribution, and biological control under climate change. </w:t>
      </w:r>
      <w:r w:rsidRPr="003A6EA6">
        <w:rPr>
          <w:i/>
          <w:iCs/>
          <w:lang w:val="en-US" w:eastAsia="en-US"/>
        </w:rPr>
        <w:t>Life, 13</w:t>
      </w:r>
      <w:r w:rsidRPr="003A6EA6">
        <w:rPr>
          <w:lang w:val="en-US" w:eastAsia="en-US"/>
        </w:rPr>
        <w:t xml:space="preserve">(12), Article 2290. </w:t>
      </w:r>
      <w:hyperlink r:id="rId29" w:history="1">
        <w:r w:rsidRPr="003A6EA6">
          <w:rPr>
            <w:color w:val="0000FF"/>
            <w:u w:val="single"/>
            <w:lang w:val="en-US" w:eastAsia="en-US"/>
          </w:rPr>
          <w:t>https://doi.org/10.3390/life13122290</w:t>
        </w:r>
      </w:hyperlink>
    </w:p>
    <w:p w14:paraId="17D2D773" w14:textId="77777777" w:rsidR="003A6EA6" w:rsidRPr="003A6EA6" w:rsidRDefault="003A6EA6" w:rsidP="003A6EA6">
      <w:pPr>
        <w:spacing w:before="100" w:beforeAutospacing="1" w:after="100" w:afterAutospacing="1" w:line="240" w:lineRule="auto"/>
        <w:rPr>
          <w:lang w:val="en-US" w:eastAsia="en-US"/>
        </w:rPr>
      </w:pPr>
      <w:r w:rsidRPr="003A6EA6">
        <w:rPr>
          <w:lang w:val="en-US" w:eastAsia="en-US"/>
        </w:rPr>
        <w:t xml:space="preserve">Romo, C. M., &amp; </w:t>
      </w:r>
      <w:proofErr w:type="spellStart"/>
      <w:r w:rsidRPr="003A6EA6">
        <w:rPr>
          <w:lang w:val="en-US" w:eastAsia="en-US"/>
        </w:rPr>
        <w:t>Tylianakis</w:t>
      </w:r>
      <w:proofErr w:type="spellEnd"/>
      <w:r w:rsidRPr="003A6EA6">
        <w:rPr>
          <w:lang w:val="en-US" w:eastAsia="en-US"/>
        </w:rPr>
        <w:t xml:space="preserve">, J. M. (2013). Elevated temperature and drought interact to reduce parasitoid effectiveness in suppressing hosts. </w:t>
      </w:r>
      <w:r w:rsidRPr="003A6EA6">
        <w:rPr>
          <w:i/>
          <w:iCs/>
          <w:lang w:val="en-US" w:eastAsia="en-US"/>
        </w:rPr>
        <w:t>PLOS ONE, 8</w:t>
      </w:r>
      <w:r w:rsidRPr="003A6EA6">
        <w:rPr>
          <w:lang w:val="en-US" w:eastAsia="en-US"/>
        </w:rPr>
        <w:t xml:space="preserve">(3), Article e58136. </w:t>
      </w:r>
      <w:hyperlink r:id="rId30" w:history="1">
        <w:r w:rsidRPr="003A6EA6">
          <w:rPr>
            <w:color w:val="0000FF"/>
            <w:u w:val="single"/>
            <w:lang w:val="en-US" w:eastAsia="en-US"/>
          </w:rPr>
          <w:t>https://doi.org/10.1371/journal.pone.0058136</w:t>
        </w:r>
      </w:hyperlink>
    </w:p>
    <w:p w14:paraId="0EA00948" w14:textId="77777777" w:rsidR="003A6EA6" w:rsidRPr="003A6EA6" w:rsidRDefault="003A6EA6" w:rsidP="003A6EA6">
      <w:pPr>
        <w:spacing w:before="100" w:beforeAutospacing="1" w:after="100" w:afterAutospacing="1" w:line="240" w:lineRule="auto"/>
        <w:rPr>
          <w:lang w:val="en-US" w:eastAsia="en-US"/>
        </w:rPr>
      </w:pPr>
      <w:proofErr w:type="spellStart"/>
      <w:r w:rsidRPr="003A6EA6">
        <w:rPr>
          <w:lang w:val="en-US" w:eastAsia="en-US"/>
        </w:rPr>
        <w:t>Skendžić</w:t>
      </w:r>
      <w:proofErr w:type="spellEnd"/>
      <w:r w:rsidRPr="003A6EA6">
        <w:rPr>
          <w:lang w:val="en-US" w:eastAsia="en-US"/>
        </w:rPr>
        <w:t xml:space="preserve">, S., Zovko, M., </w:t>
      </w:r>
      <w:proofErr w:type="spellStart"/>
      <w:r w:rsidRPr="003A6EA6">
        <w:rPr>
          <w:lang w:val="en-US" w:eastAsia="en-US"/>
        </w:rPr>
        <w:t>Pajač</w:t>
      </w:r>
      <w:proofErr w:type="spellEnd"/>
      <w:r w:rsidRPr="003A6EA6">
        <w:rPr>
          <w:lang w:val="en-US" w:eastAsia="en-US"/>
        </w:rPr>
        <w:t xml:space="preserve"> Živković, I., </w:t>
      </w:r>
      <w:proofErr w:type="spellStart"/>
      <w:r w:rsidRPr="003A6EA6">
        <w:rPr>
          <w:lang w:val="en-US" w:eastAsia="en-US"/>
        </w:rPr>
        <w:t>Lešić</w:t>
      </w:r>
      <w:proofErr w:type="spellEnd"/>
      <w:r w:rsidRPr="003A6EA6">
        <w:rPr>
          <w:lang w:val="en-US" w:eastAsia="en-US"/>
        </w:rPr>
        <w:t xml:space="preserve">, V., &amp; </w:t>
      </w:r>
      <w:proofErr w:type="spellStart"/>
      <w:r w:rsidRPr="003A6EA6">
        <w:rPr>
          <w:lang w:val="en-US" w:eastAsia="en-US"/>
        </w:rPr>
        <w:t>Lemić</w:t>
      </w:r>
      <w:proofErr w:type="spellEnd"/>
      <w:r w:rsidRPr="003A6EA6">
        <w:rPr>
          <w:lang w:val="en-US" w:eastAsia="en-US"/>
        </w:rPr>
        <w:t xml:space="preserve">, D. (2021). The impact of climate change on agricultural insect pests. </w:t>
      </w:r>
      <w:r w:rsidRPr="003A6EA6">
        <w:rPr>
          <w:i/>
          <w:iCs/>
          <w:lang w:val="en-US" w:eastAsia="en-US"/>
        </w:rPr>
        <w:t>Insects, 12</w:t>
      </w:r>
      <w:r w:rsidRPr="003A6EA6">
        <w:rPr>
          <w:lang w:val="en-US" w:eastAsia="en-US"/>
        </w:rPr>
        <w:t xml:space="preserve">(5), Article 440. </w:t>
      </w:r>
      <w:hyperlink r:id="rId31" w:history="1">
        <w:r w:rsidRPr="003A6EA6">
          <w:rPr>
            <w:color w:val="0000FF"/>
            <w:u w:val="single"/>
            <w:lang w:val="en-US" w:eastAsia="en-US"/>
          </w:rPr>
          <w:t>https://doi.org/10.3390/insects12050440</w:t>
        </w:r>
      </w:hyperlink>
    </w:p>
    <w:p w14:paraId="2C90D2F8" w14:textId="77777777" w:rsidR="003A6EA6" w:rsidRPr="003A6EA6" w:rsidRDefault="003A6EA6" w:rsidP="003A6EA6">
      <w:pPr>
        <w:spacing w:before="100" w:beforeAutospacing="1" w:after="100" w:afterAutospacing="1" w:line="240" w:lineRule="auto"/>
        <w:rPr>
          <w:lang w:val="en-US" w:eastAsia="en-US"/>
        </w:rPr>
      </w:pPr>
      <w:proofErr w:type="spellStart"/>
      <w:r w:rsidRPr="003A6EA6">
        <w:rPr>
          <w:lang w:val="en-US" w:eastAsia="en-US"/>
        </w:rPr>
        <w:t>Stireman</w:t>
      </w:r>
      <w:proofErr w:type="spellEnd"/>
      <w:r w:rsidRPr="003A6EA6">
        <w:rPr>
          <w:lang w:val="en-US" w:eastAsia="en-US"/>
        </w:rPr>
        <w:t xml:space="preserve">, J. O., III, Dyer, L. A., Janzen, D. H., Singer, M. S., Lill, J. T., Marquis, R. J., Ricklefs, R. E., Gentry, G. L., Hallwachs, W., Coley, P. D., Barone, J. A., Greeney, H. F., </w:t>
      </w:r>
      <w:proofErr w:type="spellStart"/>
      <w:r w:rsidRPr="003A6EA6">
        <w:rPr>
          <w:lang w:val="en-US" w:eastAsia="en-US"/>
        </w:rPr>
        <w:t>Connahs</w:t>
      </w:r>
      <w:proofErr w:type="spellEnd"/>
      <w:r w:rsidRPr="003A6EA6">
        <w:rPr>
          <w:lang w:val="en-US" w:eastAsia="en-US"/>
        </w:rPr>
        <w:t xml:space="preserve">, H., Barbosa, P., Morais, H. C., &amp; Diniz, I. R. (2005). Climatic unpredictability and parasitism of caterpillars: Implications of global warming. </w:t>
      </w:r>
      <w:r w:rsidRPr="003A6EA6">
        <w:rPr>
          <w:i/>
          <w:iCs/>
          <w:lang w:val="en-US" w:eastAsia="en-US"/>
        </w:rPr>
        <w:t>Proceedings of the National Academy of Sciences of the United States of America, 102</w:t>
      </w:r>
      <w:r w:rsidRPr="003A6EA6">
        <w:rPr>
          <w:lang w:val="en-US" w:eastAsia="en-US"/>
        </w:rPr>
        <w:t xml:space="preserve">(48), 17384–17387. </w:t>
      </w:r>
      <w:hyperlink r:id="rId32" w:history="1">
        <w:r w:rsidRPr="003A6EA6">
          <w:rPr>
            <w:color w:val="0000FF"/>
            <w:u w:val="single"/>
            <w:lang w:val="en-US" w:eastAsia="en-US"/>
          </w:rPr>
          <w:t>https://doi.org/10.1073/pnas.0508839102</w:t>
        </w:r>
      </w:hyperlink>
    </w:p>
    <w:p w14:paraId="4AFA3654" w14:textId="77777777" w:rsidR="003A6EA6" w:rsidRPr="003A6EA6" w:rsidRDefault="003A6EA6" w:rsidP="003A6EA6">
      <w:pPr>
        <w:spacing w:before="100" w:beforeAutospacing="1" w:after="100" w:afterAutospacing="1" w:line="240" w:lineRule="auto"/>
        <w:rPr>
          <w:lang w:val="en-US" w:eastAsia="en-US"/>
        </w:rPr>
      </w:pPr>
      <w:r w:rsidRPr="003A6EA6">
        <w:rPr>
          <w:lang w:val="en-US" w:eastAsia="en-US"/>
        </w:rPr>
        <w:t xml:space="preserve">Subedi, B., Poudel, A., &amp; Aryal, S. (2023). The impact of climate change on insect pest biology and ecology: Implications for pest management strategies, crop production, and food security. </w:t>
      </w:r>
      <w:r w:rsidRPr="003A6EA6">
        <w:rPr>
          <w:i/>
          <w:iCs/>
          <w:lang w:val="en-US" w:eastAsia="en-US"/>
        </w:rPr>
        <w:t>Journal of Agriculture and Food Research, 14</w:t>
      </w:r>
      <w:r w:rsidRPr="003A6EA6">
        <w:rPr>
          <w:lang w:val="en-US" w:eastAsia="en-US"/>
        </w:rPr>
        <w:t xml:space="preserve">, Article 100733. </w:t>
      </w:r>
      <w:hyperlink r:id="rId33" w:history="1">
        <w:r w:rsidRPr="003A6EA6">
          <w:rPr>
            <w:color w:val="0000FF"/>
            <w:u w:val="single"/>
            <w:lang w:val="en-US" w:eastAsia="en-US"/>
          </w:rPr>
          <w:t>https://doi.org/10.1016/j.jafr.2023.100733</w:t>
        </w:r>
      </w:hyperlink>
    </w:p>
    <w:p w14:paraId="7C03243B" w14:textId="77777777" w:rsidR="003A6EA6" w:rsidRPr="003A6EA6" w:rsidRDefault="003A6EA6" w:rsidP="003A6EA6">
      <w:pPr>
        <w:spacing w:before="100" w:beforeAutospacing="1" w:after="100" w:afterAutospacing="1" w:line="240" w:lineRule="auto"/>
        <w:rPr>
          <w:lang w:val="en-US" w:eastAsia="en-US"/>
        </w:rPr>
      </w:pPr>
      <w:r w:rsidRPr="003A6EA6">
        <w:rPr>
          <w:lang w:val="en-US" w:eastAsia="en-US"/>
        </w:rPr>
        <w:lastRenderedPageBreak/>
        <w:t xml:space="preserve">Sun, X., Sun, Y., Ma, L., Liu, Z., Wang, Q., Wang, D., Zhang, C., Yu, H., Xu, M., Ding, J., &amp; Siemann, E. (2022). Multidecadal, continent-level analysis indicates agricultural practices impact wheat aphid loads more than climate change. </w:t>
      </w:r>
      <w:r w:rsidRPr="003A6EA6">
        <w:rPr>
          <w:i/>
          <w:iCs/>
          <w:lang w:val="en-US" w:eastAsia="en-US"/>
        </w:rPr>
        <w:t>Communications Biology, 5</w:t>
      </w:r>
      <w:r w:rsidRPr="003A6EA6">
        <w:rPr>
          <w:lang w:val="en-US" w:eastAsia="en-US"/>
        </w:rPr>
        <w:t xml:space="preserve">, Article 761. </w:t>
      </w:r>
      <w:hyperlink r:id="rId34" w:history="1">
        <w:r w:rsidRPr="003A6EA6">
          <w:rPr>
            <w:color w:val="0000FF"/>
            <w:u w:val="single"/>
            <w:lang w:val="en-US" w:eastAsia="en-US"/>
          </w:rPr>
          <w:t>https://doi.org/10.1038/s42003-022-03731-z</w:t>
        </w:r>
      </w:hyperlink>
    </w:p>
    <w:p w14:paraId="1F91E4F8" w14:textId="77777777" w:rsidR="003A6EA6" w:rsidRPr="003A6EA6" w:rsidRDefault="003A6EA6" w:rsidP="003A6EA6">
      <w:pPr>
        <w:spacing w:before="100" w:beforeAutospacing="1" w:after="100" w:afterAutospacing="1" w:line="240" w:lineRule="auto"/>
        <w:rPr>
          <w:lang w:val="en-US" w:eastAsia="en-US"/>
        </w:rPr>
      </w:pPr>
      <w:proofErr w:type="spellStart"/>
      <w:r w:rsidRPr="003A6EA6">
        <w:rPr>
          <w:lang w:val="en-US" w:eastAsia="en-US"/>
        </w:rPr>
        <w:t>Tougeron</w:t>
      </w:r>
      <w:proofErr w:type="spellEnd"/>
      <w:r w:rsidRPr="003A6EA6">
        <w:rPr>
          <w:lang w:val="en-US" w:eastAsia="en-US"/>
        </w:rPr>
        <w:t xml:space="preserve">, K., Brodeur, J., Le Lann, C., &amp; van Baaren, J. (2020). How climate change affects the seasonal ecology of insect parasitoids. </w:t>
      </w:r>
      <w:r w:rsidRPr="003A6EA6">
        <w:rPr>
          <w:i/>
          <w:iCs/>
          <w:lang w:val="en-US" w:eastAsia="en-US"/>
        </w:rPr>
        <w:t>Ecological Entomology, 45</w:t>
      </w:r>
      <w:r w:rsidRPr="003A6EA6">
        <w:rPr>
          <w:lang w:val="en-US" w:eastAsia="en-US"/>
        </w:rPr>
        <w:t xml:space="preserve">(2), 167–181. </w:t>
      </w:r>
      <w:hyperlink r:id="rId35" w:history="1">
        <w:r w:rsidRPr="003A6EA6">
          <w:rPr>
            <w:color w:val="0000FF"/>
            <w:u w:val="single"/>
            <w:lang w:val="en-US" w:eastAsia="en-US"/>
          </w:rPr>
          <w:t>https://doi.org/10.1111/een.12792</w:t>
        </w:r>
      </w:hyperlink>
    </w:p>
    <w:p w14:paraId="3B09C98C" w14:textId="77777777" w:rsidR="003A6EA6" w:rsidRPr="003A6EA6" w:rsidRDefault="003A6EA6" w:rsidP="003A6EA6">
      <w:pPr>
        <w:spacing w:before="100" w:beforeAutospacing="1" w:after="100" w:afterAutospacing="1" w:line="240" w:lineRule="auto"/>
        <w:rPr>
          <w:lang w:val="en-US" w:eastAsia="en-US"/>
        </w:rPr>
      </w:pPr>
      <w:r w:rsidRPr="003A6EA6">
        <w:rPr>
          <w:lang w:val="en-US" w:eastAsia="en-US"/>
        </w:rPr>
        <w:t xml:space="preserve">Tscharntke, T., </w:t>
      </w:r>
      <w:proofErr w:type="spellStart"/>
      <w:r w:rsidRPr="003A6EA6">
        <w:rPr>
          <w:lang w:val="en-US" w:eastAsia="en-US"/>
        </w:rPr>
        <w:t>Bommarco</w:t>
      </w:r>
      <w:proofErr w:type="spellEnd"/>
      <w:r w:rsidRPr="003A6EA6">
        <w:rPr>
          <w:lang w:val="en-US" w:eastAsia="en-US"/>
        </w:rPr>
        <w:t xml:space="preserve">, R., Clough, Y., Crist, T. O., Kleijn, D., Rand, T. A., </w:t>
      </w:r>
      <w:proofErr w:type="spellStart"/>
      <w:r w:rsidRPr="003A6EA6">
        <w:rPr>
          <w:lang w:val="en-US" w:eastAsia="en-US"/>
        </w:rPr>
        <w:t>Tylianakis</w:t>
      </w:r>
      <w:proofErr w:type="spellEnd"/>
      <w:r w:rsidRPr="003A6EA6">
        <w:rPr>
          <w:lang w:val="en-US" w:eastAsia="en-US"/>
        </w:rPr>
        <w:t xml:space="preserve">, J. M., van </w:t>
      </w:r>
      <w:proofErr w:type="spellStart"/>
      <w:r w:rsidRPr="003A6EA6">
        <w:rPr>
          <w:lang w:val="en-US" w:eastAsia="en-US"/>
        </w:rPr>
        <w:t>Nouhuys</w:t>
      </w:r>
      <w:proofErr w:type="spellEnd"/>
      <w:r w:rsidRPr="003A6EA6">
        <w:rPr>
          <w:lang w:val="en-US" w:eastAsia="en-US"/>
        </w:rPr>
        <w:t xml:space="preserve">, S., &amp; Vidal, S. (2007). Conservation biological control and enemy diversity on a landscape scale. </w:t>
      </w:r>
      <w:r w:rsidRPr="003A6EA6">
        <w:rPr>
          <w:i/>
          <w:iCs/>
          <w:lang w:val="en-US" w:eastAsia="en-US"/>
        </w:rPr>
        <w:t>Biological Control, 43</w:t>
      </w:r>
      <w:r w:rsidRPr="003A6EA6">
        <w:rPr>
          <w:lang w:val="en-US" w:eastAsia="en-US"/>
        </w:rPr>
        <w:t xml:space="preserve">(3), 294–309. </w:t>
      </w:r>
      <w:hyperlink r:id="rId36" w:history="1">
        <w:r w:rsidRPr="003A6EA6">
          <w:rPr>
            <w:color w:val="0000FF"/>
            <w:u w:val="single"/>
            <w:lang w:val="en-US" w:eastAsia="en-US"/>
          </w:rPr>
          <w:t>https://doi.org/10.1016/j.biocontrol.2007.08.006</w:t>
        </w:r>
      </w:hyperlink>
    </w:p>
    <w:p w14:paraId="0185D655" w14:textId="77777777" w:rsidR="003A6EA6" w:rsidRPr="003A6EA6" w:rsidRDefault="003A6EA6" w:rsidP="003A6EA6">
      <w:pPr>
        <w:spacing w:before="100" w:beforeAutospacing="1" w:after="100" w:afterAutospacing="1" w:line="240" w:lineRule="auto"/>
        <w:rPr>
          <w:lang w:val="en-US" w:eastAsia="en-US"/>
        </w:rPr>
      </w:pPr>
      <w:r w:rsidRPr="003A6EA6">
        <w:rPr>
          <w:lang w:val="en-US" w:eastAsia="en-US"/>
        </w:rPr>
        <w:t xml:space="preserve">Wetherington, M. T., Jennings, D. E., Shrewsbury, P. M., &amp; Duan, J. J. (2017). Climate variation alters the synchrony of host–parasitoid interactions. </w:t>
      </w:r>
      <w:r w:rsidRPr="003A6EA6">
        <w:rPr>
          <w:i/>
          <w:iCs/>
          <w:lang w:val="en-US" w:eastAsia="en-US"/>
        </w:rPr>
        <w:t>Ecology and Evolution, 7</w:t>
      </w:r>
      <w:r w:rsidRPr="003A6EA6">
        <w:rPr>
          <w:lang w:val="en-US" w:eastAsia="en-US"/>
        </w:rPr>
        <w:t xml:space="preserve">(20), 8578–8587. </w:t>
      </w:r>
      <w:hyperlink r:id="rId37" w:history="1">
        <w:r w:rsidRPr="003A6EA6">
          <w:rPr>
            <w:color w:val="0000FF"/>
            <w:u w:val="single"/>
            <w:lang w:val="en-US" w:eastAsia="en-US"/>
          </w:rPr>
          <w:t>https://doi.org/10.1002/ece3.3384</w:t>
        </w:r>
      </w:hyperlink>
    </w:p>
    <w:p w14:paraId="067C1F86" w14:textId="77777777" w:rsidR="003A6EA6" w:rsidRPr="003A6EA6" w:rsidRDefault="003A6EA6" w:rsidP="003A6EA6">
      <w:pPr>
        <w:spacing w:before="100" w:beforeAutospacing="1" w:after="100" w:afterAutospacing="1" w:line="240" w:lineRule="auto"/>
        <w:rPr>
          <w:lang w:val="en-US" w:eastAsia="en-US"/>
        </w:rPr>
      </w:pPr>
      <w:r w:rsidRPr="003A6EA6">
        <w:rPr>
          <w:lang w:val="en-US" w:eastAsia="en-US"/>
        </w:rPr>
        <w:t xml:space="preserve">Yan, X.-R., Wang, Z.-Y., Feng, S.-Q., Zhao, Z.-H., &amp; Li, Z.-H. (2022). Impact of temperature change on the fall armyworm, </w:t>
      </w:r>
      <w:r w:rsidRPr="003A6EA6">
        <w:rPr>
          <w:i/>
          <w:iCs/>
          <w:lang w:val="en-US" w:eastAsia="en-US"/>
        </w:rPr>
        <w:t xml:space="preserve">Spodoptera </w:t>
      </w:r>
      <w:proofErr w:type="spellStart"/>
      <w:r w:rsidRPr="003A6EA6">
        <w:rPr>
          <w:i/>
          <w:iCs/>
          <w:lang w:val="en-US" w:eastAsia="en-US"/>
        </w:rPr>
        <w:t>frugiperda</w:t>
      </w:r>
      <w:proofErr w:type="spellEnd"/>
      <w:r w:rsidRPr="003A6EA6">
        <w:rPr>
          <w:lang w:val="en-US" w:eastAsia="en-US"/>
        </w:rPr>
        <w:t xml:space="preserve">, under global climate change. </w:t>
      </w:r>
      <w:r w:rsidRPr="003A6EA6">
        <w:rPr>
          <w:i/>
          <w:iCs/>
          <w:lang w:val="en-US" w:eastAsia="en-US"/>
        </w:rPr>
        <w:t>Insects, 13</w:t>
      </w:r>
      <w:r w:rsidRPr="003A6EA6">
        <w:rPr>
          <w:lang w:val="en-US" w:eastAsia="en-US"/>
        </w:rPr>
        <w:t xml:space="preserve">(11), Article 981. </w:t>
      </w:r>
      <w:hyperlink r:id="rId38" w:history="1">
        <w:r w:rsidRPr="003A6EA6">
          <w:rPr>
            <w:color w:val="0000FF"/>
            <w:u w:val="single"/>
            <w:lang w:val="en-US" w:eastAsia="en-US"/>
          </w:rPr>
          <w:t>https://doi.org/10.3390/insects13110981</w:t>
        </w:r>
      </w:hyperlink>
    </w:p>
    <w:p w14:paraId="62D20456" w14:textId="77777777" w:rsidR="003A6EA6" w:rsidRPr="003A6EA6" w:rsidRDefault="003A6EA6" w:rsidP="003A6EA6">
      <w:pPr>
        <w:spacing w:before="100" w:beforeAutospacing="1" w:after="100" w:afterAutospacing="1" w:line="240" w:lineRule="auto"/>
        <w:rPr>
          <w:lang w:val="en-US" w:eastAsia="en-US"/>
        </w:rPr>
      </w:pPr>
      <w:r w:rsidRPr="003A6EA6">
        <w:rPr>
          <w:lang w:val="en-US" w:eastAsia="en-US"/>
        </w:rPr>
        <w:t xml:space="preserve">Zacarias, D. A. (2020). Global bioclimatic suitability for the fall armyworm, </w:t>
      </w:r>
      <w:r w:rsidRPr="003A6EA6">
        <w:rPr>
          <w:i/>
          <w:iCs/>
          <w:lang w:val="en-US" w:eastAsia="en-US"/>
        </w:rPr>
        <w:t xml:space="preserve">Spodoptera </w:t>
      </w:r>
      <w:proofErr w:type="spellStart"/>
      <w:r w:rsidRPr="003A6EA6">
        <w:rPr>
          <w:i/>
          <w:iCs/>
          <w:lang w:val="en-US" w:eastAsia="en-US"/>
        </w:rPr>
        <w:t>frugiperda</w:t>
      </w:r>
      <w:proofErr w:type="spellEnd"/>
      <w:r w:rsidRPr="003A6EA6">
        <w:rPr>
          <w:lang w:val="en-US" w:eastAsia="en-US"/>
        </w:rPr>
        <w:t xml:space="preserve"> (Lepidoptera: </w:t>
      </w:r>
      <w:proofErr w:type="spellStart"/>
      <w:r w:rsidRPr="003A6EA6">
        <w:rPr>
          <w:lang w:val="en-US" w:eastAsia="en-US"/>
        </w:rPr>
        <w:t>Noctuidae</w:t>
      </w:r>
      <w:proofErr w:type="spellEnd"/>
      <w:r w:rsidRPr="003A6EA6">
        <w:rPr>
          <w:lang w:val="en-US" w:eastAsia="en-US"/>
        </w:rPr>
        <w:t xml:space="preserve">), and potential co-occurrence with major host crops under climate change scenarios. </w:t>
      </w:r>
      <w:r w:rsidRPr="003A6EA6">
        <w:rPr>
          <w:i/>
          <w:iCs/>
          <w:lang w:val="en-US" w:eastAsia="en-US"/>
        </w:rPr>
        <w:t>Climatic Change, 161</w:t>
      </w:r>
      <w:r w:rsidRPr="003A6EA6">
        <w:rPr>
          <w:lang w:val="en-US" w:eastAsia="en-US"/>
        </w:rPr>
        <w:t xml:space="preserve">(4), 555–566. </w:t>
      </w:r>
      <w:hyperlink r:id="rId39" w:history="1">
        <w:r w:rsidRPr="003A6EA6">
          <w:rPr>
            <w:color w:val="0000FF"/>
            <w:u w:val="single"/>
            <w:lang w:val="en-US" w:eastAsia="en-US"/>
          </w:rPr>
          <w:t>https://doi.org/10.1007/s10584-020-02722-5</w:t>
        </w:r>
      </w:hyperlink>
    </w:p>
    <w:p w14:paraId="2DFD4678" w14:textId="77777777" w:rsidR="003A6EA6" w:rsidRPr="003A6EA6" w:rsidRDefault="003A6EA6" w:rsidP="003A6EA6">
      <w:pPr>
        <w:spacing w:before="100" w:beforeAutospacing="1" w:after="100" w:afterAutospacing="1" w:line="240" w:lineRule="auto"/>
        <w:rPr>
          <w:lang w:val="en-US" w:eastAsia="en-US"/>
        </w:rPr>
      </w:pPr>
      <w:r w:rsidRPr="003A6EA6">
        <w:rPr>
          <w:lang w:val="en-US" w:eastAsia="en-US"/>
        </w:rPr>
        <w:t xml:space="preserve">Zhang, Y., Wan, Y., Wang, C., Chen, J., Si, Q., &amp; Ma, F. (2024). Potential distribution of three invasive agricultural pests in China under climate change. </w:t>
      </w:r>
      <w:r w:rsidRPr="003A6EA6">
        <w:rPr>
          <w:i/>
          <w:iCs/>
          <w:lang w:val="en-US" w:eastAsia="en-US"/>
        </w:rPr>
        <w:t>Scientific Reports, 14</w:t>
      </w:r>
      <w:r w:rsidRPr="003A6EA6">
        <w:rPr>
          <w:lang w:val="en-US" w:eastAsia="en-US"/>
        </w:rPr>
        <w:t xml:space="preserve">, Article 13672. </w:t>
      </w:r>
      <w:hyperlink r:id="rId40" w:history="1">
        <w:r w:rsidRPr="003A6EA6">
          <w:rPr>
            <w:color w:val="0000FF"/>
            <w:u w:val="single"/>
            <w:lang w:val="en-US" w:eastAsia="en-US"/>
          </w:rPr>
          <w:t>https://doi.org/10.1038/s41598-024-63553-3</w:t>
        </w:r>
      </w:hyperlink>
    </w:p>
    <w:p w14:paraId="76B7657C" w14:textId="77777777" w:rsidR="003A6EA6" w:rsidRDefault="003A6EA6" w:rsidP="001E72FE">
      <w:pPr>
        <w:pStyle w:val="Heading1"/>
        <w:spacing w:before="100" w:beforeAutospacing="1" w:after="100" w:afterAutospacing="1" w:line="240" w:lineRule="auto"/>
      </w:pPr>
    </w:p>
    <w:sectPr w:rsidR="003A6EA6">
      <w:headerReference w:type="even" r:id="rId41"/>
      <w:headerReference w:type="default" r:id="rId42"/>
      <w:footerReference w:type="even" r:id="rId43"/>
      <w:footerReference w:type="default" r:id="rId44"/>
      <w:headerReference w:type="first" r:id="rId45"/>
      <w:footerReference w:type="first" r:id="rId46"/>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73D70B" w14:textId="77777777" w:rsidR="00093BF2" w:rsidRDefault="00093BF2">
      <w:pPr>
        <w:spacing w:line="240" w:lineRule="auto"/>
      </w:pPr>
      <w:r>
        <w:separator/>
      </w:r>
    </w:p>
  </w:endnote>
  <w:endnote w:type="continuationSeparator" w:id="0">
    <w:p w14:paraId="6B956573" w14:textId="77777777" w:rsidR="00093BF2" w:rsidRDefault="00093BF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17E48" w14:textId="77777777" w:rsidR="00977723" w:rsidRDefault="009777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92B11" w14:textId="77777777" w:rsidR="00D9312A" w:rsidRDefault="00000000">
    <w:pPr>
      <w:jc w:val="center"/>
    </w:pPr>
    <w:r>
      <w:rPr>
        <w:sz w:val="18"/>
        <w:szCs w:val="18"/>
      </w:rPr>
      <w:fldChar w:fldCharType="begin"/>
    </w:r>
    <w:r>
      <w:rPr>
        <w:sz w:val="18"/>
        <w:szCs w:val="18"/>
      </w:rPr>
      <w:instrText>PAGE</w:instrText>
    </w:r>
    <w:r>
      <w:rPr>
        <w:sz w:val="18"/>
        <w:szCs w:val="18"/>
      </w:rPr>
      <w:fldChar w:fldCharType="separate"/>
    </w:r>
    <w:r w:rsidR="001E72FE">
      <w:rPr>
        <w:noProof/>
        <w:sz w:val="18"/>
        <w:szCs w:val="18"/>
      </w:rPr>
      <w:t>1</w:t>
    </w:r>
    <w:r>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9DEE8" w14:textId="77777777" w:rsidR="00977723" w:rsidRDefault="009777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D2D2B2" w14:textId="77777777" w:rsidR="00093BF2" w:rsidRDefault="00093BF2">
      <w:pPr>
        <w:spacing w:line="240" w:lineRule="auto"/>
      </w:pPr>
      <w:r>
        <w:separator/>
      </w:r>
    </w:p>
  </w:footnote>
  <w:footnote w:type="continuationSeparator" w:id="0">
    <w:p w14:paraId="334EB8B8" w14:textId="77777777" w:rsidR="00093BF2" w:rsidRDefault="00093BF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C0E4" w14:textId="77777777" w:rsidR="00977723" w:rsidRDefault="00000000">
    <w:pPr>
      <w:pStyle w:val="Header"/>
    </w:pPr>
    <w:r>
      <w:rPr>
        <w:noProof/>
      </w:rPr>
      <w:pict w14:anchorId="7033BC7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8185532" o:spid="_x0000_s1026" type="#_x0000_t136" style="position:absolute;margin-left:0;margin-top:0;width:572.65pt;height:63.6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100E6" w14:textId="77777777" w:rsidR="00977723" w:rsidRDefault="00000000">
    <w:pPr>
      <w:pStyle w:val="Header"/>
    </w:pPr>
    <w:r>
      <w:rPr>
        <w:noProof/>
      </w:rPr>
      <w:pict w14:anchorId="65513E6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8185533" o:spid="_x0000_s1027" type="#_x0000_t136" style="position:absolute;margin-left:0;margin-top:0;width:572.65pt;height:63.6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A6294" w14:textId="77777777" w:rsidR="00977723" w:rsidRDefault="00000000">
    <w:pPr>
      <w:pStyle w:val="Header"/>
    </w:pPr>
    <w:r>
      <w:rPr>
        <w:noProof/>
      </w:rPr>
      <w:pict w14:anchorId="62C8CA2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8185531" o:spid="_x0000_s1025" type="#_x0000_t136" style="position:absolute;margin-left:0;margin-top:0;width:572.65pt;height:63.6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427B63"/>
    <w:multiLevelType w:val="hybridMultilevel"/>
    <w:tmpl w:val="D666AED2"/>
    <w:lvl w:ilvl="0" w:tplc="3E9AF2C4">
      <w:start w:val="1"/>
      <w:numFmt w:val="bullet"/>
      <w:lvlText w:val="●"/>
      <w:lvlJc w:val="left"/>
      <w:pPr>
        <w:ind w:left="720" w:hanging="360"/>
      </w:pPr>
    </w:lvl>
    <w:lvl w:ilvl="1" w:tplc="E042D8B6">
      <w:start w:val="1"/>
      <w:numFmt w:val="bullet"/>
      <w:lvlText w:val="○"/>
      <w:lvlJc w:val="left"/>
      <w:pPr>
        <w:ind w:left="1440" w:hanging="360"/>
      </w:pPr>
    </w:lvl>
    <w:lvl w:ilvl="2" w:tplc="4B182E9E">
      <w:start w:val="1"/>
      <w:numFmt w:val="bullet"/>
      <w:lvlText w:val="■"/>
      <w:lvlJc w:val="left"/>
      <w:pPr>
        <w:ind w:left="2160" w:hanging="360"/>
      </w:pPr>
    </w:lvl>
    <w:lvl w:ilvl="3" w:tplc="EA9C239E">
      <w:start w:val="1"/>
      <w:numFmt w:val="bullet"/>
      <w:lvlText w:val="●"/>
      <w:lvlJc w:val="left"/>
      <w:pPr>
        <w:ind w:left="2880" w:hanging="360"/>
      </w:pPr>
    </w:lvl>
    <w:lvl w:ilvl="4" w:tplc="C712B7B8">
      <w:start w:val="1"/>
      <w:numFmt w:val="bullet"/>
      <w:lvlText w:val="○"/>
      <w:lvlJc w:val="left"/>
      <w:pPr>
        <w:ind w:left="3600" w:hanging="360"/>
      </w:pPr>
    </w:lvl>
    <w:lvl w:ilvl="5" w:tplc="8442638E">
      <w:start w:val="1"/>
      <w:numFmt w:val="bullet"/>
      <w:lvlText w:val="■"/>
      <w:lvlJc w:val="left"/>
      <w:pPr>
        <w:ind w:left="4320" w:hanging="360"/>
      </w:pPr>
    </w:lvl>
    <w:lvl w:ilvl="6" w:tplc="C4F8E60E">
      <w:start w:val="1"/>
      <w:numFmt w:val="bullet"/>
      <w:lvlText w:val="●"/>
      <w:lvlJc w:val="left"/>
      <w:pPr>
        <w:ind w:left="5040" w:hanging="360"/>
      </w:pPr>
    </w:lvl>
    <w:lvl w:ilvl="7" w:tplc="25909228">
      <w:start w:val="1"/>
      <w:numFmt w:val="bullet"/>
      <w:lvlText w:val="●"/>
      <w:lvlJc w:val="left"/>
      <w:pPr>
        <w:ind w:left="5760" w:hanging="360"/>
      </w:pPr>
    </w:lvl>
    <w:lvl w:ilvl="8" w:tplc="A1AE3262">
      <w:start w:val="1"/>
      <w:numFmt w:val="bullet"/>
      <w:lvlText w:val="●"/>
      <w:lvlJc w:val="left"/>
      <w:pPr>
        <w:ind w:left="6480" w:hanging="360"/>
      </w:pPr>
    </w:lvl>
  </w:abstractNum>
  <w:num w:numId="1" w16cid:durableId="105566529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sjQ3MDSyMDU1M7cwN7VQ0lEKTi0uzszPAykwrAUAqddrgywAAAA="/>
  </w:docVars>
  <w:rsids>
    <w:rsidRoot w:val="00D9312A"/>
    <w:rsid w:val="00090507"/>
    <w:rsid w:val="00093BF2"/>
    <w:rsid w:val="001465B9"/>
    <w:rsid w:val="0015181B"/>
    <w:rsid w:val="001E4F03"/>
    <w:rsid w:val="001E72FE"/>
    <w:rsid w:val="003A6EA6"/>
    <w:rsid w:val="00404545"/>
    <w:rsid w:val="00466812"/>
    <w:rsid w:val="004D068E"/>
    <w:rsid w:val="00532E21"/>
    <w:rsid w:val="0082396E"/>
    <w:rsid w:val="008C1A2C"/>
    <w:rsid w:val="008C3F4A"/>
    <w:rsid w:val="00977723"/>
    <w:rsid w:val="00A13AC1"/>
    <w:rsid w:val="00A27CD8"/>
    <w:rsid w:val="00B55D6A"/>
    <w:rsid w:val="00B832A2"/>
    <w:rsid w:val="00CC53BB"/>
    <w:rsid w:val="00D9312A"/>
    <w:rsid w:val="00E955B4"/>
    <w:rsid w:val="00FD52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BA6983"/>
  <w15:docId w15:val="{20A8D881-621B-4CCD-A2A7-9192A67D9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480" w:after="240"/>
      <w:outlineLvl w:val="0"/>
    </w:pPr>
    <w:rPr>
      <w:b/>
      <w:bCs/>
      <w:color w:val="000000"/>
      <w:sz w:val="26"/>
      <w:szCs w:val="26"/>
    </w:rPr>
  </w:style>
  <w:style w:type="paragraph" w:styleId="Heading2">
    <w:name w:val="heading 2"/>
    <w:uiPriority w:val="9"/>
    <w:unhideWhenUsed/>
    <w:qFormat/>
    <w:pPr>
      <w:spacing w:before="360" w:after="200"/>
      <w:outlineLvl w:val="1"/>
    </w:pPr>
    <w:rPr>
      <w:b/>
      <w:bCs/>
      <w:i/>
      <w:iCs/>
      <w:color w:val="000000"/>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pPr>
      <w:spacing w:after="240"/>
      <w:jc w:val="center"/>
    </w:pPr>
    <w:rPr>
      <w:b/>
      <w:bCs/>
      <w:color w:val="000000"/>
      <w:sz w:val="30"/>
      <w:szCs w:val="30"/>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pPr>
      <w:spacing w:line="240" w:lineRule="auto"/>
    </w:pPr>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pPr>
      <w:spacing w:line="240" w:lineRule="auto"/>
    </w:pPr>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1E72FE"/>
    <w:pPr>
      <w:tabs>
        <w:tab w:val="center" w:pos="4513"/>
        <w:tab w:val="right" w:pos="9026"/>
      </w:tabs>
      <w:spacing w:line="240" w:lineRule="auto"/>
    </w:pPr>
  </w:style>
  <w:style w:type="character" w:customStyle="1" w:styleId="HeaderChar">
    <w:name w:val="Header Char"/>
    <w:basedOn w:val="DefaultParagraphFont"/>
    <w:link w:val="Header"/>
    <w:uiPriority w:val="99"/>
    <w:rsid w:val="001E72FE"/>
  </w:style>
  <w:style w:type="paragraph" w:styleId="Footer">
    <w:name w:val="footer"/>
    <w:basedOn w:val="Normal"/>
    <w:link w:val="FooterChar"/>
    <w:uiPriority w:val="99"/>
    <w:unhideWhenUsed/>
    <w:rsid w:val="001E72FE"/>
    <w:pPr>
      <w:tabs>
        <w:tab w:val="center" w:pos="4513"/>
        <w:tab w:val="right" w:pos="9026"/>
      </w:tabs>
      <w:spacing w:line="240" w:lineRule="auto"/>
    </w:pPr>
  </w:style>
  <w:style w:type="character" w:customStyle="1" w:styleId="FooterChar">
    <w:name w:val="Footer Char"/>
    <w:basedOn w:val="DefaultParagraphFont"/>
    <w:link w:val="Footer"/>
    <w:uiPriority w:val="99"/>
    <w:rsid w:val="001E72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3389/fevo.2019.00080" TargetMode="External"/><Relationship Id="rId18" Type="http://schemas.openxmlformats.org/officeDocument/2006/relationships/hyperlink" Target="https://doi.org/10.1111/brv.12571" TargetMode="External"/><Relationship Id="rId26" Type="http://schemas.openxmlformats.org/officeDocument/2006/relationships/hyperlink" Target="https://doi.org/10.1002/ps.8179" TargetMode="External"/><Relationship Id="rId39" Type="http://schemas.openxmlformats.org/officeDocument/2006/relationships/hyperlink" Target="https://doi.org/10.1007/s10584-020-02722-5" TargetMode="External"/><Relationship Id="rId21" Type="http://schemas.openxmlformats.org/officeDocument/2006/relationships/hyperlink" Target="https://doi.org/10.1038/s41598-020-70823-3" TargetMode="External"/><Relationship Id="rId34" Type="http://schemas.openxmlformats.org/officeDocument/2006/relationships/hyperlink" Target="https://doi.org/10.1038/s42003-022-03731-z" TargetMode="External"/><Relationship Id="rId42" Type="http://schemas.openxmlformats.org/officeDocument/2006/relationships/header" Target="header2.xm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098/rspb.2021.0547" TargetMode="External"/><Relationship Id="rId29" Type="http://schemas.openxmlformats.org/officeDocument/2006/relationships/hyperlink" Target="https://doi.org/10.3390/life1312229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38/ncomms12986" TargetMode="External"/><Relationship Id="rId24" Type="http://schemas.openxmlformats.org/officeDocument/2006/relationships/hyperlink" Target="https://doi.org/10.1093/icb/icx006" TargetMode="External"/><Relationship Id="rId32" Type="http://schemas.openxmlformats.org/officeDocument/2006/relationships/hyperlink" Target="https://doi.org/10.1073/pnas.0508839102" TargetMode="External"/><Relationship Id="rId37" Type="http://schemas.openxmlformats.org/officeDocument/2006/relationships/hyperlink" Target="https://doi.org/10.1002/ece3.3384" TargetMode="External"/><Relationship Id="rId40" Type="http://schemas.openxmlformats.org/officeDocument/2006/relationships/hyperlink" Target="https://doi.org/10.1038/s41598-024-63553-3" TargetMode="External"/><Relationship Id="rId45"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doi.org/10.1002/agj2.21399" TargetMode="External"/><Relationship Id="rId23" Type="http://schemas.openxmlformats.org/officeDocument/2006/relationships/hyperlink" Target="https://doi.org/10.1371/journal.pone.0066445" TargetMode="External"/><Relationship Id="rId28" Type="http://schemas.openxmlformats.org/officeDocument/2006/relationships/hyperlink" Target="https://doi.org/10.1007/s10340-025-01933-y" TargetMode="External"/><Relationship Id="rId36" Type="http://schemas.openxmlformats.org/officeDocument/2006/relationships/hyperlink" Target="https://doi.org/10.1016/j.biocontrol.2007.08.006" TargetMode="External"/><Relationship Id="rId10" Type="http://schemas.openxmlformats.org/officeDocument/2006/relationships/hyperlink" Target="https://doi.org/10.1098/rspb.2023.2522" TargetMode="External"/><Relationship Id="rId19" Type="http://schemas.openxmlformats.org/officeDocument/2006/relationships/hyperlink" Target="https://doi.org/10.1002/ps.5447" TargetMode="External"/><Relationship Id="rId31" Type="http://schemas.openxmlformats.org/officeDocument/2006/relationships/hyperlink" Target="https://doi.org/10.3390/insects12050440" TargetMode="External"/><Relationship Id="rId4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doi.org/10.1046/j.1365-2486.2002.00451.x" TargetMode="External"/><Relationship Id="rId14" Type="http://schemas.openxmlformats.org/officeDocument/2006/relationships/hyperlink" Target="https://doi.org/10.1002/ece3.7314" TargetMode="External"/><Relationship Id="rId22" Type="http://schemas.openxmlformats.org/officeDocument/2006/relationships/hyperlink" Target="https://doi.org/10.1038/s43017-025-00652-3" TargetMode="External"/><Relationship Id="rId27" Type="http://schemas.openxmlformats.org/officeDocument/2006/relationships/hyperlink" Target="https://doi.org/10.1111/1365-2435.14498" TargetMode="External"/><Relationship Id="rId30" Type="http://schemas.openxmlformats.org/officeDocument/2006/relationships/hyperlink" Target="https://doi.org/10.1371/journal.pone.0058136" TargetMode="External"/><Relationship Id="rId35" Type="http://schemas.openxmlformats.org/officeDocument/2006/relationships/hyperlink" Target="https://doi.org/10.1111/een.12792" TargetMode="External"/><Relationship Id="rId43" Type="http://schemas.openxmlformats.org/officeDocument/2006/relationships/footer" Target="footer1.xml"/><Relationship Id="rId48" Type="http://schemas.openxmlformats.org/officeDocument/2006/relationships/theme" Target="theme/theme1.xml"/><Relationship Id="rId8" Type="http://schemas.openxmlformats.org/officeDocument/2006/relationships/hyperlink" Target="https://doi.org/10.1186/s41073-019-0064-8" TargetMode="External"/><Relationship Id="rId3" Type="http://schemas.openxmlformats.org/officeDocument/2006/relationships/styles" Target="styles.xml"/><Relationship Id="rId12" Type="http://schemas.openxmlformats.org/officeDocument/2006/relationships/hyperlink" Target="https://doi.org/10.1016/j.scitotenv.2017.11.027" TargetMode="External"/><Relationship Id="rId17" Type="http://schemas.openxmlformats.org/officeDocument/2006/relationships/hyperlink" Target="https://www.fao.org/locust-watch/activities/climate-change/climate-change-and-desert-locust/en" TargetMode="External"/><Relationship Id="rId25" Type="http://schemas.openxmlformats.org/officeDocument/2006/relationships/hyperlink" Target="https://doi.org/10.1111/phen.12441" TargetMode="External"/><Relationship Id="rId33" Type="http://schemas.openxmlformats.org/officeDocument/2006/relationships/hyperlink" Target="https://doi.org/10.1016/j.jafr.2023.100733" TargetMode="External"/><Relationship Id="rId38" Type="http://schemas.openxmlformats.org/officeDocument/2006/relationships/hyperlink" Target="https://doi.org/10.3390/insects13110981" TargetMode="External"/><Relationship Id="rId46" Type="http://schemas.openxmlformats.org/officeDocument/2006/relationships/footer" Target="footer3.xml"/><Relationship Id="rId20" Type="http://schemas.openxmlformats.org/officeDocument/2006/relationships/hyperlink" Target="https://doi.org/10.1007/s10342-023-01623-3" TargetMode="External"/><Relationship Id="rId41"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D5DF88-3265-44B1-B0F1-649F4350A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27</Pages>
  <Words>14904</Words>
  <Characters>84956</Characters>
  <Application>Microsoft Office Word</Application>
  <DocSecurity>0</DocSecurity>
  <Lines>707</Lines>
  <Paragraphs>199</Paragraphs>
  <ScaleCrop>false</ScaleCrop>
  <Company>HP</Company>
  <LinksUpToDate>false</LinksUpToDate>
  <CharactersWithSpaces>99661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Climate Change and Agroecosystem Pest Dynamics</dc:title>
  <dc:creator>Critical Narrative Review</dc:creator>
  <cp:lastModifiedBy>SDI 1087</cp:lastModifiedBy>
  <cp:revision>11</cp:revision>
  <dcterms:created xsi:type="dcterms:W3CDTF">2026-07-20T11:34:00Z</dcterms:created>
  <dcterms:modified xsi:type="dcterms:W3CDTF">2026-07-29T10:14:00Z</dcterms:modified>
</cp:coreProperties>
</file>