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44DC6" w14:textId="77777777" w:rsidR="005C45CB" w:rsidRPr="00AE066F" w:rsidRDefault="00000000">
      <w:pPr>
        <w:spacing w:line="240" w:lineRule="auto"/>
        <w:jc w:val="center"/>
      </w:pPr>
      <w:r w:rsidRPr="00AE066F">
        <w:rPr>
          <w:rFonts w:ascii="Arial" w:hAnsi="Arial" w:cs="Arial"/>
          <w:b/>
          <w:bCs/>
          <w:sz w:val="36"/>
          <w:szCs w:val="36"/>
        </w:rPr>
        <w:t xml:space="preserve">Karyotypic profiles of </w:t>
      </w:r>
      <w:r w:rsidRPr="00AE066F">
        <w:rPr>
          <w:rFonts w:ascii="Arial" w:hAnsi="Arial" w:cs="Arial"/>
          <w:b/>
          <w:bCs/>
          <w:i/>
          <w:iCs/>
          <w:sz w:val="36"/>
          <w:szCs w:val="36"/>
        </w:rPr>
        <w:t xml:space="preserve">Puntius </w:t>
      </w:r>
      <w:proofErr w:type="spellStart"/>
      <w:r w:rsidRPr="00AE066F">
        <w:rPr>
          <w:rFonts w:ascii="Arial" w:hAnsi="Arial" w:cs="Arial"/>
          <w:b/>
          <w:bCs/>
          <w:i/>
          <w:iCs/>
          <w:sz w:val="36"/>
          <w:szCs w:val="36"/>
        </w:rPr>
        <w:t>sophore</w:t>
      </w:r>
      <w:proofErr w:type="spellEnd"/>
      <w:r w:rsidRPr="00AE066F">
        <w:rPr>
          <w:rFonts w:ascii="Arial" w:hAnsi="Arial" w:cs="Arial"/>
          <w:b/>
          <w:bCs/>
          <w:i/>
          <w:sz w:val="36"/>
          <w:szCs w:val="36"/>
        </w:rPr>
        <w:t xml:space="preserve"> </w:t>
      </w:r>
      <w:r w:rsidRPr="00AE066F">
        <w:rPr>
          <w:rFonts w:ascii="Arial" w:hAnsi="Arial" w:cs="Arial"/>
          <w:b/>
          <w:bCs/>
          <w:sz w:val="36"/>
          <w:szCs w:val="36"/>
        </w:rPr>
        <w:t>(Hamilton,1822)</w:t>
      </w:r>
      <w:r w:rsidRPr="00AE066F">
        <w:rPr>
          <w:rFonts w:ascii="Arial" w:hAnsi="Arial" w:cs="Arial"/>
          <w:b/>
          <w:bCs/>
          <w:i/>
          <w:sz w:val="36"/>
          <w:szCs w:val="36"/>
        </w:rPr>
        <w:t xml:space="preserve"> </w:t>
      </w:r>
      <w:r w:rsidRPr="00AE066F">
        <w:rPr>
          <w:rFonts w:ascii="Arial" w:hAnsi="Arial" w:cs="Arial"/>
          <w:b/>
          <w:bCs/>
          <w:sz w:val="36"/>
          <w:szCs w:val="36"/>
        </w:rPr>
        <w:t xml:space="preserve">and </w:t>
      </w:r>
      <w:proofErr w:type="spellStart"/>
      <w:r w:rsidRPr="00AE066F">
        <w:rPr>
          <w:rFonts w:ascii="Arial" w:hAnsi="Arial" w:cs="Arial"/>
          <w:b/>
          <w:bCs/>
          <w:i/>
          <w:iCs/>
          <w:sz w:val="36"/>
          <w:szCs w:val="36"/>
        </w:rPr>
        <w:t>Plesiopuntius</w:t>
      </w:r>
      <w:proofErr w:type="spellEnd"/>
      <w:r w:rsidRPr="00AE066F">
        <w:rPr>
          <w:rFonts w:ascii="Arial" w:hAnsi="Arial" w:cs="Arial"/>
          <w:b/>
          <w:bCs/>
          <w:i/>
          <w:iCs/>
          <w:sz w:val="36"/>
          <w:szCs w:val="36"/>
        </w:rPr>
        <w:t xml:space="preserve"> </w:t>
      </w:r>
      <w:proofErr w:type="spellStart"/>
      <w:r w:rsidRPr="00AE066F">
        <w:rPr>
          <w:rFonts w:ascii="Arial" w:hAnsi="Arial" w:cs="Arial"/>
          <w:b/>
          <w:bCs/>
          <w:i/>
          <w:iCs/>
          <w:sz w:val="36"/>
          <w:szCs w:val="36"/>
        </w:rPr>
        <w:t>bimaculatus</w:t>
      </w:r>
      <w:proofErr w:type="spellEnd"/>
      <w:r w:rsidRPr="00AE066F">
        <w:rPr>
          <w:rFonts w:ascii="Arial" w:hAnsi="Arial" w:cs="Arial"/>
          <w:b/>
          <w:bCs/>
          <w:i/>
          <w:sz w:val="36"/>
          <w:szCs w:val="36"/>
        </w:rPr>
        <w:t xml:space="preserve"> </w:t>
      </w:r>
      <w:r w:rsidRPr="00AE066F">
        <w:rPr>
          <w:rFonts w:ascii="Arial" w:hAnsi="Arial" w:cs="Arial"/>
          <w:b/>
          <w:bCs/>
          <w:iCs/>
          <w:sz w:val="36"/>
          <w:szCs w:val="36"/>
        </w:rPr>
        <w:t>(</w:t>
      </w:r>
      <w:r w:rsidRPr="00AE066F">
        <w:rPr>
          <w:rFonts w:ascii="Arial" w:hAnsi="Arial" w:cs="Arial"/>
          <w:b/>
          <w:bCs/>
          <w:sz w:val="36"/>
          <w:szCs w:val="36"/>
        </w:rPr>
        <w:t xml:space="preserve">Bleeker, 1863) from the </w:t>
      </w:r>
      <w:proofErr w:type="spellStart"/>
      <w:r w:rsidRPr="00AE066F">
        <w:rPr>
          <w:rFonts w:ascii="Arial" w:hAnsi="Arial" w:cs="Arial"/>
          <w:b/>
          <w:bCs/>
          <w:sz w:val="36"/>
          <w:szCs w:val="36"/>
        </w:rPr>
        <w:t>Gadana</w:t>
      </w:r>
      <w:proofErr w:type="spellEnd"/>
      <w:r w:rsidRPr="00AE066F">
        <w:rPr>
          <w:rFonts w:ascii="Arial" w:hAnsi="Arial" w:cs="Arial"/>
          <w:b/>
          <w:bCs/>
          <w:sz w:val="36"/>
          <w:szCs w:val="36"/>
        </w:rPr>
        <w:t xml:space="preserve"> River, Western Ghats</w:t>
      </w:r>
    </w:p>
    <w:p w14:paraId="25E868BE" w14:textId="77777777" w:rsidR="005C45CB" w:rsidRPr="00AE066F" w:rsidRDefault="005C45CB">
      <w:pPr>
        <w:spacing w:after="0"/>
        <w:jc w:val="both"/>
        <w:rPr>
          <w:rFonts w:ascii="Arial" w:hAnsi="Arial" w:cs="Arial"/>
          <w:b/>
          <w:bCs/>
          <w:i/>
          <w:iCs/>
          <w:sz w:val="20"/>
          <w:szCs w:val="20"/>
        </w:rPr>
      </w:pPr>
    </w:p>
    <w:p w14:paraId="60070342" w14:textId="77777777" w:rsidR="005C45CB" w:rsidRPr="00AE066F" w:rsidRDefault="00000000">
      <w:pPr>
        <w:rPr>
          <w:rFonts w:ascii="Arial" w:hAnsi="Arial" w:cs="Arial"/>
          <w:b/>
        </w:rPr>
      </w:pPr>
      <w:r w:rsidRPr="00AE066F">
        <w:rPr>
          <w:rFonts w:ascii="Arial" w:hAnsi="Arial" w:cs="Arial"/>
          <w:b/>
        </w:rPr>
        <w:t>ABSTRACT</w:t>
      </w:r>
    </w:p>
    <w:p w14:paraId="05097FB0" w14:textId="77777777" w:rsidR="00C1406E" w:rsidRDefault="00C1406E" w:rsidP="00C1406E">
      <w:pPr>
        <w:pStyle w:val="NormalWeb"/>
      </w:pPr>
      <w:r>
        <w:t xml:space="preserve">Cytogenetic </w:t>
      </w:r>
      <w:proofErr w:type="spellStart"/>
      <w:r>
        <w:t>characterisation</w:t>
      </w:r>
      <w:proofErr w:type="spellEnd"/>
      <w:r>
        <w:t xml:space="preserve"> of native cyprinid fishes is important for understanding chromosomal variation and supporting taxonomic comparisons within biodiversity-rich freshwater systems. This study aimed to determine and compare the diploid chromosome number, karyotype formula, fundamental arm number, and chromosome morphometry of </w:t>
      </w:r>
      <w:r>
        <w:rPr>
          <w:rStyle w:val="Emphasis"/>
        </w:rPr>
        <w:t xml:space="preserve">Puntius </w:t>
      </w:r>
      <w:proofErr w:type="spellStart"/>
      <w:r>
        <w:rPr>
          <w:rStyle w:val="Emphasis"/>
        </w:rPr>
        <w:t>sophore</w:t>
      </w:r>
      <w:proofErr w:type="spellEnd"/>
      <w:r>
        <w:t xml:space="preserve"> and </w:t>
      </w:r>
      <w:proofErr w:type="spellStart"/>
      <w:r>
        <w:rPr>
          <w:rStyle w:val="Emphasis"/>
        </w:rPr>
        <w:t>Plesiopuntius</w:t>
      </w:r>
      <w:proofErr w:type="spellEnd"/>
      <w:r>
        <w:rPr>
          <w:rStyle w:val="Emphasis"/>
        </w:rPr>
        <w:t xml:space="preserve"> </w:t>
      </w:r>
      <w:proofErr w:type="spellStart"/>
      <w:r>
        <w:rPr>
          <w:rStyle w:val="Emphasis"/>
        </w:rPr>
        <w:t>bimaculatus</w:t>
      </w:r>
      <w:proofErr w:type="spellEnd"/>
      <w:r>
        <w:t xml:space="preserve"> collected from the </w:t>
      </w:r>
      <w:proofErr w:type="spellStart"/>
      <w:r>
        <w:t>Gadana</w:t>
      </w:r>
      <w:proofErr w:type="spellEnd"/>
      <w:r>
        <w:t xml:space="preserve"> River in the Western Ghats. The karyotypic and cytological characteristics of these two species were examined using Giemsa-stained metaphase chromosome preparations. Kidney and spleen tissues were processed following </w:t>
      </w:r>
      <w:proofErr w:type="spellStart"/>
      <w:r>
        <w:t>acclimatisation</w:t>
      </w:r>
      <w:proofErr w:type="spellEnd"/>
      <w:r>
        <w:t xml:space="preserve">, </w:t>
      </w:r>
      <w:proofErr w:type="spellStart"/>
      <w:r>
        <w:t>phytohaemagglutinin</w:t>
      </w:r>
      <w:proofErr w:type="spellEnd"/>
      <w:r>
        <w:t xml:space="preserve"> stimulation, colchicine treatment, hypotonic exposure, fixation, and air-drying. Twenty metaphase spreads were </w:t>
      </w:r>
      <w:proofErr w:type="spellStart"/>
      <w:r>
        <w:t>analysed</w:t>
      </w:r>
      <w:proofErr w:type="spellEnd"/>
      <w:r>
        <w:t xml:space="preserve"> for each species. Both species exhibited a modal diploid chromosome number of 2n = 50, but their karyotype composition and fundamental arm numbers differed. </w:t>
      </w:r>
      <w:r>
        <w:rPr>
          <w:rStyle w:val="Emphasis"/>
        </w:rPr>
        <w:t xml:space="preserve">Puntius </w:t>
      </w:r>
      <w:proofErr w:type="spellStart"/>
      <w:r>
        <w:rPr>
          <w:rStyle w:val="Emphasis"/>
        </w:rPr>
        <w:t>sophore</w:t>
      </w:r>
      <w:proofErr w:type="spellEnd"/>
      <w:r>
        <w:t xml:space="preserve"> possessed the karyotype formula 8m + 2sm + 26st + 14t, with FN = 60, whereas </w:t>
      </w:r>
      <w:proofErr w:type="spellStart"/>
      <w:r>
        <w:rPr>
          <w:rStyle w:val="Emphasis"/>
        </w:rPr>
        <w:t>Plesiopuntius</w:t>
      </w:r>
      <w:proofErr w:type="spellEnd"/>
      <w:r>
        <w:rPr>
          <w:rStyle w:val="Emphasis"/>
        </w:rPr>
        <w:t xml:space="preserve"> </w:t>
      </w:r>
      <w:proofErr w:type="spellStart"/>
      <w:r>
        <w:rPr>
          <w:rStyle w:val="Emphasis"/>
        </w:rPr>
        <w:t>bimaculatus</w:t>
      </w:r>
      <w:proofErr w:type="spellEnd"/>
      <w:r>
        <w:t xml:space="preserve"> showed 28m + 22t, with FN = 78. Chromosome lengths ranged from 0.43 to 1.08 µm in </w:t>
      </w:r>
      <w:r>
        <w:rPr>
          <w:rStyle w:val="Emphasis"/>
        </w:rPr>
        <w:t xml:space="preserve">P. </w:t>
      </w:r>
      <w:proofErr w:type="spellStart"/>
      <w:r>
        <w:rPr>
          <w:rStyle w:val="Emphasis"/>
        </w:rPr>
        <w:t>sophore</w:t>
      </w:r>
      <w:proofErr w:type="spellEnd"/>
      <w:r>
        <w:t xml:space="preserve"> and from 0.43 to 0.89 µm in </w:t>
      </w:r>
      <w:r>
        <w:rPr>
          <w:rStyle w:val="Emphasis"/>
        </w:rPr>
        <w:t xml:space="preserve">P. </w:t>
      </w:r>
      <w:proofErr w:type="spellStart"/>
      <w:r>
        <w:rPr>
          <w:rStyle w:val="Emphasis"/>
        </w:rPr>
        <w:t>bimaculatus</w:t>
      </w:r>
      <w:proofErr w:type="spellEnd"/>
      <w:r>
        <w:t xml:space="preserve">. No visibly differentiated sex chromosomes were detected in the metaphase preparations. The shared diploid number, together with differences in chromosome morphology and arm number, indicates karyomorphological differentiation within a conserved cyprinid chromosome-number framework. These locality-specific data provide a cytogenetic baseline for comparative studies of the two species in the Western Ghats. Broader population sampling and the application of chromosome banding, fluorescence in situ </w:t>
      </w:r>
      <w:proofErr w:type="spellStart"/>
      <w:r>
        <w:t>hybridisation</w:t>
      </w:r>
      <w:proofErr w:type="spellEnd"/>
      <w:r>
        <w:t>, and molecular cytogenetic markers are required to determine whether the observed differences are population-level variants or stable species-specific characteristics.</w:t>
      </w:r>
    </w:p>
    <w:p w14:paraId="257C81D6" w14:textId="27E1F53F" w:rsidR="005C45CB" w:rsidRPr="00AE066F" w:rsidRDefault="00000000">
      <w:pPr>
        <w:jc w:val="both"/>
      </w:pPr>
      <w:r w:rsidRPr="00AE066F">
        <w:rPr>
          <w:rFonts w:ascii="Arial" w:hAnsi="Arial" w:cs="Arial"/>
          <w:b/>
          <w:sz w:val="20"/>
          <w:szCs w:val="20"/>
        </w:rPr>
        <w:t xml:space="preserve">Keywords:  </w:t>
      </w:r>
      <w:r w:rsidR="00CA3F25">
        <w:t xml:space="preserve">Karyotype; Cytogenetics; Metaphase chromosomes; </w:t>
      </w:r>
      <w:proofErr w:type="spellStart"/>
      <w:r w:rsidR="00CA3F25">
        <w:t>Cyprinidae</w:t>
      </w:r>
      <w:proofErr w:type="spellEnd"/>
      <w:r w:rsidR="00CA3F25">
        <w:t xml:space="preserve">; </w:t>
      </w:r>
      <w:r w:rsidR="00CA3F25">
        <w:rPr>
          <w:rStyle w:val="Emphasis"/>
        </w:rPr>
        <w:t xml:space="preserve">Puntius </w:t>
      </w:r>
      <w:proofErr w:type="spellStart"/>
      <w:r w:rsidR="00CA3F25">
        <w:rPr>
          <w:rStyle w:val="Emphasis"/>
        </w:rPr>
        <w:t>sophore</w:t>
      </w:r>
      <w:proofErr w:type="spellEnd"/>
      <w:r w:rsidR="00CA3F25">
        <w:t xml:space="preserve">; </w:t>
      </w:r>
      <w:proofErr w:type="spellStart"/>
      <w:r w:rsidR="00CA3F25">
        <w:rPr>
          <w:rStyle w:val="Emphasis"/>
        </w:rPr>
        <w:t>Plesiopuntius</w:t>
      </w:r>
      <w:proofErr w:type="spellEnd"/>
      <w:r w:rsidR="00CA3F25">
        <w:rPr>
          <w:rStyle w:val="Emphasis"/>
        </w:rPr>
        <w:t xml:space="preserve"> </w:t>
      </w:r>
      <w:proofErr w:type="spellStart"/>
      <w:r w:rsidR="00CA3F25">
        <w:rPr>
          <w:rStyle w:val="Emphasis"/>
        </w:rPr>
        <w:t>bimaculatus</w:t>
      </w:r>
      <w:proofErr w:type="spellEnd"/>
      <w:r w:rsidR="00CA3F25">
        <w:t>; Diploid chromosome number; Fundamental number; Chromosome morphology.</w:t>
      </w:r>
    </w:p>
    <w:p w14:paraId="348DBA0C" w14:textId="77777777" w:rsidR="005C45CB" w:rsidRPr="00AE066F" w:rsidRDefault="005C45CB">
      <w:pPr>
        <w:jc w:val="both"/>
        <w:rPr>
          <w:rFonts w:ascii="Arial" w:hAnsi="Arial" w:cs="Arial"/>
          <w:bCs/>
          <w:sz w:val="20"/>
          <w:szCs w:val="20"/>
        </w:rPr>
      </w:pPr>
    </w:p>
    <w:p w14:paraId="3C2726E4" w14:textId="77777777" w:rsidR="005C45CB" w:rsidRPr="00AE066F" w:rsidRDefault="00000000">
      <w:r w:rsidRPr="00AE066F">
        <w:rPr>
          <w:rFonts w:ascii="Arial" w:hAnsi="Arial" w:cs="Arial"/>
          <w:b/>
        </w:rPr>
        <w:t>1. INTRODUCTION</w:t>
      </w:r>
    </w:p>
    <w:p w14:paraId="450BCC13" w14:textId="77777777" w:rsidR="005C45CB" w:rsidRPr="00AE066F" w:rsidRDefault="00000000" w:rsidP="009E29ED">
      <w:pPr>
        <w:spacing w:line="360" w:lineRule="auto"/>
        <w:ind w:firstLine="720"/>
        <w:jc w:val="both"/>
        <w:rPr>
          <w:rFonts w:ascii="Arial" w:hAnsi="Arial" w:cs="Arial"/>
          <w:sz w:val="20"/>
          <w:szCs w:val="20"/>
        </w:rPr>
      </w:pPr>
      <w:r w:rsidRPr="00AE066F">
        <w:rPr>
          <w:rFonts w:ascii="Arial" w:hAnsi="Arial" w:cs="Arial"/>
          <w:sz w:val="20"/>
          <w:szCs w:val="20"/>
        </w:rPr>
        <w:t>Fish exhibit remarkable diversity in morphology, habitat, and behaviour, which has evolved over millions of years across more than 32,000 recognised species (</w:t>
      </w:r>
      <w:r w:rsidRPr="00AE066F">
        <w:rPr>
          <w:rFonts w:ascii="Arial" w:hAnsi="Arial" w:cs="Arial"/>
          <w:i/>
          <w:iCs/>
          <w:sz w:val="20"/>
          <w:szCs w:val="20"/>
        </w:rPr>
        <w:t>van der Laan et al., 2014</w:t>
      </w:r>
      <w:r w:rsidRPr="00AE066F">
        <w:rPr>
          <w:rFonts w:ascii="Arial" w:hAnsi="Arial" w:cs="Arial"/>
          <w:sz w:val="20"/>
          <w:szCs w:val="20"/>
        </w:rPr>
        <w:t>). As the primary carriers of genetic material in the nuclei of eukaryotic cells, chromosomes are the basic units of inheritance and have evolved continuously alongside these organisms</w:t>
      </w:r>
      <w:r w:rsidRPr="00AE066F">
        <w:rPr>
          <w:rFonts w:ascii="Google Sans Text;Cambria" w:hAnsi="Google Sans Text;Cambria" w:cs="Google Sans Text;Cambria"/>
          <w:sz w:val="20"/>
          <w:szCs w:val="20"/>
          <w:shd w:val="clear" w:color="auto" w:fill="FFFFFF"/>
        </w:rPr>
        <w:t xml:space="preserve"> </w:t>
      </w:r>
      <w:r w:rsidRPr="00AE066F">
        <w:rPr>
          <w:rFonts w:ascii="Arial" w:hAnsi="Arial" w:cs="Arial"/>
          <w:sz w:val="20"/>
          <w:szCs w:val="20"/>
        </w:rPr>
        <w:t>(Jablonka</w:t>
      </w:r>
      <w:r w:rsidRPr="00AE066F">
        <w:rPr>
          <w:rFonts w:ascii="Arial" w:hAnsi="Arial" w:cs="Arial"/>
          <w:i/>
          <w:iCs/>
          <w:sz w:val="20"/>
          <w:szCs w:val="20"/>
        </w:rPr>
        <w:t xml:space="preserve"> &amp; Lamb, 2014)</w:t>
      </w:r>
      <w:r w:rsidRPr="00AE066F">
        <w:rPr>
          <w:rFonts w:ascii="Arial" w:hAnsi="Arial" w:cs="Arial"/>
          <w:sz w:val="20"/>
          <w:szCs w:val="20"/>
        </w:rPr>
        <w:t>. The ability of an organism to adapt to different environments depends on the potential of its genome, and documenting chromosomes provides a vital record of its adaptation to habitats such as streams and wetlands (</w:t>
      </w:r>
      <w:proofErr w:type="spellStart"/>
      <w:r w:rsidRPr="00AE066F">
        <w:rPr>
          <w:rFonts w:ascii="Arial" w:hAnsi="Arial" w:cs="Arial"/>
          <w:sz w:val="20"/>
          <w:szCs w:val="20"/>
        </w:rPr>
        <w:t>Shanthipreya</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2016). Native ornamental fishes, also known as “coloured fishes” or “</w:t>
      </w:r>
      <w:proofErr w:type="spellStart"/>
      <w:r w:rsidRPr="00AE066F">
        <w:rPr>
          <w:rFonts w:ascii="Arial" w:hAnsi="Arial" w:cs="Arial"/>
          <w:sz w:val="20"/>
          <w:szCs w:val="20"/>
        </w:rPr>
        <w:t>Phedim</w:t>
      </w:r>
      <w:proofErr w:type="spellEnd"/>
      <w:r w:rsidRPr="00AE066F">
        <w:rPr>
          <w:rFonts w:ascii="Arial" w:hAnsi="Arial" w:cs="Arial"/>
          <w:sz w:val="20"/>
          <w:szCs w:val="20"/>
        </w:rPr>
        <w:t xml:space="preserve"> fishes”, are defined by their vivid colours, which act as </w:t>
      </w:r>
      <w:proofErr w:type="spellStart"/>
      <w:r w:rsidRPr="00AE066F">
        <w:rPr>
          <w:rFonts w:ascii="Arial" w:hAnsi="Arial" w:cs="Arial"/>
          <w:sz w:val="20"/>
          <w:szCs w:val="20"/>
        </w:rPr>
        <w:t>phenopositive</w:t>
      </w:r>
      <w:proofErr w:type="spellEnd"/>
      <w:r w:rsidRPr="00AE066F">
        <w:rPr>
          <w:rFonts w:ascii="Arial" w:hAnsi="Arial" w:cs="Arial"/>
          <w:sz w:val="20"/>
          <w:szCs w:val="20"/>
        </w:rPr>
        <w:t xml:space="preserve"> genetic indicators. </w:t>
      </w:r>
      <w:r w:rsidRPr="00AE066F">
        <w:rPr>
          <w:rFonts w:ascii="Arial" w:hAnsi="Arial" w:cs="Arial"/>
          <w:sz w:val="20"/>
          <w:szCs w:val="20"/>
        </w:rPr>
        <w:lastRenderedPageBreak/>
        <w:t xml:space="preserve">These agile swimmers produce distinctive acoustic signals and can even help purify the surrounding water through forced respiration. Fishes are characterised either by stable karyotypic structures and conserved chromosome numbers or by belonging to diverse groups that exhibit broad chromosomal variability. Although nearly 3,000 fish species have been karyologically analysed, approximately 435 belong to the family </w:t>
      </w:r>
      <w:proofErr w:type="spellStart"/>
      <w:r w:rsidRPr="00AE066F">
        <w:rPr>
          <w:rFonts w:ascii="Arial" w:hAnsi="Arial" w:cs="Arial"/>
          <w:sz w:val="20"/>
          <w:szCs w:val="20"/>
        </w:rPr>
        <w:t>Cyprinidae</w:t>
      </w:r>
      <w:proofErr w:type="spellEnd"/>
      <w:r w:rsidRPr="00AE066F">
        <w:rPr>
          <w:rFonts w:ascii="Arial" w:hAnsi="Arial" w:cs="Arial"/>
          <w:sz w:val="20"/>
          <w:szCs w:val="20"/>
        </w:rPr>
        <w:t>, likely owing to the family’s extensive species diversity and economic importance (</w:t>
      </w:r>
      <w:proofErr w:type="spellStart"/>
      <w:r w:rsidRPr="00AE066F">
        <w:rPr>
          <w:rFonts w:ascii="Arial" w:hAnsi="Arial" w:cs="Arial"/>
          <w:sz w:val="20"/>
          <w:szCs w:val="20"/>
        </w:rPr>
        <w:t>Shanthipreya</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2016). The genus </w:t>
      </w:r>
      <w:r w:rsidRPr="00AE066F">
        <w:rPr>
          <w:rFonts w:ascii="Arial" w:hAnsi="Arial" w:cs="Arial"/>
          <w:i/>
          <w:iCs/>
          <w:sz w:val="20"/>
          <w:szCs w:val="20"/>
        </w:rPr>
        <w:t>Puntius</w:t>
      </w:r>
      <w:r w:rsidRPr="00AE066F">
        <w:rPr>
          <w:rFonts w:ascii="Arial" w:hAnsi="Arial" w:cs="Arial"/>
          <w:sz w:val="20"/>
          <w:szCs w:val="20"/>
        </w:rPr>
        <w:t xml:space="preserve"> is considered </w:t>
      </w:r>
      <w:proofErr w:type="spellStart"/>
      <w:r w:rsidRPr="00AE066F">
        <w:rPr>
          <w:rFonts w:ascii="Arial" w:hAnsi="Arial" w:cs="Arial"/>
          <w:sz w:val="20"/>
          <w:szCs w:val="20"/>
        </w:rPr>
        <w:t>synapomorphic</w:t>
      </w:r>
      <w:proofErr w:type="spellEnd"/>
      <w:r w:rsidRPr="00AE066F">
        <w:rPr>
          <w:rFonts w:ascii="Arial" w:hAnsi="Arial" w:cs="Arial"/>
          <w:sz w:val="20"/>
          <w:szCs w:val="20"/>
        </w:rPr>
        <w:t xml:space="preserve"> (Yu </w:t>
      </w:r>
      <w:r w:rsidRPr="00AE066F">
        <w:rPr>
          <w:rFonts w:ascii="Arial" w:hAnsi="Arial" w:cs="Arial"/>
          <w:i/>
          <w:iCs/>
          <w:sz w:val="20"/>
          <w:szCs w:val="20"/>
        </w:rPr>
        <w:t>et al.,</w:t>
      </w:r>
      <w:r w:rsidRPr="00AE066F">
        <w:rPr>
          <w:rFonts w:ascii="Arial" w:hAnsi="Arial" w:cs="Arial"/>
          <w:sz w:val="20"/>
          <w:szCs w:val="20"/>
        </w:rPr>
        <w:t xml:space="preserve"> 1987) and is karyologically composed primarily of smaller or telocentric chromosomes. The genus comprises 220 nominal species, approximately 120 of which are currently recognised as valid, and it</w:t>
      </w:r>
      <w:r w:rsidRPr="00AE066F">
        <w:rPr>
          <w:rFonts w:ascii="Arial" w:hAnsi="Arial" w:cs="Arial"/>
          <w:i/>
          <w:iCs/>
          <w:sz w:val="20"/>
          <w:szCs w:val="20"/>
        </w:rPr>
        <w:t>s</w:t>
      </w:r>
      <w:r w:rsidRPr="00AE066F">
        <w:rPr>
          <w:rFonts w:ascii="Arial" w:hAnsi="Arial" w:cs="Arial"/>
          <w:sz w:val="20"/>
          <w:szCs w:val="20"/>
        </w:rPr>
        <w:t xml:space="preserve"> genome correlates directly with phenotypic evolution (Pethiyagoda </w:t>
      </w:r>
      <w:r w:rsidRPr="00AE066F">
        <w:rPr>
          <w:rFonts w:ascii="Arial" w:hAnsi="Arial" w:cs="Arial"/>
          <w:i/>
          <w:sz w:val="20"/>
          <w:szCs w:val="20"/>
        </w:rPr>
        <w:t xml:space="preserve">et al., </w:t>
      </w:r>
      <w:r w:rsidRPr="00AE066F">
        <w:rPr>
          <w:rFonts w:ascii="Arial" w:hAnsi="Arial" w:cs="Arial"/>
          <w:sz w:val="20"/>
          <w:szCs w:val="20"/>
        </w:rPr>
        <w:t>2012). Cyprinids represent the largest and most diversified group of freshwater fishes, inhabiting headwater streams, rivers, wetlands, and brackish waters (Lowe-McConnell, 1987; Winfield &amp; Nelson, 1991). Natural selection operates on variation in fitness (</w:t>
      </w:r>
      <w:proofErr w:type="spellStart"/>
      <w:r w:rsidRPr="00AE066F">
        <w:rPr>
          <w:rFonts w:ascii="Arial" w:hAnsi="Arial" w:cs="Arial"/>
          <w:sz w:val="20"/>
          <w:szCs w:val="20"/>
        </w:rPr>
        <w:t>Futuyma</w:t>
      </w:r>
      <w:proofErr w:type="spellEnd"/>
      <w:r w:rsidRPr="00AE066F">
        <w:rPr>
          <w:rFonts w:ascii="Arial" w:hAnsi="Arial" w:cs="Arial"/>
          <w:sz w:val="20"/>
          <w:szCs w:val="20"/>
        </w:rPr>
        <w:t xml:space="preserve">, 2009) within these populations; genotypic polymorphism results from mutation, random stochastic factors (Vannote </w:t>
      </w:r>
      <w:r w:rsidRPr="00AE066F">
        <w:rPr>
          <w:rFonts w:ascii="Arial" w:hAnsi="Arial" w:cs="Arial"/>
          <w:i/>
          <w:iCs/>
          <w:sz w:val="20"/>
          <w:szCs w:val="20"/>
        </w:rPr>
        <w:t>et al.,</w:t>
      </w:r>
      <w:r w:rsidRPr="00AE066F">
        <w:rPr>
          <w:rFonts w:ascii="Arial" w:hAnsi="Arial" w:cs="Arial"/>
          <w:sz w:val="20"/>
          <w:szCs w:val="20"/>
        </w:rPr>
        <w:t xml:space="preserve"> 1980), and directional selection, leading to adaptation and phenotypic plasticity. The Western Ghats, a global biodiversity hotspot, harbour over 250 species of freshwater fishes, including numerous endemic and endangered species. Among these are the ornamental fishes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iCs/>
          <w:sz w:val="20"/>
          <w:szCs w:val="20"/>
        </w:rPr>
        <w:t xml:space="preserve"> (Hamilton, 1822) and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(Bleeker, 1863), which reach maximum lengths of 5–7 cm.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is identified by a spot on its third to seventh dorsal rays and an additional spot at the base of the caudal fin (Pethiyagoda, 1991), while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iCs/>
          <w:sz w:val="20"/>
          <w:szCs w:val="20"/>
        </w:rPr>
        <w:t xml:space="preserve"> also exhibits both caudal and dorsal spots. These benthopelagic fishes inhabit plains and submontane regions and are often found shoaling in abundance</w:t>
      </w:r>
      <w:r w:rsidRPr="00AE066F">
        <w:rPr>
          <w:rFonts w:ascii="Arial" w:hAnsi="Arial" w:cs="Arial"/>
          <w:sz w:val="20"/>
          <w:szCs w:val="20"/>
        </w:rPr>
        <w:t xml:space="preserve"> (Arunachalam et al., 2000, 2005; Dahanukar, 2010)</w:t>
      </w:r>
      <w:r w:rsidRPr="00AE066F">
        <w:rPr>
          <w:rFonts w:ascii="Arial" w:hAnsi="Arial" w:cs="Arial"/>
          <w:iCs/>
          <w:sz w:val="20"/>
          <w:szCs w:val="20"/>
        </w:rPr>
        <w:t xml:space="preserve">. Because evolutionary relationships among species cannot be established without a thorough understanding of their cytogenetic make-up, cytogenetic studies remain a simple tool for examining genetic variation (Renner </w:t>
      </w:r>
      <w:r w:rsidRPr="00AE066F">
        <w:rPr>
          <w:rFonts w:ascii="Arial" w:hAnsi="Arial" w:cs="Arial"/>
          <w:i/>
          <w:sz w:val="20"/>
          <w:szCs w:val="20"/>
        </w:rPr>
        <w:t>et al</w:t>
      </w:r>
      <w:r w:rsidRPr="00AE066F">
        <w:rPr>
          <w:rFonts w:ascii="Arial" w:hAnsi="Arial" w:cs="Arial"/>
          <w:iCs/>
          <w:sz w:val="20"/>
          <w:szCs w:val="20"/>
        </w:rPr>
        <w:t xml:space="preserve">., 2017). This investigation was motivated by the importance of chromosomal analysis and the current lack of karyotypic information for these endemic species. Considering the wide geographical distribution and complex geological context of the </w:t>
      </w:r>
      <w:proofErr w:type="spellStart"/>
      <w:r w:rsidRPr="00AE066F">
        <w:rPr>
          <w:rFonts w:ascii="Arial" w:hAnsi="Arial" w:cs="Arial"/>
          <w:iCs/>
          <w:sz w:val="20"/>
          <w:szCs w:val="20"/>
        </w:rPr>
        <w:t>Tamiraparani</w:t>
      </w:r>
      <w:proofErr w:type="spellEnd"/>
      <w:r w:rsidRPr="00AE066F">
        <w:rPr>
          <w:rFonts w:ascii="Arial" w:hAnsi="Arial" w:cs="Arial"/>
          <w:iCs/>
          <w:sz w:val="20"/>
          <w:szCs w:val="20"/>
        </w:rPr>
        <w:t xml:space="preserve"> River Basin, this karyological investigation provides the first report on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iCs/>
          <w:sz w:val="20"/>
          <w:szCs w:val="20"/>
        </w:rPr>
        <w:t xml:space="preserve"> and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from the </w:t>
      </w:r>
      <w:proofErr w:type="spellStart"/>
      <w:r w:rsidRPr="00AE066F">
        <w:rPr>
          <w:rFonts w:ascii="Arial" w:hAnsi="Arial" w:cs="Arial"/>
          <w:iCs/>
          <w:sz w:val="20"/>
          <w:szCs w:val="20"/>
        </w:rPr>
        <w:t>Gadana</w:t>
      </w:r>
      <w:proofErr w:type="spellEnd"/>
      <w:r w:rsidRPr="00AE066F">
        <w:rPr>
          <w:rFonts w:ascii="Arial" w:hAnsi="Arial" w:cs="Arial"/>
          <w:iCs/>
          <w:sz w:val="20"/>
          <w:szCs w:val="20"/>
        </w:rPr>
        <w:t xml:space="preserve"> stream, elucidating their chromosomal structures and providing insights into their taxonomy and evolutionary relationships. </w:t>
      </w:r>
      <w:r w:rsidRPr="00AE066F">
        <w:rPr>
          <w:bCs/>
        </w:rPr>
        <w:t>Recent reviews of freshwater fish diversity in Indian river systems have emphasised the value of updated taxonomic and genetic information for documenting native fishes and informing conservation planning (Shah et al., 2026).</w:t>
      </w:r>
      <w:r w:rsidRPr="00AE066F">
        <w:rPr>
          <w:rFonts w:ascii="Arial" w:hAnsi="Arial" w:cs="Arial"/>
          <w:bCs/>
          <w:sz w:val="20"/>
          <w:szCs w:val="20"/>
        </w:rPr>
        <w:t xml:space="preserve"> </w:t>
      </w:r>
      <w:r w:rsidRPr="00AE066F">
        <w:rPr>
          <w:bCs/>
        </w:rPr>
        <w:t>Recent molecular cytogenetic evidence from Asian cyprinids shows that similar diploid chromosome numbers can accompany marked differences in chromosome morphology and repetitive-DNA organisation (</w:t>
      </w:r>
      <w:proofErr w:type="spellStart"/>
      <w:r w:rsidRPr="00AE066F">
        <w:rPr>
          <w:bCs/>
        </w:rPr>
        <w:t>Khensuwan</w:t>
      </w:r>
      <w:proofErr w:type="spellEnd"/>
      <w:r w:rsidRPr="00AE066F">
        <w:rPr>
          <w:bCs/>
        </w:rPr>
        <w:t xml:space="preserve"> et al., 2024).</w:t>
      </w:r>
      <w:r w:rsidRPr="00AE066F">
        <w:rPr>
          <w:rFonts w:ascii="Arial" w:hAnsi="Arial" w:cs="Arial"/>
          <w:bCs/>
          <w:sz w:val="20"/>
          <w:szCs w:val="20"/>
        </w:rPr>
        <w:t xml:space="preserve"> </w:t>
      </w:r>
      <w:r w:rsidRPr="00AE066F">
        <w:rPr>
          <w:bCs/>
        </w:rPr>
        <w:t>Chromosome-scale genomic research in Cypriniformes further demonstrates the value of complete chromosomal resources for reconstructing rearrangements and interpreting karyotype evolution (Bian et al., 2025).</w:t>
      </w:r>
    </w:p>
    <w:p w14:paraId="70A0C72C" w14:textId="69202CAA" w:rsidR="005C45CB" w:rsidRPr="00AE066F" w:rsidRDefault="00000000">
      <w:pPr>
        <w:spacing w:line="360" w:lineRule="auto"/>
        <w:ind w:firstLine="720"/>
        <w:jc w:val="both"/>
        <w:rPr>
          <w:rFonts w:ascii="Arial" w:hAnsi="Arial" w:cs="Arial"/>
          <w:bCs/>
          <w:sz w:val="20"/>
          <w:szCs w:val="20"/>
        </w:rPr>
      </w:pPr>
      <w:r w:rsidRPr="00AE066F">
        <w:rPr>
          <w:b/>
        </w:rPr>
        <w:t xml:space="preserve">Research gap: </w:t>
      </w:r>
      <w:r w:rsidR="00604414">
        <w:rPr>
          <w:bCs/>
        </w:rPr>
        <w:t xml:space="preserve">Previous studies </w:t>
      </w:r>
      <w:r w:rsidRPr="00AE066F">
        <w:rPr>
          <w:bCs/>
        </w:rPr>
        <w:t xml:space="preserve">provide locality-specific karyotypic records for </w:t>
      </w:r>
      <w:r w:rsidRPr="00AE066F">
        <w:rPr>
          <w:bCs/>
          <w:i/>
          <w:iCs/>
        </w:rPr>
        <w:t xml:space="preserve">Puntius </w:t>
      </w:r>
      <w:proofErr w:type="spellStart"/>
      <w:r w:rsidRPr="00AE066F">
        <w:rPr>
          <w:bCs/>
          <w:i/>
          <w:iCs/>
        </w:rPr>
        <w:t>sophore</w:t>
      </w:r>
      <w:proofErr w:type="spellEnd"/>
      <w:r w:rsidRPr="00AE066F">
        <w:rPr>
          <w:bCs/>
        </w:rPr>
        <w:t xml:space="preserve">; however, no previous karyotypic record is presented for </w:t>
      </w:r>
      <w:proofErr w:type="spellStart"/>
      <w:r w:rsidRPr="00AE066F">
        <w:rPr>
          <w:bCs/>
          <w:i/>
          <w:iCs/>
        </w:rPr>
        <w:t>Plesiopuntius</w:t>
      </w:r>
      <w:proofErr w:type="spellEnd"/>
      <w:r w:rsidRPr="00AE066F">
        <w:rPr>
          <w:bCs/>
          <w:i/>
          <w:iCs/>
        </w:rPr>
        <w:t xml:space="preserve"> </w:t>
      </w:r>
      <w:proofErr w:type="spellStart"/>
      <w:r w:rsidRPr="00AE066F">
        <w:rPr>
          <w:bCs/>
          <w:i/>
          <w:iCs/>
        </w:rPr>
        <w:t>bimaculatus</w:t>
      </w:r>
      <w:proofErr w:type="spellEnd"/>
      <w:r w:rsidRPr="00AE066F">
        <w:rPr>
          <w:bCs/>
        </w:rPr>
        <w:t xml:space="preserve">, and no </w:t>
      </w:r>
      <w:r w:rsidRPr="00AE066F">
        <w:rPr>
          <w:bCs/>
        </w:rPr>
        <w:lastRenderedPageBreak/>
        <w:t xml:space="preserve">comparative account is available for both species from the </w:t>
      </w:r>
      <w:proofErr w:type="spellStart"/>
      <w:r w:rsidRPr="00AE066F">
        <w:rPr>
          <w:bCs/>
        </w:rPr>
        <w:t>Gadana</w:t>
      </w:r>
      <w:proofErr w:type="spellEnd"/>
      <w:r w:rsidRPr="00AE066F">
        <w:rPr>
          <w:bCs/>
        </w:rPr>
        <w:t xml:space="preserve"> River. This limits locality-specific cytotaxonomic comparisons within the Western Ghats.</w:t>
      </w:r>
    </w:p>
    <w:p w14:paraId="6305CDC1" w14:textId="77777777" w:rsidR="005C45CB" w:rsidRPr="00AE066F" w:rsidRDefault="00000000">
      <w:pPr>
        <w:spacing w:line="360" w:lineRule="auto"/>
        <w:ind w:firstLine="720"/>
        <w:jc w:val="both"/>
        <w:rPr>
          <w:rFonts w:ascii="Arial" w:hAnsi="Arial" w:cs="Arial"/>
          <w:sz w:val="20"/>
          <w:szCs w:val="20"/>
        </w:rPr>
      </w:pPr>
      <w:r w:rsidRPr="00AE066F">
        <w:rPr>
          <w:b/>
        </w:rPr>
        <w:t xml:space="preserve">Objective: </w:t>
      </w:r>
      <w:r w:rsidRPr="00AE066F">
        <w:rPr>
          <w:bCs/>
        </w:rPr>
        <w:t xml:space="preserve">This study aimed to determine and compare the diploid chromosome numbers, karyotype formulae, fundamental arm numbers, and chromosome morphometry of </w:t>
      </w:r>
      <w:r w:rsidRPr="00AE066F">
        <w:rPr>
          <w:bCs/>
          <w:i/>
          <w:iCs/>
        </w:rPr>
        <w:t xml:space="preserve">Puntius </w:t>
      </w:r>
      <w:proofErr w:type="spellStart"/>
      <w:r w:rsidRPr="00AE066F">
        <w:rPr>
          <w:bCs/>
          <w:i/>
          <w:iCs/>
        </w:rPr>
        <w:t>sophore</w:t>
      </w:r>
      <w:proofErr w:type="spellEnd"/>
      <w:r w:rsidRPr="00AE066F">
        <w:rPr>
          <w:bCs/>
        </w:rPr>
        <w:t xml:space="preserve"> and </w:t>
      </w:r>
      <w:proofErr w:type="spellStart"/>
      <w:r w:rsidRPr="00AE066F">
        <w:rPr>
          <w:bCs/>
          <w:i/>
          <w:iCs/>
        </w:rPr>
        <w:t>Plesiopuntius</w:t>
      </w:r>
      <w:proofErr w:type="spellEnd"/>
      <w:r w:rsidRPr="00AE066F">
        <w:rPr>
          <w:bCs/>
          <w:i/>
          <w:iCs/>
        </w:rPr>
        <w:t xml:space="preserve"> </w:t>
      </w:r>
      <w:proofErr w:type="spellStart"/>
      <w:r w:rsidRPr="00AE066F">
        <w:rPr>
          <w:bCs/>
          <w:i/>
          <w:iCs/>
        </w:rPr>
        <w:t>bimaculatus</w:t>
      </w:r>
      <w:proofErr w:type="spellEnd"/>
      <w:r w:rsidRPr="00AE066F">
        <w:rPr>
          <w:bCs/>
        </w:rPr>
        <w:t xml:space="preserve"> collected from the </w:t>
      </w:r>
      <w:proofErr w:type="spellStart"/>
      <w:r w:rsidRPr="00AE066F">
        <w:rPr>
          <w:bCs/>
        </w:rPr>
        <w:t>Gadana</w:t>
      </w:r>
      <w:proofErr w:type="spellEnd"/>
      <w:r w:rsidRPr="00AE066F">
        <w:rPr>
          <w:bCs/>
        </w:rPr>
        <w:t xml:space="preserve"> River.</w:t>
      </w:r>
    </w:p>
    <w:p w14:paraId="70B35F2B" w14:textId="77777777" w:rsidR="005C45CB" w:rsidRPr="00AE066F" w:rsidRDefault="00000000">
      <w:pPr>
        <w:spacing w:line="360" w:lineRule="auto"/>
        <w:jc w:val="both"/>
        <w:rPr>
          <w:rFonts w:ascii="Times New Roman" w:hAnsi="Times New Roman"/>
          <w:sz w:val="24"/>
          <w:szCs w:val="24"/>
        </w:rPr>
      </w:pPr>
      <w:r w:rsidRPr="00AE066F">
        <w:rPr>
          <w:rFonts w:ascii="Times New Roman" w:hAnsi="Times New Roman"/>
          <w:sz w:val="24"/>
          <w:szCs w:val="24"/>
        </w:rPr>
        <w:br/>
      </w:r>
      <w:r w:rsidRPr="00AE066F">
        <w:rPr>
          <w:rFonts w:ascii="Arial" w:hAnsi="Arial" w:cs="Arial"/>
          <w:b/>
        </w:rPr>
        <w:t>2. MATERIALS AND METHODS</w:t>
      </w:r>
    </w:p>
    <w:p w14:paraId="2C56F0B4" w14:textId="77777777" w:rsidR="005C45CB" w:rsidRPr="00AE066F" w:rsidRDefault="00000000">
      <w:pPr>
        <w:spacing w:after="0" w:line="360" w:lineRule="auto"/>
        <w:jc w:val="both"/>
      </w:pPr>
      <w:r w:rsidRPr="00AE066F">
        <w:rPr>
          <w:rFonts w:ascii="Times New Roman" w:hAnsi="Times New Roman"/>
          <w:b/>
          <w:bCs/>
          <w:i/>
          <w:iCs/>
        </w:rPr>
        <w:t>2.1 Sample Collection</w:t>
      </w:r>
    </w:p>
    <w:p w14:paraId="1E5CFB71" w14:textId="77777777" w:rsidR="005C45CB" w:rsidRPr="00AE066F" w:rsidRDefault="00000000">
      <w:pPr>
        <w:spacing w:after="0" w:line="360" w:lineRule="auto"/>
        <w:ind w:firstLine="720"/>
        <w:jc w:val="both"/>
      </w:pPr>
      <w:r w:rsidRPr="00AE066F">
        <w:rPr>
          <w:rFonts w:ascii="Arial" w:hAnsi="Arial" w:cs="Arial"/>
          <w:sz w:val="20"/>
          <w:szCs w:val="20"/>
        </w:rPr>
        <w:t xml:space="preserve">A total of 11 specimens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w:t>
      </w:r>
      <w:r w:rsidRPr="00AE066F">
        <w:rPr>
          <w:rFonts w:ascii="Arial" w:hAnsi="Arial" w:cs="Arial"/>
          <w:sz w:val="20"/>
          <w:szCs w:val="20"/>
        </w:rPr>
        <w:t xml:space="preserve">(six females and five males) and 13 specimens of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(seven males and six females) were sacrificed for karyotypic analysis. Fish specimens were collected from the </w:t>
      </w:r>
      <w:proofErr w:type="spellStart"/>
      <w:r w:rsidRPr="00AE066F">
        <w:rPr>
          <w:rFonts w:ascii="Arial" w:hAnsi="Arial" w:cs="Arial"/>
          <w:sz w:val="20"/>
          <w:szCs w:val="20"/>
        </w:rPr>
        <w:t>Gadana</w:t>
      </w:r>
      <w:proofErr w:type="spellEnd"/>
      <w:r w:rsidRPr="00AE066F">
        <w:rPr>
          <w:rFonts w:ascii="Arial" w:hAnsi="Arial" w:cs="Arial"/>
          <w:sz w:val="20"/>
          <w:szCs w:val="20"/>
        </w:rPr>
        <w:t xml:space="preserve"> River in the Western Ghats (8°</w:t>
      </w:r>
      <w:r w:rsidRPr="00AE066F">
        <w:rPr>
          <w:rFonts w:ascii="Arial" w:hAnsi="Arial" w:cs="Arial"/>
          <w:sz w:val="20"/>
          <w:szCs w:val="20"/>
          <w:vertAlign w:val="superscript"/>
        </w:rPr>
        <w:t xml:space="preserve"> </w:t>
      </w:r>
      <w:r w:rsidRPr="00AE066F">
        <w:rPr>
          <w:rFonts w:ascii="Arial" w:hAnsi="Arial" w:cs="Arial"/>
          <w:sz w:val="20"/>
          <w:szCs w:val="20"/>
        </w:rPr>
        <w:t xml:space="preserve">47′ 47″ N; 77° 19′ 17″ E), in the </w:t>
      </w:r>
      <w:proofErr w:type="spellStart"/>
      <w:r w:rsidRPr="00AE066F">
        <w:rPr>
          <w:rFonts w:ascii="Arial" w:hAnsi="Arial" w:cs="Arial"/>
          <w:sz w:val="20"/>
          <w:szCs w:val="20"/>
        </w:rPr>
        <w:t>Tamiraparani</w:t>
      </w:r>
      <w:proofErr w:type="spellEnd"/>
      <w:r w:rsidRPr="00AE066F">
        <w:rPr>
          <w:rFonts w:ascii="Arial" w:hAnsi="Arial" w:cs="Arial"/>
          <w:sz w:val="20"/>
          <w:szCs w:val="20"/>
        </w:rPr>
        <w:t xml:space="preserve"> River Basin, Tamil Nadu (Fig. 1), using cast and gill nets. To ensure survival during transit, the fishes were placed in air-filled, well-aerated polythene bags and brought to the Research Centre. Upon arrival, the specimens were stocked in 1.5 m × 1 m polyvinyl plastic tanks for four days to ensure adequate acclimatisation. During this holding period, the fishes were maintained under laboratory conditions and provided with artificial feed. Because fish exhibit remarkable diversity in morphology and habitat, no single tissue is always ideal for every species; therefore, chromosome preparations are typically obtained from actively growing tissues such as the kidney, spleen, and gill epithelium.</w:t>
      </w:r>
      <w:r w:rsidRPr="00AE066F">
        <w:rPr>
          <w:rFonts w:ascii="Google Sans Text;Cambria" w:hAnsi="Google Sans Text;Cambria" w:cs="Google Sans Text;Cambria"/>
          <w:color w:val="303030"/>
          <w:shd w:val="clear" w:color="auto" w:fill="FFFFFF"/>
        </w:rPr>
        <w:t xml:space="preserve"> </w:t>
      </w:r>
      <w:r w:rsidRPr="00AE066F">
        <w:rPr>
          <w:rFonts w:ascii="Arial" w:hAnsi="Arial" w:cs="Arial"/>
          <w:sz w:val="20"/>
          <w:szCs w:val="20"/>
        </w:rPr>
        <w:t>Following successful acclimatisation, the specimens were prepared for the induction of metaphase chromosome spreads to elucidate their chromosomal structures.</w:t>
      </w:r>
    </w:p>
    <w:p w14:paraId="7026CD8D" w14:textId="77777777" w:rsidR="005C45CB" w:rsidRPr="00AE066F" w:rsidRDefault="005C45CB">
      <w:pPr>
        <w:spacing w:after="0" w:line="360" w:lineRule="auto"/>
        <w:ind w:firstLine="720"/>
        <w:jc w:val="both"/>
        <w:rPr>
          <w:rFonts w:ascii="Arial" w:hAnsi="Arial" w:cs="Arial"/>
          <w:sz w:val="20"/>
          <w:szCs w:val="20"/>
        </w:rPr>
      </w:pPr>
    </w:p>
    <w:p w14:paraId="1BA8A092" w14:textId="77777777" w:rsidR="005C45CB" w:rsidRPr="00AE066F" w:rsidRDefault="005C45CB">
      <w:pPr>
        <w:spacing w:after="0" w:line="360" w:lineRule="auto"/>
        <w:ind w:firstLine="720"/>
        <w:jc w:val="both"/>
        <w:rPr>
          <w:rFonts w:ascii="Arial" w:hAnsi="Arial" w:cs="Arial"/>
          <w:sz w:val="20"/>
          <w:szCs w:val="20"/>
        </w:rPr>
      </w:pPr>
    </w:p>
    <w:p w14:paraId="2F24CEBE" w14:textId="77777777" w:rsidR="005C45CB" w:rsidRPr="00AE066F" w:rsidRDefault="005C45CB">
      <w:pPr>
        <w:spacing w:after="0" w:line="360" w:lineRule="auto"/>
        <w:ind w:firstLine="720"/>
        <w:jc w:val="both"/>
        <w:rPr>
          <w:rFonts w:ascii="Arial" w:hAnsi="Arial" w:cs="Arial"/>
          <w:sz w:val="20"/>
          <w:szCs w:val="20"/>
        </w:rPr>
      </w:pPr>
    </w:p>
    <w:p w14:paraId="321C105D" w14:textId="77777777" w:rsidR="005C45CB" w:rsidRPr="00AE066F" w:rsidRDefault="00AB4B32">
      <w:pPr>
        <w:spacing w:after="0" w:line="360" w:lineRule="auto"/>
        <w:ind w:firstLine="720"/>
        <w:jc w:val="both"/>
        <w:rPr>
          <w:rFonts w:ascii="Times New Roman" w:hAnsi="Times New Roman"/>
          <w:sz w:val="24"/>
          <w:szCs w:val="24"/>
          <w:lang w:val="en-US" w:eastAsia="en-US"/>
        </w:rPr>
      </w:pPr>
      <w:r>
        <w:rPr>
          <w:rFonts w:ascii="Times New Roman" w:hAnsi="Times New Roman"/>
          <w:noProof/>
          <w:sz w:val="24"/>
          <w:szCs w:val="24"/>
          <w:lang w:val="en-US" w:eastAsia="en-US"/>
        </w:rPr>
        <w:lastRenderedPageBreak/>
        <w:pict w14:anchorId="053DD87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i1025" type="#_x0000_t75" style="width:190.95pt;height:257.95pt;visibility:visible;mso-wrap-style:square">
            <v:imagedata r:id="rId7" o:title="" croptop="-3f" cropbottom="-3f" cropleft="-5f" cropright="-5f"/>
          </v:shape>
        </w:pict>
      </w:r>
    </w:p>
    <w:p w14:paraId="79AC823E" w14:textId="77777777" w:rsidR="005C45CB" w:rsidRPr="00AE066F" w:rsidRDefault="005C45CB">
      <w:pPr>
        <w:spacing w:after="0" w:line="360" w:lineRule="auto"/>
        <w:ind w:firstLine="720"/>
        <w:jc w:val="both"/>
        <w:rPr>
          <w:rFonts w:ascii="Times New Roman" w:hAnsi="Times New Roman"/>
          <w:sz w:val="24"/>
          <w:szCs w:val="24"/>
        </w:rPr>
      </w:pPr>
    </w:p>
    <w:p w14:paraId="6A0D8925" w14:textId="77777777" w:rsidR="005C45CB" w:rsidRPr="00AE066F" w:rsidRDefault="005C45CB">
      <w:pPr>
        <w:spacing w:after="0" w:line="360" w:lineRule="auto"/>
        <w:ind w:firstLine="720"/>
        <w:jc w:val="both"/>
        <w:rPr>
          <w:rFonts w:ascii="Times New Roman" w:hAnsi="Times New Roman"/>
          <w:sz w:val="24"/>
          <w:szCs w:val="24"/>
        </w:rPr>
      </w:pPr>
    </w:p>
    <w:p w14:paraId="24533DC4" w14:textId="77777777" w:rsidR="005C45CB" w:rsidRPr="00AE066F" w:rsidRDefault="005C45CB">
      <w:pPr>
        <w:spacing w:after="0" w:line="360" w:lineRule="auto"/>
        <w:ind w:firstLine="720"/>
        <w:jc w:val="both"/>
        <w:rPr>
          <w:rFonts w:ascii="Times New Roman" w:hAnsi="Times New Roman"/>
          <w:sz w:val="24"/>
          <w:szCs w:val="24"/>
        </w:rPr>
      </w:pPr>
    </w:p>
    <w:p w14:paraId="28753C35" w14:textId="77777777" w:rsidR="005C45CB" w:rsidRPr="00AE066F" w:rsidRDefault="005C45CB">
      <w:pPr>
        <w:spacing w:after="0" w:line="360" w:lineRule="auto"/>
        <w:ind w:firstLine="720"/>
        <w:jc w:val="both"/>
        <w:rPr>
          <w:rFonts w:ascii="Times New Roman" w:hAnsi="Times New Roman"/>
          <w:sz w:val="24"/>
          <w:szCs w:val="24"/>
        </w:rPr>
      </w:pPr>
    </w:p>
    <w:p w14:paraId="349372FB" w14:textId="77777777" w:rsidR="005C45CB" w:rsidRPr="00AE066F" w:rsidRDefault="005C45CB">
      <w:pPr>
        <w:spacing w:after="0" w:line="360" w:lineRule="auto"/>
        <w:ind w:firstLine="720"/>
        <w:jc w:val="both"/>
        <w:rPr>
          <w:rFonts w:ascii="Times New Roman" w:hAnsi="Times New Roman"/>
          <w:sz w:val="24"/>
          <w:szCs w:val="24"/>
        </w:rPr>
      </w:pPr>
    </w:p>
    <w:p w14:paraId="17AEC3BA" w14:textId="77777777" w:rsidR="005C45CB" w:rsidRPr="00AE066F" w:rsidRDefault="005C45CB">
      <w:pPr>
        <w:spacing w:after="0" w:line="360" w:lineRule="auto"/>
        <w:ind w:firstLine="720"/>
        <w:jc w:val="both"/>
        <w:rPr>
          <w:rFonts w:ascii="Times New Roman" w:hAnsi="Times New Roman"/>
          <w:sz w:val="24"/>
          <w:szCs w:val="24"/>
        </w:rPr>
      </w:pPr>
    </w:p>
    <w:p w14:paraId="2697876B" w14:textId="77777777" w:rsidR="005C45CB" w:rsidRPr="00AE066F" w:rsidRDefault="005C45CB">
      <w:pPr>
        <w:spacing w:after="0" w:line="360" w:lineRule="auto"/>
        <w:ind w:firstLine="720"/>
        <w:jc w:val="both"/>
        <w:rPr>
          <w:rFonts w:ascii="Times New Roman" w:hAnsi="Times New Roman"/>
          <w:sz w:val="24"/>
          <w:szCs w:val="24"/>
        </w:rPr>
      </w:pPr>
    </w:p>
    <w:p w14:paraId="1E32ED56" w14:textId="77777777" w:rsidR="005C45CB" w:rsidRPr="00AE066F" w:rsidRDefault="005C45CB">
      <w:pPr>
        <w:spacing w:after="0" w:line="360" w:lineRule="auto"/>
        <w:ind w:firstLine="720"/>
        <w:jc w:val="both"/>
        <w:rPr>
          <w:rFonts w:ascii="Times New Roman" w:hAnsi="Times New Roman"/>
          <w:sz w:val="24"/>
          <w:szCs w:val="24"/>
        </w:rPr>
      </w:pPr>
    </w:p>
    <w:p w14:paraId="22C7D170" w14:textId="77777777" w:rsidR="005C45CB" w:rsidRPr="00AE066F" w:rsidRDefault="005C45CB">
      <w:pPr>
        <w:spacing w:after="0" w:line="360" w:lineRule="auto"/>
        <w:ind w:firstLine="720"/>
        <w:jc w:val="both"/>
        <w:rPr>
          <w:rFonts w:ascii="Times New Roman" w:hAnsi="Times New Roman"/>
          <w:sz w:val="24"/>
          <w:szCs w:val="24"/>
        </w:rPr>
      </w:pPr>
    </w:p>
    <w:p w14:paraId="66BA7D51" w14:textId="77777777" w:rsidR="005C45CB" w:rsidRPr="00AE066F" w:rsidRDefault="005C45CB">
      <w:pPr>
        <w:spacing w:after="0" w:line="360" w:lineRule="auto"/>
        <w:ind w:firstLine="720"/>
        <w:jc w:val="both"/>
        <w:rPr>
          <w:rFonts w:ascii="Times New Roman" w:hAnsi="Times New Roman"/>
          <w:sz w:val="24"/>
          <w:szCs w:val="24"/>
        </w:rPr>
      </w:pPr>
    </w:p>
    <w:p w14:paraId="1B667F25" w14:textId="77777777" w:rsidR="005C45CB" w:rsidRPr="00AE066F" w:rsidRDefault="005C45CB">
      <w:pPr>
        <w:spacing w:after="0" w:line="360" w:lineRule="auto"/>
        <w:ind w:firstLine="720"/>
        <w:jc w:val="both"/>
        <w:rPr>
          <w:rFonts w:ascii="Times New Roman" w:hAnsi="Times New Roman"/>
          <w:sz w:val="24"/>
          <w:szCs w:val="24"/>
        </w:rPr>
      </w:pPr>
    </w:p>
    <w:p w14:paraId="46286570" w14:textId="77777777" w:rsidR="005C45CB" w:rsidRPr="00AE066F" w:rsidRDefault="005C45CB">
      <w:pPr>
        <w:spacing w:after="0" w:line="360" w:lineRule="auto"/>
        <w:jc w:val="both"/>
        <w:rPr>
          <w:rFonts w:ascii="Times New Roman" w:hAnsi="Times New Roman"/>
          <w:b/>
          <w:bCs/>
          <w:sz w:val="24"/>
          <w:szCs w:val="24"/>
        </w:rPr>
      </w:pPr>
    </w:p>
    <w:p w14:paraId="16C85FF8" w14:textId="77777777" w:rsidR="005C45CB" w:rsidRPr="00AE066F" w:rsidRDefault="00000000">
      <w:pPr>
        <w:spacing w:after="0" w:line="240" w:lineRule="auto"/>
        <w:jc w:val="both"/>
      </w:pPr>
      <w:r w:rsidRPr="00AE066F">
        <w:rPr>
          <w:rFonts w:ascii="Arial" w:hAnsi="Arial" w:cs="Arial"/>
          <w:sz w:val="20"/>
          <w:szCs w:val="20"/>
        </w:rPr>
        <w:t xml:space="preserve">Figure 1.  </w:t>
      </w:r>
      <w:r w:rsidRPr="00AE066F">
        <w:rPr>
          <w:rFonts w:ascii="Arial" w:hAnsi="Arial" w:cs="Arial"/>
          <w:b/>
          <w:bCs/>
          <w:sz w:val="20"/>
          <w:szCs w:val="20"/>
        </w:rPr>
        <w:t xml:space="preserve">Map showing the sampling location at the </w:t>
      </w:r>
      <w:proofErr w:type="spellStart"/>
      <w:r w:rsidRPr="00AE066F">
        <w:rPr>
          <w:rFonts w:ascii="Arial" w:hAnsi="Arial" w:cs="Arial"/>
          <w:b/>
          <w:bCs/>
          <w:sz w:val="20"/>
          <w:szCs w:val="20"/>
        </w:rPr>
        <w:t>Gadana</w:t>
      </w:r>
      <w:proofErr w:type="spellEnd"/>
      <w:r w:rsidRPr="00AE066F">
        <w:rPr>
          <w:rFonts w:ascii="Arial" w:hAnsi="Arial" w:cs="Arial"/>
          <w:b/>
          <w:bCs/>
          <w:sz w:val="20"/>
          <w:szCs w:val="20"/>
        </w:rPr>
        <w:t xml:space="preserve"> River, </w:t>
      </w:r>
      <w:proofErr w:type="spellStart"/>
      <w:r w:rsidRPr="00AE066F">
        <w:rPr>
          <w:rFonts w:ascii="Arial" w:hAnsi="Arial" w:cs="Arial"/>
          <w:b/>
          <w:bCs/>
          <w:sz w:val="20"/>
          <w:szCs w:val="20"/>
        </w:rPr>
        <w:t>Tamiraparani</w:t>
      </w:r>
      <w:proofErr w:type="spellEnd"/>
      <w:r w:rsidRPr="00AE066F">
        <w:rPr>
          <w:rFonts w:ascii="Arial" w:hAnsi="Arial" w:cs="Arial"/>
          <w:b/>
          <w:bCs/>
          <w:sz w:val="20"/>
          <w:szCs w:val="20"/>
        </w:rPr>
        <w:t xml:space="preserve"> River basin, Western Ghats, India</w:t>
      </w:r>
      <w:r w:rsidRPr="00AE066F">
        <w:rPr>
          <w:rFonts w:ascii="Arial" w:hAnsi="Arial" w:cs="Arial"/>
          <w:sz w:val="20"/>
          <w:szCs w:val="20"/>
        </w:rPr>
        <w:t xml:space="preserve">. </w:t>
      </w:r>
    </w:p>
    <w:p w14:paraId="20165E40" w14:textId="77777777" w:rsidR="005C45CB" w:rsidRPr="00AE066F" w:rsidRDefault="005C45CB">
      <w:pPr>
        <w:spacing w:after="0" w:line="360" w:lineRule="auto"/>
        <w:jc w:val="both"/>
        <w:rPr>
          <w:rFonts w:ascii="Times New Roman" w:hAnsi="Times New Roman"/>
          <w:b/>
          <w:bCs/>
          <w:sz w:val="24"/>
          <w:szCs w:val="24"/>
        </w:rPr>
      </w:pPr>
    </w:p>
    <w:p w14:paraId="152A76B9" w14:textId="77777777" w:rsidR="005C45CB" w:rsidRPr="00AE066F" w:rsidRDefault="00000000">
      <w:pPr>
        <w:spacing w:after="0" w:line="360" w:lineRule="auto"/>
        <w:jc w:val="both"/>
      </w:pPr>
      <w:r w:rsidRPr="00AE066F">
        <w:rPr>
          <w:rFonts w:ascii="Arial" w:hAnsi="Arial" w:cs="Arial"/>
          <w:b/>
          <w:bCs/>
          <w:i/>
          <w:iCs/>
        </w:rPr>
        <w:t>2.2 Karyotyping</w:t>
      </w:r>
    </w:p>
    <w:p w14:paraId="191956E6" w14:textId="77777777" w:rsidR="005C45CB" w:rsidRPr="00AE066F" w:rsidRDefault="00000000">
      <w:pPr>
        <w:spacing w:line="360" w:lineRule="auto"/>
        <w:ind w:firstLine="720"/>
        <w:jc w:val="both"/>
      </w:pPr>
      <w:r w:rsidRPr="00AE066F">
        <w:rPr>
          <w:rFonts w:ascii="Arial" w:hAnsi="Arial" w:cs="Arial"/>
          <w:sz w:val="20"/>
          <w:szCs w:val="20"/>
        </w:rPr>
        <w:t xml:space="preserve">Chromosome preparations for both species were carried out according to the method of Kligerman and Bloom (1977). Each fish was injected with 0.01 mg of </w:t>
      </w:r>
      <w:proofErr w:type="spellStart"/>
      <w:r w:rsidRPr="00AE066F">
        <w:rPr>
          <w:rFonts w:ascii="Arial" w:hAnsi="Arial" w:cs="Arial"/>
          <w:sz w:val="20"/>
          <w:szCs w:val="20"/>
        </w:rPr>
        <w:t>phytohaemagglutinin</w:t>
      </w:r>
      <w:proofErr w:type="spellEnd"/>
      <w:r w:rsidRPr="00AE066F">
        <w:rPr>
          <w:rFonts w:ascii="Arial" w:hAnsi="Arial" w:cs="Arial"/>
          <w:sz w:val="20"/>
          <w:szCs w:val="20"/>
        </w:rPr>
        <w:t xml:space="preserve"> (PHA) and allowed to swim for 2 h (Padilla </w:t>
      </w:r>
      <w:r w:rsidRPr="00AE066F">
        <w:rPr>
          <w:rFonts w:ascii="Arial" w:hAnsi="Arial" w:cs="Arial"/>
          <w:i/>
          <w:iCs/>
          <w:sz w:val="20"/>
          <w:szCs w:val="20"/>
        </w:rPr>
        <w:t>et al.,</w:t>
      </w:r>
      <w:r w:rsidRPr="00AE066F">
        <w:rPr>
          <w:rFonts w:ascii="Arial" w:hAnsi="Arial" w:cs="Arial"/>
          <w:sz w:val="20"/>
          <w:szCs w:val="20"/>
        </w:rPr>
        <w:t xml:space="preserve"> 1993). As these fishes were small, lower concentrations and shorter exposure durations were considered sufficient. Subsequently, they were injected intraperitoneally with colchicine at a dosage of 0.01 mg/g body weight and allowed to swim freely in a well-aerated tank for an additional 2 h. The fishes were anaesthetised and sacrificed, and their kidneys and spleens were excised and stored in a 0.5% KCl solution for 30 min, followed by fixation in </w:t>
      </w:r>
      <w:r w:rsidRPr="00AE066F">
        <w:rPr>
          <w:rFonts w:ascii="Arial" w:hAnsi="Arial" w:cs="Arial"/>
          <w:sz w:val="20"/>
          <w:szCs w:val="20"/>
        </w:rPr>
        <w:lastRenderedPageBreak/>
        <w:t>Carnoy’s fluid for 10 min. The samples were then stored at −4 °C for 24 h. Subsequently, they were treated with 0.15 M NaCl</w:t>
      </w:r>
      <w:r w:rsidRPr="00AE066F">
        <w:rPr>
          <w:rFonts w:ascii="Arial" w:hAnsi="Arial" w:cs="Arial"/>
          <w:sz w:val="20"/>
          <w:szCs w:val="20"/>
          <w:vertAlign w:val="subscript"/>
        </w:rPr>
        <w:t xml:space="preserve"> </w:t>
      </w:r>
      <w:r w:rsidRPr="00AE066F">
        <w:rPr>
          <w:rFonts w:ascii="Arial" w:hAnsi="Arial" w:cs="Arial"/>
          <w:sz w:val="20"/>
          <w:szCs w:val="20"/>
        </w:rPr>
        <w:t>solution for 10 min and 0.015 M trisodium citrate for 30 min. The tissues were then treated with acetic acid for a few minutes, minced thoroughly with scissors, and</w:t>
      </w:r>
      <w:r w:rsidRPr="00AE066F">
        <w:rPr>
          <w:rFonts w:ascii="Arial" w:hAnsi="Arial" w:cs="Arial"/>
          <w:b/>
          <w:bCs/>
          <w:sz w:val="20"/>
          <w:szCs w:val="20"/>
        </w:rPr>
        <w:t xml:space="preserve"> </w:t>
      </w:r>
      <w:r w:rsidRPr="00AE066F">
        <w:rPr>
          <w:rFonts w:ascii="Arial" w:hAnsi="Arial" w:cs="Arial"/>
          <w:sz w:val="20"/>
          <w:szCs w:val="20"/>
        </w:rPr>
        <w:t xml:space="preserve">dissociated into a homogeneous cell suspension using a Pasteur pipette. The slides were warmed at 50 °C, and chromosome spreads were prepared using the co-ordinate air-drying technique. The slides were then stained with 5% Giemsa for 30 min, rinsed with distilled water, air-dried, and examined under a microscope at 100× magnification (Nikon Alpha pot-4 microscope). The chromosomes were measured using an ocular </w:t>
      </w:r>
      <w:proofErr w:type="spellStart"/>
      <w:r w:rsidRPr="00AE066F">
        <w:rPr>
          <w:rFonts w:ascii="Arial" w:hAnsi="Arial" w:cs="Arial"/>
          <w:sz w:val="20"/>
          <w:szCs w:val="20"/>
        </w:rPr>
        <w:t>micrometer</w:t>
      </w:r>
      <w:proofErr w:type="spellEnd"/>
      <w:r w:rsidRPr="00AE066F">
        <w:rPr>
          <w:rFonts w:ascii="Arial" w:hAnsi="Arial" w:cs="Arial"/>
          <w:sz w:val="20"/>
          <w:szCs w:val="20"/>
        </w:rPr>
        <w:t xml:space="preserve">, photographed, and analysed. A standard </w:t>
      </w:r>
      <w:proofErr w:type="spellStart"/>
      <w:r w:rsidRPr="00AE066F">
        <w:rPr>
          <w:rFonts w:ascii="Arial" w:hAnsi="Arial" w:cs="Arial"/>
          <w:sz w:val="20"/>
          <w:szCs w:val="20"/>
        </w:rPr>
        <w:t>idiogram</w:t>
      </w:r>
      <w:proofErr w:type="spellEnd"/>
      <w:r w:rsidRPr="00AE066F">
        <w:rPr>
          <w:rFonts w:ascii="Arial" w:hAnsi="Arial" w:cs="Arial"/>
          <w:sz w:val="20"/>
          <w:szCs w:val="20"/>
        </w:rPr>
        <w:t xml:space="preserve"> was constructed according to Levan </w:t>
      </w:r>
      <w:r w:rsidRPr="00AE066F">
        <w:rPr>
          <w:rFonts w:ascii="Arial" w:hAnsi="Arial" w:cs="Arial"/>
          <w:i/>
          <w:iCs/>
          <w:sz w:val="20"/>
          <w:szCs w:val="20"/>
        </w:rPr>
        <w:t xml:space="preserve">et al. </w:t>
      </w:r>
      <w:r w:rsidRPr="00AE066F">
        <w:rPr>
          <w:rFonts w:ascii="Arial" w:hAnsi="Arial" w:cs="Arial"/>
          <w:sz w:val="20"/>
          <w:szCs w:val="20"/>
        </w:rPr>
        <w:t>(1964). The mean lengths of the short and long arms of the chromosomes, as well as the centromeric index, were calculated. Chromosome sets were grouped according to Macgregor (1993).</w:t>
      </w:r>
    </w:p>
    <w:p w14:paraId="7C27782A" w14:textId="77777777" w:rsidR="005C45CB" w:rsidRPr="00AE066F" w:rsidRDefault="00000000">
      <w:pPr>
        <w:jc w:val="both"/>
      </w:pPr>
      <w:r w:rsidRPr="00AE066F">
        <w:rPr>
          <w:rFonts w:ascii="Arial" w:hAnsi="Arial" w:cs="Arial"/>
          <w:b/>
        </w:rPr>
        <w:t>3. RESULTS</w:t>
      </w:r>
    </w:p>
    <w:p w14:paraId="1139CF75" w14:textId="77777777" w:rsidR="005C45CB" w:rsidRPr="00AE066F" w:rsidRDefault="00000000">
      <w:pPr>
        <w:spacing w:line="360" w:lineRule="auto"/>
        <w:ind w:firstLine="720"/>
        <w:jc w:val="both"/>
      </w:pPr>
      <w:r w:rsidRPr="00AE066F">
        <w:rPr>
          <w:rFonts w:ascii="Arial" w:hAnsi="Arial" w:cs="Arial"/>
          <w:sz w:val="20"/>
          <w:szCs w:val="20"/>
        </w:rPr>
        <w:t xml:space="preserve">Twenty metaphase images obtained from kidney cells were analysed for each species. The diploid chromosome number was determined to be 2n = 50 for both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i/>
          <w:iCs/>
          <w:sz w:val="20"/>
          <w:szCs w:val="20"/>
        </w:rPr>
        <w:t xml:space="preserve"> </w:t>
      </w:r>
      <w:r w:rsidRPr="00AE066F">
        <w:rPr>
          <w:rFonts w:ascii="Arial" w:hAnsi="Arial" w:cs="Arial"/>
          <w:sz w:val="20"/>
          <w:szCs w:val="20"/>
        </w:rPr>
        <w:t>(Figure 2A)</w:t>
      </w:r>
      <w:r w:rsidRPr="00AE066F">
        <w:rPr>
          <w:rFonts w:ascii="Arial" w:hAnsi="Arial" w:cs="Arial"/>
          <w:i/>
          <w:iCs/>
          <w:sz w:val="20"/>
          <w:szCs w:val="20"/>
        </w:rPr>
        <w:t xml:space="preserve"> </w:t>
      </w:r>
      <w:r w:rsidRPr="00AE066F">
        <w:rPr>
          <w:rFonts w:ascii="Arial" w:hAnsi="Arial" w:cs="Arial"/>
          <w:sz w:val="20"/>
          <w:szCs w:val="20"/>
        </w:rPr>
        <w:t>and</w:t>
      </w:r>
      <w:r w:rsidRPr="00AE066F">
        <w:rPr>
          <w:rFonts w:ascii="Arial" w:hAnsi="Arial" w:cs="Arial"/>
          <w:i/>
          <w:iCs/>
          <w:sz w:val="20"/>
          <w:szCs w:val="20"/>
        </w:rPr>
        <w:t xml:space="preserve">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sz w:val="20"/>
          <w:szCs w:val="20"/>
        </w:rPr>
        <w:t xml:space="preserve"> </w:t>
      </w:r>
      <w:r w:rsidRPr="00AE066F">
        <w:rPr>
          <w:rFonts w:ascii="Arial" w:hAnsi="Arial" w:cs="Arial"/>
          <w:sz w:val="20"/>
          <w:szCs w:val="20"/>
        </w:rPr>
        <w:t xml:space="preserve">(Figure 2C). The karyotype formula of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was 8m + 2sm + 26st + 14t, with NF = 60 (Figure 2B), whereas that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sz w:val="20"/>
          <w:szCs w:val="20"/>
        </w:rPr>
        <w:t xml:space="preserve"> </w:t>
      </w:r>
      <w:r w:rsidRPr="00AE066F">
        <w:rPr>
          <w:rFonts w:ascii="Arial" w:hAnsi="Arial" w:cs="Arial"/>
          <w:sz w:val="20"/>
          <w:szCs w:val="20"/>
        </w:rPr>
        <w:t xml:space="preserve">was 28m + 22t, with NF = 78 (Figure 2D). The total chromosome length in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sz w:val="20"/>
          <w:szCs w:val="20"/>
        </w:rPr>
        <w:t xml:space="preserve"> </w:t>
      </w:r>
      <w:r w:rsidRPr="00AE066F">
        <w:rPr>
          <w:rFonts w:ascii="Arial" w:hAnsi="Arial" w:cs="Arial"/>
          <w:sz w:val="20"/>
          <w:szCs w:val="20"/>
        </w:rPr>
        <w:t xml:space="preserve">ranged from 0.43 to 0.89 µm, whereas that in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ranged from 0.43 to 1.08 µm. The chromosome morphometric data are presented in Tables 1 and 2. Representative metaphase spreads are shown in Figures 2A and 2C, and the standard </w:t>
      </w:r>
      <w:proofErr w:type="spellStart"/>
      <w:r w:rsidRPr="00AE066F">
        <w:rPr>
          <w:rFonts w:ascii="Arial" w:hAnsi="Arial" w:cs="Arial"/>
          <w:sz w:val="20"/>
          <w:szCs w:val="20"/>
        </w:rPr>
        <w:t>idiograms</w:t>
      </w:r>
      <w:proofErr w:type="spellEnd"/>
      <w:r w:rsidRPr="00AE066F">
        <w:rPr>
          <w:rFonts w:ascii="Arial" w:hAnsi="Arial" w:cs="Arial"/>
          <w:sz w:val="20"/>
          <w:szCs w:val="20"/>
        </w:rPr>
        <w:t xml:space="preserve"> are presented in Figures 3 and 4.</w:t>
      </w:r>
    </w:p>
    <w:p w14:paraId="71D87A11" w14:textId="77777777" w:rsidR="005C45CB" w:rsidRPr="00AE066F" w:rsidRDefault="00000000">
      <w:pPr>
        <w:spacing w:line="360" w:lineRule="auto"/>
        <w:ind w:firstLine="720"/>
        <w:jc w:val="both"/>
        <w:rPr>
          <w:rFonts w:ascii="Arial" w:hAnsi="Arial" w:cs="Arial"/>
          <w:sz w:val="20"/>
          <w:szCs w:val="20"/>
        </w:rPr>
      </w:pPr>
      <w:r w:rsidRPr="00AE066F">
        <w:rPr>
          <w:rFonts w:ascii="Arial" w:hAnsi="Arial" w:cs="Arial"/>
          <w:sz w:val="20"/>
          <w:szCs w:val="20"/>
        </w:rPr>
        <w:t>The consistent diploid number of 2n = 50 observed in both species is congruent with the conserved chromosome number frequently reported across many cyprinid lineages; however, differences in the fundamental arm number and chromosome morphology indicate that structural rearrangements may occur without altering the diploid chromosome count (</w:t>
      </w:r>
      <w:proofErr w:type="spellStart"/>
      <w:r w:rsidRPr="00AE066F">
        <w:rPr>
          <w:rFonts w:ascii="Arial" w:hAnsi="Arial" w:cs="Arial"/>
          <w:sz w:val="20"/>
          <w:szCs w:val="20"/>
        </w:rPr>
        <w:t>Buasriyot</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2024;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2023). This interpretation supports the cautious use of karyotype formulae as comparative cytotaxonomic characters because conventional staining can establish chromosome number and gross morphology but may not resolve cryptic genomic differences, such as rDNA-site variation or repetitive-DNA redistribution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2023; Rossi, 2021).</w:t>
      </w:r>
    </w:p>
    <w:p w14:paraId="18CFD1B8" w14:textId="77777777" w:rsidR="005C45CB" w:rsidRPr="00AE066F" w:rsidRDefault="005C45CB">
      <w:pPr>
        <w:spacing w:line="360" w:lineRule="auto"/>
        <w:ind w:firstLine="720"/>
        <w:jc w:val="both"/>
        <w:rPr>
          <w:rFonts w:ascii="Arial" w:hAnsi="Arial" w:cs="Arial"/>
          <w:sz w:val="20"/>
          <w:szCs w:val="20"/>
        </w:rPr>
      </w:pPr>
    </w:p>
    <w:p w14:paraId="77AD36EA" w14:textId="77777777" w:rsidR="005C45CB" w:rsidRPr="00AE066F" w:rsidRDefault="005C45CB">
      <w:pPr>
        <w:spacing w:line="360" w:lineRule="auto"/>
        <w:ind w:firstLine="720"/>
        <w:jc w:val="both"/>
        <w:rPr>
          <w:rFonts w:ascii="Arial" w:hAnsi="Arial" w:cs="Arial"/>
          <w:sz w:val="20"/>
          <w:szCs w:val="20"/>
        </w:rPr>
      </w:pPr>
    </w:p>
    <w:p w14:paraId="4B209C41" w14:textId="77777777" w:rsidR="005C45CB" w:rsidRPr="00AE066F" w:rsidRDefault="005C45CB">
      <w:pPr>
        <w:spacing w:line="360" w:lineRule="auto"/>
        <w:ind w:firstLine="720"/>
        <w:jc w:val="both"/>
        <w:rPr>
          <w:rFonts w:ascii="Arial" w:hAnsi="Arial" w:cs="Arial"/>
          <w:sz w:val="20"/>
          <w:szCs w:val="20"/>
        </w:rPr>
      </w:pPr>
    </w:p>
    <w:p w14:paraId="3D173D29" w14:textId="77777777" w:rsidR="005C45CB" w:rsidRPr="00AE066F" w:rsidRDefault="00000000">
      <w:pPr>
        <w:spacing w:line="240" w:lineRule="auto"/>
        <w:jc w:val="center"/>
        <w:rPr>
          <w:rFonts w:ascii="Arial" w:hAnsi="Arial" w:cs="Arial"/>
          <w:i/>
          <w:sz w:val="20"/>
          <w:szCs w:val="20"/>
        </w:rPr>
      </w:pPr>
      <w:r w:rsidRPr="00AE066F">
        <w:rPr>
          <w:rFonts w:ascii="Arial" w:hAnsi="Arial" w:cs="Arial"/>
          <w:i/>
          <w:sz w:val="20"/>
          <w:szCs w:val="20"/>
        </w:rPr>
        <w:t xml:space="preserve">Table1. </w:t>
      </w:r>
      <w:proofErr w:type="spellStart"/>
      <w:r w:rsidRPr="00AE066F">
        <w:rPr>
          <w:rFonts w:ascii="Arial" w:hAnsi="Arial" w:cs="Arial"/>
          <w:i/>
          <w:sz w:val="20"/>
          <w:szCs w:val="20"/>
        </w:rPr>
        <w:t>Karyomorphology</w:t>
      </w:r>
      <w:proofErr w:type="spellEnd"/>
      <w:r w:rsidRPr="00AE066F">
        <w:rPr>
          <w:rFonts w:ascii="Arial" w:hAnsi="Arial" w:cs="Arial"/>
          <w:i/>
          <w:sz w:val="20"/>
          <w:szCs w:val="20"/>
        </w:rPr>
        <w:t xml:space="preserve"> and chromosomal morphometric data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iCs/>
          <w:sz w:val="20"/>
          <w:szCs w:val="20"/>
        </w:rPr>
        <w:t xml:space="preserve"> (Bleeker, 1863) from the </w:t>
      </w:r>
      <w:proofErr w:type="spellStart"/>
      <w:r w:rsidRPr="00AE066F">
        <w:rPr>
          <w:rFonts w:ascii="Arial" w:hAnsi="Arial" w:cs="Arial"/>
          <w:i/>
          <w:iCs/>
          <w:sz w:val="20"/>
          <w:szCs w:val="20"/>
        </w:rPr>
        <w:t>Gadana</w:t>
      </w:r>
      <w:proofErr w:type="spellEnd"/>
      <w:r w:rsidRPr="00AE066F">
        <w:rPr>
          <w:rFonts w:ascii="Arial" w:hAnsi="Arial" w:cs="Arial"/>
          <w:i/>
          <w:iCs/>
          <w:sz w:val="20"/>
          <w:szCs w:val="20"/>
        </w:rPr>
        <w:t xml:space="preserve"> River. </w:t>
      </w:r>
      <w:proofErr w:type="gramStart"/>
      <w:r w:rsidRPr="00AE066F">
        <w:rPr>
          <w:rFonts w:ascii="Arial" w:hAnsi="Arial" w:cs="Arial"/>
          <w:i/>
          <w:iCs/>
          <w:sz w:val="20"/>
          <w:szCs w:val="20"/>
        </w:rPr>
        <w:t>(</w:t>
      </w:r>
      <w:r w:rsidRPr="00AE066F">
        <w:rPr>
          <w:rFonts w:ascii="Arial" w:hAnsi="Arial" w:cs="Arial"/>
          <w:i/>
          <w:sz w:val="20"/>
          <w:szCs w:val="20"/>
        </w:rPr>
        <w:t xml:space="preserve"> LA</w:t>
      </w:r>
      <w:proofErr w:type="gramEnd"/>
      <w:r w:rsidRPr="00AE066F">
        <w:rPr>
          <w:rFonts w:ascii="Arial" w:hAnsi="Arial" w:cs="Arial"/>
          <w:i/>
          <w:sz w:val="20"/>
          <w:szCs w:val="20"/>
        </w:rPr>
        <w:t>-Long arm, SA- Short arm, TL-Total length, AL-Average length RL-Relative length, CI- Centromeric index. T- Telocentric</w:t>
      </w:r>
      <w:r w:rsidRPr="00AE066F">
        <w:rPr>
          <w:rFonts w:ascii="Arial" w:hAnsi="Arial" w:cs="Arial"/>
          <w:i/>
          <w:iCs/>
          <w:sz w:val="20"/>
          <w:szCs w:val="20"/>
        </w:rPr>
        <w:t xml:space="preserve">) </w:t>
      </w:r>
    </w:p>
    <w:tbl>
      <w:tblPr>
        <w:tblW w:w="7064" w:type="dxa"/>
        <w:jc w:val="center"/>
        <w:tblLayout w:type="fixed"/>
        <w:tblLook w:val="0000" w:firstRow="0" w:lastRow="0" w:firstColumn="0" w:lastColumn="0" w:noHBand="0" w:noVBand="0"/>
      </w:tblPr>
      <w:tblGrid>
        <w:gridCol w:w="761"/>
        <w:gridCol w:w="903"/>
        <w:gridCol w:w="990"/>
        <w:gridCol w:w="810"/>
        <w:gridCol w:w="990"/>
        <w:gridCol w:w="900"/>
        <w:gridCol w:w="810"/>
        <w:gridCol w:w="900"/>
      </w:tblGrid>
      <w:tr w:rsidR="005C45CB" w:rsidRPr="00AE066F" w14:paraId="5F640C61"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3F9215AD" w14:textId="77777777" w:rsidR="005C45CB" w:rsidRPr="00AE066F" w:rsidRDefault="00000000">
            <w:pPr>
              <w:spacing w:after="0" w:line="240" w:lineRule="auto"/>
              <w:rPr>
                <w:rFonts w:ascii="Arial" w:hAnsi="Arial" w:cs="Arial"/>
                <w:color w:val="000000"/>
                <w:sz w:val="20"/>
                <w:szCs w:val="20"/>
              </w:rPr>
            </w:pPr>
            <w:proofErr w:type="spellStart"/>
            <w:r w:rsidRPr="00AE066F">
              <w:t>Sl.No</w:t>
            </w:r>
            <w:proofErr w:type="spellEnd"/>
            <w:r w:rsidRPr="00AE066F">
              <w:t>.</w:t>
            </w:r>
          </w:p>
        </w:tc>
        <w:tc>
          <w:tcPr>
            <w:tcW w:w="903" w:type="dxa"/>
            <w:tcBorders>
              <w:top w:val="single" w:sz="4" w:space="0" w:color="000000"/>
              <w:left w:val="single" w:sz="4" w:space="0" w:color="000000"/>
              <w:bottom w:val="single" w:sz="4" w:space="0" w:color="000000"/>
              <w:right w:val="single" w:sz="4" w:space="0" w:color="000000"/>
            </w:tcBorders>
          </w:tcPr>
          <w:p w14:paraId="62566822" w14:textId="77777777" w:rsidR="005C45CB" w:rsidRPr="00AE066F" w:rsidRDefault="00000000">
            <w:pPr>
              <w:spacing w:after="0" w:line="240" w:lineRule="auto"/>
              <w:rPr>
                <w:rFonts w:ascii="Arial" w:hAnsi="Arial" w:cs="Arial"/>
                <w:color w:val="000000"/>
                <w:sz w:val="20"/>
                <w:szCs w:val="20"/>
              </w:rPr>
            </w:pPr>
            <w:r w:rsidRPr="00AE066F">
              <w:t>LA</w:t>
            </w:r>
          </w:p>
        </w:tc>
        <w:tc>
          <w:tcPr>
            <w:tcW w:w="990" w:type="dxa"/>
            <w:tcBorders>
              <w:top w:val="single" w:sz="4" w:space="0" w:color="000000"/>
              <w:left w:val="single" w:sz="4" w:space="0" w:color="000000"/>
              <w:bottom w:val="single" w:sz="4" w:space="0" w:color="000000"/>
              <w:right w:val="single" w:sz="4" w:space="0" w:color="000000"/>
            </w:tcBorders>
          </w:tcPr>
          <w:p w14:paraId="27E5DBD6" w14:textId="77777777" w:rsidR="005C45CB" w:rsidRPr="00AE066F" w:rsidRDefault="00000000">
            <w:pPr>
              <w:spacing w:after="0" w:line="240" w:lineRule="auto"/>
              <w:rPr>
                <w:rFonts w:ascii="Arial" w:hAnsi="Arial" w:cs="Arial"/>
                <w:color w:val="000000"/>
                <w:sz w:val="20"/>
                <w:szCs w:val="20"/>
              </w:rPr>
            </w:pPr>
            <w:r w:rsidRPr="00AE066F">
              <w:t>SA</w:t>
            </w:r>
          </w:p>
        </w:tc>
        <w:tc>
          <w:tcPr>
            <w:tcW w:w="810" w:type="dxa"/>
            <w:tcBorders>
              <w:top w:val="single" w:sz="4" w:space="0" w:color="000000"/>
              <w:left w:val="single" w:sz="4" w:space="0" w:color="000000"/>
              <w:bottom w:val="single" w:sz="4" w:space="0" w:color="000000"/>
              <w:right w:val="single" w:sz="4" w:space="0" w:color="000000"/>
            </w:tcBorders>
          </w:tcPr>
          <w:p w14:paraId="382F6168" w14:textId="77777777" w:rsidR="005C45CB" w:rsidRPr="00AE066F" w:rsidRDefault="00000000">
            <w:pPr>
              <w:spacing w:after="0" w:line="240" w:lineRule="auto"/>
              <w:rPr>
                <w:rFonts w:ascii="Arial" w:hAnsi="Arial" w:cs="Arial"/>
                <w:color w:val="000000"/>
                <w:sz w:val="20"/>
                <w:szCs w:val="20"/>
              </w:rPr>
            </w:pPr>
            <w:r w:rsidRPr="00AE066F">
              <w:t>TL</w:t>
            </w:r>
          </w:p>
        </w:tc>
        <w:tc>
          <w:tcPr>
            <w:tcW w:w="990" w:type="dxa"/>
            <w:tcBorders>
              <w:top w:val="single" w:sz="4" w:space="0" w:color="000000"/>
              <w:left w:val="single" w:sz="4" w:space="0" w:color="000000"/>
              <w:bottom w:val="single" w:sz="4" w:space="0" w:color="000000"/>
              <w:right w:val="single" w:sz="4" w:space="0" w:color="000000"/>
            </w:tcBorders>
          </w:tcPr>
          <w:p w14:paraId="0CB8A342" w14:textId="77777777" w:rsidR="005C45CB" w:rsidRPr="00AE066F" w:rsidRDefault="00000000">
            <w:pPr>
              <w:spacing w:after="0" w:line="240" w:lineRule="auto"/>
              <w:rPr>
                <w:rFonts w:ascii="Arial" w:hAnsi="Arial" w:cs="Arial"/>
                <w:color w:val="000000"/>
                <w:sz w:val="20"/>
                <w:szCs w:val="20"/>
              </w:rPr>
            </w:pPr>
            <w:r w:rsidRPr="00AE066F">
              <w:t>AL</w:t>
            </w:r>
          </w:p>
        </w:tc>
        <w:tc>
          <w:tcPr>
            <w:tcW w:w="900" w:type="dxa"/>
            <w:tcBorders>
              <w:top w:val="single" w:sz="4" w:space="0" w:color="000000"/>
              <w:left w:val="single" w:sz="4" w:space="0" w:color="000000"/>
              <w:bottom w:val="single" w:sz="4" w:space="0" w:color="000000"/>
              <w:right w:val="single" w:sz="4" w:space="0" w:color="000000"/>
            </w:tcBorders>
          </w:tcPr>
          <w:p w14:paraId="225BD19A" w14:textId="77777777" w:rsidR="005C45CB" w:rsidRPr="00AE066F" w:rsidRDefault="00000000">
            <w:pPr>
              <w:spacing w:after="0" w:line="240" w:lineRule="auto"/>
              <w:rPr>
                <w:rFonts w:ascii="Arial" w:hAnsi="Arial" w:cs="Arial"/>
                <w:color w:val="000000"/>
                <w:sz w:val="20"/>
                <w:szCs w:val="20"/>
              </w:rPr>
            </w:pPr>
            <w:r w:rsidRPr="00AE066F">
              <w:t>RL (%)</w:t>
            </w:r>
          </w:p>
        </w:tc>
        <w:tc>
          <w:tcPr>
            <w:tcW w:w="810" w:type="dxa"/>
            <w:tcBorders>
              <w:top w:val="single" w:sz="4" w:space="0" w:color="000000"/>
              <w:left w:val="single" w:sz="4" w:space="0" w:color="000000"/>
              <w:bottom w:val="single" w:sz="4" w:space="0" w:color="000000"/>
              <w:right w:val="single" w:sz="4" w:space="0" w:color="000000"/>
            </w:tcBorders>
          </w:tcPr>
          <w:p w14:paraId="3784C462" w14:textId="77777777" w:rsidR="005C45CB" w:rsidRPr="00AE066F" w:rsidRDefault="00000000">
            <w:pPr>
              <w:spacing w:after="0" w:line="240" w:lineRule="auto"/>
              <w:rPr>
                <w:rFonts w:ascii="Arial" w:hAnsi="Arial" w:cs="Arial"/>
                <w:color w:val="000000"/>
                <w:sz w:val="20"/>
                <w:szCs w:val="20"/>
              </w:rPr>
            </w:pPr>
            <w:r w:rsidRPr="00AE066F">
              <w:t>A/R=r</w:t>
            </w:r>
          </w:p>
        </w:tc>
        <w:tc>
          <w:tcPr>
            <w:tcW w:w="900" w:type="dxa"/>
            <w:tcBorders>
              <w:top w:val="single" w:sz="4" w:space="0" w:color="000000"/>
              <w:left w:val="single" w:sz="4" w:space="0" w:color="000000"/>
              <w:bottom w:val="single" w:sz="4" w:space="0" w:color="000000"/>
              <w:right w:val="single" w:sz="4" w:space="0" w:color="000000"/>
            </w:tcBorders>
          </w:tcPr>
          <w:p w14:paraId="7B6EA95B" w14:textId="77777777" w:rsidR="005C45CB" w:rsidRPr="00AE066F" w:rsidRDefault="00000000">
            <w:pPr>
              <w:spacing w:after="0" w:line="240" w:lineRule="auto"/>
              <w:rPr>
                <w:rFonts w:ascii="Arial" w:hAnsi="Arial" w:cs="Arial"/>
                <w:color w:val="000000"/>
                <w:sz w:val="20"/>
                <w:szCs w:val="20"/>
              </w:rPr>
            </w:pPr>
            <w:r w:rsidRPr="00AE066F">
              <w:t>CI</w:t>
            </w:r>
          </w:p>
        </w:tc>
      </w:tr>
      <w:tr w:rsidR="005C45CB" w:rsidRPr="00AE066F" w14:paraId="03F4BF15"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1C3BDD0D" w14:textId="77777777" w:rsidR="005C45CB" w:rsidRPr="00AE066F" w:rsidRDefault="00000000">
            <w:pPr>
              <w:spacing w:after="0" w:line="240" w:lineRule="auto"/>
              <w:rPr>
                <w:rFonts w:ascii="Arial" w:hAnsi="Arial" w:cs="Arial"/>
                <w:color w:val="000000"/>
                <w:sz w:val="20"/>
                <w:szCs w:val="20"/>
              </w:rPr>
            </w:pPr>
            <w:r w:rsidRPr="00AE066F">
              <w:t>1</w:t>
            </w:r>
          </w:p>
        </w:tc>
        <w:tc>
          <w:tcPr>
            <w:tcW w:w="903" w:type="dxa"/>
            <w:tcBorders>
              <w:top w:val="single" w:sz="4" w:space="0" w:color="000000"/>
              <w:left w:val="single" w:sz="4" w:space="0" w:color="000000"/>
              <w:bottom w:val="single" w:sz="4" w:space="0" w:color="000000"/>
              <w:right w:val="single" w:sz="4" w:space="0" w:color="000000"/>
            </w:tcBorders>
          </w:tcPr>
          <w:p w14:paraId="3F9C0035" w14:textId="77777777" w:rsidR="005C45CB" w:rsidRPr="00AE066F" w:rsidRDefault="00000000">
            <w:pPr>
              <w:spacing w:after="0" w:line="240" w:lineRule="auto"/>
              <w:jc w:val="center"/>
              <w:rPr>
                <w:rFonts w:ascii="Arial" w:hAnsi="Arial" w:cs="Arial"/>
                <w:color w:val="000000"/>
                <w:sz w:val="20"/>
                <w:szCs w:val="20"/>
              </w:rPr>
            </w:pPr>
            <w:r w:rsidRPr="00AE066F">
              <w:t>0.488</w:t>
            </w:r>
          </w:p>
        </w:tc>
        <w:tc>
          <w:tcPr>
            <w:tcW w:w="990" w:type="dxa"/>
            <w:tcBorders>
              <w:top w:val="single" w:sz="4" w:space="0" w:color="000000"/>
              <w:left w:val="single" w:sz="4" w:space="0" w:color="000000"/>
              <w:bottom w:val="single" w:sz="4" w:space="0" w:color="000000"/>
              <w:right w:val="single" w:sz="4" w:space="0" w:color="000000"/>
            </w:tcBorders>
          </w:tcPr>
          <w:p w14:paraId="5EC0CBD7" w14:textId="77777777" w:rsidR="005C45CB" w:rsidRPr="00AE066F" w:rsidRDefault="00000000">
            <w:pPr>
              <w:spacing w:after="0" w:line="240" w:lineRule="auto"/>
              <w:jc w:val="center"/>
              <w:rPr>
                <w:rFonts w:ascii="Arial" w:hAnsi="Arial" w:cs="Arial"/>
                <w:color w:val="000000"/>
                <w:sz w:val="20"/>
                <w:szCs w:val="20"/>
              </w:rPr>
            </w:pPr>
            <w:r w:rsidRPr="00AE066F">
              <w:t>0.399</w:t>
            </w:r>
          </w:p>
        </w:tc>
        <w:tc>
          <w:tcPr>
            <w:tcW w:w="810" w:type="dxa"/>
            <w:tcBorders>
              <w:top w:val="single" w:sz="4" w:space="0" w:color="000000"/>
              <w:left w:val="single" w:sz="4" w:space="0" w:color="000000"/>
              <w:bottom w:val="single" w:sz="4" w:space="0" w:color="000000"/>
              <w:right w:val="single" w:sz="4" w:space="0" w:color="000000"/>
            </w:tcBorders>
          </w:tcPr>
          <w:p w14:paraId="2558E819" w14:textId="77777777" w:rsidR="005C45CB" w:rsidRPr="00AE066F" w:rsidRDefault="00000000">
            <w:pPr>
              <w:spacing w:after="0" w:line="240" w:lineRule="auto"/>
              <w:jc w:val="center"/>
              <w:rPr>
                <w:rFonts w:ascii="Arial" w:hAnsi="Arial" w:cs="Arial"/>
                <w:color w:val="000000"/>
                <w:sz w:val="20"/>
                <w:szCs w:val="20"/>
              </w:rPr>
            </w:pPr>
            <w:r w:rsidRPr="00AE066F">
              <w:t>0.887</w:t>
            </w:r>
          </w:p>
        </w:tc>
        <w:tc>
          <w:tcPr>
            <w:tcW w:w="990" w:type="dxa"/>
            <w:tcBorders>
              <w:top w:val="single" w:sz="4" w:space="0" w:color="000000"/>
              <w:left w:val="single" w:sz="4" w:space="0" w:color="000000"/>
              <w:bottom w:val="single" w:sz="4" w:space="0" w:color="000000"/>
              <w:right w:val="single" w:sz="4" w:space="0" w:color="000000"/>
            </w:tcBorders>
          </w:tcPr>
          <w:p w14:paraId="5ECCDD9F" w14:textId="77777777" w:rsidR="005C45CB" w:rsidRPr="00AE066F" w:rsidRDefault="00000000">
            <w:pPr>
              <w:spacing w:after="0" w:line="240" w:lineRule="auto"/>
              <w:jc w:val="center"/>
              <w:rPr>
                <w:rFonts w:ascii="Arial" w:hAnsi="Arial" w:cs="Arial"/>
                <w:color w:val="000000"/>
                <w:sz w:val="20"/>
                <w:szCs w:val="20"/>
              </w:rPr>
            </w:pPr>
            <w:r w:rsidRPr="00AE066F">
              <w:t>0.4435</w:t>
            </w:r>
          </w:p>
        </w:tc>
        <w:tc>
          <w:tcPr>
            <w:tcW w:w="900" w:type="dxa"/>
            <w:tcBorders>
              <w:top w:val="single" w:sz="4" w:space="0" w:color="000000"/>
              <w:left w:val="single" w:sz="4" w:space="0" w:color="000000"/>
              <w:bottom w:val="single" w:sz="4" w:space="0" w:color="000000"/>
              <w:right w:val="single" w:sz="4" w:space="0" w:color="000000"/>
            </w:tcBorders>
          </w:tcPr>
          <w:p w14:paraId="745F1518" w14:textId="77777777" w:rsidR="005C45CB" w:rsidRPr="00AE066F" w:rsidRDefault="00000000">
            <w:pPr>
              <w:spacing w:after="0" w:line="240" w:lineRule="auto"/>
              <w:jc w:val="center"/>
              <w:rPr>
                <w:rFonts w:ascii="Arial" w:hAnsi="Arial" w:cs="Arial"/>
                <w:color w:val="000000"/>
                <w:sz w:val="20"/>
                <w:szCs w:val="20"/>
              </w:rPr>
            </w:pPr>
            <w:r w:rsidRPr="00AE066F">
              <w:t>6.296</w:t>
            </w:r>
          </w:p>
        </w:tc>
        <w:tc>
          <w:tcPr>
            <w:tcW w:w="810" w:type="dxa"/>
            <w:tcBorders>
              <w:top w:val="single" w:sz="4" w:space="0" w:color="000000"/>
              <w:left w:val="single" w:sz="4" w:space="0" w:color="000000"/>
              <w:bottom w:val="single" w:sz="4" w:space="0" w:color="000000"/>
              <w:right w:val="single" w:sz="4" w:space="0" w:color="000000"/>
            </w:tcBorders>
          </w:tcPr>
          <w:p w14:paraId="7EB92EFA" w14:textId="77777777" w:rsidR="005C45CB" w:rsidRPr="00AE066F" w:rsidRDefault="00000000">
            <w:pPr>
              <w:spacing w:after="0" w:line="240" w:lineRule="auto"/>
              <w:jc w:val="center"/>
              <w:rPr>
                <w:rFonts w:ascii="Arial" w:hAnsi="Arial" w:cs="Arial"/>
                <w:color w:val="000000"/>
                <w:sz w:val="20"/>
                <w:szCs w:val="20"/>
              </w:rPr>
            </w:pPr>
            <w:r w:rsidRPr="00AE066F">
              <w:t>1.223</w:t>
            </w:r>
          </w:p>
        </w:tc>
        <w:tc>
          <w:tcPr>
            <w:tcW w:w="900" w:type="dxa"/>
            <w:tcBorders>
              <w:top w:val="single" w:sz="4" w:space="0" w:color="000000"/>
              <w:left w:val="single" w:sz="4" w:space="0" w:color="000000"/>
              <w:bottom w:val="single" w:sz="4" w:space="0" w:color="000000"/>
              <w:right w:val="single" w:sz="4" w:space="0" w:color="000000"/>
            </w:tcBorders>
          </w:tcPr>
          <w:p w14:paraId="214C375D" w14:textId="77777777" w:rsidR="005C45CB" w:rsidRPr="00AE066F" w:rsidRDefault="00000000">
            <w:pPr>
              <w:spacing w:after="0" w:line="240" w:lineRule="auto"/>
              <w:jc w:val="center"/>
              <w:rPr>
                <w:rFonts w:ascii="Arial" w:hAnsi="Arial" w:cs="Arial"/>
                <w:color w:val="000000"/>
                <w:sz w:val="20"/>
                <w:szCs w:val="20"/>
              </w:rPr>
            </w:pPr>
            <w:r w:rsidRPr="00AE066F">
              <w:t>44.983</w:t>
            </w:r>
          </w:p>
        </w:tc>
      </w:tr>
      <w:tr w:rsidR="005C45CB" w:rsidRPr="00AE066F" w14:paraId="1EB8473D"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5F53495E" w14:textId="77777777" w:rsidR="005C45CB" w:rsidRPr="00AE066F" w:rsidRDefault="00000000">
            <w:pPr>
              <w:spacing w:after="0" w:line="240" w:lineRule="auto"/>
              <w:rPr>
                <w:rFonts w:ascii="Arial" w:hAnsi="Arial" w:cs="Arial"/>
                <w:color w:val="000000"/>
                <w:sz w:val="20"/>
                <w:szCs w:val="20"/>
              </w:rPr>
            </w:pPr>
            <w:r w:rsidRPr="00AE066F">
              <w:t>2</w:t>
            </w:r>
          </w:p>
        </w:tc>
        <w:tc>
          <w:tcPr>
            <w:tcW w:w="903" w:type="dxa"/>
            <w:tcBorders>
              <w:top w:val="single" w:sz="4" w:space="0" w:color="000000"/>
              <w:left w:val="single" w:sz="4" w:space="0" w:color="000000"/>
              <w:bottom w:val="single" w:sz="4" w:space="0" w:color="000000"/>
              <w:right w:val="single" w:sz="4" w:space="0" w:color="000000"/>
            </w:tcBorders>
          </w:tcPr>
          <w:p w14:paraId="19327298" w14:textId="77777777" w:rsidR="005C45CB" w:rsidRPr="00AE066F" w:rsidRDefault="00000000">
            <w:pPr>
              <w:spacing w:after="0" w:line="240" w:lineRule="auto"/>
              <w:jc w:val="center"/>
              <w:rPr>
                <w:rFonts w:ascii="Arial" w:hAnsi="Arial" w:cs="Arial"/>
                <w:color w:val="000000"/>
                <w:sz w:val="20"/>
                <w:szCs w:val="20"/>
              </w:rPr>
            </w:pPr>
            <w:r w:rsidRPr="00AE066F">
              <w:t>0.385</w:t>
            </w:r>
          </w:p>
        </w:tc>
        <w:tc>
          <w:tcPr>
            <w:tcW w:w="990" w:type="dxa"/>
            <w:tcBorders>
              <w:top w:val="single" w:sz="4" w:space="0" w:color="000000"/>
              <w:left w:val="single" w:sz="4" w:space="0" w:color="000000"/>
              <w:bottom w:val="single" w:sz="4" w:space="0" w:color="000000"/>
              <w:right w:val="single" w:sz="4" w:space="0" w:color="000000"/>
            </w:tcBorders>
          </w:tcPr>
          <w:p w14:paraId="3F62E3B9" w14:textId="77777777" w:rsidR="005C45CB" w:rsidRPr="00AE066F" w:rsidRDefault="00000000">
            <w:pPr>
              <w:spacing w:after="0" w:line="240" w:lineRule="auto"/>
              <w:jc w:val="center"/>
              <w:rPr>
                <w:rFonts w:ascii="Arial" w:hAnsi="Arial" w:cs="Arial"/>
                <w:color w:val="000000"/>
                <w:sz w:val="20"/>
                <w:szCs w:val="20"/>
              </w:rPr>
            </w:pPr>
            <w:r w:rsidRPr="00AE066F">
              <w:t>0.385</w:t>
            </w:r>
          </w:p>
        </w:tc>
        <w:tc>
          <w:tcPr>
            <w:tcW w:w="810" w:type="dxa"/>
            <w:tcBorders>
              <w:top w:val="single" w:sz="4" w:space="0" w:color="000000"/>
              <w:left w:val="single" w:sz="4" w:space="0" w:color="000000"/>
              <w:bottom w:val="single" w:sz="4" w:space="0" w:color="000000"/>
              <w:right w:val="single" w:sz="4" w:space="0" w:color="000000"/>
            </w:tcBorders>
          </w:tcPr>
          <w:p w14:paraId="4FC6F404" w14:textId="77777777" w:rsidR="005C45CB" w:rsidRPr="00AE066F" w:rsidRDefault="00000000">
            <w:pPr>
              <w:spacing w:after="0" w:line="240" w:lineRule="auto"/>
              <w:jc w:val="center"/>
              <w:rPr>
                <w:rFonts w:ascii="Arial" w:hAnsi="Arial" w:cs="Arial"/>
                <w:color w:val="000000"/>
                <w:sz w:val="20"/>
                <w:szCs w:val="20"/>
              </w:rPr>
            </w:pPr>
            <w:r w:rsidRPr="00AE066F">
              <w:t>0.77</w:t>
            </w:r>
          </w:p>
        </w:tc>
        <w:tc>
          <w:tcPr>
            <w:tcW w:w="990" w:type="dxa"/>
            <w:tcBorders>
              <w:top w:val="single" w:sz="4" w:space="0" w:color="000000"/>
              <w:left w:val="single" w:sz="4" w:space="0" w:color="000000"/>
              <w:bottom w:val="single" w:sz="4" w:space="0" w:color="000000"/>
              <w:right w:val="single" w:sz="4" w:space="0" w:color="000000"/>
            </w:tcBorders>
          </w:tcPr>
          <w:p w14:paraId="1E8C260E" w14:textId="77777777" w:rsidR="005C45CB" w:rsidRPr="00AE066F" w:rsidRDefault="00000000">
            <w:pPr>
              <w:spacing w:after="0" w:line="240" w:lineRule="auto"/>
              <w:jc w:val="center"/>
              <w:rPr>
                <w:rFonts w:ascii="Arial" w:hAnsi="Arial" w:cs="Arial"/>
                <w:color w:val="000000"/>
                <w:sz w:val="20"/>
                <w:szCs w:val="20"/>
              </w:rPr>
            </w:pPr>
            <w:r w:rsidRPr="00AE066F">
              <w:t>0.385</w:t>
            </w:r>
          </w:p>
        </w:tc>
        <w:tc>
          <w:tcPr>
            <w:tcW w:w="900" w:type="dxa"/>
            <w:tcBorders>
              <w:top w:val="single" w:sz="4" w:space="0" w:color="000000"/>
              <w:left w:val="single" w:sz="4" w:space="0" w:color="000000"/>
              <w:bottom w:val="single" w:sz="4" w:space="0" w:color="000000"/>
              <w:right w:val="single" w:sz="4" w:space="0" w:color="000000"/>
            </w:tcBorders>
          </w:tcPr>
          <w:p w14:paraId="019CB072" w14:textId="77777777" w:rsidR="005C45CB" w:rsidRPr="00AE066F" w:rsidRDefault="00000000">
            <w:pPr>
              <w:spacing w:after="0" w:line="240" w:lineRule="auto"/>
              <w:jc w:val="center"/>
              <w:rPr>
                <w:rFonts w:ascii="Arial" w:hAnsi="Arial" w:cs="Arial"/>
                <w:color w:val="000000"/>
                <w:sz w:val="20"/>
                <w:szCs w:val="20"/>
              </w:rPr>
            </w:pPr>
            <w:r w:rsidRPr="00AE066F">
              <w:t>5.466</w:t>
            </w:r>
          </w:p>
        </w:tc>
        <w:tc>
          <w:tcPr>
            <w:tcW w:w="810" w:type="dxa"/>
            <w:tcBorders>
              <w:top w:val="single" w:sz="4" w:space="0" w:color="000000"/>
              <w:left w:val="single" w:sz="4" w:space="0" w:color="000000"/>
              <w:bottom w:val="single" w:sz="4" w:space="0" w:color="000000"/>
              <w:right w:val="single" w:sz="4" w:space="0" w:color="000000"/>
            </w:tcBorders>
          </w:tcPr>
          <w:p w14:paraId="7329B238" w14:textId="77777777" w:rsidR="005C45CB" w:rsidRPr="00AE066F" w:rsidRDefault="00000000">
            <w:pPr>
              <w:spacing w:after="0" w:line="240" w:lineRule="auto"/>
              <w:jc w:val="center"/>
              <w:rPr>
                <w:rFonts w:ascii="Arial" w:hAnsi="Arial" w:cs="Arial"/>
                <w:color w:val="000000"/>
                <w:sz w:val="20"/>
                <w:szCs w:val="20"/>
              </w:rPr>
            </w:pPr>
            <w:r w:rsidRPr="00AE066F">
              <w:t>1.000</w:t>
            </w:r>
          </w:p>
        </w:tc>
        <w:tc>
          <w:tcPr>
            <w:tcW w:w="900" w:type="dxa"/>
            <w:tcBorders>
              <w:top w:val="single" w:sz="4" w:space="0" w:color="000000"/>
              <w:left w:val="single" w:sz="4" w:space="0" w:color="000000"/>
              <w:bottom w:val="single" w:sz="4" w:space="0" w:color="000000"/>
              <w:right w:val="single" w:sz="4" w:space="0" w:color="000000"/>
            </w:tcBorders>
          </w:tcPr>
          <w:p w14:paraId="21A70003" w14:textId="77777777" w:rsidR="005C45CB" w:rsidRPr="00AE066F" w:rsidRDefault="00000000">
            <w:pPr>
              <w:spacing w:after="0" w:line="240" w:lineRule="auto"/>
              <w:jc w:val="center"/>
              <w:rPr>
                <w:rFonts w:ascii="Arial" w:hAnsi="Arial" w:cs="Arial"/>
                <w:color w:val="000000"/>
                <w:sz w:val="20"/>
                <w:szCs w:val="20"/>
              </w:rPr>
            </w:pPr>
            <w:r w:rsidRPr="00AE066F">
              <w:t>50.000</w:t>
            </w:r>
          </w:p>
        </w:tc>
      </w:tr>
      <w:tr w:rsidR="005C45CB" w:rsidRPr="00AE066F" w14:paraId="6DE14FA6"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1E91A1F7" w14:textId="77777777" w:rsidR="005C45CB" w:rsidRPr="00AE066F" w:rsidRDefault="00000000">
            <w:pPr>
              <w:spacing w:after="0" w:line="240" w:lineRule="auto"/>
              <w:rPr>
                <w:rFonts w:ascii="Arial" w:hAnsi="Arial" w:cs="Arial"/>
                <w:color w:val="000000"/>
                <w:sz w:val="20"/>
                <w:szCs w:val="20"/>
              </w:rPr>
            </w:pPr>
            <w:r w:rsidRPr="00AE066F">
              <w:lastRenderedPageBreak/>
              <w:t>3</w:t>
            </w:r>
          </w:p>
        </w:tc>
        <w:tc>
          <w:tcPr>
            <w:tcW w:w="903" w:type="dxa"/>
            <w:tcBorders>
              <w:top w:val="single" w:sz="4" w:space="0" w:color="000000"/>
              <w:left w:val="single" w:sz="4" w:space="0" w:color="000000"/>
              <w:bottom w:val="single" w:sz="4" w:space="0" w:color="000000"/>
              <w:right w:val="single" w:sz="4" w:space="0" w:color="000000"/>
            </w:tcBorders>
          </w:tcPr>
          <w:p w14:paraId="53FF3A0D"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tcPr>
          <w:p w14:paraId="0162DCD8" w14:textId="77777777" w:rsidR="005C45CB" w:rsidRPr="00AE066F" w:rsidRDefault="00000000">
            <w:pPr>
              <w:spacing w:after="0" w:line="240" w:lineRule="auto"/>
              <w:jc w:val="center"/>
              <w:rPr>
                <w:rFonts w:ascii="Arial" w:hAnsi="Arial" w:cs="Arial"/>
                <w:color w:val="000000"/>
                <w:sz w:val="20"/>
                <w:szCs w:val="20"/>
              </w:rPr>
            </w:pPr>
            <w:r w:rsidRPr="00AE066F">
              <w:t>0.214</w:t>
            </w:r>
          </w:p>
        </w:tc>
        <w:tc>
          <w:tcPr>
            <w:tcW w:w="810" w:type="dxa"/>
            <w:tcBorders>
              <w:top w:val="single" w:sz="4" w:space="0" w:color="000000"/>
              <w:left w:val="single" w:sz="4" w:space="0" w:color="000000"/>
              <w:bottom w:val="single" w:sz="4" w:space="0" w:color="000000"/>
              <w:right w:val="single" w:sz="4" w:space="0" w:color="000000"/>
            </w:tcBorders>
          </w:tcPr>
          <w:p w14:paraId="48BEEEF5"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tcPr>
          <w:p w14:paraId="5FE21873" w14:textId="77777777" w:rsidR="005C45CB" w:rsidRPr="00AE066F" w:rsidRDefault="00000000">
            <w:pPr>
              <w:spacing w:after="0" w:line="240" w:lineRule="auto"/>
              <w:jc w:val="center"/>
              <w:rPr>
                <w:rFonts w:ascii="Arial" w:hAnsi="Arial" w:cs="Arial"/>
                <w:color w:val="000000"/>
                <w:sz w:val="20"/>
                <w:szCs w:val="20"/>
              </w:rPr>
            </w:pPr>
            <w:r w:rsidRPr="00AE066F">
              <w:t>0.3205</w:t>
            </w:r>
          </w:p>
        </w:tc>
        <w:tc>
          <w:tcPr>
            <w:tcW w:w="900" w:type="dxa"/>
            <w:tcBorders>
              <w:top w:val="single" w:sz="4" w:space="0" w:color="000000"/>
              <w:left w:val="single" w:sz="4" w:space="0" w:color="000000"/>
              <w:bottom w:val="single" w:sz="4" w:space="0" w:color="000000"/>
              <w:right w:val="single" w:sz="4" w:space="0" w:color="000000"/>
            </w:tcBorders>
          </w:tcPr>
          <w:p w14:paraId="7FD0EB36" w14:textId="77777777" w:rsidR="005C45CB" w:rsidRPr="00AE066F" w:rsidRDefault="00000000">
            <w:pPr>
              <w:spacing w:after="0" w:line="240" w:lineRule="auto"/>
              <w:jc w:val="center"/>
              <w:rPr>
                <w:rFonts w:ascii="Arial" w:hAnsi="Arial" w:cs="Arial"/>
                <w:color w:val="000000"/>
                <w:sz w:val="20"/>
                <w:szCs w:val="20"/>
              </w:rPr>
            </w:pPr>
            <w:r w:rsidRPr="00AE066F">
              <w:t>4.550</w:t>
            </w:r>
          </w:p>
        </w:tc>
        <w:tc>
          <w:tcPr>
            <w:tcW w:w="810" w:type="dxa"/>
            <w:tcBorders>
              <w:top w:val="single" w:sz="4" w:space="0" w:color="000000"/>
              <w:left w:val="single" w:sz="4" w:space="0" w:color="000000"/>
              <w:bottom w:val="single" w:sz="4" w:space="0" w:color="000000"/>
              <w:right w:val="single" w:sz="4" w:space="0" w:color="000000"/>
            </w:tcBorders>
          </w:tcPr>
          <w:p w14:paraId="0CDC64FD" w14:textId="77777777" w:rsidR="005C45CB" w:rsidRPr="00AE066F" w:rsidRDefault="00000000">
            <w:pPr>
              <w:spacing w:after="0" w:line="240" w:lineRule="auto"/>
              <w:jc w:val="center"/>
              <w:rPr>
                <w:rFonts w:ascii="Arial" w:hAnsi="Arial" w:cs="Arial"/>
                <w:color w:val="000000"/>
                <w:sz w:val="20"/>
                <w:szCs w:val="20"/>
              </w:rPr>
            </w:pPr>
            <w:r w:rsidRPr="00AE066F">
              <w:t>1.995</w:t>
            </w:r>
          </w:p>
        </w:tc>
        <w:tc>
          <w:tcPr>
            <w:tcW w:w="900" w:type="dxa"/>
            <w:tcBorders>
              <w:top w:val="single" w:sz="4" w:space="0" w:color="000000"/>
              <w:left w:val="single" w:sz="4" w:space="0" w:color="000000"/>
              <w:bottom w:val="single" w:sz="4" w:space="0" w:color="000000"/>
              <w:right w:val="single" w:sz="4" w:space="0" w:color="000000"/>
            </w:tcBorders>
          </w:tcPr>
          <w:p w14:paraId="7E1B06D0" w14:textId="77777777" w:rsidR="005C45CB" w:rsidRPr="00AE066F" w:rsidRDefault="00000000">
            <w:pPr>
              <w:spacing w:after="0" w:line="240" w:lineRule="auto"/>
              <w:jc w:val="center"/>
              <w:rPr>
                <w:rFonts w:ascii="Arial" w:hAnsi="Arial" w:cs="Arial"/>
                <w:color w:val="000000"/>
                <w:sz w:val="20"/>
                <w:szCs w:val="20"/>
              </w:rPr>
            </w:pPr>
            <w:r w:rsidRPr="00AE066F">
              <w:t>33.385</w:t>
            </w:r>
          </w:p>
        </w:tc>
      </w:tr>
      <w:tr w:rsidR="005C45CB" w:rsidRPr="00AE066F" w14:paraId="5F5FB0E2"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77B97755" w14:textId="77777777" w:rsidR="005C45CB" w:rsidRPr="00AE066F" w:rsidRDefault="00000000">
            <w:pPr>
              <w:spacing w:after="0" w:line="240" w:lineRule="auto"/>
              <w:rPr>
                <w:rFonts w:ascii="Arial" w:hAnsi="Arial" w:cs="Arial"/>
                <w:color w:val="000000"/>
                <w:sz w:val="20"/>
                <w:szCs w:val="20"/>
              </w:rPr>
            </w:pPr>
            <w:r w:rsidRPr="00AE066F">
              <w:t>4</w:t>
            </w:r>
          </w:p>
        </w:tc>
        <w:tc>
          <w:tcPr>
            <w:tcW w:w="903" w:type="dxa"/>
            <w:tcBorders>
              <w:top w:val="single" w:sz="4" w:space="0" w:color="000000"/>
              <w:left w:val="single" w:sz="4" w:space="0" w:color="000000"/>
              <w:bottom w:val="single" w:sz="4" w:space="0" w:color="000000"/>
              <w:right w:val="single" w:sz="4" w:space="0" w:color="000000"/>
            </w:tcBorders>
          </w:tcPr>
          <w:p w14:paraId="2123E49A"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tcPr>
          <w:p w14:paraId="7905B0FF" w14:textId="77777777" w:rsidR="005C45CB" w:rsidRPr="00AE066F" w:rsidRDefault="00000000">
            <w:pPr>
              <w:spacing w:after="0" w:line="240" w:lineRule="auto"/>
              <w:jc w:val="center"/>
              <w:rPr>
                <w:rFonts w:ascii="Arial" w:hAnsi="Arial" w:cs="Arial"/>
                <w:color w:val="000000"/>
                <w:sz w:val="20"/>
                <w:szCs w:val="20"/>
              </w:rPr>
            </w:pPr>
            <w:r w:rsidRPr="00AE066F">
              <w:t>0.214</w:t>
            </w:r>
          </w:p>
        </w:tc>
        <w:tc>
          <w:tcPr>
            <w:tcW w:w="810" w:type="dxa"/>
            <w:tcBorders>
              <w:top w:val="single" w:sz="4" w:space="0" w:color="000000"/>
              <w:left w:val="single" w:sz="4" w:space="0" w:color="000000"/>
              <w:bottom w:val="single" w:sz="4" w:space="0" w:color="000000"/>
              <w:right w:val="single" w:sz="4" w:space="0" w:color="000000"/>
            </w:tcBorders>
          </w:tcPr>
          <w:p w14:paraId="6A642AA8"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tcPr>
          <w:p w14:paraId="1FC57155" w14:textId="77777777" w:rsidR="005C45CB" w:rsidRPr="00AE066F" w:rsidRDefault="00000000">
            <w:pPr>
              <w:spacing w:after="0" w:line="240" w:lineRule="auto"/>
              <w:jc w:val="center"/>
              <w:rPr>
                <w:rFonts w:ascii="Arial" w:hAnsi="Arial" w:cs="Arial"/>
                <w:color w:val="000000"/>
                <w:sz w:val="20"/>
                <w:szCs w:val="20"/>
              </w:rPr>
            </w:pPr>
            <w:r w:rsidRPr="00AE066F">
              <w:t>0.3205</w:t>
            </w:r>
          </w:p>
        </w:tc>
        <w:tc>
          <w:tcPr>
            <w:tcW w:w="900" w:type="dxa"/>
            <w:tcBorders>
              <w:top w:val="single" w:sz="4" w:space="0" w:color="000000"/>
              <w:left w:val="single" w:sz="4" w:space="0" w:color="000000"/>
              <w:bottom w:val="single" w:sz="4" w:space="0" w:color="000000"/>
              <w:right w:val="single" w:sz="4" w:space="0" w:color="000000"/>
            </w:tcBorders>
          </w:tcPr>
          <w:p w14:paraId="74999ED8" w14:textId="77777777" w:rsidR="005C45CB" w:rsidRPr="00AE066F" w:rsidRDefault="00000000">
            <w:pPr>
              <w:spacing w:after="0" w:line="240" w:lineRule="auto"/>
              <w:jc w:val="center"/>
              <w:rPr>
                <w:rFonts w:ascii="Arial" w:hAnsi="Arial" w:cs="Arial"/>
                <w:color w:val="000000"/>
                <w:sz w:val="20"/>
                <w:szCs w:val="20"/>
              </w:rPr>
            </w:pPr>
            <w:r w:rsidRPr="00AE066F">
              <w:t>4.550</w:t>
            </w:r>
          </w:p>
        </w:tc>
        <w:tc>
          <w:tcPr>
            <w:tcW w:w="810" w:type="dxa"/>
            <w:tcBorders>
              <w:top w:val="single" w:sz="4" w:space="0" w:color="000000"/>
              <w:left w:val="single" w:sz="4" w:space="0" w:color="000000"/>
              <w:bottom w:val="single" w:sz="4" w:space="0" w:color="000000"/>
              <w:right w:val="single" w:sz="4" w:space="0" w:color="000000"/>
            </w:tcBorders>
          </w:tcPr>
          <w:p w14:paraId="446FC3EC" w14:textId="77777777" w:rsidR="005C45CB" w:rsidRPr="00AE066F" w:rsidRDefault="00000000">
            <w:pPr>
              <w:spacing w:after="0" w:line="240" w:lineRule="auto"/>
              <w:jc w:val="center"/>
              <w:rPr>
                <w:rFonts w:ascii="Arial" w:hAnsi="Arial" w:cs="Arial"/>
                <w:color w:val="000000"/>
                <w:sz w:val="20"/>
                <w:szCs w:val="20"/>
              </w:rPr>
            </w:pPr>
            <w:r w:rsidRPr="00AE066F">
              <w:t>1.995</w:t>
            </w:r>
          </w:p>
        </w:tc>
        <w:tc>
          <w:tcPr>
            <w:tcW w:w="900" w:type="dxa"/>
            <w:tcBorders>
              <w:top w:val="single" w:sz="4" w:space="0" w:color="000000"/>
              <w:left w:val="single" w:sz="4" w:space="0" w:color="000000"/>
              <w:bottom w:val="single" w:sz="4" w:space="0" w:color="000000"/>
              <w:right w:val="single" w:sz="4" w:space="0" w:color="000000"/>
            </w:tcBorders>
          </w:tcPr>
          <w:p w14:paraId="0EBC0D87" w14:textId="77777777" w:rsidR="005C45CB" w:rsidRPr="00AE066F" w:rsidRDefault="00000000">
            <w:pPr>
              <w:spacing w:after="0" w:line="240" w:lineRule="auto"/>
              <w:jc w:val="center"/>
              <w:rPr>
                <w:rFonts w:ascii="Arial" w:hAnsi="Arial" w:cs="Arial"/>
                <w:color w:val="000000"/>
                <w:sz w:val="20"/>
                <w:szCs w:val="20"/>
              </w:rPr>
            </w:pPr>
            <w:r w:rsidRPr="00AE066F">
              <w:t>33.385</w:t>
            </w:r>
          </w:p>
        </w:tc>
      </w:tr>
      <w:tr w:rsidR="005C45CB" w:rsidRPr="00AE066F" w14:paraId="773D7080"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7511BAD2" w14:textId="77777777" w:rsidR="005C45CB" w:rsidRPr="00AE066F" w:rsidRDefault="00000000">
            <w:pPr>
              <w:spacing w:after="0" w:line="240" w:lineRule="auto"/>
              <w:rPr>
                <w:rFonts w:ascii="Arial" w:hAnsi="Arial" w:cs="Arial"/>
                <w:color w:val="000000"/>
                <w:sz w:val="20"/>
                <w:szCs w:val="20"/>
              </w:rPr>
            </w:pPr>
            <w:r w:rsidRPr="00AE066F">
              <w:t>5</w:t>
            </w:r>
          </w:p>
        </w:tc>
        <w:tc>
          <w:tcPr>
            <w:tcW w:w="903" w:type="dxa"/>
            <w:tcBorders>
              <w:top w:val="single" w:sz="4" w:space="0" w:color="000000"/>
              <w:left w:val="single" w:sz="4" w:space="0" w:color="000000"/>
              <w:bottom w:val="single" w:sz="4" w:space="0" w:color="000000"/>
              <w:right w:val="single" w:sz="4" w:space="0" w:color="000000"/>
            </w:tcBorders>
          </w:tcPr>
          <w:p w14:paraId="4438F9A2" w14:textId="77777777" w:rsidR="005C45CB" w:rsidRPr="00AE066F" w:rsidRDefault="00000000">
            <w:pPr>
              <w:spacing w:after="0" w:line="240" w:lineRule="auto"/>
              <w:jc w:val="center"/>
              <w:rPr>
                <w:rFonts w:ascii="Arial" w:hAnsi="Arial" w:cs="Arial"/>
                <w:color w:val="000000"/>
                <w:sz w:val="20"/>
                <w:szCs w:val="20"/>
              </w:rPr>
            </w:pPr>
            <w:r w:rsidRPr="00AE066F">
              <w:t>0.385</w:t>
            </w:r>
          </w:p>
        </w:tc>
        <w:tc>
          <w:tcPr>
            <w:tcW w:w="990" w:type="dxa"/>
            <w:tcBorders>
              <w:top w:val="single" w:sz="4" w:space="0" w:color="000000"/>
              <w:left w:val="single" w:sz="4" w:space="0" w:color="000000"/>
              <w:bottom w:val="single" w:sz="4" w:space="0" w:color="000000"/>
              <w:right w:val="single" w:sz="4" w:space="0" w:color="000000"/>
            </w:tcBorders>
          </w:tcPr>
          <w:p w14:paraId="58CD92B1"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61817E25"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tcPr>
          <w:p w14:paraId="3FD13638" w14:textId="77777777" w:rsidR="005C45CB" w:rsidRPr="00AE066F" w:rsidRDefault="00000000">
            <w:pPr>
              <w:spacing w:after="0" w:line="240" w:lineRule="auto"/>
              <w:jc w:val="center"/>
              <w:rPr>
                <w:rFonts w:ascii="Arial" w:hAnsi="Arial" w:cs="Arial"/>
                <w:color w:val="000000"/>
                <w:sz w:val="20"/>
                <w:szCs w:val="20"/>
              </w:rPr>
            </w:pPr>
            <w:r w:rsidRPr="00AE066F">
              <w:t>0.3205</w:t>
            </w:r>
          </w:p>
        </w:tc>
        <w:tc>
          <w:tcPr>
            <w:tcW w:w="900" w:type="dxa"/>
            <w:tcBorders>
              <w:top w:val="single" w:sz="4" w:space="0" w:color="000000"/>
              <w:left w:val="single" w:sz="4" w:space="0" w:color="000000"/>
              <w:bottom w:val="single" w:sz="4" w:space="0" w:color="000000"/>
              <w:right w:val="single" w:sz="4" w:space="0" w:color="000000"/>
            </w:tcBorders>
          </w:tcPr>
          <w:p w14:paraId="5819E7F2" w14:textId="77777777" w:rsidR="005C45CB" w:rsidRPr="00AE066F" w:rsidRDefault="00000000">
            <w:pPr>
              <w:spacing w:after="0" w:line="240" w:lineRule="auto"/>
              <w:jc w:val="center"/>
              <w:rPr>
                <w:rFonts w:ascii="Arial" w:hAnsi="Arial" w:cs="Arial"/>
                <w:color w:val="000000"/>
                <w:sz w:val="20"/>
                <w:szCs w:val="20"/>
              </w:rPr>
            </w:pPr>
            <w:r w:rsidRPr="00AE066F">
              <w:t>4.550</w:t>
            </w:r>
          </w:p>
        </w:tc>
        <w:tc>
          <w:tcPr>
            <w:tcW w:w="810" w:type="dxa"/>
            <w:tcBorders>
              <w:top w:val="single" w:sz="4" w:space="0" w:color="000000"/>
              <w:left w:val="single" w:sz="4" w:space="0" w:color="000000"/>
              <w:bottom w:val="single" w:sz="4" w:space="0" w:color="000000"/>
              <w:right w:val="single" w:sz="4" w:space="0" w:color="000000"/>
            </w:tcBorders>
          </w:tcPr>
          <w:p w14:paraId="74E41470" w14:textId="77777777" w:rsidR="005C45CB" w:rsidRPr="00AE066F" w:rsidRDefault="00000000">
            <w:pPr>
              <w:spacing w:after="0" w:line="240" w:lineRule="auto"/>
              <w:jc w:val="center"/>
              <w:rPr>
                <w:rFonts w:ascii="Arial" w:hAnsi="Arial" w:cs="Arial"/>
                <w:color w:val="000000"/>
                <w:sz w:val="20"/>
                <w:szCs w:val="20"/>
              </w:rPr>
            </w:pPr>
            <w:r w:rsidRPr="00AE066F">
              <w:t>1.504</w:t>
            </w:r>
          </w:p>
        </w:tc>
        <w:tc>
          <w:tcPr>
            <w:tcW w:w="900" w:type="dxa"/>
            <w:tcBorders>
              <w:top w:val="single" w:sz="4" w:space="0" w:color="000000"/>
              <w:left w:val="single" w:sz="4" w:space="0" w:color="000000"/>
              <w:bottom w:val="single" w:sz="4" w:space="0" w:color="000000"/>
              <w:right w:val="single" w:sz="4" w:space="0" w:color="000000"/>
            </w:tcBorders>
          </w:tcPr>
          <w:p w14:paraId="6CF1119C" w14:textId="77777777" w:rsidR="005C45CB" w:rsidRPr="00AE066F" w:rsidRDefault="00000000">
            <w:pPr>
              <w:spacing w:after="0" w:line="240" w:lineRule="auto"/>
              <w:jc w:val="center"/>
              <w:rPr>
                <w:rFonts w:ascii="Arial" w:hAnsi="Arial" w:cs="Arial"/>
                <w:color w:val="000000"/>
                <w:sz w:val="20"/>
                <w:szCs w:val="20"/>
              </w:rPr>
            </w:pPr>
            <w:r w:rsidRPr="00AE066F">
              <w:t>39.938</w:t>
            </w:r>
          </w:p>
        </w:tc>
      </w:tr>
      <w:tr w:rsidR="005C45CB" w:rsidRPr="00AE066F" w14:paraId="3D2B7D4D"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0B11CED2" w14:textId="77777777" w:rsidR="005C45CB" w:rsidRPr="00AE066F" w:rsidRDefault="00000000">
            <w:pPr>
              <w:spacing w:after="0" w:line="240" w:lineRule="auto"/>
              <w:rPr>
                <w:rFonts w:ascii="Arial" w:hAnsi="Arial" w:cs="Arial"/>
                <w:color w:val="000000"/>
                <w:sz w:val="20"/>
                <w:szCs w:val="20"/>
              </w:rPr>
            </w:pPr>
            <w:r w:rsidRPr="00AE066F">
              <w:t>6</w:t>
            </w:r>
          </w:p>
        </w:tc>
        <w:tc>
          <w:tcPr>
            <w:tcW w:w="903" w:type="dxa"/>
            <w:tcBorders>
              <w:top w:val="single" w:sz="4" w:space="0" w:color="000000"/>
              <w:left w:val="single" w:sz="4" w:space="0" w:color="000000"/>
              <w:bottom w:val="single" w:sz="4" w:space="0" w:color="000000"/>
              <w:right w:val="single" w:sz="4" w:space="0" w:color="000000"/>
            </w:tcBorders>
          </w:tcPr>
          <w:p w14:paraId="45380C8E" w14:textId="77777777" w:rsidR="005C45CB" w:rsidRPr="00AE066F" w:rsidRDefault="00000000">
            <w:pPr>
              <w:spacing w:after="0" w:line="240" w:lineRule="auto"/>
              <w:jc w:val="center"/>
              <w:rPr>
                <w:rFonts w:ascii="Arial" w:hAnsi="Arial" w:cs="Arial"/>
                <w:color w:val="000000"/>
                <w:sz w:val="20"/>
                <w:szCs w:val="20"/>
              </w:rPr>
            </w:pPr>
            <w:r w:rsidRPr="00AE066F">
              <w:t>0.385</w:t>
            </w:r>
          </w:p>
        </w:tc>
        <w:tc>
          <w:tcPr>
            <w:tcW w:w="990" w:type="dxa"/>
            <w:tcBorders>
              <w:top w:val="single" w:sz="4" w:space="0" w:color="000000"/>
              <w:left w:val="single" w:sz="4" w:space="0" w:color="000000"/>
              <w:bottom w:val="single" w:sz="4" w:space="0" w:color="000000"/>
              <w:right w:val="single" w:sz="4" w:space="0" w:color="000000"/>
            </w:tcBorders>
          </w:tcPr>
          <w:p w14:paraId="12467B41"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34F33405"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tcPr>
          <w:p w14:paraId="711F81A0" w14:textId="77777777" w:rsidR="005C45CB" w:rsidRPr="00AE066F" w:rsidRDefault="00000000">
            <w:pPr>
              <w:spacing w:after="0" w:line="240" w:lineRule="auto"/>
              <w:jc w:val="center"/>
              <w:rPr>
                <w:rFonts w:ascii="Arial" w:hAnsi="Arial" w:cs="Arial"/>
                <w:color w:val="000000"/>
                <w:sz w:val="20"/>
                <w:szCs w:val="20"/>
              </w:rPr>
            </w:pPr>
            <w:r w:rsidRPr="00AE066F">
              <w:t>0.3205</w:t>
            </w:r>
          </w:p>
        </w:tc>
        <w:tc>
          <w:tcPr>
            <w:tcW w:w="900" w:type="dxa"/>
            <w:tcBorders>
              <w:top w:val="single" w:sz="4" w:space="0" w:color="000000"/>
              <w:left w:val="single" w:sz="4" w:space="0" w:color="000000"/>
              <w:bottom w:val="single" w:sz="4" w:space="0" w:color="000000"/>
              <w:right w:val="single" w:sz="4" w:space="0" w:color="000000"/>
            </w:tcBorders>
          </w:tcPr>
          <w:p w14:paraId="60BCC0D9" w14:textId="77777777" w:rsidR="005C45CB" w:rsidRPr="00AE066F" w:rsidRDefault="00000000">
            <w:pPr>
              <w:spacing w:after="0" w:line="240" w:lineRule="auto"/>
              <w:jc w:val="center"/>
              <w:rPr>
                <w:rFonts w:ascii="Arial" w:hAnsi="Arial" w:cs="Arial"/>
                <w:color w:val="000000"/>
                <w:sz w:val="20"/>
                <w:szCs w:val="20"/>
              </w:rPr>
            </w:pPr>
            <w:r w:rsidRPr="00AE066F">
              <w:t>4.550</w:t>
            </w:r>
          </w:p>
        </w:tc>
        <w:tc>
          <w:tcPr>
            <w:tcW w:w="810" w:type="dxa"/>
            <w:tcBorders>
              <w:top w:val="single" w:sz="4" w:space="0" w:color="000000"/>
              <w:left w:val="single" w:sz="4" w:space="0" w:color="000000"/>
              <w:bottom w:val="single" w:sz="4" w:space="0" w:color="000000"/>
              <w:right w:val="single" w:sz="4" w:space="0" w:color="000000"/>
            </w:tcBorders>
          </w:tcPr>
          <w:p w14:paraId="443F2A0F" w14:textId="77777777" w:rsidR="005C45CB" w:rsidRPr="00AE066F" w:rsidRDefault="00000000">
            <w:pPr>
              <w:spacing w:after="0" w:line="240" w:lineRule="auto"/>
              <w:jc w:val="center"/>
              <w:rPr>
                <w:rFonts w:ascii="Arial" w:hAnsi="Arial" w:cs="Arial"/>
                <w:color w:val="000000"/>
                <w:sz w:val="20"/>
                <w:szCs w:val="20"/>
              </w:rPr>
            </w:pPr>
            <w:r w:rsidRPr="00AE066F">
              <w:t>1.504</w:t>
            </w:r>
          </w:p>
        </w:tc>
        <w:tc>
          <w:tcPr>
            <w:tcW w:w="900" w:type="dxa"/>
            <w:tcBorders>
              <w:top w:val="single" w:sz="4" w:space="0" w:color="000000"/>
              <w:left w:val="single" w:sz="4" w:space="0" w:color="000000"/>
              <w:bottom w:val="single" w:sz="4" w:space="0" w:color="000000"/>
              <w:right w:val="single" w:sz="4" w:space="0" w:color="000000"/>
            </w:tcBorders>
          </w:tcPr>
          <w:p w14:paraId="463D6A80" w14:textId="77777777" w:rsidR="005C45CB" w:rsidRPr="00AE066F" w:rsidRDefault="00000000">
            <w:pPr>
              <w:spacing w:after="0" w:line="240" w:lineRule="auto"/>
              <w:jc w:val="center"/>
              <w:rPr>
                <w:rFonts w:ascii="Arial" w:hAnsi="Arial" w:cs="Arial"/>
                <w:color w:val="000000"/>
                <w:sz w:val="20"/>
                <w:szCs w:val="20"/>
              </w:rPr>
            </w:pPr>
            <w:r w:rsidRPr="00AE066F">
              <w:t>39.938</w:t>
            </w:r>
          </w:p>
        </w:tc>
      </w:tr>
      <w:tr w:rsidR="005C45CB" w:rsidRPr="00AE066F" w14:paraId="29E91440"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4872D3C8" w14:textId="77777777" w:rsidR="005C45CB" w:rsidRPr="00AE066F" w:rsidRDefault="00000000">
            <w:pPr>
              <w:spacing w:after="0" w:line="240" w:lineRule="auto"/>
              <w:rPr>
                <w:rFonts w:ascii="Arial" w:hAnsi="Arial" w:cs="Arial"/>
                <w:color w:val="000000"/>
                <w:sz w:val="20"/>
                <w:szCs w:val="20"/>
              </w:rPr>
            </w:pPr>
            <w:r w:rsidRPr="00AE066F">
              <w:t>7</w:t>
            </w:r>
          </w:p>
        </w:tc>
        <w:tc>
          <w:tcPr>
            <w:tcW w:w="903" w:type="dxa"/>
            <w:tcBorders>
              <w:top w:val="single" w:sz="4" w:space="0" w:color="000000"/>
              <w:left w:val="single" w:sz="4" w:space="0" w:color="000000"/>
              <w:bottom w:val="single" w:sz="4" w:space="0" w:color="000000"/>
              <w:right w:val="single" w:sz="4" w:space="0" w:color="000000"/>
            </w:tcBorders>
          </w:tcPr>
          <w:p w14:paraId="78336D34" w14:textId="77777777" w:rsidR="005C45CB" w:rsidRPr="00AE066F" w:rsidRDefault="00000000">
            <w:pPr>
              <w:spacing w:after="0" w:line="240" w:lineRule="auto"/>
              <w:jc w:val="center"/>
              <w:rPr>
                <w:rFonts w:ascii="Arial" w:hAnsi="Arial" w:cs="Arial"/>
                <w:color w:val="000000"/>
                <w:sz w:val="20"/>
                <w:szCs w:val="20"/>
              </w:rPr>
            </w:pPr>
            <w:r w:rsidRPr="00AE066F">
              <w:t>0.342</w:t>
            </w:r>
          </w:p>
        </w:tc>
        <w:tc>
          <w:tcPr>
            <w:tcW w:w="990" w:type="dxa"/>
            <w:tcBorders>
              <w:top w:val="single" w:sz="4" w:space="0" w:color="000000"/>
              <w:left w:val="single" w:sz="4" w:space="0" w:color="000000"/>
              <w:bottom w:val="single" w:sz="4" w:space="0" w:color="000000"/>
              <w:right w:val="single" w:sz="4" w:space="0" w:color="000000"/>
            </w:tcBorders>
          </w:tcPr>
          <w:p w14:paraId="67F16404"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3296DEAC" w14:textId="77777777" w:rsidR="005C45CB" w:rsidRPr="00AE066F" w:rsidRDefault="00000000">
            <w:pPr>
              <w:spacing w:after="0" w:line="240" w:lineRule="auto"/>
              <w:jc w:val="center"/>
              <w:rPr>
                <w:rFonts w:ascii="Arial" w:hAnsi="Arial" w:cs="Arial"/>
                <w:color w:val="000000"/>
                <w:sz w:val="20"/>
                <w:szCs w:val="20"/>
              </w:rPr>
            </w:pPr>
            <w:r w:rsidRPr="00AE066F">
              <w:t>0.598</w:t>
            </w:r>
          </w:p>
        </w:tc>
        <w:tc>
          <w:tcPr>
            <w:tcW w:w="990" w:type="dxa"/>
            <w:tcBorders>
              <w:top w:val="single" w:sz="4" w:space="0" w:color="000000"/>
              <w:left w:val="single" w:sz="4" w:space="0" w:color="000000"/>
              <w:bottom w:val="single" w:sz="4" w:space="0" w:color="000000"/>
              <w:right w:val="single" w:sz="4" w:space="0" w:color="000000"/>
            </w:tcBorders>
          </w:tcPr>
          <w:p w14:paraId="60E93191"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900" w:type="dxa"/>
            <w:tcBorders>
              <w:top w:val="single" w:sz="4" w:space="0" w:color="000000"/>
              <w:left w:val="single" w:sz="4" w:space="0" w:color="000000"/>
              <w:bottom w:val="single" w:sz="4" w:space="0" w:color="000000"/>
              <w:right w:val="single" w:sz="4" w:space="0" w:color="000000"/>
            </w:tcBorders>
          </w:tcPr>
          <w:p w14:paraId="6D1F73A5" w14:textId="77777777" w:rsidR="005C45CB" w:rsidRPr="00AE066F" w:rsidRDefault="00000000">
            <w:pPr>
              <w:spacing w:after="0" w:line="240" w:lineRule="auto"/>
              <w:jc w:val="center"/>
              <w:rPr>
                <w:rFonts w:ascii="Arial" w:hAnsi="Arial" w:cs="Arial"/>
                <w:color w:val="000000"/>
                <w:sz w:val="20"/>
                <w:szCs w:val="20"/>
              </w:rPr>
            </w:pPr>
            <w:r w:rsidRPr="00AE066F">
              <w:t>4.245</w:t>
            </w:r>
          </w:p>
        </w:tc>
        <w:tc>
          <w:tcPr>
            <w:tcW w:w="810" w:type="dxa"/>
            <w:tcBorders>
              <w:top w:val="single" w:sz="4" w:space="0" w:color="000000"/>
              <w:left w:val="single" w:sz="4" w:space="0" w:color="000000"/>
              <w:bottom w:val="single" w:sz="4" w:space="0" w:color="000000"/>
              <w:right w:val="single" w:sz="4" w:space="0" w:color="000000"/>
            </w:tcBorders>
          </w:tcPr>
          <w:p w14:paraId="6AA47753" w14:textId="77777777" w:rsidR="005C45CB" w:rsidRPr="00AE066F" w:rsidRDefault="00000000">
            <w:pPr>
              <w:spacing w:after="0" w:line="240" w:lineRule="auto"/>
              <w:jc w:val="center"/>
              <w:rPr>
                <w:rFonts w:ascii="Arial" w:hAnsi="Arial" w:cs="Arial"/>
                <w:color w:val="000000"/>
                <w:sz w:val="20"/>
                <w:szCs w:val="20"/>
              </w:rPr>
            </w:pPr>
            <w:r w:rsidRPr="00AE066F">
              <w:t>1.336</w:t>
            </w:r>
          </w:p>
        </w:tc>
        <w:tc>
          <w:tcPr>
            <w:tcW w:w="900" w:type="dxa"/>
            <w:tcBorders>
              <w:top w:val="single" w:sz="4" w:space="0" w:color="000000"/>
              <w:left w:val="single" w:sz="4" w:space="0" w:color="000000"/>
              <w:bottom w:val="single" w:sz="4" w:space="0" w:color="000000"/>
              <w:right w:val="single" w:sz="4" w:space="0" w:color="000000"/>
            </w:tcBorders>
          </w:tcPr>
          <w:p w14:paraId="4282AB0E" w14:textId="77777777" w:rsidR="005C45CB" w:rsidRPr="00AE066F" w:rsidRDefault="00000000">
            <w:pPr>
              <w:spacing w:after="0" w:line="240" w:lineRule="auto"/>
              <w:jc w:val="center"/>
              <w:rPr>
                <w:rFonts w:ascii="Arial" w:hAnsi="Arial" w:cs="Arial"/>
                <w:color w:val="000000"/>
                <w:sz w:val="20"/>
                <w:szCs w:val="20"/>
              </w:rPr>
            </w:pPr>
            <w:r w:rsidRPr="00AE066F">
              <w:t>42.809</w:t>
            </w:r>
          </w:p>
        </w:tc>
      </w:tr>
      <w:tr w:rsidR="005C45CB" w:rsidRPr="00AE066F" w14:paraId="5B1D9023"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6DBA9EC2" w14:textId="77777777" w:rsidR="005C45CB" w:rsidRPr="00AE066F" w:rsidRDefault="00000000">
            <w:pPr>
              <w:spacing w:after="0" w:line="240" w:lineRule="auto"/>
              <w:rPr>
                <w:rFonts w:ascii="Arial" w:hAnsi="Arial" w:cs="Arial"/>
                <w:color w:val="000000"/>
                <w:sz w:val="20"/>
                <w:szCs w:val="20"/>
              </w:rPr>
            </w:pPr>
            <w:r w:rsidRPr="00AE066F">
              <w:t>8</w:t>
            </w:r>
          </w:p>
        </w:tc>
        <w:tc>
          <w:tcPr>
            <w:tcW w:w="903" w:type="dxa"/>
            <w:tcBorders>
              <w:top w:val="single" w:sz="4" w:space="0" w:color="000000"/>
              <w:left w:val="single" w:sz="4" w:space="0" w:color="000000"/>
              <w:bottom w:val="single" w:sz="4" w:space="0" w:color="000000"/>
              <w:right w:val="single" w:sz="4" w:space="0" w:color="000000"/>
            </w:tcBorders>
          </w:tcPr>
          <w:p w14:paraId="2B696B91"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990" w:type="dxa"/>
            <w:tcBorders>
              <w:top w:val="single" w:sz="4" w:space="0" w:color="000000"/>
              <w:left w:val="single" w:sz="4" w:space="0" w:color="000000"/>
              <w:bottom w:val="single" w:sz="4" w:space="0" w:color="000000"/>
              <w:right w:val="single" w:sz="4" w:space="0" w:color="000000"/>
            </w:tcBorders>
          </w:tcPr>
          <w:p w14:paraId="06507385"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810" w:type="dxa"/>
            <w:tcBorders>
              <w:top w:val="single" w:sz="4" w:space="0" w:color="000000"/>
              <w:left w:val="single" w:sz="4" w:space="0" w:color="000000"/>
              <w:bottom w:val="single" w:sz="4" w:space="0" w:color="000000"/>
              <w:right w:val="single" w:sz="4" w:space="0" w:color="000000"/>
            </w:tcBorders>
          </w:tcPr>
          <w:p w14:paraId="576C60A0" w14:textId="77777777" w:rsidR="005C45CB" w:rsidRPr="00AE066F" w:rsidRDefault="00000000">
            <w:pPr>
              <w:spacing w:after="0" w:line="240" w:lineRule="auto"/>
              <w:jc w:val="center"/>
              <w:rPr>
                <w:rFonts w:ascii="Arial" w:hAnsi="Arial" w:cs="Arial"/>
                <w:color w:val="000000"/>
                <w:sz w:val="20"/>
                <w:szCs w:val="20"/>
              </w:rPr>
            </w:pPr>
            <w:r w:rsidRPr="00AE066F">
              <w:t>0.598</w:t>
            </w:r>
          </w:p>
        </w:tc>
        <w:tc>
          <w:tcPr>
            <w:tcW w:w="990" w:type="dxa"/>
            <w:tcBorders>
              <w:top w:val="single" w:sz="4" w:space="0" w:color="000000"/>
              <w:left w:val="single" w:sz="4" w:space="0" w:color="000000"/>
              <w:bottom w:val="single" w:sz="4" w:space="0" w:color="000000"/>
              <w:right w:val="single" w:sz="4" w:space="0" w:color="000000"/>
            </w:tcBorders>
          </w:tcPr>
          <w:p w14:paraId="73C3B383"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900" w:type="dxa"/>
            <w:tcBorders>
              <w:top w:val="single" w:sz="4" w:space="0" w:color="000000"/>
              <w:left w:val="single" w:sz="4" w:space="0" w:color="000000"/>
              <w:bottom w:val="single" w:sz="4" w:space="0" w:color="000000"/>
              <w:right w:val="single" w:sz="4" w:space="0" w:color="000000"/>
            </w:tcBorders>
          </w:tcPr>
          <w:p w14:paraId="35CA9D2E" w14:textId="77777777" w:rsidR="005C45CB" w:rsidRPr="00AE066F" w:rsidRDefault="00000000">
            <w:pPr>
              <w:spacing w:after="0" w:line="240" w:lineRule="auto"/>
              <w:jc w:val="center"/>
              <w:rPr>
                <w:rFonts w:ascii="Arial" w:hAnsi="Arial" w:cs="Arial"/>
                <w:color w:val="000000"/>
                <w:sz w:val="20"/>
                <w:szCs w:val="20"/>
              </w:rPr>
            </w:pPr>
            <w:r w:rsidRPr="00AE066F">
              <w:t>4.245</w:t>
            </w:r>
          </w:p>
        </w:tc>
        <w:tc>
          <w:tcPr>
            <w:tcW w:w="810" w:type="dxa"/>
            <w:tcBorders>
              <w:top w:val="single" w:sz="4" w:space="0" w:color="000000"/>
              <w:left w:val="single" w:sz="4" w:space="0" w:color="000000"/>
              <w:bottom w:val="single" w:sz="4" w:space="0" w:color="000000"/>
              <w:right w:val="single" w:sz="4" w:space="0" w:color="000000"/>
            </w:tcBorders>
          </w:tcPr>
          <w:p w14:paraId="38FCB977" w14:textId="77777777" w:rsidR="005C45CB" w:rsidRPr="00AE066F" w:rsidRDefault="00000000">
            <w:pPr>
              <w:spacing w:after="0" w:line="240" w:lineRule="auto"/>
              <w:jc w:val="center"/>
              <w:rPr>
                <w:rFonts w:ascii="Arial" w:hAnsi="Arial" w:cs="Arial"/>
                <w:color w:val="000000"/>
                <w:sz w:val="20"/>
                <w:szCs w:val="20"/>
              </w:rPr>
            </w:pPr>
            <w:r w:rsidRPr="00AE066F">
              <w:t>1.000</w:t>
            </w:r>
          </w:p>
        </w:tc>
        <w:tc>
          <w:tcPr>
            <w:tcW w:w="900" w:type="dxa"/>
            <w:tcBorders>
              <w:top w:val="single" w:sz="4" w:space="0" w:color="000000"/>
              <w:left w:val="single" w:sz="4" w:space="0" w:color="000000"/>
              <w:bottom w:val="single" w:sz="4" w:space="0" w:color="000000"/>
              <w:right w:val="single" w:sz="4" w:space="0" w:color="000000"/>
            </w:tcBorders>
          </w:tcPr>
          <w:p w14:paraId="5263D635" w14:textId="77777777" w:rsidR="005C45CB" w:rsidRPr="00AE066F" w:rsidRDefault="00000000">
            <w:pPr>
              <w:spacing w:after="0" w:line="240" w:lineRule="auto"/>
              <w:jc w:val="center"/>
              <w:rPr>
                <w:rFonts w:ascii="Arial" w:hAnsi="Arial" w:cs="Arial"/>
                <w:color w:val="000000"/>
                <w:sz w:val="20"/>
                <w:szCs w:val="20"/>
              </w:rPr>
            </w:pPr>
            <w:r w:rsidRPr="00AE066F">
              <w:t>50.000</w:t>
            </w:r>
          </w:p>
        </w:tc>
      </w:tr>
      <w:tr w:rsidR="005C45CB" w:rsidRPr="00AE066F" w14:paraId="7E7A1FF8"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182F633D" w14:textId="77777777" w:rsidR="005C45CB" w:rsidRPr="00AE066F" w:rsidRDefault="00000000">
            <w:pPr>
              <w:spacing w:after="0" w:line="240" w:lineRule="auto"/>
              <w:rPr>
                <w:rFonts w:ascii="Arial" w:hAnsi="Arial" w:cs="Arial"/>
                <w:color w:val="000000"/>
                <w:sz w:val="20"/>
                <w:szCs w:val="20"/>
              </w:rPr>
            </w:pPr>
            <w:r w:rsidRPr="00AE066F">
              <w:t>9</w:t>
            </w:r>
          </w:p>
        </w:tc>
        <w:tc>
          <w:tcPr>
            <w:tcW w:w="903" w:type="dxa"/>
            <w:tcBorders>
              <w:top w:val="single" w:sz="4" w:space="0" w:color="000000"/>
              <w:left w:val="single" w:sz="4" w:space="0" w:color="000000"/>
              <w:bottom w:val="single" w:sz="4" w:space="0" w:color="000000"/>
              <w:right w:val="single" w:sz="4" w:space="0" w:color="000000"/>
            </w:tcBorders>
          </w:tcPr>
          <w:p w14:paraId="6CFECA70" w14:textId="77777777" w:rsidR="005C45CB" w:rsidRPr="00AE066F" w:rsidRDefault="00000000">
            <w:pPr>
              <w:spacing w:after="0" w:line="240" w:lineRule="auto"/>
              <w:jc w:val="center"/>
              <w:rPr>
                <w:rFonts w:ascii="Arial" w:hAnsi="Arial" w:cs="Arial"/>
                <w:color w:val="000000"/>
                <w:sz w:val="20"/>
                <w:szCs w:val="20"/>
              </w:rPr>
            </w:pPr>
            <w:r w:rsidRPr="00AE066F">
              <w:t>0.342</w:t>
            </w:r>
          </w:p>
        </w:tc>
        <w:tc>
          <w:tcPr>
            <w:tcW w:w="990" w:type="dxa"/>
            <w:tcBorders>
              <w:top w:val="single" w:sz="4" w:space="0" w:color="000000"/>
              <w:left w:val="single" w:sz="4" w:space="0" w:color="000000"/>
              <w:bottom w:val="single" w:sz="4" w:space="0" w:color="000000"/>
              <w:right w:val="single" w:sz="4" w:space="0" w:color="000000"/>
            </w:tcBorders>
          </w:tcPr>
          <w:p w14:paraId="05A91C22" w14:textId="77777777" w:rsidR="005C45CB" w:rsidRPr="00AE066F" w:rsidRDefault="00000000">
            <w:pPr>
              <w:spacing w:after="0" w:line="240" w:lineRule="auto"/>
              <w:jc w:val="center"/>
              <w:rPr>
                <w:rFonts w:ascii="Arial" w:hAnsi="Arial" w:cs="Arial"/>
                <w:color w:val="000000"/>
                <w:sz w:val="20"/>
                <w:szCs w:val="20"/>
              </w:rPr>
            </w:pPr>
            <w:r w:rsidRPr="00AE066F">
              <w:t>0.214</w:t>
            </w:r>
          </w:p>
        </w:tc>
        <w:tc>
          <w:tcPr>
            <w:tcW w:w="810" w:type="dxa"/>
            <w:tcBorders>
              <w:top w:val="single" w:sz="4" w:space="0" w:color="000000"/>
              <w:left w:val="single" w:sz="4" w:space="0" w:color="000000"/>
              <w:bottom w:val="single" w:sz="4" w:space="0" w:color="000000"/>
              <w:right w:val="single" w:sz="4" w:space="0" w:color="000000"/>
            </w:tcBorders>
          </w:tcPr>
          <w:p w14:paraId="43A8F821" w14:textId="77777777" w:rsidR="005C45CB" w:rsidRPr="00AE066F" w:rsidRDefault="00000000">
            <w:pPr>
              <w:spacing w:after="0" w:line="240" w:lineRule="auto"/>
              <w:jc w:val="center"/>
              <w:rPr>
                <w:rFonts w:ascii="Arial" w:hAnsi="Arial" w:cs="Arial"/>
                <w:color w:val="000000"/>
                <w:sz w:val="20"/>
                <w:szCs w:val="20"/>
              </w:rPr>
            </w:pPr>
            <w:r w:rsidRPr="00AE066F">
              <w:t>0.556</w:t>
            </w:r>
          </w:p>
        </w:tc>
        <w:tc>
          <w:tcPr>
            <w:tcW w:w="990" w:type="dxa"/>
            <w:tcBorders>
              <w:top w:val="single" w:sz="4" w:space="0" w:color="000000"/>
              <w:left w:val="single" w:sz="4" w:space="0" w:color="000000"/>
              <w:bottom w:val="single" w:sz="4" w:space="0" w:color="000000"/>
              <w:right w:val="single" w:sz="4" w:space="0" w:color="000000"/>
            </w:tcBorders>
          </w:tcPr>
          <w:p w14:paraId="4443D12C" w14:textId="77777777" w:rsidR="005C45CB" w:rsidRPr="00AE066F" w:rsidRDefault="00000000">
            <w:pPr>
              <w:spacing w:after="0" w:line="240" w:lineRule="auto"/>
              <w:jc w:val="center"/>
              <w:rPr>
                <w:rFonts w:ascii="Arial" w:hAnsi="Arial" w:cs="Arial"/>
                <w:color w:val="000000"/>
                <w:sz w:val="20"/>
                <w:szCs w:val="20"/>
              </w:rPr>
            </w:pPr>
            <w:r w:rsidRPr="00AE066F">
              <w:t>0.278</w:t>
            </w:r>
          </w:p>
        </w:tc>
        <w:tc>
          <w:tcPr>
            <w:tcW w:w="900" w:type="dxa"/>
            <w:tcBorders>
              <w:top w:val="single" w:sz="4" w:space="0" w:color="000000"/>
              <w:left w:val="single" w:sz="4" w:space="0" w:color="000000"/>
              <w:bottom w:val="single" w:sz="4" w:space="0" w:color="000000"/>
              <w:right w:val="single" w:sz="4" w:space="0" w:color="000000"/>
            </w:tcBorders>
          </w:tcPr>
          <w:p w14:paraId="78BC4DE3" w14:textId="77777777" w:rsidR="005C45CB" w:rsidRPr="00AE066F" w:rsidRDefault="00000000">
            <w:pPr>
              <w:spacing w:after="0" w:line="240" w:lineRule="auto"/>
              <w:jc w:val="center"/>
              <w:rPr>
                <w:rFonts w:ascii="Arial" w:hAnsi="Arial" w:cs="Arial"/>
                <w:color w:val="000000"/>
                <w:sz w:val="20"/>
                <w:szCs w:val="20"/>
              </w:rPr>
            </w:pPr>
            <w:r w:rsidRPr="00AE066F">
              <w:t>3.947</w:t>
            </w:r>
          </w:p>
        </w:tc>
        <w:tc>
          <w:tcPr>
            <w:tcW w:w="810" w:type="dxa"/>
            <w:tcBorders>
              <w:top w:val="single" w:sz="4" w:space="0" w:color="000000"/>
              <w:left w:val="single" w:sz="4" w:space="0" w:color="000000"/>
              <w:bottom w:val="single" w:sz="4" w:space="0" w:color="000000"/>
              <w:right w:val="single" w:sz="4" w:space="0" w:color="000000"/>
            </w:tcBorders>
          </w:tcPr>
          <w:p w14:paraId="6B04F38D" w14:textId="77777777" w:rsidR="005C45CB" w:rsidRPr="00AE066F" w:rsidRDefault="00000000">
            <w:pPr>
              <w:spacing w:after="0" w:line="240" w:lineRule="auto"/>
              <w:jc w:val="center"/>
              <w:rPr>
                <w:rFonts w:ascii="Arial" w:hAnsi="Arial" w:cs="Arial"/>
                <w:color w:val="000000"/>
                <w:sz w:val="20"/>
                <w:szCs w:val="20"/>
              </w:rPr>
            </w:pPr>
            <w:r w:rsidRPr="00AE066F">
              <w:t>1.598</w:t>
            </w:r>
          </w:p>
        </w:tc>
        <w:tc>
          <w:tcPr>
            <w:tcW w:w="900" w:type="dxa"/>
            <w:tcBorders>
              <w:top w:val="single" w:sz="4" w:space="0" w:color="000000"/>
              <w:left w:val="single" w:sz="4" w:space="0" w:color="000000"/>
              <w:bottom w:val="single" w:sz="4" w:space="0" w:color="000000"/>
              <w:right w:val="single" w:sz="4" w:space="0" w:color="000000"/>
            </w:tcBorders>
          </w:tcPr>
          <w:p w14:paraId="38004C41" w14:textId="77777777" w:rsidR="005C45CB" w:rsidRPr="00AE066F" w:rsidRDefault="00000000">
            <w:pPr>
              <w:spacing w:after="0" w:line="240" w:lineRule="auto"/>
              <w:jc w:val="center"/>
              <w:rPr>
                <w:rFonts w:ascii="Arial" w:hAnsi="Arial" w:cs="Arial"/>
                <w:color w:val="000000"/>
                <w:sz w:val="20"/>
                <w:szCs w:val="20"/>
              </w:rPr>
            </w:pPr>
            <w:r w:rsidRPr="00AE066F">
              <w:t>38.489</w:t>
            </w:r>
          </w:p>
        </w:tc>
      </w:tr>
      <w:tr w:rsidR="005C45CB" w:rsidRPr="00AE066F" w14:paraId="4A36028E"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2E295C70" w14:textId="77777777" w:rsidR="005C45CB" w:rsidRPr="00AE066F" w:rsidRDefault="00000000">
            <w:pPr>
              <w:spacing w:after="0" w:line="240" w:lineRule="auto"/>
              <w:rPr>
                <w:rFonts w:ascii="Arial" w:hAnsi="Arial" w:cs="Arial"/>
                <w:color w:val="000000"/>
                <w:sz w:val="20"/>
                <w:szCs w:val="20"/>
              </w:rPr>
            </w:pPr>
            <w:r w:rsidRPr="00AE066F">
              <w:t>10</w:t>
            </w:r>
          </w:p>
        </w:tc>
        <w:tc>
          <w:tcPr>
            <w:tcW w:w="903" w:type="dxa"/>
            <w:tcBorders>
              <w:top w:val="single" w:sz="4" w:space="0" w:color="000000"/>
              <w:left w:val="single" w:sz="4" w:space="0" w:color="000000"/>
              <w:bottom w:val="single" w:sz="4" w:space="0" w:color="000000"/>
              <w:right w:val="single" w:sz="4" w:space="0" w:color="000000"/>
            </w:tcBorders>
          </w:tcPr>
          <w:p w14:paraId="03CC0B89"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990" w:type="dxa"/>
            <w:tcBorders>
              <w:top w:val="single" w:sz="4" w:space="0" w:color="000000"/>
              <w:left w:val="single" w:sz="4" w:space="0" w:color="000000"/>
              <w:bottom w:val="single" w:sz="4" w:space="0" w:color="000000"/>
              <w:right w:val="single" w:sz="4" w:space="0" w:color="000000"/>
            </w:tcBorders>
          </w:tcPr>
          <w:p w14:paraId="45E327E3"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367E143F" w14:textId="77777777" w:rsidR="005C45CB" w:rsidRPr="00AE066F" w:rsidRDefault="00000000">
            <w:pPr>
              <w:spacing w:after="0" w:line="240" w:lineRule="auto"/>
              <w:jc w:val="center"/>
              <w:rPr>
                <w:rFonts w:ascii="Arial" w:hAnsi="Arial" w:cs="Arial"/>
                <w:color w:val="000000"/>
                <w:sz w:val="20"/>
                <w:szCs w:val="20"/>
              </w:rPr>
            </w:pPr>
            <w:r w:rsidRPr="00AE066F">
              <w:t>0.555</w:t>
            </w:r>
          </w:p>
        </w:tc>
        <w:tc>
          <w:tcPr>
            <w:tcW w:w="990" w:type="dxa"/>
            <w:tcBorders>
              <w:top w:val="single" w:sz="4" w:space="0" w:color="000000"/>
              <w:left w:val="single" w:sz="4" w:space="0" w:color="000000"/>
              <w:bottom w:val="single" w:sz="4" w:space="0" w:color="000000"/>
              <w:right w:val="single" w:sz="4" w:space="0" w:color="000000"/>
            </w:tcBorders>
          </w:tcPr>
          <w:p w14:paraId="1DDB7421" w14:textId="77777777" w:rsidR="005C45CB" w:rsidRPr="00AE066F" w:rsidRDefault="00000000">
            <w:pPr>
              <w:spacing w:after="0" w:line="240" w:lineRule="auto"/>
              <w:jc w:val="center"/>
              <w:rPr>
                <w:rFonts w:ascii="Arial" w:hAnsi="Arial" w:cs="Arial"/>
                <w:color w:val="000000"/>
                <w:sz w:val="20"/>
                <w:szCs w:val="20"/>
              </w:rPr>
            </w:pPr>
            <w:r w:rsidRPr="00AE066F">
              <w:t>0.2775</w:t>
            </w:r>
          </w:p>
        </w:tc>
        <w:tc>
          <w:tcPr>
            <w:tcW w:w="900" w:type="dxa"/>
            <w:tcBorders>
              <w:top w:val="single" w:sz="4" w:space="0" w:color="000000"/>
              <w:left w:val="single" w:sz="4" w:space="0" w:color="000000"/>
              <w:bottom w:val="single" w:sz="4" w:space="0" w:color="000000"/>
              <w:right w:val="single" w:sz="4" w:space="0" w:color="000000"/>
            </w:tcBorders>
          </w:tcPr>
          <w:p w14:paraId="0702D528" w14:textId="77777777" w:rsidR="005C45CB" w:rsidRPr="00AE066F" w:rsidRDefault="00000000">
            <w:pPr>
              <w:spacing w:after="0" w:line="240" w:lineRule="auto"/>
              <w:jc w:val="center"/>
              <w:rPr>
                <w:rFonts w:ascii="Arial" w:hAnsi="Arial" w:cs="Arial"/>
                <w:color w:val="000000"/>
                <w:sz w:val="20"/>
                <w:szCs w:val="20"/>
              </w:rPr>
            </w:pPr>
            <w:r w:rsidRPr="00AE066F">
              <w:t>3.940</w:t>
            </w:r>
          </w:p>
        </w:tc>
        <w:tc>
          <w:tcPr>
            <w:tcW w:w="810" w:type="dxa"/>
            <w:tcBorders>
              <w:top w:val="single" w:sz="4" w:space="0" w:color="000000"/>
              <w:left w:val="single" w:sz="4" w:space="0" w:color="000000"/>
              <w:bottom w:val="single" w:sz="4" w:space="0" w:color="000000"/>
              <w:right w:val="single" w:sz="4" w:space="0" w:color="000000"/>
            </w:tcBorders>
          </w:tcPr>
          <w:p w14:paraId="12B817BB" w14:textId="77777777" w:rsidR="005C45CB" w:rsidRPr="00AE066F" w:rsidRDefault="00000000">
            <w:pPr>
              <w:spacing w:after="0" w:line="240" w:lineRule="auto"/>
              <w:jc w:val="center"/>
              <w:rPr>
                <w:rFonts w:ascii="Arial" w:hAnsi="Arial" w:cs="Arial"/>
                <w:color w:val="000000"/>
                <w:sz w:val="20"/>
                <w:szCs w:val="20"/>
              </w:rPr>
            </w:pPr>
            <w:r w:rsidRPr="00AE066F">
              <w:t>1.168</w:t>
            </w:r>
          </w:p>
        </w:tc>
        <w:tc>
          <w:tcPr>
            <w:tcW w:w="900" w:type="dxa"/>
            <w:tcBorders>
              <w:top w:val="single" w:sz="4" w:space="0" w:color="000000"/>
              <w:left w:val="single" w:sz="4" w:space="0" w:color="000000"/>
              <w:bottom w:val="single" w:sz="4" w:space="0" w:color="000000"/>
              <w:right w:val="single" w:sz="4" w:space="0" w:color="000000"/>
            </w:tcBorders>
          </w:tcPr>
          <w:p w14:paraId="3B731D40" w14:textId="77777777" w:rsidR="005C45CB" w:rsidRPr="00AE066F" w:rsidRDefault="00000000">
            <w:pPr>
              <w:spacing w:after="0" w:line="240" w:lineRule="auto"/>
              <w:jc w:val="center"/>
              <w:rPr>
                <w:rFonts w:ascii="Arial" w:hAnsi="Arial" w:cs="Arial"/>
                <w:color w:val="000000"/>
                <w:sz w:val="20"/>
                <w:szCs w:val="20"/>
              </w:rPr>
            </w:pPr>
            <w:r w:rsidRPr="00AE066F">
              <w:t>46.126</w:t>
            </w:r>
          </w:p>
        </w:tc>
      </w:tr>
      <w:tr w:rsidR="005C45CB" w:rsidRPr="00AE066F" w14:paraId="16C62F90"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150CE76B" w14:textId="77777777" w:rsidR="005C45CB" w:rsidRPr="00AE066F" w:rsidRDefault="00000000">
            <w:pPr>
              <w:spacing w:after="0" w:line="240" w:lineRule="auto"/>
              <w:rPr>
                <w:rFonts w:ascii="Arial" w:hAnsi="Arial" w:cs="Arial"/>
                <w:color w:val="000000"/>
                <w:sz w:val="20"/>
                <w:szCs w:val="20"/>
              </w:rPr>
            </w:pPr>
            <w:r w:rsidRPr="00AE066F">
              <w:t>11</w:t>
            </w:r>
          </w:p>
        </w:tc>
        <w:tc>
          <w:tcPr>
            <w:tcW w:w="903" w:type="dxa"/>
            <w:tcBorders>
              <w:top w:val="single" w:sz="4" w:space="0" w:color="000000"/>
              <w:left w:val="single" w:sz="4" w:space="0" w:color="000000"/>
              <w:bottom w:val="single" w:sz="4" w:space="0" w:color="000000"/>
              <w:right w:val="single" w:sz="4" w:space="0" w:color="000000"/>
            </w:tcBorders>
          </w:tcPr>
          <w:p w14:paraId="2B16A194" w14:textId="77777777" w:rsidR="005C45CB" w:rsidRPr="00AE066F" w:rsidRDefault="00000000">
            <w:pPr>
              <w:spacing w:after="0" w:line="240" w:lineRule="auto"/>
              <w:jc w:val="center"/>
              <w:rPr>
                <w:rFonts w:ascii="Arial" w:hAnsi="Arial" w:cs="Arial"/>
                <w:color w:val="000000"/>
                <w:sz w:val="20"/>
                <w:szCs w:val="20"/>
              </w:rPr>
            </w:pPr>
            <w:r w:rsidRPr="00AE066F">
              <w:t>0.299</w:t>
            </w:r>
          </w:p>
        </w:tc>
        <w:tc>
          <w:tcPr>
            <w:tcW w:w="990" w:type="dxa"/>
            <w:tcBorders>
              <w:top w:val="single" w:sz="4" w:space="0" w:color="000000"/>
              <w:left w:val="single" w:sz="4" w:space="0" w:color="000000"/>
              <w:bottom w:val="single" w:sz="4" w:space="0" w:color="000000"/>
              <w:right w:val="single" w:sz="4" w:space="0" w:color="000000"/>
            </w:tcBorders>
          </w:tcPr>
          <w:p w14:paraId="1E417CF7"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5163CD2C" w14:textId="77777777" w:rsidR="005C45CB" w:rsidRPr="00AE066F" w:rsidRDefault="00000000">
            <w:pPr>
              <w:spacing w:after="0" w:line="240" w:lineRule="auto"/>
              <w:jc w:val="center"/>
              <w:rPr>
                <w:rFonts w:ascii="Arial" w:hAnsi="Arial" w:cs="Arial"/>
                <w:color w:val="000000"/>
                <w:sz w:val="20"/>
                <w:szCs w:val="20"/>
              </w:rPr>
            </w:pPr>
            <w:r w:rsidRPr="00AE066F">
              <w:t>0.555</w:t>
            </w:r>
          </w:p>
        </w:tc>
        <w:tc>
          <w:tcPr>
            <w:tcW w:w="990" w:type="dxa"/>
            <w:tcBorders>
              <w:top w:val="single" w:sz="4" w:space="0" w:color="000000"/>
              <w:left w:val="single" w:sz="4" w:space="0" w:color="000000"/>
              <w:bottom w:val="single" w:sz="4" w:space="0" w:color="000000"/>
              <w:right w:val="single" w:sz="4" w:space="0" w:color="000000"/>
            </w:tcBorders>
          </w:tcPr>
          <w:p w14:paraId="7CC2E8B9" w14:textId="77777777" w:rsidR="005C45CB" w:rsidRPr="00AE066F" w:rsidRDefault="00000000">
            <w:pPr>
              <w:spacing w:after="0" w:line="240" w:lineRule="auto"/>
              <w:jc w:val="center"/>
              <w:rPr>
                <w:rFonts w:ascii="Arial" w:hAnsi="Arial" w:cs="Arial"/>
                <w:color w:val="000000"/>
                <w:sz w:val="20"/>
                <w:szCs w:val="20"/>
              </w:rPr>
            </w:pPr>
            <w:r w:rsidRPr="00AE066F">
              <w:t>0.2775</w:t>
            </w:r>
          </w:p>
        </w:tc>
        <w:tc>
          <w:tcPr>
            <w:tcW w:w="900" w:type="dxa"/>
            <w:tcBorders>
              <w:top w:val="single" w:sz="4" w:space="0" w:color="000000"/>
              <w:left w:val="single" w:sz="4" w:space="0" w:color="000000"/>
              <w:bottom w:val="single" w:sz="4" w:space="0" w:color="000000"/>
              <w:right w:val="single" w:sz="4" w:space="0" w:color="000000"/>
            </w:tcBorders>
          </w:tcPr>
          <w:p w14:paraId="5C66F5F2" w14:textId="77777777" w:rsidR="005C45CB" w:rsidRPr="00AE066F" w:rsidRDefault="00000000">
            <w:pPr>
              <w:spacing w:after="0" w:line="240" w:lineRule="auto"/>
              <w:jc w:val="center"/>
              <w:rPr>
                <w:rFonts w:ascii="Arial" w:hAnsi="Arial" w:cs="Arial"/>
                <w:color w:val="000000"/>
                <w:sz w:val="20"/>
                <w:szCs w:val="20"/>
              </w:rPr>
            </w:pPr>
            <w:r w:rsidRPr="00AE066F">
              <w:t>3.940</w:t>
            </w:r>
          </w:p>
        </w:tc>
        <w:tc>
          <w:tcPr>
            <w:tcW w:w="810" w:type="dxa"/>
            <w:tcBorders>
              <w:top w:val="single" w:sz="4" w:space="0" w:color="000000"/>
              <w:left w:val="single" w:sz="4" w:space="0" w:color="000000"/>
              <w:bottom w:val="single" w:sz="4" w:space="0" w:color="000000"/>
              <w:right w:val="single" w:sz="4" w:space="0" w:color="000000"/>
            </w:tcBorders>
          </w:tcPr>
          <w:p w14:paraId="74F61EC0" w14:textId="77777777" w:rsidR="005C45CB" w:rsidRPr="00AE066F" w:rsidRDefault="00000000">
            <w:pPr>
              <w:spacing w:after="0" w:line="240" w:lineRule="auto"/>
              <w:jc w:val="center"/>
              <w:rPr>
                <w:rFonts w:ascii="Arial" w:hAnsi="Arial" w:cs="Arial"/>
                <w:color w:val="000000"/>
                <w:sz w:val="20"/>
                <w:szCs w:val="20"/>
              </w:rPr>
            </w:pPr>
            <w:r w:rsidRPr="00AE066F">
              <w:t>1.168</w:t>
            </w:r>
          </w:p>
        </w:tc>
        <w:tc>
          <w:tcPr>
            <w:tcW w:w="900" w:type="dxa"/>
            <w:tcBorders>
              <w:top w:val="single" w:sz="4" w:space="0" w:color="000000"/>
              <w:left w:val="single" w:sz="4" w:space="0" w:color="000000"/>
              <w:bottom w:val="single" w:sz="4" w:space="0" w:color="000000"/>
              <w:right w:val="single" w:sz="4" w:space="0" w:color="000000"/>
            </w:tcBorders>
          </w:tcPr>
          <w:p w14:paraId="2106A3CA" w14:textId="77777777" w:rsidR="005C45CB" w:rsidRPr="00AE066F" w:rsidRDefault="00000000">
            <w:pPr>
              <w:spacing w:after="0" w:line="240" w:lineRule="auto"/>
              <w:jc w:val="center"/>
              <w:rPr>
                <w:rFonts w:ascii="Arial" w:hAnsi="Arial" w:cs="Arial"/>
                <w:color w:val="000000"/>
                <w:sz w:val="20"/>
                <w:szCs w:val="20"/>
              </w:rPr>
            </w:pPr>
            <w:r w:rsidRPr="00AE066F">
              <w:t>46.126</w:t>
            </w:r>
          </w:p>
        </w:tc>
      </w:tr>
      <w:tr w:rsidR="005C45CB" w:rsidRPr="00AE066F" w14:paraId="59532132"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4C1B5D1C" w14:textId="77777777" w:rsidR="005C45CB" w:rsidRPr="00AE066F" w:rsidRDefault="00000000">
            <w:pPr>
              <w:spacing w:after="0" w:line="240" w:lineRule="auto"/>
              <w:rPr>
                <w:rFonts w:ascii="Arial" w:hAnsi="Arial" w:cs="Arial"/>
                <w:color w:val="000000"/>
                <w:sz w:val="20"/>
                <w:szCs w:val="20"/>
              </w:rPr>
            </w:pPr>
            <w:r w:rsidRPr="00AE066F">
              <w:t>12</w:t>
            </w:r>
          </w:p>
        </w:tc>
        <w:tc>
          <w:tcPr>
            <w:tcW w:w="903" w:type="dxa"/>
            <w:tcBorders>
              <w:top w:val="single" w:sz="4" w:space="0" w:color="000000"/>
              <w:left w:val="single" w:sz="4" w:space="0" w:color="000000"/>
              <w:bottom w:val="single" w:sz="4" w:space="0" w:color="000000"/>
              <w:right w:val="single" w:sz="4" w:space="0" w:color="000000"/>
            </w:tcBorders>
          </w:tcPr>
          <w:p w14:paraId="50CFE50B"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990" w:type="dxa"/>
            <w:tcBorders>
              <w:top w:val="single" w:sz="4" w:space="0" w:color="000000"/>
              <w:left w:val="single" w:sz="4" w:space="0" w:color="000000"/>
              <w:bottom w:val="single" w:sz="4" w:space="0" w:color="000000"/>
              <w:right w:val="single" w:sz="4" w:space="0" w:color="000000"/>
            </w:tcBorders>
          </w:tcPr>
          <w:p w14:paraId="5292CA16"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810" w:type="dxa"/>
            <w:tcBorders>
              <w:top w:val="single" w:sz="4" w:space="0" w:color="000000"/>
              <w:left w:val="single" w:sz="4" w:space="0" w:color="000000"/>
              <w:bottom w:val="single" w:sz="4" w:space="0" w:color="000000"/>
              <w:right w:val="single" w:sz="4" w:space="0" w:color="000000"/>
            </w:tcBorders>
          </w:tcPr>
          <w:p w14:paraId="645F87D4" w14:textId="77777777" w:rsidR="005C45CB" w:rsidRPr="00AE066F" w:rsidRDefault="00000000">
            <w:pPr>
              <w:spacing w:after="0" w:line="240" w:lineRule="auto"/>
              <w:jc w:val="center"/>
              <w:rPr>
                <w:rFonts w:ascii="Arial" w:hAnsi="Arial" w:cs="Arial"/>
                <w:color w:val="000000"/>
                <w:sz w:val="20"/>
                <w:szCs w:val="20"/>
              </w:rPr>
            </w:pPr>
            <w:r w:rsidRPr="00AE066F">
              <w:t>0.512</w:t>
            </w:r>
          </w:p>
        </w:tc>
        <w:tc>
          <w:tcPr>
            <w:tcW w:w="990" w:type="dxa"/>
            <w:tcBorders>
              <w:top w:val="single" w:sz="4" w:space="0" w:color="000000"/>
              <w:left w:val="single" w:sz="4" w:space="0" w:color="000000"/>
              <w:bottom w:val="single" w:sz="4" w:space="0" w:color="000000"/>
              <w:right w:val="single" w:sz="4" w:space="0" w:color="000000"/>
            </w:tcBorders>
          </w:tcPr>
          <w:p w14:paraId="3FEAC80D"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900" w:type="dxa"/>
            <w:tcBorders>
              <w:top w:val="single" w:sz="4" w:space="0" w:color="000000"/>
              <w:left w:val="single" w:sz="4" w:space="0" w:color="000000"/>
              <w:bottom w:val="single" w:sz="4" w:space="0" w:color="000000"/>
              <w:right w:val="single" w:sz="4" w:space="0" w:color="000000"/>
            </w:tcBorders>
          </w:tcPr>
          <w:p w14:paraId="2D09741D" w14:textId="77777777" w:rsidR="005C45CB" w:rsidRPr="00AE066F" w:rsidRDefault="00000000">
            <w:pPr>
              <w:spacing w:after="0" w:line="240" w:lineRule="auto"/>
              <w:jc w:val="center"/>
              <w:rPr>
                <w:rFonts w:ascii="Arial" w:hAnsi="Arial" w:cs="Arial"/>
                <w:color w:val="000000"/>
                <w:sz w:val="20"/>
                <w:szCs w:val="20"/>
              </w:rPr>
            </w:pPr>
            <w:r w:rsidRPr="00AE066F">
              <w:t>3.634</w:t>
            </w:r>
          </w:p>
        </w:tc>
        <w:tc>
          <w:tcPr>
            <w:tcW w:w="810" w:type="dxa"/>
            <w:tcBorders>
              <w:top w:val="single" w:sz="4" w:space="0" w:color="000000"/>
              <w:left w:val="single" w:sz="4" w:space="0" w:color="000000"/>
              <w:bottom w:val="single" w:sz="4" w:space="0" w:color="000000"/>
              <w:right w:val="single" w:sz="4" w:space="0" w:color="000000"/>
            </w:tcBorders>
          </w:tcPr>
          <w:p w14:paraId="5EB84AC2" w14:textId="77777777" w:rsidR="005C45CB" w:rsidRPr="00AE066F" w:rsidRDefault="00000000">
            <w:pPr>
              <w:spacing w:after="0" w:line="240" w:lineRule="auto"/>
              <w:jc w:val="center"/>
              <w:rPr>
                <w:rFonts w:ascii="Arial" w:hAnsi="Arial" w:cs="Arial"/>
                <w:color w:val="000000"/>
                <w:sz w:val="20"/>
                <w:szCs w:val="20"/>
              </w:rPr>
            </w:pPr>
            <w:r w:rsidRPr="00AE066F">
              <w:t>1.000</w:t>
            </w:r>
          </w:p>
        </w:tc>
        <w:tc>
          <w:tcPr>
            <w:tcW w:w="900" w:type="dxa"/>
            <w:tcBorders>
              <w:top w:val="single" w:sz="4" w:space="0" w:color="000000"/>
              <w:left w:val="single" w:sz="4" w:space="0" w:color="000000"/>
              <w:bottom w:val="single" w:sz="4" w:space="0" w:color="000000"/>
              <w:right w:val="single" w:sz="4" w:space="0" w:color="000000"/>
            </w:tcBorders>
          </w:tcPr>
          <w:p w14:paraId="5F18E697" w14:textId="77777777" w:rsidR="005C45CB" w:rsidRPr="00AE066F" w:rsidRDefault="00000000">
            <w:pPr>
              <w:spacing w:after="0" w:line="240" w:lineRule="auto"/>
              <w:jc w:val="center"/>
              <w:rPr>
                <w:rFonts w:ascii="Arial" w:hAnsi="Arial" w:cs="Arial"/>
                <w:color w:val="000000"/>
                <w:sz w:val="20"/>
                <w:szCs w:val="20"/>
              </w:rPr>
            </w:pPr>
            <w:r w:rsidRPr="00AE066F">
              <w:t>50.000</w:t>
            </w:r>
          </w:p>
        </w:tc>
      </w:tr>
      <w:tr w:rsidR="005C45CB" w:rsidRPr="00AE066F" w14:paraId="6DBE52EB"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652D5C0B" w14:textId="77777777" w:rsidR="005C45CB" w:rsidRPr="00AE066F" w:rsidRDefault="00000000">
            <w:pPr>
              <w:spacing w:after="0" w:line="240" w:lineRule="auto"/>
              <w:rPr>
                <w:rFonts w:ascii="Arial" w:hAnsi="Arial" w:cs="Arial"/>
                <w:color w:val="000000"/>
                <w:sz w:val="20"/>
                <w:szCs w:val="20"/>
              </w:rPr>
            </w:pPr>
            <w:r w:rsidRPr="00AE066F">
              <w:t>13</w:t>
            </w:r>
          </w:p>
        </w:tc>
        <w:tc>
          <w:tcPr>
            <w:tcW w:w="903" w:type="dxa"/>
            <w:tcBorders>
              <w:top w:val="single" w:sz="4" w:space="0" w:color="000000"/>
              <w:left w:val="single" w:sz="4" w:space="0" w:color="000000"/>
              <w:bottom w:val="single" w:sz="4" w:space="0" w:color="000000"/>
              <w:right w:val="single" w:sz="4" w:space="0" w:color="000000"/>
            </w:tcBorders>
          </w:tcPr>
          <w:p w14:paraId="18310CE2"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990" w:type="dxa"/>
            <w:tcBorders>
              <w:top w:val="single" w:sz="4" w:space="0" w:color="000000"/>
              <w:left w:val="single" w:sz="4" w:space="0" w:color="000000"/>
              <w:bottom w:val="single" w:sz="4" w:space="0" w:color="000000"/>
              <w:right w:val="single" w:sz="4" w:space="0" w:color="000000"/>
            </w:tcBorders>
          </w:tcPr>
          <w:p w14:paraId="2CC7E962" w14:textId="77777777" w:rsidR="005C45CB" w:rsidRPr="00AE066F" w:rsidRDefault="00000000">
            <w:pPr>
              <w:spacing w:after="0" w:line="240" w:lineRule="auto"/>
              <w:jc w:val="center"/>
              <w:rPr>
                <w:rFonts w:ascii="Arial" w:hAnsi="Arial" w:cs="Arial"/>
                <w:color w:val="000000"/>
                <w:sz w:val="20"/>
                <w:szCs w:val="20"/>
              </w:rPr>
            </w:pPr>
            <w:r w:rsidRPr="00AE066F">
              <w:t>0.214</w:t>
            </w:r>
          </w:p>
        </w:tc>
        <w:tc>
          <w:tcPr>
            <w:tcW w:w="810" w:type="dxa"/>
            <w:tcBorders>
              <w:top w:val="single" w:sz="4" w:space="0" w:color="000000"/>
              <w:left w:val="single" w:sz="4" w:space="0" w:color="000000"/>
              <w:bottom w:val="single" w:sz="4" w:space="0" w:color="000000"/>
              <w:right w:val="single" w:sz="4" w:space="0" w:color="000000"/>
            </w:tcBorders>
          </w:tcPr>
          <w:p w14:paraId="0C511FAF"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tcPr>
          <w:p w14:paraId="1F393034" w14:textId="77777777" w:rsidR="005C45CB" w:rsidRPr="00AE066F" w:rsidRDefault="00000000">
            <w:pPr>
              <w:spacing w:after="0" w:line="240" w:lineRule="auto"/>
              <w:jc w:val="center"/>
              <w:rPr>
                <w:rFonts w:ascii="Arial" w:hAnsi="Arial" w:cs="Arial"/>
                <w:color w:val="000000"/>
                <w:sz w:val="20"/>
                <w:szCs w:val="20"/>
              </w:rPr>
            </w:pPr>
            <w:r w:rsidRPr="00AE066F">
              <w:t>0.235</w:t>
            </w:r>
          </w:p>
        </w:tc>
        <w:tc>
          <w:tcPr>
            <w:tcW w:w="900" w:type="dxa"/>
            <w:tcBorders>
              <w:top w:val="single" w:sz="4" w:space="0" w:color="000000"/>
              <w:left w:val="single" w:sz="4" w:space="0" w:color="000000"/>
              <w:bottom w:val="single" w:sz="4" w:space="0" w:color="000000"/>
              <w:right w:val="single" w:sz="4" w:space="0" w:color="000000"/>
            </w:tcBorders>
          </w:tcPr>
          <w:p w14:paraId="6FFAF422" w14:textId="77777777" w:rsidR="005C45CB" w:rsidRPr="00AE066F" w:rsidRDefault="00000000">
            <w:pPr>
              <w:spacing w:after="0" w:line="240" w:lineRule="auto"/>
              <w:jc w:val="center"/>
              <w:rPr>
                <w:rFonts w:ascii="Arial" w:hAnsi="Arial" w:cs="Arial"/>
                <w:color w:val="000000"/>
                <w:sz w:val="20"/>
                <w:szCs w:val="20"/>
              </w:rPr>
            </w:pPr>
            <w:r w:rsidRPr="00AE066F">
              <w:t>3.336</w:t>
            </w:r>
          </w:p>
        </w:tc>
        <w:tc>
          <w:tcPr>
            <w:tcW w:w="810" w:type="dxa"/>
            <w:tcBorders>
              <w:top w:val="single" w:sz="4" w:space="0" w:color="000000"/>
              <w:left w:val="single" w:sz="4" w:space="0" w:color="000000"/>
              <w:bottom w:val="single" w:sz="4" w:space="0" w:color="000000"/>
              <w:right w:val="single" w:sz="4" w:space="0" w:color="000000"/>
            </w:tcBorders>
          </w:tcPr>
          <w:p w14:paraId="0974B3DE" w14:textId="77777777" w:rsidR="005C45CB" w:rsidRPr="00AE066F" w:rsidRDefault="00000000">
            <w:pPr>
              <w:spacing w:after="0" w:line="240" w:lineRule="auto"/>
              <w:jc w:val="center"/>
              <w:rPr>
                <w:rFonts w:ascii="Arial" w:hAnsi="Arial" w:cs="Arial"/>
                <w:color w:val="000000"/>
                <w:sz w:val="20"/>
                <w:szCs w:val="20"/>
              </w:rPr>
            </w:pPr>
            <w:r w:rsidRPr="00AE066F">
              <w:t>1.196</w:t>
            </w:r>
          </w:p>
        </w:tc>
        <w:tc>
          <w:tcPr>
            <w:tcW w:w="900" w:type="dxa"/>
            <w:tcBorders>
              <w:top w:val="single" w:sz="4" w:space="0" w:color="000000"/>
              <w:left w:val="single" w:sz="4" w:space="0" w:color="000000"/>
              <w:bottom w:val="single" w:sz="4" w:space="0" w:color="000000"/>
              <w:right w:val="single" w:sz="4" w:space="0" w:color="000000"/>
            </w:tcBorders>
          </w:tcPr>
          <w:p w14:paraId="5D24F455" w14:textId="77777777" w:rsidR="005C45CB" w:rsidRPr="00AE066F" w:rsidRDefault="00000000">
            <w:pPr>
              <w:spacing w:after="0" w:line="240" w:lineRule="auto"/>
              <w:jc w:val="center"/>
              <w:rPr>
                <w:rFonts w:ascii="Arial" w:hAnsi="Arial" w:cs="Arial"/>
                <w:color w:val="000000"/>
                <w:sz w:val="20"/>
                <w:szCs w:val="20"/>
              </w:rPr>
            </w:pPr>
            <w:r w:rsidRPr="00AE066F">
              <w:t>45.532</w:t>
            </w:r>
          </w:p>
        </w:tc>
      </w:tr>
      <w:tr w:rsidR="005C45CB" w:rsidRPr="00AE066F" w14:paraId="675FF948"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397FECBE" w14:textId="77777777" w:rsidR="005C45CB" w:rsidRPr="00AE066F" w:rsidRDefault="00000000">
            <w:pPr>
              <w:spacing w:after="0" w:line="240" w:lineRule="auto"/>
              <w:rPr>
                <w:rFonts w:ascii="Arial" w:hAnsi="Arial" w:cs="Arial"/>
                <w:color w:val="000000"/>
                <w:sz w:val="20"/>
                <w:szCs w:val="20"/>
              </w:rPr>
            </w:pPr>
            <w:r w:rsidRPr="00AE066F">
              <w:t>14</w:t>
            </w:r>
          </w:p>
        </w:tc>
        <w:tc>
          <w:tcPr>
            <w:tcW w:w="903" w:type="dxa"/>
            <w:tcBorders>
              <w:top w:val="single" w:sz="4" w:space="0" w:color="000000"/>
              <w:left w:val="single" w:sz="4" w:space="0" w:color="000000"/>
              <w:bottom w:val="single" w:sz="4" w:space="0" w:color="000000"/>
              <w:right w:val="single" w:sz="4" w:space="0" w:color="000000"/>
            </w:tcBorders>
          </w:tcPr>
          <w:p w14:paraId="7BAA1A19" w14:textId="77777777" w:rsidR="005C45CB" w:rsidRPr="00AE066F" w:rsidRDefault="00000000">
            <w:pPr>
              <w:spacing w:after="0" w:line="240" w:lineRule="auto"/>
              <w:jc w:val="center"/>
              <w:rPr>
                <w:rFonts w:ascii="Arial" w:hAnsi="Arial" w:cs="Arial"/>
                <w:color w:val="000000"/>
                <w:sz w:val="20"/>
                <w:szCs w:val="20"/>
              </w:rPr>
            </w:pPr>
            <w:r w:rsidRPr="00AE066F">
              <w:t>0.256</w:t>
            </w:r>
          </w:p>
        </w:tc>
        <w:tc>
          <w:tcPr>
            <w:tcW w:w="990" w:type="dxa"/>
            <w:tcBorders>
              <w:top w:val="single" w:sz="4" w:space="0" w:color="000000"/>
              <w:left w:val="single" w:sz="4" w:space="0" w:color="000000"/>
              <w:bottom w:val="single" w:sz="4" w:space="0" w:color="000000"/>
              <w:right w:val="single" w:sz="4" w:space="0" w:color="000000"/>
            </w:tcBorders>
          </w:tcPr>
          <w:p w14:paraId="47B8328F" w14:textId="77777777" w:rsidR="005C45CB" w:rsidRPr="00AE066F" w:rsidRDefault="00000000">
            <w:pPr>
              <w:spacing w:after="0" w:line="240" w:lineRule="auto"/>
              <w:jc w:val="center"/>
              <w:rPr>
                <w:rFonts w:ascii="Arial" w:hAnsi="Arial" w:cs="Arial"/>
                <w:color w:val="000000"/>
                <w:sz w:val="20"/>
                <w:szCs w:val="20"/>
              </w:rPr>
            </w:pPr>
            <w:r w:rsidRPr="00AE066F">
              <w:t>0.214</w:t>
            </w:r>
          </w:p>
        </w:tc>
        <w:tc>
          <w:tcPr>
            <w:tcW w:w="810" w:type="dxa"/>
            <w:tcBorders>
              <w:top w:val="single" w:sz="4" w:space="0" w:color="000000"/>
              <w:left w:val="single" w:sz="4" w:space="0" w:color="000000"/>
              <w:bottom w:val="single" w:sz="4" w:space="0" w:color="000000"/>
              <w:right w:val="single" w:sz="4" w:space="0" w:color="000000"/>
            </w:tcBorders>
          </w:tcPr>
          <w:p w14:paraId="00786CFF"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tcPr>
          <w:p w14:paraId="26FA2C55" w14:textId="77777777" w:rsidR="005C45CB" w:rsidRPr="00AE066F" w:rsidRDefault="00000000">
            <w:pPr>
              <w:spacing w:after="0" w:line="240" w:lineRule="auto"/>
              <w:jc w:val="center"/>
              <w:rPr>
                <w:rFonts w:ascii="Arial" w:hAnsi="Arial" w:cs="Arial"/>
                <w:color w:val="000000"/>
                <w:sz w:val="20"/>
                <w:szCs w:val="20"/>
              </w:rPr>
            </w:pPr>
            <w:r w:rsidRPr="00AE066F">
              <w:t>0.235</w:t>
            </w:r>
          </w:p>
        </w:tc>
        <w:tc>
          <w:tcPr>
            <w:tcW w:w="900" w:type="dxa"/>
            <w:tcBorders>
              <w:top w:val="single" w:sz="4" w:space="0" w:color="000000"/>
              <w:left w:val="single" w:sz="4" w:space="0" w:color="000000"/>
              <w:bottom w:val="single" w:sz="4" w:space="0" w:color="000000"/>
              <w:right w:val="single" w:sz="4" w:space="0" w:color="000000"/>
            </w:tcBorders>
          </w:tcPr>
          <w:p w14:paraId="66838D79" w14:textId="77777777" w:rsidR="005C45CB" w:rsidRPr="00AE066F" w:rsidRDefault="00000000">
            <w:pPr>
              <w:spacing w:after="0" w:line="240" w:lineRule="auto"/>
              <w:jc w:val="center"/>
              <w:rPr>
                <w:rFonts w:ascii="Arial" w:hAnsi="Arial" w:cs="Arial"/>
                <w:color w:val="000000"/>
                <w:sz w:val="20"/>
                <w:szCs w:val="20"/>
              </w:rPr>
            </w:pPr>
            <w:r w:rsidRPr="00AE066F">
              <w:t>3.336</w:t>
            </w:r>
          </w:p>
        </w:tc>
        <w:tc>
          <w:tcPr>
            <w:tcW w:w="810" w:type="dxa"/>
            <w:tcBorders>
              <w:top w:val="single" w:sz="4" w:space="0" w:color="000000"/>
              <w:left w:val="single" w:sz="4" w:space="0" w:color="000000"/>
              <w:bottom w:val="single" w:sz="4" w:space="0" w:color="000000"/>
              <w:right w:val="single" w:sz="4" w:space="0" w:color="000000"/>
            </w:tcBorders>
          </w:tcPr>
          <w:p w14:paraId="5FD74311" w14:textId="77777777" w:rsidR="005C45CB" w:rsidRPr="00AE066F" w:rsidRDefault="00000000">
            <w:pPr>
              <w:spacing w:after="0" w:line="240" w:lineRule="auto"/>
              <w:jc w:val="center"/>
              <w:rPr>
                <w:rFonts w:ascii="Arial" w:hAnsi="Arial" w:cs="Arial"/>
                <w:color w:val="000000"/>
                <w:sz w:val="20"/>
                <w:szCs w:val="20"/>
              </w:rPr>
            </w:pPr>
            <w:r w:rsidRPr="00AE066F">
              <w:t>1.196</w:t>
            </w:r>
          </w:p>
        </w:tc>
        <w:tc>
          <w:tcPr>
            <w:tcW w:w="900" w:type="dxa"/>
            <w:tcBorders>
              <w:top w:val="single" w:sz="4" w:space="0" w:color="000000"/>
              <w:left w:val="single" w:sz="4" w:space="0" w:color="000000"/>
              <w:bottom w:val="single" w:sz="4" w:space="0" w:color="000000"/>
              <w:right w:val="single" w:sz="4" w:space="0" w:color="000000"/>
            </w:tcBorders>
          </w:tcPr>
          <w:p w14:paraId="6034DF1B" w14:textId="77777777" w:rsidR="005C45CB" w:rsidRPr="00AE066F" w:rsidRDefault="00000000">
            <w:pPr>
              <w:spacing w:after="0" w:line="240" w:lineRule="auto"/>
              <w:jc w:val="center"/>
              <w:rPr>
                <w:rFonts w:ascii="Arial" w:hAnsi="Arial" w:cs="Arial"/>
                <w:color w:val="000000"/>
                <w:sz w:val="20"/>
                <w:szCs w:val="20"/>
              </w:rPr>
            </w:pPr>
            <w:r w:rsidRPr="00AE066F">
              <w:t>45.532</w:t>
            </w:r>
          </w:p>
        </w:tc>
      </w:tr>
      <w:tr w:rsidR="005C45CB" w:rsidRPr="00AE066F" w14:paraId="2452CF59"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67EB1D44" w14:textId="77777777" w:rsidR="005C45CB" w:rsidRPr="00AE066F" w:rsidRDefault="00000000">
            <w:pPr>
              <w:spacing w:after="0" w:line="240" w:lineRule="auto"/>
              <w:rPr>
                <w:rFonts w:ascii="Arial" w:hAnsi="Arial" w:cs="Arial"/>
                <w:color w:val="000000"/>
                <w:sz w:val="20"/>
                <w:szCs w:val="20"/>
              </w:rPr>
            </w:pPr>
            <w:r w:rsidRPr="00AE066F">
              <w:t>15</w:t>
            </w:r>
          </w:p>
        </w:tc>
        <w:tc>
          <w:tcPr>
            <w:tcW w:w="903" w:type="dxa"/>
            <w:tcBorders>
              <w:top w:val="single" w:sz="4" w:space="0" w:color="000000"/>
              <w:left w:val="single" w:sz="4" w:space="0" w:color="000000"/>
              <w:bottom w:val="single" w:sz="4" w:space="0" w:color="000000"/>
              <w:right w:val="single" w:sz="4" w:space="0" w:color="000000"/>
            </w:tcBorders>
          </w:tcPr>
          <w:p w14:paraId="41CE98F0"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vAlign w:val="center"/>
          </w:tcPr>
          <w:p w14:paraId="2DCE03DC"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5376CC23" w14:textId="77777777" w:rsidR="005C45CB" w:rsidRPr="00AE066F" w:rsidRDefault="00000000">
            <w:pPr>
              <w:spacing w:after="0" w:line="240" w:lineRule="auto"/>
              <w:jc w:val="center"/>
              <w:rPr>
                <w:rFonts w:ascii="Arial" w:hAnsi="Arial" w:cs="Arial"/>
                <w:color w:val="000000"/>
                <w:sz w:val="20"/>
                <w:szCs w:val="20"/>
              </w:rPr>
            </w:pPr>
            <w:r w:rsidRPr="00AE066F">
              <w:t>0.641</w:t>
            </w:r>
          </w:p>
        </w:tc>
        <w:tc>
          <w:tcPr>
            <w:tcW w:w="990" w:type="dxa"/>
            <w:tcBorders>
              <w:top w:val="single" w:sz="4" w:space="0" w:color="000000"/>
              <w:left w:val="single" w:sz="4" w:space="0" w:color="000000"/>
              <w:bottom w:val="single" w:sz="4" w:space="0" w:color="000000"/>
              <w:right w:val="single" w:sz="4" w:space="0" w:color="000000"/>
            </w:tcBorders>
          </w:tcPr>
          <w:p w14:paraId="0F8243EB" w14:textId="77777777" w:rsidR="005C45CB" w:rsidRPr="00AE066F" w:rsidRDefault="00000000">
            <w:pPr>
              <w:spacing w:after="0" w:line="240" w:lineRule="auto"/>
              <w:jc w:val="center"/>
              <w:rPr>
                <w:rFonts w:ascii="Arial" w:hAnsi="Arial" w:cs="Arial"/>
                <w:color w:val="000000"/>
                <w:sz w:val="20"/>
                <w:szCs w:val="20"/>
              </w:rPr>
            </w:pPr>
            <w:r w:rsidRPr="00AE066F">
              <w:t>0.3205</w:t>
            </w:r>
          </w:p>
        </w:tc>
        <w:tc>
          <w:tcPr>
            <w:tcW w:w="900" w:type="dxa"/>
            <w:tcBorders>
              <w:top w:val="single" w:sz="4" w:space="0" w:color="000000"/>
              <w:left w:val="single" w:sz="4" w:space="0" w:color="000000"/>
              <w:bottom w:val="single" w:sz="4" w:space="0" w:color="000000"/>
              <w:right w:val="single" w:sz="4" w:space="0" w:color="000000"/>
            </w:tcBorders>
          </w:tcPr>
          <w:p w14:paraId="137442C0" w14:textId="77777777" w:rsidR="005C45CB" w:rsidRPr="00AE066F" w:rsidRDefault="00000000">
            <w:pPr>
              <w:spacing w:after="0" w:line="240" w:lineRule="auto"/>
              <w:jc w:val="center"/>
              <w:rPr>
                <w:rFonts w:ascii="Arial" w:hAnsi="Arial" w:cs="Arial"/>
                <w:color w:val="000000"/>
                <w:sz w:val="20"/>
                <w:szCs w:val="20"/>
              </w:rPr>
            </w:pPr>
            <w:r w:rsidRPr="00AE066F">
              <w:t>4.550</w:t>
            </w:r>
          </w:p>
        </w:tc>
        <w:tc>
          <w:tcPr>
            <w:tcW w:w="810" w:type="dxa"/>
            <w:tcBorders>
              <w:top w:val="single" w:sz="4" w:space="0" w:color="000000"/>
              <w:left w:val="single" w:sz="4" w:space="0" w:color="000000"/>
              <w:bottom w:val="single" w:sz="4" w:space="0" w:color="000000"/>
              <w:right w:val="single" w:sz="4" w:space="0" w:color="000000"/>
            </w:tcBorders>
          </w:tcPr>
          <w:p w14:paraId="6E3171F3"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79ED6BF0"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15367786"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17E9583C" w14:textId="77777777" w:rsidR="005C45CB" w:rsidRPr="00AE066F" w:rsidRDefault="00000000">
            <w:pPr>
              <w:spacing w:after="0" w:line="240" w:lineRule="auto"/>
              <w:rPr>
                <w:rFonts w:ascii="Arial" w:hAnsi="Arial" w:cs="Arial"/>
                <w:color w:val="000000"/>
                <w:sz w:val="20"/>
                <w:szCs w:val="20"/>
              </w:rPr>
            </w:pPr>
            <w:r w:rsidRPr="00AE066F">
              <w:t>16</w:t>
            </w:r>
          </w:p>
        </w:tc>
        <w:tc>
          <w:tcPr>
            <w:tcW w:w="903" w:type="dxa"/>
            <w:tcBorders>
              <w:top w:val="single" w:sz="4" w:space="0" w:color="000000"/>
              <w:left w:val="single" w:sz="4" w:space="0" w:color="000000"/>
              <w:bottom w:val="single" w:sz="4" w:space="0" w:color="000000"/>
              <w:right w:val="single" w:sz="4" w:space="0" w:color="000000"/>
            </w:tcBorders>
          </w:tcPr>
          <w:p w14:paraId="6DEAB389" w14:textId="77777777" w:rsidR="005C45CB" w:rsidRPr="00AE066F" w:rsidRDefault="00000000">
            <w:pPr>
              <w:spacing w:after="0" w:line="240" w:lineRule="auto"/>
              <w:jc w:val="center"/>
              <w:rPr>
                <w:rFonts w:ascii="Arial" w:hAnsi="Arial" w:cs="Arial"/>
                <w:color w:val="000000"/>
                <w:sz w:val="20"/>
                <w:szCs w:val="20"/>
              </w:rPr>
            </w:pPr>
            <w:r w:rsidRPr="00AE066F">
              <w:t>0.556</w:t>
            </w:r>
          </w:p>
        </w:tc>
        <w:tc>
          <w:tcPr>
            <w:tcW w:w="990" w:type="dxa"/>
            <w:tcBorders>
              <w:top w:val="single" w:sz="4" w:space="0" w:color="000000"/>
              <w:left w:val="single" w:sz="4" w:space="0" w:color="000000"/>
              <w:bottom w:val="single" w:sz="4" w:space="0" w:color="000000"/>
              <w:right w:val="single" w:sz="4" w:space="0" w:color="000000"/>
            </w:tcBorders>
            <w:vAlign w:val="center"/>
          </w:tcPr>
          <w:p w14:paraId="5FF68262"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0EF4CDEF" w14:textId="77777777" w:rsidR="005C45CB" w:rsidRPr="00AE066F" w:rsidRDefault="00000000">
            <w:pPr>
              <w:spacing w:after="0" w:line="240" w:lineRule="auto"/>
              <w:jc w:val="center"/>
              <w:rPr>
                <w:rFonts w:ascii="Arial" w:hAnsi="Arial" w:cs="Arial"/>
                <w:color w:val="000000"/>
                <w:sz w:val="20"/>
                <w:szCs w:val="20"/>
              </w:rPr>
            </w:pPr>
            <w:r w:rsidRPr="00AE066F">
              <w:t>0.556</w:t>
            </w:r>
          </w:p>
        </w:tc>
        <w:tc>
          <w:tcPr>
            <w:tcW w:w="990" w:type="dxa"/>
            <w:tcBorders>
              <w:top w:val="single" w:sz="4" w:space="0" w:color="000000"/>
              <w:left w:val="single" w:sz="4" w:space="0" w:color="000000"/>
              <w:bottom w:val="single" w:sz="4" w:space="0" w:color="000000"/>
              <w:right w:val="single" w:sz="4" w:space="0" w:color="000000"/>
            </w:tcBorders>
          </w:tcPr>
          <w:p w14:paraId="608D059E" w14:textId="77777777" w:rsidR="005C45CB" w:rsidRPr="00AE066F" w:rsidRDefault="00000000">
            <w:pPr>
              <w:spacing w:after="0" w:line="240" w:lineRule="auto"/>
              <w:jc w:val="center"/>
              <w:rPr>
                <w:rFonts w:ascii="Arial" w:hAnsi="Arial" w:cs="Arial"/>
                <w:color w:val="000000"/>
                <w:sz w:val="20"/>
                <w:szCs w:val="20"/>
              </w:rPr>
            </w:pPr>
            <w:r w:rsidRPr="00AE066F">
              <w:t>0.278</w:t>
            </w:r>
          </w:p>
        </w:tc>
        <w:tc>
          <w:tcPr>
            <w:tcW w:w="900" w:type="dxa"/>
            <w:tcBorders>
              <w:top w:val="single" w:sz="4" w:space="0" w:color="000000"/>
              <w:left w:val="single" w:sz="4" w:space="0" w:color="000000"/>
              <w:bottom w:val="single" w:sz="4" w:space="0" w:color="000000"/>
              <w:right w:val="single" w:sz="4" w:space="0" w:color="000000"/>
            </w:tcBorders>
          </w:tcPr>
          <w:p w14:paraId="1D1D564B" w14:textId="77777777" w:rsidR="005C45CB" w:rsidRPr="00AE066F" w:rsidRDefault="00000000">
            <w:pPr>
              <w:spacing w:after="0" w:line="240" w:lineRule="auto"/>
              <w:jc w:val="center"/>
              <w:rPr>
                <w:rFonts w:ascii="Arial" w:hAnsi="Arial" w:cs="Arial"/>
                <w:color w:val="000000"/>
                <w:sz w:val="20"/>
                <w:szCs w:val="20"/>
              </w:rPr>
            </w:pPr>
            <w:r w:rsidRPr="00AE066F">
              <w:t>3.947</w:t>
            </w:r>
          </w:p>
        </w:tc>
        <w:tc>
          <w:tcPr>
            <w:tcW w:w="810" w:type="dxa"/>
            <w:tcBorders>
              <w:top w:val="single" w:sz="4" w:space="0" w:color="000000"/>
              <w:left w:val="single" w:sz="4" w:space="0" w:color="000000"/>
              <w:bottom w:val="single" w:sz="4" w:space="0" w:color="000000"/>
              <w:right w:val="single" w:sz="4" w:space="0" w:color="000000"/>
            </w:tcBorders>
          </w:tcPr>
          <w:p w14:paraId="09843133"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2F601C9D"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5FB9BD77"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659403E7" w14:textId="77777777" w:rsidR="005C45CB" w:rsidRPr="00AE066F" w:rsidRDefault="00000000">
            <w:pPr>
              <w:spacing w:after="0" w:line="240" w:lineRule="auto"/>
              <w:rPr>
                <w:rFonts w:ascii="Arial" w:hAnsi="Arial" w:cs="Arial"/>
                <w:color w:val="000000"/>
                <w:sz w:val="20"/>
                <w:szCs w:val="20"/>
              </w:rPr>
            </w:pPr>
            <w:r w:rsidRPr="00AE066F">
              <w:t>17</w:t>
            </w:r>
          </w:p>
        </w:tc>
        <w:tc>
          <w:tcPr>
            <w:tcW w:w="903" w:type="dxa"/>
            <w:tcBorders>
              <w:top w:val="single" w:sz="4" w:space="0" w:color="000000"/>
              <w:left w:val="single" w:sz="4" w:space="0" w:color="000000"/>
              <w:bottom w:val="single" w:sz="4" w:space="0" w:color="000000"/>
              <w:right w:val="single" w:sz="4" w:space="0" w:color="000000"/>
            </w:tcBorders>
          </w:tcPr>
          <w:p w14:paraId="7A66A5E8" w14:textId="77777777" w:rsidR="005C45CB" w:rsidRPr="00AE066F" w:rsidRDefault="00000000">
            <w:pPr>
              <w:spacing w:after="0" w:line="240" w:lineRule="auto"/>
              <w:jc w:val="center"/>
              <w:rPr>
                <w:rFonts w:ascii="Arial" w:hAnsi="Arial" w:cs="Arial"/>
                <w:color w:val="000000"/>
                <w:sz w:val="20"/>
                <w:szCs w:val="20"/>
              </w:rPr>
            </w:pPr>
            <w:r w:rsidRPr="00AE066F">
              <w:t>0.556</w:t>
            </w:r>
          </w:p>
        </w:tc>
        <w:tc>
          <w:tcPr>
            <w:tcW w:w="990" w:type="dxa"/>
            <w:tcBorders>
              <w:top w:val="single" w:sz="4" w:space="0" w:color="000000"/>
              <w:left w:val="single" w:sz="4" w:space="0" w:color="000000"/>
              <w:bottom w:val="single" w:sz="4" w:space="0" w:color="000000"/>
              <w:right w:val="single" w:sz="4" w:space="0" w:color="000000"/>
            </w:tcBorders>
            <w:vAlign w:val="center"/>
          </w:tcPr>
          <w:p w14:paraId="4EF7B230"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0F7BAD7D" w14:textId="77777777" w:rsidR="005C45CB" w:rsidRPr="00AE066F" w:rsidRDefault="00000000">
            <w:pPr>
              <w:spacing w:after="0" w:line="240" w:lineRule="auto"/>
              <w:jc w:val="center"/>
              <w:rPr>
                <w:rFonts w:ascii="Arial" w:hAnsi="Arial" w:cs="Arial"/>
                <w:color w:val="000000"/>
                <w:sz w:val="20"/>
                <w:szCs w:val="20"/>
              </w:rPr>
            </w:pPr>
            <w:r w:rsidRPr="00AE066F">
              <w:t>0.556</w:t>
            </w:r>
          </w:p>
        </w:tc>
        <w:tc>
          <w:tcPr>
            <w:tcW w:w="990" w:type="dxa"/>
            <w:tcBorders>
              <w:top w:val="single" w:sz="4" w:space="0" w:color="000000"/>
              <w:left w:val="single" w:sz="4" w:space="0" w:color="000000"/>
              <w:bottom w:val="single" w:sz="4" w:space="0" w:color="000000"/>
              <w:right w:val="single" w:sz="4" w:space="0" w:color="000000"/>
            </w:tcBorders>
          </w:tcPr>
          <w:p w14:paraId="16BB43EB" w14:textId="77777777" w:rsidR="005C45CB" w:rsidRPr="00AE066F" w:rsidRDefault="00000000">
            <w:pPr>
              <w:spacing w:after="0" w:line="240" w:lineRule="auto"/>
              <w:jc w:val="center"/>
              <w:rPr>
                <w:rFonts w:ascii="Arial" w:hAnsi="Arial" w:cs="Arial"/>
                <w:color w:val="000000"/>
                <w:sz w:val="20"/>
                <w:szCs w:val="20"/>
              </w:rPr>
            </w:pPr>
            <w:r w:rsidRPr="00AE066F">
              <w:t>0.278</w:t>
            </w:r>
          </w:p>
        </w:tc>
        <w:tc>
          <w:tcPr>
            <w:tcW w:w="900" w:type="dxa"/>
            <w:tcBorders>
              <w:top w:val="single" w:sz="4" w:space="0" w:color="000000"/>
              <w:left w:val="single" w:sz="4" w:space="0" w:color="000000"/>
              <w:bottom w:val="single" w:sz="4" w:space="0" w:color="000000"/>
              <w:right w:val="single" w:sz="4" w:space="0" w:color="000000"/>
            </w:tcBorders>
          </w:tcPr>
          <w:p w14:paraId="292947FE" w14:textId="77777777" w:rsidR="005C45CB" w:rsidRPr="00AE066F" w:rsidRDefault="00000000">
            <w:pPr>
              <w:spacing w:after="0" w:line="240" w:lineRule="auto"/>
              <w:jc w:val="center"/>
              <w:rPr>
                <w:rFonts w:ascii="Arial" w:hAnsi="Arial" w:cs="Arial"/>
                <w:color w:val="000000"/>
                <w:sz w:val="20"/>
                <w:szCs w:val="20"/>
              </w:rPr>
            </w:pPr>
            <w:r w:rsidRPr="00AE066F">
              <w:t>3.947</w:t>
            </w:r>
          </w:p>
        </w:tc>
        <w:tc>
          <w:tcPr>
            <w:tcW w:w="810" w:type="dxa"/>
            <w:tcBorders>
              <w:top w:val="single" w:sz="4" w:space="0" w:color="000000"/>
              <w:left w:val="single" w:sz="4" w:space="0" w:color="000000"/>
              <w:bottom w:val="single" w:sz="4" w:space="0" w:color="000000"/>
              <w:right w:val="single" w:sz="4" w:space="0" w:color="000000"/>
            </w:tcBorders>
          </w:tcPr>
          <w:p w14:paraId="2FBBA8E7"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4D4B6049"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73D1D0D3"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73A65C1D" w14:textId="77777777" w:rsidR="005C45CB" w:rsidRPr="00AE066F" w:rsidRDefault="00000000">
            <w:pPr>
              <w:spacing w:after="0" w:line="240" w:lineRule="auto"/>
              <w:rPr>
                <w:rFonts w:ascii="Arial" w:hAnsi="Arial" w:cs="Arial"/>
                <w:color w:val="000000"/>
                <w:sz w:val="20"/>
                <w:szCs w:val="20"/>
              </w:rPr>
            </w:pPr>
            <w:r w:rsidRPr="00AE066F">
              <w:t>18</w:t>
            </w:r>
          </w:p>
        </w:tc>
        <w:tc>
          <w:tcPr>
            <w:tcW w:w="903" w:type="dxa"/>
            <w:tcBorders>
              <w:top w:val="single" w:sz="4" w:space="0" w:color="000000"/>
              <w:left w:val="single" w:sz="4" w:space="0" w:color="000000"/>
              <w:bottom w:val="single" w:sz="4" w:space="0" w:color="000000"/>
              <w:right w:val="single" w:sz="4" w:space="0" w:color="000000"/>
            </w:tcBorders>
          </w:tcPr>
          <w:p w14:paraId="5028B53A" w14:textId="77777777" w:rsidR="005C45CB" w:rsidRPr="00AE066F" w:rsidRDefault="00000000">
            <w:pPr>
              <w:spacing w:after="0" w:line="240" w:lineRule="auto"/>
              <w:jc w:val="center"/>
              <w:rPr>
                <w:rFonts w:ascii="Arial" w:hAnsi="Arial" w:cs="Arial"/>
                <w:color w:val="000000"/>
                <w:sz w:val="20"/>
                <w:szCs w:val="20"/>
              </w:rPr>
            </w:pPr>
            <w:r w:rsidRPr="00AE066F">
              <w:t>0.513</w:t>
            </w:r>
          </w:p>
        </w:tc>
        <w:tc>
          <w:tcPr>
            <w:tcW w:w="990" w:type="dxa"/>
            <w:tcBorders>
              <w:top w:val="single" w:sz="4" w:space="0" w:color="000000"/>
              <w:left w:val="single" w:sz="4" w:space="0" w:color="000000"/>
              <w:bottom w:val="single" w:sz="4" w:space="0" w:color="000000"/>
              <w:right w:val="single" w:sz="4" w:space="0" w:color="000000"/>
            </w:tcBorders>
            <w:vAlign w:val="center"/>
          </w:tcPr>
          <w:p w14:paraId="44BD531A"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2E29EEE7" w14:textId="77777777" w:rsidR="005C45CB" w:rsidRPr="00AE066F" w:rsidRDefault="00000000">
            <w:pPr>
              <w:spacing w:after="0" w:line="240" w:lineRule="auto"/>
              <w:jc w:val="center"/>
              <w:rPr>
                <w:rFonts w:ascii="Arial" w:hAnsi="Arial" w:cs="Arial"/>
                <w:color w:val="000000"/>
                <w:sz w:val="20"/>
                <w:szCs w:val="20"/>
              </w:rPr>
            </w:pPr>
            <w:r w:rsidRPr="00AE066F">
              <w:t>0.513</w:t>
            </w:r>
          </w:p>
        </w:tc>
        <w:tc>
          <w:tcPr>
            <w:tcW w:w="990" w:type="dxa"/>
            <w:tcBorders>
              <w:top w:val="single" w:sz="4" w:space="0" w:color="000000"/>
              <w:left w:val="single" w:sz="4" w:space="0" w:color="000000"/>
              <w:bottom w:val="single" w:sz="4" w:space="0" w:color="000000"/>
              <w:right w:val="single" w:sz="4" w:space="0" w:color="000000"/>
            </w:tcBorders>
          </w:tcPr>
          <w:p w14:paraId="19BEE152" w14:textId="77777777" w:rsidR="005C45CB" w:rsidRPr="00AE066F" w:rsidRDefault="00000000">
            <w:pPr>
              <w:spacing w:after="0" w:line="240" w:lineRule="auto"/>
              <w:jc w:val="center"/>
              <w:rPr>
                <w:rFonts w:ascii="Arial" w:hAnsi="Arial" w:cs="Arial"/>
                <w:color w:val="000000"/>
                <w:sz w:val="20"/>
                <w:szCs w:val="20"/>
              </w:rPr>
            </w:pPr>
            <w:r w:rsidRPr="00AE066F">
              <w:t>0.2565</w:t>
            </w:r>
          </w:p>
        </w:tc>
        <w:tc>
          <w:tcPr>
            <w:tcW w:w="900" w:type="dxa"/>
            <w:tcBorders>
              <w:top w:val="single" w:sz="4" w:space="0" w:color="000000"/>
              <w:left w:val="single" w:sz="4" w:space="0" w:color="000000"/>
              <w:bottom w:val="single" w:sz="4" w:space="0" w:color="000000"/>
              <w:right w:val="single" w:sz="4" w:space="0" w:color="000000"/>
            </w:tcBorders>
          </w:tcPr>
          <w:p w14:paraId="4AD6D29E" w14:textId="77777777" w:rsidR="005C45CB" w:rsidRPr="00AE066F" w:rsidRDefault="00000000">
            <w:pPr>
              <w:spacing w:after="0" w:line="240" w:lineRule="auto"/>
              <w:jc w:val="center"/>
              <w:rPr>
                <w:rFonts w:ascii="Arial" w:hAnsi="Arial" w:cs="Arial"/>
                <w:color w:val="000000"/>
                <w:sz w:val="20"/>
                <w:szCs w:val="20"/>
              </w:rPr>
            </w:pPr>
            <w:r w:rsidRPr="00AE066F">
              <w:t>3.641</w:t>
            </w:r>
          </w:p>
        </w:tc>
        <w:tc>
          <w:tcPr>
            <w:tcW w:w="810" w:type="dxa"/>
            <w:tcBorders>
              <w:top w:val="single" w:sz="4" w:space="0" w:color="000000"/>
              <w:left w:val="single" w:sz="4" w:space="0" w:color="000000"/>
              <w:bottom w:val="single" w:sz="4" w:space="0" w:color="000000"/>
              <w:right w:val="single" w:sz="4" w:space="0" w:color="000000"/>
            </w:tcBorders>
          </w:tcPr>
          <w:p w14:paraId="2E5ACA58"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6C116EBA"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114521B4"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53452736" w14:textId="77777777" w:rsidR="005C45CB" w:rsidRPr="00AE066F" w:rsidRDefault="00000000">
            <w:pPr>
              <w:spacing w:after="0" w:line="240" w:lineRule="auto"/>
              <w:rPr>
                <w:rFonts w:ascii="Arial" w:hAnsi="Arial" w:cs="Arial"/>
                <w:color w:val="000000"/>
                <w:sz w:val="20"/>
                <w:szCs w:val="20"/>
              </w:rPr>
            </w:pPr>
            <w:r w:rsidRPr="00AE066F">
              <w:t>19</w:t>
            </w:r>
          </w:p>
        </w:tc>
        <w:tc>
          <w:tcPr>
            <w:tcW w:w="903" w:type="dxa"/>
            <w:tcBorders>
              <w:top w:val="single" w:sz="4" w:space="0" w:color="000000"/>
              <w:left w:val="single" w:sz="4" w:space="0" w:color="000000"/>
              <w:bottom w:val="single" w:sz="4" w:space="0" w:color="000000"/>
              <w:right w:val="single" w:sz="4" w:space="0" w:color="000000"/>
            </w:tcBorders>
          </w:tcPr>
          <w:p w14:paraId="1EFE2680" w14:textId="77777777" w:rsidR="005C45CB" w:rsidRPr="00AE066F" w:rsidRDefault="00000000">
            <w:pPr>
              <w:spacing w:after="0" w:line="240" w:lineRule="auto"/>
              <w:jc w:val="center"/>
              <w:rPr>
                <w:rFonts w:ascii="Arial" w:hAnsi="Arial" w:cs="Arial"/>
                <w:color w:val="000000"/>
                <w:sz w:val="20"/>
                <w:szCs w:val="20"/>
              </w:rPr>
            </w:pPr>
            <w:r w:rsidRPr="00AE066F">
              <w:t>0.513</w:t>
            </w:r>
          </w:p>
        </w:tc>
        <w:tc>
          <w:tcPr>
            <w:tcW w:w="990" w:type="dxa"/>
            <w:tcBorders>
              <w:top w:val="single" w:sz="4" w:space="0" w:color="000000"/>
              <w:left w:val="single" w:sz="4" w:space="0" w:color="000000"/>
              <w:bottom w:val="single" w:sz="4" w:space="0" w:color="000000"/>
              <w:right w:val="single" w:sz="4" w:space="0" w:color="000000"/>
            </w:tcBorders>
            <w:vAlign w:val="center"/>
          </w:tcPr>
          <w:p w14:paraId="1717B4D9"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0381B317" w14:textId="77777777" w:rsidR="005C45CB" w:rsidRPr="00AE066F" w:rsidRDefault="00000000">
            <w:pPr>
              <w:spacing w:after="0" w:line="240" w:lineRule="auto"/>
              <w:jc w:val="center"/>
              <w:rPr>
                <w:rFonts w:ascii="Arial" w:hAnsi="Arial" w:cs="Arial"/>
                <w:color w:val="000000"/>
                <w:sz w:val="20"/>
                <w:szCs w:val="20"/>
              </w:rPr>
            </w:pPr>
            <w:r w:rsidRPr="00AE066F">
              <w:t>0.513</w:t>
            </w:r>
          </w:p>
        </w:tc>
        <w:tc>
          <w:tcPr>
            <w:tcW w:w="990" w:type="dxa"/>
            <w:tcBorders>
              <w:top w:val="single" w:sz="4" w:space="0" w:color="000000"/>
              <w:left w:val="single" w:sz="4" w:space="0" w:color="000000"/>
              <w:bottom w:val="single" w:sz="4" w:space="0" w:color="000000"/>
              <w:right w:val="single" w:sz="4" w:space="0" w:color="000000"/>
            </w:tcBorders>
          </w:tcPr>
          <w:p w14:paraId="21C02D0F" w14:textId="77777777" w:rsidR="005C45CB" w:rsidRPr="00AE066F" w:rsidRDefault="00000000">
            <w:pPr>
              <w:spacing w:after="0" w:line="240" w:lineRule="auto"/>
              <w:jc w:val="center"/>
              <w:rPr>
                <w:rFonts w:ascii="Arial" w:hAnsi="Arial" w:cs="Arial"/>
                <w:color w:val="000000"/>
                <w:sz w:val="20"/>
                <w:szCs w:val="20"/>
              </w:rPr>
            </w:pPr>
            <w:r w:rsidRPr="00AE066F">
              <w:t>0.2565</w:t>
            </w:r>
          </w:p>
        </w:tc>
        <w:tc>
          <w:tcPr>
            <w:tcW w:w="900" w:type="dxa"/>
            <w:tcBorders>
              <w:top w:val="single" w:sz="4" w:space="0" w:color="000000"/>
              <w:left w:val="single" w:sz="4" w:space="0" w:color="000000"/>
              <w:bottom w:val="single" w:sz="4" w:space="0" w:color="000000"/>
              <w:right w:val="single" w:sz="4" w:space="0" w:color="000000"/>
            </w:tcBorders>
          </w:tcPr>
          <w:p w14:paraId="648D58A9" w14:textId="77777777" w:rsidR="005C45CB" w:rsidRPr="00AE066F" w:rsidRDefault="00000000">
            <w:pPr>
              <w:spacing w:after="0" w:line="240" w:lineRule="auto"/>
              <w:jc w:val="center"/>
              <w:rPr>
                <w:rFonts w:ascii="Arial" w:hAnsi="Arial" w:cs="Arial"/>
                <w:color w:val="000000"/>
                <w:sz w:val="20"/>
                <w:szCs w:val="20"/>
              </w:rPr>
            </w:pPr>
            <w:r w:rsidRPr="00AE066F">
              <w:t>3.641</w:t>
            </w:r>
          </w:p>
        </w:tc>
        <w:tc>
          <w:tcPr>
            <w:tcW w:w="810" w:type="dxa"/>
            <w:tcBorders>
              <w:top w:val="single" w:sz="4" w:space="0" w:color="000000"/>
              <w:left w:val="single" w:sz="4" w:space="0" w:color="000000"/>
              <w:bottom w:val="single" w:sz="4" w:space="0" w:color="000000"/>
              <w:right w:val="single" w:sz="4" w:space="0" w:color="000000"/>
            </w:tcBorders>
          </w:tcPr>
          <w:p w14:paraId="1D8F3EC9"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1B68745F"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74C1CA69"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242AAAEB" w14:textId="77777777" w:rsidR="005C45CB" w:rsidRPr="00AE066F" w:rsidRDefault="00000000">
            <w:pPr>
              <w:spacing w:after="0" w:line="240" w:lineRule="auto"/>
              <w:rPr>
                <w:rFonts w:ascii="Arial" w:hAnsi="Arial" w:cs="Arial"/>
                <w:color w:val="000000"/>
                <w:sz w:val="20"/>
                <w:szCs w:val="20"/>
              </w:rPr>
            </w:pPr>
            <w:r w:rsidRPr="00AE066F">
              <w:t>20</w:t>
            </w:r>
          </w:p>
        </w:tc>
        <w:tc>
          <w:tcPr>
            <w:tcW w:w="903" w:type="dxa"/>
            <w:tcBorders>
              <w:top w:val="single" w:sz="4" w:space="0" w:color="000000"/>
              <w:left w:val="single" w:sz="4" w:space="0" w:color="000000"/>
              <w:bottom w:val="single" w:sz="4" w:space="0" w:color="000000"/>
              <w:right w:val="single" w:sz="4" w:space="0" w:color="000000"/>
            </w:tcBorders>
          </w:tcPr>
          <w:p w14:paraId="13EBB983" w14:textId="77777777" w:rsidR="005C45CB" w:rsidRPr="00AE066F" w:rsidRDefault="00000000">
            <w:pPr>
              <w:spacing w:after="0" w:line="240" w:lineRule="auto"/>
              <w:jc w:val="center"/>
              <w:rPr>
                <w:rFonts w:ascii="Arial" w:hAnsi="Arial" w:cs="Arial"/>
                <w:color w:val="000000"/>
                <w:sz w:val="20"/>
                <w:szCs w:val="20"/>
              </w:rPr>
            </w:pPr>
            <w:r w:rsidRPr="00AE066F">
              <w:t>0.51</w:t>
            </w:r>
          </w:p>
        </w:tc>
        <w:tc>
          <w:tcPr>
            <w:tcW w:w="990" w:type="dxa"/>
            <w:tcBorders>
              <w:top w:val="single" w:sz="4" w:space="0" w:color="000000"/>
              <w:left w:val="single" w:sz="4" w:space="0" w:color="000000"/>
              <w:bottom w:val="single" w:sz="4" w:space="0" w:color="000000"/>
              <w:right w:val="single" w:sz="4" w:space="0" w:color="000000"/>
            </w:tcBorders>
            <w:vAlign w:val="center"/>
          </w:tcPr>
          <w:p w14:paraId="55389CA6"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77DE5FC6" w14:textId="77777777" w:rsidR="005C45CB" w:rsidRPr="00AE066F" w:rsidRDefault="00000000">
            <w:pPr>
              <w:spacing w:after="0" w:line="240" w:lineRule="auto"/>
              <w:jc w:val="center"/>
              <w:rPr>
                <w:rFonts w:ascii="Arial" w:hAnsi="Arial" w:cs="Arial"/>
                <w:color w:val="000000"/>
                <w:sz w:val="20"/>
                <w:szCs w:val="20"/>
              </w:rPr>
            </w:pPr>
            <w:r w:rsidRPr="00AE066F">
              <w:t>0.51</w:t>
            </w:r>
          </w:p>
        </w:tc>
        <w:tc>
          <w:tcPr>
            <w:tcW w:w="990" w:type="dxa"/>
            <w:tcBorders>
              <w:top w:val="single" w:sz="4" w:space="0" w:color="000000"/>
              <w:left w:val="single" w:sz="4" w:space="0" w:color="000000"/>
              <w:bottom w:val="single" w:sz="4" w:space="0" w:color="000000"/>
              <w:right w:val="single" w:sz="4" w:space="0" w:color="000000"/>
            </w:tcBorders>
          </w:tcPr>
          <w:p w14:paraId="290D161C" w14:textId="77777777" w:rsidR="005C45CB" w:rsidRPr="00AE066F" w:rsidRDefault="00000000">
            <w:pPr>
              <w:spacing w:after="0" w:line="240" w:lineRule="auto"/>
              <w:jc w:val="center"/>
              <w:rPr>
                <w:rFonts w:ascii="Arial" w:hAnsi="Arial" w:cs="Arial"/>
                <w:color w:val="000000"/>
                <w:sz w:val="20"/>
                <w:szCs w:val="20"/>
              </w:rPr>
            </w:pPr>
            <w:r w:rsidRPr="00AE066F">
              <w:t>0.255</w:t>
            </w:r>
          </w:p>
        </w:tc>
        <w:tc>
          <w:tcPr>
            <w:tcW w:w="900" w:type="dxa"/>
            <w:tcBorders>
              <w:top w:val="single" w:sz="4" w:space="0" w:color="000000"/>
              <w:left w:val="single" w:sz="4" w:space="0" w:color="000000"/>
              <w:bottom w:val="single" w:sz="4" w:space="0" w:color="000000"/>
              <w:right w:val="single" w:sz="4" w:space="0" w:color="000000"/>
            </w:tcBorders>
          </w:tcPr>
          <w:p w14:paraId="7615E84A" w14:textId="77777777" w:rsidR="005C45CB" w:rsidRPr="00AE066F" w:rsidRDefault="00000000">
            <w:pPr>
              <w:spacing w:after="0" w:line="240" w:lineRule="auto"/>
              <w:jc w:val="center"/>
              <w:rPr>
                <w:rFonts w:ascii="Arial" w:hAnsi="Arial" w:cs="Arial"/>
                <w:color w:val="000000"/>
                <w:sz w:val="20"/>
                <w:szCs w:val="20"/>
              </w:rPr>
            </w:pPr>
            <w:r w:rsidRPr="00AE066F">
              <w:t>3.620</w:t>
            </w:r>
          </w:p>
        </w:tc>
        <w:tc>
          <w:tcPr>
            <w:tcW w:w="810" w:type="dxa"/>
            <w:tcBorders>
              <w:top w:val="single" w:sz="4" w:space="0" w:color="000000"/>
              <w:left w:val="single" w:sz="4" w:space="0" w:color="000000"/>
              <w:bottom w:val="single" w:sz="4" w:space="0" w:color="000000"/>
              <w:right w:val="single" w:sz="4" w:space="0" w:color="000000"/>
            </w:tcBorders>
          </w:tcPr>
          <w:p w14:paraId="417D60F5"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01FD7D6F"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65782398"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497F1C1A" w14:textId="77777777" w:rsidR="005C45CB" w:rsidRPr="00AE066F" w:rsidRDefault="00000000">
            <w:pPr>
              <w:spacing w:after="0" w:line="240" w:lineRule="auto"/>
              <w:rPr>
                <w:rFonts w:ascii="Arial" w:hAnsi="Arial" w:cs="Arial"/>
                <w:color w:val="000000"/>
                <w:sz w:val="20"/>
                <w:szCs w:val="20"/>
              </w:rPr>
            </w:pPr>
            <w:r w:rsidRPr="00AE066F">
              <w:t>21</w:t>
            </w:r>
          </w:p>
        </w:tc>
        <w:tc>
          <w:tcPr>
            <w:tcW w:w="903" w:type="dxa"/>
            <w:tcBorders>
              <w:top w:val="single" w:sz="4" w:space="0" w:color="000000"/>
              <w:left w:val="single" w:sz="4" w:space="0" w:color="000000"/>
              <w:bottom w:val="single" w:sz="4" w:space="0" w:color="000000"/>
              <w:right w:val="single" w:sz="4" w:space="0" w:color="000000"/>
            </w:tcBorders>
          </w:tcPr>
          <w:p w14:paraId="2C65E8E3"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vAlign w:val="center"/>
          </w:tcPr>
          <w:p w14:paraId="5CA42554"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2038F1B1"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tcPr>
          <w:p w14:paraId="439CD58A" w14:textId="77777777" w:rsidR="005C45CB" w:rsidRPr="00AE066F" w:rsidRDefault="00000000">
            <w:pPr>
              <w:spacing w:after="0" w:line="240" w:lineRule="auto"/>
              <w:jc w:val="center"/>
              <w:rPr>
                <w:rFonts w:ascii="Arial" w:hAnsi="Arial" w:cs="Arial"/>
                <w:color w:val="000000"/>
                <w:sz w:val="20"/>
                <w:szCs w:val="20"/>
              </w:rPr>
            </w:pPr>
            <w:r w:rsidRPr="00AE066F">
              <w:t>0.235</w:t>
            </w:r>
          </w:p>
        </w:tc>
        <w:tc>
          <w:tcPr>
            <w:tcW w:w="900" w:type="dxa"/>
            <w:tcBorders>
              <w:top w:val="single" w:sz="4" w:space="0" w:color="000000"/>
              <w:left w:val="single" w:sz="4" w:space="0" w:color="000000"/>
              <w:bottom w:val="single" w:sz="4" w:space="0" w:color="000000"/>
              <w:right w:val="single" w:sz="4" w:space="0" w:color="000000"/>
            </w:tcBorders>
          </w:tcPr>
          <w:p w14:paraId="72B8D87C" w14:textId="77777777" w:rsidR="005C45CB" w:rsidRPr="00AE066F" w:rsidRDefault="00000000">
            <w:pPr>
              <w:spacing w:after="0" w:line="240" w:lineRule="auto"/>
              <w:jc w:val="center"/>
              <w:rPr>
                <w:rFonts w:ascii="Arial" w:hAnsi="Arial" w:cs="Arial"/>
                <w:color w:val="000000"/>
                <w:sz w:val="20"/>
                <w:szCs w:val="20"/>
              </w:rPr>
            </w:pPr>
            <w:r w:rsidRPr="00AE066F">
              <w:t>3.336</w:t>
            </w:r>
          </w:p>
        </w:tc>
        <w:tc>
          <w:tcPr>
            <w:tcW w:w="810" w:type="dxa"/>
            <w:tcBorders>
              <w:top w:val="single" w:sz="4" w:space="0" w:color="000000"/>
              <w:left w:val="single" w:sz="4" w:space="0" w:color="000000"/>
              <w:bottom w:val="single" w:sz="4" w:space="0" w:color="000000"/>
              <w:right w:val="single" w:sz="4" w:space="0" w:color="000000"/>
            </w:tcBorders>
          </w:tcPr>
          <w:p w14:paraId="38560695"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57474D95"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61F48A3F"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4CFA6F96" w14:textId="77777777" w:rsidR="005C45CB" w:rsidRPr="00AE066F" w:rsidRDefault="00000000">
            <w:pPr>
              <w:spacing w:after="0" w:line="240" w:lineRule="auto"/>
              <w:rPr>
                <w:rFonts w:ascii="Arial" w:hAnsi="Arial" w:cs="Arial"/>
                <w:color w:val="000000"/>
                <w:sz w:val="20"/>
                <w:szCs w:val="20"/>
              </w:rPr>
            </w:pPr>
            <w:r w:rsidRPr="00AE066F">
              <w:t>22</w:t>
            </w:r>
          </w:p>
        </w:tc>
        <w:tc>
          <w:tcPr>
            <w:tcW w:w="903" w:type="dxa"/>
            <w:tcBorders>
              <w:top w:val="single" w:sz="4" w:space="0" w:color="000000"/>
              <w:left w:val="single" w:sz="4" w:space="0" w:color="000000"/>
              <w:bottom w:val="single" w:sz="4" w:space="0" w:color="000000"/>
              <w:right w:val="single" w:sz="4" w:space="0" w:color="000000"/>
            </w:tcBorders>
          </w:tcPr>
          <w:p w14:paraId="3E97A083"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vAlign w:val="center"/>
          </w:tcPr>
          <w:p w14:paraId="59F5A551"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3FD40B90"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tcPr>
          <w:p w14:paraId="44CC65CF" w14:textId="77777777" w:rsidR="005C45CB" w:rsidRPr="00AE066F" w:rsidRDefault="00000000">
            <w:pPr>
              <w:spacing w:after="0" w:line="240" w:lineRule="auto"/>
              <w:jc w:val="center"/>
              <w:rPr>
                <w:rFonts w:ascii="Arial" w:hAnsi="Arial" w:cs="Arial"/>
                <w:color w:val="000000"/>
                <w:sz w:val="20"/>
                <w:szCs w:val="20"/>
              </w:rPr>
            </w:pPr>
            <w:r w:rsidRPr="00AE066F">
              <w:t>0.235</w:t>
            </w:r>
          </w:p>
        </w:tc>
        <w:tc>
          <w:tcPr>
            <w:tcW w:w="900" w:type="dxa"/>
            <w:tcBorders>
              <w:top w:val="single" w:sz="4" w:space="0" w:color="000000"/>
              <w:left w:val="single" w:sz="4" w:space="0" w:color="000000"/>
              <w:bottom w:val="single" w:sz="4" w:space="0" w:color="000000"/>
              <w:right w:val="single" w:sz="4" w:space="0" w:color="000000"/>
            </w:tcBorders>
          </w:tcPr>
          <w:p w14:paraId="706A8F83" w14:textId="77777777" w:rsidR="005C45CB" w:rsidRPr="00AE066F" w:rsidRDefault="00000000">
            <w:pPr>
              <w:spacing w:after="0" w:line="240" w:lineRule="auto"/>
              <w:jc w:val="center"/>
              <w:rPr>
                <w:rFonts w:ascii="Arial" w:hAnsi="Arial" w:cs="Arial"/>
                <w:color w:val="000000"/>
                <w:sz w:val="20"/>
                <w:szCs w:val="20"/>
              </w:rPr>
            </w:pPr>
            <w:r w:rsidRPr="00AE066F">
              <w:t>3.336</w:t>
            </w:r>
          </w:p>
        </w:tc>
        <w:tc>
          <w:tcPr>
            <w:tcW w:w="810" w:type="dxa"/>
            <w:tcBorders>
              <w:top w:val="single" w:sz="4" w:space="0" w:color="000000"/>
              <w:left w:val="single" w:sz="4" w:space="0" w:color="000000"/>
              <w:bottom w:val="single" w:sz="4" w:space="0" w:color="000000"/>
              <w:right w:val="single" w:sz="4" w:space="0" w:color="000000"/>
            </w:tcBorders>
          </w:tcPr>
          <w:p w14:paraId="43108236"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6B602190"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113693EC"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7D687351" w14:textId="77777777" w:rsidR="005C45CB" w:rsidRPr="00AE066F" w:rsidRDefault="00000000">
            <w:pPr>
              <w:spacing w:after="0" w:line="240" w:lineRule="auto"/>
              <w:rPr>
                <w:rFonts w:ascii="Arial" w:hAnsi="Arial" w:cs="Arial"/>
                <w:color w:val="000000"/>
                <w:sz w:val="20"/>
                <w:szCs w:val="20"/>
              </w:rPr>
            </w:pPr>
            <w:r w:rsidRPr="00AE066F">
              <w:t>23</w:t>
            </w:r>
          </w:p>
        </w:tc>
        <w:tc>
          <w:tcPr>
            <w:tcW w:w="903" w:type="dxa"/>
            <w:tcBorders>
              <w:top w:val="single" w:sz="4" w:space="0" w:color="000000"/>
              <w:left w:val="single" w:sz="4" w:space="0" w:color="000000"/>
              <w:bottom w:val="single" w:sz="4" w:space="0" w:color="000000"/>
              <w:right w:val="single" w:sz="4" w:space="0" w:color="000000"/>
            </w:tcBorders>
          </w:tcPr>
          <w:p w14:paraId="2B1CE1DD"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vAlign w:val="center"/>
          </w:tcPr>
          <w:p w14:paraId="0E11A372"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55B7FCD1" w14:textId="77777777" w:rsidR="005C45CB" w:rsidRPr="00AE066F" w:rsidRDefault="00000000">
            <w:pPr>
              <w:spacing w:after="0" w:line="240" w:lineRule="auto"/>
              <w:jc w:val="center"/>
              <w:rPr>
                <w:rFonts w:ascii="Arial" w:hAnsi="Arial" w:cs="Arial"/>
                <w:color w:val="000000"/>
                <w:sz w:val="20"/>
                <w:szCs w:val="20"/>
              </w:rPr>
            </w:pPr>
            <w:r w:rsidRPr="00AE066F">
              <w:t>0.47</w:t>
            </w:r>
          </w:p>
        </w:tc>
        <w:tc>
          <w:tcPr>
            <w:tcW w:w="990" w:type="dxa"/>
            <w:tcBorders>
              <w:top w:val="single" w:sz="4" w:space="0" w:color="000000"/>
              <w:left w:val="single" w:sz="4" w:space="0" w:color="000000"/>
              <w:bottom w:val="single" w:sz="4" w:space="0" w:color="000000"/>
              <w:right w:val="single" w:sz="4" w:space="0" w:color="000000"/>
            </w:tcBorders>
          </w:tcPr>
          <w:p w14:paraId="0E6AC4CE" w14:textId="77777777" w:rsidR="005C45CB" w:rsidRPr="00AE066F" w:rsidRDefault="00000000">
            <w:pPr>
              <w:spacing w:after="0" w:line="240" w:lineRule="auto"/>
              <w:jc w:val="center"/>
              <w:rPr>
                <w:rFonts w:ascii="Arial" w:hAnsi="Arial" w:cs="Arial"/>
                <w:color w:val="000000"/>
                <w:sz w:val="20"/>
                <w:szCs w:val="20"/>
              </w:rPr>
            </w:pPr>
            <w:r w:rsidRPr="00AE066F">
              <w:t>0.235</w:t>
            </w:r>
          </w:p>
        </w:tc>
        <w:tc>
          <w:tcPr>
            <w:tcW w:w="900" w:type="dxa"/>
            <w:tcBorders>
              <w:top w:val="single" w:sz="4" w:space="0" w:color="000000"/>
              <w:left w:val="single" w:sz="4" w:space="0" w:color="000000"/>
              <w:bottom w:val="single" w:sz="4" w:space="0" w:color="000000"/>
              <w:right w:val="single" w:sz="4" w:space="0" w:color="000000"/>
            </w:tcBorders>
          </w:tcPr>
          <w:p w14:paraId="310CD560" w14:textId="77777777" w:rsidR="005C45CB" w:rsidRPr="00AE066F" w:rsidRDefault="00000000">
            <w:pPr>
              <w:spacing w:after="0" w:line="240" w:lineRule="auto"/>
              <w:jc w:val="center"/>
              <w:rPr>
                <w:rFonts w:ascii="Arial" w:hAnsi="Arial" w:cs="Arial"/>
                <w:color w:val="000000"/>
                <w:sz w:val="20"/>
                <w:szCs w:val="20"/>
              </w:rPr>
            </w:pPr>
            <w:r w:rsidRPr="00AE066F">
              <w:t>3.336</w:t>
            </w:r>
          </w:p>
        </w:tc>
        <w:tc>
          <w:tcPr>
            <w:tcW w:w="810" w:type="dxa"/>
            <w:tcBorders>
              <w:top w:val="single" w:sz="4" w:space="0" w:color="000000"/>
              <w:left w:val="single" w:sz="4" w:space="0" w:color="000000"/>
              <w:bottom w:val="single" w:sz="4" w:space="0" w:color="000000"/>
              <w:right w:val="single" w:sz="4" w:space="0" w:color="000000"/>
            </w:tcBorders>
          </w:tcPr>
          <w:p w14:paraId="546282BD"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623E75B5"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5056099C"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75D57F2D" w14:textId="77777777" w:rsidR="005C45CB" w:rsidRPr="00AE066F" w:rsidRDefault="00000000">
            <w:pPr>
              <w:spacing w:after="0" w:line="240" w:lineRule="auto"/>
              <w:rPr>
                <w:rFonts w:ascii="Arial" w:hAnsi="Arial" w:cs="Arial"/>
                <w:color w:val="000000"/>
                <w:sz w:val="20"/>
                <w:szCs w:val="20"/>
              </w:rPr>
            </w:pPr>
            <w:r w:rsidRPr="00AE066F">
              <w:t>24</w:t>
            </w:r>
          </w:p>
        </w:tc>
        <w:tc>
          <w:tcPr>
            <w:tcW w:w="903" w:type="dxa"/>
            <w:tcBorders>
              <w:top w:val="single" w:sz="4" w:space="0" w:color="000000"/>
              <w:left w:val="single" w:sz="4" w:space="0" w:color="000000"/>
              <w:bottom w:val="single" w:sz="4" w:space="0" w:color="000000"/>
              <w:right w:val="single" w:sz="4" w:space="0" w:color="000000"/>
            </w:tcBorders>
          </w:tcPr>
          <w:p w14:paraId="1A7CD544"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vAlign w:val="center"/>
          </w:tcPr>
          <w:p w14:paraId="420E452E"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3880C762"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tcPr>
          <w:p w14:paraId="3F6DD3FE" w14:textId="77777777" w:rsidR="005C45CB" w:rsidRPr="00AE066F" w:rsidRDefault="00000000">
            <w:pPr>
              <w:spacing w:after="0" w:line="240" w:lineRule="auto"/>
              <w:jc w:val="center"/>
              <w:rPr>
                <w:rFonts w:ascii="Arial" w:hAnsi="Arial" w:cs="Arial"/>
                <w:color w:val="000000"/>
                <w:sz w:val="20"/>
                <w:szCs w:val="20"/>
              </w:rPr>
            </w:pPr>
            <w:r w:rsidRPr="00AE066F">
              <w:t>0.2135</w:t>
            </w:r>
          </w:p>
        </w:tc>
        <w:tc>
          <w:tcPr>
            <w:tcW w:w="900" w:type="dxa"/>
            <w:tcBorders>
              <w:top w:val="single" w:sz="4" w:space="0" w:color="000000"/>
              <w:left w:val="single" w:sz="4" w:space="0" w:color="000000"/>
              <w:bottom w:val="single" w:sz="4" w:space="0" w:color="000000"/>
              <w:right w:val="single" w:sz="4" w:space="0" w:color="000000"/>
            </w:tcBorders>
          </w:tcPr>
          <w:p w14:paraId="736A857F" w14:textId="77777777" w:rsidR="005C45CB" w:rsidRPr="00AE066F" w:rsidRDefault="00000000">
            <w:pPr>
              <w:spacing w:after="0" w:line="240" w:lineRule="auto"/>
              <w:jc w:val="center"/>
              <w:rPr>
                <w:rFonts w:ascii="Arial" w:hAnsi="Arial" w:cs="Arial"/>
                <w:color w:val="000000"/>
                <w:sz w:val="20"/>
                <w:szCs w:val="20"/>
              </w:rPr>
            </w:pPr>
            <w:r w:rsidRPr="00AE066F">
              <w:t>3.031</w:t>
            </w:r>
          </w:p>
        </w:tc>
        <w:tc>
          <w:tcPr>
            <w:tcW w:w="810" w:type="dxa"/>
            <w:tcBorders>
              <w:top w:val="single" w:sz="4" w:space="0" w:color="000000"/>
              <w:left w:val="single" w:sz="4" w:space="0" w:color="000000"/>
              <w:bottom w:val="single" w:sz="4" w:space="0" w:color="000000"/>
              <w:right w:val="single" w:sz="4" w:space="0" w:color="000000"/>
            </w:tcBorders>
          </w:tcPr>
          <w:p w14:paraId="58904B40"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32A3C8AB" w14:textId="77777777" w:rsidR="005C45CB" w:rsidRPr="00AE066F" w:rsidRDefault="00000000">
            <w:pPr>
              <w:spacing w:after="0" w:line="240" w:lineRule="auto"/>
              <w:jc w:val="center"/>
              <w:rPr>
                <w:rFonts w:ascii="Arial" w:hAnsi="Arial" w:cs="Arial"/>
                <w:color w:val="000000"/>
                <w:sz w:val="20"/>
                <w:szCs w:val="20"/>
              </w:rPr>
            </w:pPr>
            <w:r w:rsidRPr="00AE066F">
              <w:t>0.000</w:t>
            </w:r>
          </w:p>
        </w:tc>
      </w:tr>
      <w:tr w:rsidR="005C45CB" w:rsidRPr="00AE066F" w14:paraId="3A614328" w14:textId="77777777">
        <w:trPr>
          <w:trHeight w:val="288"/>
          <w:jc w:val="center"/>
        </w:trPr>
        <w:tc>
          <w:tcPr>
            <w:tcW w:w="761" w:type="dxa"/>
            <w:tcBorders>
              <w:top w:val="single" w:sz="4" w:space="0" w:color="000000"/>
              <w:left w:val="single" w:sz="4" w:space="0" w:color="000000"/>
              <w:bottom w:val="single" w:sz="4" w:space="0" w:color="000000"/>
              <w:right w:val="single" w:sz="4" w:space="0" w:color="000000"/>
            </w:tcBorders>
          </w:tcPr>
          <w:p w14:paraId="0FBB7613" w14:textId="77777777" w:rsidR="005C45CB" w:rsidRPr="00AE066F" w:rsidRDefault="00000000">
            <w:pPr>
              <w:spacing w:after="0" w:line="240" w:lineRule="auto"/>
              <w:rPr>
                <w:rFonts w:ascii="Arial" w:hAnsi="Arial" w:cs="Arial"/>
                <w:color w:val="000000"/>
                <w:sz w:val="20"/>
                <w:szCs w:val="20"/>
              </w:rPr>
            </w:pPr>
            <w:r w:rsidRPr="00AE066F">
              <w:t>25</w:t>
            </w:r>
          </w:p>
        </w:tc>
        <w:tc>
          <w:tcPr>
            <w:tcW w:w="903" w:type="dxa"/>
            <w:tcBorders>
              <w:top w:val="single" w:sz="4" w:space="0" w:color="000000"/>
              <w:left w:val="single" w:sz="4" w:space="0" w:color="000000"/>
              <w:bottom w:val="single" w:sz="4" w:space="0" w:color="000000"/>
              <w:right w:val="single" w:sz="4" w:space="0" w:color="000000"/>
            </w:tcBorders>
          </w:tcPr>
          <w:p w14:paraId="25AD668F"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vAlign w:val="center"/>
          </w:tcPr>
          <w:p w14:paraId="08444382" w14:textId="77777777" w:rsidR="005C45CB" w:rsidRPr="00AE066F" w:rsidRDefault="00000000">
            <w:pPr>
              <w:spacing w:after="0" w:line="240" w:lineRule="auto"/>
              <w:jc w:val="center"/>
              <w:rPr>
                <w:rFonts w:ascii="Arial" w:hAnsi="Arial" w:cs="Arial"/>
                <w:color w:val="000000"/>
                <w:sz w:val="20"/>
                <w:szCs w:val="20"/>
              </w:rPr>
            </w:pPr>
            <w:r w:rsidRPr="00AE066F">
              <w:rPr>
                <w:rFonts w:ascii="Arial" w:hAnsi="Arial" w:cs="Arial"/>
                <w:color w:val="000000"/>
                <w:sz w:val="20"/>
                <w:szCs w:val="20"/>
              </w:rPr>
              <w:t>0.000</w:t>
            </w:r>
          </w:p>
        </w:tc>
        <w:tc>
          <w:tcPr>
            <w:tcW w:w="810" w:type="dxa"/>
            <w:tcBorders>
              <w:top w:val="single" w:sz="4" w:space="0" w:color="000000"/>
              <w:left w:val="single" w:sz="4" w:space="0" w:color="000000"/>
              <w:bottom w:val="single" w:sz="4" w:space="0" w:color="000000"/>
              <w:right w:val="single" w:sz="4" w:space="0" w:color="000000"/>
            </w:tcBorders>
          </w:tcPr>
          <w:p w14:paraId="3DDE979C" w14:textId="77777777" w:rsidR="005C45CB" w:rsidRPr="00AE066F" w:rsidRDefault="00000000">
            <w:pPr>
              <w:spacing w:after="0" w:line="240" w:lineRule="auto"/>
              <w:jc w:val="center"/>
              <w:rPr>
                <w:rFonts w:ascii="Arial" w:hAnsi="Arial" w:cs="Arial"/>
                <w:color w:val="000000"/>
                <w:sz w:val="20"/>
                <w:szCs w:val="20"/>
              </w:rPr>
            </w:pPr>
            <w:r w:rsidRPr="00AE066F">
              <w:t>0.427</w:t>
            </w:r>
          </w:p>
        </w:tc>
        <w:tc>
          <w:tcPr>
            <w:tcW w:w="990" w:type="dxa"/>
            <w:tcBorders>
              <w:top w:val="single" w:sz="4" w:space="0" w:color="000000"/>
              <w:left w:val="single" w:sz="4" w:space="0" w:color="000000"/>
              <w:bottom w:val="single" w:sz="4" w:space="0" w:color="000000"/>
              <w:right w:val="single" w:sz="4" w:space="0" w:color="000000"/>
            </w:tcBorders>
          </w:tcPr>
          <w:p w14:paraId="1F6B1D28" w14:textId="77777777" w:rsidR="005C45CB" w:rsidRPr="00AE066F" w:rsidRDefault="00000000">
            <w:pPr>
              <w:spacing w:after="0" w:line="240" w:lineRule="auto"/>
              <w:jc w:val="center"/>
              <w:rPr>
                <w:rFonts w:ascii="Arial" w:hAnsi="Arial" w:cs="Arial"/>
                <w:color w:val="000000"/>
                <w:sz w:val="20"/>
                <w:szCs w:val="20"/>
              </w:rPr>
            </w:pPr>
            <w:r w:rsidRPr="00AE066F">
              <w:t>0.2135</w:t>
            </w:r>
          </w:p>
        </w:tc>
        <w:tc>
          <w:tcPr>
            <w:tcW w:w="900" w:type="dxa"/>
            <w:tcBorders>
              <w:top w:val="single" w:sz="4" w:space="0" w:color="000000"/>
              <w:left w:val="single" w:sz="4" w:space="0" w:color="000000"/>
              <w:bottom w:val="single" w:sz="4" w:space="0" w:color="000000"/>
              <w:right w:val="single" w:sz="4" w:space="0" w:color="000000"/>
            </w:tcBorders>
          </w:tcPr>
          <w:p w14:paraId="6B4A4711" w14:textId="77777777" w:rsidR="005C45CB" w:rsidRPr="00AE066F" w:rsidRDefault="00000000">
            <w:pPr>
              <w:spacing w:after="0" w:line="240" w:lineRule="auto"/>
              <w:jc w:val="center"/>
              <w:rPr>
                <w:rFonts w:ascii="Arial" w:hAnsi="Arial" w:cs="Arial"/>
                <w:color w:val="000000"/>
                <w:sz w:val="20"/>
                <w:szCs w:val="20"/>
              </w:rPr>
            </w:pPr>
            <w:r w:rsidRPr="00AE066F">
              <w:t>3.031</w:t>
            </w:r>
          </w:p>
        </w:tc>
        <w:tc>
          <w:tcPr>
            <w:tcW w:w="810" w:type="dxa"/>
            <w:tcBorders>
              <w:top w:val="single" w:sz="4" w:space="0" w:color="000000"/>
              <w:left w:val="single" w:sz="4" w:space="0" w:color="000000"/>
              <w:bottom w:val="single" w:sz="4" w:space="0" w:color="000000"/>
              <w:right w:val="single" w:sz="4" w:space="0" w:color="000000"/>
            </w:tcBorders>
          </w:tcPr>
          <w:p w14:paraId="1B955894" w14:textId="77777777" w:rsidR="005C45CB" w:rsidRPr="00AE066F" w:rsidRDefault="00000000">
            <w:pPr>
              <w:spacing w:after="0" w:line="240" w:lineRule="auto"/>
              <w:jc w:val="center"/>
              <w:rPr>
                <w:rFonts w:ascii="Arial" w:hAnsi="Arial" w:cs="Arial"/>
                <w:color w:val="000000"/>
                <w:sz w:val="20"/>
                <w:szCs w:val="20"/>
              </w:rPr>
            </w:pPr>
            <w:r w:rsidRPr="00AE066F">
              <w:t>T</w:t>
            </w:r>
          </w:p>
        </w:tc>
        <w:tc>
          <w:tcPr>
            <w:tcW w:w="900" w:type="dxa"/>
            <w:tcBorders>
              <w:top w:val="single" w:sz="4" w:space="0" w:color="000000"/>
              <w:left w:val="single" w:sz="4" w:space="0" w:color="000000"/>
              <w:bottom w:val="single" w:sz="4" w:space="0" w:color="000000"/>
              <w:right w:val="single" w:sz="4" w:space="0" w:color="000000"/>
            </w:tcBorders>
          </w:tcPr>
          <w:p w14:paraId="4B73F3EA" w14:textId="77777777" w:rsidR="005C45CB" w:rsidRPr="00AE066F" w:rsidRDefault="00000000">
            <w:pPr>
              <w:spacing w:after="0" w:line="240" w:lineRule="auto"/>
              <w:jc w:val="center"/>
              <w:rPr>
                <w:rFonts w:ascii="Arial" w:hAnsi="Arial" w:cs="Arial"/>
                <w:color w:val="000000"/>
                <w:sz w:val="20"/>
                <w:szCs w:val="20"/>
              </w:rPr>
            </w:pPr>
            <w:r w:rsidRPr="00AE066F">
              <w:t>0.000</w:t>
            </w:r>
          </w:p>
        </w:tc>
      </w:tr>
    </w:tbl>
    <w:p w14:paraId="405A25A1" w14:textId="77777777" w:rsidR="005C45CB" w:rsidRPr="00AE066F" w:rsidRDefault="005C45CB">
      <w:pPr>
        <w:autoSpaceDE w:val="0"/>
        <w:spacing w:after="0" w:line="240" w:lineRule="auto"/>
        <w:rPr>
          <w:rFonts w:ascii="Arial" w:hAnsi="Arial" w:cs="Arial"/>
          <w:sz w:val="20"/>
          <w:szCs w:val="20"/>
        </w:rPr>
      </w:pPr>
    </w:p>
    <w:p w14:paraId="5D6271FF" w14:textId="77777777" w:rsidR="005C45CB" w:rsidRPr="00AE066F" w:rsidRDefault="005C45CB">
      <w:pPr>
        <w:spacing w:line="480" w:lineRule="auto"/>
        <w:rPr>
          <w:rFonts w:ascii="Times New Roman" w:hAnsi="Times New Roman"/>
          <w:sz w:val="24"/>
          <w:szCs w:val="24"/>
        </w:rPr>
      </w:pPr>
    </w:p>
    <w:p w14:paraId="24BC1BAE" w14:textId="77777777" w:rsidR="005C45CB" w:rsidRPr="00AE066F" w:rsidRDefault="005C45CB">
      <w:pPr>
        <w:spacing w:line="480" w:lineRule="auto"/>
        <w:rPr>
          <w:rFonts w:ascii="Times New Roman" w:hAnsi="Times New Roman"/>
          <w:sz w:val="24"/>
          <w:szCs w:val="24"/>
        </w:rPr>
      </w:pPr>
    </w:p>
    <w:p w14:paraId="5F7EA618" w14:textId="77777777" w:rsidR="005C45CB" w:rsidRPr="00AE066F" w:rsidRDefault="00AB4B32">
      <w:pPr>
        <w:spacing w:line="480" w:lineRule="auto"/>
        <w:rPr>
          <w:rFonts w:ascii="Times New Roman" w:hAnsi="Times New Roman"/>
          <w:sz w:val="24"/>
          <w:szCs w:val="24"/>
          <w:lang w:val="en-US" w:eastAsia="en-US"/>
        </w:rPr>
      </w:pPr>
      <w:r>
        <w:rPr>
          <w:rFonts w:ascii="Times New Roman" w:hAnsi="Times New Roman"/>
          <w:noProof/>
          <w:sz w:val="24"/>
          <w:szCs w:val="24"/>
          <w:lang w:val="en-US" w:eastAsia="en-US"/>
        </w:rPr>
        <w:lastRenderedPageBreak/>
        <w:pict w14:anchorId="348AAB9F">
          <v:shape id="Picture 4" o:spid="_x0000_i1026" type="#_x0000_t75" style="width:302.4pt;height:397.55pt;visibility:visible;mso-wrap-style:square">
            <v:imagedata r:id="rId8" o:title="" croptop="-5f" cropbottom="-5f" cropleft="-6f" cropright="-6f"/>
          </v:shape>
        </w:pict>
      </w:r>
    </w:p>
    <w:p w14:paraId="18B6D64A" w14:textId="77777777" w:rsidR="005C45CB" w:rsidRPr="00AE066F" w:rsidRDefault="005C45CB">
      <w:pPr>
        <w:spacing w:line="480" w:lineRule="auto"/>
        <w:rPr>
          <w:rFonts w:ascii="Times New Roman" w:hAnsi="Times New Roman"/>
          <w:sz w:val="24"/>
          <w:szCs w:val="24"/>
        </w:rPr>
      </w:pPr>
    </w:p>
    <w:p w14:paraId="39479A1E" w14:textId="77777777" w:rsidR="005C45CB" w:rsidRPr="00AE066F" w:rsidRDefault="005C45CB">
      <w:pPr>
        <w:spacing w:line="480" w:lineRule="auto"/>
        <w:rPr>
          <w:rFonts w:ascii="Times New Roman" w:hAnsi="Times New Roman"/>
          <w:sz w:val="24"/>
          <w:szCs w:val="24"/>
        </w:rPr>
      </w:pPr>
    </w:p>
    <w:p w14:paraId="0AF04472" w14:textId="77777777" w:rsidR="005C45CB" w:rsidRPr="00AE066F" w:rsidRDefault="005C45CB">
      <w:pPr>
        <w:spacing w:line="480" w:lineRule="auto"/>
        <w:rPr>
          <w:rFonts w:ascii="Times New Roman" w:hAnsi="Times New Roman"/>
          <w:sz w:val="24"/>
          <w:szCs w:val="24"/>
        </w:rPr>
      </w:pPr>
    </w:p>
    <w:p w14:paraId="3E7E9132" w14:textId="77777777" w:rsidR="005C45CB" w:rsidRPr="00AE066F" w:rsidRDefault="005C45CB">
      <w:pPr>
        <w:spacing w:line="480" w:lineRule="auto"/>
        <w:rPr>
          <w:rFonts w:ascii="Times New Roman" w:hAnsi="Times New Roman"/>
          <w:sz w:val="24"/>
          <w:szCs w:val="24"/>
        </w:rPr>
      </w:pPr>
    </w:p>
    <w:p w14:paraId="18950575" w14:textId="77777777" w:rsidR="005C45CB" w:rsidRPr="00AE066F" w:rsidRDefault="005C45CB">
      <w:pPr>
        <w:spacing w:line="480" w:lineRule="auto"/>
        <w:rPr>
          <w:rFonts w:ascii="Times New Roman" w:hAnsi="Times New Roman"/>
          <w:sz w:val="24"/>
          <w:szCs w:val="24"/>
        </w:rPr>
      </w:pPr>
    </w:p>
    <w:p w14:paraId="27FF0843" w14:textId="77777777" w:rsidR="005C45CB" w:rsidRPr="00AE066F" w:rsidRDefault="005C45CB">
      <w:pPr>
        <w:spacing w:line="480" w:lineRule="auto"/>
        <w:rPr>
          <w:rFonts w:ascii="Times New Roman" w:hAnsi="Times New Roman"/>
          <w:sz w:val="24"/>
          <w:szCs w:val="24"/>
        </w:rPr>
      </w:pPr>
    </w:p>
    <w:p w14:paraId="7DECB300" w14:textId="77777777" w:rsidR="005C45CB" w:rsidRPr="00AE066F" w:rsidRDefault="005C45CB">
      <w:pPr>
        <w:spacing w:line="480" w:lineRule="auto"/>
        <w:rPr>
          <w:rFonts w:ascii="Times New Roman" w:hAnsi="Times New Roman"/>
          <w:sz w:val="24"/>
          <w:szCs w:val="24"/>
        </w:rPr>
      </w:pPr>
    </w:p>
    <w:p w14:paraId="7C9BFDD5" w14:textId="77777777" w:rsidR="005C45CB" w:rsidRPr="00AE066F" w:rsidRDefault="005C45CB">
      <w:pPr>
        <w:spacing w:line="480" w:lineRule="auto"/>
        <w:rPr>
          <w:rFonts w:ascii="Times New Roman" w:hAnsi="Times New Roman"/>
          <w:sz w:val="24"/>
          <w:szCs w:val="24"/>
        </w:rPr>
      </w:pPr>
    </w:p>
    <w:p w14:paraId="0765D7E2" w14:textId="77777777" w:rsidR="005C45CB" w:rsidRPr="00AE066F" w:rsidRDefault="005C45CB">
      <w:pPr>
        <w:spacing w:line="480" w:lineRule="auto"/>
        <w:rPr>
          <w:rFonts w:ascii="Times New Roman" w:hAnsi="Times New Roman"/>
          <w:sz w:val="24"/>
          <w:szCs w:val="24"/>
        </w:rPr>
      </w:pPr>
    </w:p>
    <w:p w14:paraId="6917A42F" w14:textId="77777777" w:rsidR="005C45CB" w:rsidRPr="00AE066F" w:rsidRDefault="005C45CB">
      <w:pPr>
        <w:spacing w:line="480" w:lineRule="auto"/>
        <w:rPr>
          <w:rFonts w:ascii="Times New Roman" w:hAnsi="Times New Roman"/>
          <w:sz w:val="24"/>
          <w:szCs w:val="24"/>
        </w:rPr>
      </w:pPr>
    </w:p>
    <w:p w14:paraId="4B0289EC" w14:textId="77777777" w:rsidR="005C45CB" w:rsidRPr="00AE066F" w:rsidRDefault="005C45CB">
      <w:pPr>
        <w:spacing w:after="0" w:line="240" w:lineRule="auto"/>
        <w:rPr>
          <w:rFonts w:ascii="Times New Roman" w:hAnsi="Times New Roman"/>
          <w:sz w:val="24"/>
          <w:szCs w:val="24"/>
        </w:rPr>
      </w:pPr>
    </w:p>
    <w:p w14:paraId="3B71FD53" w14:textId="77777777" w:rsidR="005C45CB" w:rsidRPr="00AE066F" w:rsidRDefault="00000000">
      <w:pPr>
        <w:spacing w:after="0" w:line="240" w:lineRule="auto"/>
      </w:pPr>
      <w:r w:rsidRPr="00AE066F">
        <w:rPr>
          <w:rFonts w:ascii="Times New Roman" w:hAnsi="Times New Roman"/>
          <w:sz w:val="24"/>
          <w:szCs w:val="24"/>
        </w:rPr>
        <w:t>Figure 2: Metaphase chromosome spreads and standard karyotypes of the studied cyprinids.</w:t>
      </w:r>
      <w:r w:rsidRPr="00AE066F">
        <w:rPr>
          <w:rFonts w:ascii="Google Sans Text;Cambria" w:hAnsi="Google Sans Text;Cambria" w:cs="Google Sans Text;Cambria"/>
          <w:color w:val="303030"/>
          <w:shd w:val="clear" w:color="auto" w:fill="FFFFFF"/>
        </w:rPr>
        <w:t xml:space="preserve"> </w:t>
      </w:r>
      <w:r w:rsidRPr="00AE066F">
        <w:rPr>
          <w:rFonts w:ascii="Times New Roman" w:hAnsi="Times New Roman"/>
          <w:sz w:val="24"/>
          <w:szCs w:val="24"/>
        </w:rPr>
        <w:t xml:space="preserve">(A) Giemsa-stained mitotic metaphase spread of </w:t>
      </w:r>
      <w:r w:rsidRPr="00AE066F">
        <w:rPr>
          <w:rFonts w:ascii="Times New Roman" w:hAnsi="Times New Roman"/>
          <w:i/>
          <w:iCs/>
          <w:sz w:val="24"/>
          <w:szCs w:val="24"/>
        </w:rPr>
        <w:t xml:space="preserve">Puntius </w:t>
      </w:r>
      <w:proofErr w:type="spellStart"/>
      <w:r w:rsidRPr="00AE066F">
        <w:rPr>
          <w:rFonts w:ascii="Times New Roman" w:hAnsi="Times New Roman"/>
          <w:i/>
          <w:iCs/>
          <w:sz w:val="24"/>
          <w:szCs w:val="24"/>
        </w:rPr>
        <w:t>sophore</w:t>
      </w:r>
      <w:proofErr w:type="spellEnd"/>
      <w:r w:rsidRPr="00AE066F">
        <w:rPr>
          <w:rFonts w:ascii="Times New Roman" w:hAnsi="Times New Roman"/>
          <w:sz w:val="24"/>
          <w:szCs w:val="24"/>
        </w:rPr>
        <w:t xml:space="preserve">. </w:t>
      </w:r>
    </w:p>
    <w:p w14:paraId="1F1023C9" w14:textId="77777777" w:rsidR="005C45CB" w:rsidRPr="00AE066F" w:rsidRDefault="00000000">
      <w:pPr>
        <w:spacing w:after="0" w:line="240" w:lineRule="auto"/>
        <w:rPr>
          <w:rFonts w:ascii="Arial" w:hAnsi="Arial" w:cs="Arial"/>
          <w:i/>
          <w:iCs/>
          <w:sz w:val="20"/>
          <w:szCs w:val="20"/>
        </w:rPr>
      </w:pPr>
      <w:r w:rsidRPr="00AE066F">
        <w:rPr>
          <w:rFonts w:ascii="Times New Roman" w:hAnsi="Times New Roman"/>
          <w:sz w:val="24"/>
          <w:szCs w:val="24"/>
        </w:rPr>
        <w:t xml:space="preserve">(B) Standard karyotype of </w:t>
      </w:r>
      <w:r w:rsidRPr="00AE066F">
        <w:rPr>
          <w:rFonts w:ascii="Times New Roman" w:hAnsi="Times New Roman"/>
          <w:i/>
          <w:iCs/>
          <w:sz w:val="24"/>
          <w:szCs w:val="24"/>
        </w:rPr>
        <w:t xml:space="preserve">Puntius </w:t>
      </w:r>
      <w:proofErr w:type="spellStart"/>
      <w:r w:rsidRPr="00AE066F">
        <w:rPr>
          <w:rFonts w:ascii="Times New Roman" w:hAnsi="Times New Roman"/>
          <w:i/>
          <w:iCs/>
          <w:sz w:val="24"/>
          <w:szCs w:val="24"/>
        </w:rPr>
        <w:t>sophore</w:t>
      </w:r>
      <w:proofErr w:type="spellEnd"/>
      <w:r w:rsidRPr="00AE066F">
        <w:rPr>
          <w:rFonts w:ascii="Times New Roman" w:hAnsi="Times New Roman"/>
          <w:sz w:val="24"/>
          <w:szCs w:val="24"/>
        </w:rPr>
        <w:t xml:space="preserve"> (2n=50; 8m+2sm+26st+14t).</w:t>
      </w:r>
    </w:p>
    <w:p w14:paraId="49398633" w14:textId="77777777" w:rsidR="005C45CB" w:rsidRPr="00AE066F" w:rsidRDefault="005C45CB">
      <w:pPr>
        <w:spacing w:line="360" w:lineRule="auto"/>
        <w:ind w:firstLine="720"/>
        <w:jc w:val="both"/>
        <w:rPr>
          <w:rFonts w:ascii="Times New Roman" w:hAnsi="Times New Roman"/>
          <w:i/>
          <w:iCs/>
          <w:sz w:val="24"/>
          <w:szCs w:val="24"/>
        </w:rPr>
      </w:pPr>
    </w:p>
    <w:p w14:paraId="3EDE2480" w14:textId="77777777" w:rsidR="005C45CB" w:rsidRPr="00AE066F" w:rsidRDefault="005C45CB">
      <w:pPr>
        <w:spacing w:after="0" w:line="480" w:lineRule="auto"/>
        <w:jc w:val="center"/>
        <w:rPr>
          <w:rFonts w:ascii="Times New Roman" w:hAnsi="Times New Roman"/>
          <w:sz w:val="24"/>
          <w:szCs w:val="24"/>
        </w:rPr>
      </w:pPr>
    </w:p>
    <w:p w14:paraId="6B2B1166" w14:textId="77777777" w:rsidR="005C45CB" w:rsidRPr="00AE066F" w:rsidRDefault="005C45CB">
      <w:pPr>
        <w:spacing w:after="0" w:line="480" w:lineRule="auto"/>
        <w:jc w:val="center"/>
        <w:rPr>
          <w:rFonts w:ascii="Times New Roman" w:hAnsi="Times New Roman"/>
          <w:sz w:val="24"/>
          <w:szCs w:val="24"/>
        </w:rPr>
      </w:pPr>
    </w:p>
    <w:p w14:paraId="6E475A28" w14:textId="77777777" w:rsidR="005C45CB" w:rsidRPr="00AE066F" w:rsidRDefault="005C45CB">
      <w:pPr>
        <w:spacing w:after="0" w:line="480" w:lineRule="auto"/>
        <w:jc w:val="center"/>
        <w:rPr>
          <w:rFonts w:ascii="Times New Roman" w:hAnsi="Times New Roman"/>
          <w:sz w:val="24"/>
          <w:szCs w:val="24"/>
        </w:rPr>
      </w:pPr>
    </w:p>
    <w:p w14:paraId="425AA425" w14:textId="77777777" w:rsidR="005C45CB" w:rsidRPr="00AE066F" w:rsidRDefault="005C45CB">
      <w:pPr>
        <w:spacing w:after="0" w:line="480" w:lineRule="auto"/>
        <w:jc w:val="center"/>
        <w:rPr>
          <w:rFonts w:ascii="Times New Roman" w:hAnsi="Times New Roman"/>
          <w:sz w:val="24"/>
          <w:szCs w:val="24"/>
        </w:rPr>
      </w:pPr>
    </w:p>
    <w:p w14:paraId="2A5803C6" w14:textId="77777777" w:rsidR="005C45CB" w:rsidRPr="00AE066F" w:rsidRDefault="00AB4B32">
      <w:pPr>
        <w:spacing w:line="480" w:lineRule="auto"/>
        <w:rPr>
          <w:rFonts w:ascii="Times New Roman" w:hAnsi="Times New Roman"/>
          <w:sz w:val="24"/>
          <w:szCs w:val="24"/>
          <w:lang w:val="en-IN" w:eastAsia="en-US"/>
        </w:rPr>
      </w:pPr>
      <w:r>
        <w:rPr>
          <w:rFonts w:ascii="Times New Roman" w:hAnsi="Times New Roman"/>
          <w:noProof/>
          <w:sz w:val="24"/>
          <w:szCs w:val="24"/>
          <w:lang w:val="en-IN" w:eastAsia="en-US"/>
        </w:rPr>
        <w:lastRenderedPageBreak/>
        <w:pict w14:anchorId="18892EC3">
          <v:shape id="Picture 6" o:spid="_x0000_i1027" type="#_x0000_t75" style="width:334.95pt;height:6in;visibility:visible;mso-wrap-style:square">
            <v:imagedata r:id="rId9" o:title="" croptop="-5f" cropbottom="-5f" cropleft="-5f" cropright="-5f"/>
          </v:shape>
        </w:pict>
      </w:r>
    </w:p>
    <w:p w14:paraId="0D957EBA" w14:textId="77777777" w:rsidR="005C45CB" w:rsidRPr="00AE066F" w:rsidRDefault="005C45CB">
      <w:pPr>
        <w:spacing w:line="480" w:lineRule="auto"/>
        <w:rPr>
          <w:rFonts w:ascii="Times New Roman" w:hAnsi="Times New Roman"/>
          <w:sz w:val="24"/>
          <w:szCs w:val="24"/>
          <w:lang w:val="en-IN"/>
        </w:rPr>
      </w:pPr>
    </w:p>
    <w:p w14:paraId="3B2B5719" w14:textId="77777777" w:rsidR="005C45CB" w:rsidRPr="00AE066F" w:rsidRDefault="005C45CB">
      <w:pPr>
        <w:spacing w:line="480" w:lineRule="auto"/>
        <w:rPr>
          <w:rFonts w:ascii="Times New Roman" w:hAnsi="Times New Roman"/>
          <w:sz w:val="24"/>
          <w:szCs w:val="24"/>
        </w:rPr>
      </w:pPr>
    </w:p>
    <w:p w14:paraId="08B93666" w14:textId="77777777" w:rsidR="005C45CB" w:rsidRPr="00AE066F" w:rsidRDefault="005C45CB">
      <w:pPr>
        <w:spacing w:line="480" w:lineRule="auto"/>
        <w:rPr>
          <w:rFonts w:ascii="Times New Roman" w:hAnsi="Times New Roman"/>
          <w:sz w:val="24"/>
          <w:szCs w:val="24"/>
        </w:rPr>
      </w:pPr>
    </w:p>
    <w:p w14:paraId="44689223" w14:textId="77777777" w:rsidR="005C45CB" w:rsidRPr="00AE066F" w:rsidRDefault="005C45CB">
      <w:pPr>
        <w:spacing w:line="480" w:lineRule="auto"/>
        <w:rPr>
          <w:rFonts w:ascii="Times New Roman" w:hAnsi="Times New Roman"/>
          <w:sz w:val="24"/>
          <w:szCs w:val="24"/>
        </w:rPr>
      </w:pPr>
    </w:p>
    <w:p w14:paraId="7ABB338F" w14:textId="77777777" w:rsidR="005C45CB" w:rsidRPr="00AE066F" w:rsidRDefault="005C45CB">
      <w:pPr>
        <w:spacing w:line="480" w:lineRule="auto"/>
        <w:rPr>
          <w:rFonts w:ascii="Times New Roman" w:hAnsi="Times New Roman"/>
          <w:sz w:val="24"/>
          <w:szCs w:val="24"/>
        </w:rPr>
      </w:pPr>
    </w:p>
    <w:p w14:paraId="7AB5F5E6" w14:textId="77777777" w:rsidR="005C45CB" w:rsidRPr="00AE066F" w:rsidRDefault="005C45CB">
      <w:pPr>
        <w:spacing w:line="480" w:lineRule="auto"/>
        <w:rPr>
          <w:rFonts w:ascii="Times New Roman" w:hAnsi="Times New Roman"/>
          <w:sz w:val="24"/>
          <w:szCs w:val="24"/>
        </w:rPr>
      </w:pPr>
    </w:p>
    <w:p w14:paraId="31A7699F" w14:textId="77777777" w:rsidR="005C45CB" w:rsidRPr="00AE066F" w:rsidRDefault="005C45CB">
      <w:pPr>
        <w:spacing w:line="480" w:lineRule="auto"/>
        <w:rPr>
          <w:rFonts w:ascii="Times New Roman" w:hAnsi="Times New Roman"/>
          <w:sz w:val="24"/>
          <w:szCs w:val="24"/>
        </w:rPr>
      </w:pPr>
    </w:p>
    <w:p w14:paraId="7E8BD658" w14:textId="77777777" w:rsidR="005C45CB" w:rsidRPr="00AE066F" w:rsidRDefault="005C45CB">
      <w:pPr>
        <w:spacing w:line="480" w:lineRule="auto"/>
        <w:rPr>
          <w:rFonts w:ascii="Times New Roman" w:hAnsi="Times New Roman"/>
          <w:sz w:val="24"/>
          <w:szCs w:val="24"/>
        </w:rPr>
      </w:pPr>
    </w:p>
    <w:p w14:paraId="55AAE926" w14:textId="77777777" w:rsidR="005C45CB" w:rsidRPr="00AE066F" w:rsidRDefault="005C45CB">
      <w:pPr>
        <w:spacing w:line="480" w:lineRule="auto"/>
        <w:rPr>
          <w:rFonts w:ascii="Times New Roman" w:hAnsi="Times New Roman"/>
          <w:sz w:val="24"/>
          <w:szCs w:val="24"/>
        </w:rPr>
      </w:pPr>
    </w:p>
    <w:p w14:paraId="18BF4853" w14:textId="77777777" w:rsidR="005C45CB" w:rsidRPr="00AE066F" w:rsidRDefault="005C45CB">
      <w:pPr>
        <w:spacing w:line="480" w:lineRule="auto"/>
        <w:rPr>
          <w:rFonts w:ascii="Times New Roman" w:hAnsi="Times New Roman"/>
          <w:sz w:val="24"/>
          <w:szCs w:val="24"/>
        </w:rPr>
      </w:pPr>
    </w:p>
    <w:p w14:paraId="7D4652BE" w14:textId="77777777" w:rsidR="005C45CB" w:rsidRPr="00AE066F" w:rsidRDefault="005C45CB">
      <w:pPr>
        <w:spacing w:line="480" w:lineRule="auto"/>
        <w:rPr>
          <w:rFonts w:ascii="Times New Roman" w:hAnsi="Times New Roman"/>
          <w:sz w:val="24"/>
          <w:szCs w:val="24"/>
        </w:rPr>
      </w:pPr>
    </w:p>
    <w:p w14:paraId="0DE144E1" w14:textId="77777777" w:rsidR="005C45CB" w:rsidRPr="00AE066F" w:rsidRDefault="005C45CB">
      <w:pPr>
        <w:spacing w:line="480" w:lineRule="auto"/>
        <w:rPr>
          <w:rFonts w:ascii="Times New Roman" w:hAnsi="Times New Roman"/>
          <w:sz w:val="24"/>
          <w:szCs w:val="24"/>
        </w:rPr>
      </w:pPr>
    </w:p>
    <w:p w14:paraId="161C16FA" w14:textId="77777777" w:rsidR="005C45CB" w:rsidRPr="00AE066F" w:rsidRDefault="005C45CB">
      <w:pPr>
        <w:spacing w:line="480" w:lineRule="auto"/>
        <w:rPr>
          <w:rFonts w:ascii="Times New Roman" w:hAnsi="Times New Roman"/>
          <w:sz w:val="24"/>
          <w:szCs w:val="24"/>
        </w:rPr>
      </w:pPr>
    </w:p>
    <w:p w14:paraId="4EAA20E1" w14:textId="77777777" w:rsidR="005C45CB" w:rsidRPr="00AE066F" w:rsidRDefault="00000000">
      <w:pPr>
        <w:spacing w:after="0" w:line="240" w:lineRule="auto"/>
        <w:jc w:val="center"/>
        <w:rPr>
          <w:rFonts w:ascii="Google Sans Text;Cambria" w:hAnsi="Google Sans Text;Cambria" w:cs="Google Sans Text;Cambria"/>
          <w:color w:val="303030"/>
          <w:shd w:val="clear" w:color="auto" w:fill="FFFFFF"/>
        </w:rPr>
      </w:pPr>
      <w:r w:rsidRPr="00AE066F">
        <w:rPr>
          <w:rFonts w:ascii="Times New Roman" w:hAnsi="Times New Roman"/>
          <w:sz w:val="24"/>
          <w:szCs w:val="24"/>
        </w:rPr>
        <w:t>Figure 2: Metaphase chromosome spreads and standard karyotypes of the studied cyprinids.</w:t>
      </w:r>
      <w:r w:rsidRPr="00AE066F">
        <w:rPr>
          <w:rFonts w:ascii="Google Sans Text;Cambria" w:hAnsi="Google Sans Text;Cambria" w:cs="Google Sans Text;Cambria"/>
          <w:color w:val="303030"/>
          <w:shd w:val="clear" w:color="auto" w:fill="FFFFFF"/>
        </w:rPr>
        <w:t xml:space="preserve"> </w:t>
      </w:r>
    </w:p>
    <w:p w14:paraId="6FBC2A15" w14:textId="77777777" w:rsidR="005C45CB" w:rsidRPr="00AE066F" w:rsidRDefault="00000000">
      <w:pPr>
        <w:spacing w:after="0" w:line="240" w:lineRule="auto"/>
        <w:jc w:val="center"/>
        <w:rPr>
          <w:rFonts w:ascii="Arial" w:hAnsi="Arial" w:cs="Arial"/>
          <w:i/>
          <w:sz w:val="20"/>
          <w:szCs w:val="20"/>
        </w:rPr>
      </w:pPr>
      <w:r w:rsidRPr="00AE066F">
        <w:rPr>
          <w:rFonts w:ascii="Arial" w:hAnsi="Arial" w:cs="Arial"/>
          <w:i/>
          <w:sz w:val="20"/>
          <w:szCs w:val="20"/>
        </w:rPr>
        <w:t xml:space="preserve">(C) Giemsa-stained mitotic metaphase spread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proofErr w:type="gramStart"/>
      <w:r w:rsidRPr="00AE066F">
        <w:rPr>
          <w:rFonts w:ascii="Arial" w:hAnsi="Arial" w:cs="Arial"/>
          <w:i/>
          <w:iCs/>
          <w:sz w:val="20"/>
          <w:szCs w:val="20"/>
        </w:rPr>
        <w:t>bimaculatus</w:t>
      </w:r>
      <w:proofErr w:type="spellEnd"/>
      <w:r w:rsidRPr="00AE066F">
        <w:rPr>
          <w:rFonts w:ascii="Arial" w:hAnsi="Arial" w:cs="Arial"/>
          <w:iCs/>
          <w:sz w:val="20"/>
          <w:szCs w:val="20"/>
        </w:rPr>
        <w:t xml:space="preserve"> .</w:t>
      </w:r>
      <w:proofErr w:type="gramEnd"/>
    </w:p>
    <w:p w14:paraId="20A7595F" w14:textId="77777777" w:rsidR="005C45CB" w:rsidRPr="00AE066F" w:rsidRDefault="00000000">
      <w:pPr>
        <w:spacing w:after="0" w:line="240" w:lineRule="auto"/>
        <w:jc w:val="center"/>
        <w:rPr>
          <w:rFonts w:ascii="Times New Roman" w:hAnsi="Times New Roman"/>
          <w:b/>
          <w:sz w:val="24"/>
          <w:szCs w:val="24"/>
        </w:rPr>
      </w:pPr>
      <w:r w:rsidRPr="00AE066F">
        <w:rPr>
          <w:rFonts w:ascii="Arial" w:eastAsia="Arial" w:hAnsi="Arial" w:cs="Arial"/>
          <w:i/>
          <w:sz w:val="20"/>
          <w:szCs w:val="20"/>
        </w:rPr>
        <w:t xml:space="preserve"> </w:t>
      </w:r>
      <w:r w:rsidRPr="00AE066F">
        <w:rPr>
          <w:rFonts w:ascii="Arial" w:hAnsi="Arial" w:cs="Arial"/>
          <w:i/>
          <w:sz w:val="20"/>
          <w:szCs w:val="20"/>
        </w:rPr>
        <w:t xml:space="preserve">(D) Standard karyotype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w:t>
      </w:r>
      <w:r w:rsidRPr="00AE066F">
        <w:rPr>
          <w:rFonts w:ascii="Arial" w:hAnsi="Arial" w:cs="Arial"/>
          <w:i/>
          <w:sz w:val="20"/>
          <w:szCs w:val="20"/>
        </w:rPr>
        <w:t>2n=50; 28m+22t).</w:t>
      </w:r>
      <w:r w:rsidRPr="00AE066F">
        <w:rPr>
          <w:rFonts w:ascii="Arial" w:hAnsi="Arial" w:cs="Arial"/>
          <w:iCs/>
          <w:sz w:val="20"/>
          <w:szCs w:val="20"/>
        </w:rPr>
        <w:t xml:space="preserve"> </w:t>
      </w:r>
    </w:p>
    <w:p w14:paraId="4F1C6129" w14:textId="77777777" w:rsidR="005C45CB" w:rsidRPr="00AE066F" w:rsidRDefault="005C45CB">
      <w:pPr>
        <w:rPr>
          <w:rFonts w:ascii="Times New Roman" w:hAnsi="Times New Roman"/>
          <w:b/>
          <w:sz w:val="24"/>
          <w:szCs w:val="24"/>
        </w:rPr>
      </w:pPr>
    </w:p>
    <w:p w14:paraId="0EC83EF5" w14:textId="77777777" w:rsidR="005C45CB" w:rsidRPr="00AE066F" w:rsidRDefault="005C45CB">
      <w:pPr>
        <w:rPr>
          <w:rFonts w:ascii="Times New Roman" w:hAnsi="Times New Roman"/>
          <w:b/>
          <w:sz w:val="24"/>
          <w:szCs w:val="24"/>
        </w:rPr>
      </w:pPr>
    </w:p>
    <w:p w14:paraId="33240769" w14:textId="77777777" w:rsidR="005C45CB" w:rsidRPr="00AE066F" w:rsidRDefault="005C45CB">
      <w:pPr>
        <w:rPr>
          <w:rFonts w:ascii="Times New Roman" w:hAnsi="Times New Roman"/>
          <w:b/>
          <w:sz w:val="24"/>
          <w:szCs w:val="24"/>
        </w:rPr>
      </w:pPr>
    </w:p>
    <w:p w14:paraId="083D08C9" w14:textId="77777777" w:rsidR="005C45CB" w:rsidRPr="00AE066F" w:rsidRDefault="005C45CB">
      <w:pPr>
        <w:rPr>
          <w:rFonts w:ascii="Times New Roman" w:hAnsi="Times New Roman"/>
          <w:b/>
          <w:sz w:val="24"/>
          <w:szCs w:val="24"/>
        </w:rPr>
      </w:pPr>
    </w:p>
    <w:p w14:paraId="2886BEFE" w14:textId="77777777" w:rsidR="005C45CB" w:rsidRPr="00AE066F" w:rsidRDefault="005C45CB">
      <w:pPr>
        <w:rPr>
          <w:rFonts w:ascii="Times New Roman" w:hAnsi="Times New Roman"/>
          <w:b/>
          <w:sz w:val="24"/>
          <w:szCs w:val="24"/>
        </w:rPr>
      </w:pPr>
    </w:p>
    <w:p w14:paraId="5459E40C" w14:textId="77777777" w:rsidR="005C45CB" w:rsidRPr="00AE066F" w:rsidRDefault="00000000">
      <w:pPr>
        <w:spacing w:line="240" w:lineRule="auto"/>
        <w:ind w:left="720"/>
        <w:jc w:val="both"/>
        <w:rPr>
          <w:rFonts w:ascii="Arial" w:hAnsi="Arial" w:cs="Arial"/>
          <w:iCs/>
          <w:sz w:val="20"/>
          <w:szCs w:val="20"/>
        </w:rPr>
      </w:pPr>
      <w:r w:rsidRPr="00AE066F">
        <w:rPr>
          <w:rFonts w:ascii="Arial" w:hAnsi="Arial" w:cs="Arial"/>
          <w:b/>
          <w:bCs/>
          <w:sz w:val="20"/>
          <w:szCs w:val="20"/>
          <w:lang w:val="en-IN"/>
        </w:rPr>
        <w:t xml:space="preserve">Table 2.  </w:t>
      </w:r>
      <w:proofErr w:type="spellStart"/>
      <w:r w:rsidRPr="00AE066F">
        <w:rPr>
          <w:rFonts w:ascii="Arial" w:hAnsi="Arial" w:cs="Arial"/>
          <w:sz w:val="20"/>
          <w:szCs w:val="20"/>
          <w:lang w:val="en-IN"/>
        </w:rPr>
        <w:t>Karyomorphology</w:t>
      </w:r>
      <w:proofErr w:type="spellEnd"/>
      <w:r w:rsidRPr="00AE066F">
        <w:rPr>
          <w:rFonts w:ascii="Arial" w:hAnsi="Arial" w:cs="Arial"/>
          <w:sz w:val="20"/>
          <w:szCs w:val="20"/>
          <w:lang w:val="en-IN"/>
        </w:rPr>
        <w:t xml:space="preserve"> and chromosomal morphometric data of </w:t>
      </w:r>
      <w:r w:rsidRPr="00AE066F">
        <w:rPr>
          <w:rFonts w:ascii="Arial" w:hAnsi="Arial" w:cs="Arial"/>
          <w:i/>
          <w:iCs/>
          <w:sz w:val="20"/>
          <w:szCs w:val="20"/>
          <w:lang w:val="en-IN"/>
        </w:rPr>
        <w:t xml:space="preserve">Puntius </w:t>
      </w:r>
      <w:proofErr w:type="spellStart"/>
      <w:r w:rsidRPr="00AE066F">
        <w:rPr>
          <w:rFonts w:ascii="Arial" w:hAnsi="Arial" w:cs="Arial"/>
          <w:i/>
          <w:iCs/>
          <w:sz w:val="20"/>
          <w:szCs w:val="20"/>
          <w:lang w:val="en-IN"/>
        </w:rPr>
        <w:t>sophore</w:t>
      </w:r>
      <w:proofErr w:type="spellEnd"/>
      <w:r w:rsidRPr="00AE066F">
        <w:rPr>
          <w:rFonts w:ascii="Arial" w:hAnsi="Arial" w:cs="Arial"/>
          <w:sz w:val="20"/>
          <w:szCs w:val="20"/>
          <w:lang w:val="en-IN"/>
        </w:rPr>
        <w:t xml:space="preserve"> (Hamilton, 1822) from the </w:t>
      </w:r>
      <w:proofErr w:type="spellStart"/>
      <w:r w:rsidRPr="00AE066F">
        <w:rPr>
          <w:rFonts w:ascii="Arial" w:hAnsi="Arial" w:cs="Arial"/>
          <w:sz w:val="20"/>
          <w:szCs w:val="20"/>
          <w:lang w:val="en-IN"/>
        </w:rPr>
        <w:t>Gadana</w:t>
      </w:r>
      <w:proofErr w:type="spellEnd"/>
      <w:r w:rsidRPr="00AE066F">
        <w:rPr>
          <w:rFonts w:ascii="Arial" w:hAnsi="Arial" w:cs="Arial"/>
          <w:sz w:val="20"/>
          <w:szCs w:val="20"/>
          <w:lang w:val="en-IN"/>
        </w:rPr>
        <w:t xml:space="preserve"> River.</w:t>
      </w:r>
      <w:r w:rsidRPr="00AE066F">
        <w:rPr>
          <w:rFonts w:ascii="Arial" w:hAnsi="Arial" w:cs="Arial"/>
          <w:b/>
          <w:bCs/>
          <w:sz w:val="20"/>
          <w:szCs w:val="20"/>
          <w:lang w:val="en-IN"/>
        </w:rPr>
        <w:t xml:space="preserve"> </w:t>
      </w:r>
      <w:proofErr w:type="gramStart"/>
      <w:r w:rsidRPr="00AE066F">
        <w:rPr>
          <w:rFonts w:ascii="Arial" w:hAnsi="Arial" w:cs="Arial"/>
          <w:iCs/>
          <w:sz w:val="20"/>
          <w:szCs w:val="20"/>
        </w:rPr>
        <w:t>(</w:t>
      </w:r>
      <w:r w:rsidRPr="00AE066F">
        <w:rPr>
          <w:rFonts w:ascii="Arial" w:hAnsi="Arial" w:cs="Arial"/>
          <w:sz w:val="20"/>
          <w:szCs w:val="20"/>
        </w:rPr>
        <w:t xml:space="preserve"> LA</w:t>
      </w:r>
      <w:proofErr w:type="gramEnd"/>
      <w:r w:rsidRPr="00AE066F">
        <w:rPr>
          <w:rFonts w:ascii="Arial" w:hAnsi="Arial" w:cs="Arial"/>
          <w:sz w:val="20"/>
          <w:szCs w:val="20"/>
        </w:rPr>
        <w:t>-Long arm, SA- Short arm, TL-Total length, AL-Average length RL-Relative length, CI- Centromeric index. T- Telocentric</w:t>
      </w:r>
      <w:r w:rsidRPr="00AE066F">
        <w:rPr>
          <w:rFonts w:ascii="Arial" w:hAnsi="Arial" w:cs="Arial"/>
          <w:iCs/>
          <w:sz w:val="20"/>
          <w:szCs w:val="20"/>
        </w:rPr>
        <w:t>).</w:t>
      </w:r>
    </w:p>
    <w:p w14:paraId="178E8F08" w14:textId="77777777" w:rsidR="005C45CB" w:rsidRPr="00AE066F" w:rsidRDefault="005C45CB">
      <w:pPr>
        <w:spacing w:line="240" w:lineRule="auto"/>
        <w:ind w:left="720"/>
        <w:jc w:val="both"/>
        <w:rPr>
          <w:rFonts w:ascii="Arial" w:hAnsi="Arial" w:cs="Arial"/>
          <w:iCs/>
          <w:sz w:val="20"/>
          <w:szCs w:val="20"/>
          <w:lang w:val="en-IN"/>
        </w:rPr>
      </w:pPr>
    </w:p>
    <w:tbl>
      <w:tblPr>
        <w:tblW w:w="6133" w:type="dxa"/>
        <w:jc w:val="center"/>
        <w:tblLayout w:type="fixed"/>
        <w:tblLook w:val="0000" w:firstRow="0" w:lastRow="0" w:firstColumn="0" w:lastColumn="0" w:noHBand="0" w:noVBand="0"/>
      </w:tblPr>
      <w:tblGrid>
        <w:gridCol w:w="685"/>
        <w:gridCol w:w="728"/>
        <w:gridCol w:w="726"/>
        <w:gridCol w:w="744"/>
        <w:gridCol w:w="773"/>
        <w:gridCol w:w="874"/>
        <w:gridCol w:w="773"/>
        <w:gridCol w:w="830"/>
      </w:tblGrid>
      <w:tr w:rsidR="005C45CB" w:rsidRPr="00AE066F" w14:paraId="78724371" w14:textId="77777777">
        <w:trPr>
          <w:trHeight w:val="324"/>
          <w:jc w:val="center"/>
        </w:trPr>
        <w:tc>
          <w:tcPr>
            <w:tcW w:w="685" w:type="dxa"/>
            <w:tcBorders>
              <w:top w:val="single" w:sz="4" w:space="0" w:color="000000"/>
              <w:left w:val="single" w:sz="4" w:space="0" w:color="000000"/>
              <w:bottom w:val="single" w:sz="4" w:space="0" w:color="000000"/>
              <w:right w:val="single" w:sz="4" w:space="0" w:color="000000"/>
            </w:tcBorders>
            <w:vAlign w:val="bottom"/>
          </w:tcPr>
          <w:p w14:paraId="5311E43F" w14:textId="77777777" w:rsidR="005C45CB" w:rsidRPr="00AE066F" w:rsidRDefault="00000000">
            <w:pPr>
              <w:spacing w:after="0" w:line="240" w:lineRule="auto"/>
              <w:rPr>
                <w:rFonts w:ascii="Arial" w:hAnsi="Arial" w:cs="Arial"/>
                <w:color w:val="000000"/>
                <w:sz w:val="20"/>
                <w:szCs w:val="20"/>
              </w:rPr>
            </w:pPr>
            <w:proofErr w:type="spellStart"/>
            <w:proofErr w:type="gramStart"/>
            <w:r w:rsidRPr="00AE066F">
              <w:rPr>
                <w:rFonts w:ascii="Arial" w:hAnsi="Arial" w:cs="Arial"/>
                <w:color w:val="000000"/>
                <w:sz w:val="20"/>
                <w:szCs w:val="20"/>
              </w:rPr>
              <w:t>S.No</w:t>
            </w:r>
            <w:proofErr w:type="spellEnd"/>
            <w:proofErr w:type="gramEnd"/>
          </w:p>
        </w:tc>
        <w:tc>
          <w:tcPr>
            <w:tcW w:w="728" w:type="dxa"/>
            <w:tcBorders>
              <w:top w:val="single" w:sz="4" w:space="0" w:color="000000"/>
              <w:left w:val="single" w:sz="4" w:space="0" w:color="000000"/>
              <w:bottom w:val="single" w:sz="4" w:space="0" w:color="000000"/>
              <w:right w:val="single" w:sz="4" w:space="0" w:color="000000"/>
            </w:tcBorders>
            <w:vAlign w:val="bottom"/>
          </w:tcPr>
          <w:p w14:paraId="706E238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LA</w:t>
            </w:r>
          </w:p>
        </w:tc>
        <w:tc>
          <w:tcPr>
            <w:tcW w:w="726" w:type="dxa"/>
            <w:tcBorders>
              <w:top w:val="single" w:sz="4" w:space="0" w:color="000000"/>
              <w:left w:val="single" w:sz="4" w:space="0" w:color="000000"/>
              <w:bottom w:val="single" w:sz="4" w:space="0" w:color="000000"/>
              <w:right w:val="single" w:sz="4" w:space="0" w:color="000000"/>
            </w:tcBorders>
            <w:vAlign w:val="bottom"/>
          </w:tcPr>
          <w:p w14:paraId="4C558EF7"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SA</w:t>
            </w:r>
          </w:p>
        </w:tc>
        <w:tc>
          <w:tcPr>
            <w:tcW w:w="744" w:type="dxa"/>
            <w:tcBorders>
              <w:top w:val="single" w:sz="4" w:space="0" w:color="000000"/>
              <w:left w:val="single" w:sz="4" w:space="0" w:color="000000"/>
              <w:bottom w:val="single" w:sz="4" w:space="0" w:color="000000"/>
              <w:right w:val="single" w:sz="4" w:space="0" w:color="000000"/>
            </w:tcBorders>
            <w:vAlign w:val="bottom"/>
          </w:tcPr>
          <w:p w14:paraId="095A7812"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TL</w:t>
            </w:r>
          </w:p>
        </w:tc>
        <w:tc>
          <w:tcPr>
            <w:tcW w:w="773" w:type="dxa"/>
            <w:tcBorders>
              <w:top w:val="single" w:sz="4" w:space="0" w:color="000000"/>
              <w:left w:val="single" w:sz="4" w:space="0" w:color="000000"/>
              <w:bottom w:val="single" w:sz="4" w:space="0" w:color="000000"/>
              <w:right w:val="single" w:sz="4" w:space="0" w:color="000000"/>
            </w:tcBorders>
            <w:vAlign w:val="bottom"/>
          </w:tcPr>
          <w:p w14:paraId="6EBCF1F3"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AL</w:t>
            </w:r>
          </w:p>
        </w:tc>
        <w:tc>
          <w:tcPr>
            <w:tcW w:w="874" w:type="dxa"/>
            <w:tcBorders>
              <w:top w:val="single" w:sz="4" w:space="0" w:color="000000"/>
              <w:left w:val="single" w:sz="4" w:space="0" w:color="000000"/>
              <w:bottom w:val="single" w:sz="4" w:space="0" w:color="000000"/>
              <w:right w:val="single" w:sz="4" w:space="0" w:color="000000"/>
            </w:tcBorders>
            <w:vAlign w:val="bottom"/>
          </w:tcPr>
          <w:p w14:paraId="619AE5F2" w14:textId="77777777" w:rsidR="005C45CB" w:rsidRPr="00AE066F" w:rsidRDefault="00000000">
            <w:pPr>
              <w:spacing w:after="0" w:line="240" w:lineRule="auto"/>
              <w:rPr>
                <w:rFonts w:ascii="Arial" w:hAnsi="Arial" w:cs="Arial"/>
                <w:color w:val="000000"/>
                <w:sz w:val="20"/>
                <w:szCs w:val="20"/>
              </w:rPr>
            </w:pPr>
            <w:proofErr w:type="gramStart"/>
            <w:r w:rsidRPr="00AE066F">
              <w:rPr>
                <w:rFonts w:cs="Calibri"/>
                <w:color w:val="000000"/>
              </w:rPr>
              <w:t>RL(</w:t>
            </w:r>
            <w:proofErr w:type="gramEnd"/>
            <w:r w:rsidRPr="00AE066F">
              <w:rPr>
                <w:rFonts w:cs="Calibri"/>
                <w:color w:val="000000"/>
              </w:rPr>
              <w:t>%)</w:t>
            </w:r>
          </w:p>
        </w:tc>
        <w:tc>
          <w:tcPr>
            <w:tcW w:w="773" w:type="dxa"/>
            <w:tcBorders>
              <w:top w:val="single" w:sz="4" w:space="0" w:color="000000"/>
              <w:left w:val="single" w:sz="4" w:space="0" w:color="000000"/>
              <w:bottom w:val="single" w:sz="4" w:space="0" w:color="000000"/>
              <w:right w:val="single" w:sz="4" w:space="0" w:color="000000"/>
            </w:tcBorders>
            <w:vAlign w:val="bottom"/>
          </w:tcPr>
          <w:p w14:paraId="0E7459B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A/R=r</w:t>
            </w:r>
          </w:p>
        </w:tc>
        <w:tc>
          <w:tcPr>
            <w:tcW w:w="830" w:type="dxa"/>
            <w:tcBorders>
              <w:top w:val="single" w:sz="4" w:space="0" w:color="000000"/>
              <w:left w:val="single" w:sz="4" w:space="0" w:color="000000"/>
              <w:bottom w:val="single" w:sz="4" w:space="0" w:color="000000"/>
              <w:right w:val="single" w:sz="4" w:space="0" w:color="000000"/>
            </w:tcBorders>
            <w:vAlign w:val="bottom"/>
          </w:tcPr>
          <w:p w14:paraId="20A1C0E8"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CI</w:t>
            </w:r>
          </w:p>
        </w:tc>
      </w:tr>
      <w:tr w:rsidR="005C45CB" w:rsidRPr="00AE066F" w14:paraId="2E8589C8"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52924AF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w:t>
            </w:r>
          </w:p>
        </w:tc>
        <w:tc>
          <w:tcPr>
            <w:tcW w:w="728" w:type="dxa"/>
            <w:tcBorders>
              <w:top w:val="single" w:sz="4" w:space="0" w:color="000000"/>
              <w:left w:val="single" w:sz="4" w:space="0" w:color="000000"/>
              <w:bottom w:val="single" w:sz="4" w:space="0" w:color="000000"/>
              <w:right w:val="single" w:sz="4" w:space="0" w:color="000000"/>
            </w:tcBorders>
            <w:vAlign w:val="center"/>
          </w:tcPr>
          <w:p w14:paraId="5153154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0.86</w:t>
            </w:r>
          </w:p>
        </w:tc>
        <w:tc>
          <w:tcPr>
            <w:tcW w:w="726" w:type="dxa"/>
            <w:tcBorders>
              <w:top w:val="single" w:sz="4" w:space="0" w:color="000000"/>
              <w:left w:val="single" w:sz="4" w:space="0" w:color="000000"/>
              <w:bottom w:val="single" w:sz="4" w:space="0" w:color="000000"/>
              <w:right w:val="single" w:sz="4" w:space="0" w:color="000000"/>
            </w:tcBorders>
            <w:vAlign w:val="center"/>
          </w:tcPr>
          <w:p w14:paraId="7B6481C2"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0.220</w:t>
            </w:r>
          </w:p>
        </w:tc>
        <w:tc>
          <w:tcPr>
            <w:tcW w:w="744" w:type="dxa"/>
            <w:tcBorders>
              <w:top w:val="single" w:sz="4" w:space="0" w:color="000000"/>
              <w:left w:val="single" w:sz="4" w:space="0" w:color="000000"/>
              <w:bottom w:val="single" w:sz="4" w:space="0" w:color="000000"/>
              <w:right w:val="single" w:sz="4" w:space="0" w:color="000000"/>
            </w:tcBorders>
            <w:vAlign w:val="center"/>
          </w:tcPr>
          <w:p w14:paraId="59D2F36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1.080</w:t>
            </w:r>
          </w:p>
        </w:tc>
        <w:tc>
          <w:tcPr>
            <w:tcW w:w="773" w:type="dxa"/>
            <w:tcBorders>
              <w:top w:val="single" w:sz="4" w:space="0" w:color="000000"/>
              <w:left w:val="single" w:sz="4" w:space="0" w:color="000000"/>
              <w:bottom w:val="single" w:sz="4" w:space="0" w:color="000000"/>
              <w:right w:val="single" w:sz="4" w:space="0" w:color="000000"/>
            </w:tcBorders>
            <w:vAlign w:val="center"/>
          </w:tcPr>
          <w:p w14:paraId="0CD1717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0.54</w:t>
            </w:r>
          </w:p>
        </w:tc>
        <w:tc>
          <w:tcPr>
            <w:tcW w:w="874" w:type="dxa"/>
            <w:tcBorders>
              <w:top w:val="single" w:sz="4" w:space="0" w:color="000000"/>
              <w:left w:val="single" w:sz="4" w:space="0" w:color="000000"/>
              <w:bottom w:val="single" w:sz="4" w:space="0" w:color="000000"/>
              <w:right w:val="single" w:sz="4" w:space="0" w:color="000000"/>
            </w:tcBorders>
            <w:vAlign w:val="center"/>
          </w:tcPr>
          <w:p w14:paraId="59FBC0E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6.379</w:t>
            </w:r>
          </w:p>
        </w:tc>
        <w:tc>
          <w:tcPr>
            <w:tcW w:w="773" w:type="dxa"/>
            <w:tcBorders>
              <w:top w:val="single" w:sz="4" w:space="0" w:color="000000"/>
              <w:left w:val="single" w:sz="4" w:space="0" w:color="000000"/>
              <w:bottom w:val="single" w:sz="4" w:space="0" w:color="000000"/>
              <w:right w:val="single" w:sz="4" w:space="0" w:color="000000"/>
            </w:tcBorders>
            <w:vAlign w:val="center"/>
          </w:tcPr>
          <w:p w14:paraId="2A23EE0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3.909</w:t>
            </w:r>
          </w:p>
        </w:tc>
        <w:tc>
          <w:tcPr>
            <w:tcW w:w="830" w:type="dxa"/>
            <w:tcBorders>
              <w:top w:val="single" w:sz="4" w:space="0" w:color="000000"/>
              <w:left w:val="single" w:sz="4" w:space="0" w:color="000000"/>
              <w:bottom w:val="single" w:sz="4" w:space="0" w:color="000000"/>
              <w:right w:val="single" w:sz="4" w:space="0" w:color="000000"/>
            </w:tcBorders>
            <w:vAlign w:val="center"/>
          </w:tcPr>
          <w:p w14:paraId="3F6F5E68"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20.370</w:t>
            </w:r>
          </w:p>
        </w:tc>
      </w:tr>
      <w:tr w:rsidR="005C45CB" w:rsidRPr="00AE066F" w14:paraId="0EE20217"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54039AD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w:t>
            </w:r>
          </w:p>
        </w:tc>
        <w:tc>
          <w:tcPr>
            <w:tcW w:w="728" w:type="dxa"/>
            <w:tcBorders>
              <w:top w:val="single" w:sz="4" w:space="0" w:color="000000"/>
              <w:left w:val="single" w:sz="4" w:space="0" w:color="000000"/>
              <w:bottom w:val="single" w:sz="4" w:space="0" w:color="000000"/>
              <w:right w:val="single" w:sz="4" w:space="0" w:color="000000"/>
            </w:tcBorders>
            <w:vAlign w:val="center"/>
          </w:tcPr>
          <w:p w14:paraId="29590EF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w:t>
            </w:r>
          </w:p>
        </w:tc>
        <w:tc>
          <w:tcPr>
            <w:tcW w:w="726" w:type="dxa"/>
            <w:tcBorders>
              <w:top w:val="single" w:sz="4" w:space="0" w:color="000000"/>
              <w:left w:val="single" w:sz="4" w:space="0" w:color="000000"/>
              <w:bottom w:val="single" w:sz="4" w:space="0" w:color="000000"/>
              <w:right w:val="single" w:sz="4" w:space="0" w:color="000000"/>
            </w:tcBorders>
            <w:vAlign w:val="center"/>
          </w:tcPr>
          <w:p w14:paraId="58A0DFAB"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0.360</w:t>
            </w:r>
          </w:p>
        </w:tc>
        <w:tc>
          <w:tcPr>
            <w:tcW w:w="744" w:type="dxa"/>
            <w:tcBorders>
              <w:top w:val="single" w:sz="4" w:space="0" w:color="000000"/>
              <w:left w:val="single" w:sz="4" w:space="0" w:color="000000"/>
              <w:bottom w:val="single" w:sz="4" w:space="0" w:color="000000"/>
              <w:right w:val="single" w:sz="4" w:space="0" w:color="000000"/>
            </w:tcBorders>
            <w:vAlign w:val="center"/>
          </w:tcPr>
          <w:p w14:paraId="2EB1823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0.860</w:t>
            </w:r>
          </w:p>
        </w:tc>
        <w:tc>
          <w:tcPr>
            <w:tcW w:w="773" w:type="dxa"/>
            <w:tcBorders>
              <w:top w:val="single" w:sz="4" w:space="0" w:color="000000"/>
              <w:left w:val="single" w:sz="4" w:space="0" w:color="000000"/>
              <w:bottom w:val="single" w:sz="4" w:space="0" w:color="000000"/>
              <w:right w:val="single" w:sz="4" w:space="0" w:color="000000"/>
            </w:tcBorders>
            <w:vAlign w:val="center"/>
          </w:tcPr>
          <w:p w14:paraId="6ADCF1F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0.43</w:t>
            </w:r>
          </w:p>
        </w:tc>
        <w:tc>
          <w:tcPr>
            <w:tcW w:w="874" w:type="dxa"/>
            <w:tcBorders>
              <w:top w:val="single" w:sz="4" w:space="0" w:color="000000"/>
              <w:left w:val="single" w:sz="4" w:space="0" w:color="000000"/>
              <w:bottom w:val="single" w:sz="4" w:space="0" w:color="000000"/>
              <w:right w:val="single" w:sz="4" w:space="0" w:color="000000"/>
            </w:tcBorders>
            <w:vAlign w:val="center"/>
          </w:tcPr>
          <w:p w14:paraId="393C3C5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5.080</w:t>
            </w:r>
          </w:p>
        </w:tc>
        <w:tc>
          <w:tcPr>
            <w:tcW w:w="773" w:type="dxa"/>
            <w:tcBorders>
              <w:top w:val="single" w:sz="4" w:space="0" w:color="000000"/>
              <w:left w:val="single" w:sz="4" w:space="0" w:color="000000"/>
              <w:bottom w:val="single" w:sz="4" w:space="0" w:color="000000"/>
              <w:right w:val="single" w:sz="4" w:space="0" w:color="000000"/>
            </w:tcBorders>
            <w:vAlign w:val="center"/>
          </w:tcPr>
          <w:p w14:paraId="56E4CAA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1.389</w:t>
            </w:r>
          </w:p>
        </w:tc>
        <w:tc>
          <w:tcPr>
            <w:tcW w:w="830" w:type="dxa"/>
            <w:tcBorders>
              <w:top w:val="single" w:sz="4" w:space="0" w:color="000000"/>
              <w:left w:val="single" w:sz="4" w:space="0" w:color="000000"/>
              <w:bottom w:val="single" w:sz="4" w:space="0" w:color="000000"/>
              <w:right w:val="single" w:sz="4" w:space="0" w:color="000000"/>
            </w:tcBorders>
            <w:vAlign w:val="center"/>
          </w:tcPr>
          <w:p w14:paraId="2240113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41.860</w:t>
            </w:r>
          </w:p>
        </w:tc>
      </w:tr>
      <w:tr w:rsidR="005C45CB" w:rsidRPr="00AE066F" w14:paraId="0AF2535A"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0F76F74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3</w:t>
            </w:r>
          </w:p>
        </w:tc>
        <w:tc>
          <w:tcPr>
            <w:tcW w:w="728" w:type="dxa"/>
            <w:tcBorders>
              <w:top w:val="single" w:sz="4" w:space="0" w:color="000000"/>
              <w:left w:val="single" w:sz="4" w:space="0" w:color="000000"/>
              <w:bottom w:val="single" w:sz="4" w:space="0" w:color="000000"/>
              <w:right w:val="single" w:sz="4" w:space="0" w:color="000000"/>
            </w:tcBorders>
            <w:vAlign w:val="center"/>
          </w:tcPr>
          <w:p w14:paraId="61F97792"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0.36</w:t>
            </w:r>
          </w:p>
        </w:tc>
        <w:tc>
          <w:tcPr>
            <w:tcW w:w="726" w:type="dxa"/>
            <w:tcBorders>
              <w:top w:val="single" w:sz="4" w:space="0" w:color="000000"/>
              <w:left w:val="single" w:sz="4" w:space="0" w:color="000000"/>
              <w:bottom w:val="single" w:sz="4" w:space="0" w:color="000000"/>
              <w:right w:val="single" w:sz="4" w:space="0" w:color="000000"/>
            </w:tcBorders>
            <w:vAlign w:val="center"/>
          </w:tcPr>
          <w:p w14:paraId="3A6D03E4"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0.360</w:t>
            </w:r>
          </w:p>
        </w:tc>
        <w:tc>
          <w:tcPr>
            <w:tcW w:w="744" w:type="dxa"/>
            <w:tcBorders>
              <w:top w:val="single" w:sz="4" w:space="0" w:color="000000"/>
              <w:left w:val="single" w:sz="4" w:space="0" w:color="000000"/>
              <w:bottom w:val="single" w:sz="4" w:space="0" w:color="000000"/>
              <w:right w:val="single" w:sz="4" w:space="0" w:color="000000"/>
            </w:tcBorders>
            <w:vAlign w:val="center"/>
          </w:tcPr>
          <w:p w14:paraId="033B123B"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0.720</w:t>
            </w:r>
          </w:p>
        </w:tc>
        <w:tc>
          <w:tcPr>
            <w:tcW w:w="773" w:type="dxa"/>
            <w:tcBorders>
              <w:top w:val="single" w:sz="4" w:space="0" w:color="000000"/>
              <w:left w:val="single" w:sz="4" w:space="0" w:color="000000"/>
              <w:bottom w:val="single" w:sz="4" w:space="0" w:color="000000"/>
              <w:right w:val="single" w:sz="4" w:space="0" w:color="000000"/>
            </w:tcBorders>
            <w:vAlign w:val="center"/>
          </w:tcPr>
          <w:p w14:paraId="0C37111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0.36</w:t>
            </w:r>
          </w:p>
        </w:tc>
        <w:tc>
          <w:tcPr>
            <w:tcW w:w="874" w:type="dxa"/>
            <w:tcBorders>
              <w:top w:val="single" w:sz="4" w:space="0" w:color="000000"/>
              <w:left w:val="single" w:sz="4" w:space="0" w:color="000000"/>
              <w:bottom w:val="single" w:sz="4" w:space="0" w:color="000000"/>
              <w:right w:val="single" w:sz="4" w:space="0" w:color="000000"/>
            </w:tcBorders>
            <w:vAlign w:val="center"/>
          </w:tcPr>
          <w:p w14:paraId="379766E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4.253</w:t>
            </w:r>
          </w:p>
        </w:tc>
        <w:tc>
          <w:tcPr>
            <w:tcW w:w="773" w:type="dxa"/>
            <w:tcBorders>
              <w:top w:val="single" w:sz="4" w:space="0" w:color="000000"/>
              <w:left w:val="single" w:sz="4" w:space="0" w:color="000000"/>
              <w:bottom w:val="single" w:sz="4" w:space="0" w:color="000000"/>
              <w:right w:val="single" w:sz="4" w:space="0" w:color="000000"/>
            </w:tcBorders>
            <w:vAlign w:val="center"/>
          </w:tcPr>
          <w:p w14:paraId="4653FB6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1.000</w:t>
            </w:r>
          </w:p>
        </w:tc>
        <w:tc>
          <w:tcPr>
            <w:tcW w:w="830" w:type="dxa"/>
            <w:tcBorders>
              <w:top w:val="single" w:sz="4" w:space="0" w:color="000000"/>
              <w:left w:val="single" w:sz="4" w:space="0" w:color="000000"/>
              <w:bottom w:val="single" w:sz="4" w:space="0" w:color="000000"/>
              <w:right w:val="single" w:sz="4" w:space="0" w:color="000000"/>
            </w:tcBorders>
            <w:vAlign w:val="center"/>
          </w:tcPr>
          <w:p w14:paraId="1EDFCE1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50.000</w:t>
            </w:r>
          </w:p>
        </w:tc>
      </w:tr>
      <w:tr w:rsidR="005C45CB" w:rsidRPr="00AE066F" w14:paraId="6D88AF08"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0D74550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4</w:t>
            </w:r>
          </w:p>
        </w:tc>
        <w:tc>
          <w:tcPr>
            <w:tcW w:w="728" w:type="dxa"/>
            <w:tcBorders>
              <w:top w:val="single" w:sz="4" w:space="0" w:color="000000"/>
              <w:left w:val="single" w:sz="4" w:space="0" w:color="000000"/>
              <w:bottom w:val="single" w:sz="4" w:space="0" w:color="000000"/>
              <w:right w:val="single" w:sz="4" w:space="0" w:color="000000"/>
            </w:tcBorders>
            <w:vAlign w:val="center"/>
          </w:tcPr>
          <w:p w14:paraId="42EDA868"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0.46</w:t>
            </w:r>
          </w:p>
        </w:tc>
        <w:tc>
          <w:tcPr>
            <w:tcW w:w="726" w:type="dxa"/>
            <w:tcBorders>
              <w:top w:val="single" w:sz="4" w:space="0" w:color="000000"/>
              <w:left w:val="single" w:sz="4" w:space="0" w:color="000000"/>
              <w:bottom w:val="single" w:sz="4" w:space="0" w:color="000000"/>
              <w:right w:val="single" w:sz="4" w:space="0" w:color="000000"/>
            </w:tcBorders>
            <w:vAlign w:val="center"/>
          </w:tcPr>
          <w:p w14:paraId="32627B98"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0.250</w:t>
            </w:r>
          </w:p>
        </w:tc>
        <w:tc>
          <w:tcPr>
            <w:tcW w:w="744" w:type="dxa"/>
            <w:tcBorders>
              <w:top w:val="single" w:sz="4" w:space="0" w:color="000000"/>
              <w:left w:val="single" w:sz="4" w:space="0" w:color="000000"/>
              <w:bottom w:val="single" w:sz="4" w:space="0" w:color="000000"/>
              <w:right w:val="single" w:sz="4" w:space="0" w:color="000000"/>
            </w:tcBorders>
            <w:vAlign w:val="center"/>
          </w:tcPr>
          <w:p w14:paraId="072C399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0.710</w:t>
            </w:r>
          </w:p>
        </w:tc>
        <w:tc>
          <w:tcPr>
            <w:tcW w:w="773" w:type="dxa"/>
            <w:tcBorders>
              <w:top w:val="single" w:sz="4" w:space="0" w:color="000000"/>
              <w:left w:val="single" w:sz="4" w:space="0" w:color="000000"/>
              <w:bottom w:val="single" w:sz="4" w:space="0" w:color="000000"/>
              <w:right w:val="single" w:sz="4" w:space="0" w:color="000000"/>
            </w:tcBorders>
            <w:vAlign w:val="center"/>
          </w:tcPr>
          <w:p w14:paraId="46A9C7EB"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0.355</w:t>
            </w:r>
          </w:p>
        </w:tc>
        <w:tc>
          <w:tcPr>
            <w:tcW w:w="874" w:type="dxa"/>
            <w:tcBorders>
              <w:top w:val="single" w:sz="4" w:space="0" w:color="000000"/>
              <w:left w:val="single" w:sz="4" w:space="0" w:color="000000"/>
              <w:bottom w:val="single" w:sz="4" w:space="0" w:color="000000"/>
              <w:right w:val="single" w:sz="4" w:space="0" w:color="000000"/>
            </w:tcBorders>
            <w:vAlign w:val="center"/>
          </w:tcPr>
          <w:p w14:paraId="7A67647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4.194</w:t>
            </w:r>
          </w:p>
        </w:tc>
        <w:tc>
          <w:tcPr>
            <w:tcW w:w="773" w:type="dxa"/>
            <w:tcBorders>
              <w:top w:val="single" w:sz="4" w:space="0" w:color="000000"/>
              <w:left w:val="single" w:sz="4" w:space="0" w:color="000000"/>
              <w:bottom w:val="single" w:sz="4" w:space="0" w:color="000000"/>
              <w:right w:val="single" w:sz="4" w:space="0" w:color="000000"/>
            </w:tcBorders>
            <w:vAlign w:val="center"/>
          </w:tcPr>
          <w:p w14:paraId="6B85871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1.840</w:t>
            </w:r>
          </w:p>
        </w:tc>
        <w:tc>
          <w:tcPr>
            <w:tcW w:w="830" w:type="dxa"/>
            <w:tcBorders>
              <w:top w:val="single" w:sz="4" w:space="0" w:color="000000"/>
              <w:left w:val="single" w:sz="4" w:space="0" w:color="000000"/>
              <w:bottom w:val="single" w:sz="4" w:space="0" w:color="000000"/>
              <w:right w:val="single" w:sz="4" w:space="0" w:color="000000"/>
            </w:tcBorders>
            <w:vAlign w:val="center"/>
          </w:tcPr>
          <w:p w14:paraId="7C9B513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35.211</w:t>
            </w:r>
          </w:p>
        </w:tc>
      </w:tr>
      <w:tr w:rsidR="005C45CB" w:rsidRPr="00AE066F" w14:paraId="18BADE5E"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2FAFBB52"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5</w:t>
            </w:r>
          </w:p>
        </w:tc>
        <w:tc>
          <w:tcPr>
            <w:tcW w:w="728" w:type="dxa"/>
            <w:tcBorders>
              <w:top w:val="single" w:sz="4" w:space="0" w:color="000000"/>
              <w:left w:val="single" w:sz="4" w:space="0" w:color="000000"/>
              <w:bottom w:val="single" w:sz="4" w:space="0" w:color="000000"/>
              <w:right w:val="single" w:sz="4" w:space="0" w:color="000000"/>
            </w:tcBorders>
            <w:vAlign w:val="center"/>
          </w:tcPr>
          <w:p w14:paraId="03B2048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0.43</w:t>
            </w:r>
          </w:p>
        </w:tc>
        <w:tc>
          <w:tcPr>
            <w:tcW w:w="726" w:type="dxa"/>
            <w:tcBorders>
              <w:top w:val="single" w:sz="4" w:space="0" w:color="000000"/>
              <w:left w:val="single" w:sz="4" w:space="0" w:color="000000"/>
              <w:bottom w:val="single" w:sz="4" w:space="0" w:color="000000"/>
              <w:right w:val="single" w:sz="4" w:space="0" w:color="000000"/>
            </w:tcBorders>
            <w:vAlign w:val="center"/>
          </w:tcPr>
          <w:p w14:paraId="5F65147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0.290</w:t>
            </w:r>
          </w:p>
        </w:tc>
        <w:tc>
          <w:tcPr>
            <w:tcW w:w="744" w:type="dxa"/>
            <w:tcBorders>
              <w:top w:val="single" w:sz="4" w:space="0" w:color="000000"/>
              <w:left w:val="single" w:sz="4" w:space="0" w:color="000000"/>
              <w:bottom w:val="single" w:sz="4" w:space="0" w:color="000000"/>
              <w:right w:val="single" w:sz="4" w:space="0" w:color="000000"/>
            </w:tcBorders>
            <w:vAlign w:val="center"/>
          </w:tcPr>
          <w:p w14:paraId="43CF46D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0.720</w:t>
            </w:r>
          </w:p>
        </w:tc>
        <w:tc>
          <w:tcPr>
            <w:tcW w:w="773" w:type="dxa"/>
            <w:tcBorders>
              <w:top w:val="single" w:sz="4" w:space="0" w:color="000000"/>
              <w:left w:val="single" w:sz="4" w:space="0" w:color="000000"/>
              <w:bottom w:val="single" w:sz="4" w:space="0" w:color="000000"/>
              <w:right w:val="single" w:sz="4" w:space="0" w:color="000000"/>
            </w:tcBorders>
            <w:vAlign w:val="center"/>
          </w:tcPr>
          <w:p w14:paraId="01DD7AA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0.36</w:t>
            </w:r>
          </w:p>
        </w:tc>
        <w:tc>
          <w:tcPr>
            <w:tcW w:w="874" w:type="dxa"/>
            <w:tcBorders>
              <w:top w:val="single" w:sz="4" w:space="0" w:color="000000"/>
              <w:left w:val="single" w:sz="4" w:space="0" w:color="000000"/>
              <w:bottom w:val="single" w:sz="4" w:space="0" w:color="000000"/>
              <w:right w:val="single" w:sz="4" w:space="0" w:color="000000"/>
            </w:tcBorders>
            <w:vAlign w:val="center"/>
          </w:tcPr>
          <w:p w14:paraId="28B621C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4.253</w:t>
            </w:r>
          </w:p>
        </w:tc>
        <w:tc>
          <w:tcPr>
            <w:tcW w:w="773" w:type="dxa"/>
            <w:tcBorders>
              <w:top w:val="single" w:sz="4" w:space="0" w:color="000000"/>
              <w:left w:val="single" w:sz="4" w:space="0" w:color="000000"/>
              <w:bottom w:val="single" w:sz="4" w:space="0" w:color="000000"/>
              <w:right w:val="single" w:sz="4" w:space="0" w:color="000000"/>
            </w:tcBorders>
            <w:vAlign w:val="center"/>
          </w:tcPr>
          <w:p w14:paraId="6E3A4DA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1.483</w:t>
            </w:r>
          </w:p>
        </w:tc>
        <w:tc>
          <w:tcPr>
            <w:tcW w:w="830" w:type="dxa"/>
            <w:tcBorders>
              <w:top w:val="single" w:sz="4" w:space="0" w:color="000000"/>
              <w:left w:val="single" w:sz="4" w:space="0" w:color="000000"/>
              <w:bottom w:val="single" w:sz="4" w:space="0" w:color="000000"/>
              <w:right w:val="single" w:sz="4" w:space="0" w:color="000000"/>
            </w:tcBorders>
            <w:vAlign w:val="center"/>
          </w:tcPr>
          <w:p w14:paraId="4DC1A3E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40.278</w:t>
            </w:r>
          </w:p>
        </w:tc>
      </w:tr>
      <w:tr w:rsidR="005C45CB" w:rsidRPr="00AE066F" w14:paraId="59624FC4"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53F18E1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6</w:t>
            </w:r>
          </w:p>
        </w:tc>
        <w:tc>
          <w:tcPr>
            <w:tcW w:w="728" w:type="dxa"/>
            <w:tcBorders>
              <w:top w:val="single" w:sz="4" w:space="0" w:color="000000"/>
              <w:left w:val="single" w:sz="4" w:space="0" w:color="000000"/>
              <w:bottom w:val="single" w:sz="4" w:space="0" w:color="000000"/>
              <w:right w:val="single" w:sz="4" w:space="0" w:color="000000"/>
            </w:tcBorders>
            <w:vAlign w:val="center"/>
          </w:tcPr>
          <w:p w14:paraId="74E60A2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0.36</w:t>
            </w:r>
          </w:p>
        </w:tc>
        <w:tc>
          <w:tcPr>
            <w:tcW w:w="726" w:type="dxa"/>
            <w:tcBorders>
              <w:top w:val="single" w:sz="4" w:space="0" w:color="000000"/>
              <w:left w:val="single" w:sz="4" w:space="0" w:color="000000"/>
              <w:bottom w:val="single" w:sz="4" w:space="0" w:color="000000"/>
              <w:right w:val="single" w:sz="4" w:space="0" w:color="000000"/>
            </w:tcBorders>
            <w:vAlign w:val="center"/>
          </w:tcPr>
          <w:p w14:paraId="3820AB0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0.290</w:t>
            </w:r>
          </w:p>
        </w:tc>
        <w:tc>
          <w:tcPr>
            <w:tcW w:w="744" w:type="dxa"/>
            <w:tcBorders>
              <w:top w:val="single" w:sz="4" w:space="0" w:color="000000"/>
              <w:left w:val="single" w:sz="4" w:space="0" w:color="000000"/>
              <w:bottom w:val="single" w:sz="4" w:space="0" w:color="000000"/>
              <w:right w:val="single" w:sz="4" w:space="0" w:color="000000"/>
            </w:tcBorders>
            <w:vAlign w:val="center"/>
          </w:tcPr>
          <w:p w14:paraId="584CEC4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0.650</w:t>
            </w:r>
          </w:p>
        </w:tc>
        <w:tc>
          <w:tcPr>
            <w:tcW w:w="773" w:type="dxa"/>
            <w:tcBorders>
              <w:top w:val="single" w:sz="4" w:space="0" w:color="000000"/>
              <w:left w:val="single" w:sz="4" w:space="0" w:color="000000"/>
              <w:bottom w:val="single" w:sz="4" w:space="0" w:color="000000"/>
              <w:right w:val="single" w:sz="4" w:space="0" w:color="000000"/>
            </w:tcBorders>
            <w:vAlign w:val="center"/>
          </w:tcPr>
          <w:p w14:paraId="1A10378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0.325</w:t>
            </w:r>
          </w:p>
        </w:tc>
        <w:tc>
          <w:tcPr>
            <w:tcW w:w="874" w:type="dxa"/>
            <w:tcBorders>
              <w:top w:val="single" w:sz="4" w:space="0" w:color="000000"/>
              <w:left w:val="single" w:sz="4" w:space="0" w:color="000000"/>
              <w:bottom w:val="single" w:sz="4" w:space="0" w:color="000000"/>
              <w:right w:val="single" w:sz="4" w:space="0" w:color="000000"/>
            </w:tcBorders>
            <w:vAlign w:val="center"/>
          </w:tcPr>
          <w:p w14:paraId="7B2E2B0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3.839</w:t>
            </w:r>
          </w:p>
        </w:tc>
        <w:tc>
          <w:tcPr>
            <w:tcW w:w="773" w:type="dxa"/>
            <w:tcBorders>
              <w:top w:val="single" w:sz="4" w:space="0" w:color="000000"/>
              <w:left w:val="single" w:sz="4" w:space="0" w:color="000000"/>
              <w:bottom w:val="single" w:sz="4" w:space="0" w:color="000000"/>
              <w:right w:val="single" w:sz="4" w:space="0" w:color="000000"/>
            </w:tcBorders>
            <w:vAlign w:val="center"/>
          </w:tcPr>
          <w:p w14:paraId="35366DB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1.241</w:t>
            </w:r>
          </w:p>
        </w:tc>
        <w:tc>
          <w:tcPr>
            <w:tcW w:w="830" w:type="dxa"/>
            <w:tcBorders>
              <w:top w:val="single" w:sz="4" w:space="0" w:color="000000"/>
              <w:left w:val="single" w:sz="4" w:space="0" w:color="000000"/>
              <w:bottom w:val="single" w:sz="4" w:space="0" w:color="000000"/>
              <w:right w:val="single" w:sz="4" w:space="0" w:color="000000"/>
            </w:tcBorders>
            <w:vAlign w:val="center"/>
          </w:tcPr>
          <w:p w14:paraId="041CA13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44.615</w:t>
            </w:r>
          </w:p>
        </w:tc>
      </w:tr>
      <w:tr w:rsidR="005C45CB" w:rsidRPr="00AE066F" w14:paraId="51DB9FA3"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2B9AEB4B"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7</w:t>
            </w:r>
          </w:p>
        </w:tc>
        <w:tc>
          <w:tcPr>
            <w:tcW w:w="728" w:type="dxa"/>
            <w:tcBorders>
              <w:top w:val="single" w:sz="4" w:space="0" w:color="000000"/>
              <w:left w:val="single" w:sz="4" w:space="0" w:color="000000"/>
              <w:bottom w:val="single" w:sz="4" w:space="0" w:color="000000"/>
              <w:right w:val="single" w:sz="4" w:space="0" w:color="000000"/>
            </w:tcBorders>
            <w:vAlign w:val="center"/>
          </w:tcPr>
          <w:p w14:paraId="714174F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0.71</w:t>
            </w:r>
          </w:p>
        </w:tc>
        <w:tc>
          <w:tcPr>
            <w:tcW w:w="726" w:type="dxa"/>
            <w:tcBorders>
              <w:top w:val="single" w:sz="4" w:space="0" w:color="000000"/>
              <w:left w:val="single" w:sz="4" w:space="0" w:color="000000"/>
              <w:bottom w:val="single" w:sz="4" w:space="0" w:color="000000"/>
              <w:right w:val="single" w:sz="4" w:space="0" w:color="000000"/>
            </w:tcBorders>
            <w:vAlign w:val="center"/>
          </w:tcPr>
          <w:p w14:paraId="7730DD9A"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0.290</w:t>
            </w:r>
          </w:p>
        </w:tc>
        <w:tc>
          <w:tcPr>
            <w:tcW w:w="744" w:type="dxa"/>
            <w:tcBorders>
              <w:top w:val="single" w:sz="4" w:space="0" w:color="000000"/>
              <w:left w:val="single" w:sz="4" w:space="0" w:color="000000"/>
              <w:bottom w:val="single" w:sz="4" w:space="0" w:color="000000"/>
              <w:right w:val="single" w:sz="4" w:space="0" w:color="000000"/>
            </w:tcBorders>
            <w:vAlign w:val="center"/>
          </w:tcPr>
          <w:p w14:paraId="28B24DD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1.000</w:t>
            </w:r>
          </w:p>
        </w:tc>
        <w:tc>
          <w:tcPr>
            <w:tcW w:w="773" w:type="dxa"/>
            <w:tcBorders>
              <w:top w:val="single" w:sz="4" w:space="0" w:color="000000"/>
              <w:left w:val="single" w:sz="4" w:space="0" w:color="000000"/>
              <w:bottom w:val="single" w:sz="4" w:space="0" w:color="000000"/>
              <w:right w:val="single" w:sz="4" w:space="0" w:color="000000"/>
            </w:tcBorders>
            <w:vAlign w:val="center"/>
          </w:tcPr>
          <w:p w14:paraId="5B61E6E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w:t>
            </w:r>
          </w:p>
        </w:tc>
        <w:tc>
          <w:tcPr>
            <w:tcW w:w="874" w:type="dxa"/>
            <w:tcBorders>
              <w:top w:val="single" w:sz="4" w:space="0" w:color="000000"/>
              <w:left w:val="single" w:sz="4" w:space="0" w:color="000000"/>
              <w:bottom w:val="single" w:sz="4" w:space="0" w:color="000000"/>
              <w:right w:val="single" w:sz="4" w:space="0" w:color="000000"/>
            </w:tcBorders>
            <w:vAlign w:val="center"/>
          </w:tcPr>
          <w:p w14:paraId="55E53BE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5.907</w:t>
            </w:r>
          </w:p>
        </w:tc>
        <w:tc>
          <w:tcPr>
            <w:tcW w:w="773" w:type="dxa"/>
            <w:tcBorders>
              <w:top w:val="single" w:sz="4" w:space="0" w:color="000000"/>
              <w:left w:val="single" w:sz="4" w:space="0" w:color="000000"/>
              <w:bottom w:val="single" w:sz="4" w:space="0" w:color="000000"/>
              <w:right w:val="single" w:sz="4" w:space="0" w:color="000000"/>
            </w:tcBorders>
            <w:vAlign w:val="center"/>
          </w:tcPr>
          <w:p w14:paraId="56373DD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2.448</w:t>
            </w:r>
          </w:p>
        </w:tc>
        <w:tc>
          <w:tcPr>
            <w:tcW w:w="830" w:type="dxa"/>
            <w:tcBorders>
              <w:top w:val="single" w:sz="4" w:space="0" w:color="000000"/>
              <w:left w:val="single" w:sz="4" w:space="0" w:color="000000"/>
              <w:bottom w:val="single" w:sz="4" w:space="0" w:color="000000"/>
              <w:right w:val="single" w:sz="4" w:space="0" w:color="000000"/>
            </w:tcBorders>
            <w:vAlign w:val="center"/>
          </w:tcPr>
          <w:p w14:paraId="204D55A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29.000</w:t>
            </w:r>
          </w:p>
        </w:tc>
      </w:tr>
      <w:tr w:rsidR="005C45CB" w:rsidRPr="00AE066F" w14:paraId="3066BA6C"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7188245A"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8</w:t>
            </w:r>
          </w:p>
        </w:tc>
        <w:tc>
          <w:tcPr>
            <w:tcW w:w="728" w:type="dxa"/>
            <w:tcBorders>
              <w:top w:val="single" w:sz="4" w:space="0" w:color="000000"/>
              <w:left w:val="single" w:sz="4" w:space="0" w:color="000000"/>
              <w:bottom w:val="single" w:sz="4" w:space="0" w:color="000000"/>
              <w:right w:val="single" w:sz="4" w:space="0" w:color="000000"/>
            </w:tcBorders>
            <w:vAlign w:val="center"/>
          </w:tcPr>
          <w:p w14:paraId="0EE77F5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0.65</w:t>
            </w:r>
          </w:p>
        </w:tc>
        <w:tc>
          <w:tcPr>
            <w:tcW w:w="726" w:type="dxa"/>
            <w:tcBorders>
              <w:top w:val="single" w:sz="4" w:space="0" w:color="000000"/>
              <w:left w:val="single" w:sz="4" w:space="0" w:color="000000"/>
              <w:bottom w:val="single" w:sz="4" w:space="0" w:color="000000"/>
              <w:right w:val="single" w:sz="4" w:space="0" w:color="000000"/>
            </w:tcBorders>
            <w:vAlign w:val="center"/>
          </w:tcPr>
          <w:p w14:paraId="620DF79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4CDF34E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0.860</w:t>
            </w:r>
          </w:p>
        </w:tc>
        <w:tc>
          <w:tcPr>
            <w:tcW w:w="773" w:type="dxa"/>
            <w:tcBorders>
              <w:top w:val="single" w:sz="4" w:space="0" w:color="000000"/>
              <w:left w:val="single" w:sz="4" w:space="0" w:color="000000"/>
              <w:bottom w:val="single" w:sz="4" w:space="0" w:color="000000"/>
              <w:right w:val="single" w:sz="4" w:space="0" w:color="000000"/>
            </w:tcBorders>
            <w:vAlign w:val="center"/>
          </w:tcPr>
          <w:p w14:paraId="29FDDA8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0.43</w:t>
            </w:r>
          </w:p>
        </w:tc>
        <w:tc>
          <w:tcPr>
            <w:tcW w:w="874" w:type="dxa"/>
            <w:tcBorders>
              <w:top w:val="single" w:sz="4" w:space="0" w:color="000000"/>
              <w:left w:val="single" w:sz="4" w:space="0" w:color="000000"/>
              <w:bottom w:val="single" w:sz="4" w:space="0" w:color="000000"/>
              <w:right w:val="single" w:sz="4" w:space="0" w:color="000000"/>
            </w:tcBorders>
            <w:vAlign w:val="center"/>
          </w:tcPr>
          <w:p w14:paraId="0AB5985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5.080</w:t>
            </w:r>
          </w:p>
        </w:tc>
        <w:tc>
          <w:tcPr>
            <w:tcW w:w="773" w:type="dxa"/>
            <w:tcBorders>
              <w:top w:val="single" w:sz="4" w:space="0" w:color="000000"/>
              <w:left w:val="single" w:sz="4" w:space="0" w:color="000000"/>
              <w:bottom w:val="single" w:sz="4" w:space="0" w:color="000000"/>
              <w:right w:val="single" w:sz="4" w:space="0" w:color="000000"/>
            </w:tcBorders>
            <w:vAlign w:val="center"/>
          </w:tcPr>
          <w:p w14:paraId="73A1B13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3.095</w:t>
            </w:r>
          </w:p>
        </w:tc>
        <w:tc>
          <w:tcPr>
            <w:tcW w:w="830" w:type="dxa"/>
            <w:tcBorders>
              <w:top w:val="single" w:sz="4" w:space="0" w:color="000000"/>
              <w:left w:val="single" w:sz="4" w:space="0" w:color="000000"/>
              <w:bottom w:val="single" w:sz="4" w:space="0" w:color="000000"/>
              <w:right w:val="single" w:sz="4" w:space="0" w:color="000000"/>
            </w:tcBorders>
            <w:vAlign w:val="center"/>
          </w:tcPr>
          <w:p w14:paraId="1D17AD7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24.419</w:t>
            </w:r>
          </w:p>
        </w:tc>
      </w:tr>
      <w:tr w:rsidR="005C45CB" w:rsidRPr="00AE066F" w14:paraId="3704C162"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700A954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9</w:t>
            </w:r>
          </w:p>
        </w:tc>
        <w:tc>
          <w:tcPr>
            <w:tcW w:w="728" w:type="dxa"/>
            <w:tcBorders>
              <w:top w:val="single" w:sz="4" w:space="0" w:color="000000"/>
              <w:left w:val="single" w:sz="4" w:space="0" w:color="000000"/>
              <w:bottom w:val="single" w:sz="4" w:space="0" w:color="000000"/>
              <w:right w:val="single" w:sz="4" w:space="0" w:color="000000"/>
            </w:tcBorders>
            <w:vAlign w:val="center"/>
          </w:tcPr>
          <w:p w14:paraId="610EA388"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0.57</w:t>
            </w:r>
          </w:p>
        </w:tc>
        <w:tc>
          <w:tcPr>
            <w:tcW w:w="726" w:type="dxa"/>
            <w:tcBorders>
              <w:top w:val="single" w:sz="4" w:space="0" w:color="000000"/>
              <w:left w:val="single" w:sz="4" w:space="0" w:color="000000"/>
              <w:bottom w:val="single" w:sz="4" w:space="0" w:color="000000"/>
              <w:right w:val="single" w:sz="4" w:space="0" w:color="000000"/>
            </w:tcBorders>
            <w:vAlign w:val="center"/>
          </w:tcPr>
          <w:p w14:paraId="09A47C4A"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0640DB3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0.780</w:t>
            </w:r>
          </w:p>
        </w:tc>
        <w:tc>
          <w:tcPr>
            <w:tcW w:w="773" w:type="dxa"/>
            <w:tcBorders>
              <w:top w:val="single" w:sz="4" w:space="0" w:color="000000"/>
              <w:left w:val="single" w:sz="4" w:space="0" w:color="000000"/>
              <w:bottom w:val="single" w:sz="4" w:space="0" w:color="000000"/>
              <w:right w:val="single" w:sz="4" w:space="0" w:color="000000"/>
            </w:tcBorders>
            <w:vAlign w:val="center"/>
          </w:tcPr>
          <w:p w14:paraId="012730B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0.39</w:t>
            </w:r>
          </w:p>
        </w:tc>
        <w:tc>
          <w:tcPr>
            <w:tcW w:w="874" w:type="dxa"/>
            <w:tcBorders>
              <w:top w:val="single" w:sz="4" w:space="0" w:color="000000"/>
              <w:left w:val="single" w:sz="4" w:space="0" w:color="000000"/>
              <w:bottom w:val="single" w:sz="4" w:space="0" w:color="000000"/>
              <w:right w:val="single" w:sz="4" w:space="0" w:color="000000"/>
            </w:tcBorders>
            <w:vAlign w:val="center"/>
          </w:tcPr>
          <w:p w14:paraId="5783AA0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4.607</w:t>
            </w:r>
          </w:p>
        </w:tc>
        <w:tc>
          <w:tcPr>
            <w:tcW w:w="773" w:type="dxa"/>
            <w:tcBorders>
              <w:top w:val="single" w:sz="4" w:space="0" w:color="000000"/>
              <w:left w:val="single" w:sz="4" w:space="0" w:color="000000"/>
              <w:bottom w:val="single" w:sz="4" w:space="0" w:color="000000"/>
              <w:right w:val="single" w:sz="4" w:space="0" w:color="000000"/>
            </w:tcBorders>
            <w:vAlign w:val="center"/>
          </w:tcPr>
          <w:p w14:paraId="711DA89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2.714</w:t>
            </w:r>
          </w:p>
        </w:tc>
        <w:tc>
          <w:tcPr>
            <w:tcW w:w="830" w:type="dxa"/>
            <w:tcBorders>
              <w:top w:val="single" w:sz="4" w:space="0" w:color="000000"/>
              <w:left w:val="single" w:sz="4" w:space="0" w:color="000000"/>
              <w:bottom w:val="single" w:sz="4" w:space="0" w:color="000000"/>
              <w:right w:val="single" w:sz="4" w:space="0" w:color="000000"/>
            </w:tcBorders>
            <w:vAlign w:val="center"/>
          </w:tcPr>
          <w:p w14:paraId="19D90E4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26.923</w:t>
            </w:r>
          </w:p>
        </w:tc>
      </w:tr>
      <w:tr w:rsidR="005C45CB" w:rsidRPr="00AE066F" w14:paraId="73C25CC6"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4C7BAA6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10</w:t>
            </w:r>
          </w:p>
        </w:tc>
        <w:tc>
          <w:tcPr>
            <w:tcW w:w="728" w:type="dxa"/>
            <w:tcBorders>
              <w:top w:val="single" w:sz="4" w:space="0" w:color="000000"/>
              <w:left w:val="single" w:sz="4" w:space="0" w:color="000000"/>
              <w:bottom w:val="single" w:sz="4" w:space="0" w:color="000000"/>
              <w:right w:val="single" w:sz="4" w:space="0" w:color="000000"/>
            </w:tcBorders>
            <w:vAlign w:val="center"/>
          </w:tcPr>
          <w:p w14:paraId="3F4567D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w:t>
            </w:r>
          </w:p>
        </w:tc>
        <w:tc>
          <w:tcPr>
            <w:tcW w:w="726" w:type="dxa"/>
            <w:tcBorders>
              <w:top w:val="single" w:sz="4" w:space="0" w:color="000000"/>
              <w:left w:val="single" w:sz="4" w:space="0" w:color="000000"/>
              <w:bottom w:val="single" w:sz="4" w:space="0" w:color="000000"/>
              <w:right w:val="single" w:sz="4" w:space="0" w:color="000000"/>
            </w:tcBorders>
            <w:vAlign w:val="center"/>
          </w:tcPr>
          <w:p w14:paraId="64AE94C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188F5E8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0.710</w:t>
            </w:r>
          </w:p>
        </w:tc>
        <w:tc>
          <w:tcPr>
            <w:tcW w:w="773" w:type="dxa"/>
            <w:tcBorders>
              <w:top w:val="single" w:sz="4" w:space="0" w:color="000000"/>
              <w:left w:val="single" w:sz="4" w:space="0" w:color="000000"/>
              <w:bottom w:val="single" w:sz="4" w:space="0" w:color="000000"/>
              <w:right w:val="single" w:sz="4" w:space="0" w:color="000000"/>
            </w:tcBorders>
            <w:vAlign w:val="center"/>
          </w:tcPr>
          <w:p w14:paraId="4F2B3E8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0.355</w:t>
            </w:r>
          </w:p>
        </w:tc>
        <w:tc>
          <w:tcPr>
            <w:tcW w:w="874" w:type="dxa"/>
            <w:tcBorders>
              <w:top w:val="single" w:sz="4" w:space="0" w:color="000000"/>
              <w:left w:val="single" w:sz="4" w:space="0" w:color="000000"/>
              <w:bottom w:val="single" w:sz="4" w:space="0" w:color="000000"/>
              <w:right w:val="single" w:sz="4" w:space="0" w:color="000000"/>
            </w:tcBorders>
            <w:vAlign w:val="center"/>
          </w:tcPr>
          <w:p w14:paraId="4909E1A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4.194</w:t>
            </w:r>
          </w:p>
        </w:tc>
        <w:tc>
          <w:tcPr>
            <w:tcW w:w="773" w:type="dxa"/>
            <w:tcBorders>
              <w:top w:val="single" w:sz="4" w:space="0" w:color="000000"/>
              <w:left w:val="single" w:sz="4" w:space="0" w:color="000000"/>
              <w:bottom w:val="single" w:sz="4" w:space="0" w:color="000000"/>
              <w:right w:val="single" w:sz="4" w:space="0" w:color="000000"/>
            </w:tcBorders>
            <w:vAlign w:val="center"/>
          </w:tcPr>
          <w:p w14:paraId="1B22E178"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2.381</w:t>
            </w:r>
          </w:p>
        </w:tc>
        <w:tc>
          <w:tcPr>
            <w:tcW w:w="830" w:type="dxa"/>
            <w:tcBorders>
              <w:top w:val="single" w:sz="4" w:space="0" w:color="000000"/>
              <w:left w:val="single" w:sz="4" w:space="0" w:color="000000"/>
              <w:bottom w:val="single" w:sz="4" w:space="0" w:color="000000"/>
              <w:right w:val="single" w:sz="4" w:space="0" w:color="000000"/>
            </w:tcBorders>
            <w:vAlign w:val="center"/>
          </w:tcPr>
          <w:p w14:paraId="2430809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29.577</w:t>
            </w:r>
          </w:p>
        </w:tc>
      </w:tr>
      <w:tr w:rsidR="005C45CB" w:rsidRPr="00AE066F" w14:paraId="466BE11A"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026E070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11</w:t>
            </w:r>
          </w:p>
        </w:tc>
        <w:tc>
          <w:tcPr>
            <w:tcW w:w="728" w:type="dxa"/>
            <w:tcBorders>
              <w:top w:val="single" w:sz="4" w:space="0" w:color="000000"/>
              <w:left w:val="single" w:sz="4" w:space="0" w:color="000000"/>
              <w:bottom w:val="single" w:sz="4" w:space="0" w:color="000000"/>
              <w:right w:val="single" w:sz="4" w:space="0" w:color="000000"/>
            </w:tcBorders>
            <w:vAlign w:val="center"/>
          </w:tcPr>
          <w:p w14:paraId="52113F9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w:t>
            </w:r>
          </w:p>
        </w:tc>
        <w:tc>
          <w:tcPr>
            <w:tcW w:w="726" w:type="dxa"/>
            <w:tcBorders>
              <w:top w:val="single" w:sz="4" w:space="0" w:color="000000"/>
              <w:left w:val="single" w:sz="4" w:space="0" w:color="000000"/>
              <w:bottom w:val="single" w:sz="4" w:space="0" w:color="000000"/>
              <w:right w:val="single" w:sz="4" w:space="0" w:color="000000"/>
            </w:tcBorders>
            <w:vAlign w:val="center"/>
          </w:tcPr>
          <w:p w14:paraId="7AC12A5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5F8356E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0.710</w:t>
            </w:r>
          </w:p>
        </w:tc>
        <w:tc>
          <w:tcPr>
            <w:tcW w:w="773" w:type="dxa"/>
            <w:tcBorders>
              <w:top w:val="single" w:sz="4" w:space="0" w:color="000000"/>
              <w:left w:val="single" w:sz="4" w:space="0" w:color="000000"/>
              <w:bottom w:val="single" w:sz="4" w:space="0" w:color="000000"/>
              <w:right w:val="single" w:sz="4" w:space="0" w:color="000000"/>
            </w:tcBorders>
            <w:vAlign w:val="center"/>
          </w:tcPr>
          <w:p w14:paraId="4CAAA8D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0.355</w:t>
            </w:r>
          </w:p>
        </w:tc>
        <w:tc>
          <w:tcPr>
            <w:tcW w:w="874" w:type="dxa"/>
            <w:tcBorders>
              <w:top w:val="single" w:sz="4" w:space="0" w:color="000000"/>
              <w:left w:val="single" w:sz="4" w:space="0" w:color="000000"/>
              <w:bottom w:val="single" w:sz="4" w:space="0" w:color="000000"/>
              <w:right w:val="single" w:sz="4" w:space="0" w:color="000000"/>
            </w:tcBorders>
            <w:vAlign w:val="center"/>
          </w:tcPr>
          <w:p w14:paraId="4A1B819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4.194</w:t>
            </w:r>
          </w:p>
        </w:tc>
        <w:tc>
          <w:tcPr>
            <w:tcW w:w="773" w:type="dxa"/>
            <w:tcBorders>
              <w:top w:val="single" w:sz="4" w:space="0" w:color="000000"/>
              <w:left w:val="single" w:sz="4" w:space="0" w:color="000000"/>
              <w:bottom w:val="single" w:sz="4" w:space="0" w:color="000000"/>
              <w:right w:val="single" w:sz="4" w:space="0" w:color="000000"/>
            </w:tcBorders>
            <w:vAlign w:val="center"/>
          </w:tcPr>
          <w:p w14:paraId="1C48518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2.381</w:t>
            </w:r>
          </w:p>
        </w:tc>
        <w:tc>
          <w:tcPr>
            <w:tcW w:w="830" w:type="dxa"/>
            <w:tcBorders>
              <w:top w:val="single" w:sz="4" w:space="0" w:color="000000"/>
              <w:left w:val="single" w:sz="4" w:space="0" w:color="000000"/>
              <w:bottom w:val="single" w:sz="4" w:space="0" w:color="000000"/>
              <w:right w:val="single" w:sz="4" w:space="0" w:color="000000"/>
            </w:tcBorders>
            <w:vAlign w:val="center"/>
          </w:tcPr>
          <w:p w14:paraId="1D6BAA2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29.577</w:t>
            </w:r>
          </w:p>
        </w:tc>
      </w:tr>
      <w:tr w:rsidR="005C45CB" w:rsidRPr="00AE066F" w14:paraId="3F281DDA"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33A7861A"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12</w:t>
            </w:r>
          </w:p>
        </w:tc>
        <w:tc>
          <w:tcPr>
            <w:tcW w:w="728" w:type="dxa"/>
            <w:tcBorders>
              <w:top w:val="single" w:sz="4" w:space="0" w:color="000000"/>
              <w:left w:val="single" w:sz="4" w:space="0" w:color="000000"/>
              <w:bottom w:val="single" w:sz="4" w:space="0" w:color="000000"/>
              <w:right w:val="single" w:sz="4" w:space="0" w:color="000000"/>
            </w:tcBorders>
            <w:vAlign w:val="center"/>
          </w:tcPr>
          <w:p w14:paraId="3CD05D4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w:t>
            </w:r>
          </w:p>
        </w:tc>
        <w:tc>
          <w:tcPr>
            <w:tcW w:w="726" w:type="dxa"/>
            <w:tcBorders>
              <w:top w:val="single" w:sz="4" w:space="0" w:color="000000"/>
              <w:left w:val="single" w:sz="4" w:space="0" w:color="000000"/>
              <w:bottom w:val="single" w:sz="4" w:space="0" w:color="000000"/>
              <w:right w:val="single" w:sz="4" w:space="0" w:color="000000"/>
            </w:tcBorders>
            <w:vAlign w:val="center"/>
          </w:tcPr>
          <w:p w14:paraId="209636DF"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0.150</w:t>
            </w:r>
          </w:p>
        </w:tc>
        <w:tc>
          <w:tcPr>
            <w:tcW w:w="744" w:type="dxa"/>
            <w:tcBorders>
              <w:top w:val="single" w:sz="4" w:space="0" w:color="000000"/>
              <w:left w:val="single" w:sz="4" w:space="0" w:color="000000"/>
              <w:bottom w:val="single" w:sz="4" w:space="0" w:color="000000"/>
              <w:right w:val="single" w:sz="4" w:space="0" w:color="000000"/>
            </w:tcBorders>
            <w:vAlign w:val="center"/>
          </w:tcPr>
          <w:p w14:paraId="3DC3BB9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0.650</w:t>
            </w:r>
          </w:p>
        </w:tc>
        <w:tc>
          <w:tcPr>
            <w:tcW w:w="773" w:type="dxa"/>
            <w:tcBorders>
              <w:top w:val="single" w:sz="4" w:space="0" w:color="000000"/>
              <w:left w:val="single" w:sz="4" w:space="0" w:color="000000"/>
              <w:bottom w:val="single" w:sz="4" w:space="0" w:color="000000"/>
              <w:right w:val="single" w:sz="4" w:space="0" w:color="000000"/>
            </w:tcBorders>
            <w:vAlign w:val="center"/>
          </w:tcPr>
          <w:p w14:paraId="19005AA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0.325</w:t>
            </w:r>
          </w:p>
        </w:tc>
        <w:tc>
          <w:tcPr>
            <w:tcW w:w="874" w:type="dxa"/>
            <w:tcBorders>
              <w:top w:val="single" w:sz="4" w:space="0" w:color="000000"/>
              <w:left w:val="single" w:sz="4" w:space="0" w:color="000000"/>
              <w:bottom w:val="single" w:sz="4" w:space="0" w:color="000000"/>
              <w:right w:val="single" w:sz="4" w:space="0" w:color="000000"/>
            </w:tcBorders>
            <w:vAlign w:val="center"/>
          </w:tcPr>
          <w:p w14:paraId="3DA1DD5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3.839</w:t>
            </w:r>
          </w:p>
        </w:tc>
        <w:tc>
          <w:tcPr>
            <w:tcW w:w="773" w:type="dxa"/>
            <w:tcBorders>
              <w:top w:val="single" w:sz="4" w:space="0" w:color="000000"/>
              <w:left w:val="single" w:sz="4" w:space="0" w:color="000000"/>
              <w:bottom w:val="single" w:sz="4" w:space="0" w:color="000000"/>
              <w:right w:val="single" w:sz="4" w:space="0" w:color="000000"/>
            </w:tcBorders>
            <w:vAlign w:val="center"/>
          </w:tcPr>
          <w:p w14:paraId="05B4CF9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3.333</w:t>
            </w:r>
          </w:p>
        </w:tc>
        <w:tc>
          <w:tcPr>
            <w:tcW w:w="830" w:type="dxa"/>
            <w:tcBorders>
              <w:top w:val="single" w:sz="4" w:space="0" w:color="000000"/>
              <w:left w:val="single" w:sz="4" w:space="0" w:color="000000"/>
              <w:bottom w:val="single" w:sz="4" w:space="0" w:color="000000"/>
              <w:right w:val="single" w:sz="4" w:space="0" w:color="000000"/>
            </w:tcBorders>
            <w:vAlign w:val="center"/>
          </w:tcPr>
          <w:p w14:paraId="048D635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23.077</w:t>
            </w:r>
          </w:p>
        </w:tc>
      </w:tr>
      <w:tr w:rsidR="005C45CB" w:rsidRPr="00AE066F" w14:paraId="3DBACF8E"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010DFE9A"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13</w:t>
            </w:r>
          </w:p>
        </w:tc>
        <w:tc>
          <w:tcPr>
            <w:tcW w:w="728" w:type="dxa"/>
            <w:tcBorders>
              <w:top w:val="single" w:sz="4" w:space="0" w:color="000000"/>
              <w:left w:val="single" w:sz="4" w:space="0" w:color="000000"/>
              <w:bottom w:val="single" w:sz="4" w:space="0" w:color="000000"/>
              <w:right w:val="single" w:sz="4" w:space="0" w:color="000000"/>
            </w:tcBorders>
            <w:vAlign w:val="center"/>
          </w:tcPr>
          <w:p w14:paraId="10ED1B96"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0.47</w:t>
            </w:r>
          </w:p>
        </w:tc>
        <w:tc>
          <w:tcPr>
            <w:tcW w:w="726" w:type="dxa"/>
            <w:tcBorders>
              <w:top w:val="single" w:sz="4" w:space="0" w:color="000000"/>
              <w:left w:val="single" w:sz="4" w:space="0" w:color="000000"/>
              <w:bottom w:val="single" w:sz="4" w:space="0" w:color="000000"/>
              <w:right w:val="single" w:sz="4" w:space="0" w:color="000000"/>
            </w:tcBorders>
            <w:vAlign w:val="center"/>
          </w:tcPr>
          <w:p w14:paraId="73480176"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0.250</w:t>
            </w:r>
          </w:p>
        </w:tc>
        <w:tc>
          <w:tcPr>
            <w:tcW w:w="744" w:type="dxa"/>
            <w:tcBorders>
              <w:top w:val="single" w:sz="4" w:space="0" w:color="000000"/>
              <w:left w:val="single" w:sz="4" w:space="0" w:color="000000"/>
              <w:bottom w:val="single" w:sz="4" w:space="0" w:color="000000"/>
              <w:right w:val="single" w:sz="4" w:space="0" w:color="000000"/>
            </w:tcBorders>
            <w:vAlign w:val="center"/>
          </w:tcPr>
          <w:p w14:paraId="2C6D0B8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0.720</w:t>
            </w:r>
          </w:p>
        </w:tc>
        <w:tc>
          <w:tcPr>
            <w:tcW w:w="773" w:type="dxa"/>
            <w:tcBorders>
              <w:top w:val="single" w:sz="4" w:space="0" w:color="000000"/>
              <w:left w:val="single" w:sz="4" w:space="0" w:color="000000"/>
              <w:bottom w:val="single" w:sz="4" w:space="0" w:color="000000"/>
              <w:right w:val="single" w:sz="4" w:space="0" w:color="000000"/>
            </w:tcBorders>
            <w:vAlign w:val="center"/>
          </w:tcPr>
          <w:p w14:paraId="6E5F513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0.36</w:t>
            </w:r>
          </w:p>
        </w:tc>
        <w:tc>
          <w:tcPr>
            <w:tcW w:w="874" w:type="dxa"/>
            <w:tcBorders>
              <w:top w:val="single" w:sz="4" w:space="0" w:color="000000"/>
              <w:left w:val="single" w:sz="4" w:space="0" w:color="000000"/>
              <w:bottom w:val="single" w:sz="4" w:space="0" w:color="000000"/>
              <w:right w:val="single" w:sz="4" w:space="0" w:color="000000"/>
            </w:tcBorders>
            <w:vAlign w:val="center"/>
          </w:tcPr>
          <w:p w14:paraId="59BBA6C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4.253</w:t>
            </w:r>
          </w:p>
        </w:tc>
        <w:tc>
          <w:tcPr>
            <w:tcW w:w="773" w:type="dxa"/>
            <w:tcBorders>
              <w:top w:val="single" w:sz="4" w:space="0" w:color="000000"/>
              <w:left w:val="single" w:sz="4" w:space="0" w:color="000000"/>
              <w:bottom w:val="single" w:sz="4" w:space="0" w:color="000000"/>
              <w:right w:val="single" w:sz="4" w:space="0" w:color="000000"/>
            </w:tcBorders>
            <w:vAlign w:val="center"/>
          </w:tcPr>
          <w:p w14:paraId="0EF9636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1.880</w:t>
            </w:r>
          </w:p>
        </w:tc>
        <w:tc>
          <w:tcPr>
            <w:tcW w:w="830" w:type="dxa"/>
            <w:tcBorders>
              <w:top w:val="single" w:sz="4" w:space="0" w:color="000000"/>
              <w:left w:val="single" w:sz="4" w:space="0" w:color="000000"/>
              <w:bottom w:val="single" w:sz="4" w:space="0" w:color="000000"/>
              <w:right w:val="single" w:sz="4" w:space="0" w:color="000000"/>
            </w:tcBorders>
            <w:vAlign w:val="center"/>
          </w:tcPr>
          <w:p w14:paraId="1066403B"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34.722</w:t>
            </w:r>
          </w:p>
        </w:tc>
      </w:tr>
      <w:tr w:rsidR="005C45CB" w:rsidRPr="00AE066F" w14:paraId="3BB96D91"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42B9564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lastRenderedPageBreak/>
              <w:t>14</w:t>
            </w:r>
          </w:p>
        </w:tc>
        <w:tc>
          <w:tcPr>
            <w:tcW w:w="728" w:type="dxa"/>
            <w:tcBorders>
              <w:top w:val="single" w:sz="4" w:space="0" w:color="000000"/>
              <w:left w:val="single" w:sz="4" w:space="0" w:color="000000"/>
              <w:bottom w:val="single" w:sz="4" w:space="0" w:color="000000"/>
              <w:right w:val="single" w:sz="4" w:space="0" w:color="000000"/>
            </w:tcBorders>
            <w:vAlign w:val="center"/>
          </w:tcPr>
          <w:p w14:paraId="5B30880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0.43</w:t>
            </w:r>
          </w:p>
        </w:tc>
        <w:tc>
          <w:tcPr>
            <w:tcW w:w="726" w:type="dxa"/>
            <w:tcBorders>
              <w:top w:val="single" w:sz="4" w:space="0" w:color="000000"/>
              <w:left w:val="single" w:sz="4" w:space="0" w:color="000000"/>
              <w:bottom w:val="single" w:sz="4" w:space="0" w:color="000000"/>
              <w:right w:val="single" w:sz="4" w:space="0" w:color="000000"/>
            </w:tcBorders>
            <w:vAlign w:val="center"/>
          </w:tcPr>
          <w:p w14:paraId="6FDFA6B8"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720BDEC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0.640</w:t>
            </w:r>
          </w:p>
        </w:tc>
        <w:tc>
          <w:tcPr>
            <w:tcW w:w="773" w:type="dxa"/>
            <w:tcBorders>
              <w:top w:val="single" w:sz="4" w:space="0" w:color="000000"/>
              <w:left w:val="single" w:sz="4" w:space="0" w:color="000000"/>
              <w:bottom w:val="single" w:sz="4" w:space="0" w:color="000000"/>
              <w:right w:val="single" w:sz="4" w:space="0" w:color="000000"/>
            </w:tcBorders>
            <w:vAlign w:val="center"/>
          </w:tcPr>
          <w:p w14:paraId="4C6F1EF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0.32</w:t>
            </w:r>
          </w:p>
        </w:tc>
        <w:tc>
          <w:tcPr>
            <w:tcW w:w="874" w:type="dxa"/>
            <w:tcBorders>
              <w:top w:val="single" w:sz="4" w:space="0" w:color="000000"/>
              <w:left w:val="single" w:sz="4" w:space="0" w:color="000000"/>
              <w:bottom w:val="single" w:sz="4" w:space="0" w:color="000000"/>
              <w:right w:val="single" w:sz="4" w:space="0" w:color="000000"/>
            </w:tcBorders>
            <w:vAlign w:val="center"/>
          </w:tcPr>
          <w:p w14:paraId="5E04928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3.780</w:t>
            </w:r>
          </w:p>
        </w:tc>
        <w:tc>
          <w:tcPr>
            <w:tcW w:w="773" w:type="dxa"/>
            <w:tcBorders>
              <w:top w:val="single" w:sz="4" w:space="0" w:color="000000"/>
              <w:left w:val="single" w:sz="4" w:space="0" w:color="000000"/>
              <w:bottom w:val="single" w:sz="4" w:space="0" w:color="000000"/>
              <w:right w:val="single" w:sz="4" w:space="0" w:color="000000"/>
            </w:tcBorders>
            <w:vAlign w:val="center"/>
          </w:tcPr>
          <w:p w14:paraId="7075E48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2.048</w:t>
            </w:r>
          </w:p>
        </w:tc>
        <w:tc>
          <w:tcPr>
            <w:tcW w:w="830" w:type="dxa"/>
            <w:tcBorders>
              <w:top w:val="single" w:sz="4" w:space="0" w:color="000000"/>
              <w:left w:val="single" w:sz="4" w:space="0" w:color="000000"/>
              <w:bottom w:val="single" w:sz="4" w:space="0" w:color="000000"/>
              <w:right w:val="single" w:sz="4" w:space="0" w:color="000000"/>
            </w:tcBorders>
            <w:vAlign w:val="center"/>
          </w:tcPr>
          <w:p w14:paraId="75CC5A84"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32.813</w:t>
            </w:r>
          </w:p>
        </w:tc>
      </w:tr>
      <w:tr w:rsidR="005C45CB" w:rsidRPr="00AE066F" w14:paraId="4E0D7023"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53AD3801"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15</w:t>
            </w:r>
          </w:p>
        </w:tc>
        <w:tc>
          <w:tcPr>
            <w:tcW w:w="728" w:type="dxa"/>
            <w:tcBorders>
              <w:top w:val="single" w:sz="4" w:space="0" w:color="000000"/>
              <w:left w:val="single" w:sz="4" w:space="0" w:color="000000"/>
              <w:bottom w:val="single" w:sz="4" w:space="0" w:color="000000"/>
              <w:right w:val="single" w:sz="4" w:space="0" w:color="000000"/>
            </w:tcBorders>
            <w:vAlign w:val="center"/>
          </w:tcPr>
          <w:p w14:paraId="374A608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0.43</w:t>
            </w:r>
          </w:p>
        </w:tc>
        <w:tc>
          <w:tcPr>
            <w:tcW w:w="726" w:type="dxa"/>
            <w:tcBorders>
              <w:top w:val="single" w:sz="4" w:space="0" w:color="000000"/>
              <w:left w:val="single" w:sz="4" w:space="0" w:color="000000"/>
              <w:bottom w:val="single" w:sz="4" w:space="0" w:color="000000"/>
              <w:right w:val="single" w:sz="4" w:space="0" w:color="000000"/>
            </w:tcBorders>
            <w:vAlign w:val="center"/>
          </w:tcPr>
          <w:p w14:paraId="3B65A63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45A61B9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0.640</w:t>
            </w:r>
          </w:p>
        </w:tc>
        <w:tc>
          <w:tcPr>
            <w:tcW w:w="773" w:type="dxa"/>
            <w:tcBorders>
              <w:top w:val="single" w:sz="4" w:space="0" w:color="000000"/>
              <w:left w:val="single" w:sz="4" w:space="0" w:color="000000"/>
              <w:bottom w:val="single" w:sz="4" w:space="0" w:color="000000"/>
              <w:right w:val="single" w:sz="4" w:space="0" w:color="000000"/>
            </w:tcBorders>
            <w:vAlign w:val="center"/>
          </w:tcPr>
          <w:p w14:paraId="107C5B2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0.32</w:t>
            </w:r>
          </w:p>
        </w:tc>
        <w:tc>
          <w:tcPr>
            <w:tcW w:w="874" w:type="dxa"/>
            <w:tcBorders>
              <w:top w:val="single" w:sz="4" w:space="0" w:color="000000"/>
              <w:left w:val="single" w:sz="4" w:space="0" w:color="000000"/>
              <w:bottom w:val="single" w:sz="4" w:space="0" w:color="000000"/>
              <w:right w:val="single" w:sz="4" w:space="0" w:color="000000"/>
            </w:tcBorders>
            <w:vAlign w:val="center"/>
          </w:tcPr>
          <w:p w14:paraId="0DC09F1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3.780</w:t>
            </w:r>
          </w:p>
        </w:tc>
        <w:tc>
          <w:tcPr>
            <w:tcW w:w="773" w:type="dxa"/>
            <w:tcBorders>
              <w:top w:val="single" w:sz="4" w:space="0" w:color="000000"/>
              <w:left w:val="single" w:sz="4" w:space="0" w:color="000000"/>
              <w:bottom w:val="single" w:sz="4" w:space="0" w:color="000000"/>
              <w:right w:val="single" w:sz="4" w:space="0" w:color="000000"/>
            </w:tcBorders>
            <w:vAlign w:val="center"/>
          </w:tcPr>
          <w:p w14:paraId="31A4CFC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2.048</w:t>
            </w:r>
          </w:p>
        </w:tc>
        <w:tc>
          <w:tcPr>
            <w:tcW w:w="830" w:type="dxa"/>
            <w:tcBorders>
              <w:top w:val="single" w:sz="4" w:space="0" w:color="000000"/>
              <w:left w:val="single" w:sz="4" w:space="0" w:color="000000"/>
              <w:bottom w:val="single" w:sz="4" w:space="0" w:color="000000"/>
              <w:right w:val="single" w:sz="4" w:space="0" w:color="000000"/>
            </w:tcBorders>
            <w:vAlign w:val="center"/>
          </w:tcPr>
          <w:p w14:paraId="1AC3367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32.813</w:t>
            </w:r>
          </w:p>
        </w:tc>
      </w:tr>
      <w:tr w:rsidR="005C45CB" w:rsidRPr="00AE066F" w14:paraId="588C409B"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7493C0AF"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16</w:t>
            </w:r>
          </w:p>
        </w:tc>
        <w:tc>
          <w:tcPr>
            <w:tcW w:w="728" w:type="dxa"/>
            <w:tcBorders>
              <w:top w:val="single" w:sz="4" w:space="0" w:color="000000"/>
              <w:left w:val="single" w:sz="4" w:space="0" w:color="000000"/>
              <w:bottom w:val="single" w:sz="4" w:space="0" w:color="000000"/>
              <w:right w:val="single" w:sz="4" w:space="0" w:color="000000"/>
            </w:tcBorders>
            <w:vAlign w:val="center"/>
          </w:tcPr>
          <w:p w14:paraId="6353EED6"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0.29</w:t>
            </w:r>
          </w:p>
        </w:tc>
        <w:tc>
          <w:tcPr>
            <w:tcW w:w="726" w:type="dxa"/>
            <w:tcBorders>
              <w:top w:val="single" w:sz="4" w:space="0" w:color="000000"/>
              <w:left w:val="single" w:sz="4" w:space="0" w:color="000000"/>
              <w:bottom w:val="single" w:sz="4" w:space="0" w:color="000000"/>
              <w:right w:val="single" w:sz="4" w:space="0" w:color="000000"/>
            </w:tcBorders>
            <w:vAlign w:val="center"/>
          </w:tcPr>
          <w:p w14:paraId="25FE6BE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2C7F10F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0.500</w:t>
            </w:r>
          </w:p>
        </w:tc>
        <w:tc>
          <w:tcPr>
            <w:tcW w:w="773" w:type="dxa"/>
            <w:tcBorders>
              <w:top w:val="single" w:sz="4" w:space="0" w:color="000000"/>
              <w:left w:val="single" w:sz="4" w:space="0" w:color="000000"/>
              <w:bottom w:val="single" w:sz="4" w:space="0" w:color="000000"/>
              <w:right w:val="single" w:sz="4" w:space="0" w:color="000000"/>
            </w:tcBorders>
            <w:vAlign w:val="center"/>
          </w:tcPr>
          <w:p w14:paraId="21BA40C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0.25</w:t>
            </w:r>
          </w:p>
        </w:tc>
        <w:tc>
          <w:tcPr>
            <w:tcW w:w="874" w:type="dxa"/>
            <w:tcBorders>
              <w:top w:val="single" w:sz="4" w:space="0" w:color="000000"/>
              <w:left w:val="single" w:sz="4" w:space="0" w:color="000000"/>
              <w:bottom w:val="single" w:sz="4" w:space="0" w:color="000000"/>
              <w:right w:val="single" w:sz="4" w:space="0" w:color="000000"/>
            </w:tcBorders>
            <w:vAlign w:val="center"/>
          </w:tcPr>
          <w:p w14:paraId="0153C77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2.953</w:t>
            </w:r>
          </w:p>
        </w:tc>
        <w:tc>
          <w:tcPr>
            <w:tcW w:w="773" w:type="dxa"/>
            <w:tcBorders>
              <w:top w:val="single" w:sz="4" w:space="0" w:color="000000"/>
              <w:left w:val="single" w:sz="4" w:space="0" w:color="000000"/>
              <w:bottom w:val="single" w:sz="4" w:space="0" w:color="000000"/>
              <w:right w:val="single" w:sz="4" w:space="0" w:color="000000"/>
            </w:tcBorders>
            <w:vAlign w:val="center"/>
          </w:tcPr>
          <w:p w14:paraId="0619054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1.381</w:t>
            </w:r>
          </w:p>
        </w:tc>
        <w:tc>
          <w:tcPr>
            <w:tcW w:w="830" w:type="dxa"/>
            <w:tcBorders>
              <w:top w:val="single" w:sz="4" w:space="0" w:color="000000"/>
              <w:left w:val="single" w:sz="4" w:space="0" w:color="000000"/>
              <w:bottom w:val="single" w:sz="4" w:space="0" w:color="000000"/>
              <w:right w:val="single" w:sz="4" w:space="0" w:color="000000"/>
            </w:tcBorders>
            <w:vAlign w:val="center"/>
          </w:tcPr>
          <w:p w14:paraId="08EBC90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42.000</w:t>
            </w:r>
          </w:p>
        </w:tc>
      </w:tr>
      <w:tr w:rsidR="005C45CB" w:rsidRPr="00AE066F" w14:paraId="4EB56E25"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17976F2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17</w:t>
            </w:r>
          </w:p>
        </w:tc>
        <w:tc>
          <w:tcPr>
            <w:tcW w:w="728" w:type="dxa"/>
            <w:tcBorders>
              <w:top w:val="single" w:sz="4" w:space="0" w:color="000000"/>
              <w:left w:val="single" w:sz="4" w:space="0" w:color="000000"/>
              <w:bottom w:val="single" w:sz="4" w:space="0" w:color="000000"/>
              <w:right w:val="single" w:sz="4" w:space="0" w:color="000000"/>
            </w:tcBorders>
            <w:vAlign w:val="center"/>
          </w:tcPr>
          <w:p w14:paraId="279100D8"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0.29</w:t>
            </w:r>
          </w:p>
        </w:tc>
        <w:tc>
          <w:tcPr>
            <w:tcW w:w="726" w:type="dxa"/>
            <w:tcBorders>
              <w:top w:val="single" w:sz="4" w:space="0" w:color="000000"/>
              <w:left w:val="single" w:sz="4" w:space="0" w:color="000000"/>
              <w:bottom w:val="single" w:sz="4" w:space="0" w:color="000000"/>
              <w:right w:val="single" w:sz="4" w:space="0" w:color="000000"/>
            </w:tcBorders>
            <w:vAlign w:val="center"/>
          </w:tcPr>
          <w:p w14:paraId="00DA1CB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0.210</w:t>
            </w:r>
          </w:p>
        </w:tc>
        <w:tc>
          <w:tcPr>
            <w:tcW w:w="744" w:type="dxa"/>
            <w:tcBorders>
              <w:top w:val="single" w:sz="4" w:space="0" w:color="000000"/>
              <w:left w:val="single" w:sz="4" w:space="0" w:color="000000"/>
              <w:bottom w:val="single" w:sz="4" w:space="0" w:color="000000"/>
              <w:right w:val="single" w:sz="4" w:space="0" w:color="000000"/>
            </w:tcBorders>
            <w:vAlign w:val="center"/>
          </w:tcPr>
          <w:p w14:paraId="4A8D2FF6"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0.500</w:t>
            </w:r>
          </w:p>
        </w:tc>
        <w:tc>
          <w:tcPr>
            <w:tcW w:w="773" w:type="dxa"/>
            <w:tcBorders>
              <w:top w:val="single" w:sz="4" w:space="0" w:color="000000"/>
              <w:left w:val="single" w:sz="4" w:space="0" w:color="000000"/>
              <w:bottom w:val="single" w:sz="4" w:space="0" w:color="000000"/>
              <w:right w:val="single" w:sz="4" w:space="0" w:color="000000"/>
            </w:tcBorders>
            <w:vAlign w:val="center"/>
          </w:tcPr>
          <w:p w14:paraId="2575DE24"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0.25</w:t>
            </w:r>
          </w:p>
        </w:tc>
        <w:tc>
          <w:tcPr>
            <w:tcW w:w="874" w:type="dxa"/>
            <w:tcBorders>
              <w:top w:val="single" w:sz="4" w:space="0" w:color="000000"/>
              <w:left w:val="single" w:sz="4" w:space="0" w:color="000000"/>
              <w:bottom w:val="single" w:sz="4" w:space="0" w:color="000000"/>
              <w:right w:val="single" w:sz="4" w:space="0" w:color="000000"/>
            </w:tcBorders>
            <w:vAlign w:val="center"/>
          </w:tcPr>
          <w:p w14:paraId="35D7CDF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2.953</w:t>
            </w:r>
          </w:p>
        </w:tc>
        <w:tc>
          <w:tcPr>
            <w:tcW w:w="773" w:type="dxa"/>
            <w:tcBorders>
              <w:top w:val="single" w:sz="4" w:space="0" w:color="000000"/>
              <w:left w:val="single" w:sz="4" w:space="0" w:color="000000"/>
              <w:bottom w:val="single" w:sz="4" w:space="0" w:color="000000"/>
              <w:right w:val="single" w:sz="4" w:space="0" w:color="000000"/>
            </w:tcBorders>
            <w:vAlign w:val="center"/>
          </w:tcPr>
          <w:p w14:paraId="3306449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1.381</w:t>
            </w:r>
          </w:p>
        </w:tc>
        <w:tc>
          <w:tcPr>
            <w:tcW w:w="830" w:type="dxa"/>
            <w:tcBorders>
              <w:top w:val="single" w:sz="4" w:space="0" w:color="000000"/>
              <w:left w:val="single" w:sz="4" w:space="0" w:color="000000"/>
              <w:bottom w:val="single" w:sz="4" w:space="0" w:color="000000"/>
              <w:right w:val="single" w:sz="4" w:space="0" w:color="000000"/>
            </w:tcBorders>
            <w:vAlign w:val="center"/>
          </w:tcPr>
          <w:p w14:paraId="128335D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42.000</w:t>
            </w:r>
          </w:p>
        </w:tc>
      </w:tr>
      <w:tr w:rsidR="005C45CB" w:rsidRPr="00AE066F" w14:paraId="157F8FB1"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214F50A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18</w:t>
            </w:r>
          </w:p>
        </w:tc>
        <w:tc>
          <w:tcPr>
            <w:tcW w:w="728" w:type="dxa"/>
            <w:tcBorders>
              <w:top w:val="single" w:sz="4" w:space="0" w:color="000000"/>
              <w:left w:val="single" w:sz="4" w:space="0" w:color="000000"/>
              <w:bottom w:val="single" w:sz="4" w:space="0" w:color="000000"/>
              <w:right w:val="single" w:sz="4" w:space="0" w:color="000000"/>
            </w:tcBorders>
            <w:vAlign w:val="center"/>
          </w:tcPr>
          <w:p w14:paraId="7AD57D3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0.25</w:t>
            </w:r>
          </w:p>
        </w:tc>
        <w:tc>
          <w:tcPr>
            <w:tcW w:w="726" w:type="dxa"/>
            <w:tcBorders>
              <w:top w:val="single" w:sz="4" w:space="0" w:color="000000"/>
              <w:left w:val="single" w:sz="4" w:space="0" w:color="000000"/>
              <w:bottom w:val="single" w:sz="4" w:space="0" w:color="000000"/>
              <w:right w:val="single" w:sz="4" w:space="0" w:color="000000"/>
            </w:tcBorders>
            <w:vAlign w:val="center"/>
          </w:tcPr>
          <w:p w14:paraId="6B30A3E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0.190</w:t>
            </w:r>
          </w:p>
        </w:tc>
        <w:tc>
          <w:tcPr>
            <w:tcW w:w="744" w:type="dxa"/>
            <w:tcBorders>
              <w:top w:val="single" w:sz="4" w:space="0" w:color="000000"/>
              <w:left w:val="single" w:sz="4" w:space="0" w:color="000000"/>
              <w:bottom w:val="single" w:sz="4" w:space="0" w:color="000000"/>
              <w:right w:val="single" w:sz="4" w:space="0" w:color="000000"/>
            </w:tcBorders>
            <w:vAlign w:val="center"/>
          </w:tcPr>
          <w:p w14:paraId="440DC74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0.440</w:t>
            </w:r>
          </w:p>
        </w:tc>
        <w:tc>
          <w:tcPr>
            <w:tcW w:w="773" w:type="dxa"/>
            <w:tcBorders>
              <w:top w:val="single" w:sz="4" w:space="0" w:color="000000"/>
              <w:left w:val="single" w:sz="4" w:space="0" w:color="000000"/>
              <w:bottom w:val="single" w:sz="4" w:space="0" w:color="000000"/>
              <w:right w:val="single" w:sz="4" w:space="0" w:color="000000"/>
            </w:tcBorders>
            <w:vAlign w:val="center"/>
          </w:tcPr>
          <w:p w14:paraId="5FA3360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0.22</w:t>
            </w:r>
          </w:p>
        </w:tc>
        <w:tc>
          <w:tcPr>
            <w:tcW w:w="874" w:type="dxa"/>
            <w:tcBorders>
              <w:top w:val="single" w:sz="4" w:space="0" w:color="000000"/>
              <w:left w:val="single" w:sz="4" w:space="0" w:color="000000"/>
              <w:bottom w:val="single" w:sz="4" w:space="0" w:color="000000"/>
              <w:right w:val="single" w:sz="4" w:space="0" w:color="000000"/>
            </w:tcBorders>
            <w:vAlign w:val="center"/>
          </w:tcPr>
          <w:p w14:paraId="135C83B6"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2.599</w:t>
            </w:r>
          </w:p>
        </w:tc>
        <w:tc>
          <w:tcPr>
            <w:tcW w:w="773" w:type="dxa"/>
            <w:tcBorders>
              <w:top w:val="single" w:sz="4" w:space="0" w:color="000000"/>
              <w:left w:val="single" w:sz="4" w:space="0" w:color="000000"/>
              <w:bottom w:val="single" w:sz="4" w:space="0" w:color="000000"/>
              <w:right w:val="single" w:sz="4" w:space="0" w:color="000000"/>
            </w:tcBorders>
            <w:vAlign w:val="center"/>
          </w:tcPr>
          <w:p w14:paraId="5F35967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1.316</w:t>
            </w:r>
          </w:p>
        </w:tc>
        <w:tc>
          <w:tcPr>
            <w:tcW w:w="830" w:type="dxa"/>
            <w:tcBorders>
              <w:top w:val="single" w:sz="4" w:space="0" w:color="000000"/>
              <w:left w:val="single" w:sz="4" w:space="0" w:color="000000"/>
              <w:bottom w:val="single" w:sz="4" w:space="0" w:color="000000"/>
              <w:right w:val="single" w:sz="4" w:space="0" w:color="000000"/>
            </w:tcBorders>
            <w:vAlign w:val="center"/>
          </w:tcPr>
          <w:p w14:paraId="25D91EC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43.182</w:t>
            </w:r>
          </w:p>
        </w:tc>
      </w:tr>
      <w:tr w:rsidR="005C45CB" w:rsidRPr="00AE066F" w14:paraId="481CC811"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59B83E62"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19</w:t>
            </w:r>
          </w:p>
        </w:tc>
        <w:tc>
          <w:tcPr>
            <w:tcW w:w="728" w:type="dxa"/>
            <w:tcBorders>
              <w:top w:val="single" w:sz="4" w:space="0" w:color="000000"/>
              <w:left w:val="single" w:sz="4" w:space="0" w:color="000000"/>
              <w:bottom w:val="single" w:sz="4" w:space="0" w:color="000000"/>
              <w:right w:val="single" w:sz="4" w:space="0" w:color="000000"/>
            </w:tcBorders>
            <w:vAlign w:val="center"/>
          </w:tcPr>
          <w:p w14:paraId="0C3E2194"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0.72</w:t>
            </w:r>
          </w:p>
        </w:tc>
        <w:tc>
          <w:tcPr>
            <w:tcW w:w="726" w:type="dxa"/>
            <w:tcBorders>
              <w:top w:val="single" w:sz="4" w:space="0" w:color="000000"/>
              <w:left w:val="single" w:sz="4" w:space="0" w:color="000000"/>
              <w:bottom w:val="single" w:sz="4" w:space="0" w:color="000000"/>
              <w:right w:val="single" w:sz="4" w:space="0" w:color="000000"/>
            </w:tcBorders>
            <w:vAlign w:val="center"/>
          </w:tcPr>
          <w:p w14:paraId="469AD46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3CD4332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0.720</w:t>
            </w:r>
          </w:p>
        </w:tc>
        <w:tc>
          <w:tcPr>
            <w:tcW w:w="773" w:type="dxa"/>
            <w:tcBorders>
              <w:top w:val="single" w:sz="4" w:space="0" w:color="000000"/>
              <w:left w:val="single" w:sz="4" w:space="0" w:color="000000"/>
              <w:bottom w:val="single" w:sz="4" w:space="0" w:color="000000"/>
              <w:right w:val="single" w:sz="4" w:space="0" w:color="000000"/>
            </w:tcBorders>
            <w:vAlign w:val="center"/>
          </w:tcPr>
          <w:p w14:paraId="33BAA1E1"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0.36</w:t>
            </w:r>
          </w:p>
        </w:tc>
        <w:tc>
          <w:tcPr>
            <w:tcW w:w="874" w:type="dxa"/>
            <w:tcBorders>
              <w:top w:val="single" w:sz="4" w:space="0" w:color="000000"/>
              <w:left w:val="single" w:sz="4" w:space="0" w:color="000000"/>
              <w:bottom w:val="single" w:sz="4" w:space="0" w:color="000000"/>
              <w:right w:val="single" w:sz="4" w:space="0" w:color="000000"/>
            </w:tcBorders>
            <w:vAlign w:val="center"/>
          </w:tcPr>
          <w:p w14:paraId="19E0F84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4.253</w:t>
            </w:r>
          </w:p>
        </w:tc>
        <w:tc>
          <w:tcPr>
            <w:tcW w:w="773" w:type="dxa"/>
            <w:tcBorders>
              <w:top w:val="single" w:sz="4" w:space="0" w:color="000000"/>
              <w:left w:val="single" w:sz="4" w:space="0" w:color="000000"/>
              <w:bottom w:val="single" w:sz="4" w:space="0" w:color="000000"/>
              <w:right w:val="single" w:sz="4" w:space="0" w:color="000000"/>
            </w:tcBorders>
            <w:vAlign w:val="center"/>
          </w:tcPr>
          <w:p w14:paraId="66A07BF9"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35C0FFA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36D1924E"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13340D91"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20</w:t>
            </w:r>
          </w:p>
        </w:tc>
        <w:tc>
          <w:tcPr>
            <w:tcW w:w="728" w:type="dxa"/>
            <w:tcBorders>
              <w:top w:val="single" w:sz="4" w:space="0" w:color="000000"/>
              <w:left w:val="single" w:sz="4" w:space="0" w:color="000000"/>
              <w:bottom w:val="single" w:sz="4" w:space="0" w:color="000000"/>
              <w:right w:val="single" w:sz="4" w:space="0" w:color="000000"/>
            </w:tcBorders>
            <w:vAlign w:val="center"/>
          </w:tcPr>
          <w:p w14:paraId="4EF941E6"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0.68</w:t>
            </w:r>
          </w:p>
        </w:tc>
        <w:tc>
          <w:tcPr>
            <w:tcW w:w="726" w:type="dxa"/>
            <w:tcBorders>
              <w:top w:val="single" w:sz="4" w:space="0" w:color="000000"/>
              <w:left w:val="single" w:sz="4" w:space="0" w:color="000000"/>
              <w:bottom w:val="single" w:sz="4" w:space="0" w:color="000000"/>
              <w:right w:val="single" w:sz="4" w:space="0" w:color="000000"/>
            </w:tcBorders>
            <w:vAlign w:val="center"/>
          </w:tcPr>
          <w:p w14:paraId="4B6206A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0AA6C07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0.680</w:t>
            </w:r>
          </w:p>
        </w:tc>
        <w:tc>
          <w:tcPr>
            <w:tcW w:w="773" w:type="dxa"/>
            <w:tcBorders>
              <w:top w:val="single" w:sz="4" w:space="0" w:color="000000"/>
              <w:left w:val="single" w:sz="4" w:space="0" w:color="000000"/>
              <w:bottom w:val="single" w:sz="4" w:space="0" w:color="000000"/>
              <w:right w:val="single" w:sz="4" w:space="0" w:color="000000"/>
            </w:tcBorders>
            <w:vAlign w:val="center"/>
          </w:tcPr>
          <w:p w14:paraId="3A324FC0"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0.34</w:t>
            </w:r>
          </w:p>
        </w:tc>
        <w:tc>
          <w:tcPr>
            <w:tcW w:w="874" w:type="dxa"/>
            <w:tcBorders>
              <w:top w:val="single" w:sz="4" w:space="0" w:color="000000"/>
              <w:left w:val="single" w:sz="4" w:space="0" w:color="000000"/>
              <w:bottom w:val="single" w:sz="4" w:space="0" w:color="000000"/>
              <w:right w:val="single" w:sz="4" w:space="0" w:color="000000"/>
            </w:tcBorders>
            <w:vAlign w:val="center"/>
          </w:tcPr>
          <w:p w14:paraId="372A4D4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4.017</w:t>
            </w:r>
          </w:p>
        </w:tc>
        <w:tc>
          <w:tcPr>
            <w:tcW w:w="773" w:type="dxa"/>
            <w:tcBorders>
              <w:top w:val="single" w:sz="4" w:space="0" w:color="000000"/>
              <w:left w:val="single" w:sz="4" w:space="0" w:color="000000"/>
              <w:bottom w:val="single" w:sz="4" w:space="0" w:color="000000"/>
              <w:right w:val="single" w:sz="4" w:space="0" w:color="000000"/>
            </w:tcBorders>
            <w:vAlign w:val="center"/>
          </w:tcPr>
          <w:p w14:paraId="6CE325B5"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612A8232"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705D6910"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20E6818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21</w:t>
            </w:r>
          </w:p>
        </w:tc>
        <w:tc>
          <w:tcPr>
            <w:tcW w:w="728" w:type="dxa"/>
            <w:tcBorders>
              <w:top w:val="single" w:sz="4" w:space="0" w:color="000000"/>
              <w:left w:val="single" w:sz="4" w:space="0" w:color="000000"/>
              <w:bottom w:val="single" w:sz="4" w:space="0" w:color="000000"/>
              <w:right w:val="single" w:sz="4" w:space="0" w:color="000000"/>
            </w:tcBorders>
            <w:vAlign w:val="center"/>
          </w:tcPr>
          <w:p w14:paraId="4603943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0.64</w:t>
            </w:r>
          </w:p>
        </w:tc>
        <w:tc>
          <w:tcPr>
            <w:tcW w:w="726" w:type="dxa"/>
            <w:tcBorders>
              <w:top w:val="single" w:sz="4" w:space="0" w:color="000000"/>
              <w:left w:val="single" w:sz="4" w:space="0" w:color="000000"/>
              <w:bottom w:val="single" w:sz="4" w:space="0" w:color="000000"/>
              <w:right w:val="single" w:sz="4" w:space="0" w:color="000000"/>
            </w:tcBorders>
            <w:vAlign w:val="center"/>
          </w:tcPr>
          <w:p w14:paraId="125A1E6F"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264E45F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0.640</w:t>
            </w:r>
          </w:p>
        </w:tc>
        <w:tc>
          <w:tcPr>
            <w:tcW w:w="773" w:type="dxa"/>
            <w:tcBorders>
              <w:top w:val="single" w:sz="4" w:space="0" w:color="000000"/>
              <w:left w:val="single" w:sz="4" w:space="0" w:color="000000"/>
              <w:bottom w:val="single" w:sz="4" w:space="0" w:color="000000"/>
              <w:right w:val="single" w:sz="4" w:space="0" w:color="000000"/>
            </w:tcBorders>
            <w:vAlign w:val="center"/>
          </w:tcPr>
          <w:p w14:paraId="23DFE78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0.32</w:t>
            </w:r>
          </w:p>
        </w:tc>
        <w:tc>
          <w:tcPr>
            <w:tcW w:w="874" w:type="dxa"/>
            <w:tcBorders>
              <w:top w:val="single" w:sz="4" w:space="0" w:color="000000"/>
              <w:left w:val="single" w:sz="4" w:space="0" w:color="000000"/>
              <w:bottom w:val="single" w:sz="4" w:space="0" w:color="000000"/>
              <w:right w:val="single" w:sz="4" w:space="0" w:color="000000"/>
            </w:tcBorders>
            <w:vAlign w:val="center"/>
          </w:tcPr>
          <w:p w14:paraId="5FC31AF6"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3.780</w:t>
            </w:r>
          </w:p>
        </w:tc>
        <w:tc>
          <w:tcPr>
            <w:tcW w:w="773" w:type="dxa"/>
            <w:tcBorders>
              <w:top w:val="single" w:sz="4" w:space="0" w:color="000000"/>
              <w:left w:val="single" w:sz="4" w:space="0" w:color="000000"/>
              <w:bottom w:val="single" w:sz="4" w:space="0" w:color="000000"/>
              <w:right w:val="single" w:sz="4" w:space="0" w:color="000000"/>
            </w:tcBorders>
            <w:vAlign w:val="center"/>
          </w:tcPr>
          <w:p w14:paraId="5AEE2A2E"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7DD5063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6CE7182C"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4A94846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22</w:t>
            </w:r>
          </w:p>
        </w:tc>
        <w:tc>
          <w:tcPr>
            <w:tcW w:w="728" w:type="dxa"/>
            <w:tcBorders>
              <w:top w:val="single" w:sz="4" w:space="0" w:color="000000"/>
              <w:left w:val="single" w:sz="4" w:space="0" w:color="000000"/>
              <w:bottom w:val="single" w:sz="4" w:space="0" w:color="000000"/>
              <w:right w:val="single" w:sz="4" w:space="0" w:color="000000"/>
            </w:tcBorders>
            <w:vAlign w:val="center"/>
          </w:tcPr>
          <w:p w14:paraId="3EA8F595"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0.57</w:t>
            </w:r>
          </w:p>
        </w:tc>
        <w:tc>
          <w:tcPr>
            <w:tcW w:w="726" w:type="dxa"/>
            <w:tcBorders>
              <w:top w:val="single" w:sz="4" w:space="0" w:color="000000"/>
              <w:left w:val="single" w:sz="4" w:space="0" w:color="000000"/>
              <w:bottom w:val="single" w:sz="4" w:space="0" w:color="000000"/>
              <w:right w:val="single" w:sz="4" w:space="0" w:color="000000"/>
            </w:tcBorders>
            <w:vAlign w:val="center"/>
          </w:tcPr>
          <w:p w14:paraId="72E22081"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6805EAB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0.570</w:t>
            </w:r>
          </w:p>
        </w:tc>
        <w:tc>
          <w:tcPr>
            <w:tcW w:w="773" w:type="dxa"/>
            <w:tcBorders>
              <w:top w:val="single" w:sz="4" w:space="0" w:color="000000"/>
              <w:left w:val="single" w:sz="4" w:space="0" w:color="000000"/>
              <w:bottom w:val="single" w:sz="4" w:space="0" w:color="000000"/>
              <w:right w:val="single" w:sz="4" w:space="0" w:color="000000"/>
            </w:tcBorders>
            <w:vAlign w:val="center"/>
          </w:tcPr>
          <w:p w14:paraId="460AB0C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0.285</w:t>
            </w:r>
          </w:p>
        </w:tc>
        <w:tc>
          <w:tcPr>
            <w:tcW w:w="874" w:type="dxa"/>
            <w:tcBorders>
              <w:top w:val="single" w:sz="4" w:space="0" w:color="000000"/>
              <w:left w:val="single" w:sz="4" w:space="0" w:color="000000"/>
              <w:bottom w:val="single" w:sz="4" w:space="0" w:color="000000"/>
              <w:right w:val="single" w:sz="4" w:space="0" w:color="000000"/>
            </w:tcBorders>
            <w:vAlign w:val="center"/>
          </w:tcPr>
          <w:p w14:paraId="232C4F2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3.367</w:t>
            </w:r>
          </w:p>
        </w:tc>
        <w:tc>
          <w:tcPr>
            <w:tcW w:w="773" w:type="dxa"/>
            <w:tcBorders>
              <w:top w:val="single" w:sz="4" w:space="0" w:color="000000"/>
              <w:left w:val="single" w:sz="4" w:space="0" w:color="000000"/>
              <w:bottom w:val="single" w:sz="4" w:space="0" w:color="000000"/>
              <w:right w:val="single" w:sz="4" w:space="0" w:color="000000"/>
            </w:tcBorders>
            <w:vAlign w:val="center"/>
          </w:tcPr>
          <w:p w14:paraId="75E67AD7"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26036FDC"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3365FA06"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7897343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23</w:t>
            </w:r>
          </w:p>
        </w:tc>
        <w:tc>
          <w:tcPr>
            <w:tcW w:w="728" w:type="dxa"/>
            <w:tcBorders>
              <w:top w:val="single" w:sz="4" w:space="0" w:color="000000"/>
              <w:left w:val="single" w:sz="4" w:space="0" w:color="000000"/>
              <w:bottom w:val="single" w:sz="4" w:space="0" w:color="000000"/>
              <w:right w:val="single" w:sz="4" w:space="0" w:color="000000"/>
            </w:tcBorders>
            <w:vAlign w:val="center"/>
          </w:tcPr>
          <w:p w14:paraId="5BBBE37F"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0.57</w:t>
            </w:r>
          </w:p>
        </w:tc>
        <w:tc>
          <w:tcPr>
            <w:tcW w:w="726" w:type="dxa"/>
            <w:tcBorders>
              <w:top w:val="single" w:sz="4" w:space="0" w:color="000000"/>
              <w:left w:val="single" w:sz="4" w:space="0" w:color="000000"/>
              <w:bottom w:val="single" w:sz="4" w:space="0" w:color="000000"/>
              <w:right w:val="single" w:sz="4" w:space="0" w:color="000000"/>
            </w:tcBorders>
            <w:vAlign w:val="center"/>
          </w:tcPr>
          <w:p w14:paraId="52136929"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4DB6248F"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0.570</w:t>
            </w:r>
          </w:p>
        </w:tc>
        <w:tc>
          <w:tcPr>
            <w:tcW w:w="773" w:type="dxa"/>
            <w:tcBorders>
              <w:top w:val="single" w:sz="4" w:space="0" w:color="000000"/>
              <w:left w:val="single" w:sz="4" w:space="0" w:color="000000"/>
              <w:bottom w:val="single" w:sz="4" w:space="0" w:color="000000"/>
              <w:right w:val="single" w:sz="4" w:space="0" w:color="000000"/>
            </w:tcBorders>
            <w:vAlign w:val="center"/>
          </w:tcPr>
          <w:p w14:paraId="5FA5538B"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0.285</w:t>
            </w:r>
          </w:p>
        </w:tc>
        <w:tc>
          <w:tcPr>
            <w:tcW w:w="874" w:type="dxa"/>
            <w:tcBorders>
              <w:top w:val="single" w:sz="4" w:space="0" w:color="000000"/>
              <w:left w:val="single" w:sz="4" w:space="0" w:color="000000"/>
              <w:bottom w:val="single" w:sz="4" w:space="0" w:color="000000"/>
              <w:right w:val="single" w:sz="4" w:space="0" w:color="000000"/>
            </w:tcBorders>
            <w:vAlign w:val="center"/>
          </w:tcPr>
          <w:p w14:paraId="6482F447"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3.367</w:t>
            </w:r>
          </w:p>
        </w:tc>
        <w:tc>
          <w:tcPr>
            <w:tcW w:w="773" w:type="dxa"/>
            <w:tcBorders>
              <w:top w:val="single" w:sz="4" w:space="0" w:color="000000"/>
              <w:left w:val="single" w:sz="4" w:space="0" w:color="000000"/>
              <w:bottom w:val="single" w:sz="4" w:space="0" w:color="000000"/>
              <w:right w:val="single" w:sz="4" w:space="0" w:color="000000"/>
            </w:tcBorders>
            <w:vAlign w:val="center"/>
          </w:tcPr>
          <w:p w14:paraId="0EE24081"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18D1603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6E3970E9"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6A35874D"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24</w:t>
            </w:r>
          </w:p>
        </w:tc>
        <w:tc>
          <w:tcPr>
            <w:tcW w:w="728" w:type="dxa"/>
            <w:tcBorders>
              <w:top w:val="single" w:sz="4" w:space="0" w:color="000000"/>
              <w:left w:val="single" w:sz="4" w:space="0" w:color="000000"/>
              <w:bottom w:val="single" w:sz="4" w:space="0" w:color="000000"/>
              <w:right w:val="single" w:sz="4" w:space="0" w:color="000000"/>
            </w:tcBorders>
            <w:vAlign w:val="center"/>
          </w:tcPr>
          <w:p w14:paraId="22948DFC"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0.43</w:t>
            </w:r>
          </w:p>
        </w:tc>
        <w:tc>
          <w:tcPr>
            <w:tcW w:w="726" w:type="dxa"/>
            <w:tcBorders>
              <w:top w:val="single" w:sz="4" w:space="0" w:color="000000"/>
              <w:left w:val="single" w:sz="4" w:space="0" w:color="000000"/>
              <w:bottom w:val="single" w:sz="4" w:space="0" w:color="000000"/>
              <w:right w:val="single" w:sz="4" w:space="0" w:color="000000"/>
            </w:tcBorders>
            <w:vAlign w:val="center"/>
          </w:tcPr>
          <w:p w14:paraId="3817BD70"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01CB30B5"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0.430</w:t>
            </w:r>
          </w:p>
        </w:tc>
        <w:tc>
          <w:tcPr>
            <w:tcW w:w="773" w:type="dxa"/>
            <w:tcBorders>
              <w:top w:val="single" w:sz="4" w:space="0" w:color="000000"/>
              <w:left w:val="single" w:sz="4" w:space="0" w:color="000000"/>
              <w:bottom w:val="single" w:sz="4" w:space="0" w:color="000000"/>
              <w:right w:val="single" w:sz="4" w:space="0" w:color="000000"/>
            </w:tcBorders>
            <w:vAlign w:val="center"/>
          </w:tcPr>
          <w:p w14:paraId="6B183A03"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0.215</w:t>
            </w:r>
          </w:p>
        </w:tc>
        <w:tc>
          <w:tcPr>
            <w:tcW w:w="874" w:type="dxa"/>
            <w:tcBorders>
              <w:top w:val="single" w:sz="4" w:space="0" w:color="000000"/>
              <w:left w:val="single" w:sz="4" w:space="0" w:color="000000"/>
              <w:bottom w:val="single" w:sz="4" w:space="0" w:color="000000"/>
              <w:right w:val="single" w:sz="4" w:space="0" w:color="000000"/>
            </w:tcBorders>
            <w:vAlign w:val="center"/>
          </w:tcPr>
          <w:p w14:paraId="1B767004"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2.540</w:t>
            </w:r>
          </w:p>
        </w:tc>
        <w:tc>
          <w:tcPr>
            <w:tcW w:w="773" w:type="dxa"/>
            <w:tcBorders>
              <w:top w:val="single" w:sz="4" w:space="0" w:color="000000"/>
              <w:left w:val="single" w:sz="4" w:space="0" w:color="000000"/>
              <w:bottom w:val="single" w:sz="4" w:space="0" w:color="000000"/>
              <w:right w:val="single" w:sz="4" w:space="0" w:color="000000"/>
            </w:tcBorders>
            <w:vAlign w:val="center"/>
          </w:tcPr>
          <w:p w14:paraId="29B41BA7"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7D95931B"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r w:rsidR="005C45CB" w:rsidRPr="00AE066F" w14:paraId="72387A8C" w14:textId="77777777">
        <w:trPr>
          <w:trHeight w:val="312"/>
          <w:jc w:val="center"/>
        </w:trPr>
        <w:tc>
          <w:tcPr>
            <w:tcW w:w="685" w:type="dxa"/>
            <w:tcBorders>
              <w:top w:val="single" w:sz="4" w:space="0" w:color="000000"/>
              <w:left w:val="single" w:sz="4" w:space="0" w:color="000000"/>
              <w:bottom w:val="single" w:sz="4" w:space="0" w:color="000000"/>
              <w:right w:val="single" w:sz="4" w:space="0" w:color="000000"/>
            </w:tcBorders>
            <w:vAlign w:val="center"/>
          </w:tcPr>
          <w:p w14:paraId="2CAD8F76"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25</w:t>
            </w:r>
          </w:p>
        </w:tc>
        <w:tc>
          <w:tcPr>
            <w:tcW w:w="728" w:type="dxa"/>
            <w:tcBorders>
              <w:top w:val="single" w:sz="4" w:space="0" w:color="000000"/>
              <w:left w:val="single" w:sz="4" w:space="0" w:color="000000"/>
              <w:bottom w:val="single" w:sz="4" w:space="0" w:color="000000"/>
              <w:right w:val="single" w:sz="4" w:space="0" w:color="000000"/>
            </w:tcBorders>
            <w:vAlign w:val="center"/>
          </w:tcPr>
          <w:p w14:paraId="19655C3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0.43</w:t>
            </w:r>
          </w:p>
        </w:tc>
        <w:tc>
          <w:tcPr>
            <w:tcW w:w="726" w:type="dxa"/>
            <w:tcBorders>
              <w:top w:val="single" w:sz="4" w:space="0" w:color="000000"/>
              <w:left w:val="single" w:sz="4" w:space="0" w:color="000000"/>
              <w:bottom w:val="single" w:sz="4" w:space="0" w:color="000000"/>
              <w:right w:val="single" w:sz="4" w:space="0" w:color="000000"/>
            </w:tcBorders>
            <w:vAlign w:val="center"/>
          </w:tcPr>
          <w:p w14:paraId="609056BE" w14:textId="77777777" w:rsidR="005C45CB" w:rsidRPr="00AE066F" w:rsidRDefault="00000000">
            <w:pPr>
              <w:spacing w:after="0" w:line="240" w:lineRule="auto"/>
              <w:rPr>
                <w:rFonts w:ascii="Arial" w:hAnsi="Arial" w:cs="Arial"/>
                <w:color w:val="000000"/>
                <w:sz w:val="20"/>
                <w:szCs w:val="20"/>
              </w:rPr>
            </w:pPr>
            <w:r w:rsidRPr="00AE066F">
              <w:rPr>
                <w:rFonts w:ascii="Arial" w:hAnsi="Arial" w:cs="Arial"/>
                <w:color w:val="000000"/>
                <w:sz w:val="20"/>
                <w:szCs w:val="20"/>
              </w:rPr>
              <w:t>0.000</w:t>
            </w:r>
          </w:p>
        </w:tc>
        <w:tc>
          <w:tcPr>
            <w:tcW w:w="744" w:type="dxa"/>
            <w:tcBorders>
              <w:top w:val="single" w:sz="4" w:space="0" w:color="000000"/>
              <w:left w:val="single" w:sz="4" w:space="0" w:color="000000"/>
              <w:bottom w:val="single" w:sz="4" w:space="0" w:color="000000"/>
              <w:right w:val="single" w:sz="4" w:space="0" w:color="000000"/>
            </w:tcBorders>
            <w:vAlign w:val="center"/>
          </w:tcPr>
          <w:p w14:paraId="1C5C94E9"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0.430</w:t>
            </w:r>
          </w:p>
        </w:tc>
        <w:tc>
          <w:tcPr>
            <w:tcW w:w="773" w:type="dxa"/>
            <w:tcBorders>
              <w:top w:val="single" w:sz="4" w:space="0" w:color="000000"/>
              <w:left w:val="single" w:sz="4" w:space="0" w:color="000000"/>
              <w:bottom w:val="single" w:sz="4" w:space="0" w:color="000000"/>
              <w:right w:val="single" w:sz="4" w:space="0" w:color="000000"/>
            </w:tcBorders>
            <w:vAlign w:val="center"/>
          </w:tcPr>
          <w:p w14:paraId="26C978FA"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0.215</w:t>
            </w:r>
          </w:p>
        </w:tc>
        <w:tc>
          <w:tcPr>
            <w:tcW w:w="874" w:type="dxa"/>
            <w:tcBorders>
              <w:top w:val="single" w:sz="4" w:space="0" w:color="000000"/>
              <w:left w:val="single" w:sz="4" w:space="0" w:color="000000"/>
              <w:bottom w:val="single" w:sz="4" w:space="0" w:color="000000"/>
              <w:right w:val="single" w:sz="4" w:space="0" w:color="000000"/>
            </w:tcBorders>
            <w:vAlign w:val="center"/>
          </w:tcPr>
          <w:p w14:paraId="1A32C97E"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2.540</w:t>
            </w:r>
          </w:p>
        </w:tc>
        <w:tc>
          <w:tcPr>
            <w:tcW w:w="773" w:type="dxa"/>
            <w:tcBorders>
              <w:top w:val="single" w:sz="4" w:space="0" w:color="000000"/>
              <w:left w:val="single" w:sz="4" w:space="0" w:color="000000"/>
              <w:bottom w:val="single" w:sz="4" w:space="0" w:color="000000"/>
              <w:right w:val="single" w:sz="4" w:space="0" w:color="000000"/>
            </w:tcBorders>
            <w:vAlign w:val="center"/>
          </w:tcPr>
          <w:p w14:paraId="2968A2DE" w14:textId="77777777" w:rsidR="005C45CB" w:rsidRPr="00AE066F" w:rsidRDefault="00000000">
            <w:pPr>
              <w:spacing w:after="0" w:line="240" w:lineRule="auto"/>
              <w:jc w:val="center"/>
              <w:rPr>
                <w:rFonts w:ascii="Arial" w:hAnsi="Arial" w:cs="Arial"/>
                <w:color w:val="000000"/>
                <w:sz w:val="20"/>
                <w:szCs w:val="20"/>
              </w:rPr>
            </w:pPr>
            <w:r w:rsidRPr="00AE066F">
              <w:rPr>
                <w:rFonts w:cs="Calibri"/>
                <w:color w:val="000000"/>
              </w:rPr>
              <w:t>T</w:t>
            </w:r>
          </w:p>
        </w:tc>
        <w:tc>
          <w:tcPr>
            <w:tcW w:w="830" w:type="dxa"/>
            <w:tcBorders>
              <w:top w:val="single" w:sz="4" w:space="0" w:color="000000"/>
              <w:left w:val="single" w:sz="4" w:space="0" w:color="000000"/>
              <w:bottom w:val="single" w:sz="4" w:space="0" w:color="000000"/>
              <w:right w:val="single" w:sz="4" w:space="0" w:color="000000"/>
            </w:tcBorders>
            <w:vAlign w:val="center"/>
          </w:tcPr>
          <w:p w14:paraId="2E3CEC0D" w14:textId="77777777" w:rsidR="005C45CB" w:rsidRPr="00AE066F" w:rsidRDefault="00000000">
            <w:pPr>
              <w:spacing w:after="0" w:line="240" w:lineRule="auto"/>
              <w:rPr>
                <w:rFonts w:ascii="Arial" w:hAnsi="Arial" w:cs="Arial"/>
                <w:color w:val="000000"/>
                <w:sz w:val="20"/>
                <w:szCs w:val="20"/>
              </w:rPr>
            </w:pPr>
            <w:r w:rsidRPr="00AE066F">
              <w:rPr>
                <w:rFonts w:cs="Calibri"/>
                <w:color w:val="000000"/>
              </w:rPr>
              <w:t>0.000</w:t>
            </w:r>
          </w:p>
        </w:tc>
      </w:tr>
    </w:tbl>
    <w:p w14:paraId="7BC2462A" w14:textId="77777777" w:rsidR="005C45CB" w:rsidRPr="00AE066F" w:rsidRDefault="005C45CB">
      <w:pPr>
        <w:spacing w:line="480" w:lineRule="auto"/>
        <w:rPr>
          <w:rFonts w:ascii="Arial" w:hAnsi="Arial" w:cs="Arial"/>
          <w:sz w:val="20"/>
          <w:szCs w:val="20"/>
        </w:rPr>
      </w:pPr>
    </w:p>
    <w:p w14:paraId="670ABC75" w14:textId="77777777" w:rsidR="005C45CB" w:rsidRPr="00AE066F" w:rsidRDefault="005C45CB">
      <w:pPr>
        <w:spacing w:line="480" w:lineRule="auto"/>
        <w:rPr>
          <w:rFonts w:ascii="Arial" w:hAnsi="Arial" w:cs="Arial"/>
          <w:sz w:val="20"/>
          <w:szCs w:val="20"/>
        </w:rPr>
      </w:pPr>
    </w:p>
    <w:p w14:paraId="21ECB071" w14:textId="77777777" w:rsidR="005C45CB" w:rsidRPr="00AE066F" w:rsidRDefault="005C45CB">
      <w:pPr>
        <w:spacing w:line="480" w:lineRule="auto"/>
        <w:rPr>
          <w:rFonts w:ascii="Arial" w:hAnsi="Arial" w:cs="Arial"/>
          <w:sz w:val="20"/>
          <w:szCs w:val="20"/>
        </w:rPr>
      </w:pPr>
    </w:p>
    <w:p w14:paraId="1039B406" w14:textId="77777777" w:rsidR="005C45CB" w:rsidRPr="00AE066F" w:rsidRDefault="005C45CB">
      <w:pPr>
        <w:spacing w:line="480" w:lineRule="auto"/>
        <w:rPr>
          <w:rFonts w:ascii="Arial" w:hAnsi="Arial" w:cs="Arial"/>
          <w:sz w:val="20"/>
          <w:szCs w:val="20"/>
        </w:rPr>
      </w:pPr>
    </w:p>
    <w:p w14:paraId="10BBFCE9" w14:textId="77777777" w:rsidR="005C45CB" w:rsidRPr="00AE066F" w:rsidRDefault="005C45CB">
      <w:pPr>
        <w:spacing w:line="480" w:lineRule="auto"/>
        <w:rPr>
          <w:rFonts w:ascii="Arial" w:hAnsi="Arial" w:cs="Arial"/>
          <w:sz w:val="20"/>
          <w:szCs w:val="20"/>
        </w:rPr>
      </w:pPr>
    </w:p>
    <w:p w14:paraId="16E22900" w14:textId="77777777" w:rsidR="005C45CB" w:rsidRPr="00AE066F" w:rsidRDefault="005C45CB">
      <w:pPr>
        <w:rPr>
          <w:rFonts w:ascii="Times New Roman" w:hAnsi="Times New Roman"/>
          <w:b/>
          <w:sz w:val="24"/>
          <w:szCs w:val="24"/>
        </w:rPr>
      </w:pPr>
    </w:p>
    <w:p w14:paraId="7D4B9ADF" w14:textId="77777777" w:rsidR="005C45CB" w:rsidRPr="00AE066F" w:rsidRDefault="00000000">
      <w:pPr>
        <w:ind w:left="720"/>
      </w:pPr>
      <w:r w:rsidRPr="00AE066F">
        <w:rPr>
          <w:rFonts w:ascii="Arial" w:hAnsi="Arial" w:cs="Arial"/>
          <w:b/>
          <w:bCs/>
          <w:sz w:val="20"/>
          <w:szCs w:val="20"/>
          <w:lang w:val="en-IN"/>
        </w:rPr>
        <w:t xml:space="preserve">Figure 3. Standard </w:t>
      </w:r>
      <w:proofErr w:type="spellStart"/>
      <w:r w:rsidRPr="00AE066F">
        <w:rPr>
          <w:rFonts w:ascii="Arial" w:hAnsi="Arial" w:cs="Arial"/>
          <w:b/>
          <w:bCs/>
          <w:sz w:val="20"/>
          <w:szCs w:val="20"/>
          <w:lang w:val="en-IN"/>
        </w:rPr>
        <w:t>idiogram</w:t>
      </w:r>
      <w:proofErr w:type="spellEnd"/>
      <w:r w:rsidRPr="00AE066F">
        <w:rPr>
          <w:rFonts w:ascii="Arial" w:hAnsi="Arial" w:cs="Arial"/>
          <w:b/>
          <w:bCs/>
          <w:sz w:val="20"/>
          <w:szCs w:val="20"/>
          <w:lang w:val="en-IN"/>
        </w:rPr>
        <w:t xml:space="preserve"> of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Cs/>
          <w:sz w:val="20"/>
          <w:szCs w:val="20"/>
        </w:rPr>
        <w:t xml:space="preserve"> </w:t>
      </w:r>
      <w:r w:rsidRPr="00AE066F">
        <w:rPr>
          <w:rFonts w:ascii="Arial" w:hAnsi="Arial" w:cs="Arial"/>
          <w:b/>
          <w:bCs/>
          <w:sz w:val="20"/>
          <w:szCs w:val="20"/>
          <w:lang w:val="en-IN"/>
        </w:rPr>
        <w:t>constructed from mean chromosomal arm lengths and centromeric indices.</w:t>
      </w:r>
    </w:p>
    <w:p w14:paraId="58814DDA" w14:textId="77777777" w:rsidR="005C45CB" w:rsidRPr="00AE066F" w:rsidRDefault="00AB4B32">
      <w:pPr>
        <w:spacing w:line="480" w:lineRule="auto"/>
        <w:rPr>
          <w:rFonts w:ascii="Times New Roman" w:hAnsi="Times New Roman"/>
          <w:b/>
          <w:bCs/>
          <w:sz w:val="24"/>
          <w:szCs w:val="24"/>
          <w:lang w:val="en-US" w:eastAsia="en-US"/>
        </w:rPr>
      </w:pPr>
      <w:r>
        <w:rPr>
          <w:rFonts w:ascii="Times New Roman" w:hAnsi="Times New Roman"/>
          <w:b/>
          <w:noProof/>
          <w:sz w:val="24"/>
          <w:szCs w:val="24"/>
          <w:lang w:val="en-US" w:eastAsia="en-US"/>
        </w:rPr>
        <w:pict w14:anchorId="719ACEC4">
          <v:shape id="_x0000_i1028" type="#_x0000_t75" style="width:360.65pt;height:216.65pt;visibility:visible;mso-wrap-style:square">
            <v:imagedata r:id="rId10" o:title="" croptop="-9f" cropbottom="-9f" cropleft="-5f" cropright="-5f"/>
          </v:shape>
        </w:pict>
      </w:r>
    </w:p>
    <w:p w14:paraId="73949350" w14:textId="77777777" w:rsidR="005C45CB" w:rsidRPr="00AE066F" w:rsidRDefault="005C45CB">
      <w:pPr>
        <w:spacing w:line="480" w:lineRule="auto"/>
        <w:rPr>
          <w:rFonts w:ascii="Times New Roman" w:hAnsi="Times New Roman"/>
          <w:sz w:val="24"/>
          <w:szCs w:val="24"/>
        </w:rPr>
      </w:pPr>
    </w:p>
    <w:p w14:paraId="25E44C37" w14:textId="77777777" w:rsidR="005C45CB" w:rsidRPr="00AE066F" w:rsidRDefault="005C45CB">
      <w:pPr>
        <w:spacing w:line="480" w:lineRule="auto"/>
        <w:rPr>
          <w:rFonts w:ascii="Times New Roman" w:hAnsi="Times New Roman"/>
          <w:sz w:val="24"/>
          <w:szCs w:val="24"/>
        </w:rPr>
      </w:pPr>
    </w:p>
    <w:p w14:paraId="424CA00A" w14:textId="77777777" w:rsidR="005C45CB" w:rsidRPr="00AE066F" w:rsidRDefault="005C45CB">
      <w:pPr>
        <w:spacing w:line="480" w:lineRule="auto"/>
        <w:rPr>
          <w:rFonts w:ascii="Times New Roman" w:hAnsi="Times New Roman"/>
          <w:sz w:val="24"/>
          <w:szCs w:val="24"/>
        </w:rPr>
      </w:pPr>
    </w:p>
    <w:p w14:paraId="10A4731B" w14:textId="77777777" w:rsidR="005C45CB" w:rsidRPr="00AE066F" w:rsidRDefault="005C45CB">
      <w:pPr>
        <w:spacing w:line="480" w:lineRule="auto"/>
        <w:rPr>
          <w:rFonts w:ascii="Arial" w:hAnsi="Arial" w:cs="Arial"/>
          <w:sz w:val="20"/>
          <w:szCs w:val="20"/>
        </w:rPr>
      </w:pPr>
    </w:p>
    <w:p w14:paraId="0FE093A0" w14:textId="77777777" w:rsidR="005C45CB" w:rsidRPr="00AE066F" w:rsidRDefault="005C45CB">
      <w:pPr>
        <w:spacing w:line="480" w:lineRule="auto"/>
        <w:rPr>
          <w:rFonts w:ascii="Arial" w:hAnsi="Arial" w:cs="Arial"/>
          <w:sz w:val="20"/>
          <w:szCs w:val="20"/>
        </w:rPr>
      </w:pPr>
    </w:p>
    <w:p w14:paraId="358C192C" w14:textId="77777777" w:rsidR="005C45CB" w:rsidRPr="00AE066F" w:rsidRDefault="005C45CB">
      <w:pPr>
        <w:spacing w:line="480" w:lineRule="auto"/>
        <w:rPr>
          <w:rFonts w:ascii="Arial" w:hAnsi="Arial" w:cs="Arial"/>
          <w:sz w:val="20"/>
          <w:szCs w:val="20"/>
        </w:rPr>
      </w:pPr>
    </w:p>
    <w:p w14:paraId="5AAE81BA" w14:textId="77777777" w:rsidR="005C45CB" w:rsidRPr="00AE066F" w:rsidRDefault="005C45CB">
      <w:pPr>
        <w:spacing w:line="480" w:lineRule="auto"/>
        <w:rPr>
          <w:rFonts w:ascii="Arial" w:hAnsi="Arial" w:cs="Arial"/>
          <w:sz w:val="20"/>
          <w:szCs w:val="20"/>
        </w:rPr>
      </w:pPr>
    </w:p>
    <w:p w14:paraId="73B3A71E" w14:textId="77777777" w:rsidR="005C45CB" w:rsidRPr="00AE066F" w:rsidRDefault="005C45CB">
      <w:pPr>
        <w:spacing w:line="480" w:lineRule="auto"/>
        <w:rPr>
          <w:rFonts w:ascii="Arial" w:hAnsi="Arial" w:cs="Arial"/>
          <w:sz w:val="20"/>
          <w:szCs w:val="20"/>
        </w:rPr>
      </w:pPr>
    </w:p>
    <w:p w14:paraId="4E1F0EFA" w14:textId="77777777" w:rsidR="005C45CB" w:rsidRPr="00AE066F" w:rsidRDefault="005C45CB">
      <w:pPr>
        <w:spacing w:line="480" w:lineRule="auto"/>
        <w:rPr>
          <w:rFonts w:ascii="Arial" w:hAnsi="Arial" w:cs="Arial"/>
          <w:sz w:val="20"/>
          <w:szCs w:val="20"/>
        </w:rPr>
      </w:pPr>
    </w:p>
    <w:p w14:paraId="188E6803" w14:textId="77777777" w:rsidR="005C45CB" w:rsidRPr="00AE066F" w:rsidRDefault="00000000">
      <w:pPr>
        <w:spacing w:line="240" w:lineRule="auto"/>
        <w:ind w:left="720"/>
        <w:rPr>
          <w:rFonts w:ascii="Arial" w:hAnsi="Arial" w:cs="Arial"/>
          <w:sz w:val="20"/>
          <w:szCs w:val="20"/>
          <w:lang w:val="en-IN"/>
        </w:rPr>
      </w:pPr>
      <w:r w:rsidRPr="00AE066F">
        <w:rPr>
          <w:rFonts w:ascii="Arial" w:hAnsi="Arial" w:cs="Arial"/>
          <w:b/>
          <w:bCs/>
          <w:sz w:val="20"/>
          <w:szCs w:val="20"/>
          <w:lang w:val="en-IN"/>
        </w:rPr>
        <w:t xml:space="preserve">Figure 4. Standard </w:t>
      </w:r>
      <w:proofErr w:type="spellStart"/>
      <w:r w:rsidRPr="00AE066F">
        <w:rPr>
          <w:rFonts w:ascii="Arial" w:hAnsi="Arial" w:cs="Arial"/>
          <w:b/>
          <w:bCs/>
          <w:sz w:val="20"/>
          <w:szCs w:val="20"/>
          <w:lang w:val="en-IN"/>
        </w:rPr>
        <w:t>idiogram</w:t>
      </w:r>
      <w:proofErr w:type="spellEnd"/>
      <w:r w:rsidRPr="00AE066F">
        <w:rPr>
          <w:rFonts w:ascii="Arial" w:hAnsi="Arial" w:cs="Arial"/>
          <w:b/>
          <w:bCs/>
          <w:sz w:val="20"/>
          <w:szCs w:val="20"/>
          <w:lang w:val="en-IN"/>
        </w:rPr>
        <w:t xml:space="preserve"> of </w:t>
      </w:r>
      <w:r w:rsidRPr="00AE066F">
        <w:rPr>
          <w:rFonts w:ascii="Arial" w:hAnsi="Arial" w:cs="Arial"/>
          <w:b/>
          <w:bCs/>
          <w:i/>
          <w:iCs/>
          <w:sz w:val="20"/>
          <w:szCs w:val="20"/>
          <w:lang w:val="en-IN"/>
        </w:rPr>
        <w:t xml:space="preserve">Puntius </w:t>
      </w:r>
      <w:proofErr w:type="spellStart"/>
      <w:r w:rsidRPr="00AE066F">
        <w:rPr>
          <w:rFonts w:ascii="Arial" w:hAnsi="Arial" w:cs="Arial"/>
          <w:b/>
          <w:bCs/>
          <w:i/>
          <w:iCs/>
          <w:sz w:val="20"/>
          <w:szCs w:val="20"/>
          <w:lang w:val="en-IN"/>
        </w:rPr>
        <w:t>sophore</w:t>
      </w:r>
      <w:proofErr w:type="spellEnd"/>
      <w:r w:rsidRPr="00AE066F">
        <w:rPr>
          <w:rFonts w:ascii="Arial" w:hAnsi="Arial" w:cs="Arial"/>
          <w:b/>
          <w:bCs/>
          <w:sz w:val="20"/>
          <w:szCs w:val="20"/>
          <w:lang w:val="en-IN"/>
        </w:rPr>
        <w:t xml:space="preserve"> constructed from mean chromosomal arm lengths and centromeric indices.</w:t>
      </w:r>
    </w:p>
    <w:p w14:paraId="2A38F0BD" w14:textId="77777777" w:rsidR="005C45CB" w:rsidRPr="00AE066F" w:rsidRDefault="00AB4B32">
      <w:pPr>
        <w:spacing w:line="480" w:lineRule="auto"/>
        <w:rPr>
          <w:rFonts w:ascii="Arial" w:hAnsi="Arial" w:cs="Arial"/>
          <w:i/>
          <w:sz w:val="20"/>
          <w:szCs w:val="20"/>
          <w:lang w:val="en-US" w:eastAsia="en-US"/>
        </w:rPr>
      </w:pPr>
      <w:r>
        <w:rPr>
          <w:rFonts w:ascii="Arial" w:hAnsi="Arial" w:cs="Arial"/>
          <w:i/>
          <w:noProof/>
          <w:sz w:val="20"/>
          <w:szCs w:val="20"/>
          <w:lang w:val="en-US" w:eastAsia="en-US"/>
        </w:rPr>
        <w:pict w14:anchorId="44BAFFE0">
          <v:shape id="Chart 1" o:spid="_x0000_i1029" type="#_x0000_t75" style="width:360.65pt;height:216.65pt;visibility:visible;mso-wrap-style:square">
            <v:imagedata r:id="rId11" o:title="" croptop="-9f" cropbottom="-9f" cropleft="-5f" cropright="-5f"/>
          </v:shape>
        </w:pict>
      </w:r>
    </w:p>
    <w:p w14:paraId="65785E98" w14:textId="77777777" w:rsidR="005C45CB" w:rsidRPr="00AE066F" w:rsidRDefault="005C45CB">
      <w:pPr>
        <w:spacing w:line="480" w:lineRule="auto"/>
        <w:rPr>
          <w:rFonts w:ascii="Arial" w:hAnsi="Arial" w:cs="Arial"/>
          <w:i/>
          <w:sz w:val="20"/>
          <w:szCs w:val="20"/>
        </w:rPr>
      </w:pPr>
    </w:p>
    <w:p w14:paraId="55D1E88D" w14:textId="77777777" w:rsidR="005C45CB" w:rsidRPr="00AE066F" w:rsidRDefault="005C45CB">
      <w:pPr>
        <w:spacing w:line="480" w:lineRule="auto"/>
        <w:rPr>
          <w:rFonts w:ascii="Times New Roman" w:hAnsi="Times New Roman"/>
          <w:i/>
          <w:sz w:val="24"/>
          <w:szCs w:val="24"/>
        </w:rPr>
      </w:pPr>
    </w:p>
    <w:p w14:paraId="70D3424F" w14:textId="77777777" w:rsidR="005C45CB" w:rsidRPr="00AE066F" w:rsidRDefault="005C45CB">
      <w:pPr>
        <w:rPr>
          <w:rFonts w:ascii="Times New Roman" w:hAnsi="Times New Roman"/>
          <w:b/>
          <w:sz w:val="24"/>
          <w:szCs w:val="24"/>
        </w:rPr>
      </w:pPr>
    </w:p>
    <w:p w14:paraId="73A3CFC6" w14:textId="77777777" w:rsidR="005C45CB" w:rsidRPr="00AE066F" w:rsidRDefault="005C45CB">
      <w:pPr>
        <w:rPr>
          <w:rFonts w:ascii="Times New Roman" w:hAnsi="Times New Roman"/>
          <w:b/>
          <w:sz w:val="24"/>
          <w:szCs w:val="24"/>
        </w:rPr>
      </w:pPr>
    </w:p>
    <w:p w14:paraId="6E66E187" w14:textId="77777777" w:rsidR="005C45CB" w:rsidRPr="00AE066F" w:rsidRDefault="005C45CB">
      <w:pPr>
        <w:spacing w:line="240" w:lineRule="auto"/>
        <w:ind w:left="720"/>
        <w:jc w:val="both"/>
        <w:rPr>
          <w:rFonts w:ascii="Arial" w:hAnsi="Arial" w:cs="Arial"/>
          <w:b/>
          <w:bCs/>
          <w:sz w:val="20"/>
          <w:szCs w:val="20"/>
          <w:lang w:val="en-IN"/>
        </w:rPr>
      </w:pPr>
    </w:p>
    <w:p w14:paraId="7BE6E8F5" w14:textId="77777777" w:rsidR="005C45CB" w:rsidRPr="00AE066F" w:rsidRDefault="005C45CB">
      <w:pPr>
        <w:spacing w:line="240" w:lineRule="auto"/>
        <w:ind w:left="720"/>
        <w:jc w:val="both"/>
        <w:rPr>
          <w:rFonts w:ascii="Arial" w:hAnsi="Arial" w:cs="Arial"/>
          <w:b/>
          <w:bCs/>
          <w:sz w:val="20"/>
          <w:szCs w:val="20"/>
          <w:lang w:val="en-IN"/>
        </w:rPr>
      </w:pPr>
    </w:p>
    <w:p w14:paraId="6483F504" w14:textId="77777777" w:rsidR="005C45CB" w:rsidRPr="00AE066F" w:rsidRDefault="005C45CB">
      <w:pPr>
        <w:spacing w:line="240" w:lineRule="auto"/>
        <w:ind w:left="720"/>
        <w:jc w:val="both"/>
        <w:rPr>
          <w:rFonts w:ascii="Arial" w:hAnsi="Arial" w:cs="Arial"/>
          <w:b/>
          <w:bCs/>
          <w:sz w:val="20"/>
          <w:szCs w:val="20"/>
          <w:lang w:val="en-IN"/>
        </w:rPr>
      </w:pPr>
    </w:p>
    <w:p w14:paraId="355B7797" w14:textId="77777777" w:rsidR="005C45CB" w:rsidRPr="00AE066F" w:rsidRDefault="005C45CB">
      <w:pPr>
        <w:spacing w:line="240" w:lineRule="auto"/>
        <w:ind w:left="720"/>
        <w:jc w:val="both"/>
        <w:rPr>
          <w:rFonts w:ascii="Arial" w:hAnsi="Arial" w:cs="Arial"/>
          <w:b/>
          <w:bCs/>
          <w:sz w:val="20"/>
          <w:szCs w:val="20"/>
          <w:lang w:val="en-IN"/>
        </w:rPr>
      </w:pPr>
    </w:p>
    <w:p w14:paraId="1107AD3B" w14:textId="77777777" w:rsidR="005C45CB" w:rsidRPr="00AE066F" w:rsidRDefault="005C45CB">
      <w:pPr>
        <w:spacing w:line="240" w:lineRule="auto"/>
        <w:ind w:left="720"/>
        <w:jc w:val="both"/>
        <w:rPr>
          <w:rFonts w:ascii="Arial" w:hAnsi="Arial" w:cs="Arial"/>
          <w:b/>
          <w:bCs/>
          <w:sz w:val="20"/>
          <w:szCs w:val="20"/>
          <w:lang w:val="en-IN"/>
        </w:rPr>
      </w:pPr>
    </w:p>
    <w:p w14:paraId="6E8D6DF2" w14:textId="77777777" w:rsidR="005C45CB" w:rsidRPr="00AE066F" w:rsidRDefault="005C45CB">
      <w:pPr>
        <w:spacing w:line="480" w:lineRule="auto"/>
        <w:rPr>
          <w:rFonts w:ascii="Arial" w:hAnsi="Arial" w:cs="Arial"/>
          <w:b/>
          <w:bCs/>
          <w:sz w:val="20"/>
          <w:szCs w:val="20"/>
          <w:lang w:val="en-IN"/>
        </w:rPr>
      </w:pPr>
    </w:p>
    <w:p w14:paraId="42BFE1FD" w14:textId="77777777" w:rsidR="005C45CB" w:rsidRPr="00AE066F" w:rsidRDefault="00000000">
      <w:pPr>
        <w:rPr>
          <w:rFonts w:ascii="Times New Roman" w:hAnsi="Times New Roman"/>
          <w:b/>
        </w:rPr>
      </w:pPr>
      <w:r w:rsidRPr="00AE066F">
        <w:rPr>
          <w:rFonts w:ascii="Arial" w:hAnsi="Arial" w:cs="Arial"/>
          <w:b/>
        </w:rPr>
        <w:t>4. DISCUSSION</w:t>
      </w:r>
    </w:p>
    <w:p w14:paraId="564D712A" w14:textId="77777777" w:rsidR="005C45CB" w:rsidRPr="00AE066F" w:rsidRDefault="00000000">
      <w:pPr>
        <w:spacing w:line="360" w:lineRule="auto"/>
        <w:ind w:firstLine="720"/>
        <w:jc w:val="both"/>
      </w:pPr>
      <w:r w:rsidRPr="00AE066F">
        <w:rPr>
          <w:rFonts w:ascii="Arial" w:hAnsi="Arial" w:cs="Arial"/>
          <w:sz w:val="20"/>
          <w:szCs w:val="20"/>
        </w:rPr>
        <w:t xml:space="preserve">The genus </w:t>
      </w:r>
      <w:r w:rsidRPr="00AE066F">
        <w:rPr>
          <w:rFonts w:ascii="Arial" w:hAnsi="Arial" w:cs="Arial"/>
          <w:i/>
          <w:iCs/>
          <w:sz w:val="20"/>
          <w:szCs w:val="20"/>
        </w:rPr>
        <w:t>Puntius</w:t>
      </w:r>
      <w:r w:rsidRPr="00AE066F">
        <w:rPr>
          <w:rFonts w:ascii="Arial" w:hAnsi="Arial" w:cs="Arial"/>
          <w:sz w:val="20"/>
          <w:szCs w:val="20"/>
        </w:rPr>
        <w:t xml:space="preserve"> has been extensively studied karyologically, as evidenced by numerous investigations (Manna &amp; Prasad, 1971; Rishi &amp; Rishi, 1981; Sharma </w:t>
      </w:r>
      <w:r w:rsidRPr="00AE066F">
        <w:rPr>
          <w:rFonts w:ascii="Arial" w:hAnsi="Arial" w:cs="Arial"/>
          <w:i/>
          <w:sz w:val="20"/>
          <w:szCs w:val="20"/>
        </w:rPr>
        <w:t>et al.,</w:t>
      </w:r>
      <w:r w:rsidRPr="00AE066F">
        <w:rPr>
          <w:rFonts w:ascii="Arial" w:hAnsi="Arial" w:cs="Arial"/>
          <w:sz w:val="20"/>
          <w:szCs w:val="20"/>
        </w:rPr>
        <w:t xml:space="preserve"> 1990; </w:t>
      </w:r>
      <w:proofErr w:type="spellStart"/>
      <w:r w:rsidRPr="00AE066F">
        <w:rPr>
          <w:rFonts w:ascii="Arial" w:hAnsi="Arial" w:cs="Arial"/>
          <w:sz w:val="20"/>
          <w:szCs w:val="20"/>
        </w:rPr>
        <w:t>Saroniya</w:t>
      </w:r>
      <w:proofErr w:type="spellEnd"/>
      <w:r w:rsidRPr="00AE066F">
        <w:rPr>
          <w:rFonts w:ascii="Arial" w:hAnsi="Arial" w:cs="Arial"/>
          <w:sz w:val="20"/>
          <w:szCs w:val="20"/>
        </w:rPr>
        <w:t xml:space="preserve"> </w:t>
      </w:r>
      <w:r w:rsidRPr="00AE066F">
        <w:rPr>
          <w:rFonts w:ascii="Arial" w:hAnsi="Arial" w:cs="Arial"/>
          <w:i/>
          <w:sz w:val="20"/>
          <w:szCs w:val="20"/>
        </w:rPr>
        <w:t>et al.,</w:t>
      </w:r>
      <w:r w:rsidRPr="00AE066F">
        <w:rPr>
          <w:rFonts w:ascii="Arial" w:hAnsi="Arial" w:cs="Arial"/>
          <w:sz w:val="20"/>
          <w:szCs w:val="20"/>
        </w:rPr>
        <w:t xml:space="preserve"> 2013). Fishes serve as important model systems for comparative chromosome analysis and often exhibit a diploid number of 2n = 50 (Sukham et al., 2013). The chromosomal data for the species studied here are summarised in Table 3.</w:t>
      </w:r>
    </w:p>
    <w:p w14:paraId="73FB3252" w14:textId="77777777" w:rsidR="005C45CB" w:rsidRPr="00AE066F" w:rsidRDefault="00000000">
      <w:pPr>
        <w:spacing w:after="0"/>
        <w:jc w:val="center"/>
      </w:pPr>
      <w:r w:rsidRPr="00AE066F">
        <w:rPr>
          <w:rFonts w:ascii="Arial" w:hAnsi="Arial" w:cs="Arial"/>
          <w:sz w:val="20"/>
          <w:szCs w:val="20"/>
        </w:rPr>
        <w:t xml:space="preserve">Table 3.  Karyotype characteristics in </w:t>
      </w:r>
      <w:proofErr w:type="spellStart"/>
      <w:proofErr w:type="gramStart"/>
      <w:r w:rsidRPr="00AE066F">
        <w:rPr>
          <w:rFonts w:ascii="Arial" w:hAnsi="Arial" w:cs="Arial"/>
          <w:i/>
          <w:iCs/>
          <w:sz w:val="20"/>
          <w:szCs w:val="20"/>
        </w:rPr>
        <w:t>P.sophore</w:t>
      </w:r>
      <w:proofErr w:type="spellEnd"/>
      <w:proofErr w:type="gramEnd"/>
      <w:r w:rsidRPr="00AE066F">
        <w:rPr>
          <w:rFonts w:ascii="Arial" w:hAnsi="Arial" w:cs="Arial"/>
          <w:i/>
          <w:iCs/>
          <w:sz w:val="20"/>
          <w:szCs w:val="20"/>
        </w:rPr>
        <w:t xml:space="preserve"> </w:t>
      </w:r>
      <w:r w:rsidRPr="00AE066F">
        <w:rPr>
          <w:rFonts w:ascii="Arial" w:hAnsi="Arial" w:cs="Arial"/>
          <w:sz w:val="20"/>
          <w:szCs w:val="20"/>
        </w:rPr>
        <w:t>and</w:t>
      </w:r>
      <w:r w:rsidRPr="00AE066F">
        <w:rPr>
          <w:rFonts w:ascii="Arial" w:hAnsi="Arial" w:cs="Arial"/>
          <w:i/>
          <w:iCs/>
          <w:sz w:val="20"/>
          <w:szCs w:val="20"/>
        </w:rPr>
        <w:t xml:space="preserve"> P. </w:t>
      </w:r>
      <w:proofErr w:type="spellStart"/>
      <w:r w:rsidRPr="00AE066F">
        <w:rPr>
          <w:rFonts w:ascii="Arial" w:hAnsi="Arial" w:cs="Arial"/>
          <w:i/>
          <w:iCs/>
          <w:sz w:val="20"/>
          <w:szCs w:val="20"/>
        </w:rPr>
        <w:t>bimaculatus</w:t>
      </w:r>
      <w:proofErr w:type="spellEnd"/>
      <w:r w:rsidRPr="00AE066F">
        <w:rPr>
          <w:rFonts w:ascii="Arial" w:hAnsi="Arial" w:cs="Arial"/>
          <w:sz w:val="20"/>
          <w:szCs w:val="20"/>
        </w:rPr>
        <w:t xml:space="preserve"> from different localities of India.</w:t>
      </w:r>
    </w:p>
    <w:p w14:paraId="06C65A5F" w14:textId="77777777" w:rsidR="005C45CB" w:rsidRPr="00AE066F" w:rsidRDefault="005C45CB">
      <w:pPr>
        <w:spacing w:after="0" w:line="240" w:lineRule="auto"/>
        <w:jc w:val="center"/>
        <w:rPr>
          <w:rFonts w:ascii="Times New Roman" w:hAnsi="Times New Roman"/>
          <w:sz w:val="24"/>
          <w:szCs w:val="24"/>
        </w:rPr>
      </w:pPr>
    </w:p>
    <w:tbl>
      <w:tblPr>
        <w:tblW w:w="9468" w:type="dxa"/>
        <w:tblLayout w:type="fixed"/>
        <w:tblLook w:val="0000" w:firstRow="0" w:lastRow="0" w:firstColumn="0" w:lastColumn="0" w:noHBand="0" w:noVBand="0"/>
      </w:tblPr>
      <w:tblGrid>
        <w:gridCol w:w="1668"/>
        <w:gridCol w:w="1860"/>
        <w:gridCol w:w="1350"/>
        <w:gridCol w:w="1350"/>
        <w:gridCol w:w="1440"/>
        <w:gridCol w:w="1800"/>
      </w:tblGrid>
      <w:tr w:rsidR="005C45CB" w:rsidRPr="00AE066F" w14:paraId="7BAAFDF1" w14:textId="77777777">
        <w:tc>
          <w:tcPr>
            <w:tcW w:w="1668" w:type="dxa"/>
            <w:tcBorders>
              <w:top w:val="single" w:sz="4" w:space="0" w:color="000000"/>
              <w:left w:val="single" w:sz="4" w:space="0" w:color="000000"/>
              <w:bottom w:val="single" w:sz="4" w:space="0" w:color="000000"/>
              <w:right w:val="single" w:sz="4" w:space="0" w:color="000000"/>
            </w:tcBorders>
          </w:tcPr>
          <w:p w14:paraId="02859541" w14:textId="77777777" w:rsidR="005C45CB" w:rsidRPr="00AE066F" w:rsidRDefault="00000000">
            <w:pPr>
              <w:spacing w:after="0" w:line="240" w:lineRule="auto"/>
              <w:jc w:val="center"/>
              <w:rPr>
                <w:rFonts w:ascii="Times New Roman" w:hAnsi="Times New Roman"/>
                <w:sz w:val="20"/>
                <w:szCs w:val="20"/>
                <w:lang w:val="en-IN"/>
              </w:rPr>
            </w:pPr>
            <w:r w:rsidRPr="00AE066F">
              <w:rPr>
                <w:rFonts w:ascii="Times New Roman" w:hAnsi="Times New Roman"/>
                <w:sz w:val="20"/>
                <w:szCs w:val="20"/>
              </w:rPr>
              <w:t>Species name</w:t>
            </w:r>
          </w:p>
        </w:tc>
        <w:tc>
          <w:tcPr>
            <w:tcW w:w="1860" w:type="dxa"/>
            <w:tcBorders>
              <w:top w:val="single" w:sz="4" w:space="0" w:color="000000"/>
              <w:left w:val="single" w:sz="4" w:space="0" w:color="000000"/>
              <w:bottom w:val="single" w:sz="4" w:space="0" w:color="000000"/>
              <w:right w:val="single" w:sz="4" w:space="0" w:color="000000"/>
            </w:tcBorders>
          </w:tcPr>
          <w:p w14:paraId="59BB8E91" w14:textId="77777777" w:rsidR="005C45CB" w:rsidRPr="00AE066F" w:rsidRDefault="00000000">
            <w:pPr>
              <w:spacing w:after="0" w:line="240" w:lineRule="auto"/>
              <w:jc w:val="center"/>
              <w:rPr>
                <w:rFonts w:ascii="Times New Roman" w:hAnsi="Times New Roman"/>
                <w:sz w:val="20"/>
                <w:szCs w:val="20"/>
                <w:lang w:val="en-IN"/>
              </w:rPr>
            </w:pPr>
            <w:r w:rsidRPr="00AE066F">
              <w:rPr>
                <w:rFonts w:ascii="Times New Roman" w:hAnsi="Times New Roman"/>
                <w:sz w:val="20"/>
                <w:szCs w:val="20"/>
              </w:rPr>
              <w:t>Chromosomal formula</w:t>
            </w:r>
          </w:p>
        </w:tc>
        <w:tc>
          <w:tcPr>
            <w:tcW w:w="1350" w:type="dxa"/>
            <w:tcBorders>
              <w:top w:val="single" w:sz="4" w:space="0" w:color="000000"/>
              <w:left w:val="single" w:sz="4" w:space="0" w:color="000000"/>
              <w:bottom w:val="single" w:sz="4" w:space="0" w:color="000000"/>
              <w:right w:val="single" w:sz="4" w:space="0" w:color="000000"/>
            </w:tcBorders>
          </w:tcPr>
          <w:p w14:paraId="0B59341D" w14:textId="77777777" w:rsidR="005C45CB" w:rsidRPr="00AE066F" w:rsidRDefault="00000000">
            <w:pPr>
              <w:spacing w:after="0" w:line="240" w:lineRule="auto"/>
              <w:jc w:val="center"/>
              <w:rPr>
                <w:rFonts w:ascii="Times New Roman" w:hAnsi="Times New Roman"/>
                <w:sz w:val="20"/>
                <w:szCs w:val="20"/>
                <w:lang w:val="en-IN"/>
              </w:rPr>
            </w:pPr>
            <w:proofErr w:type="spellStart"/>
            <w:proofErr w:type="gramStart"/>
            <w:r w:rsidRPr="00AE066F">
              <w:rPr>
                <w:rFonts w:ascii="Times New Roman" w:hAnsi="Times New Roman"/>
                <w:sz w:val="20"/>
                <w:szCs w:val="20"/>
              </w:rPr>
              <w:t>No.of</w:t>
            </w:r>
            <w:proofErr w:type="spellEnd"/>
            <w:proofErr w:type="gramEnd"/>
            <w:r w:rsidRPr="00AE066F">
              <w:rPr>
                <w:rFonts w:ascii="Times New Roman" w:hAnsi="Times New Roman"/>
                <w:sz w:val="20"/>
                <w:szCs w:val="20"/>
              </w:rPr>
              <w:t xml:space="preserve"> chromosomes</w:t>
            </w:r>
          </w:p>
        </w:tc>
        <w:tc>
          <w:tcPr>
            <w:tcW w:w="1350" w:type="dxa"/>
            <w:tcBorders>
              <w:top w:val="single" w:sz="4" w:space="0" w:color="000000"/>
              <w:left w:val="single" w:sz="4" w:space="0" w:color="000000"/>
              <w:bottom w:val="single" w:sz="4" w:space="0" w:color="000000"/>
              <w:right w:val="single" w:sz="4" w:space="0" w:color="000000"/>
            </w:tcBorders>
          </w:tcPr>
          <w:p w14:paraId="7830E212" w14:textId="77777777" w:rsidR="005C45CB" w:rsidRPr="00AE066F" w:rsidRDefault="00000000">
            <w:pPr>
              <w:spacing w:after="0" w:line="240" w:lineRule="auto"/>
              <w:jc w:val="center"/>
              <w:rPr>
                <w:rFonts w:ascii="Times New Roman" w:hAnsi="Times New Roman"/>
                <w:sz w:val="20"/>
                <w:szCs w:val="20"/>
                <w:lang w:val="en-IN"/>
              </w:rPr>
            </w:pPr>
            <w:r w:rsidRPr="00AE066F">
              <w:rPr>
                <w:rFonts w:ascii="Times New Roman" w:hAnsi="Times New Roman"/>
                <w:sz w:val="20"/>
                <w:szCs w:val="20"/>
              </w:rPr>
              <w:t>Fundamental arm number</w:t>
            </w:r>
          </w:p>
        </w:tc>
        <w:tc>
          <w:tcPr>
            <w:tcW w:w="1440" w:type="dxa"/>
            <w:tcBorders>
              <w:top w:val="single" w:sz="4" w:space="0" w:color="000000"/>
              <w:left w:val="single" w:sz="4" w:space="0" w:color="000000"/>
              <w:bottom w:val="single" w:sz="4" w:space="0" w:color="000000"/>
              <w:right w:val="single" w:sz="4" w:space="0" w:color="000000"/>
            </w:tcBorders>
          </w:tcPr>
          <w:p w14:paraId="065DCCD2" w14:textId="77777777" w:rsidR="005C45CB" w:rsidRPr="00AE066F" w:rsidRDefault="00000000">
            <w:pPr>
              <w:spacing w:after="0" w:line="240" w:lineRule="auto"/>
              <w:jc w:val="center"/>
              <w:rPr>
                <w:rFonts w:ascii="Times New Roman" w:hAnsi="Times New Roman"/>
                <w:sz w:val="20"/>
                <w:szCs w:val="20"/>
                <w:lang w:val="en-IN"/>
              </w:rPr>
            </w:pPr>
            <w:r w:rsidRPr="00AE066F">
              <w:rPr>
                <w:rFonts w:ascii="Times New Roman" w:hAnsi="Times New Roman"/>
                <w:sz w:val="20"/>
                <w:szCs w:val="20"/>
              </w:rPr>
              <w:t>Region</w:t>
            </w:r>
          </w:p>
        </w:tc>
        <w:tc>
          <w:tcPr>
            <w:tcW w:w="1800" w:type="dxa"/>
            <w:tcBorders>
              <w:top w:val="single" w:sz="4" w:space="0" w:color="000000"/>
              <w:left w:val="single" w:sz="4" w:space="0" w:color="000000"/>
              <w:bottom w:val="single" w:sz="4" w:space="0" w:color="000000"/>
              <w:right w:val="single" w:sz="4" w:space="0" w:color="000000"/>
            </w:tcBorders>
          </w:tcPr>
          <w:p w14:paraId="57874691" w14:textId="77777777" w:rsidR="005C45CB" w:rsidRPr="00AE066F" w:rsidRDefault="00000000">
            <w:pPr>
              <w:spacing w:after="0" w:line="240" w:lineRule="auto"/>
              <w:jc w:val="center"/>
              <w:rPr>
                <w:rFonts w:ascii="Times New Roman" w:hAnsi="Times New Roman"/>
                <w:sz w:val="20"/>
                <w:szCs w:val="20"/>
                <w:lang w:val="en-IN"/>
              </w:rPr>
            </w:pPr>
            <w:r w:rsidRPr="00AE066F">
              <w:rPr>
                <w:rFonts w:ascii="Times New Roman" w:hAnsi="Times New Roman"/>
                <w:sz w:val="20"/>
                <w:szCs w:val="20"/>
              </w:rPr>
              <w:t>Reference</w:t>
            </w:r>
          </w:p>
        </w:tc>
      </w:tr>
      <w:tr w:rsidR="005C45CB" w:rsidRPr="00AE066F" w14:paraId="10682CE9" w14:textId="77777777">
        <w:tc>
          <w:tcPr>
            <w:tcW w:w="1668" w:type="dxa"/>
            <w:tcBorders>
              <w:top w:val="single" w:sz="4" w:space="0" w:color="000000"/>
              <w:left w:val="single" w:sz="4" w:space="0" w:color="000000"/>
              <w:bottom w:val="single" w:sz="4" w:space="0" w:color="000000"/>
              <w:right w:val="single" w:sz="4" w:space="0" w:color="000000"/>
            </w:tcBorders>
          </w:tcPr>
          <w:p w14:paraId="69DCFB83"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5DA9BF42"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4m+4st+40t</w:t>
            </w:r>
          </w:p>
        </w:tc>
        <w:tc>
          <w:tcPr>
            <w:tcW w:w="1350" w:type="dxa"/>
            <w:tcBorders>
              <w:top w:val="single" w:sz="4" w:space="0" w:color="000000"/>
              <w:left w:val="single" w:sz="4" w:space="0" w:color="000000"/>
              <w:bottom w:val="single" w:sz="4" w:space="0" w:color="000000"/>
              <w:right w:val="single" w:sz="4" w:space="0" w:color="000000"/>
            </w:tcBorders>
          </w:tcPr>
          <w:p w14:paraId="541B2BAE"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48</w:t>
            </w:r>
          </w:p>
        </w:tc>
        <w:tc>
          <w:tcPr>
            <w:tcW w:w="1350" w:type="dxa"/>
            <w:tcBorders>
              <w:top w:val="single" w:sz="4" w:space="0" w:color="000000"/>
              <w:left w:val="single" w:sz="4" w:space="0" w:color="000000"/>
              <w:bottom w:val="single" w:sz="4" w:space="0" w:color="000000"/>
              <w:right w:val="single" w:sz="4" w:space="0" w:color="000000"/>
            </w:tcBorders>
          </w:tcPr>
          <w:p w14:paraId="316790D9"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52</w:t>
            </w:r>
          </w:p>
        </w:tc>
        <w:tc>
          <w:tcPr>
            <w:tcW w:w="1440" w:type="dxa"/>
            <w:tcBorders>
              <w:top w:val="single" w:sz="4" w:space="0" w:color="000000"/>
              <w:left w:val="single" w:sz="4" w:space="0" w:color="000000"/>
              <w:bottom w:val="single" w:sz="4" w:space="0" w:color="000000"/>
              <w:right w:val="single" w:sz="4" w:space="0" w:color="000000"/>
            </w:tcBorders>
          </w:tcPr>
          <w:p w14:paraId="6D2C981D"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West Bengal</w:t>
            </w:r>
          </w:p>
        </w:tc>
        <w:tc>
          <w:tcPr>
            <w:tcW w:w="1800" w:type="dxa"/>
            <w:tcBorders>
              <w:top w:val="single" w:sz="4" w:space="0" w:color="000000"/>
              <w:left w:val="single" w:sz="4" w:space="0" w:color="000000"/>
              <w:bottom w:val="single" w:sz="4" w:space="0" w:color="000000"/>
              <w:right w:val="single" w:sz="4" w:space="0" w:color="000000"/>
            </w:tcBorders>
          </w:tcPr>
          <w:p w14:paraId="62D49515"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Manna and Prasad, 1973</w:t>
            </w:r>
          </w:p>
        </w:tc>
      </w:tr>
      <w:tr w:rsidR="005C45CB" w:rsidRPr="00AE066F" w14:paraId="74AA007C" w14:textId="77777777">
        <w:tc>
          <w:tcPr>
            <w:tcW w:w="1668" w:type="dxa"/>
            <w:tcBorders>
              <w:top w:val="single" w:sz="4" w:space="0" w:color="000000"/>
              <w:left w:val="single" w:sz="4" w:space="0" w:color="000000"/>
              <w:bottom w:val="single" w:sz="4" w:space="0" w:color="000000"/>
              <w:right w:val="single" w:sz="4" w:space="0" w:color="000000"/>
            </w:tcBorders>
          </w:tcPr>
          <w:p w14:paraId="078F97CD"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2ABF4CF2"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4m+2st+42t</w:t>
            </w:r>
          </w:p>
        </w:tc>
        <w:tc>
          <w:tcPr>
            <w:tcW w:w="1350" w:type="dxa"/>
            <w:tcBorders>
              <w:top w:val="single" w:sz="4" w:space="0" w:color="000000"/>
              <w:left w:val="single" w:sz="4" w:space="0" w:color="000000"/>
              <w:bottom w:val="single" w:sz="4" w:space="0" w:color="000000"/>
              <w:right w:val="single" w:sz="4" w:space="0" w:color="000000"/>
            </w:tcBorders>
          </w:tcPr>
          <w:p w14:paraId="07F79F9B"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48</w:t>
            </w:r>
          </w:p>
        </w:tc>
        <w:tc>
          <w:tcPr>
            <w:tcW w:w="1350" w:type="dxa"/>
            <w:tcBorders>
              <w:top w:val="single" w:sz="4" w:space="0" w:color="000000"/>
              <w:left w:val="single" w:sz="4" w:space="0" w:color="000000"/>
              <w:bottom w:val="single" w:sz="4" w:space="0" w:color="000000"/>
              <w:right w:val="single" w:sz="4" w:space="0" w:color="000000"/>
            </w:tcBorders>
          </w:tcPr>
          <w:p w14:paraId="41B2BFEC"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52</w:t>
            </w:r>
          </w:p>
        </w:tc>
        <w:tc>
          <w:tcPr>
            <w:tcW w:w="1440" w:type="dxa"/>
            <w:tcBorders>
              <w:top w:val="single" w:sz="4" w:space="0" w:color="000000"/>
              <w:left w:val="single" w:sz="4" w:space="0" w:color="000000"/>
              <w:bottom w:val="single" w:sz="4" w:space="0" w:color="000000"/>
              <w:right w:val="single" w:sz="4" w:space="0" w:color="000000"/>
            </w:tcBorders>
          </w:tcPr>
          <w:p w14:paraId="01798692"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Haryana</w:t>
            </w:r>
          </w:p>
        </w:tc>
        <w:tc>
          <w:tcPr>
            <w:tcW w:w="1800" w:type="dxa"/>
            <w:tcBorders>
              <w:top w:val="single" w:sz="4" w:space="0" w:color="000000"/>
              <w:left w:val="single" w:sz="4" w:space="0" w:color="000000"/>
              <w:bottom w:val="single" w:sz="4" w:space="0" w:color="000000"/>
              <w:right w:val="single" w:sz="4" w:space="0" w:color="000000"/>
            </w:tcBorders>
          </w:tcPr>
          <w:p w14:paraId="2E2C4D9B"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Rishi and Rishi, 1981</w:t>
            </w:r>
          </w:p>
        </w:tc>
      </w:tr>
      <w:tr w:rsidR="005C45CB" w:rsidRPr="00AE066F" w14:paraId="3B236F97" w14:textId="77777777">
        <w:tc>
          <w:tcPr>
            <w:tcW w:w="1668" w:type="dxa"/>
            <w:tcBorders>
              <w:top w:val="single" w:sz="4" w:space="0" w:color="000000"/>
              <w:left w:val="single" w:sz="4" w:space="0" w:color="000000"/>
              <w:bottom w:val="single" w:sz="4" w:space="0" w:color="000000"/>
              <w:right w:val="single" w:sz="4" w:space="0" w:color="000000"/>
            </w:tcBorders>
          </w:tcPr>
          <w:p w14:paraId="38E17DD6"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3DA54273"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2m+1st+21t</w:t>
            </w:r>
          </w:p>
        </w:tc>
        <w:tc>
          <w:tcPr>
            <w:tcW w:w="1350" w:type="dxa"/>
            <w:tcBorders>
              <w:top w:val="single" w:sz="4" w:space="0" w:color="000000"/>
              <w:left w:val="single" w:sz="4" w:space="0" w:color="000000"/>
              <w:bottom w:val="single" w:sz="4" w:space="0" w:color="000000"/>
              <w:right w:val="single" w:sz="4" w:space="0" w:color="000000"/>
            </w:tcBorders>
          </w:tcPr>
          <w:p w14:paraId="07F3091A"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48</w:t>
            </w:r>
          </w:p>
        </w:tc>
        <w:tc>
          <w:tcPr>
            <w:tcW w:w="1350" w:type="dxa"/>
            <w:tcBorders>
              <w:top w:val="single" w:sz="4" w:space="0" w:color="000000"/>
              <w:left w:val="single" w:sz="4" w:space="0" w:color="000000"/>
              <w:bottom w:val="single" w:sz="4" w:space="0" w:color="000000"/>
              <w:right w:val="single" w:sz="4" w:space="0" w:color="000000"/>
            </w:tcBorders>
          </w:tcPr>
          <w:p w14:paraId="11B0DD53"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52</w:t>
            </w:r>
          </w:p>
        </w:tc>
        <w:tc>
          <w:tcPr>
            <w:tcW w:w="1440" w:type="dxa"/>
            <w:tcBorders>
              <w:top w:val="single" w:sz="4" w:space="0" w:color="000000"/>
              <w:left w:val="single" w:sz="4" w:space="0" w:color="000000"/>
              <w:bottom w:val="single" w:sz="4" w:space="0" w:color="000000"/>
              <w:right w:val="single" w:sz="4" w:space="0" w:color="000000"/>
            </w:tcBorders>
          </w:tcPr>
          <w:p w14:paraId="49277971" w14:textId="77777777" w:rsidR="005C45CB" w:rsidRPr="00AE066F" w:rsidRDefault="00000000">
            <w:pPr>
              <w:spacing w:after="0" w:line="240" w:lineRule="auto"/>
              <w:jc w:val="both"/>
              <w:rPr>
                <w:rFonts w:ascii="Times New Roman" w:hAnsi="Times New Roman"/>
                <w:sz w:val="20"/>
                <w:szCs w:val="20"/>
                <w:lang w:val="en-IN"/>
              </w:rPr>
            </w:pPr>
            <w:proofErr w:type="spellStart"/>
            <w:r w:rsidRPr="00AE066F">
              <w:rPr>
                <w:rFonts w:ascii="Times New Roman" w:hAnsi="Times New Roman"/>
                <w:sz w:val="20"/>
                <w:szCs w:val="20"/>
              </w:rPr>
              <w:t>Madyapradesh</w:t>
            </w:r>
            <w:proofErr w:type="spellEnd"/>
          </w:p>
        </w:tc>
        <w:tc>
          <w:tcPr>
            <w:tcW w:w="1800" w:type="dxa"/>
            <w:tcBorders>
              <w:top w:val="single" w:sz="4" w:space="0" w:color="000000"/>
              <w:left w:val="single" w:sz="4" w:space="0" w:color="000000"/>
              <w:bottom w:val="single" w:sz="4" w:space="0" w:color="000000"/>
              <w:right w:val="single" w:sz="4" w:space="0" w:color="000000"/>
            </w:tcBorders>
          </w:tcPr>
          <w:p w14:paraId="0A6AB80D" w14:textId="77777777" w:rsidR="005C45CB" w:rsidRPr="00AE066F" w:rsidRDefault="00000000">
            <w:pPr>
              <w:spacing w:after="0" w:line="240" w:lineRule="auto"/>
              <w:jc w:val="both"/>
              <w:rPr>
                <w:rFonts w:ascii="Times New Roman" w:hAnsi="Times New Roman"/>
                <w:sz w:val="20"/>
                <w:szCs w:val="20"/>
                <w:lang w:val="en-IN"/>
              </w:rPr>
            </w:pPr>
            <w:proofErr w:type="spellStart"/>
            <w:r w:rsidRPr="00AE066F">
              <w:rPr>
                <w:rFonts w:ascii="Times New Roman" w:hAnsi="Times New Roman"/>
                <w:sz w:val="20"/>
                <w:szCs w:val="20"/>
              </w:rPr>
              <w:t>Saroniya</w:t>
            </w:r>
            <w:proofErr w:type="spellEnd"/>
            <w:r w:rsidRPr="00AE066F">
              <w:rPr>
                <w:rFonts w:ascii="Times New Roman" w:hAnsi="Times New Roman"/>
                <w:sz w:val="20"/>
                <w:szCs w:val="20"/>
              </w:rPr>
              <w:t xml:space="preserve"> </w:t>
            </w:r>
            <w:r w:rsidRPr="00AE066F">
              <w:rPr>
                <w:rFonts w:ascii="Times New Roman" w:hAnsi="Times New Roman"/>
                <w:i/>
                <w:iCs/>
                <w:sz w:val="20"/>
                <w:szCs w:val="20"/>
              </w:rPr>
              <w:t>et al</w:t>
            </w:r>
            <w:r w:rsidRPr="00AE066F">
              <w:rPr>
                <w:rFonts w:ascii="Times New Roman" w:hAnsi="Times New Roman"/>
                <w:sz w:val="20"/>
                <w:szCs w:val="20"/>
              </w:rPr>
              <w:t>., 2013)</w:t>
            </w:r>
          </w:p>
        </w:tc>
      </w:tr>
      <w:tr w:rsidR="005C45CB" w:rsidRPr="00AE066F" w14:paraId="3F5A8C96" w14:textId="77777777">
        <w:tc>
          <w:tcPr>
            <w:tcW w:w="1668" w:type="dxa"/>
            <w:tcBorders>
              <w:top w:val="single" w:sz="4" w:space="0" w:color="000000"/>
              <w:left w:val="single" w:sz="4" w:space="0" w:color="000000"/>
              <w:bottom w:val="single" w:sz="4" w:space="0" w:color="000000"/>
              <w:right w:val="single" w:sz="4" w:space="0" w:color="000000"/>
            </w:tcBorders>
          </w:tcPr>
          <w:p w14:paraId="597CB56B"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2048A13D"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2m+4sm+44t</w:t>
            </w:r>
          </w:p>
        </w:tc>
        <w:tc>
          <w:tcPr>
            <w:tcW w:w="1350" w:type="dxa"/>
            <w:tcBorders>
              <w:top w:val="single" w:sz="4" w:space="0" w:color="000000"/>
              <w:left w:val="single" w:sz="4" w:space="0" w:color="000000"/>
              <w:bottom w:val="single" w:sz="4" w:space="0" w:color="000000"/>
              <w:right w:val="single" w:sz="4" w:space="0" w:color="000000"/>
            </w:tcBorders>
          </w:tcPr>
          <w:p w14:paraId="1D5E730F"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50</w:t>
            </w:r>
          </w:p>
        </w:tc>
        <w:tc>
          <w:tcPr>
            <w:tcW w:w="1350" w:type="dxa"/>
            <w:tcBorders>
              <w:top w:val="single" w:sz="4" w:space="0" w:color="000000"/>
              <w:left w:val="single" w:sz="4" w:space="0" w:color="000000"/>
              <w:bottom w:val="single" w:sz="4" w:space="0" w:color="000000"/>
              <w:right w:val="single" w:sz="4" w:space="0" w:color="000000"/>
            </w:tcBorders>
          </w:tcPr>
          <w:p w14:paraId="4B70CE61"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54</w:t>
            </w:r>
          </w:p>
        </w:tc>
        <w:tc>
          <w:tcPr>
            <w:tcW w:w="1440" w:type="dxa"/>
            <w:tcBorders>
              <w:top w:val="single" w:sz="4" w:space="0" w:color="000000"/>
              <w:left w:val="single" w:sz="4" w:space="0" w:color="000000"/>
              <w:bottom w:val="single" w:sz="4" w:space="0" w:color="000000"/>
              <w:right w:val="single" w:sz="4" w:space="0" w:color="000000"/>
            </w:tcBorders>
          </w:tcPr>
          <w:p w14:paraId="41AA4777"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West Bengal</w:t>
            </w:r>
          </w:p>
        </w:tc>
        <w:tc>
          <w:tcPr>
            <w:tcW w:w="1800" w:type="dxa"/>
            <w:tcBorders>
              <w:top w:val="single" w:sz="4" w:space="0" w:color="000000"/>
              <w:left w:val="single" w:sz="4" w:space="0" w:color="000000"/>
              <w:bottom w:val="single" w:sz="4" w:space="0" w:color="000000"/>
              <w:right w:val="single" w:sz="4" w:space="0" w:color="000000"/>
            </w:tcBorders>
          </w:tcPr>
          <w:p w14:paraId="3C846D1C"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Barat, 1985</w:t>
            </w:r>
          </w:p>
        </w:tc>
      </w:tr>
      <w:tr w:rsidR="005C45CB" w:rsidRPr="00AE066F" w14:paraId="6BD56EB8" w14:textId="77777777">
        <w:tc>
          <w:tcPr>
            <w:tcW w:w="1668" w:type="dxa"/>
            <w:tcBorders>
              <w:top w:val="single" w:sz="4" w:space="0" w:color="000000"/>
              <w:left w:val="single" w:sz="4" w:space="0" w:color="000000"/>
              <w:bottom w:val="single" w:sz="4" w:space="0" w:color="000000"/>
              <w:right w:val="single" w:sz="4" w:space="0" w:color="000000"/>
            </w:tcBorders>
          </w:tcPr>
          <w:p w14:paraId="0FD01FED"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3E657AE0"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2m+46t</w:t>
            </w:r>
          </w:p>
        </w:tc>
        <w:tc>
          <w:tcPr>
            <w:tcW w:w="1350" w:type="dxa"/>
            <w:tcBorders>
              <w:top w:val="single" w:sz="4" w:space="0" w:color="000000"/>
              <w:left w:val="single" w:sz="4" w:space="0" w:color="000000"/>
              <w:bottom w:val="single" w:sz="4" w:space="0" w:color="000000"/>
              <w:right w:val="single" w:sz="4" w:space="0" w:color="000000"/>
            </w:tcBorders>
          </w:tcPr>
          <w:p w14:paraId="5627AA8E"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48</w:t>
            </w:r>
          </w:p>
        </w:tc>
        <w:tc>
          <w:tcPr>
            <w:tcW w:w="1350" w:type="dxa"/>
            <w:tcBorders>
              <w:top w:val="single" w:sz="4" w:space="0" w:color="000000"/>
              <w:left w:val="single" w:sz="4" w:space="0" w:color="000000"/>
              <w:bottom w:val="single" w:sz="4" w:space="0" w:color="000000"/>
              <w:right w:val="single" w:sz="4" w:space="0" w:color="000000"/>
            </w:tcBorders>
          </w:tcPr>
          <w:p w14:paraId="4AC6F8DB"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50</w:t>
            </w:r>
          </w:p>
        </w:tc>
        <w:tc>
          <w:tcPr>
            <w:tcW w:w="1440" w:type="dxa"/>
            <w:tcBorders>
              <w:top w:val="single" w:sz="4" w:space="0" w:color="000000"/>
              <w:left w:val="single" w:sz="4" w:space="0" w:color="000000"/>
              <w:bottom w:val="single" w:sz="4" w:space="0" w:color="000000"/>
              <w:right w:val="single" w:sz="4" w:space="0" w:color="000000"/>
            </w:tcBorders>
          </w:tcPr>
          <w:p w14:paraId="4E45B948"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Orissa</w:t>
            </w:r>
          </w:p>
        </w:tc>
        <w:tc>
          <w:tcPr>
            <w:tcW w:w="1800" w:type="dxa"/>
            <w:tcBorders>
              <w:top w:val="single" w:sz="4" w:space="0" w:color="000000"/>
              <w:left w:val="single" w:sz="4" w:space="0" w:color="000000"/>
              <w:bottom w:val="single" w:sz="4" w:space="0" w:color="000000"/>
              <w:right w:val="single" w:sz="4" w:space="0" w:color="000000"/>
            </w:tcBorders>
          </w:tcPr>
          <w:p w14:paraId="63E1E32F"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Biswal et al., 2010</w:t>
            </w:r>
          </w:p>
        </w:tc>
      </w:tr>
      <w:tr w:rsidR="005C45CB" w:rsidRPr="00AE066F" w14:paraId="60339393" w14:textId="77777777">
        <w:tc>
          <w:tcPr>
            <w:tcW w:w="1668" w:type="dxa"/>
            <w:tcBorders>
              <w:top w:val="single" w:sz="4" w:space="0" w:color="000000"/>
              <w:left w:val="single" w:sz="4" w:space="0" w:color="000000"/>
              <w:bottom w:val="single" w:sz="4" w:space="0" w:color="000000"/>
              <w:right w:val="single" w:sz="4" w:space="0" w:color="000000"/>
            </w:tcBorders>
          </w:tcPr>
          <w:p w14:paraId="76057137"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49D54C3B"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2m+1st+21t</w:t>
            </w:r>
          </w:p>
        </w:tc>
        <w:tc>
          <w:tcPr>
            <w:tcW w:w="1350" w:type="dxa"/>
            <w:tcBorders>
              <w:top w:val="single" w:sz="4" w:space="0" w:color="000000"/>
              <w:left w:val="single" w:sz="4" w:space="0" w:color="000000"/>
              <w:bottom w:val="single" w:sz="4" w:space="0" w:color="000000"/>
              <w:right w:val="single" w:sz="4" w:space="0" w:color="000000"/>
            </w:tcBorders>
          </w:tcPr>
          <w:p w14:paraId="16DA5A03"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48</w:t>
            </w:r>
          </w:p>
        </w:tc>
        <w:tc>
          <w:tcPr>
            <w:tcW w:w="1350" w:type="dxa"/>
            <w:tcBorders>
              <w:top w:val="single" w:sz="4" w:space="0" w:color="000000"/>
              <w:left w:val="single" w:sz="4" w:space="0" w:color="000000"/>
              <w:bottom w:val="single" w:sz="4" w:space="0" w:color="000000"/>
              <w:right w:val="single" w:sz="4" w:space="0" w:color="000000"/>
            </w:tcBorders>
          </w:tcPr>
          <w:p w14:paraId="51BBF21E"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54</w:t>
            </w:r>
          </w:p>
        </w:tc>
        <w:tc>
          <w:tcPr>
            <w:tcW w:w="1440" w:type="dxa"/>
            <w:tcBorders>
              <w:top w:val="single" w:sz="4" w:space="0" w:color="000000"/>
              <w:left w:val="single" w:sz="4" w:space="0" w:color="000000"/>
              <w:bottom w:val="single" w:sz="4" w:space="0" w:color="000000"/>
              <w:right w:val="single" w:sz="4" w:space="0" w:color="000000"/>
            </w:tcBorders>
          </w:tcPr>
          <w:p w14:paraId="32443840"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Assam</w:t>
            </w:r>
          </w:p>
        </w:tc>
        <w:tc>
          <w:tcPr>
            <w:tcW w:w="1800" w:type="dxa"/>
            <w:tcBorders>
              <w:top w:val="single" w:sz="4" w:space="0" w:color="000000"/>
              <w:left w:val="single" w:sz="4" w:space="0" w:color="000000"/>
              <w:bottom w:val="single" w:sz="4" w:space="0" w:color="000000"/>
              <w:right w:val="single" w:sz="4" w:space="0" w:color="000000"/>
            </w:tcBorders>
          </w:tcPr>
          <w:p w14:paraId="7E2EB06F"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 xml:space="preserve">Talukdar </w:t>
            </w:r>
            <w:r w:rsidRPr="00AE066F">
              <w:rPr>
                <w:rFonts w:ascii="Times New Roman" w:hAnsi="Times New Roman"/>
                <w:i/>
                <w:iCs/>
                <w:sz w:val="20"/>
                <w:szCs w:val="20"/>
              </w:rPr>
              <w:t>et al</w:t>
            </w:r>
            <w:r w:rsidRPr="00AE066F">
              <w:rPr>
                <w:rFonts w:ascii="Times New Roman" w:hAnsi="Times New Roman"/>
                <w:sz w:val="20"/>
                <w:szCs w:val="20"/>
              </w:rPr>
              <w:t>., 2016</w:t>
            </w:r>
          </w:p>
        </w:tc>
      </w:tr>
      <w:tr w:rsidR="005C45CB" w:rsidRPr="00AE066F" w14:paraId="241F60C3" w14:textId="77777777">
        <w:tc>
          <w:tcPr>
            <w:tcW w:w="1668" w:type="dxa"/>
            <w:tcBorders>
              <w:top w:val="single" w:sz="4" w:space="0" w:color="000000"/>
              <w:left w:val="single" w:sz="4" w:space="0" w:color="000000"/>
              <w:bottom w:val="single" w:sz="4" w:space="0" w:color="000000"/>
              <w:right w:val="single" w:sz="4" w:space="0" w:color="000000"/>
            </w:tcBorders>
          </w:tcPr>
          <w:p w14:paraId="35B154FB"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P.sophore</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6F15EE35"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8m+2sm+26st+14t</w:t>
            </w:r>
          </w:p>
        </w:tc>
        <w:tc>
          <w:tcPr>
            <w:tcW w:w="1350" w:type="dxa"/>
            <w:tcBorders>
              <w:top w:val="single" w:sz="4" w:space="0" w:color="000000"/>
              <w:left w:val="single" w:sz="4" w:space="0" w:color="000000"/>
              <w:bottom w:val="single" w:sz="4" w:space="0" w:color="000000"/>
              <w:right w:val="single" w:sz="4" w:space="0" w:color="000000"/>
            </w:tcBorders>
          </w:tcPr>
          <w:p w14:paraId="37605CF8"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50</w:t>
            </w:r>
          </w:p>
        </w:tc>
        <w:tc>
          <w:tcPr>
            <w:tcW w:w="1350" w:type="dxa"/>
            <w:tcBorders>
              <w:top w:val="single" w:sz="4" w:space="0" w:color="000000"/>
              <w:left w:val="single" w:sz="4" w:space="0" w:color="000000"/>
              <w:bottom w:val="single" w:sz="4" w:space="0" w:color="000000"/>
              <w:right w:val="single" w:sz="4" w:space="0" w:color="000000"/>
            </w:tcBorders>
          </w:tcPr>
          <w:p w14:paraId="06DB575C"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60</w:t>
            </w:r>
          </w:p>
        </w:tc>
        <w:tc>
          <w:tcPr>
            <w:tcW w:w="1440" w:type="dxa"/>
            <w:tcBorders>
              <w:top w:val="single" w:sz="4" w:space="0" w:color="000000"/>
              <w:left w:val="single" w:sz="4" w:space="0" w:color="000000"/>
              <w:bottom w:val="single" w:sz="4" w:space="0" w:color="000000"/>
              <w:right w:val="single" w:sz="4" w:space="0" w:color="000000"/>
            </w:tcBorders>
          </w:tcPr>
          <w:p w14:paraId="27B31FEB" w14:textId="77777777" w:rsidR="005C45CB" w:rsidRPr="00AE066F" w:rsidRDefault="00000000">
            <w:pPr>
              <w:spacing w:after="0" w:line="240" w:lineRule="auto"/>
              <w:jc w:val="both"/>
              <w:rPr>
                <w:rFonts w:ascii="Times New Roman" w:hAnsi="Times New Roman"/>
                <w:sz w:val="20"/>
                <w:szCs w:val="20"/>
                <w:lang w:val="en-IN"/>
              </w:rPr>
            </w:pPr>
            <w:proofErr w:type="spellStart"/>
            <w:r w:rsidRPr="00AE066F">
              <w:rPr>
                <w:rFonts w:ascii="Times New Roman" w:hAnsi="Times New Roman"/>
                <w:sz w:val="20"/>
                <w:szCs w:val="20"/>
              </w:rPr>
              <w:t>Gadana</w:t>
            </w:r>
            <w:proofErr w:type="spellEnd"/>
            <w:r w:rsidRPr="00AE066F">
              <w:rPr>
                <w:rFonts w:ascii="Times New Roman" w:hAnsi="Times New Roman"/>
                <w:sz w:val="20"/>
                <w:szCs w:val="20"/>
              </w:rPr>
              <w:t xml:space="preserve"> River, Tamil Nadu</w:t>
            </w:r>
          </w:p>
        </w:tc>
        <w:tc>
          <w:tcPr>
            <w:tcW w:w="1800" w:type="dxa"/>
            <w:tcBorders>
              <w:top w:val="single" w:sz="4" w:space="0" w:color="000000"/>
              <w:left w:val="single" w:sz="4" w:space="0" w:color="000000"/>
              <w:bottom w:val="single" w:sz="4" w:space="0" w:color="000000"/>
              <w:right w:val="single" w:sz="4" w:space="0" w:color="000000"/>
            </w:tcBorders>
          </w:tcPr>
          <w:p w14:paraId="1DDC3664"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Present study</w:t>
            </w:r>
          </w:p>
        </w:tc>
      </w:tr>
      <w:tr w:rsidR="005C45CB" w:rsidRPr="00AE066F" w14:paraId="21CD9DD5" w14:textId="77777777">
        <w:tc>
          <w:tcPr>
            <w:tcW w:w="1668" w:type="dxa"/>
            <w:tcBorders>
              <w:top w:val="single" w:sz="4" w:space="0" w:color="000000"/>
              <w:left w:val="single" w:sz="4" w:space="0" w:color="000000"/>
              <w:bottom w:val="single" w:sz="4" w:space="0" w:color="000000"/>
              <w:right w:val="single" w:sz="4" w:space="0" w:color="000000"/>
            </w:tcBorders>
          </w:tcPr>
          <w:p w14:paraId="62CFE8C9" w14:textId="77777777" w:rsidR="005C45CB" w:rsidRPr="00AE066F" w:rsidRDefault="00000000">
            <w:pPr>
              <w:spacing w:after="0" w:line="240" w:lineRule="auto"/>
              <w:jc w:val="both"/>
              <w:rPr>
                <w:rFonts w:ascii="Times New Roman" w:hAnsi="Times New Roman"/>
                <w:i/>
                <w:sz w:val="20"/>
                <w:szCs w:val="20"/>
                <w:lang w:val="en-IN"/>
              </w:rPr>
            </w:pPr>
            <w:proofErr w:type="spellStart"/>
            <w:proofErr w:type="gramStart"/>
            <w:r w:rsidRPr="00AE066F">
              <w:rPr>
                <w:rFonts w:ascii="Times New Roman" w:hAnsi="Times New Roman"/>
                <w:i/>
                <w:sz w:val="20"/>
                <w:szCs w:val="20"/>
              </w:rPr>
              <w:t>P.bimaculatus</w:t>
            </w:r>
            <w:proofErr w:type="spellEnd"/>
            <w:proofErr w:type="gramEnd"/>
          </w:p>
        </w:tc>
        <w:tc>
          <w:tcPr>
            <w:tcW w:w="1860" w:type="dxa"/>
            <w:tcBorders>
              <w:top w:val="single" w:sz="4" w:space="0" w:color="000000"/>
              <w:left w:val="single" w:sz="4" w:space="0" w:color="000000"/>
              <w:bottom w:val="single" w:sz="4" w:space="0" w:color="000000"/>
              <w:right w:val="single" w:sz="4" w:space="0" w:color="000000"/>
            </w:tcBorders>
          </w:tcPr>
          <w:p w14:paraId="5D225FF4"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28m+22t</w:t>
            </w:r>
          </w:p>
        </w:tc>
        <w:tc>
          <w:tcPr>
            <w:tcW w:w="1350" w:type="dxa"/>
            <w:tcBorders>
              <w:top w:val="single" w:sz="4" w:space="0" w:color="000000"/>
              <w:left w:val="single" w:sz="4" w:space="0" w:color="000000"/>
              <w:bottom w:val="single" w:sz="4" w:space="0" w:color="000000"/>
              <w:right w:val="single" w:sz="4" w:space="0" w:color="000000"/>
            </w:tcBorders>
          </w:tcPr>
          <w:p w14:paraId="0AC7F3ED"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50</w:t>
            </w:r>
          </w:p>
        </w:tc>
        <w:tc>
          <w:tcPr>
            <w:tcW w:w="1350" w:type="dxa"/>
            <w:tcBorders>
              <w:top w:val="single" w:sz="4" w:space="0" w:color="000000"/>
              <w:left w:val="single" w:sz="4" w:space="0" w:color="000000"/>
              <w:bottom w:val="single" w:sz="4" w:space="0" w:color="000000"/>
              <w:right w:val="single" w:sz="4" w:space="0" w:color="000000"/>
            </w:tcBorders>
          </w:tcPr>
          <w:p w14:paraId="33E58E3C"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78</w:t>
            </w:r>
          </w:p>
        </w:tc>
        <w:tc>
          <w:tcPr>
            <w:tcW w:w="1440" w:type="dxa"/>
            <w:tcBorders>
              <w:top w:val="single" w:sz="4" w:space="0" w:color="000000"/>
              <w:left w:val="single" w:sz="4" w:space="0" w:color="000000"/>
              <w:bottom w:val="single" w:sz="4" w:space="0" w:color="000000"/>
              <w:right w:val="single" w:sz="4" w:space="0" w:color="000000"/>
            </w:tcBorders>
          </w:tcPr>
          <w:p w14:paraId="088E640C" w14:textId="77777777" w:rsidR="005C45CB" w:rsidRPr="00AE066F" w:rsidRDefault="00000000">
            <w:pPr>
              <w:spacing w:after="0" w:line="240" w:lineRule="auto"/>
              <w:jc w:val="both"/>
              <w:rPr>
                <w:rFonts w:ascii="Times New Roman" w:hAnsi="Times New Roman"/>
                <w:sz w:val="20"/>
                <w:szCs w:val="20"/>
              </w:rPr>
            </w:pPr>
            <w:proofErr w:type="spellStart"/>
            <w:r w:rsidRPr="00AE066F">
              <w:rPr>
                <w:rFonts w:ascii="Times New Roman" w:hAnsi="Times New Roman"/>
                <w:sz w:val="20"/>
                <w:szCs w:val="20"/>
              </w:rPr>
              <w:t>Gadana</w:t>
            </w:r>
            <w:proofErr w:type="spellEnd"/>
            <w:r w:rsidRPr="00AE066F">
              <w:rPr>
                <w:rFonts w:ascii="Times New Roman" w:hAnsi="Times New Roman"/>
                <w:sz w:val="20"/>
                <w:szCs w:val="20"/>
              </w:rPr>
              <w:t xml:space="preserve"> River</w:t>
            </w:r>
          </w:p>
          <w:p w14:paraId="59A0E870"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Tamil Nadu</w:t>
            </w:r>
          </w:p>
        </w:tc>
        <w:tc>
          <w:tcPr>
            <w:tcW w:w="1800" w:type="dxa"/>
            <w:tcBorders>
              <w:top w:val="single" w:sz="4" w:space="0" w:color="000000"/>
              <w:left w:val="single" w:sz="4" w:space="0" w:color="000000"/>
              <w:bottom w:val="single" w:sz="4" w:space="0" w:color="000000"/>
              <w:right w:val="single" w:sz="4" w:space="0" w:color="000000"/>
            </w:tcBorders>
          </w:tcPr>
          <w:p w14:paraId="0D0206DA" w14:textId="77777777" w:rsidR="005C45CB" w:rsidRPr="00AE066F" w:rsidRDefault="00000000">
            <w:pPr>
              <w:spacing w:after="0" w:line="240" w:lineRule="auto"/>
              <w:jc w:val="both"/>
              <w:rPr>
                <w:rFonts w:ascii="Times New Roman" w:hAnsi="Times New Roman"/>
                <w:sz w:val="20"/>
                <w:szCs w:val="20"/>
                <w:lang w:val="en-IN"/>
              </w:rPr>
            </w:pPr>
            <w:r w:rsidRPr="00AE066F">
              <w:rPr>
                <w:rFonts w:ascii="Times New Roman" w:hAnsi="Times New Roman"/>
                <w:sz w:val="20"/>
                <w:szCs w:val="20"/>
              </w:rPr>
              <w:t>Present study</w:t>
            </w:r>
          </w:p>
        </w:tc>
      </w:tr>
    </w:tbl>
    <w:p w14:paraId="682CB68A" w14:textId="77777777" w:rsidR="005C45CB" w:rsidRPr="00AE066F" w:rsidRDefault="005C45CB">
      <w:pPr>
        <w:spacing w:after="0" w:line="240" w:lineRule="auto"/>
        <w:jc w:val="both"/>
        <w:rPr>
          <w:rFonts w:ascii="Times New Roman" w:hAnsi="Times New Roman"/>
          <w:b/>
          <w:sz w:val="24"/>
          <w:szCs w:val="24"/>
          <w:lang w:val="en-IN"/>
        </w:rPr>
      </w:pPr>
    </w:p>
    <w:p w14:paraId="1663B4E3" w14:textId="77777777" w:rsidR="005C45CB" w:rsidRPr="00AE066F" w:rsidRDefault="005C45CB">
      <w:pPr>
        <w:spacing w:after="0" w:line="240" w:lineRule="auto"/>
        <w:jc w:val="both"/>
        <w:rPr>
          <w:rFonts w:ascii="Times New Roman" w:hAnsi="Times New Roman"/>
          <w:b/>
          <w:sz w:val="24"/>
          <w:szCs w:val="24"/>
          <w:lang w:val="en-IN"/>
        </w:rPr>
      </w:pPr>
    </w:p>
    <w:p w14:paraId="0A1F1966" w14:textId="77777777" w:rsidR="005C45CB" w:rsidRPr="00AE066F" w:rsidRDefault="00000000">
      <w:pPr>
        <w:spacing w:after="0" w:line="360" w:lineRule="auto"/>
        <w:ind w:firstLine="720"/>
        <w:jc w:val="both"/>
      </w:pPr>
      <w:r w:rsidRPr="00AE066F">
        <w:rPr>
          <w:rFonts w:ascii="Arial" w:hAnsi="Arial" w:cs="Arial"/>
          <w:sz w:val="20"/>
          <w:szCs w:val="20"/>
        </w:rPr>
        <w:t xml:space="preserve">In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the chromosome complement includes 2–8 metacentric, 2–4 submetacentric, 1–26 </w:t>
      </w:r>
      <w:proofErr w:type="spellStart"/>
      <w:r w:rsidRPr="00AE066F">
        <w:rPr>
          <w:rFonts w:ascii="Arial" w:hAnsi="Arial" w:cs="Arial"/>
          <w:sz w:val="20"/>
          <w:szCs w:val="20"/>
        </w:rPr>
        <w:t>subtelocentric</w:t>
      </w:r>
      <w:proofErr w:type="spellEnd"/>
      <w:r w:rsidRPr="00AE066F">
        <w:rPr>
          <w:rFonts w:ascii="Arial" w:hAnsi="Arial" w:cs="Arial"/>
          <w:sz w:val="20"/>
          <w:szCs w:val="20"/>
        </w:rPr>
        <w:t xml:space="preserve">, and 14–46 telocentric chromosomes, with differences also observed among the chromosomal formulae. The fundamental arm number for this species varies among the reported values of 50, 52, 54, and 60. A decrease in the number of metacentric chromosomes alongside an increase in </w:t>
      </w:r>
      <w:proofErr w:type="spellStart"/>
      <w:r w:rsidRPr="00AE066F">
        <w:rPr>
          <w:rFonts w:ascii="Arial" w:hAnsi="Arial" w:cs="Arial"/>
          <w:sz w:val="20"/>
          <w:szCs w:val="20"/>
        </w:rPr>
        <w:t>subtelocentric</w:t>
      </w:r>
      <w:proofErr w:type="spellEnd"/>
      <w:r w:rsidRPr="00AE066F">
        <w:rPr>
          <w:rFonts w:ascii="Arial" w:hAnsi="Arial" w:cs="Arial"/>
          <w:sz w:val="20"/>
          <w:szCs w:val="20"/>
        </w:rPr>
        <w:t xml:space="preserve"> chromosomes in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is consistent with the pattern observed in </w:t>
      </w:r>
      <w:proofErr w:type="spellStart"/>
      <w:r w:rsidRPr="00AE066F">
        <w:rPr>
          <w:rFonts w:ascii="Arial" w:hAnsi="Arial" w:cs="Arial"/>
          <w:i/>
          <w:iCs/>
          <w:sz w:val="20"/>
          <w:szCs w:val="20"/>
        </w:rPr>
        <w:t>Erythrinus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erythrinus</w:t>
      </w:r>
      <w:proofErr w:type="spellEnd"/>
      <w:r w:rsidRPr="00AE066F">
        <w:rPr>
          <w:rFonts w:ascii="Arial" w:hAnsi="Arial" w:cs="Arial"/>
          <w:sz w:val="20"/>
          <w:szCs w:val="20"/>
        </w:rPr>
        <w:t xml:space="preserve"> (Bertollo </w:t>
      </w:r>
      <w:r w:rsidRPr="00AE066F">
        <w:rPr>
          <w:rFonts w:ascii="Arial" w:hAnsi="Arial" w:cs="Arial"/>
          <w:i/>
          <w:sz w:val="20"/>
          <w:szCs w:val="20"/>
        </w:rPr>
        <w:t>et al.,</w:t>
      </w:r>
      <w:r w:rsidRPr="00AE066F">
        <w:rPr>
          <w:rFonts w:ascii="Arial" w:hAnsi="Arial" w:cs="Arial"/>
          <w:sz w:val="20"/>
          <w:szCs w:val="20"/>
        </w:rPr>
        <w:t xml:space="preserve"> 2004).</w:t>
      </w:r>
    </w:p>
    <w:p w14:paraId="661E029E" w14:textId="77777777" w:rsidR="005C45CB" w:rsidRPr="00AE066F" w:rsidRDefault="00000000">
      <w:pPr>
        <w:spacing w:after="0" w:line="360" w:lineRule="auto"/>
        <w:ind w:firstLine="720"/>
        <w:jc w:val="both"/>
      </w:pPr>
      <w:r w:rsidRPr="00AE066F">
        <w:rPr>
          <w:rFonts w:ascii="Arial" w:hAnsi="Arial" w:cs="Arial"/>
          <w:sz w:val="20"/>
          <w:szCs w:val="20"/>
        </w:rPr>
        <w:t>The ability of an organism to adapt to different environments depends on the potential of its genome, and documenting chromosomes provides a record of its adaptation to habitats such as streams and wetlands (</w:t>
      </w:r>
      <w:proofErr w:type="spellStart"/>
      <w:r w:rsidRPr="00AE066F">
        <w:rPr>
          <w:rFonts w:ascii="Arial" w:hAnsi="Arial" w:cs="Arial"/>
          <w:sz w:val="20"/>
          <w:szCs w:val="20"/>
        </w:rPr>
        <w:t>Shanthipreya</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2016). Chromosome number and structure have been correlated with various morphological and environmental traits, leading to habitat divergence and adaptation (Hoffmann &amp; </w:t>
      </w:r>
      <w:proofErr w:type="spellStart"/>
      <w:r w:rsidRPr="00AE066F">
        <w:rPr>
          <w:rFonts w:ascii="Arial" w:hAnsi="Arial" w:cs="Arial"/>
          <w:sz w:val="20"/>
          <w:szCs w:val="20"/>
        </w:rPr>
        <w:t>Rieseberg</w:t>
      </w:r>
      <w:proofErr w:type="spellEnd"/>
      <w:r w:rsidRPr="00AE066F">
        <w:rPr>
          <w:rFonts w:ascii="Arial" w:hAnsi="Arial" w:cs="Arial"/>
          <w:sz w:val="20"/>
          <w:szCs w:val="20"/>
        </w:rPr>
        <w:t>, 2008; Barat &amp; Sahoo, 2001).</w:t>
      </w:r>
      <w:r w:rsidRPr="00AE066F">
        <w:rPr>
          <w:rFonts w:ascii="Arial" w:hAnsi="Arial" w:cs="Arial"/>
          <w:color w:val="EE0000"/>
          <w:sz w:val="20"/>
          <w:szCs w:val="20"/>
        </w:rPr>
        <w:t xml:space="preserve"> I</w:t>
      </w:r>
      <w:r w:rsidRPr="00AE066F">
        <w:rPr>
          <w:rFonts w:ascii="Arial" w:hAnsi="Arial" w:cs="Arial"/>
          <w:sz w:val="20"/>
          <w:szCs w:val="20"/>
        </w:rPr>
        <w:t xml:space="preserve">nherited genetic diversity reflects meiotic crossing-over events and the rearrangement of genes within chromosomes. The centromere </w:t>
      </w:r>
      <w:r w:rsidRPr="00AE066F">
        <w:rPr>
          <w:rFonts w:ascii="Arial" w:hAnsi="Arial" w:cs="Arial"/>
          <w:sz w:val="20"/>
          <w:szCs w:val="20"/>
        </w:rPr>
        <w:lastRenderedPageBreak/>
        <w:t>is the chromosomal region responsible for chromosome segregation during meiosis and mitosis (</w:t>
      </w:r>
      <w:proofErr w:type="spellStart"/>
      <w:r w:rsidRPr="00AE066F">
        <w:rPr>
          <w:rFonts w:ascii="Arial" w:hAnsi="Arial" w:cs="Arial"/>
          <w:sz w:val="20"/>
          <w:szCs w:val="20"/>
        </w:rPr>
        <w:t>Shanthipreya</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2016). The architectural organisation of the genome involves evolutionary mechanisms such as pericentric inversion, translocation, chromosomal fission, and chromosomal fusion. Specifically, pericentric inversion is a key factor involved in chromosomal differentiation (Sukham </w:t>
      </w:r>
      <w:r w:rsidRPr="00AE066F">
        <w:rPr>
          <w:rFonts w:ascii="Arial" w:hAnsi="Arial" w:cs="Arial"/>
          <w:i/>
          <w:iCs/>
          <w:sz w:val="20"/>
          <w:szCs w:val="20"/>
        </w:rPr>
        <w:t>et al.,</w:t>
      </w:r>
      <w:r w:rsidRPr="00AE066F">
        <w:rPr>
          <w:rFonts w:ascii="Arial" w:hAnsi="Arial" w:cs="Arial"/>
          <w:sz w:val="20"/>
          <w:szCs w:val="20"/>
        </w:rPr>
        <w:t xml:space="preserve"> 2013).</w:t>
      </w:r>
    </w:p>
    <w:p w14:paraId="285759D1" w14:textId="77777777" w:rsidR="005C45CB" w:rsidRPr="00AE066F" w:rsidRDefault="00000000">
      <w:pPr>
        <w:spacing w:after="0" w:line="360" w:lineRule="auto"/>
        <w:ind w:firstLine="720"/>
        <w:jc w:val="both"/>
      </w:pPr>
      <w:r w:rsidRPr="00AE066F">
        <w:rPr>
          <w:rFonts w:ascii="Arial" w:hAnsi="Arial" w:cs="Arial"/>
          <w:sz w:val="20"/>
          <w:szCs w:val="20"/>
        </w:rPr>
        <w:t xml:space="preserve">Intraspecific variation is observed in many fish species owing to geographical differentiation and enhanced adaptability. This phenomenon has been documented in various populations, including loaches (Sember </w:t>
      </w:r>
      <w:r w:rsidRPr="00AE066F">
        <w:rPr>
          <w:rFonts w:ascii="Arial" w:hAnsi="Arial" w:cs="Arial"/>
          <w:i/>
          <w:iCs/>
          <w:sz w:val="20"/>
          <w:szCs w:val="20"/>
        </w:rPr>
        <w:t>et al</w:t>
      </w:r>
      <w:r w:rsidRPr="00AE066F">
        <w:rPr>
          <w:rFonts w:ascii="Arial" w:hAnsi="Arial" w:cs="Arial"/>
          <w:sz w:val="20"/>
          <w:szCs w:val="20"/>
        </w:rPr>
        <w:t xml:space="preserve">., 2015), European smelt, </w:t>
      </w:r>
      <w:r w:rsidRPr="00AE066F">
        <w:rPr>
          <w:rFonts w:ascii="Arial" w:hAnsi="Arial" w:cs="Arial"/>
          <w:i/>
          <w:iCs/>
          <w:sz w:val="20"/>
          <w:szCs w:val="20"/>
        </w:rPr>
        <w:t>Osmerus eperlanus</w:t>
      </w:r>
      <w:r w:rsidRPr="00AE066F">
        <w:rPr>
          <w:rFonts w:ascii="Arial" w:hAnsi="Arial" w:cs="Arial"/>
          <w:sz w:val="20"/>
          <w:szCs w:val="20"/>
        </w:rPr>
        <w:t xml:space="preserve"> (</w:t>
      </w:r>
      <w:proofErr w:type="spellStart"/>
      <w:r w:rsidRPr="00AE066F">
        <w:rPr>
          <w:rFonts w:ascii="Arial" w:hAnsi="Arial" w:cs="Arial"/>
          <w:sz w:val="20"/>
          <w:szCs w:val="20"/>
        </w:rPr>
        <w:t>Ocalewicz</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2007), the teleost fish </w:t>
      </w:r>
      <w:proofErr w:type="spellStart"/>
      <w:r w:rsidRPr="00AE066F">
        <w:rPr>
          <w:rFonts w:ascii="Arial" w:hAnsi="Arial" w:cs="Arial"/>
          <w:i/>
          <w:iCs/>
          <w:sz w:val="20"/>
          <w:szCs w:val="20"/>
        </w:rPr>
        <w:t>Potamorhina</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altamazonica</w:t>
      </w:r>
      <w:proofErr w:type="spellEnd"/>
      <w:r w:rsidRPr="00AE066F">
        <w:rPr>
          <w:rFonts w:ascii="Arial" w:hAnsi="Arial" w:cs="Arial"/>
          <w:sz w:val="20"/>
          <w:szCs w:val="20"/>
        </w:rPr>
        <w:t xml:space="preserve"> (Feldberg et al., 1993), </w:t>
      </w:r>
      <w:r w:rsidRPr="00AE066F">
        <w:rPr>
          <w:rFonts w:ascii="Arial" w:hAnsi="Arial" w:cs="Arial"/>
          <w:i/>
          <w:iCs/>
          <w:sz w:val="20"/>
          <w:szCs w:val="20"/>
        </w:rPr>
        <w:t xml:space="preserve">Devario </w:t>
      </w:r>
      <w:proofErr w:type="spellStart"/>
      <w:r w:rsidRPr="00AE066F">
        <w:rPr>
          <w:rFonts w:ascii="Arial" w:hAnsi="Arial" w:cs="Arial"/>
          <w:i/>
          <w:iCs/>
          <w:sz w:val="20"/>
          <w:szCs w:val="20"/>
        </w:rPr>
        <w:t>aequipinnatus</w:t>
      </w:r>
      <w:proofErr w:type="spellEnd"/>
      <w:r w:rsidRPr="00AE066F">
        <w:rPr>
          <w:rFonts w:ascii="Arial" w:hAnsi="Arial" w:cs="Arial"/>
          <w:sz w:val="20"/>
          <w:szCs w:val="20"/>
        </w:rPr>
        <w:t xml:space="preserve"> (</w:t>
      </w:r>
      <w:proofErr w:type="spellStart"/>
      <w:r w:rsidRPr="00AE066F">
        <w:rPr>
          <w:rFonts w:ascii="Arial" w:hAnsi="Arial" w:cs="Arial"/>
          <w:sz w:val="20"/>
          <w:szCs w:val="20"/>
        </w:rPr>
        <w:t>Shanthipreya</w:t>
      </w:r>
      <w:proofErr w:type="spellEnd"/>
      <w:r w:rsidRPr="00AE066F">
        <w:rPr>
          <w:rFonts w:ascii="Arial" w:hAnsi="Arial" w:cs="Arial"/>
          <w:sz w:val="20"/>
          <w:szCs w:val="20"/>
        </w:rPr>
        <w:t xml:space="preserve"> </w:t>
      </w:r>
      <w:r w:rsidRPr="00AE066F">
        <w:rPr>
          <w:rFonts w:ascii="Arial" w:hAnsi="Arial" w:cs="Arial"/>
          <w:i/>
          <w:sz w:val="20"/>
          <w:szCs w:val="20"/>
        </w:rPr>
        <w:t>et al.,</w:t>
      </w:r>
      <w:r w:rsidRPr="00AE066F">
        <w:rPr>
          <w:rFonts w:ascii="Arial" w:hAnsi="Arial" w:cs="Arial"/>
          <w:sz w:val="20"/>
          <w:szCs w:val="20"/>
        </w:rPr>
        <w:t xml:space="preserve"> 2016), </w:t>
      </w:r>
      <w:proofErr w:type="spellStart"/>
      <w:r w:rsidRPr="00AE066F">
        <w:rPr>
          <w:rFonts w:ascii="Arial" w:hAnsi="Arial" w:cs="Arial"/>
          <w:i/>
          <w:iCs/>
          <w:sz w:val="20"/>
          <w:szCs w:val="20"/>
        </w:rPr>
        <w:t>Mystus</w:t>
      </w:r>
      <w:proofErr w:type="spellEnd"/>
      <w:r w:rsidRPr="00AE066F">
        <w:rPr>
          <w:rFonts w:ascii="Arial" w:hAnsi="Arial" w:cs="Arial"/>
          <w:i/>
          <w:iCs/>
          <w:sz w:val="20"/>
          <w:szCs w:val="20"/>
        </w:rPr>
        <w:t xml:space="preserve"> vittatus</w:t>
      </w:r>
      <w:r w:rsidRPr="00AE066F">
        <w:rPr>
          <w:rFonts w:ascii="Arial" w:hAnsi="Arial" w:cs="Arial"/>
          <w:sz w:val="20"/>
          <w:szCs w:val="20"/>
        </w:rPr>
        <w:t xml:space="preserve"> (Manna &amp; </w:t>
      </w:r>
      <w:proofErr w:type="spellStart"/>
      <w:r w:rsidRPr="00AE066F">
        <w:rPr>
          <w:rFonts w:ascii="Arial" w:hAnsi="Arial" w:cs="Arial"/>
          <w:sz w:val="20"/>
          <w:szCs w:val="20"/>
        </w:rPr>
        <w:t>Khuda-Bukhsh</w:t>
      </w:r>
      <w:proofErr w:type="spellEnd"/>
      <w:r w:rsidRPr="00AE066F">
        <w:rPr>
          <w:rFonts w:ascii="Arial" w:hAnsi="Arial" w:cs="Arial"/>
          <w:sz w:val="20"/>
          <w:szCs w:val="20"/>
        </w:rPr>
        <w:t xml:space="preserve">, 1978), and the cichlid family (Poletto </w:t>
      </w:r>
      <w:r w:rsidRPr="00AE066F">
        <w:rPr>
          <w:rFonts w:ascii="Arial" w:hAnsi="Arial" w:cs="Arial"/>
          <w:i/>
          <w:sz w:val="20"/>
          <w:szCs w:val="20"/>
        </w:rPr>
        <w:t>et al.,</w:t>
      </w:r>
      <w:r w:rsidRPr="00AE066F">
        <w:rPr>
          <w:rFonts w:ascii="Arial" w:hAnsi="Arial" w:cs="Arial"/>
          <w:sz w:val="20"/>
          <w:szCs w:val="20"/>
        </w:rPr>
        <w:t xml:space="preserve"> 2010). Although nearly 3,000 fish species have been karyologically analysed, approximately 435 belong to the family </w:t>
      </w:r>
      <w:proofErr w:type="spellStart"/>
      <w:r w:rsidRPr="00AE066F">
        <w:rPr>
          <w:rFonts w:ascii="Arial" w:hAnsi="Arial" w:cs="Arial"/>
          <w:sz w:val="20"/>
          <w:szCs w:val="20"/>
        </w:rPr>
        <w:t>Cyprinidae</w:t>
      </w:r>
      <w:proofErr w:type="spellEnd"/>
      <w:r w:rsidRPr="00AE066F">
        <w:rPr>
          <w:rFonts w:ascii="Arial" w:hAnsi="Arial" w:cs="Arial"/>
          <w:sz w:val="20"/>
          <w:szCs w:val="20"/>
        </w:rPr>
        <w:t xml:space="preserve">, likely owing to the family’s extensive species diversity and economic importance. However, many cytogenetic analyses reveal similar karyotypic patterns across numerous species, which can restrict their use for taxonomic and phylogenetic inference (Molina, 2007). To date, karyology has made only a modest contribution to resolving taxonomic problems in fishes because the available data remain relatively sparse (Sola </w:t>
      </w:r>
      <w:r w:rsidRPr="00AE066F">
        <w:rPr>
          <w:rFonts w:ascii="Arial" w:hAnsi="Arial" w:cs="Arial"/>
          <w:i/>
          <w:iCs/>
          <w:sz w:val="20"/>
          <w:szCs w:val="20"/>
        </w:rPr>
        <w:t>et al</w:t>
      </w:r>
      <w:r w:rsidRPr="00AE066F">
        <w:rPr>
          <w:rFonts w:ascii="Arial" w:hAnsi="Arial" w:cs="Arial"/>
          <w:sz w:val="20"/>
          <w:szCs w:val="20"/>
        </w:rPr>
        <w:t xml:space="preserve">., 1981; Buth </w:t>
      </w:r>
      <w:r w:rsidRPr="00AE066F">
        <w:rPr>
          <w:rFonts w:ascii="Arial" w:hAnsi="Arial" w:cs="Arial"/>
          <w:i/>
          <w:iCs/>
          <w:sz w:val="20"/>
          <w:szCs w:val="20"/>
        </w:rPr>
        <w:t>et al.,</w:t>
      </w:r>
      <w:r w:rsidRPr="00AE066F">
        <w:rPr>
          <w:rFonts w:ascii="Arial" w:hAnsi="Arial" w:cs="Arial"/>
          <w:sz w:val="20"/>
          <w:szCs w:val="20"/>
        </w:rPr>
        <w:t xml:space="preserve"> 1991).</w:t>
      </w:r>
    </w:p>
    <w:p w14:paraId="3A1D686A" w14:textId="54D9ABBA" w:rsidR="005C45CB" w:rsidRPr="00AE066F" w:rsidRDefault="00000000">
      <w:pPr>
        <w:spacing w:line="360" w:lineRule="auto"/>
        <w:ind w:firstLine="720"/>
        <w:jc w:val="both"/>
        <w:rPr>
          <w:rFonts w:ascii="Arial" w:hAnsi="Arial" w:cs="Arial"/>
          <w:sz w:val="20"/>
          <w:szCs w:val="20"/>
        </w:rPr>
      </w:pPr>
      <w:r w:rsidRPr="00AE066F">
        <w:rPr>
          <w:rFonts w:ascii="Arial" w:hAnsi="Arial" w:cs="Arial"/>
          <w:sz w:val="20"/>
          <w:szCs w:val="20"/>
        </w:rPr>
        <w:t xml:space="preserve">In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sz w:val="20"/>
          <w:szCs w:val="20"/>
        </w:rPr>
        <w:t>, the diploid chromosome number was found to be 2n = 50 (28m + 22t), with an FN of 78; notably, prior documentation for this species was unavailable. The higher representation of acrocentric chromosomes in these two species is considered an ancestral character (</w:t>
      </w:r>
      <w:proofErr w:type="spellStart"/>
      <w:r w:rsidRPr="00AE066F">
        <w:rPr>
          <w:rFonts w:ascii="Arial" w:hAnsi="Arial" w:cs="Arial"/>
          <w:sz w:val="20"/>
          <w:szCs w:val="20"/>
        </w:rPr>
        <w:t>Saroniya</w:t>
      </w:r>
      <w:proofErr w:type="spellEnd"/>
      <w:r w:rsidRPr="00AE066F">
        <w:rPr>
          <w:rFonts w:ascii="Arial" w:hAnsi="Arial" w:cs="Arial"/>
          <w:sz w:val="20"/>
          <w:szCs w:val="20"/>
        </w:rPr>
        <w:t xml:space="preserve"> </w:t>
      </w:r>
      <w:r w:rsidRPr="00AE066F">
        <w:rPr>
          <w:rFonts w:ascii="Arial" w:hAnsi="Arial" w:cs="Arial"/>
          <w:i/>
          <w:sz w:val="20"/>
          <w:szCs w:val="20"/>
        </w:rPr>
        <w:t>et al.,</w:t>
      </w:r>
      <w:r w:rsidRPr="00AE066F">
        <w:rPr>
          <w:rFonts w:ascii="Arial" w:hAnsi="Arial" w:cs="Arial"/>
          <w:sz w:val="20"/>
          <w:szCs w:val="20"/>
        </w:rPr>
        <w:t xml:space="preserve"> 2013). Although </w:t>
      </w:r>
      <w:r w:rsidRPr="00AE066F">
        <w:rPr>
          <w:rFonts w:ascii="Arial" w:hAnsi="Arial" w:cs="Arial"/>
          <w:i/>
          <w:iCs/>
          <w:sz w:val="20"/>
          <w:szCs w:val="20"/>
        </w:rPr>
        <w:t xml:space="preserve">Puntius </w:t>
      </w:r>
      <w:proofErr w:type="spellStart"/>
      <w:r w:rsidRPr="00AE066F">
        <w:rPr>
          <w:rFonts w:ascii="Arial" w:hAnsi="Arial" w:cs="Arial"/>
          <w:i/>
          <w:iCs/>
          <w:sz w:val="20"/>
          <w:szCs w:val="20"/>
        </w:rPr>
        <w:t>conchonius</w:t>
      </w:r>
      <w:proofErr w:type="spellEnd"/>
      <w:r w:rsidRPr="00AE066F">
        <w:rPr>
          <w:rFonts w:ascii="Arial" w:hAnsi="Arial" w:cs="Arial"/>
          <w:sz w:val="20"/>
          <w:szCs w:val="20"/>
        </w:rPr>
        <w:t xml:space="preserve"> has more metacentric chromosomes (22m + 16sm + 12t) (Ganai &amp; Yousuf, 201</w:t>
      </w:r>
      <w:r w:rsidR="00905F9D">
        <w:rPr>
          <w:rFonts w:ascii="Arial" w:hAnsi="Arial" w:cs="Arial"/>
          <w:sz w:val="20"/>
          <w:szCs w:val="20"/>
        </w:rPr>
        <w:t>1</w:t>
      </w:r>
      <w:r w:rsidRPr="00AE066F">
        <w:rPr>
          <w:rFonts w:ascii="Arial" w:hAnsi="Arial" w:cs="Arial"/>
          <w:i/>
          <w:iCs/>
          <w:sz w:val="20"/>
          <w:szCs w:val="20"/>
        </w:rPr>
        <w:t xml:space="preserve">),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sz w:val="20"/>
          <w:szCs w:val="20"/>
        </w:rPr>
        <w:t xml:space="preserve"> </w:t>
      </w:r>
      <w:r w:rsidRPr="00AE066F">
        <w:rPr>
          <w:rFonts w:ascii="Arial" w:hAnsi="Arial" w:cs="Arial"/>
          <w:iCs/>
          <w:sz w:val="20"/>
          <w:szCs w:val="20"/>
        </w:rPr>
        <w:t>also has a high number of metacentric</w:t>
      </w:r>
      <w:r w:rsidRPr="00AE066F">
        <w:rPr>
          <w:rFonts w:ascii="Arial" w:hAnsi="Arial" w:cs="Arial"/>
          <w:sz w:val="20"/>
          <w:szCs w:val="20"/>
        </w:rPr>
        <w:t xml:space="preserve"> chromosomes, whereas submetacentric and </w:t>
      </w:r>
      <w:proofErr w:type="spellStart"/>
      <w:r w:rsidRPr="00AE066F">
        <w:rPr>
          <w:rFonts w:ascii="Arial" w:hAnsi="Arial" w:cs="Arial"/>
          <w:sz w:val="20"/>
          <w:szCs w:val="20"/>
        </w:rPr>
        <w:t>subtelocentric</w:t>
      </w:r>
      <w:proofErr w:type="spellEnd"/>
      <w:r w:rsidRPr="00AE066F">
        <w:rPr>
          <w:rFonts w:ascii="Arial" w:hAnsi="Arial" w:cs="Arial"/>
          <w:sz w:val="20"/>
          <w:szCs w:val="20"/>
        </w:rPr>
        <w:t xml:space="preserve"> chromosomes are absent. Based on the fundamental arm number (FN), the genus </w:t>
      </w:r>
      <w:r w:rsidRPr="00AE066F">
        <w:rPr>
          <w:rFonts w:ascii="Arial" w:hAnsi="Arial" w:cs="Arial"/>
          <w:i/>
          <w:iCs/>
          <w:sz w:val="20"/>
          <w:szCs w:val="20"/>
        </w:rPr>
        <w:t>Puntius</w:t>
      </w:r>
      <w:r w:rsidRPr="00AE066F">
        <w:rPr>
          <w:rFonts w:ascii="Arial" w:hAnsi="Arial" w:cs="Arial"/>
          <w:sz w:val="20"/>
          <w:szCs w:val="20"/>
        </w:rPr>
        <w:t xml:space="preserve"> is classified into two distinct groups. The two species in this study,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and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sz w:val="20"/>
          <w:szCs w:val="20"/>
        </w:rPr>
        <w:t xml:space="preserve">, belong to the first group, which is characterised by an FN range of 52–80 (Sharma </w:t>
      </w:r>
      <w:r w:rsidRPr="00AE066F">
        <w:rPr>
          <w:rFonts w:ascii="Arial" w:hAnsi="Arial" w:cs="Arial"/>
          <w:i/>
          <w:sz w:val="20"/>
          <w:szCs w:val="20"/>
        </w:rPr>
        <w:t>et al.,</w:t>
      </w:r>
      <w:r w:rsidRPr="00AE066F">
        <w:rPr>
          <w:rFonts w:ascii="Arial" w:hAnsi="Arial" w:cs="Arial"/>
          <w:sz w:val="20"/>
          <w:szCs w:val="20"/>
        </w:rPr>
        <w:t xml:space="preserve"> 1990).</w:t>
      </w:r>
    </w:p>
    <w:p w14:paraId="153B7AE9" w14:textId="77777777" w:rsidR="005C45CB" w:rsidRPr="00AE066F" w:rsidRDefault="00000000">
      <w:pPr>
        <w:spacing w:line="360" w:lineRule="auto"/>
        <w:ind w:firstLine="720"/>
        <w:jc w:val="both"/>
        <w:rPr>
          <w:rFonts w:ascii="Arial" w:hAnsi="Arial" w:cs="Arial"/>
          <w:sz w:val="20"/>
          <w:szCs w:val="20"/>
        </w:rPr>
      </w:pPr>
      <w:r w:rsidRPr="00AE066F">
        <w:rPr>
          <w:rFonts w:ascii="Arial" w:hAnsi="Arial" w:cs="Arial"/>
          <w:sz w:val="20"/>
          <w:szCs w:val="20"/>
        </w:rPr>
        <w:t xml:space="preserve">The differences in the relative proportions of metacentric, submetacentric, </w:t>
      </w:r>
      <w:proofErr w:type="spellStart"/>
      <w:r w:rsidRPr="00AE066F">
        <w:rPr>
          <w:rFonts w:ascii="Arial" w:hAnsi="Arial" w:cs="Arial"/>
          <w:sz w:val="20"/>
          <w:szCs w:val="20"/>
        </w:rPr>
        <w:t>subtelocentric</w:t>
      </w:r>
      <w:proofErr w:type="spellEnd"/>
      <w:r w:rsidRPr="00AE066F">
        <w:rPr>
          <w:rFonts w:ascii="Arial" w:hAnsi="Arial" w:cs="Arial"/>
          <w:sz w:val="20"/>
          <w:szCs w:val="20"/>
        </w:rPr>
        <w:t>, and telocentric chromosomes are best interpreted as karyomorphological differentiation within a broadly conserved cyprinid 2n framework, a pattern increasingly reported by conventional and molecular cytogenetic studies of Asian cyprinids (</w:t>
      </w:r>
      <w:proofErr w:type="spellStart"/>
      <w:r w:rsidRPr="00AE066F">
        <w:rPr>
          <w:rFonts w:ascii="Arial" w:hAnsi="Arial" w:cs="Arial"/>
          <w:sz w:val="20"/>
          <w:szCs w:val="20"/>
        </w:rPr>
        <w:t>Buasriyot</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2024;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et al., 2023). Classical information regarding chromosome number, morphology, and banding patterns remains vital for applications ranging from cytotaxonomy to karyotype evolution (Cioffi </w:t>
      </w:r>
      <w:r w:rsidRPr="00AE066F">
        <w:rPr>
          <w:rFonts w:ascii="Arial" w:hAnsi="Arial" w:cs="Arial"/>
          <w:i/>
          <w:sz w:val="20"/>
          <w:szCs w:val="20"/>
        </w:rPr>
        <w:t>et al.,</w:t>
      </w:r>
      <w:r w:rsidRPr="00AE066F">
        <w:rPr>
          <w:rFonts w:ascii="Arial" w:hAnsi="Arial" w:cs="Arial"/>
          <w:sz w:val="20"/>
          <w:szCs w:val="20"/>
        </w:rPr>
        <w:t xml:space="preserve"> 2012). Although no heteromorphic sex chromosomes were observed in the analysed metaphase spreads, this result is specifically described as an absence of visibly differentiated sex chromosomes rather than a complete genomic absence because small or cryptic sex-linked regions may require molecular cytogenetic or genomic markers for detection (</w:t>
      </w:r>
      <w:proofErr w:type="spellStart"/>
      <w:r w:rsidRPr="00AE066F">
        <w:rPr>
          <w:rFonts w:ascii="Arial" w:hAnsi="Arial" w:cs="Arial"/>
          <w:sz w:val="20"/>
          <w:szCs w:val="20"/>
        </w:rPr>
        <w:t>Buasriyot</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2024; Rossi, 2021). Ultimately, this study documents the karyology of these fishes and strengthens the baseline for cytotaxonomy and conservation-oriented population comparisons in the Western Ghats. These outcomes provide useful information for addressing taxonomic questions and developing conservation strategies for native species inhabiting the streams and rivers of this biodiversity hotspot. Future investigations using advanced techniques, such as rDNA-FISH or comparative genomic approaches, will be useful for determining </w:t>
      </w:r>
      <w:r w:rsidRPr="00AE066F">
        <w:rPr>
          <w:rFonts w:ascii="Arial" w:hAnsi="Arial" w:cs="Arial"/>
          <w:sz w:val="20"/>
          <w:szCs w:val="20"/>
        </w:rPr>
        <w:lastRenderedPageBreak/>
        <w:t>whether the observed karyotype differences represent population-level variants or species-specific chromosomal rearrangements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2023; Rossi, 2021).</w:t>
      </w:r>
    </w:p>
    <w:p w14:paraId="25E6EC4D" w14:textId="77777777" w:rsidR="005C45CB" w:rsidRPr="00AE066F" w:rsidRDefault="00000000">
      <w:pPr>
        <w:spacing w:line="360" w:lineRule="auto"/>
        <w:ind w:firstLine="720"/>
        <w:jc w:val="both"/>
        <w:rPr>
          <w:rFonts w:ascii="Arial" w:hAnsi="Arial" w:cs="Arial"/>
          <w:sz w:val="20"/>
          <w:szCs w:val="20"/>
        </w:rPr>
      </w:pPr>
      <w:r w:rsidRPr="00AE066F">
        <w:rPr>
          <w:rFonts w:ascii="Arial" w:hAnsi="Arial" w:cs="Arial"/>
          <w:sz w:val="20"/>
          <w:szCs w:val="20"/>
        </w:rPr>
        <w:t xml:space="preserve">The difference between </w:t>
      </w:r>
      <w:r w:rsidRPr="00AE066F">
        <w:rPr>
          <w:rFonts w:ascii="Arial" w:hAnsi="Arial" w:cs="Arial"/>
          <w:i/>
          <w:iCs/>
          <w:sz w:val="20"/>
          <w:szCs w:val="20"/>
        </w:rPr>
        <w:t xml:space="preserve">Puntius </w:t>
      </w:r>
      <w:proofErr w:type="spellStart"/>
      <w:r w:rsidRPr="00AE066F">
        <w:rPr>
          <w:rFonts w:ascii="Arial" w:hAnsi="Arial" w:cs="Arial"/>
          <w:i/>
          <w:iCs/>
          <w:sz w:val="20"/>
          <w:szCs w:val="20"/>
        </w:rPr>
        <w:t>sophore</w:t>
      </w:r>
      <w:proofErr w:type="spellEnd"/>
      <w:r w:rsidRPr="00AE066F">
        <w:rPr>
          <w:rFonts w:ascii="Arial" w:hAnsi="Arial" w:cs="Arial"/>
          <w:sz w:val="20"/>
          <w:szCs w:val="20"/>
        </w:rPr>
        <w:t xml:space="preserve"> and </w:t>
      </w:r>
      <w:proofErr w:type="spellStart"/>
      <w:r w:rsidRPr="00AE066F">
        <w:rPr>
          <w:rFonts w:ascii="Arial" w:hAnsi="Arial" w:cs="Arial"/>
          <w:i/>
          <w:iCs/>
          <w:sz w:val="20"/>
          <w:szCs w:val="20"/>
        </w:rPr>
        <w:t>Plesiopuntius</w:t>
      </w:r>
      <w:proofErr w:type="spellEnd"/>
      <w:r w:rsidRPr="00AE066F">
        <w:rPr>
          <w:rFonts w:ascii="Arial" w:hAnsi="Arial" w:cs="Arial"/>
          <w:i/>
          <w:iCs/>
          <w:sz w:val="20"/>
          <w:szCs w:val="20"/>
        </w:rPr>
        <w:t xml:space="preserve"> </w:t>
      </w:r>
      <w:proofErr w:type="spellStart"/>
      <w:r w:rsidRPr="00AE066F">
        <w:rPr>
          <w:rFonts w:ascii="Arial" w:hAnsi="Arial" w:cs="Arial"/>
          <w:i/>
          <w:iCs/>
          <w:sz w:val="20"/>
          <w:szCs w:val="20"/>
        </w:rPr>
        <w:t>bimaculatus</w:t>
      </w:r>
      <w:proofErr w:type="spellEnd"/>
      <w:r w:rsidRPr="00AE066F">
        <w:rPr>
          <w:rFonts w:ascii="Arial" w:hAnsi="Arial" w:cs="Arial"/>
          <w:i/>
          <w:sz w:val="20"/>
          <w:szCs w:val="20"/>
        </w:rPr>
        <w:t xml:space="preserve"> </w:t>
      </w:r>
      <w:r w:rsidRPr="00AE066F">
        <w:rPr>
          <w:rFonts w:ascii="Arial" w:hAnsi="Arial" w:cs="Arial"/>
          <w:sz w:val="20"/>
          <w:szCs w:val="20"/>
        </w:rPr>
        <w:t xml:space="preserve">in the relative proportions of metacentric, submetacentric, </w:t>
      </w:r>
      <w:proofErr w:type="spellStart"/>
      <w:r w:rsidRPr="00AE066F">
        <w:rPr>
          <w:rFonts w:ascii="Arial" w:hAnsi="Arial" w:cs="Arial"/>
          <w:sz w:val="20"/>
          <w:szCs w:val="20"/>
        </w:rPr>
        <w:t>subtelocentric</w:t>
      </w:r>
      <w:proofErr w:type="spellEnd"/>
      <w:r w:rsidRPr="00AE066F">
        <w:rPr>
          <w:rFonts w:ascii="Arial" w:hAnsi="Arial" w:cs="Arial"/>
          <w:sz w:val="20"/>
          <w:szCs w:val="20"/>
        </w:rPr>
        <w:t>, and telocentric chromosomes is best interpreted as karyomorphological differentiation within a broadly conserved cyprinid 2n framework, a pattern increasingly reported by conventional and molecular cytogenetic studies of Asian cyprinids (</w:t>
      </w:r>
      <w:proofErr w:type="spellStart"/>
      <w:r w:rsidRPr="00AE066F">
        <w:rPr>
          <w:rFonts w:ascii="Arial" w:hAnsi="Arial" w:cs="Arial"/>
          <w:sz w:val="20"/>
          <w:szCs w:val="20"/>
        </w:rPr>
        <w:t>Buasriyot</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2024;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2023). Because no heteromorphic sex chromosomes were observed in the analysed metaphases, the present result should be described as an absence of visibly differentiated sex chromosomes rather than a complete genomic absence because small or cryptic sex-linked regions may require molecular cytogenetic or genomic markers for detection (</w:t>
      </w:r>
      <w:proofErr w:type="spellStart"/>
      <w:r w:rsidRPr="00AE066F">
        <w:rPr>
          <w:rFonts w:ascii="Arial" w:hAnsi="Arial" w:cs="Arial"/>
          <w:sz w:val="20"/>
          <w:szCs w:val="20"/>
        </w:rPr>
        <w:t>Buasriyot</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2024; Rossi, 2021). Overall, the cytogenetic profile strengthens the baseline for cytotaxonomy and conservation-oriented population comparisons in Western Ghats cyprinids, while future banding, rDNA-FISH, or comparative genomic approaches would be useful for testing whether the observed karyotype differences are population-level variants or species-specific chromosomal rearrangements (</w:t>
      </w:r>
      <w:proofErr w:type="spellStart"/>
      <w:r w:rsidRPr="00AE066F">
        <w:rPr>
          <w:rFonts w:ascii="Arial" w:hAnsi="Arial" w:cs="Arial"/>
          <w:sz w:val="20"/>
          <w:szCs w:val="20"/>
        </w:rPr>
        <w:t>Khensuwan</w:t>
      </w:r>
      <w:proofErr w:type="spellEnd"/>
      <w:r w:rsidRPr="00AE066F">
        <w:rPr>
          <w:rFonts w:ascii="Arial" w:hAnsi="Arial" w:cs="Arial"/>
          <w:sz w:val="20"/>
          <w:szCs w:val="20"/>
        </w:rPr>
        <w:t xml:space="preserve"> </w:t>
      </w:r>
      <w:r w:rsidRPr="00AE066F">
        <w:rPr>
          <w:rFonts w:ascii="Arial" w:hAnsi="Arial" w:cs="Arial"/>
          <w:i/>
          <w:iCs/>
          <w:sz w:val="20"/>
          <w:szCs w:val="20"/>
        </w:rPr>
        <w:t>et al.,</w:t>
      </w:r>
      <w:r w:rsidRPr="00AE066F">
        <w:rPr>
          <w:rFonts w:ascii="Arial" w:hAnsi="Arial" w:cs="Arial"/>
          <w:sz w:val="20"/>
          <w:szCs w:val="20"/>
        </w:rPr>
        <w:t xml:space="preserve"> 2023; Rossi, 2021).</w:t>
      </w:r>
    </w:p>
    <w:p w14:paraId="27040D88" w14:textId="77777777" w:rsidR="005C45CB" w:rsidRPr="00AE066F" w:rsidRDefault="00000000">
      <w:pPr>
        <w:spacing w:line="360" w:lineRule="auto"/>
        <w:jc w:val="both"/>
        <w:rPr>
          <w:rFonts w:ascii="Arial" w:hAnsi="Arial" w:cs="Arial"/>
          <w:sz w:val="20"/>
          <w:szCs w:val="20"/>
        </w:rPr>
      </w:pPr>
      <w:r w:rsidRPr="00AE066F">
        <w:rPr>
          <w:rFonts w:ascii="Arial" w:hAnsi="Arial" w:cs="Arial"/>
          <w:b/>
          <w:bCs/>
          <w:lang w:val="en-US"/>
        </w:rPr>
        <w:t>5. CONCLUSIONS</w:t>
      </w:r>
    </w:p>
    <w:p w14:paraId="7C271B09" w14:textId="349DB2AB" w:rsidR="00F53072" w:rsidRPr="0095799F" w:rsidRDefault="00F53072" w:rsidP="00A72B56">
      <w:pPr>
        <w:pStyle w:val="pdq2pgselectionanchorcontainer"/>
        <w:jc w:val="both"/>
        <w:rPr>
          <w:sz w:val="22"/>
          <w:szCs w:val="22"/>
        </w:rPr>
      </w:pPr>
      <w:r w:rsidRPr="0095799F">
        <w:rPr>
          <w:sz w:val="22"/>
          <w:szCs w:val="22"/>
        </w:rPr>
        <w:t xml:space="preserve">The cytogenetic assessment of </w:t>
      </w:r>
      <w:r w:rsidRPr="0095799F">
        <w:rPr>
          <w:rStyle w:val="Emphasis"/>
          <w:sz w:val="22"/>
          <w:szCs w:val="22"/>
        </w:rPr>
        <w:t xml:space="preserve">Puntius </w:t>
      </w:r>
      <w:proofErr w:type="spellStart"/>
      <w:r w:rsidRPr="0095799F">
        <w:rPr>
          <w:rStyle w:val="Emphasis"/>
          <w:sz w:val="22"/>
          <w:szCs w:val="22"/>
        </w:rPr>
        <w:t>sophore</w:t>
      </w:r>
      <w:proofErr w:type="spellEnd"/>
      <w:r w:rsidRPr="0095799F">
        <w:rPr>
          <w:sz w:val="22"/>
          <w:szCs w:val="22"/>
        </w:rPr>
        <w:t xml:space="preserve"> and </w:t>
      </w:r>
      <w:proofErr w:type="spellStart"/>
      <w:r w:rsidRPr="0095799F">
        <w:rPr>
          <w:rStyle w:val="Emphasis"/>
          <w:sz w:val="22"/>
          <w:szCs w:val="22"/>
        </w:rPr>
        <w:t>Plesiopuntius</w:t>
      </w:r>
      <w:proofErr w:type="spellEnd"/>
      <w:r w:rsidRPr="0095799F">
        <w:rPr>
          <w:rStyle w:val="Emphasis"/>
          <w:sz w:val="22"/>
          <w:szCs w:val="22"/>
        </w:rPr>
        <w:t xml:space="preserve"> </w:t>
      </w:r>
      <w:proofErr w:type="spellStart"/>
      <w:r w:rsidRPr="0095799F">
        <w:rPr>
          <w:rStyle w:val="Emphasis"/>
          <w:sz w:val="22"/>
          <w:szCs w:val="22"/>
        </w:rPr>
        <w:t>bimaculatus</w:t>
      </w:r>
      <w:proofErr w:type="spellEnd"/>
      <w:r w:rsidRPr="0095799F">
        <w:rPr>
          <w:sz w:val="22"/>
          <w:szCs w:val="22"/>
        </w:rPr>
        <w:t xml:space="preserve"> from the </w:t>
      </w:r>
      <w:proofErr w:type="spellStart"/>
      <w:r w:rsidRPr="0095799F">
        <w:rPr>
          <w:sz w:val="22"/>
          <w:szCs w:val="22"/>
        </w:rPr>
        <w:t>Gadana</w:t>
      </w:r>
      <w:proofErr w:type="spellEnd"/>
      <w:r w:rsidRPr="0095799F">
        <w:rPr>
          <w:sz w:val="22"/>
          <w:szCs w:val="22"/>
        </w:rPr>
        <w:t xml:space="preserve"> River demonstrated that both species share a modal diploid chromosome number of 2n = 50, while differing clearly in chromosome morphology and fundamental arm number. </w:t>
      </w:r>
      <w:r w:rsidRPr="0095799F">
        <w:rPr>
          <w:rStyle w:val="Emphasis"/>
          <w:sz w:val="22"/>
          <w:szCs w:val="22"/>
        </w:rPr>
        <w:t xml:space="preserve">Puntius </w:t>
      </w:r>
      <w:proofErr w:type="spellStart"/>
      <w:r w:rsidRPr="0095799F">
        <w:rPr>
          <w:rStyle w:val="Emphasis"/>
          <w:sz w:val="22"/>
          <w:szCs w:val="22"/>
        </w:rPr>
        <w:t>sophore</w:t>
      </w:r>
      <w:proofErr w:type="spellEnd"/>
      <w:r w:rsidRPr="0095799F">
        <w:rPr>
          <w:sz w:val="22"/>
          <w:szCs w:val="22"/>
        </w:rPr>
        <w:t xml:space="preserve"> exhibited a karyotype of 8m + 2sm + 26st + 14t with FN = 60, whereas </w:t>
      </w:r>
      <w:proofErr w:type="spellStart"/>
      <w:r w:rsidRPr="0095799F">
        <w:rPr>
          <w:rStyle w:val="Emphasis"/>
          <w:sz w:val="22"/>
          <w:szCs w:val="22"/>
        </w:rPr>
        <w:t>Plesiopuntius</w:t>
      </w:r>
      <w:proofErr w:type="spellEnd"/>
      <w:r w:rsidRPr="0095799F">
        <w:rPr>
          <w:rStyle w:val="Emphasis"/>
          <w:sz w:val="22"/>
          <w:szCs w:val="22"/>
        </w:rPr>
        <w:t xml:space="preserve"> </w:t>
      </w:r>
      <w:proofErr w:type="spellStart"/>
      <w:r w:rsidRPr="0095799F">
        <w:rPr>
          <w:rStyle w:val="Emphasis"/>
          <w:sz w:val="22"/>
          <w:szCs w:val="22"/>
        </w:rPr>
        <w:t>bimaculatus</w:t>
      </w:r>
      <w:proofErr w:type="spellEnd"/>
      <w:r w:rsidRPr="0095799F">
        <w:rPr>
          <w:sz w:val="22"/>
          <w:szCs w:val="22"/>
        </w:rPr>
        <w:t xml:space="preserve"> exhibited 28m + 22t with FN = 78. The chromosome-length ranges also differed between the species, although no visibly differentiated sex chromosomes were observed in the </w:t>
      </w:r>
      <w:proofErr w:type="spellStart"/>
      <w:r w:rsidRPr="0095799F">
        <w:rPr>
          <w:sz w:val="22"/>
          <w:szCs w:val="22"/>
        </w:rPr>
        <w:t>analysed</w:t>
      </w:r>
      <w:proofErr w:type="spellEnd"/>
      <w:r w:rsidRPr="0095799F">
        <w:rPr>
          <w:sz w:val="22"/>
          <w:szCs w:val="22"/>
        </w:rPr>
        <w:t xml:space="preserve"> metaphase spreads. These findings establish locality-specific baseline information for cytotaxonomic comparison of the two cyprinids within the Western Ghats. The observed variation should be interpreted cautiously because the analysis was based on conventional Giemsa staining and specimens from a single river system. Additional sampling across populations, together with chromosome banding, fluorescence in situ </w:t>
      </w:r>
      <w:proofErr w:type="spellStart"/>
      <w:r w:rsidRPr="0095799F">
        <w:rPr>
          <w:sz w:val="22"/>
          <w:szCs w:val="22"/>
        </w:rPr>
        <w:t>hybridisation</w:t>
      </w:r>
      <w:proofErr w:type="spellEnd"/>
      <w:r w:rsidRPr="0095799F">
        <w:rPr>
          <w:sz w:val="22"/>
          <w:szCs w:val="22"/>
        </w:rPr>
        <w:t>, and genomic approaches, is needed to determine whether the recorded karyotypic differences represent stable species-level features or geographically structured population variation.</w:t>
      </w:r>
    </w:p>
    <w:p w14:paraId="34A129DE" w14:textId="77777777" w:rsidR="005C45CB" w:rsidRPr="00AE066F" w:rsidRDefault="00000000">
      <w:pPr>
        <w:spacing w:before="280" w:after="280" w:line="360" w:lineRule="auto"/>
        <w:jc w:val="both"/>
        <w:rPr>
          <w:rFonts w:ascii="Arial" w:hAnsi="Arial" w:cs="Arial"/>
          <w:b/>
          <w:bCs/>
          <w:sz w:val="20"/>
          <w:szCs w:val="20"/>
          <w:lang w:val="en-US"/>
        </w:rPr>
      </w:pPr>
      <w:r w:rsidRPr="00AE066F">
        <w:rPr>
          <w:rFonts w:ascii="Arial" w:hAnsi="Arial" w:cs="Arial"/>
          <w:b/>
          <w:bCs/>
          <w:sz w:val="20"/>
          <w:szCs w:val="20"/>
          <w:lang w:val="en-US"/>
        </w:rPr>
        <w:t>6. LIMITATIONS</w:t>
      </w:r>
    </w:p>
    <w:p w14:paraId="362E0824" w14:textId="77777777" w:rsidR="000C22A6" w:rsidRPr="00543999" w:rsidRDefault="000C22A6" w:rsidP="000C22A6">
      <w:pPr>
        <w:pStyle w:val="NormalWeb"/>
        <w:rPr>
          <w:sz w:val="22"/>
          <w:szCs w:val="22"/>
        </w:rPr>
      </w:pPr>
      <w:r w:rsidRPr="00543999">
        <w:rPr>
          <w:sz w:val="22"/>
          <w:szCs w:val="22"/>
        </w:rPr>
        <w:t xml:space="preserve">This study was limited to specimens collected from a single river system and relied on conventional Giemsa-stained chromosome preparations. The sample comprised 13 </w:t>
      </w:r>
      <w:r w:rsidRPr="00543999">
        <w:rPr>
          <w:rStyle w:val="Emphasis"/>
          <w:sz w:val="22"/>
          <w:szCs w:val="22"/>
        </w:rPr>
        <w:t xml:space="preserve">Puntius </w:t>
      </w:r>
      <w:proofErr w:type="spellStart"/>
      <w:r w:rsidRPr="00543999">
        <w:rPr>
          <w:rStyle w:val="Emphasis"/>
          <w:sz w:val="22"/>
          <w:szCs w:val="22"/>
        </w:rPr>
        <w:t>sophore</w:t>
      </w:r>
      <w:proofErr w:type="spellEnd"/>
      <w:r w:rsidRPr="00543999">
        <w:rPr>
          <w:sz w:val="22"/>
          <w:szCs w:val="22"/>
        </w:rPr>
        <w:t xml:space="preserve"> and 11 </w:t>
      </w:r>
      <w:proofErr w:type="spellStart"/>
      <w:r w:rsidRPr="00543999">
        <w:rPr>
          <w:rStyle w:val="Emphasis"/>
          <w:sz w:val="22"/>
          <w:szCs w:val="22"/>
        </w:rPr>
        <w:t>Plesiopuntius</w:t>
      </w:r>
      <w:proofErr w:type="spellEnd"/>
      <w:r w:rsidRPr="00543999">
        <w:rPr>
          <w:rStyle w:val="Emphasis"/>
          <w:sz w:val="22"/>
          <w:szCs w:val="22"/>
        </w:rPr>
        <w:t xml:space="preserve"> </w:t>
      </w:r>
      <w:proofErr w:type="spellStart"/>
      <w:r w:rsidRPr="00543999">
        <w:rPr>
          <w:rStyle w:val="Emphasis"/>
          <w:sz w:val="22"/>
          <w:szCs w:val="22"/>
        </w:rPr>
        <w:t>bimaculatus</w:t>
      </w:r>
      <w:proofErr w:type="spellEnd"/>
      <w:r w:rsidRPr="00543999">
        <w:rPr>
          <w:sz w:val="22"/>
          <w:szCs w:val="22"/>
        </w:rPr>
        <w:t xml:space="preserve">, without detailed sex-specific comparisons. Advanced approaches, including chromosome banding, fluorescence in situ </w:t>
      </w:r>
      <w:proofErr w:type="spellStart"/>
      <w:r w:rsidRPr="00543999">
        <w:rPr>
          <w:sz w:val="22"/>
          <w:szCs w:val="22"/>
        </w:rPr>
        <w:t>hybridisation</w:t>
      </w:r>
      <w:proofErr w:type="spellEnd"/>
      <w:r w:rsidRPr="00543999">
        <w:rPr>
          <w:sz w:val="22"/>
          <w:szCs w:val="22"/>
        </w:rPr>
        <w:t>, and genomic analysis, were not applied; therefore, cryptic chromosomal variation and broader population-level differences could not be fully assessed.</w:t>
      </w:r>
    </w:p>
    <w:p w14:paraId="3431B17A" w14:textId="77777777" w:rsidR="005C45CB" w:rsidRPr="00AE066F" w:rsidRDefault="00000000">
      <w:pPr>
        <w:autoSpaceDE w:val="0"/>
        <w:spacing w:after="0" w:line="360" w:lineRule="auto"/>
        <w:jc w:val="both"/>
        <w:rPr>
          <w:rFonts w:ascii="Arial" w:hAnsi="Arial" w:cs="Arial"/>
          <w:b/>
          <w:bCs/>
          <w:sz w:val="20"/>
          <w:szCs w:val="20"/>
        </w:rPr>
      </w:pPr>
      <w:r w:rsidRPr="00AE066F">
        <w:rPr>
          <w:rFonts w:ascii="Arial" w:hAnsi="Arial" w:cs="Arial"/>
          <w:b/>
          <w:bCs/>
          <w:sz w:val="20"/>
          <w:szCs w:val="20"/>
        </w:rPr>
        <w:t>ACKNOWLEDGEMENTS</w:t>
      </w:r>
    </w:p>
    <w:p w14:paraId="71726365" w14:textId="77777777" w:rsidR="005C45CB" w:rsidRPr="00AE066F" w:rsidRDefault="00000000">
      <w:pPr>
        <w:spacing w:after="0" w:line="360" w:lineRule="auto"/>
        <w:ind w:firstLine="720"/>
        <w:jc w:val="both"/>
        <w:rPr>
          <w:rFonts w:ascii="Arial" w:hAnsi="Arial" w:cs="Arial"/>
          <w:b/>
          <w:sz w:val="20"/>
          <w:szCs w:val="20"/>
          <w:lang w:val="en-IN"/>
        </w:rPr>
      </w:pPr>
      <w:r w:rsidRPr="00AE066F">
        <w:rPr>
          <w:rFonts w:ascii="Arial" w:hAnsi="Arial" w:cs="Arial"/>
          <w:sz w:val="20"/>
          <w:szCs w:val="20"/>
        </w:rPr>
        <w:t>The authors express sincere gratitude to the Science and Engineering Research Board (SERB) for financial support through the Core Research Grant (Sanction No. SERB/CRG/2021/001711, dated 04.01.2022). We also thank Dr. K.G. Sivaramakrishnan and Dr. K. Venkatraman for their valuable encouragement, which enabled the successful completion of this work.</w:t>
      </w:r>
    </w:p>
    <w:p w14:paraId="4C5BFDDF" w14:textId="77777777" w:rsidR="005C45CB" w:rsidRPr="00AE066F" w:rsidRDefault="005C45CB">
      <w:pPr>
        <w:rPr>
          <w:rFonts w:ascii="Arial" w:eastAsia="Calibri" w:hAnsi="Arial" w:cs="Arial"/>
          <w:b/>
          <w:sz w:val="20"/>
          <w:szCs w:val="20"/>
          <w:lang w:val="en-IN"/>
        </w:rPr>
      </w:pPr>
    </w:p>
    <w:p w14:paraId="0027284F" w14:textId="77777777" w:rsidR="005C45CB" w:rsidRPr="00AE066F" w:rsidRDefault="00000000">
      <w:pPr>
        <w:spacing w:after="0" w:line="240" w:lineRule="auto"/>
        <w:rPr>
          <w:rFonts w:ascii="Arial" w:eastAsia="Calibri" w:hAnsi="Arial" w:cs="Arial"/>
          <w:b/>
          <w:lang w:val="en-US"/>
        </w:rPr>
      </w:pPr>
      <w:r w:rsidRPr="00AE066F">
        <w:rPr>
          <w:rFonts w:ascii="Arial" w:eastAsia="Calibri" w:hAnsi="Arial" w:cs="Arial"/>
          <w:b/>
          <w:lang w:val="en-US"/>
        </w:rPr>
        <w:t>DECLARATION OF AI USE</w:t>
      </w:r>
    </w:p>
    <w:p w14:paraId="79421F6F" w14:textId="77777777" w:rsidR="005C45CB" w:rsidRPr="00AE066F" w:rsidRDefault="005C45CB">
      <w:pPr>
        <w:spacing w:after="0" w:line="240" w:lineRule="auto"/>
        <w:rPr>
          <w:rFonts w:ascii="Times New Roman" w:eastAsia="Calibri" w:hAnsi="Times New Roman"/>
          <w:b/>
          <w:lang w:val="en-US"/>
        </w:rPr>
      </w:pPr>
    </w:p>
    <w:p w14:paraId="78BCE321" w14:textId="77777777" w:rsidR="005C45CB" w:rsidRPr="00AE066F" w:rsidRDefault="00000000">
      <w:pPr>
        <w:spacing w:after="0" w:line="360" w:lineRule="auto"/>
        <w:ind w:firstLine="720"/>
        <w:jc w:val="both"/>
        <w:rPr>
          <w:rFonts w:ascii="Arial" w:eastAsia="Calibri" w:hAnsi="Arial" w:cs="Arial"/>
          <w:sz w:val="20"/>
          <w:szCs w:val="20"/>
          <w:lang w:val="en-US"/>
        </w:rPr>
      </w:pPr>
      <w:r w:rsidRPr="00AE066F">
        <w:rPr>
          <w:rFonts w:ascii="Arial" w:eastAsia="Calibri" w:hAnsi="Arial" w:cs="Arial"/>
          <w:sz w:val="20"/>
          <w:szCs w:val="20"/>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and reference formatting. These AI-assisted tools were not used as authors and did not replace the intellectual contributions or scholarly judgement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1625052" w14:textId="77777777" w:rsidR="005C45CB" w:rsidRPr="00AE066F" w:rsidRDefault="005C45CB">
      <w:pPr>
        <w:spacing w:after="0" w:line="360" w:lineRule="auto"/>
        <w:jc w:val="both"/>
        <w:rPr>
          <w:rFonts w:ascii="Arial" w:eastAsia="Calibri" w:hAnsi="Arial" w:cs="Arial"/>
          <w:sz w:val="20"/>
          <w:szCs w:val="20"/>
          <w:lang w:val="en-US"/>
        </w:rPr>
      </w:pPr>
    </w:p>
    <w:p w14:paraId="33AFF97C" w14:textId="08B0DBD0" w:rsidR="005C45CB" w:rsidRPr="00AE066F" w:rsidRDefault="00000000">
      <w:pPr>
        <w:spacing w:after="0" w:line="360" w:lineRule="auto"/>
        <w:jc w:val="both"/>
        <w:rPr>
          <w:rFonts w:ascii="Arial" w:eastAsia="Calibri" w:hAnsi="Arial" w:cs="Arial"/>
          <w:b/>
          <w:bCs/>
          <w:lang w:val="en-US"/>
        </w:rPr>
      </w:pPr>
      <w:r w:rsidRPr="00AE066F">
        <w:rPr>
          <w:rFonts w:ascii="Arial" w:eastAsia="Calibri" w:hAnsi="Arial" w:cs="Arial"/>
          <w:b/>
          <w:bCs/>
          <w:lang w:val="en-US"/>
        </w:rPr>
        <w:t xml:space="preserve">COMPETING INTERESTS </w:t>
      </w:r>
    </w:p>
    <w:p w14:paraId="0102DD86" w14:textId="77777777" w:rsidR="005C45CB" w:rsidRPr="00AE066F" w:rsidRDefault="005C45CB">
      <w:pPr>
        <w:spacing w:after="0" w:line="360" w:lineRule="auto"/>
        <w:jc w:val="both"/>
        <w:rPr>
          <w:rFonts w:ascii="Arial" w:eastAsia="Calibri" w:hAnsi="Arial" w:cs="Arial"/>
          <w:b/>
          <w:bCs/>
          <w:lang w:val="en-US"/>
        </w:rPr>
      </w:pPr>
    </w:p>
    <w:p w14:paraId="65F903A1" w14:textId="77777777" w:rsidR="005C45CB" w:rsidRPr="00AE066F" w:rsidRDefault="00000000">
      <w:pPr>
        <w:spacing w:after="0" w:line="360" w:lineRule="auto"/>
        <w:ind w:firstLine="720"/>
        <w:jc w:val="both"/>
        <w:rPr>
          <w:rFonts w:ascii="Arial" w:eastAsia="Calibri" w:hAnsi="Arial" w:cs="Arial"/>
          <w:sz w:val="20"/>
          <w:szCs w:val="20"/>
          <w:lang w:val="en-US"/>
        </w:rPr>
      </w:pPr>
      <w:r w:rsidRPr="00AE066F">
        <w:rPr>
          <w:rFonts w:ascii="Arial" w:eastAsia="Calibri" w:hAnsi="Arial" w:cs="Arial"/>
          <w:sz w:val="20"/>
          <w:szCs w:val="20"/>
          <w:lang w:val="en-US"/>
        </w:rPr>
        <w:t>Authors have declared that they have no known competing financial interests OR non-financial interests OR personal relationships that could have appeared to influence the work reported in this paper.</w:t>
      </w:r>
    </w:p>
    <w:p w14:paraId="1D0D248D" w14:textId="209BD50D" w:rsidR="005C45CB" w:rsidRPr="00AE066F" w:rsidRDefault="00AB4B32">
      <w:pPr>
        <w:spacing w:line="360" w:lineRule="auto"/>
        <w:jc w:val="both"/>
        <w:rPr>
          <w:rFonts w:ascii="Arial" w:hAnsi="Arial" w:cs="Arial"/>
          <w:lang w:val="en-IN"/>
        </w:rPr>
      </w:pPr>
      <w:r>
        <w:rPr>
          <w:rFonts w:ascii="Arial" w:hAnsi="Arial" w:cs="Arial"/>
          <w:b/>
          <w:bCs/>
          <w:lang w:val="en-IN"/>
        </w:rPr>
        <w:t>DECLARATION</w:t>
      </w:r>
    </w:p>
    <w:p w14:paraId="1C3FEF85" w14:textId="77777777" w:rsidR="005C45CB" w:rsidRPr="00AE066F" w:rsidRDefault="00000000">
      <w:pPr>
        <w:spacing w:line="360" w:lineRule="auto"/>
        <w:ind w:firstLine="720"/>
        <w:jc w:val="both"/>
      </w:pPr>
      <w:r w:rsidRPr="00AE066F">
        <w:rPr>
          <w:rFonts w:ascii="Arial" w:hAnsi="Arial" w:cs="Arial"/>
          <w:sz w:val="20"/>
          <w:szCs w:val="20"/>
          <w:lang w:val="en-IN"/>
        </w:rPr>
        <w:t xml:space="preserve">The species investigated, </w:t>
      </w:r>
      <w:r w:rsidRPr="00AE066F">
        <w:rPr>
          <w:rFonts w:ascii="Arial" w:hAnsi="Arial" w:cs="Arial"/>
          <w:b/>
          <w:bCs/>
          <w:i/>
          <w:iCs/>
          <w:sz w:val="20"/>
          <w:szCs w:val="20"/>
          <w:lang w:val="en-IN"/>
        </w:rPr>
        <w:t xml:space="preserve">Puntius </w:t>
      </w:r>
      <w:proofErr w:type="spellStart"/>
      <w:r w:rsidRPr="00AE066F">
        <w:rPr>
          <w:rFonts w:ascii="Arial" w:hAnsi="Arial" w:cs="Arial"/>
          <w:b/>
          <w:bCs/>
          <w:i/>
          <w:iCs/>
          <w:sz w:val="20"/>
          <w:szCs w:val="20"/>
          <w:lang w:val="en-IN"/>
        </w:rPr>
        <w:t>sophore</w:t>
      </w:r>
      <w:proofErr w:type="spellEnd"/>
      <w:r w:rsidRPr="00AE066F">
        <w:rPr>
          <w:rFonts w:ascii="Arial" w:hAnsi="Arial" w:cs="Arial"/>
          <w:sz w:val="20"/>
          <w:szCs w:val="20"/>
          <w:lang w:val="en-IN"/>
        </w:rPr>
        <w:t xml:space="preserve"> and </w:t>
      </w:r>
      <w:proofErr w:type="spellStart"/>
      <w:r w:rsidRPr="00AE066F">
        <w:rPr>
          <w:rFonts w:ascii="Arial" w:hAnsi="Arial" w:cs="Arial"/>
          <w:b/>
          <w:bCs/>
          <w:i/>
          <w:iCs/>
          <w:sz w:val="20"/>
          <w:szCs w:val="20"/>
          <w:lang w:val="en-IN"/>
        </w:rPr>
        <w:t>Plesiopuntius</w:t>
      </w:r>
      <w:proofErr w:type="spellEnd"/>
      <w:r w:rsidRPr="00AE066F">
        <w:rPr>
          <w:rFonts w:ascii="Arial" w:hAnsi="Arial" w:cs="Arial"/>
          <w:b/>
          <w:bCs/>
          <w:i/>
          <w:iCs/>
          <w:sz w:val="20"/>
          <w:szCs w:val="20"/>
          <w:lang w:val="en-IN"/>
        </w:rPr>
        <w:t xml:space="preserve"> </w:t>
      </w:r>
      <w:proofErr w:type="spellStart"/>
      <w:r w:rsidRPr="00AE066F">
        <w:rPr>
          <w:rFonts w:ascii="Arial" w:hAnsi="Arial" w:cs="Arial"/>
          <w:b/>
          <w:bCs/>
          <w:i/>
          <w:iCs/>
          <w:sz w:val="20"/>
          <w:szCs w:val="20"/>
          <w:lang w:val="en-IN"/>
        </w:rPr>
        <w:t>bimaculatus</w:t>
      </w:r>
      <w:proofErr w:type="spellEnd"/>
      <w:r w:rsidRPr="00AE066F">
        <w:rPr>
          <w:rFonts w:ascii="Arial" w:hAnsi="Arial" w:cs="Arial"/>
          <w:sz w:val="20"/>
          <w:szCs w:val="20"/>
          <w:lang w:val="en-IN"/>
        </w:rPr>
        <w:t xml:space="preserve">, are widely distributed, highly abundant shoaling fishes that are commonly harvested for human consumption. As the study utilized common food fish obtained from a commercial source and does not involve endangered or protected fauna, formal institutional animal ethics clearance was not mandatory for this research. Nevertheless, the authors ensured that the specimens were treated humanely: they were transported in aerated bags, acclimatized in laboratory tanks for four days with artificial feed, and </w:t>
      </w:r>
      <w:r w:rsidRPr="00AE066F">
        <w:rPr>
          <w:rFonts w:ascii="Arial" w:hAnsi="Arial" w:cs="Arial"/>
          <w:b/>
          <w:bCs/>
          <w:sz w:val="20"/>
          <w:szCs w:val="20"/>
          <w:lang w:val="en-IN"/>
        </w:rPr>
        <w:t>anaesthetized prior to sacrifice</w:t>
      </w:r>
      <w:r w:rsidRPr="00AE066F">
        <w:rPr>
          <w:rFonts w:ascii="Arial" w:hAnsi="Arial" w:cs="Arial"/>
          <w:sz w:val="20"/>
          <w:szCs w:val="20"/>
          <w:lang w:val="en-IN"/>
        </w:rPr>
        <w:t xml:space="preserve"> to minimize distress, following standard protocols for fish cytogenetic preparations</w:t>
      </w:r>
    </w:p>
    <w:p w14:paraId="5BD480EE" w14:textId="77777777" w:rsidR="005C45CB" w:rsidRPr="00AE066F" w:rsidRDefault="00000000">
      <w:pPr>
        <w:spacing w:after="0" w:line="360" w:lineRule="auto"/>
        <w:jc w:val="both"/>
        <w:rPr>
          <w:b/>
          <w:bCs/>
          <w:lang w:val="en-IN"/>
        </w:rPr>
      </w:pPr>
      <w:r w:rsidRPr="00AE066F">
        <w:rPr>
          <w:rFonts w:ascii="Arial" w:hAnsi="Arial" w:cs="Arial"/>
          <w:b/>
          <w:bCs/>
          <w:lang w:val="en-IN"/>
        </w:rPr>
        <w:t>COLLECTION PERMISSIONS</w:t>
      </w:r>
    </w:p>
    <w:p w14:paraId="02630C79" w14:textId="77777777" w:rsidR="005C45CB" w:rsidRPr="00AE066F" w:rsidRDefault="00000000">
      <w:pPr>
        <w:spacing w:after="0" w:line="360" w:lineRule="auto"/>
        <w:jc w:val="both"/>
        <w:rPr>
          <w:rFonts w:ascii="Arial" w:hAnsi="Arial" w:cs="Arial"/>
          <w:sz w:val="20"/>
          <w:szCs w:val="20"/>
        </w:rPr>
      </w:pPr>
      <w:r w:rsidRPr="00AE066F">
        <w:rPr>
          <w:rFonts w:eastAsia="Calibri" w:cs="Calibri"/>
          <w:lang w:val="en-IN"/>
        </w:rPr>
        <w:t xml:space="preserve"> </w:t>
      </w:r>
      <w:r w:rsidRPr="00AE066F">
        <w:rPr>
          <w:lang w:val="en-IN"/>
        </w:rPr>
        <w:tab/>
      </w:r>
      <w:r w:rsidRPr="00AE066F">
        <w:rPr>
          <w:rFonts w:ascii="Arial" w:hAnsi="Arial" w:cs="Arial"/>
          <w:sz w:val="20"/>
          <w:szCs w:val="20"/>
          <w:lang w:val="en-IN"/>
        </w:rPr>
        <w:t xml:space="preserve">The fish specimens were collected from the </w:t>
      </w:r>
      <w:proofErr w:type="spellStart"/>
      <w:r w:rsidRPr="00AE066F">
        <w:rPr>
          <w:rFonts w:ascii="Arial" w:hAnsi="Arial" w:cs="Arial"/>
          <w:b/>
          <w:bCs/>
          <w:sz w:val="20"/>
          <w:szCs w:val="20"/>
          <w:lang w:val="en-IN"/>
        </w:rPr>
        <w:t>Gadana</w:t>
      </w:r>
      <w:proofErr w:type="spellEnd"/>
      <w:r w:rsidRPr="00AE066F">
        <w:rPr>
          <w:rFonts w:ascii="Arial" w:hAnsi="Arial" w:cs="Arial"/>
          <w:b/>
          <w:bCs/>
          <w:sz w:val="20"/>
          <w:szCs w:val="20"/>
          <w:lang w:val="en-IN"/>
        </w:rPr>
        <w:t xml:space="preserve"> River</w:t>
      </w:r>
      <w:r w:rsidRPr="00AE066F">
        <w:rPr>
          <w:rFonts w:ascii="Arial" w:hAnsi="Arial" w:cs="Arial"/>
          <w:sz w:val="20"/>
          <w:szCs w:val="20"/>
          <w:lang w:val="en-IN"/>
        </w:rPr>
        <w:t xml:space="preserve"> at specific sites located </w:t>
      </w:r>
      <w:r w:rsidRPr="00AE066F">
        <w:rPr>
          <w:rFonts w:ascii="Arial" w:hAnsi="Arial" w:cs="Arial"/>
          <w:b/>
          <w:bCs/>
          <w:sz w:val="20"/>
          <w:szCs w:val="20"/>
          <w:lang w:val="en-IN"/>
        </w:rPr>
        <w:t>outside of protected areas</w:t>
      </w:r>
      <w:r w:rsidRPr="00AE066F">
        <w:rPr>
          <w:rFonts w:ascii="Arial" w:hAnsi="Arial" w:cs="Arial"/>
          <w:sz w:val="20"/>
          <w:szCs w:val="20"/>
          <w:lang w:val="en-IN"/>
        </w:rPr>
        <w:t xml:space="preserve">, such as National Parks or Wildlife Sanctuaries. The specimens were procured directly from local fishermen as part of their routine commercial catch of </w:t>
      </w:r>
      <w:r w:rsidRPr="00AE066F">
        <w:rPr>
          <w:rFonts w:ascii="Arial" w:hAnsi="Arial" w:cs="Arial"/>
          <w:b/>
          <w:bCs/>
          <w:sz w:val="20"/>
          <w:szCs w:val="20"/>
          <w:lang w:val="en-IN"/>
        </w:rPr>
        <w:t>common food fish</w:t>
      </w:r>
      <w:r w:rsidRPr="00AE066F">
        <w:rPr>
          <w:rFonts w:ascii="Arial" w:hAnsi="Arial" w:cs="Arial"/>
          <w:sz w:val="20"/>
          <w:szCs w:val="20"/>
          <w:lang w:val="en-IN"/>
        </w:rPr>
        <w:t>. Because the sampling was conducted in non-restricted public waters and involved only common, non-endangered species, formal field collection permits from the Forest Department were not required for this study.</w:t>
      </w:r>
    </w:p>
    <w:p w14:paraId="2CE2218D" w14:textId="77777777" w:rsidR="005C45CB" w:rsidRPr="00AE066F" w:rsidRDefault="005C45CB">
      <w:pPr>
        <w:spacing w:after="0" w:line="360" w:lineRule="auto"/>
        <w:ind w:firstLine="720"/>
        <w:jc w:val="both"/>
        <w:rPr>
          <w:rFonts w:ascii="Arial" w:hAnsi="Arial" w:cs="Arial"/>
          <w:sz w:val="20"/>
          <w:szCs w:val="20"/>
        </w:rPr>
      </w:pPr>
    </w:p>
    <w:p w14:paraId="7A2DDC6A" w14:textId="77777777" w:rsidR="005C45CB" w:rsidRDefault="00000000">
      <w:pPr>
        <w:spacing w:after="0" w:line="480" w:lineRule="auto"/>
        <w:jc w:val="both"/>
        <w:rPr>
          <w:rFonts w:ascii="Arial" w:hAnsi="Arial" w:cs="Arial"/>
          <w:b/>
          <w:lang w:val="es-US"/>
        </w:rPr>
      </w:pPr>
      <w:r w:rsidRPr="00CA3F25">
        <w:rPr>
          <w:rFonts w:ascii="Arial" w:hAnsi="Arial" w:cs="Arial"/>
          <w:b/>
          <w:lang w:val="es-US"/>
        </w:rPr>
        <w:t>REFERENCES</w:t>
      </w:r>
    </w:p>
    <w:p w14:paraId="33EDD669"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Arunachalam, M., Johnson, J. A., </w:t>
      </w:r>
      <w:proofErr w:type="spellStart"/>
      <w:r w:rsidRPr="00905F9D">
        <w:rPr>
          <w:rFonts w:ascii="Times New Roman" w:hAnsi="Times New Roman"/>
          <w:sz w:val="24"/>
          <w:szCs w:val="24"/>
          <w:lang w:val="en-US" w:eastAsia="en-US"/>
        </w:rPr>
        <w:t>Sathyanarayanappa</w:t>
      </w:r>
      <w:proofErr w:type="spellEnd"/>
      <w:r w:rsidRPr="00905F9D">
        <w:rPr>
          <w:rFonts w:ascii="Times New Roman" w:hAnsi="Times New Roman"/>
          <w:sz w:val="24"/>
          <w:szCs w:val="24"/>
          <w:lang w:val="en-US" w:eastAsia="en-US"/>
        </w:rPr>
        <w:t xml:space="preserve">, S. N., Sankaranarayanan, A., &amp; Sornam, R. (2000). Cultivable and ornamental fishes from Hemavathi and </w:t>
      </w:r>
      <w:proofErr w:type="spellStart"/>
      <w:r w:rsidRPr="00905F9D">
        <w:rPr>
          <w:rFonts w:ascii="Times New Roman" w:hAnsi="Times New Roman"/>
          <w:sz w:val="24"/>
          <w:szCs w:val="24"/>
          <w:lang w:val="en-US" w:eastAsia="en-US"/>
        </w:rPr>
        <w:t>Ekachi</w:t>
      </w:r>
      <w:proofErr w:type="spellEnd"/>
      <w:r w:rsidRPr="00905F9D">
        <w:rPr>
          <w:rFonts w:ascii="Times New Roman" w:hAnsi="Times New Roman"/>
          <w:sz w:val="24"/>
          <w:szCs w:val="24"/>
          <w:lang w:val="en-US" w:eastAsia="en-US"/>
        </w:rPr>
        <w:t xml:space="preserve"> rivers, South Karnataka. In A. G. Ponniah and A. Gopalakrishnan (Eds.), </w:t>
      </w:r>
      <w:r w:rsidRPr="00905F9D">
        <w:rPr>
          <w:rFonts w:ascii="Times New Roman" w:hAnsi="Times New Roman"/>
          <w:i/>
          <w:iCs/>
          <w:sz w:val="24"/>
          <w:szCs w:val="24"/>
          <w:lang w:val="en-US" w:eastAsia="en-US"/>
        </w:rPr>
        <w:t xml:space="preserve">Endemic fish diversity of Western </w:t>
      </w:r>
      <w:r w:rsidRPr="00905F9D">
        <w:rPr>
          <w:rFonts w:ascii="Times New Roman" w:hAnsi="Times New Roman"/>
          <w:i/>
          <w:iCs/>
          <w:sz w:val="24"/>
          <w:szCs w:val="24"/>
          <w:lang w:val="en-US" w:eastAsia="en-US"/>
        </w:rPr>
        <w:lastRenderedPageBreak/>
        <w:t>Ghats</w:t>
      </w:r>
      <w:r w:rsidRPr="00905F9D">
        <w:rPr>
          <w:rFonts w:ascii="Times New Roman" w:hAnsi="Times New Roman"/>
          <w:sz w:val="24"/>
          <w:szCs w:val="24"/>
          <w:lang w:val="en-US" w:eastAsia="en-US"/>
        </w:rPr>
        <w:t xml:space="preserve"> (pp. 226–227). National Bureau of Fish Genetic Resources. </w:t>
      </w:r>
      <w:hyperlink r:id="rId12" w:history="1">
        <w:r w:rsidRPr="00905F9D">
          <w:rPr>
            <w:rFonts w:ascii="Times New Roman" w:hAnsi="Times New Roman"/>
            <w:color w:val="0000FF"/>
            <w:sz w:val="24"/>
            <w:szCs w:val="24"/>
            <w:u w:val="single"/>
            <w:lang w:val="en-US" w:eastAsia="en-US"/>
          </w:rPr>
          <w:t>https://www.msuniv.ac.in/faculty_details.php?department_id=41&amp;faculty_id=229&amp;menu=Publications</w:t>
        </w:r>
      </w:hyperlink>
    </w:p>
    <w:p w14:paraId="46474FB7" w14:textId="524F7C96"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Arunachalam, M., Sivakumar, P., &amp; Muralidharan, M. (2005). Habitat evaluation of pristine headwater streams of the Western Ghats mountain ranges, Peninsular India. In M. S. Johal (Ed.), </w:t>
      </w:r>
      <w:r w:rsidRPr="00905F9D">
        <w:rPr>
          <w:rFonts w:ascii="Times New Roman" w:hAnsi="Times New Roman"/>
          <w:i/>
          <w:iCs/>
          <w:sz w:val="24"/>
          <w:szCs w:val="24"/>
          <w:lang w:val="en-US" w:eastAsia="en-US"/>
        </w:rPr>
        <w:t>New trends in fishery development in India</w:t>
      </w:r>
      <w:r w:rsidRPr="00905F9D">
        <w:rPr>
          <w:rFonts w:ascii="Times New Roman" w:hAnsi="Times New Roman"/>
          <w:sz w:val="24"/>
          <w:szCs w:val="24"/>
          <w:lang w:val="en-US" w:eastAsia="en-US"/>
        </w:rPr>
        <w:t xml:space="preserve"> (pp. 253–286). Panjab University. </w:t>
      </w:r>
    </w:p>
    <w:p w14:paraId="38C9F1FA"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Barat, A. (1985). </w:t>
      </w:r>
      <w:r w:rsidRPr="00905F9D">
        <w:rPr>
          <w:rFonts w:ascii="Times New Roman" w:hAnsi="Times New Roman"/>
          <w:i/>
          <w:iCs/>
          <w:sz w:val="24"/>
          <w:szCs w:val="24"/>
          <w:lang w:val="en-US" w:eastAsia="en-US"/>
        </w:rPr>
        <w:t xml:space="preserve">A study of chromosomes in some Indian </w:t>
      </w:r>
      <w:proofErr w:type="spellStart"/>
      <w:r w:rsidRPr="00905F9D">
        <w:rPr>
          <w:rFonts w:ascii="Times New Roman" w:hAnsi="Times New Roman"/>
          <w:i/>
          <w:iCs/>
          <w:sz w:val="24"/>
          <w:szCs w:val="24"/>
          <w:lang w:val="en-US" w:eastAsia="en-US"/>
        </w:rPr>
        <w:t>teleosts</w:t>
      </w:r>
      <w:proofErr w:type="spellEnd"/>
      <w:r w:rsidRPr="00905F9D">
        <w:rPr>
          <w:rFonts w:ascii="Times New Roman" w:hAnsi="Times New Roman"/>
          <w:i/>
          <w:iCs/>
          <w:sz w:val="24"/>
          <w:szCs w:val="24"/>
          <w:lang w:val="en-US" w:eastAsia="en-US"/>
        </w:rPr>
        <w:t xml:space="preserve"> (Pisces)</w:t>
      </w:r>
      <w:r w:rsidRPr="00905F9D">
        <w:rPr>
          <w:rFonts w:ascii="Times New Roman" w:hAnsi="Times New Roman"/>
          <w:sz w:val="24"/>
          <w:szCs w:val="24"/>
          <w:lang w:val="en-US" w:eastAsia="en-US"/>
        </w:rPr>
        <w:t xml:space="preserve"> [Doctoral dissertation, University of Kalyani]. </w:t>
      </w:r>
      <w:hyperlink r:id="rId13" w:history="1">
        <w:r w:rsidRPr="00905F9D">
          <w:rPr>
            <w:rFonts w:ascii="Times New Roman" w:hAnsi="Times New Roman"/>
            <w:color w:val="0000FF"/>
            <w:sz w:val="24"/>
            <w:szCs w:val="24"/>
            <w:u w:val="single"/>
            <w:lang w:val="en-US" w:eastAsia="en-US"/>
          </w:rPr>
          <w:t>https://mail.nbfgr.res.in/Fish_Karyome/detailview.php?358=</w:t>
        </w:r>
      </w:hyperlink>
    </w:p>
    <w:p w14:paraId="3654DD23" w14:textId="4E6B72D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Barat, A., &amp; Sahoo, P. K. (2001). Chromosomal polymorphism in fish. In G. K. Manna and S. C. Roy (Eds.), </w:t>
      </w:r>
      <w:r w:rsidRPr="00905F9D">
        <w:rPr>
          <w:rFonts w:ascii="Times New Roman" w:hAnsi="Times New Roman"/>
          <w:i/>
          <w:iCs/>
          <w:sz w:val="24"/>
          <w:szCs w:val="24"/>
          <w:lang w:val="en-US" w:eastAsia="en-US"/>
        </w:rPr>
        <w:t>Perspectives in cytology and genetics</w:t>
      </w:r>
      <w:r w:rsidRPr="00905F9D">
        <w:rPr>
          <w:rFonts w:ascii="Times New Roman" w:hAnsi="Times New Roman"/>
          <w:sz w:val="24"/>
          <w:szCs w:val="24"/>
          <w:lang w:val="en-US" w:eastAsia="en-US"/>
        </w:rPr>
        <w:t xml:space="preserve"> (Vol. 10, pp. 591–598). AICCG Publications. </w:t>
      </w:r>
    </w:p>
    <w:p w14:paraId="70B44EF8"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Bertollo, L. A. C., Oliveira, C., Molina, W. F., Margarido, V. P., Fontes, M. S., Pastori, M. C., Falcão, J. das N., &amp; </w:t>
      </w:r>
      <w:proofErr w:type="spellStart"/>
      <w:r w:rsidRPr="00905F9D">
        <w:rPr>
          <w:rFonts w:ascii="Times New Roman" w:hAnsi="Times New Roman"/>
          <w:sz w:val="24"/>
          <w:szCs w:val="24"/>
          <w:lang w:val="en-US" w:eastAsia="en-US"/>
        </w:rPr>
        <w:t>Fenocchio</w:t>
      </w:r>
      <w:proofErr w:type="spellEnd"/>
      <w:r w:rsidRPr="00905F9D">
        <w:rPr>
          <w:rFonts w:ascii="Times New Roman" w:hAnsi="Times New Roman"/>
          <w:sz w:val="24"/>
          <w:szCs w:val="24"/>
          <w:lang w:val="en-US" w:eastAsia="en-US"/>
        </w:rPr>
        <w:t xml:space="preserve">, A. S. (2004). Chromosome evolution in the erythrinid fish, </w:t>
      </w:r>
      <w:proofErr w:type="spellStart"/>
      <w:r w:rsidRPr="00905F9D">
        <w:rPr>
          <w:rFonts w:ascii="Times New Roman" w:hAnsi="Times New Roman"/>
          <w:i/>
          <w:iCs/>
          <w:sz w:val="24"/>
          <w:szCs w:val="24"/>
          <w:lang w:val="en-US" w:eastAsia="en-US"/>
        </w:rPr>
        <w:t>Erythrinus</w:t>
      </w:r>
      <w:proofErr w:type="spellEnd"/>
      <w:r w:rsidRPr="00905F9D">
        <w:rPr>
          <w:rFonts w:ascii="Times New Roman" w:hAnsi="Times New Roman"/>
          <w:i/>
          <w:iCs/>
          <w:sz w:val="24"/>
          <w:szCs w:val="24"/>
          <w:lang w:val="en-US" w:eastAsia="en-US"/>
        </w:rPr>
        <w:t xml:space="preserve"> </w:t>
      </w:r>
      <w:proofErr w:type="spellStart"/>
      <w:r w:rsidRPr="00905F9D">
        <w:rPr>
          <w:rFonts w:ascii="Times New Roman" w:hAnsi="Times New Roman"/>
          <w:i/>
          <w:iCs/>
          <w:sz w:val="24"/>
          <w:szCs w:val="24"/>
          <w:lang w:val="en-US" w:eastAsia="en-US"/>
        </w:rPr>
        <w:t>erythrinus</w:t>
      </w:r>
      <w:proofErr w:type="spellEnd"/>
      <w:r w:rsidRPr="00905F9D">
        <w:rPr>
          <w:rFonts w:ascii="Times New Roman" w:hAnsi="Times New Roman"/>
          <w:sz w:val="24"/>
          <w:szCs w:val="24"/>
          <w:lang w:val="en-US" w:eastAsia="en-US"/>
        </w:rPr>
        <w:t xml:space="preserve"> (Teleostei: </w:t>
      </w:r>
      <w:proofErr w:type="spellStart"/>
      <w:r w:rsidRPr="00905F9D">
        <w:rPr>
          <w:rFonts w:ascii="Times New Roman" w:hAnsi="Times New Roman"/>
          <w:sz w:val="24"/>
          <w:szCs w:val="24"/>
          <w:lang w:val="en-US" w:eastAsia="en-US"/>
        </w:rPr>
        <w:t>Characiformes</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Heredity, 93</w:t>
      </w:r>
      <w:r w:rsidRPr="00905F9D">
        <w:rPr>
          <w:rFonts w:ascii="Times New Roman" w:hAnsi="Times New Roman"/>
          <w:sz w:val="24"/>
          <w:szCs w:val="24"/>
          <w:lang w:val="en-US" w:eastAsia="en-US"/>
        </w:rPr>
        <w:t xml:space="preserve">(2), 228–233. </w:t>
      </w:r>
      <w:hyperlink r:id="rId14" w:history="1">
        <w:r w:rsidRPr="00905F9D">
          <w:rPr>
            <w:rFonts w:ascii="Times New Roman" w:hAnsi="Times New Roman"/>
            <w:color w:val="0000FF"/>
            <w:sz w:val="24"/>
            <w:szCs w:val="24"/>
            <w:u w:val="single"/>
            <w:lang w:val="en-US" w:eastAsia="en-US"/>
          </w:rPr>
          <w:t>https://doi.org/10.1038/sj.hdy.6800511</w:t>
        </w:r>
      </w:hyperlink>
    </w:p>
    <w:p w14:paraId="5046765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Bian, C., Huan, R., &amp; Shi, Q. (2025). Telomere-to-telomere chromosome-scale genome assemblies of black and golden koi carp variants support construction of an ancient karyotype of Cypriniformes. </w:t>
      </w:r>
      <w:proofErr w:type="spellStart"/>
      <w:r w:rsidRPr="00905F9D">
        <w:rPr>
          <w:rFonts w:ascii="Times New Roman" w:hAnsi="Times New Roman"/>
          <w:i/>
          <w:iCs/>
          <w:sz w:val="24"/>
          <w:szCs w:val="24"/>
          <w:lang w:val="en-US" w:eastAsia="en-US"/>
        </w:rPr>
        <w:t>GigaScience</w:t>
      </w:r>
      <w:proofErr w:type="spellEnd"/>
      <w:r w:rsidRPr="00905F9D">
        <w:rPr>
          <w:rFonts w:ascii="Times New Roman" w:hAnsi="Times New Roman"/>
          <w:i/>
          <w:iCs/>
          <w:sz w:val="24"/>
          <w:szCs w:val="24"/>
          <w:lang w:val="en-US" w:eastAsia="en-US"/>
        </w:rPr>
        <w:t>, 14</w:t>
      </w:r>
      <w:r w:rsidRPr="00905F9D">
        <w:rPr>
          <w:rFonts w:ascii="Times New Roman" w:hAnsi="Times New Roman"/>
          <w:sz w:val="24"/>
          <w:szCs w:val="24"/>
          <w:lang w:val="en-US" w:eastAsia="en-US"/>
        </w:rPr>
        <w:t xml:space="preserve">, giaf073. </w:t>
      </w:r>
      <w:hyperlink r:id="rId15" w:history="1">
        <w:r w:rsidRPr="00905F9D">
          <w:rPr>
            <w:rFonts w:ascii="Times New Roman" w:hAnsi="Times New Roman"/>
            <w:color w:val="0000FF"/>
            <w:sz w:val="24"/>
            <w:szCs w:val="24"/>
            <w:u w:val="single"/>
            <w:lang w:val="en-US" w:eastAsia="en-US"/>
          </w:rPr>
          <w:t>https://doi.org/10.1093/gigascience/giaf073</w:t>
        </w:r>
      </w:hyperlink>
    </w:p>
    <w:p w14:paraId="3A3666A2"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Biswal, J. R., Sahoo, P. K., &amp; Mohanty, P. K. (2010). Karyotypic diversity of some freshwater fish species in rural ponds of Orissa, India. </w:t>
      </w:r>
      <w:proofErr w:type="spellStart"/>
      <w:r w:rsidRPr="00905F9D">
        <w:rPr>
          <w:rFonts w:ascii="Times New Roman" w:hAnsi="Times New Roman"/>
          <w:i/>
          <w:iCs/>
          <w:sz w:val="24"/>
          <w:szCs w:val="24"/>
          <w:lang w:val="en-US" w:eastAsia="en-US"/>
        </w:rPr>
        <w:t>Cytologia</w:t>
      </w:r>
      <w:proofErr w:type="spellEnd"/>
      <w:r w:rsidRPr="00905F9D">
        <w:rPr>
          <w:rFonts w:ascii="Times New Roman" w:hAnsi="Times New Roman"/>
          <w:i/>
          <w:iCs/>
          <w:sz w:val="24"/>
          <w:szCs w:val="24"/>
          <w:lang w:val="en-US" w:eastAsia="en-US"/>
        </w:rPr>
        <w:t>, 75</w:t>
      </w:r>
      <w:r w:rsidRPr="00905F9D">
        <w:rPr>
          <w:rFonts w:ascii="Times New Roman" w:hAnsi="Times New Roman"/>
          <w:sz w:val="24"/>
          <w:szCs w:val="24"/>
          <w:lang w:val="en-US" w:eastAsia="en-US"/>
        </w:rPr>
        <w:t xml:space="preserve">(3), 237–242. </w:t>
      </w:r>
      <w:hyperlink r:id="rId16" w:history="1">
        <w:r w:rsidRPr="00905F9D">
          <w:rPr>
            <w:rFonts w:ascii="Times New Roman" w:hAnsi="Times New Roman"/>
            <w:color w:val="0000FF"/>
            <w:sz w:val="24"/>
            <w:szCs w:val="24"/>
            <w:u w:val="single"/>
            <w:lang w:val="en-US" w:eastAsia="en-US"/>
          </w:rPr>
          <w:t>https://doi.org/10.1508/cytologia.75.237</w:t>
        </w:r>
      </w:hyperlink>
    </w:p>
    <w:p w14:paraId="540C20D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t>Buasriyot</w:t>
      </w:r>
      <w:proofErr w:type="spellEnd"/>
      <w:r w:rsidRPr="00905F9D">
        <w:rPr>
          <w:rFonts w:ascii="Times New Roman" w:hAnsi="Times New Roman"/>
          <w:sz w:val="24"/>
          <w:szCs w:val="24"/>
          <w:lang w:val="en-US" w:eastAsia="en-US"/>
        </w:rPr>
        <w:t xml:space="preserve">, P., Sassi, F. de M. C., </w:t>
      </w:r>
      <w:proofErr w:type="spellStart"/>
      <w:r w:rsidRPr="00905F9D">
        <w:rPr>
          <w:rFonts w:ascii="Times New Roman" w:hAnsi="Times New Roman"/>
          <w:sz w:val="24"/>
          <w:szCs w:val="24"/>
          <w:lang w:val="en-US" w:eastAsia="en-US"/>
        </w:rPr>
        <w:t>Donbundit</w:t>
      </w:r>
      <w:proofErr w:type="spellEnd"/>
      <w:r w:rsidRPr="00905F9D">
        <w:rPr>
          <w:rFonts w:ascii="Times New Roman" w:hAnsi="Times New Roman"/>
          <w:sz w:val="24"/>
          <w:szCs w:val="24"/>
          <w:lang w:val="en-US" w:eastAsia="en-US"/>
        </w:rPr>
        <w:t xml:space="preserve">, N., </w:t>
      </w:r>
      <w:proofErr w:type="spellStart"/>
      <w:r w:rsidRPr="00905F9D">
        <w:rPr>
          <w:rFonts w:ascii="Times New Roman" w:hAnsi="Times New Roman"/>
          <w:sz w:val="24"/>
          <w:szCs w:val="24"/>
          <w:lang w:val="en-US" w:eastAsia="en-US"/>
        </w:rPr>
        <w:t>Supiwong</w:t>
      </w:r>
      <w:proofErr w:type="spellEnd"/>
      <w:r w:rsidRPr="00905F9D">
        <w:rPr>
          <w:rFonts w:ascii="Times New Roman" w:hAnsi="Times New Roman"/>
          <w:sz w:val="24"/>
          <w:szCs w:val="24"/>
          <w:lang w:val="en-US" w:eastAsia="en-US"/>
        </w:rPr>
        <w:t xml:space="preserve">, W., </w:t>
      </w:r>
      <w:proofErr w:type="spellStart"/>
      <w:r w:rsidRPr="00905F9D">
        <w:rPr>
          <w:rFonts w:ascii="Times New Roman" w:hAnsi="Times New Roman"/>
          <w:sz w:val="24"/>
          <w:szCs w:val="24"/>
          <w:lang w:val="en-US" w:eastAsia="en-US"/>
        </w:rPr>
        <w:t>Kaewsri</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Jumrusthanasan</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Seetapan</w:t>
      </w:r>
      <w:proofErr w:type="spellEnd"/>
      <w:r w:rsidRPr="00905F9D">
        <w:rPr>
          <w:rFonts w:ascii="Times New Roman" w:hAnsi="Times New Roman"/>
          <w:sz w:val="24"/>
          <w:szCs w:val="24"/>
          <w:lang w:val="en-US" w:eastAsia="en-US"/>
        </w:rPr>
        <w:t xml:space="preserve">, K., Pinthong, K., </w:t>
      </w:r>
      <w:proofErr w:type="spellStart"/>
      <w:r w:rsidRPr="00905F9D">
        <w:rPr>
          <w:rFonts w:ascii="Times New Roman" w:hAnsi="Times New Roman"/>
          <w:sz w:val="24"/>
          <w:szCs w:val="24"/>
          <w:lang w:val="en-US" w:eastAsia="en-US"/>
        </w:rPr>
        <w:t>Tanomtong</w:t>
      </w:r>
      <w:proofErr w:type="spellEnd"/>
      <w:r w:rsidRPr="00905F9D">
        <w:rPr>
          <w:rFonts w:ascii="Times New Roman" w:hAnsi="Times New Roman"/>
          <w:sz w:val="24"/>
          <w:szCs w:val="24"/>
          <w:lang w:val="en-US" w:eastAsia="en-US"/>
        </w:rPr>
        <w:t xml:space="preserve">, A., </w:t>
      </w:r>
      <w:proofErr w:type="spellStart"/>
      <w:r w:rsidRPr="00905F9D">
        <w:rPr>
          <w:rFonts w:ascii="Times New Roman" w:hAnsi="Times New Roman"/>
          <w:sz w:val="24"/>
          <w:szCs w:val="24"/>
          <w:lang w:val="en-US" w:eastAsia="en-US"/>
        </w:rPr>
        <w:t>Yanukun</w:t>
      </w:r>
      <w:proofErr w:type="spellEnd"/>
      <w:r w:rsidRPr="00905F9D">
        <w:rPr>
          <w:rFonts w:ascii="Times New Roman" w:hAnsi="Times New Roman"/>
          <w:sz w:val="24"/>
          <w:szCs w:val="24"/>
          <w:lang w:val="en-US" w:eastAsia="en-US"/>
        </w:rPr>
        <w:t xml:space="preserve">, K., </w:t>
      </w:r>
      <w:proofErr w:type="spellStart"/>
      <w:r w:rsidRPr="00905F9D">
        <w:rPr>
          <w:rFonts w:ascii="Times New Roman" w:hAnsi="Times New Roman"/>
          <w:sz w:val="24"/>
          <w:szCs w:val="24"/>
          <w:lang w:val="en-US" w:eastAsia="en-US"/>
        </w:rPr>
        <w:t>Muanglen</w:t>
      </w:r>
      <w:proofErr w:type="spellEnd"/>
      <w:r w:rsidRPr="00905F9D">
        <w:rPr>
          <w:rFonts w:ascii="Times New Roman" w:hAnsi="Times New Roman"/>
          <w:sz w:val="24"/>
          <w:szCs w:val="24"/>
          <w:lang w:val="en-US" w:eastAsia="en-US"/>
        </w:rPr>
        <w:t>, N., Liehr, T., &amp; Cioffi, M. de B. (2024). Comparative karyotypic study of fifteen cyprinids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w:t>
      </w:r>
      <w:proofErr w:type="spellStart"/>
      <w:r w:rsidRPr="00905F9D">
        <w:rPr>
          <w:rFonts w:ascii="Times New Roman" w:hAnsi="Times New Roman"/>
          <w:sz w:val="24"/>
          <w:szCs w:val="24"/>
          <w:lang w:val="en-US" w:eastAsia="en-US"/>
        </w:rPr>
        <w:t>Cyprininae</w:t>
      </w:r>
      <w:proofErr w:type="spellEnd"/>
      <w:r w:rsidRPr="00905F9D">
        <w:rPr>
          <w:rFonts w:ascii="Times New Roman" w:hAnsi="Times New Roman"/>
          <w:sz w:val="24"/>
          <w:szCs w:val="24"/>
          <w:lang w:val="en-US" w:eastAsia="en-US"/>
        </w:rPr>
        <w:t xml:space="preserve">) species: An insight into the chromosomal evolution of the tribe </w:t>
      </w:r>
      <w:proofErr w:type="spellStart"/>
      <w:r w:rsidRPr="00905F9D">
        <w:rPr>
          <w:rFonts w:ascii="Times New Roman" w:hAnsi="Times New Roman"/>
          <w:sz w:val="24"/>
          <w:szCs w:val="24"/>
          <w:lang w:val="en-US" w:eastAsia="en-US"/>
        </w:rPr>
        <w:t>Systomini</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PLOS ONE, 19</w:t>
      </w:r>
      <w:r w:rsidRPr="00905F9D">
        <w:rPr>
          <w:rFonts w:ascii="Times New Roman" w:hAnsi="Times New Roman"/>
          <w:sz w:val="24"/>
          <w:szCs w:val="24"/>
          <w:lang w:val="en-US" w:eastAsia="en-US"/>
        </w:rPr>
        <w:t xml:space="preserve">(7), e0305828. </w:t>
      </w:r>
      <w:hyperlink r:id="rId17" w:history="1">
        <w:r w:rsidRPr="00905F9D">
          <w:rPr>
            <w:rFonts w:ascii="Times New Roman" w:hAnsi="Times New Roman"/>
            <w:color w:val="0000FF"/>
            <w:sz w:val="24"/>
            <w:szCs w:val="24"/>
            <w:u w:val="single"/>
            <w:lang w:val="en-US" w:eastAsia="en-US"/>
          </w:rPr>
          <w:t>https://doi.org/10.1371/journal.pone.0305828</w:t>
        </w:r>
      </w:hyperlink>
    </w:p>
    <w:p w14:paraId="705445E5"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Buth, D. G., Dowling, T. E., &amp; Gold, J. R. (1991). Molecular and cytological investigations. In I. J. Winfield and J. S. Nelson (Eds.), </w:t>
      </w:r>
      <w:r w:rsidRPr="00905F9D">
        <w:rPr>
          <w:rFonts w:ascii="Times New Roman" w:hAnsi="Times New Roman"/>
          <w:i/>
          <w:iCs/>
          <w:sz w:val="24"/>
          <w:szCs w:val="24"/>
          <w:lang w:val="en-US" w:eastAsia="en-US"/>
        </w:rPr>
        <w:t>Cyprinid fishes: Systematics, biology and exploitation</w:t>
      </w:r>
      <w:r w:rsidRPr="00905F9D">
        <w:rPr>
          <w:rFonts w:ascii="Times New Roman" w:hAnsi="Times New Roman"/>
          <w:sz w:val="24"/>
          <w:szCs w:val="24"/>
          <w:lang w:val="en-US" w:eastAsia="en-US"/>
        </w:rPr>
        <w:t xml:space="preserve"> (pp. 83–126). Chapman &amp; Hall. </w:t>
      </w:r>
      <w:hyperlink r:id="rId18" w:history="1">
        <w:r w:rsidRPr="00905F9D">
          <w:rPr>
            <w:rFonts w:ascii="Times New Roman" w:hAnsi="Times New Roman"/>
            <w:color w:val="0000FF"/>
            <w:sz w:val="24"/>
            <w:szCs w:val="24"/>
            <w:u w:val="single"/>
            <w:lang w:val="en-US" w:eastAsia="en-US"/>
          </w:rPr>
          <w:t>https://doi.org/10.1007/978-94-011-3092-9_4</w:t>
        </w:r>
      </w:hyperlink>
    </w:p>
    <w:p w14:paraId="6C0A5D12"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Cioffi, M. de B., Molina, W. F., </w:t>
      </w:r>
      <w:proofErr w:type="spellStart"/>
      <w:r w:rsidRPr="00905F9D">
        <w:rPr>
          <w:rFonts w:ascii="Times New Roman" w:hAnsi="Times New Roman"/>
          <w:sz w:val="24"/>
          <w:szCs w:val="24"/>
          <w:lang w:val="en-US" w:eastAsia="en-US"/>
        </w:rPr>
        <w:t>Artoni</w:t>
      </w:r>
      <w:proofErr w:type="spellEnd"/>
      <w:r w:rsidRPr="00905F9D">
        <w:rPr>
          <w:rFonts w:ascii="Times New Roman" w:hAnsi="Times New Roman"/>
          <w:sz w:val="24"/>
          <w:szCs w:val="24"/>
          <w:lang w:val="en-US" w:eastAsia="en-US"/>
        </w:rPr>
        <w:t xml:space="preserve">, R. F., &amp; Bertollo, L. A. C. (2012). Chromosomes as tools for discovering biodiversity: The case of the </w:t>
      </w:r>
      <w:proofErr w:type="spellStart"/>
      <w:r w:rsidRPr="00905F9D">
        <w:rPr>
          <w:rFonts w:ascii="Times New Roman" w:hAnsi="Times New Roman"/>
          <w:sz w:val="24"/>
          <w:szCs w:val="24"/>
          <w:lang w:val="en-US" w:eastAsia="en-US"/>
        </w:rPr>
        <w:t>Erythrinidae</w:t>
      </w:r>
      <w:proofErr w:type="spellEnd"/>
      <w:r w:rsidRPr="00905F9D">
        <w:rPr>
          <w:rFonts w:ascii="Times New Roman" w:hAnsi="Times New Roman"/>
          <w:sz w:val="24"/>
          <w:szCs w:val="24"/>
          <w:lang w:val="en-US" w:eastAsia="en-US"/>
        </w:rPr>
        <w:t xml:space="preserve"> fish family. In P. </w:t>
      </w:r>
      <w:proofErr w:type="spellStart"/>
      <w:r w:rsidRPr="00905F9D">
        <w:rPr>
          <w:rFonts w:ascii="Times New Roman" w:hAnsi="Times New Roman"/>
          <w:sz w:val="24"/>
          <w:szCs w:val="24"/>
          <w:lang w:val="en-US" w:eastAsia="en-US"/>
        </w:rPr>
        <w:t>Tirunilai</w:t>
      </w:r>
      <w:proofErr w:type="spellEnd"/>
      <w:r w:rsidRPr="00905F9D">
        <w:rPr>
          <w:rFonts w:ascii="Times New Roman" w:hAnsi="Times New Roman"/>
          <w:sz w:val="24"/>
          <w:szCs w:val="24"/>
          <w:lang w:val="en-US" w:eastAsia="en-US"/>
        </w:rPr>
        <w:t xml:space="preserve"> (Ed.), </w:t>
      </w:r>
      <w:r w:rsidRPr="00905F9D">
        <w:rPr>
          <w:rFonts w:ascii="Times New Roman" w:hAnsi="Times New Roman"/>
          <w:i/>
          <w:iCs/>
          <w:sz w:val="24"/>
          <w:szCs w:val="24"/>
          <w:lang w:val="en-US" w:eastAsia="en-US"/>
        </w:rPr>
        <w:t>Recent trends in cytogenetic studies: Methodologies and applications</w:t>
      </w:r>
      <w:r w:rsidRPr="00905F9D">
        <w:rPr>
          <w:rFonts w:ascii="Times New Roman" w:hAnsi="Times New Roman"/>
          <w:sz w:val="24"/>
          <w:szCs w:val="24"/>
          <w:lang w:val="en-US" w:eastAsia="en-US"/>
        </w:rPr>
        <w:t xml:space="preserve">. </w:t>
      </w:r>
      <w:proofErr w:type="spellStart"/>
      <w:r w:rsidRPr="00905F9D">
        <w:rPr>
          <w:rFonts w:ascii="Times New Roman" w:hAnsi="Times New Roman"/>
          <w:sz w:val="24"/>
          <w:szCs w:val="24"/>
          <w:lang w:val="en-US" w:eastAsia="en-US"/>
        </w:rPr>
        <w:t>IntechOpen</w:t>
      </w:r>
      <w:proofErr w:type="spellEnd"/>
      <w:r w:rsidRPr="00905F9D">
        <w:rPr>
          <w:rFonts w:ascii="Times New Roman" w:hAnsi="Times New Roman"/>
          <w:sz w:val="24"/>
          <w:szCs w:val="24"/>
          <w:lang w:val="en-US" w:eastAsia="en-US"/>
        </w:rPr>
        <w:t xml:space="preserve">. </w:t>
      </w:r>
      <w:hyperlink r:id="rId19" w:history="1">
        <w:r w:rsidRPr="00905F9D">
          <w:rPr>
            <w:rFonts w:ascii="Times New Roman" w:hAnsi="Times New Roman"/>
            <w:color w:val="0000FF"/>
            <w:sz w:val="24"/>
            <w:szCs w:val="24"/>
            <w:u w:val="single"/>
            <w:lang w:val="en-US" w:eastAsia="en-US"/>
          </w:rPr>
          <w:t>https://doi.org/10.5772/35890</w:t>
        </w:r>
      </w:hyperlink>
    </w:p>
    <w:p w14:paraId="64A1778B"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Dahanukar, N. (2010). </w:t>
      </w:r>
      <w:r w:rsidRPr="00905F9D">
        <w:rPr>
          <w:rFonts w:ascii="Times New Roman" w:hAnsi="Times New Roman"/>
          <w:i/>
          <w:iCs/>
          <w:sz w:val="24"/>
          <w:szCs w:val="24"/>
          <w:lang w:val="en-US" w:eastAsia="en-US"/>
        </w:rPr>
        <w:t xml:space="preserve">Puntius </w:t>
      </w:r>
      <w:proofErr w:type="spellStart"/>
      <w:r w:rsidRPr="00905F9D">
        <w:rPr>
          <w:rFonts w:ascii="Times New Roman" w:hAnsi="Times New Roman"/>
          <w:i/>
          <w:iCs/>
          <w:sz w:val="24"/>
          <w:szCs w:val="24"/>
          <w:lang w:val="en-US" w:eastAsia="en-US"/>
        </w:rPr>
        <w:t>sophore</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The IUCN Red List of Threatened Species 2010</w:t>
      </w:r>
      <w:r w:rsidRPr="00905F9D">
        <w:rPr>
          <w:rFonts w:ascii="Times New Roman" w:hAnsi="Times New Roman"/>
          <w:sz w:val="24"/>
          <w:szCs w:val="24"/>
          <w:lang w:val="en-US" w:eastAsia="en-US"/>
        </w:rPr>
        <w:t xml:space="preserve">, e.T166623A6249514. </w:t>
      </w:r>
      <w:hyperlink r:id="rId20" w:history="1">
        <w:r w:rsidRPr="00905F9D">
          <w:rPr>
            <w:rFonts w:ascii="Times New Roman" w:hAnsi="Times New Roman"/>
            <w:color w:val="0000FF"/>
            <w:sz w:val="24"/>
            <w:szCs w:val="24"/>
            <w:u w:val="single"/>
            <w:lang w:val="en-US" w:eastAsia="en-US"/>
          </w:rPr>
          <w:t>https://doi.org/10.2305/IUCN.UK.2010-4.RLTS.T166623A6249514.en</w:t>
        </w:r>
      </w:hyperlink>
    </w:p>
    <w:p w14:paraId="2174010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Feldberg, E., Porto, J. I. R., Nakayama, C. M., &amp; Bertollo, L. A. C. (1993). Karyotype evolution in </w:t>
      </w:r>
      <w:proofErr w:type="spellStart"/>
      <w:r w:rsidRPr="00905F9D">
        <w:rPr>
          <w:rFonts w:ascii="Times New Roman" w:hAnsi="Times New Roman"/>
          <w:sz w:val="24"/>
          <w:szCs w:val="24"/>
          <w:lang w:val="en-US" w:eastAsia="en-US"/>
        </w:rPr>
        <w:t>Curimatidae</w:t>
      </w:r>
      <w:proofErr w:type="spellEnd"/>
      <w:r w:rsidRPr="00905F9D">
        <w:rPr>
          <w:rFonts w:ascii="Times New Roman" w:hAnsi="Times New Roman"/>
          <w:sz w:val="24"/>
          <w:szCs w:val="24"/>
          <w:lang w:val="en-US" w:eastAsia="en-US"/>
        </w:rPr>
        <w:t xml:space="preserve"> (Teleostei, </w:t>
      </w:r>
      <w:proofErr w:type="spellStart"/>
      <w:r w:rsidRPr="00905F9D">
        <w:rPr>
          <w:rFonts w:ascii="Times New Roman" w:hAnsi="Times New Roman"/>
          <w:sz w:val="24"/>
          <w:szCs w:val="24"/>
          <w:lang w:val="en-US" w:eastAsia="en-US"/>
        </w:rPr>
        <w:t>Characiformes</w:t>
      </w:r>
      <w:proofErr w:type="spellEnd"/>
      <w:r w:rsidRPr="00905F9D">
        <w:rPr>
          <w:rFonts w:ascii="Times New Roman" w:hAnsi="Times New Roman"/>
          <w:sz w:val="24"/>
          <w:szCs w:val="24"/>
          <w:lang w:val="en-US" w:eastAsia="en-US"/>
        </w:rPr>
        <w:t xml:space="preserve">) from the Amazon region. II. Centric fissions in the genus </w:t>
      </w:r>
      <w:proofErr w:type="spellStart"/>
      <w:r w:rsidRPr="00905F9D">
        <w:rPr>
          <w:rFonts w:ascii="Times New Roman" w:hAnsi="Times New Roman"/>
          <w:i/>
          <w:iCs/>
          <w:sz w:val="24"/>
          <w:szCs w:val="24"/>
          <w:lang w:val="en-US" w:eastAsia="en-US"/>
        </w:rPr>
        <w:t>Potamorhina</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Genome, 36</w:t>
      </w:r>
      <w:r w:rsidRPr="00905F9D">
        <w:rPr>
          <w:rFonts w:ascii="Times New Roman" w:hAnsi="Times New Roman"/>
          <w:sz w:val="24"/>
          <w:szCs w:val="24"/>
          <w:lang w:val="en-US" w:eastAsia="en-US"/>
        </w:rPr>
        <w:t xml:space="preserve">(2), 372–376. </w:t>
      </w:r>
      <w:hyperlink r:id="rId21" w:history="1">
        <w:r w:rsidRPr="00905F9D">
          <w:rPr>
            <w:rFonts w:ascii="Times New Roman" w:hAnsi="Times New Roman"/>
            <w:color w:val="0000FF"/>
            <w:sz w:val="24"/>
            <w:szCs w:val="24"/>
            <w:u w:val="single"/>
            <w:lang w:val="en-US" w:eastAsia="en-US"/>
          </w:rPr>
          <w:t>https://doi.org/10.1139/g93-051</w:t>
        </w:r>
      </w:hyperlink>
    </w:p>
    <w:p w14:paraId="7A57B10B"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lastRenderedPageBreak/>
        <w:t>Futuyma</w:t>
      </w:r>
      <w:proofErr w:type="spellEnd"/>
      <w:r w:rsidRPr="00905F9D">
        <w:rPr>
          <w:rFonts w:ascii="Times New Roman" w:hAnsi="Times New Roman"/>
          <w:sz w:val="24"/>
          <w:szCs w:val="24"/>
          <w:lang w:val="en-US" w:eastAsia="en-US"/>
        </w:rPr>
        <w:t xml:space="preserve">, D. J. (2009). </w:t>
      </w:r>
      <w:r w:rsidRPr="00905F9D">
        <w:rPr>
          <w:rFonts w:ascii="Times New Roman" w:hAnsi="Times New Roman"/>
          <w:i/>
          <w:iCs/>
          <w:sz w:val="24"/>
          <w:szCs w:val="24"/>
          <w:lang w:val="en-US" w:eastAsia="en-US"/>
        </w:rPr>
        <w:t>Evolution</w:t>
      </w:r>
      <w:r w:rsidRPr="00905F9D">
        <w:rPr>
          <w:rFonts w:ascii="Times New Roman" w:hAnsi="Times New Roman"/>
          <w:sz w:val="24"/>
          <w:szCs w:val="24"/>
          <w:lang w:val="en-US" w:eastAsia="en-US"/>
        </w:rPr>
        <w:t xml:space="preserve"> (2nd ed.). Sinauer Associates. </w:t>
      </w:r>
      <w:hyperlink r:id="rId22" w:history="1">
        <w:r w:rsidRPr="00905F9D">
          <w:rPr>
            <w:rFonts w:ascii="Times New Roman" w:hAnsi="Times New Roman"/>
            <w:color w:val="0000FF"/>
            <w:sz w:val="24"/>
            <w:szCs w:val="24"/>
            <w:u w:val="single"/>
            <w:lang w:val="en-US" w:eastAsia="en-US"/>
          </w:rPr>
          <w:t>https://biblioteca.izt.uam.mx/vufind/Record/000128697?lng=en&amp;sid=30022860</w:t>
        </w:r>
      </w:hyperlink>
    </w:p>
    <w:p w14:paraId="112FF4DA" w14:textId="4676B01F"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Ganai, F. A., &amp; Yousuf, A. R. (2011). A karyological analysis of </w:t>
      </w:r>
      <w:r w:rsidRPr="00905F9D">
        <w:rPr>
          <w:rFonts w:ascii="Times New Roman" w:hAnsi="Times New Roman"/>
          <w:i/>
          <w:iCs/>
          <w:sz w:val="24"/>
          <w:szCs w:val="24"/>
          <w:lang w:val="en-US" w:eastAsia="en-US"/>
        </w:rPr>
        <w:t xml:space="preserve">Puntius </w:t>
      </w:r>
      <w:proofErr w:type="spellStart"/>
      <w:r w:rsidRPr="00905F9D">
        <w:rPr>
          <w:rFonts w:ascii="Times New Roman" w:hAnsi="Times New Roman"/>
          <w:i/>
          <w:iCs/>
          <w:sz w:val="24"/>
          <w:szCs w:val="24"/>
          <w:lang w:val="en-US" w:eastAsia="en-US"/>
        </w:rPr>
        <w:t>conchonius</w:t>
      </w:r>
      <w:proofErr w:type="spellEnd"/>
      <w:r w:rsidRPr="00905F9D">
        <w:rPr>
          <w:rFonts w:ascii="Times New Roman" w:hAnsi="Times New Roman"/>
          <w:sz w:val="24"/>
          <w:szCs w:val="24"/>
          <w:lang w:val="en-US" w:eastAsia="en-US"/>
        </w:rPr>
        <w:t xml:space="preserve"> (Hamilton, 1822) (Pisces,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a new cytotype from Dal Lake Srinagar Kashmir, Jammu and Kashmir (J&amp;K), India. </w:t>
      </w:r>
      <w:r w:rsidRPr="00905F9D">
        <w:rPr>
          <w:rFonts w:ascii="Times New Roman" w:hAnsi="Times New Roman"/>
          <w:i/>
          <w:iCs/>
          <w:sz w:val="24"/>
          <w:szCs w:val="24"/>
          <w:lang w:val="en-US" w:eastAsia="en-US"/>
        </w:rPr>
        <w:t>International Journal of Fisheries and Aquaculture, 3</w:t>
      </w:r>
      <w:r w:rsidRPr="00905F9D">
        <w:rPr>
          <w:rFonts w:ascii="Times New Roman" w:hAnsi="Times New Roman"/>
          <w:sz w:val="24"/>
          <w:szCs w:val="24"/>
          <w:lang w:val="en-US" w:eastAsia="en-US"/>
        </w:rPr>
        <w:t>(11), 213–217</w:t>
      </w:r>
      <w:hyperlink r:id="rId23" w:history="1">
        <w:r w:rsidRPr="00DC41B2">
          <w:rPr>
            <w:rStyle w:val="Hyperlink"/>
            <w:rFonts w:ascii="Times New Roman" w:hAnsi="Times New Roman"/>
            <w:sz w:val="24"/>
            <w:szCs w:val="24"/>
            <w:lang w:val="en-US" w:eastAsia="en-US"/>
          </w:rPr>
          <w:t>https://doi.org/10.5897/IJFA.9000002</w:t>
        </w:r>
      </w:hyperlink>
    </w:p>
    <w:p w14:paraId="77D0FA6D"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Hamilton, F. (1822). </w:t>
      </w:r>
      <w:r w:rsidRPr="00905F9D">
        <w:rPr>
          <w:rFonts w:ascii="Times New Roman" w:hAnsi="Times New Roman"/>
          <w:i/>
          <w:iCs/>
          <w:sz w:val="24"/>
          <w:szCs w:val="24"/>
          <w:lang w:val="en-US" w:eastAsia="en-US"/>
        </w:rPr>
        <w:t>An account of the fishes found in the River Ganges and its branches</w:t>
      </w:r>
      <w:r w:rsidRPr="00905F9D">
        <w:rPr>
          <w:rFonts w:ascii="Times New Roman" w:hAnsi="Times New Roman"/>
          <w:sz w:val="24"/>
          <w:szCs w:val="24"/>
          <w:lang w:val="en-US" w:eastAsia="en-US"/>
        </w:rPr>
        <w:t xml:space="preserve">. Archibald Constable and Company. </w:t>
      </w:r>
      <w:hyperlink r:id="rId24" w:history="1">
        <w:r w:rsidRPr="00905F9D">
          <w:rPr>
            <w:rFonts w:ascii="Times New Roman" w:hAnsi="Times New Roman"/>
            <w:color w:val="0000FF"/>
            <w:sz w:val="24"/>
            <w:szCs w:val="24"/>
            <w:u w:val="single"/>
            <w:lang w:val="en-US" w:eastAsia="en-US"/>
          </w:rPr>
          <w:t>https://doi.org/10.5962/bhl.title.59540</w:t>
        </w:r>
      </w:hyperlink>
    </w:p>
    <w:p w14:paraId="27242062"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Hoffmann, A. A., &amp; </w:t>
      </w:r>
      <w:proofErr w:type="spellStart"/>
      <w:r w:rsidRPr="00905F9D">
        <w:rPr>
          <w:rFonts w:ascii="Times New Roman" w:hAnsi="Times New Roman"/>
          <w:sz w:val="24"/>
          <w:szCs w:val="24"/>
          <w:lang w:val="en-US" w:eastAsia="en-US"/>
        </w:rPr>
        <w:t>Rieseberg</w:t>
      </w:r>
      <w:proofErr w:type="spellEnd"/>
      <w:r w:rsidRPr="00905F9D">
        <w:rPr>
          <w:rFonts w:ascii="Times New Roman" w:hAnsi="Times New Roman"/>
          <w:sz w:val="24"/>
          <w:szCs w:val="24"/>
          <w:lang w:val="en-US" w:eastAsia="en-US"/>
        </w:rPr>
        <w:t xml:space="preserve">, L. H. (2008). Revisiting the impact of inversions in evolution: From population genetic markers to drivers of adaptive shifts and speciation? </w:t>
      </w:r>
      <w:r w:rsidRPr="00905F9D">
        <w:rPr>
          <w:rFonts w:ascii="Times New Roman" w:hAnsi="Times New Roman"/>
          <w:i/>
          <w:iCs/>
          <w:sz w:val="24"/>
          <w:szCs w:val="24"/>
          <w:lang w:val="en-US" w:eastAsia="en-US"/>
        </w:rPr>
        <w:t>Annual Review of Ecology, Evolution, and Systematics, 39</w:t>
      </w:r>
      <w:r w:rsidRPr="00905F9D">
        <w:rPr>
          <w:rFonts w:ascii="Times New Roman" w:hAnsi="Times New Roman"/>
          <w:sz w:val="24"/>
          <w:szCs w:val="24"/>
          <w:lang w:val="en-US" w:eastAsia="en-US"/>
        </w:rPr>
        <w:t xml:space="preserve">, 21–42. </w:t>
      </w:r>
      <w:hyperlink r:id="rId25" w:history="1">
        <w:r w:rsidRPr="00905F9D">
          <w:rPr>
            <w:rFonts w:ascii="Times New Roman" w:hAnsi="Times New Roman"/>
            <w:color w:val="0000FF"/>
            <w:sz w:val="24"/>
            <w:szCs w:val="24"/>
            <w:u w:val="single"/>
            <w:lang w:val="en-US" w:eastAsia="en-US"/>
          </w:rPr>
          <w:t>https://doi.org/10.1146/annurev.ecolsys.39.110707.173532</w:t>
        </w:r>
      </w:hyperlink>
    </w:p>
    <w:p w14:paraId="2FFB21F3"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Jablonka, E., &amp; Lamb, M. J. (2014). </w:t>
      </w:r>
      <w:r w:rsidRPr="00905F9D">
        <w:rPr>
          <w:rFonts w:ascii="Times New Roman" w:hAnsi="Times New Roman"/>
          <w:i/>
          <w:iCs/>
          <w:sz w:val="24"/>
          <w:szCs w:val="24"/>
          <w:lang w:val="en-US" w:eastAsia="en-US"/>
        </w:rPr>
        <w:t>Evolution in four dimensions: Genetic, epigenetic, behavioral, and symbolic variation in the history of life</w:t>
      </w:r>
      <w:r w:rsidRPr="00905F9D">
        <w:rPr>
          <w:rFonts w:ascii="Times New Roman" w:hAnsi="Times New Roman"/>
          <w:sz w:val="24"/>
          <w:szCs w:val="24"/>
          <w:lang w:val="en-US" w:eastAsia="en-US"/>
        </w:rPr>
        <w:t xml:space="preserve"> (Rev. ed.). MIT Press. </w:t>
      </w:r>
      <w:hyperlink r:id="rId26" w:history="1">
        <w:r w:rsidRPr="00905F9D">
          <w:rPr>
            <w:rFonts w:ascii="Times New Roman" w:hAnsi="Times New Roman"/>
            <w:color w:val="0000FF"/>
            <w:sz w:val="24"/>
            <w:szCs w:val="24"/>
            <w:u w:val="single"/>
            <w:lang w:val="en-US" w:eastAsia="en-US"/>
          </w:rPr>
          <w:t>https://doi.org/10.7551/mitpress/9689.001.0001</w:t>
        </w:r>
      </w:hyperlink>
    </w:p>
    <w:p w14:paraId="505232A8"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t>Khensuwan</w:t>
      </w:r>
      <w:proofErr w:type="spellEnd"/>
      <w:r w:rsidRPr="00905F9D">
        <w:rPr>
          <w:rFonts w:ascii="Times New Roman" w:hAnsi="Times New Roman"/>
          <w:sz w:val="24"/>
          <w:szCs w:val="24"/>
          <w:lang w:val="en-US" w:eastAsia="en-US"/>
        </w:rPr>
        <w:t xml:space="preserve">, S., Sassi, F. de M. C., Moraes, R. L. R., </w:t>
      </w:r>
      <w:proofErr w:type="spellStart"/>
      <w:r w:rsidRPr="00905F9D">
        <w:rPr>
          <w:rFonts w:ascii="Times New Roman" w:hAnsi="Times New Roman"/>
          <w:sz w:val="24"/>
          <w:szCs w:val="24"/>
          <w:lang w:val="en-US" w:eastAsia="en-US"/>
        </w:rPr>
        <w:t>Jantarat</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Seetapan</w:t>
      </w:r>
      <w:proofErr w:type="spellEnd"/>
      <w:r w:rsidRPr="00905F9D">
        <w:rPr>
          <w:rFonts w:ascii="Times New Roman" w:hAnsi="Times New Roman"/>
          <w:sz w:val="24"/>
          <w:szCs w:val="24"/>
          <w:lang w:val="en-US" w:eastAsia="en-US"/>
        </w:rPr>
        <w:t xml:space="preserve">, K., </w:t>
      </w:r>
      <w:proofErr w:type="spellStart"/>
      <w:r w:rsidRPr="00905F9D">
        <w:rPr>
          <w:rFonts w:ascii="Times New Roman" w:hAnsi="Times New Roman"/>
          <w:sz w:val="24"/>
          <w:szCs w:val="24"/>
          <w:lang w:val="en-US" w:eastAsia="en-US"/>
        </w:rPr>
        <w:t>Phintong</w:t>
      </w:r>
      <w:proofErr w:type="spellEnd"/>
      <w:r w:rsidRPr="00905F9D">
        <w:rPr>
          <w:rFonts w:ascii="Times New Roman" w:hAnsi="Times New Roman"/>
          <w:sz w:val="24"/>
          <w:szCs w:val="24"/>
          <w:lang w:val="en-US" w:eastAsia="en-US"/>
        </w:rPr>
        <w:t xml:space="preserve">, K., </w:t>
      </w:r>
      <w:proofErr w:type="spellStart"/>
      <w:r w:rsidRPr="00905F9D">
        <w:rPr>
          <w:rFonts w:ascii="Times New Roman" w:hAnsi="Times New Roman"/>
          <w:sz w:val="24"/>
          <w:szCs w:val="24"/>
          <w:lang w:val="en-US" w:eastAsia="en-US"/>
        </w:rPr>
        <w:t>Thongnetr</w:t>
      </w:r>
      <w:proofErr w:type="spellEnd"/>
      <w:r w:rsidRPr="00905F9D">
        <w:rPr>
          <w:rFonts w:ascii="Times New Roman" w:hAnsi="Times New Roman"/>
          <w:sz w:val="24"/>
          <w:szCs w:val="24"/>
          <w:lang w:val="en-US" w:eastAsia="en-US"/>
        </w:rPr>
        <w:t xml:space="preserve">, W., </w:t>
      </w:r>
      <w:proofErr w:type="spellStart"/>
      <w:r w:rsidRPr="00905F9D">
        <w:rPr>
          <w:rFonts w:ascii="Times New Roman" w:hAnsi="Times New Roman"/>
          <w:sz w:val="24"/>
          <w:szCs w:val="24"/>
          <w:lang w:val="en-US" w:eastAsia="en-US"/>
        </w:rPr>
        <w:t>Kaewsri</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Jumrusthanasan</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Supiwong</w:t>
      </w:r>
      <w:proofErr w:type="spellEnd"/>
      <w:r w:rsidRPr="00905F9D">
        <w:rPr>
          <w:rFonts w:ascii="Times New Roman" w:hAnsi="Times New Roman"/>
          <w:sz w:val="24"/>
          <w:szCs w:val="24"/>
          <w:lang w:val="en-US" w:eastAsia="en-US"/>
        </w:rPr>
        <w:t xml:space="preserve">, W., </w:t>
      </w:r>
      <w:proofErr w:type="spellStart"/>
      <w:r w:rsidRPr="00905F9D">
        <w:rPr>
          <w:rFonts w:ascii="Times New Roman" w:hAnsi="Times New Roman"/>
          <w:sz w:val="24"/>
          <w:szCs w:val="24"/>
          <w:lang w:val="en-US" w:eastAsia="en-US"/>
        </w:rPr>
        <w:t>Ráb</w:t>
      </w:r>
      <w:proofErr w:type="spellEnd"/>
      <w:r w:rsidRPr="00905F9D">
        <w:rPr>
          <w:rFonts w:ascii="Times New Roman" w:hAnsi="Times New Roman"/>
          <w:sz w:val="24"/>
          <w:szCs w:val="24"/>
          <w:lang w:val="en-US" w:eastAsia="en-US"/>
        </w:rPr>
        <w:t xml:space="preserve">, P., </w:t>
      </w:r>
      <w:proofErr w:type="spellStart"/>
      <w:r w:rsidRPr="00905F9D">
        <w:rPr>
          <w:rFonts w:ascii="Times New Roman" w:hAnsi="Times New Roman"/>
          <w:sz w:val="24"/>
          <w:szCs w:val="24"/>
          <w:lang w:val="en-US" w:eastAsia="en-US"/>
        </w:rPr>
        <w:t>Tanomtong</w:t>
      </w:r>
      <w:proofErr w:type="spellEnd"/>
      <w:r w:rsidRPr="00905F9D">
        <w:rPr>
          <w:rFonts w:ascii="Times New Roman" w:hAnsi="Times New Roman"/>
          <w:sz w:val="24"/>
          <w:szCs w:val="24"/>
          <w:lang w:val="en-US" w:eastAsia="en-US"/>
        </w:rPr>
        <w:t xml:space="preserve">, A., Liehr, T., &amp; Cioffi, M. de B. (2023). Chromosomes of Asian cyprinid fishes: Genomic differences in conserved karyotypes of </w:t>
      </w:r>
      <w:proofErr w:type="spellStart"/>
      <w:r w:rsidRPr="00905F9D">
        <w:rPr>
          <w:rFonts w:ascii="Times New Roman" w:hAnsi="Times New Roman"/>
          <w:sz w:val="24"/>
          <w:szCs w:val="24"/>
          <w:lang w:val="en-US" w:eastAsia="en-US"/>
        </w:rPr>
        <w:t>Poropuntiinae</w:t>
      </w:r>
      <w:proofErr w:type="spellEnd"/>
      <w:r w:rsidRPr="00905F9D">
        <w:rPr>
          <w:rFonts w:ascii="Times New Roman" w:hAnsi="Times New Roman"/>
          <w:sz w:val="24"/>
          <w:szCs w:val="24"/>
          <w:lang w:val="en-US" w:eastAsia="en-US"/>
        </w:rPr>
        <w:t xml:space="preserve"> (Teleostei,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Animals, 13</w:t>
      </w:r>
      <w:r w:rsidRPr="00905F9D">
        <w:rPr>
          <w:rFonts w:ascii="Times New Roman" w:hAnsi="Times New Roman"/>
          <w:sz w:val="24"/>
          <w:szCs w:val="24"/>
          <w:lang w:val="en-US" w:eastAsia="en-US"/>
        </w:rPr>
        <w:t xml:space="preserve">(8), 1415. </w:t>
      </w:r>
      <w:hyperlink r:id="rId27" w:history="1">
        <w:r w:rsidRPr="00905F9D">
          <w:rPr>
            <w:rFonts w:ascii="Times New Roman" w:hAnsi="Times New Roman"/>
            <w:color w:val="0000FF"/>
            <w:sz w:val="24"/>
            <w:szCs w:val="24"/>
            <w:u w:val="single"/>
            <w:lang w:val="en-US" w:eastAsia="en-US"/>
          </w:rPr>
          <w:t>https://doi.org/10.3390/ani13081415</w:t>
        </w:r>
      </w:hyperlink>
    </w:p>
    <w:p w14:paraId="7C6E2687"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t>Khensuwan</w:t>
      </w:r>
      <w:proofErr w:type="spellEnd"/>
      <w:r w:rsidRPr="00905F9D">
        <w:rPr>
          <w:rFonts w:ascii="Times New Roman" w:hAnsi="Times New Roman"/>
          <w:sz w:val="24"/>
          <w:szCs w:val="24"/>
          <w:lang w:val="en-US" w:eastAsia="en-US"/>
        </w:rPr>
        <w:t xml:space="preserve">, S., Sassi, F. de M. C., Moraes, R. L. R., </w:t>
      </w:r>
      <w:proofErr w:type="spellStart"/>
      <w:r w:rsidRPr="00905F9D">
        <w:rPr>
          <w:rFonts w:ascii="Times New Roman" w:hAnsi="Times New Roman"/>
          <w:sz w:val="24"/>
          <w:szCs w:val="24"/>
          <w:lang w:val="en-US" w:eastAsia="en-US"/>
        </w:rPr>
        <w:t>Ráb</w:t>
      </w:r>
      <w:proofErr w:type="spellEnd"/>
      <w:r w:rsidRPr="00905F9D">
        <w:rPr>
          <w:rFonts w:ascii="Times New Roman" w:hAnsi="Times New Roman"/>
          <w:sz w:val="24"/>
          <w:szCs w:val="24"/>
          <w:lang w:val="en-US" w:eastAsia="en-US"/>
        </w:rPr>
        <w:t xml:space="preserve">, P., Liehr, T., </w:t>
      </w:r>
      <w:proofErr w:type="spellStart"/>
      <w:r w:rsidRPr="00905F9D">
        <w:rPr>
          <w:rFonts w:ascii="Times New Roman" w:hAnsi="Times New Roman"/>
          <w:sz w:val="24"/>
          <w:szCs w:val="24"/>
          <w:lang w:val="en-US" w:eastAsia="en-US"/>
        </w:rPr>
        <w:t>Supiwong</w:t>
      </w:r>
      <w:proofErr w:type="spellEnd"/>
      <w:r w:rsidRPr="00905F9D">
        <w:rPr>
          <w:rFonts w:ascii="Times New Roman" w:hAnsi="Times New Roman"/>
          <w:sz w:val="24"/>
          <w:szCs w:val="24"/>
          <w:lang w:val="en-US" w:eastAsia="en-US"/>
        </w:rPr>
        <w:t xml:space="preserve">, W., </w:t>
      </w:r>
      <w:proofErr w:type="spellStart"/>
      <w:r w:rsidRPr="00905F9D">
        <w:rPr>
          <w:rFonts w:ascii="Times New Roman" w:hAnsi="Times New Roman"/>
          <w:sz w:val="24"/>
          <w:szCs w:val="24"/>
          <w:lang w:val="en-US" w:eastAsia="en-US"/>
        </w:rPr>
        <w:t>Seetapan</w:t>
      </w:r>
      <w:proofErr w:type="spellEnd"/>
      <w:r w:rsidRPr="00905F9D">
        <w:rPr>
          <w:rFonts w:ascii="Times New Roman" w:hAnsi="Times New Roman"/>
          <w:sz w:val="24"/>
          <w:szCs w:val="24"/>
          <w:lang w:val="en-US" w:eastAsia="en-US"/>
        </w:rPr>
        <w:t xml:space="preserve">, K., </w:t>
      </w:r>
      <w:proofErr w:type="spellStart"/>
      <w:r w:rsidRPr="00905F9D">
        <w:rPr>
          <w:rFonts w:ascii="Times New Roman" w:hAnsi="Times New Roman"/>
          <w:sz w:val="24"/>
          <w:szCs w:val="24"/>
          <w:lang w:val="en-US" w:eastAsia="en-US"/>
        </w:rPr>
        <w:t>Tanomtong</w:t>
      </w:r>
      <w:proofErr w:type="spellEnd"/>
      <w:r w:rsidRPr="00905F9D">
        <w:rPr>
          <w:rFonts w:ascii="Times New Roman" w:hAnsi="Times New Roman"/>
          <w:sz w:val="24"/>
          <w:szCs w:val="24"/>
          <w:lang w:val="en-US" w:eastAsia="en-US"/>
        </w:rPr>
        <w:t xml:space="preserve">, A., </w:t>
      </w:r>
      <w:proofErr w:type="spellStart"/>
      <w:r w:rsidRPr="00905F9D">
        <w:rPr>
          <w:rFonts w:ascii="Times New Roman" w:hAnsi="Times New Roman"/>
          <w:sz w:val="24"/>
          <w:szCs w:val="24"/>
          <w:lang w:val="en-US" w:eastAsia="en-US"/>
        </w:rPr>
        <w:t>Tantisuwichwong</w:t>
      </w:r>
      <w:proofErr w:type="spellEnd"/>
      <w:r w:rsidRPr="00905F9D">
        <w:rPr>
          <w:rFonts w:ascii="Times New Roman" w:hAnsi="Times New Roman"/>
          <w:sz w:val="24"/>
          <w:szCs w:val="24"/>
          <w:lang w:val="en-US" w:eastAsia="en-US"/>
        </w:rPr>
        <w:t xml:space="preserve">, N., </w:t>
      </w:r>
      <w:proofErr w:type="spellStart"/>
      <w:r w:rsidRPr="00905F9D">
        <w:rPr>
          <w:rFonts w:ascii="Times New Roman" w:hAnsi="Times New Roman"/>
          <w:sz w:val="24"/>
          <w:szCs w:val="24"/>
          <w:lang w:val="en-US" w:eastAsia="en-US"/>
        </w:rPr>
        <w:t>Arunsang</w:t>
      </w:r>
      <w:proofErr w:type="spellEnd"/>
      <w:r w:rsidRPr="00905F9D">
        <w:rPr>
          <w:rFonts w:ascii="Times New Roman" w:hAnsi="Times New Roman"/>
          <w:sz w:val="24"/>
          <w:szCs w:val="24"/>
          <w:lang w:val="en-US" w:eastAsia="en-US"/>
        </w:rPr>
        <w:t xml:space="preserve">, S., </w:t>
      </w:r>
      <w:proofErr w:type="spellStart"/>
      <w:r w:rsidRPr="00905F9D">
        <w:rPr>
          <w:rFonts w:ascii="Times New Roman" w:hAnsi="Times New Roman"/>
          <w:sz w:val="24"/>
          <w:szCs w:val="24"/>
          <w:lang w:val="en-US" w:eastAsia="en-US"/>
        </w:rPr>
        <w:t>Buasriyot</w:t>
      </w:r>
      <w:proofErr w:type="spellEnd"/>
      <w:r w:rsidRPr="00905F9D">
        <w:rPr>
          <w:rFonts w:ascii="Times New Roman" w:hAnsi="Times New Roman"/>
          <w:sz w:val="24"/>
          <w:szCs w:val="24"/>
          <w:lang w:val="en-US" w:eastAsia="en-US"/>
        </w:rPr>
        <w:t xml:space="preserve">, P., </w:t>
      </w:r>
      <w:proofErr w:type="spellStart"/>
      <w:r w:rsidRPr="00905F9D">
        <w:rPr>
          <w:rFonts w:ascii="Times New Roman" w:hAnsi="Times New Roman"/>
          <w:sz w:val="24"/>
          <w:szCs w:val="24"/>
          <w:lang w:val="en-US" w:eastAsia="en-US"/>
        </w:rPr>
        <w:t>Tongnunui</w:t>
      </w:r>
      <w:proofErr w:type="spellEnd"/>
      <w:r w:rsidRPr="00905F9D">
        <w:rPr>
          <w:rFonts w:ascii="Times New Roman" w:hAnsi="Times New Roman"/>
          <w:sz w:val="24"/>
          <w:szCs w:val="24"/>
          <w:lang w:val="en-US" w:eastAsia="en-US"/>
        </w:rPr>
        <w:t xml:space="preserve">, S., &amp; Cioffi, M. de B. (2024). Chromosomes of Asian cyprinid fishes: Novel insight into the chromosomal evolution of </w:t>
      </w:r>
      <w:proofErr w:type="spellStart"/>
      <w:r w:rsidRPr="00905F9D">
        <w:rPr>
          <w:rFonts w:ascii="Times New Roman" w:hAnsi="Times New Roman"/>
          <w:sz w:val="24"/>
          <w:szCs w:val="24"/>
          <w:lang w:val="en-US" w:eastAsia="en-US"/>
        </w:rPr>
        <w:t>Labeoninae</w:t>
      </w:r>
      <w:proofErr w:type="spellEnd"/>
      <w:r w:rsidRPr="00905F9D">
        <w:rPr>
          <w:rFonts w:ascii="Times New Roman" w:hAnsi="Times New Roman"/>
          <w:sz w:val="24"/>
          <w:szCs w:val="24"/>
          <w:lang w:val="en-US" w:eastAsia="en-US"/>
        </w:rPr>
        <w:t xml:space="preserve"> (Teleostei,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PLOS ONE, 19</w:t>
      </w:r>
      <w:r w:rsidRPr="00905F9D">
        <w:rPr>
          <w:rFonts w:ascii="Times New Roman" w:hAnsi="Times New Roman"/>
          <w:sz w:val="24"/>
          <w:szCs w:val="24"/>
          <w:lang w:val="en-US" w:eastAsia="en-US"/>
        </w:rPr>
        <w:t xml:space="preserve">(2), e0292689. </w:t>
      </w:r>
      <w:hyperlink r:id="rId28" w:history="1">
        <w:r w:rsidRPr="00905F9D">
          <w:rPr>
            <w:rFonts w:ascii="Times New Roman" w:hAnsi="Times New Roman"/>
            <w:color w:val="0000FF"/>
            <w:sz w:val="24"/>
            <w:szCs w:val="24"/>
            <w:u w:val="single"/>
            <w:lang w:val="en-US" w:eastAsia="en-US"/>
          </w:rPr>
          <w:t>https://doi.org/10.1371/journal.pone.0292689</w:t>
        </w:r>
      </w:hyperlink>
    </w:p>
    <w:p w14:paraId="28C8FE88"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Kligerman, A. D., &amp; Bloom, S. E. (1977). Rapid chromosome preparations from solid tissues of fishes. </w:t>
      </w:r>
      <w:r w:rsidRPr="00905F9D">
        <w:rPr>
          <w:rFonts w:ascii="Times New Roman" w:hAnsi="Times New Roman"/>
          <w:i/>
          <w:iCs/>
          <w:sz w:val="24"/>
          <w:szCs w:val="24"/>
          <w:lang w:val="en-US" w:eastAsia="en-US"/>
        </w:rPr>
        <w:t>Journal of the Fisheries Research Board of Canada, 34</w:t>
      </w:r>
      <w:r w:rsidRPr="00905F9D">
        <w:rPr>
          <w:rFonts w:ascii="Times New Roman" w:hAnsi="Times New Roman"/>
          <w:sz w:val="24"/>
          <w:szCs w:val="24"/>
          <w:lang w:val="en-US" w:eastAsia="en-US"/>
        </w:rPr>
        <w:t xml:space="preserve">(2), 266–269. </w:t>
      </w:r>
      <w:hyperlink r:id="rId29" w:history="1">
        <w:r w:rsidRPr="00905F9D">
          <w:rPr>
            <w:rFonts w:ascii="Times New Roman" w:hAnsi="Times New Roman"/>
            <w:color w:val="0000FF"/>
            <w:sz w:val="24"/>
            <w:szCs w:val="24"/>
            <w:u w:val="single"/>
            <w:lang w:val="en-US" w:eastAsia="en-US"/>
          </w:rPr>
          <w:t>https://doi.org/10.1139/f77-039</w:t>
        </w:r>
      </w:hyperlink>
    </w:p>
    <w:p w14:paraId="41D97A0D"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Levan, A., </w:t>
      </w:r>
      <w:proofErr w:type="spellStart"/>
      <w:r w:rsidRPr="00905F9D">
        <w:rPr>
          <w:rFonts w:ascii="Times New Roman" w:hAnsi="Times New Roman"/>
          <w:sz w:val="24"/>
          <w:szCs w:val="24"/>
          <w:lang w:val="en-US" w:eastAsia="en-US"/>
        </w:rPr>
        <w:t>Fredga</w:t>
      </w:r>
      <w:proofErr w:type="spellEnd"/>
      <w:r w:rsidRPr="00905F9D">
        <w:rPr>
          <w:rFonts w:ascii="Times New Roman" w:hAnsi="Times New Roman"/>
          <w:sz w:val="24"/>
          <w:szCs w:val="24"/>
          <w:lang w:val="en-US" w:eastAsia="en-US"/>
        </w:rPr>
        <w:t xml:space="preserve">, K., &amp; Sandberg, A. A. (1964). Nomenclature for centromeric position on chromosomes. </w:t>
      </w:r>
      <w:r w:rsidRPr="00905F9D">
        <w:rPr>
          <w:rFonts w:ascii="Times New Roman" w:hAnsi="Times New Roman"/>
          <w:i/>
          <w:iCs/>
          <w:sz w:val="24"/>
          <w:szCs w:val="24"/>
          <w:lang w:val="en-US" w:eastAsia="en-US"/>
        </w:rPr>
        <w:t>Hereditas, 52</w:t>
      </w:r>
      <w:r w:rsidRPr="00905F9D">
        <w:rPr>
          <w:rFonts w:ascii="Times New Roman" w:hAnsi="Times New Roman"/>
          <w:sz w:val="24"/>
          <w:szCs w:val="24"/>
          <w:lang w:val="en-US" w:eastAsia="en-US"/>
        </w:rPr>
        <w:t xml:space="preserve">(2), 201–220. </w:t>
      </w:r>
      <w:hyperlink r:id="rId30" w:history="1">
        <w:r w:rsidRPr="00905F9D">
          <w:rPr>
            <w:rFonts w:ascii="Times New Roman" w:hAnsi="Times New Roman"/>
            <w:color w:val="0000FF"/>
            <w:sz w:val="24"/>
            <w:szCs w:val="24"/>
            <w:u w:val="single"/>
            <w:lang w:val="en-US" w:eastAsia="en-US"/>
          </w:rPr>
          <w:t>https://doi.org/10.1111/j.1601-5223.1964.tb01953.x</w:t>
        </w:r>
      </w:hyperlink>
    </w:p>
    <w:p w14:paraId="4F2C2BF9"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Lowe-McConnell, R. H. (1987). </w:t>
      </w:r>
      <w:r w:rsidRPr="00905F9D">
        <w:rPr>
          <w:rFonts w:ascii="Times New Roman" w:hAnsi="Times New Roman"/>
          <w:i/>
          <w:iCs/>
          <w:sz w:val="24"/>
          <w:szCs w:val="24"/>
          <w:lang w:val="en-US" w:eastAsia="en-US"/>
        </w:rPr>
        <w:t>Ecological studies in tropical fish communities</w:t>
      </w:r>
      <w:r w:rsidRPr="00905F9D">
        <w:rPr>
          <w:rFonts w:ascii="Times New Roman" w:hAnsi="Times New Roman"/>
          <w:sz w:val="24"/>
          <w:szCs w:val="24"/>
          <w:lang w:val="en-US" w:eastAsia="en-US"/>
        </w:rPr>
        <w:t xml:space="preserve">. Cambridge University Press. </w:t>
      </w:r>
      <w:hyperlink r:id="rId31" w:history="1">
        <w:r w:rsidRPr="00905F9D">
          <w:rPr>
            <w:rFonts w:ascii="Times New Roman" w:hAnsi="Times New Roman"/>
            <w:color w:val="0000FF"/>
            <w:sz w:val="24"/>
            <w:szCs w:val="24"/>
            <w:u w:val="single"/>
            <w:lang w:val="en-US" w:eastAsia="en-US"/>
          </w:rPr>
          <w:t>https://doi.org/10.1017/CBO9780511721892</w:t>
        </w:r>
      </w:hyperlink>
    </w:p>
    <w:p w14:paraId="6C9FD4D5"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Macgregor, H. C. (1993). </w:t>
      </w:r>
      <w:r w:rsidRPr="00905F9D">
        <w:rPr>
          <w:rFonts w:ascii="Times New Roman" w:hAnsi="Times New Roman"/>
          <w:i/>
          <w:iCs/>
          <w:sz w:val="24"/>
          <w:szCs w:val="24"/>
          <w:lang w:val="en-US" w:eastAsia="en-US"/>
        </w:rPr>
        <w:t>Introduction to animal cytogenetics</w:t>
      </w:r>
      <w:r w:rsidRPr="00905F9D">
        <w:rPr>
          <w:rFonts w:ascii="Times New Roman" w:hAnsi="Times New Roman"/>
          <w:sz w:val="24"/>
          <w:szCs w:val="24"/>
          <w:lang w:val="en-US" w:eastAsia="en-US"/>
        </w:rPr>
        <w:t xml:space="preserve">. Chapman &amp; Hall. </w:t>
      </w:r>
      <w:hyperlink r:id="rId32" w:history="1">
        <w:r w:rsidRPr="00905F9D">
          <w:rPr>
            <w:rFonts w:ascii="Times New Roman" w:hAnsi="Times New Roman"/>
            <w:color w:val="0000FF"/>
            <w:sz w:val="24"/>
            <w:szCs w:val="24"/>
            <w:u w:val="single"/>
            <w:lang w:val="en-US" w:eastAsia="en-US"/>
          </w:rPr>
          <w:t>https://ci.nii.ac.jp/ncid/BA22407151</w:t>
        </w:r>
      </w:hyperlink>
    </w:p>
    <w:p w14:paraId="4AB4E65D"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Manna, G. K., &amp; </w:t>
      </w:r>
      <w:proofErr w:type="spellStart"/>
      <w:r w:rsidRPr="00905F9D">
        <w:rPr>
          <w:rFonts w:ascii="Times New Roman" w:hAnsi="Times New Roman"/>
          <w:sz w:val="24"/>
          <w:szCs w:val="24"/>
          <w:lang w:val="en-US" w:eastAsia="en-US"/>
        </w:rPr>
        <w:t>Khuda-Bukhsh</w:t>
      </w:r>
      <w:proofErr w:type="spellEnd"/>
      <w:r w:rsidRPr="00905F9D">
        <w:rPr>
          <w:rFonts w:ascii="Times New Roman" w:hAnsi="Times New Roman"/>
          <w:sz w:val="24"/>
          <w:szCs w:val="24"/>
          <w:lang w:val="en-US" w:eastAsia="en-US"/>
        </w:rPr>
        <w:t xml:space="preserve">, A. R. (1978). Karyomorphological studies in three species of teleostean fishes. </w:t>
      </w:r>
      <w:proofErr w:type="spellStart"/>
      <w:r w:rsidRPr="00905F9D">
        <w:rPr>
          <w:rFonts w:ascii="Times New Roman" w:hAnsi="Times New Roman"/>
          <w:i/>
          <w:iCs/>
          <w:sz w:val="24"/>
          <w:szCs w:val="24"/>
          <w:lang w:val="en-US" w:eastAsia="en-US"/>
        </w:rPr>
        <w:t>Cytologia</w:t>
      </w:r>
      <w:proofErr w:type="spellEnd"/>
      <w:r w:rsidRPr="00905F9D">
        <w:rPr>
          <w:rFonts w:ascii="Times New Roman" w:hAnsi="Times New Roman"/>
          <w:i/>
          <w:iCs/>
          <w:sz w:val="24"/>
          <w:szCs w:val="24"/>
          <w:lang w:val="en-US" w:eastAsia="en-US"/>
        </w:rPr>
        <w:t>, 43</w:t>
      </w:r>
      <w:r w:rsidRPr="00905F9D">
        <w:rPr>
          <w:rFonts w:ascii="Times New Roman" w:hAnsi="Times New Roman"/>
          <w:sz w:val="24"/>
          <w:szCs w:val="24"/>
          <w:lang w:val="en-US" w:eastAsia="en-US"/>
        </w:rPr>
        <w:t xml:space="preserve">(1), 69–73. </w:t>
      </w:r>
      <w:hyperlink r:id="rId33" w:history="1">
        <w:r w:rsidRPr="00905F9D">
          <w:rPr>
            <w:rFonts w:ascii="Times New Roman" w:hAnsi="Times New Roman"/>
            <w:color w:val="0000FF"/>
            <w:sz w:val="24"/>
            <w:szCs w:val="24"/>
            <w:u w:val="single"/>
            <w:lang w:val="en-US" w:eastAsia="en-US"/>
          </w:rPr>
          <w:t>https://doi.org/10.1508/cytologia.43.69</w:t>
        </w:r>
      </w:hyperlink>
    </w:p>
    <w:p w14:paraId="18F668B6"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lastRenderedPageBreak/>
        <w:t xml:space="preserve">Manna, G. K., &amp; Prasad, R. (1971). A new perspective in the mechanism of evolution of chromosomes in fishes. In </w:t>
      </w:r>
      <w:r w:rsidRPr="00905F9D">
        <w:rPr>
          <w:rFonts w:ascii="Times New Roman" w:hAnsi="Times New Roman"/>
          <w:i/>
          <w:iCs/>
          <w:sz w:val="24"/>
          <w:szCs w:val="24"/>
          <w:lang w:val="en-US" w:eastAsia="en-US"/>
        </w:rPr>
        <w:t>Proceedings of the First All India Congress of Cytology and Genetics</w:t>
      </w:r>
      <w:r w:rsidRPr="00905F9D">
        <w:rPr>
          <w:rFonts w:ascii="Times New Roman" w:hAnsi="Times New Roman"/>
          <w:sz w:val="24"/>
          <w:szCs w:val="24"/>
          <w:lang w:val="en-US" w:eastAsia="en-US"/>
        </w:rPr>
        <w:t xml:space="preserve"> (pp. 237–240). Journal of Cytology and Genetics Congress Supplement. </w:t>
      </w:r>
      <w:hyperlink r:id="rId34" w:history="1">
        <w:r w:rsidRPr="00905F9D">
          <w:rPr>
            <w:rFonts w:ascii="Times New Roman" w:hAnsi="Times New Roman"/>
            <w:color w:val="0000FF"/>
            <w:sz w:val="24"/>
            <w:szCs w:val="24"/>
            <w:u w:val="single"/>
            <w:lang w:val="en-US" w:eastAsia="en-US"/>
          </w:rPr>
          <w:t>https://www.fishbase.se/references/SummaryRefList.php?GenusName=Pangasius&amp;ID=292&amp;SpeciesName=pangasius</w:t>
        </w:r>
      </w:hyperlink>
    </w:p>
    <w:p w14:paraId="401BC950"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Manna, G. K., &amp; Prasad, R. (1973). Somatic and germinal chromosomes in two species of fishes belonging to the genus </w:t>
      </w:r>
      <w:r w:rsidRPr="00905F9D">
        <w:rPr>
          <w:rFonts w:ascii="Times New Roman" w:hAnsi="Times New Roman"/>
          <w:i/>
          <w:iCs/>
          <w:sz w:val="24"/>
          <w:szCs w:val="24"/>
          <w:lang w:val="en-US" w:eastAsia="en-US"/>
        </w:rPr>
        <w:t>Puntius</w:t>
      </w:r>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Journal of Cytology and Genetics, 8</w:t>
      </w:r>
      <w:r w:rsidRPr="00905F9D">
        <w:rPr>
          <w:rFonts w:ascii="Times New Roman" w:hAnsi="Times New Roman"/>
          <w:sz w:val="24"/>
          <w:szCs w:val="24"/>
          <w:lang w:val="en-US" w:eastAsia="en-US"/>
        </w:rPr>
        <w:t xml:space="preserve">, 145–152. </w:t>
      </w:r>
      <w:hyperlink r:id="rId35" w:history="1">
        <w:r w:rsidRPr="00905F9D">
          <w:rPr>
            <w:rFonts w:ascii="Times New Roman" w:hAnsi="Times New Roman"/>
            <w:color w:val="0000FF"/>
            <w:sz w:val="24"/>
            <w:szCs w:val="24"/>
            <w:u w:val="single"/>
            <w:lang w:val="en-US" w:eastAsia="en-US"/>
          </w:rPr>
          <w:t>https://mail.nbfgr.res.in/Fish_Karyome/chromview.php?fid=328&amp;id=225+</w:t>
        </w:r>
      </w:hyperlink>
    </w:p>
    <w:p w14:paraId="0506C893"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Molina, W. F. (2007). Chromosomal changes and stasis in marine fish groups. In E. Pisano, C. </w:t>
      </w:r>
      <w:proofErr w:type="spellStart"/>
      <w:r w:rsidRPr="00905F9D">
        <w:rPr>
          <w:rFonts w:ascii="Times New Roman" w:hAnsi="Times New Roman"/>
          <w:sz w:val="24"/>
          <w:szCs w:val="24"/>
          <w:lang w:val="en-US" w:eastAsia="en-US"/>
        </w:rPr>
        <w:t>Ozouf-Costaz</w:t>
      </w:r>
      <w:proofErr w:type="spellEnd"/>
      <w:r w:rsidRPr="00905F9D">
        <w:rPr>
          <w:rFonts w:ascii="Times New Roman" w:hAnsi="Times New Roman"/>
          <w:sz w:val="24"/>
          <w:szCs w:val="24"/>
          <w:lang w:val="en-US" w:eastAsia="en-US"/>
        </w:rPr>
        <w:t xml:space="preserve">, F. Foresti, and B. G. Kapoor (Eds.), </w:t>
      </w:r>
      <w:r w:rsidRPr="00905F9D">
        <w:rPr>
          <w:rFonts w:ascii="Times New Roman" w:hAnsi="Times New Roman"/>
          <w:i/>
          <w:iCs/>
          <w:sz w:val="24"/>
          <w:szCs w:val="24"/>
          <w:lang w:val="en-US" w:eastAsia="en-US"/>
        </w:rPr>
        <w:t>Fish cytogenetics</w:t>
      </w:r>
      <w:r w:rsidRPr="00905F9D">
        <w:rPr>
          <w:rFonts w:ascii="Times New Roman" w:hAnsi="Times New Roman"/>
          <w:sz w:val="24"/>
          <w:szCs w:val="24"/>
          <w:lang w:val="en-US" w:eastAsia="en-US"/>
        </w:rPr>
        <w:t xml:space="preserve"> (pp. 69–110). CRC Press. </w:t>
      </w:r>
      <w:hyperlink r:id="rId36" w:history="1">
        <w:r w:rsidRPr="00905F9D">
          <w:rPr>
            <w:rFonts w:ascii="Times New Roman" w:hAnsi="Times New Roman"/>
            <w:color w:val="0000FF"/>
            <w:sz w:val="24"/>
            <w:szCs w:val="24"/>
            <w:u w:val="single"/>
            <w:lang w:val="en-US" w:eastAsia="en-US"/>
          </w:rPr>
          <w:t>https://doi.org/10.1201/b10746-4</w:t>
        </w:r>
      </w:hyperlink>
    </w:p>
    <w:p w14:paraId="70495FF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Ocalewicz, K., </w:t>
      </w:r>
      <w:proofErr w:type="spellStart"/>
      <w:r w:rsidRPr="00905F9D">
        <w:rPr>
          <w:rFonts w:ascii="Times New Roman" w:hAnsi="Times New Roman"/>
          <w:sz w:val="24"/>
          <w:szCs w:val="24"/>
          <w:lang w:val="en-US" w:eastAsia="en-US"/>
        </w:rPr>
        <w:t>Hliwa</w:t>
      </w:r>
      <w:proofErr w:type="spellEnd"/>
      <w:r w:rsidRPr="00905F9D">
        <w:rPr>
          <w:rFonts w:ascii="Times New Roman" w:hAnsi="Times New Roman"/>
          <w:sz w:val="24"/>
          <w:szCs w:val="24"/>
          <w:lang w:val="en-US" w:eastAsia="en-US"/>
        </w:rPr>
        <w:t xml:space="preserve">, P., Król, J., </w:t>
      </w:r>
      <w:proofErr w:type="spellStart"/>
      <w:r w:rsidRPr="00905F9D">
        <w:rPr>
          <w:rFonts w:ascii="Times New Roman" w:hAnsi="Times New Roman"/>
          <w:sz w:val="24"/>
          <w:szCs w:val="24"/>
          <w:lang w:val="en-US" w:eastAsia="en-US"/>
        </w:rPr>
        <w:t>Rábová</w:t>
      </w:r>
      <w:proofErr w:type="spellEnd"/>
      <w:r w:rsidRPr="00905F9D">
        <w:rPr>
          <w:rFonts w:ascii="Times New Roman" w:hAnsi="Times New Roman"/>
          <w:sz w:val="24"/>
          <w:szCs w:val="24"/>
          <w:lang w:val="en-US" w:eastAsia="en-US"/>
        </w:rPr>
        <w:t xml:space="preserve">, M., Stabiński, R., &amp; </w:t>
      </w:r>
      <w:proofErr w:type="spellStart"/>
      <w:r w:rsidRPr="00905F9D">
        <w:rPr>
          <w:rFonts w:ascii="Times New Roman" w:hAnsi="Times New Roman"/>
          <w:sz w:val="24"/>
          <w:szCs w:val="24"/>
          <w:lang w:val="en-US" w:eastAsia="en-US"/>
        </w:rPr>
        <w:t>Ráb</w:t>
      </w:r>
      <w:proofErr w:type="spellEnd"/>
      <w:r w:rsidRPr="00905F9D">
        <w:rPr>
          <w:rFonts w:ascii="Times New Roman" w:hAnsi="Times New Roman"/>
          <w:sz w:val="24"/>
          <w:szCs w:val="24"/>
          <w:lang w:val="en-US" w:eastAsia="en-US"/>
        </w:rPr>
        <w:t xml:space="preserve">, P. (2007). Karyotype and chromosomal characteristics of Ag-NOR sites and 5S rDNA in European smelt, </w:t>
      </w:r>
      <w:r w:rsidRPr="00905F9D">
        <w:rPr>
          <w:rFonts w:ascii="Times New Roman" w:hAnsi="Times New Roman"/>
          <w:i/>
          <w:iCs/>
          <w:sz w:val="24"/>
          <w:szCs w:val="24"/>
          <w:lang w:val="en-US" w:eastAsia="en-US"/>
        </w:rPr>
        <w:t>Osmerus eperlanus</w:t>
      </w:r>
      <w:r w:rsidRPr="00905F9D">
        <w:rPr>
          <w:rFonts w:ascii="Times New Roman" w:hAnsi="Times New Roman"/>
          <w:sz w:val="24"/>
          <w:szCs w:val="24"/>
          <w:lang w:val="en-US" w:eastAsia="en-US"/>
        </w:rPr>
        <w:t xml:space="preserve">. </w:t>
      </w:r>
      <w:proofErr w:type="spellStart"/>
      <w:r w:rsidRPr="00905F9D">
        <w:rPr>
          <w:rFonts w:ascii="Times New Roman" w:hAnsi="Times New Roman"/>
          <w:i/>
          <w:iCs/>
          <w:sz w:val="24"/>
          <w:szCs w:val="24"/>
          <w:lang w:val="en-US" w:eastAsia="en-US"/>
        </w:rPr>
        <w:t>Genetica</w:t>
      </w:r>
      <w:proofErr w:type="spellEnd"/>
      <w:r w:rsidRPr="00905F9D">
        <w:rPr>
          <w:rFonts w:ascii="Times New Roman" w:hAnsi="Times New Roman"/>
          <w:i/>
          <w:iCs/>
          <w:sz w:val="24"/>
          <w:szCs w:val="24"/>
          <w:lang w:val="en-US" w:eastAsia="en-US"/>
        </w:rPr>
        <w:t>, 131</w:t>
      </w:r>
      <w:r w:rsidRPr="00905F9D">
        <w:rPr>
          <w:rFonts w:ascii="Times New Roman" w:hAnsi="Times New Roman"/>
          <w:sz w:val="24"/>
          <w:szCs w:val="24"/>
          <w:lang w:val="en-US" w:eastAsia="en-US"/>
        </w:rPr>
        <w:t xml:space="preserve">(1), 29–35. </w:t>
      </w:r>
      <w:hyperlink r:id="rId37" w:history="1">
        <w:r w:rsidRPr="00905F9D">
          <w:rPr>
            <w:rFonts w:ascii="Times New Roman" w:hAnsi="Times New Roman"/>
            <w:color w:val="0000FF"/>
            <w:sz w:val="24"/>
            <w:szCs w:val="24"/>
            <w:u w:val="single"/>
            <w:lang w:val="en-US" w:eastAsia="en-US"/>
          </w:rPr>
          <w:t>https://doi.org/10.1007/s10709-006-9110-9</w:t>
        </w:r>
      </w:hyperlink>
    </w:p>
    <w:p w14:paraId="49F3087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Padilla, J. A., Fernández-García, J. L., Rabasco, A., Martínez-</w:t>
      </w:r>
      <w:proofErr w:type="spellStart"/>
      <w:r w:rsidRPr="00905F9D">
        <w:rPr>
          <w:rFonts w:ascii="Times New Roman" w:hAnsi="Times New Roman"/>
          <w:sz w:val="24"/>
          <w:szCs w:val="24"/>
          <w:lang w:val="en-US" w:eastAsia="en-US"/>
        </w:rPr>
        <w:t>Trancón</w:t>
      </w:r>
      <w:proofErr w:type="spellEnd"/>
      <w:r w:rsidRPr="00905F9D">
        <w:rPr>
          <w:rFonts w:ascii="Times New Roman" w:hAnsi="Times New Roman"/>
          <w:sz w:val="24"/>
          <w:szCs w:val="24"/>
          <w:lang w:val="en-US" w:eastAsia="en-US"/>
        </w:rPr>
        <w:t>, M., Rodríguez de Ledesma, I., &amp; Pérez-</w:t>
      </w:r>
      <w:proofErr w:type="spellStart"/>
      <w:r w:rsidRPr="00905F9D">
        <w:rPr>
          <w:rFonts w:ascii="Times New Roman" w:hAnsi="Times New Roman"/>
          <w:sz w:val="24"/>
          <w:szCs w:val="24"/>
          <w:lang w:val="en-US" w:eastAsia="en-US"/>
        </w:rPr>
        <w:t>Regadera</w:t>
      </w:r>
      <w:proofErr w:type="spellEnd"/>
      <w:r w:rsidRPr="00905F9D">
        <w:rPr>
          <w:rFonts w:ascii="Times New Roman" w:hAnsi="Times New Roman"/>
          <w:sz w:val="24"/>
          <w:szCs w:val="24"/>
          <w:lang w:val="en-US" w:eastAsia="en-US"/>
        </w:rPr>
        <w:t xml:space="preserve">, J. J. (1993). Characterization of the karyotype of the </w:t>
      </w:r>
      <w:proofErr w:type="spellStart"/>
      <w:r w:rsidRPr="00905F9D">
        <w:rPr>
          <w:rFonts w:ascii="Times New Roman" w:hAnsi="Times New Roman"/>
          <w:sz w:val="24"/>
          <w:szCs w:val="24"/>
          <w:lang w:val="en-US" w:eastAsia="en-US"/>
        </w:rPr>
        <w:t>tench</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 xml:space="preserve">Tinca </w:t>
      </w:r>
      <w:proofErr w:type="spellStart"/>
      <w:r w:rsidRPr="00905F9D">
        <w:rPr>
          <w:rFonts w:ascii="Times New Roman" w:hAnsi="Times New Roman"/>
          <w:i/>
          <w:iCs/>
          <w:sz w:val="24"/>
          <w:szCs w:val="24"/>
          <w:lang w:val="en-US" w:eastAsia="en-US"/>
        </w:rPr>
        <w:t>tinca</w:t>
      </w:r>
      <w:proofErr w:type="spellEnd"/>
      <w:r w:rsidRPr="00905F9D">
        <w:rPr>
          <w:rFonts w:ascii="Times New Roman" w:hAnsi="Times New Roman"/>
          <w:sz w:val="24"/>
          <w:szCs w:val="24"/>
          <w:lang w:val="en-US" w:eastAsia="en-US"/>
        </w:rPr>
        <w:t xml:space="preserve"> L.) and analysis of its chromosomal heterochromatic regions by C-banding, Ag-staining, and restriction endonuclease banding. </w:t>
      </w:r>
      <w:r w:rsidRPr="00905F9D">
        <w:rPr>
          <w:rFonts w:ascii="Times New Roman" w:hAnsi="Times New Roman"/>
          <w:i/>
          <w:iCs/>
          <w:sz w:val="24"/>
          <w:szCs w:val="24"/>
          <w:lang w:val="en-US" w:eastAsia="en-US"/>
        </w:rPr>
        <w:t>Cytogenetics and Cell Genetics, 62</w:t>
      </w:r>
      <w:r w:rsidRPr="00905F9D">
        <w:rPr>
          <w:rFonts w:ascii="Times New Roman" w:hAnsi="Times New Roman"/>
          <w:sz w:val="24"/>
          <w:szCs w:val="24"/>
          <w:lang w:val="en-US" w:eastAsia="en-US"/>
        </w:rPr>
        <w:t xml:space="preserve">(4), 220–223. </w:t>
      </w:r>
      <w:hyperlink r:id="rId38" w:history="1">
        <w:r w:rsidRPr="00905F9D">
          <w:rPr>
            <w:rFonts w:ascii="Times New Roman" w:hAnsi="Times New Roman"/>
            <w:color w:val="0000FF"/>
            <w:sz w:val="24"/>
            <w:szCs w:val="24"/>
            <w:u w:val="single"/>
            <w:lang w:val="en-US" w:eastAsia="en-US"/>
          </w:rPr>
          <w:t>https://doi.org/10.1159/000133481</w:t>
        </w:r>
      </w:hyperlink>
    </w:p>
    <w:p w14:paraId="0B982AE0"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Pethiyagoda, R. (1991). </w:t>
      </w:r>
      <w:r w:rsidRPr="00905F9D">
        <w:rPr>
          <w:rFonts w:ascii="Times New Roman" w:hAnsi="Times New Roman"/>
          <w:i/>
          <w:iCs/>
          <w:sz w:val="24"/>
          <w:szCs w:val="24"/>
          <w:lang w:val="en-US" w:eastAsia="en-US"/>
        </w:rPr>
        <w:t>Freshwater fishes of Sri Lanka</w:t>
      </w:r>
      <w:r w:rsidRPr="00905F9D">
        <w:rPr>
          <w:rFonts w:ascii="Times New Roman" w:hAnsi="Times New Roman"/>
          <w:sz w:val="24"/>
          <w:szCs w:val="24"/>
          <w:lang w:val="en-US" w:eastAsia="en-US"/>
        </w:rPr>
        <w:t xml:space="preserve">. Wildlife Heritage Trust of Sri Lanka. </w:t>
      </w:r>
      <w:hyperlink r:id="rId39" w:history="1">
        <w:r w:rsidRPr="00905F9D">
          <w:rPr>
            <w:rFonts w:ascii="Times New Roman" w:hAnsi="Times New Roman"/>
            <w:color w:val="0000FF"/>
            <w:sz w:val="24"/>
            <w:szCs w:val="24"/>
            <w:u w:val="single"/>
            <w:lang w:val="en-US" w:eastAsia="en-US"/>
          </w:rPr>
          <w:t>https://agris.fao.org/search/en/providers/122535/records/65ddd6427c7033e84be8415a</w:t>
        </w:r>
      </w:hyperlink>
    </w:p>
    <w:p w14:paraId="67B199F5" w14:textId="1B5D151B"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Pethiyagoda, R., </w:t>
      </w:r>
      <w:proofErr w:type="spellStart"/>
      <w:r w:rsidRPr="00905F9D">
        <w:rPr>
          <w:rFonts w:ascii="Times New Roman" w:hAnsi="Times New Roman"/>
          <w:sz w:val="24"/>
          <w:szCs w:val="24"/>
          <w:lang w:val="en-US" w:eastAsia="en-US"/>
        </w:rPr>
        <w:t>Meegaskumbura</w:t>
      </w:r>
      <w:proofErr w:type="spellEnd"/>
      <w:r w:rsidRPr="00905F9D">
        <w:rPr>
          <w:rFonts w:ascii="Times New Roman" w:hAnsi="Times New Roman"/>
          <w:sz w:val="24"/>
          <w:szCs w:val="24"/>
          <w:lang w:val="en-US" w:eastAsia="en-US"/>
        </w:rPr>
        <w:t xml:space="preserve">, M., &amp; </w:t>
      </w:r>
      <w:proofErr w:type="spellStart"/>
      <w:r w:rsidRPr="00905F9D">
        <w:rPr>
          <w:rFonts w:ascii="Times New Roman" w:hAnsi="Times New Roman"/>
          <w:sz w:val="24"/>
          <w:szCs w:val="24"/>
          <w:lang w:val="en-US" w:eastAsia="en-US"/>
        </w:rPr>
        <w:t>Maduwage</w:t>
      </w:r>
      <w:proofErr w:type="spellEnd"/>
      <w:r w:rsidRPr="00905F9D">
        <w:rPr>
          <w:rFonts w:ascii="Times New Roman" w:hAnsi="Times New Roman"/>
          <w:sz w:val="24"/>
          <w:szCs w:val="24"/>
          <w:lang w:val="en-US" w:eastAsia="en-US"/>
        </w:rPr>
        <w:t xml:space="preserve">, K. (2012). A synopsis of the South Asian fishes referred to </w:t>
      </w:r>
      <w:r w:rsidRPr="00905F9D">
        <w:rPr>
          <w:rFonts w:ascii="Times New Roman" w:hAnsi="Times New Roman"/>
          <w:i/>
          <w:iCs/>
          <w:sz w:val="24"/>
          <w:szCs w:val="24"/>
          <w:lang w:val="en-US" w:eastAsia="en-US"/>
        </w:rPr>
        <w:t>Puntius</w:t>
      </w:r>
      <w:r w:rsidRPr="00905F9D">
        <w:rPr>
          <w:rFonts w:ascii="Times New Roman" w:hAnsi="Times New Roman"/>
          <w:sz w:val="24"/>
          <w:szCs w:val="24"/>
          <w:lang w:val="en-US" w:eastAsia="en-US"/>
        </w:rPr>
        <w:t xml:space="preserve"> (Pisces: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Ichthyological Exploration of Freshwaters, 23</w:t>
      </w:r>
      <w:r w:rsidRPr="00905F9D">
        <w:rPr>
          <w:rFonts w:ascii="Times New Roman" w:hAnsi="Times New Roman"/>
          <w:sz w:val="24"/>
          <w:szCs w:val="24"/>
          <w:lang w:val="en-US" w:eastAsia="en-US"/>
        </w:rPr>
        <w:t xml:space="preserve">(1), 69–95. </w:t>
      </w:r>
    </w:p>
    <w:p w14:paraId="236C29E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Poletto, A. B., Ferreira, I. A., Cabral-de-Mello, D. C., Nakajima, R. T., Mazzuchelli, J., Ribeiro, H. B., Venere, P. C., </w:t>
      </w:r>
      <w:proofErr w:type="spellStart"/>
      <w:r w:rsidRPr="00905F9D">
        <w:rPr>
          <w:rFonts w:ascii="Times New Roman" w:hAnsi="Times New Roman"/>
          <w:sz w:val="24"/>
          <w:szCs w:val="24"/>
          <w:lang w:val="en-US" w:eastAsia="en-US"/>
        </w:rPr>
        <w:t>Nirchio</w:t>
      </w:r>
      <w:proofErr w:type="spellEnd"/>
      <w:r w:rsidRPr="00905F9D">
        <w:rPr>
          <w:rFonts w:ascii="Times New Roman" w:hAnsi="Times New Roman"/>
          <w:sz w:val="24"/>
          <w:szCs w:val="24"/>
          <w:lang w:val="en-US" w:eastAsia="en-US"/>
        </w:rPr>
        <w:t xml:space="preserve">, M., Kocher, T. D., &amp; Martins, C. (2010). Chromosome differentiation patterns during cichlid fish evolution. </w:t>
      </w:r>
      <w:r w:rsidRPr="00905F9D">
        <w:rPr>
          <w:rFonts w:ascii="Times New Roman" w:hAnsi="Times New Roman"/>
          <w:i/>
          <w:iCs/>
          <w:sz w:val="24"/>
          <w:szCs w:val="24"/>
          <w:lang w:val="en-US" w:eastAsia="en-US"/>
        </w:rPr>
        <w:t>BMC Genetics, 11</w:t>
      </w:r>
      <w:r w:rsidRPr="00905F9D">
        <w:rPr>
          <w:rFonts w:ascii="Times New Roman" w:hAnsi="Times New Roman"/>
          <w:sz w:val="24"/>
          <w:szCs w:val="24"/>
          <w:lang w:val="en-US" w:eastAsia="en-US"/>
        </w:rPr>
        <w:t xml:space="preserve">, 50. </w:t>
      </w:r>
      <w:hyperlink r:id="rId40" w:history="1">
        <w:r w:rsidRPr="00905F9D">
          <w:rPr>
            <w:rFonts w:ascii="Times New Roman" w:hAnsi="Times New Roman"/>
            <w:color w:val="0000FF"/>
            <w:sz w:val="24"/>
            <w:szCs w:val="24"/>
            <w:u w:val="single"/>
            <w:lang w:val="en-US" w:eastAsia="en-US"/>
          </w:rPr>
          <w:t>https://doi.org/10.1186/1471-2156-11-50</w:t>
        </w:r>
      </w:hyperlink>
    </w:p>
    <w:p w14:paraId="078FDA29"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Renner, S. S., Heinrichs, J., &amp; Sousa, A. (2017). The sex chromosomes of bryophytes: Recent insights, open questions, and reinvestigations of </w:t>
      </w:r>
      <w:proofErr w:type="spellStart"/>
      <w:r w:rsidRPr="00905F9D">
        <w:rPr>
          <w:rFonts w:ascii="Times New Roman" w:hAnsi="Times New Roman"/>
          <w:i/>
          <w:iCs/>
          <w:sz w:val="24"/>
          <w:szCs w:val="24"/>
          <w:lang w:val="en-US" w:eastAsia="en-US"/>
        </w:rPr>
        <w:t>Frullania</w:t>
      </w:r>
      <w:proofErr w:type="spellEnd"/>
      <w:r w:rsidRPr="00905F9D">
        <w:rPr>
          <w:rFonts w:ascii="Times New Roman" w:hAnsi="Times New Roman"/>
          <w:i/>
          <w:iCs/>
          <w:sz w:val="24"/>
          <w:szCs w:val="24"/>
          <w:lang w:val="en-US" w:eastAsia="en-US"/>
        </w:rPr>
        <w:t xml:space="preserve"> dilatata</w:t>
      </w:r>
      <w:r w:rsidRPr="00905F9D">
        <w:rPr>
          <w:rFonts w:ascii="Times New Roman" w:hAnsi="Times New Roman"/>
          <w:sz w:val="24"/>
          <w:szCs w:val="24"/>
          <w:lang w:val="en-US" w:eastAsia="en-US"/>
        </w:rPr>
        <w:t xml:space="preserve"> and </w:t>
      </w:r>
      <w:proofErr w:type="spellStart"/>
      <w:r w:rsidRPr="00905F9D">
        <w:rPr>
          <w:rFonts w:ascii="Times New Roman" w:hAnsi="Times New Roman"/>
          <w:i/>
          <w:iCs/>
          <w:sz w:val="24"/>
          <w:szCs w:val="24"/>
          <w:lang w:val="en-US" w:eastAsia="en-US"/>
        </w:rPr>
        <w:t>Plagiochila</w:t>
      </w:r>
      <w:proofErr w:type="spellEnd"/>
      <w:r w:rsidRPr="00905F9D">
        <w:rPr>
          <w:rFonts w:ascii="Times New Roman" w:hAnsi="Times New Roman"/>
          <w:i/>
          <w:iCs/>
          <w:sz w:val="24"/>
          <w:szCs w:val="24"/>
          <w:lang w:val="en-US" w:eastAsia="en-US"/>
        </w:rPr>
        <w:t xml:space="preserve"> </w:t>
      </w:r>
      <w:proofErr w:type="spellStart"/>
      <w:r w:rsidRPr="00905F9D">
        <w:rPr>
          <w:rFonts w:ascii="Times New Roman" w:hAnsi="Times New Roman"/>
          <w:i/>
          <w:iCs/>
          <w:sz w:val="24"/>
          <w:szCs w:val="24"/>
          <w:lang w:val="en-US" w:eastAsia="en-US"/>
        </w:rPr>
        <w:t>asplenioides</w:t>
      </w:r>
      <w:proofErr w:type="spellEnd"/>
      <w:r w:rsidRPr="00905F9D">
        <w:rPr>
          <w:rFonts w:ascii="Times New Roman" w:hAnsi="Times New Roman"/>
          <w:sz w:val="24"/>
          <w:szCs w:val="24"/>
          <w:lang w:val="en-US" w:eastAsia="en-US"/>
        </w:rPr>
        <w:t xml:space="preserve">. </w:t>
      </w:r>
      <w:r w:rsidRPr="00905F9D">
        <w:rPr>
          <w:rFonts w:ascii="Times New Roman" w:hAnsi="Times New Roman"/>
          <w:i/>
          <w:iCs/>
          <w:sz w:val="24"/>
          <w:szCs w:val="24"/>
          <w:lang w:val="en-US" w:eastAsia="en-US"/>
        </w:rPr>
        <w:t>Journal of Systematics and Evolution, 55</w:t>
      </w:r>
      <w:r w:rsidRPr="00905F9D">
        <w:rPr>
          <w:rFonts w:ascii="Times New Roman" w:hAnsi="Times New Roman"/>
          <w:sz w:val="24"/>
          <w:szCs w:val="24"/>
          <w:lang w:val="en-US" w:eastAsia="en-US"/>
        </w:rPr>
        <w:t xml:space="preserve">(4), 333–339. </w:t>
      </w:r>
      <w:hyperlink r:id="rId41" w:history="1">
        <w:r w:rsidRPr="00905F9D">
          <w:rPr>
            <w:rFonts w:ascii="Times New Roman" w:hAnsi="Times New Roman"/>
            <w:color w:val="0000FF"/>
            <w:sz w:val="24"/>
            <w:szCs w:val="24"/>
            <w:u w:val="single"/>
            <w:lang w:val="en-US" w:eastAsia="en-US"/>
          </w:rPr>
          <w:t>https://doi.org/10.1111/jse.12266</w:t>
        </w:r>
      </w:hyperlink>
    </w:p>
    <w:p w14:paraId="34B11190"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Rishi, K. K., &amp; Rishi, S. (1981). Giemsa banding in fish chromosome. In G. K. Manna and U. Sinha (Eds.), </w:t>
      </w:r>
      <w:r w:rsidRPr="00905F9D">
        <w:rPr>
          <w:rFonts w:ascii="Times New Roman" w:hAnsi="Times New Roman"/>
          <w:i/>
          <w:iCs/>
          <w:sz w:val="24"/>
          <w:szCs w:val="24"/>
          <w:lang w:val="en-US" w:eastAsia="en-US"/>
        </w:rPr>
        <w:t>Perspectives in cytology and genetics</w:t>
      </w:r>
      <w:r w:rsidRPr="00905F9D">
        <w:rPr>
          <w:rFonts w:ascii="Times New Roman" w:hAnsi="Times New Roman"/>
          <w:sz w:val="24"/>
          <w:szCs w:val="24"/>
          <w:lang w:val="en-US" w:eastAsia="en-US"/>
        </w:rPr>
        <w:t xml:space="preserve"> (Vol. 3, pp. 103–106). </w:t>
      </w:r>
      <w:proofErr w:type="spellStart"/>
      <w:r w:rsidRPr="00905F9D">
        <w:rPr>
          <w:rFonts w:ascii="Times New Roman" w:hAnsi="Times New Roman"/>
          <w:sz w:val="24"/>
          <w:szCs w:val="24"/>
          <w:lang w:val="en-US" w:eastAsia="en-US"/>
        </w:rPr>
        <w:t>Hindasia</w:t>
      </w:r>
      <w:proofErr w:type="spellEnd"/>
      <w:r w:rsidRPr="00905F9D">
        <w:rPr>
          <w:rFonts w:ascii="Times New Roman" w:hAnsi="Times New Roman"/>
          <w:sz w:val="24"/>
          <w:szCs w:val="24"/>
          <w:lang w:val="en-US" w:eastAsia="en-US"/>
        </w:rPr>
        <w:t xml:space="preserve"> Publishers. </w:t>
      </w:r>
      <w:hyperlink r:id="rId42" w:history="1">
        <w:r w:rsidRPr="00905F9D">
          <w:rPr>
            <w:rFonts w:ascii="Times New Roman" w:hAnsi="Times New Roman"/>
            <w:color w:val="0000FF"/>
            <w:sz w:val="24"/>
            <w:szCs w:val="24"/>
            <w:u w:val="single"/>
            <w:lang w:val="en-US" w:eastAsia="en-US"/>
          </w:rPr>
          <w:t>https://mail.nbfgr.res.in/Fish_Karyome/ecosys.php</w:t>
        </w:r>
      </w:hyperlink>
    </w:p>
    <w:p w14:paraId="07FBA3C6"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Rossi, A. R. (2021). Fish cytogenetics: Present and future. </w:t>
      </w:r>
      <w:r w:rsidRPr="00905F9D">
        <w:rPr>
          <w:rFonts w:ascii="Times New Roman" w:hAnsi="Times New Roman"/>
          <w:i/>
          <w:iCs/>
          <w:sz w:val="24"/>
          <w:szCs w:val="24"/>
          <w:lang w:val="en-US" w:eastAsia="en-US"/>
        </w:rPr>
        <w:t>Genes, 12</w:t>
      </w:r>
      <w:r w:rsidRPr="00905F9D">
        <w:rPr>
          <w:rFonts w:ascii="Times New Roman" w:hAnsi="Times New Roman"/>
          <w:sz w:val="24"/>
          <w:szCs w:val="24"/>
          <w:lang w:val="en-US" w:eastAsia="en-US"/>
        </w:rPr>
        <w:t xml:space="preserve">(7), 983. </w:t>
      </w:r>
      <w:hyperlink r:id="rId43" w:history="1">
        <w:r w:rsidRPr="00905F9D">
          <w:rPr>
            <w:rFonts w:ascii="Times New Roman" w:hAnsi="Times New Roman"/>
            <w:color w:val="0000FF"/>
            <w:sz w:val="24"/>
            <w:szCs w:val="24"/>
            <w:u w:val="single"/>
            <w:lang w:val="en-US" w:eastAsia="en-US"/>
          </w:rPr>
          <w:t>https://doi.org/10.3390/genes12070983</w:t>
        </w:r>
      </w:hyperlink>
    </w:p>
    <w:p w14:paraId="5BC689F7"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t>Saroniya</w:t>
      </w:r>
      <w:proofErr w:type="spellEnd"/>
      <w:r w:rsidRPr="00905F9D">
        <w:rPr>
          <w:rFonts w:ascii="Times New Roman" w:hAnsi="Times New Roman"/>
          <w:sz w:val="24"/>
          <w:szCs w:val="24"/>
          <w:lang w:val="en-US" w:eastAsia="en-US"/>
        </w:rPr>
        <w:t xml:space="preserve">, R. K., Nagpure, N. S., Saksena, D. N., Kushwaha, B., &amp; Kumar, R. (2013). Cytotaxonomic studies in four species of the genus </w:t>
      </w:r>
      <w:r w:rsidRPr="00905F9D">
        <w:rPr>
          <w:rFonts w:ascii="Times New Roman" w:hAnsi="Times New Roman"/>
          <w:i/>
          <w:iCs/>
          <w:sz w:val="24"/>
          <w:szCs w:val="24"/>
          <w:lang w:val="en-US" w:eastAsia="en-US"/>
        </w:rPr>
        <w:t>Puntius</w:t>
      </w:r>
      <w:r w:rsidRPr="00905F9D">
        <w:rPr>
          <w:rFonts w:ascii="Times New Roman" w:hAnsi="Times New Roman"/>
          <w:sz w:val="24"/>
          <w:szCs w:val="24"/>
          <w:lang w:val="en-US" w:eastAsia="en-US"/>
        </w:rPr>
        <w:t xml:space="preserve"> (Hamilton, 1822) from central India. </w:t>
      </w:r>
      <w:r w:rsidRPr="00905F9D">
        <w:rPr>
          <w:rFonts w:ascii="Times New Roman" w:hAnsi="Times New Roman"/>
          <w:i/>
          <w:iCs/>
          <w:sz w:val="24"/>
          <w:szCs w:val="24"/>
          <w:lang w:val="en-US" w:eastAsia="en-US"/>
        </w:rPr>
        <w:lastRenderedPageBreak/>
        <w:t>National Academy Science Letters, 36</w:t>
      </w:r>
      <w:r w:rsidRPr="00905F9D">
        <w:rPr>
          <w:rFonts w:ascii="Times New Roman" w:hAnsi="Times New Roman"/>
          <w:sz w:val="24"/>
          <w:szCs w:val="24"/>
          <w:lang w:val="en-US" w:eastAsia="en-US"/>
        </w:rPr>
        <w:t xml:space="preserve">(4), 411–418. </w:t>
      </w:r>
      <w:hyperlink r:id="rId44" w:history="1">
        <w:r w:rsidRPr="00905F9D">
          <w:rPr>
            <w:rFonts w:ascii="Times New Roman" w:hAnsi="Times New Roman"/>
            <w:color w:val="0000FF"/>
            <w:sz w:val="24"/>
            <w:szCs w:val="24"/>
            <w:u w:val="single"/>
            <w:lang w:val="en-US" w:eastAsia="en-US"/>
          </w:rPr>
          <w:t>https://doi.org/10.1007/s40009-013-0148-9</w:t>
        </w:r>
      </w:hyperlink>
    </w:p>
    <w:p w14:paraId="6AA7BAEB"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Sember, A., Bohlen, J., </w:t>
      </w:r>
      <w:proofErr w:type="spellStart"/>
      <w:r w:rsidRPr="00905F9D">
        <w:rPr>
          <w:rFonts w:ascii="Times New Roman" w:hAnsi="Times New Roman"/>
          <w:sz w:val="24"/>
          <w:szCs w:val="24"/>
          <w:lang w:val="en-US" w:eastAsia="en-US"/>
        </w:rPr>
        <w:t>Šlechtová</w:t>
      </w:r>
      <w:proofErr w:type="spellEnd"/>
      <w:r w:rsidRPr="00905F9D">
        <w:rPr>
          <w:rFonts w:ascii="Times New Roman" w:hAnsi="Times New Roman"/>
          <w:sz w:val="24"/>
          <w:szCs w:val="24"/>
          <w:lang w:val="en-US" w:eastAsia="en-US"/>
        </w:rPr>
        <w:t xml:space="preserve">, V., Altmanová, M., </w:t>
      </w:r>
      <w:proofErr w:type="spellStart"/>
      <w:r w:rsidRPr="00905F9D">
        <w:rPr>
          <w:rFonts w:ascii="Times New Roman" w:hAnsi="Times New Roman"/>
          <w:sz w:val="24"/>
          <w:szCs w:val="24"/>
          <w:lang w:val="en-US" w:eastAsia="en-US"/>
        </w:rPr>
        <w:t>Symonová</w:t>
      </w:r>
      <w:proofErr w:type="spellEnd"/>
      <w:r w:rsidRPr="00905F9D">
        <w:rPr>
          <w:rFonts w:ascii="Times New Roman" w:hAnsi="Times New Roman"/>
          <w:sz w:val="24"/>
          <w:szCs w:val="24"/>
          <w:lang w:val="en-US" w:eastAsia="en-US"/>
        </w:rPr>
        <w:t xml:space="preserve">, R., &amp; </w:t>
      </w:r>
      <w:proofErr w:type="spellStart"/>
      <w:r w:rsidRPr="00905F9D">
        <w:rPr>
          <w:rFonts w:ascii="Times New Roman" w:hAnsi="Times New Roman"/>
          <w:sz w:val="24"/>
          <w:szCs w:val="24"/>
          <w:lang w:val="en-US" w:eastAsia="en-US"/>
        </w:rPr>
        <w:t>Ráb</w:t>
      </w:r>
      <w:proofErr w:type="spellEnd"/>
      <w:r w:rsidRPr="00905F9D">
        <w:rPr>
          <w:rFonts w:ascii="Times New Roman" w:hAnsi="Times New Roman"/>
          <w:sz w:val="24"/>
          <w:szCs w:val="24"/>
          <w:lang w:val="en-US" w:eastAsia="en-US"/>
        </w:rPr>
        <w:t>, P. (2015). Karyotype differentiation in 19 species of river loach fishes (</w:t>
      </w:r>
      <w:proofErr w:type="spellStart"/>
      <w:r w:rsidRPr="00905F9D">
        <w:rPr>
          <w:rFonts w:ascii="Times New Roman" w:hAnsi="Times New Roman"/>
          <w:sz w:val="24"/>
          <w:szCs w:val="24"/>
          <w:lang w:val="en-US" w:eastAsia="en-US"/>
        </w:rPr>
        <w:t>Nemacheilidae</w:t>
      </w:r>
      <w:proofErr w:type="spellEnd"/>
      <w:r w:rsidRPr="00905F9D">
        <w:rPr>
          <w:rFonts w:ascii="Times New Roman" w:hAnsi="Times New Roman"/>
          <w:sz w:val="24"/>
          <w:szCs w:val="24"/>
          <w:lang w:val="en-US" w:eastAsia="en-US"/>
        </w:rPr>
        <w:t xml:space="preserve">, Teleostei): Extensive variability associated with rDNA and heterochromatin distribution and its phylogenetic and ecological interpretation. </w:t>
      </w:r>
      <w:r w:rsidRPr="00905F9D">
        <w:rPr>
          <w:rFonts w:ascii="Times New Roman" w:hAnsi="Times New Roman"/>
          <w:i/>
          <w:iCs/>
          <w:sz w:val="24"/>
          <w:szCs w:val="24"/>
          <w:lang w:val="en-US" w:eastAsia="en-US"/>
        </w:rPr>
        <w:t>BMC Evolutionary Biology, 15</w:t>
      </w:r>
      <w:r w:rsidRPr="00905F9D">
        <w:rPr>
          <w:rFonts w:ascii="Times New Roman" w:hAnsi="Times New Roman"/>
          <w:sz w:val="24"/>
          <w:szCs w:val="24"/>
          <w:lang w:val="en-US" w:eastAsia="en-US"/>
        </w:rPr>
        <w:t xml:space="preserve">, 251. </w:t>
      </w:r>
      <w:hyperlink r:id="rId45" w:history="1">
        <w:r w:rsidRPr="00905F9D">
          <w:rPr>
            <w:rFonts w:ascii="Times New Roman" w:hAnsi="Times New Roman"/>
            <w:color w:val="0000FF"/>
            <w:sz w:val="24"/>
            <w:szCs w:val="24"/>
            <w:u w:val="single"/>
            <w:lang w:val="en-US" w:eastAsia="en-US"/>
          </w:rPr>
          <w:t>https://doi.org/10.1186/s12862-015-0532-9</w:t>
        </w:r>
      </w:hyperlink>
    </w:p>
    <w:p w14:paraId="3FBAC2AE"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Shah, A., Hafeez, M., Bazaz, A., Bazaz, A. I., Andleeb, S., Qazi, D., Arif, F., Rather, M. A., Bhat, I. A., </w:t>
      </w:r>
      <w:proofErr w:type="spellStart"/>
      <w:r w:rsidRPr="00905F9D">
        <w:rPr>
          <w:rFonts w:ascii="Times New Roman" w:hAnsi="Times New Roman"/>
          <w:sz w:val="24"/>
          <w:szCs w:val="24"/>
          <w:lang w:val="en-US" w:eastAsia="en-US"/>
        </w:rPr>
        <w:t>Asimi</w:t>
      </w:r>
      <w:proofErr w:type="spellEnd"/>
      <w:r w:rsidRPr="00905F9D">
        <w:rPr>
          <w:rFonts w:ascii="Times New Roman" w:hAnsi="Times New Roman"/>
          <w:sz w:val="24"/>
          <w:szCs w:val="24"/>
          <w:lang w:val="en-US" w:eastAsia="en-US"/>
        </w:rPr>
        <w:t xml:space="preserve">, O., Waheed, T., Farooq, U., Fatima, A., Sameem, A., &amp; Ahmad, I. (2026). Water resources and fish diversity of Kashmir Himalayas: Current status, challenges, and conservation. </w:t>
      </w:r>
      <w:r w:rsidRPr="00905F9D">
        <w:rPr>
          <w:rFonts w:ascii="Times New Roman" w:hAnsi="Times New Roman"/>
          <w:i/>
          <w:iCs/>
          <w:sz w:val="24"/>
          <w:szCs w:val="24"/>
          <w:lang w:val="en-US" w:eastAsia="en-US"/>
        </w:rPr>
        <w:t>Asian Journal of Fisheries and Aquatic Research, 28</w:t>
      </w:r>
      <w:r w:rsidRPr="00905F9D">
        <w:rPr>
          <w:rFonts w:ascii="Times New Roman" w:hAnsi="Times New Roman"/>
          <w:sz w:val="24"/>
          <w:szCs w:val="24"/>
          <w:lang w:val="en-US" w:eastAsia="en-US"/>
        </w:rPr>
        <w:t xml:space="preserve">(7), 101–117. </w:t>
      </w:r>
      <w:hyperlink r:id="rId46" w:history="1">
        <w:r w:rsidRPr="00905F9D">
          <w:rPr>
            <w:rFonts w:ascii="Times New Roman" w:hAnsi="Times New Roman"/>
            <w:color w:val="0000FF"/>
            <w:sz w:val="24"/>
            <w:szCs w:val="24"/>
            <w:u w:val="single"/>
            <w:lang w:val="en-US" w:eastAsia="en-US"/>
          </w:rPr>
          <w:t>https://doi.org/10.9734/ajfar/2026/v28i71113</w:t>
        </w:r>
      </w:hyperlink>
    </w:p>
    <w:p w14:paraId="7ACB69F8" w14:textId="6080DE36"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proofErr w:type="spellStart"/>
      <w:r w:rsidRPr="00905F9D">
        <w:rPr>
          <w:rFonts w:ascii="Times New Roman" w:hAnsi="Times New Roman"/>
          <w:sz w:val="24"/>
          <w:szCs w:val="24"/>
          <w:lang w:val="en-US" w:eastAsia="en-US"/>
        </w:rPr>
        <w:t>Shanthipreya</w:t>
      </w:r>
      <w:proofErr w:type="spellEnd"/>
      <w:r w:rsidRPr="00905F9D">
        <w:rPr>
          <w:rFonts w:ascii="Times New Roman" w:hAnsi="Times New Roman"/>
          <w:sz w:val="24"/>
          <w:szCs w:val="24"/>
          <w:lang w:val="en-US" w:eastAsia="en-US"/>
        </w:rPr>
        <w:t xml:space="preserve">, N., Arunachalam, M., Sukumaran, N., Sivakumar, P., &amp; </w:t>
      </w:r>
      <w:proofErr w:type="spellStart"/>
      <w:r w:rsidRPr="00905F9D">
        <w:rPr>
          <w:rFonts w:ascii="Times New Roman" w:hAnsi="Times New Roman"/>
          <w:sz w:val="24"/>
          <w:szCs w:val="24"/>
          <w:lang w:val="en-US" w:eastAsia="en-US"/>
        </w:rPr>
        <w:t>Esakkiammal</w:t>
      </w:r>
      <w:proofErr w:type="spellEnd"/>
      <w:r w:rsidRPr="00905F9D">
        <w:rPr>
          <w:rFonts w:ascii="Times New Roman" w:hAnsi="Times New Roman"/>
          <w:sz w:val="24"/>
          <w:szCs w:val="24"/>
          <w:lang w:val="en-US" w:eastAsia="en-US"/>
        </w:rPr>
        <w:t xml:space="preserve">, B. (2016). Karyotypic analysis of </w:t>
      </w:r>
      <w:r w:rsidRPr="00905F9D">
        <w:rPr>
          <w:rFonts w:ascii="Times New Roman" w:hAnsi="Times New Roman"/>
          <w:i/>
          <w:iCs/>
          <w:sz w:val="24"/>
          <w:szCs w:val="24"/>
          <w:lang w:val="en-US" w:eastAsia="en-US"/>
        </w:rPr>
        <w:t xml:space="preserve">Devario </w:t>
      </w:r>
      <w:proofErr w:type="spellStart"/>
      <w:r w:rsidRPr="00905F9D">
        <w:rPr>
          <w:rFonts w:ascii="Times New Roman" w:hAnsi="Times New Roman"/>
          <w:i/>
          <w:iCs/>
          <w:sz w:val="24"/>
          <w:szCs w:val="24"/>
          <w:lang w:val="en-US" w:eastAsia="en-US"/>
        </w:rPr>
        <w:t>aequipinnatus</w:t>
      </w:r>
      <w:proofErr w:type="spellEnd"/>
      <w:r w:rsidRPr="00905F9D">
        <w:rPr>
          <w:rFonts w:ascii="Times New Roman" w:hAnsi="Times New Roman"/>
          <w:sz w:val="24"/>
          <w:szCs w:val="24"/>
          <w:lang w:val="en-US" w:eastAsia="en-US"/>
        </w:rPr>
        <w:t xml:space="preserve"> (McClelland, 1839) from the </w:t>
      </w:r>
      <w:proofErr w:type="spellStart"/>
      <w:r w:rsidRPr="00905F9D">
        <w:rPr>
          <w:rFonts w:ascii="Times New Roman" w:hAnsi="Times New Roman"/>
          <w:sz w:val="24"/>
          <w:szCs w:val="24"/>
          <w:lang w:val="en-US" w:eastAsia="en-US"/>
        </w:rPr>
        <w:t>Gadana</w:t>
      </w:r>
      <w:proofErr w:type="spellEnd"/>
      <w:r w:rsidRPr="00905F9D">
        <w:rPr>
          <w:rFonts w:ascii="Times New Roman" w:hAnsi="Times New Roman"/>
          <w:sz w:val="24"/>
          <w:szCs w:val="24"/>
          <w:lang w:val="en-US" w:eastAsia="en-US"/>
        </w:rPr>
        <w:t xml:space="preserve"> River, South India, with NOR banding and C-banding. </w:t>
      </w:r>
      <w:r w:rsidRPr="00905F9D">
        <w:rPr>
          <w:rFonts w:ascii="Times New Roman" w:hAnsi="Times New Roman"/>
          <w:i/>
          <w:iCs/>
          <w:sz w:val="24"/>
          <w:szCs w:val="24"/>
          <w:lang w:val="en-US" w:eastAsia="en-US"/>
        </w:rPr>
        <w:t>Asian Journal of Microbiology, Biotechnology &amp; Environmental Sciences, 18</w:t>
      </w:r>
      <w:r w:rsidRPr="00905F9D">
        <w:rPr>
          <w:rFonts w:ascii="Times New Roman" w:hAnsi="Times New Roman"/>
          <w:sz w:val="24"/>
          <w:szCs w:val="24"/>
          <w:lang w:val="en-US" w:eastAsia="en-US"/>
        </w:rPr>
        <w:t xml:space="preserve">(1), 185–188. </w:t>
      </w:r>
    </w:p>
    <w:p w14:paraId="68AD4A59" w14:textId="4AD9AA0A"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Sharma, O. P., Tripathi, N. K., Agrawal, A., &amp; Tripathi, S. (1990). Karyotypic diversity in the genus </w:t>
      </w:r>
      <w:r w:rsidRPr="00905F9D">
        <w:rPr>
          <w:rFonts w:ascii="Times New Roman" w:hAnsi="Times New Roman"/>
          <w:i/>
          <w:iCs/>
          <w:sz w:val="24"/>
          <w:szCs w:val="24"/>
          <w:lang w:val="en-US" w:eastAsia="en-US"/>
        </w:rPr>
        <w:t>Puntius</w:t>
      </w:r>
      <w:r w:rsidRPr="00905F9D">
        <w:rPr>
          <w:rFonts w:ascii="Times New Roman" w:hAnsi="Times New Roman"/>
          <w:sz w:val="24"/>
          <w:szCs w:val="24"/>
          <w:lang w:val="en-US" w:eastAsia="en-US"/>
        </w:rPr>
        <w:t xml:space="preserve">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Pisces). </w:t>
      </w:r>
      <w:r w:rsidRPr="00905F9D">
        <w:rPr>
          <w:rFonts w:ascii="Times New Roman" w:hAnsi="Times New Roman"/>
          <w:i/>
          <w:iCs/>
          <w:sz w:val="24"/>
          <w:szCs w:val="24"/>
          <w:lang w:val="en-US" w:eastAsia="en-US"/>
        </w:rPr>
        <w:t>The Nucleus, 33</w:t>
      </w:r>
      <w:r w:rsidRPr="00905F9D">
        <w:rPr>
          <w:rFonts w:ascii="Times New Roman" w:hAnsi="Times New Roman"/>
          <w:sz w:val="24"/>
          <w:szCs w:val="24"/>
          <w:lang w:val="en-US" w:eastAsia="en-US"/>
        </w:rPr>
        <w:t xml:space="preserve">(1–2), 81–83. </w:t>
      </w:r>
    </w:p>
    <w:p w14:paraId="5B0A30E4"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Sola, L., Cataudella, S., &amp; Capanna, E. (1981). New developments in vertebrate cytotaxonomy III. Karyology of bony fishes: A review. </w:t>
      </w:r>
      <w:proofErr w:type="spellStart"/>
      <w:r w:rsidRPr="00905F9D">
        <w:rPr>
          <w:rFonts w:ascii="Times New Roman" w:hAnsi="Times New Roman"/>
          <w:i/>
          <w:iCs/>
          <w:sz w:val="24"/>
          <w:szCs w:val="24"/>
          <w:lang w:val="en-US" w:eastAsia="en-US"/>
        </w:rPr>
        <w:t>Genetica</w:t>
      </w:r>
      <w:proofErr w:type="spellEnd"/>
      <w:r w:rsidRPr="00905F9D">
        <w:rPr>
          <w:rFonts w:ascii="Times New Roman" w:hAnsi="Times New Roman"/>
          <w:i/>
          <w:iCs/>
          <w:sz w:val="24"/>
          <w:szCs w:val="24"/>
          <w:lang w:val="en-US" w:eastAsia="en-US"/>
        </w:rPr>
        <w:t>, 54</w:t>
      </w:r>
      <w:r w:rsidRPr="00905F9D">
        <w:rPr>
          <w:rFonts w:ascii="Times New Roman" w:hAnsi="Times New Roman"/>
          <w:sz w:val="24"/>
          <w:szCs w:val="24"/>
          <w:lang w:val="en-US" w:eastAsia="en-US"/>
        </w:rPr>
        <w:t xml:space="preserve">(3), 285–328. </w:t>
      </w:r>
      <w:hyperlink r:id="rId47" w:history="1">
        <w:r w:rsidRPr="00905F9D">
          <w:rPr>
            <w:rFonts w:ascii="Times New Roman" w:hAnsi="Times New Roman"/>
            <w:color w:val="0000FF"/>
            <w:sz w:val="24"/>
            <w:szCs w:val="24"/>
            <w:u w:val="single"/>
            <w:lang w:val="en-US" w:eastAsia="en-US"/>
          </w:rPr>
          <w:t>https://doi.org/10.1007/BF00135048</w:t>
        </w:r>
      </w:hyperlink>
    </w:p>
    <w:p w14:paraId="31027EA2"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Sukham, S., </w:t>
      </w:r>
      <w:proofErr w:type="spellStart"/>
      <w:r w:rsidRPr="00905F9D">
        <w:rPr>
          <w:rFonts w:ascii="Times New Roman" w:hAnsi="Times New Roman"/>
          <w:sz w:val="24"/>
          <w:szCs w:val="24"/>
          <w:lang w:val="en-US" w:eastAsia="en-US"/>
        </w:rPr>
        <w:t>Chingakham</w:t>
      </w:r>
      <w:proofErr w:type="spellEnd"/>
      <w:r w:rsidRPr="00905F9D">
        <w:rPr>
          <w:rFonts w:ascii="Times New Roman" w:hAnsi="Times New Roman"/>
          <w:sz w:val="24"/>
          <w:szCs w:val="24"/>
          <w:lang w:val="en-US" w:eastAsia="en-US"/>
        </w:rPr>
        <w:t xml:space="preserve">, B., </w:t>
      </w:r>
      <w:proofErr w:type="spellStart"/>
      <w:r w:rsidRPr="00905F9D">
        <w:rPr>
          <w:rFonts w:ascii="Times New Roman" w:hAnsi="Times New Roman"/>
          <w:sz w:val="24"/>
          <w:szCs w:val="24"/>
          <w:lang w:val="en-US" w:eastAsia="en-US"/>
        </w:rPr>
        <w:t>Thoidingjam</w:t>
      </w:r>
      <w:proofErr w:type="spellEnd"/>
      <w:r w:rsidRPr="00905F9D">
        <w:rPr>
          <w:rFonts w:ascii="Times New Roman" w:hAnsi="Times New Roman"/>
          <w:sz w:val="24"/>
          <w:szCs w:val="24"/>
          <w:lang w:val="en-US" w:eastAsia="en-US"/>
        </w:rPr>
        <w:t xml:space="preserve">, L., &amp; </w:t>
      </w:r>
      <w:proofErr w:type="spellStart"/>
      <w:r w:rsidRPr="00905F9D">
        <w:rPr>
          <w:rFonts w:ascii="Times New Roman" w:hAnsi="Times New Roman"/>
          <w:sz w:val="24"/>
          <w:szCs w:val="24"/>
          <w:lang w:val="en-US" w:eastAsia="en-US"/>
        </w:rPr>
        <w:t>Waikhom</w:t>
      </w:r>
      <w:proofErr w:type="spellEnd"/>
      <w:r w:rsidRPr="00905F9D">
        <w:rPr>
          <w:rFonts w:ascii="Times New Roman" w:hAnsi="Times New Roman"/>
          <w:sz w:val="24"/>
          <w:szCs w:val="24"/>
          <w:lang w:val="en-US" w:eastAsia="en-US"/>
        </w:rPr>
        <w:t xml:space="preserve">, G. (2013). Cytogenetic characterization of </w:t>
      </w:r>
      <w:r w:rsidRPr="00905F9D">
        <w:rPr>
          <w:rFonts w:ascii="Times New Roman" w:hAnsi="Times New Roman"/>
          <w:i/>
          <w:iCs/>
          <w:sz w:val="24"/>
          <w:szCs w:val="24"/>
          <w:lang w:val="en-US" w:eastAsia="en-US"/>
        </w:rPr>
        <w:t xml:space="preserve">Devario </w:t>
      </w:r>
      <w:proofErr w:type="spellStart"/>
      <w:r w:rsidRPr="00905F9D">
        <w:rPr>
          <w:rFonts w:ascii="Times New Roman" w:hAnsi="Times New Roman"/>
          <w:i/>
          <w:iCs/>
          <w:sz w:val="24"/>
          <w:szCs w:val="24"/>
          <w:lang w:val="en-US" w:eastAsia="en-US"/>
        </w:rPr>
        <w:t>aequipinnatus</w:t>
      </w:r>
      <w:proofErr w:type="spellEnd"/>
      <w:r w:rsidRPr="00905F9D">
        <w:rPr>
          <w:rFonts w:ascii="Times New Roman" w:hAnsi="Times New Roman"/>
          <w:sz w:val="24"/>
          <w:szCs w:val="24"/>
          <w:lang w:val="en-US" w:eastAsia="en-US"/>
        </w:rPr>
        <w:t xml:space="preserve"> (McClelland, 1839) and </w:t>
      </w:r>
      <w:r w:rsidRPr="00905F9D">
        <w:rPr>
          <w:rFonts w:ascii="Times New Roman" w:hAnsi="Times New Roman"/>
          <w:i/>
          <w:iCs/>
          <w:sz w:val="24"/>
          <w:szCs w:val="24"/>
          <w:lang w:val="en-US" w:eastAsia="en-US"/>
        </w:rPr>
        <w:t xml:space="preserve">Devario </w:t>
      </w:r>
      <w:proofErr w:type="spellStart"/>
      <w:r w:rsidRPr="00905F9D">
        <w:rPr>
          <w:rFonts w:ascii="Times New Roman" w:hAnsi="Times New Roman"/>
          <w:i/>
          <w:iCs/>
          <w:sz w:val="24"/>
          <w:szCs w:val="24"/>
          <w:lang w:val="en-US" w:eastAsia="en-US"/>
        </w:rPr>
        <w:t>yuensis</w:t>
      </w:r>
      <w:proofErr w:type="spellEnd"/>
      <w:r w:rsidRPr="00905F9D">
        <w:rPr>
          <w:rFonts w:ascii="Times New Roman" w:hAnsi="Times New Roman"/>
          <w:sz w:val="24"/>
          <w:szCs w:val="24"/>
          <w:lang w:val="en-US" w:eastAsia="en-US"/>
        </w:rPr>
        <w:t xml:space="preserve"> (Arunkumar and Tombi, 1998) (Cypriniformes: </w:t>
      </w:r>
      <w:proofErr w:type="spellStart"/>
      <w:r w:rsidRPr="00905F9D">
        <w:rPr>
          <w:rFonts w:ascii="Times New Roman" w:hAnsi="Times New Roman"/>
          <w:sz w:val="24"/>
          <w:szCs w:val="24"/>
          <w:lang w:val="en-US" w:eastAsia="en-US"/>
        </w:rPr>
        <w:t>Cyprinidae</w:t>
      </w:r>
      <w:proofErr w:type="spellEnd"/>
      <w:r w:rsidRPr="00905F9D">
        <w:rPr>
          <w:rFonts w:ascii="Times New Roman" w:hAnsi="Times New Roman"/>
          <w:sz w:val="24"/>
          <w:szCs w:val="24"/>
          <w:lang w:val="en-US" w:eastAsia="en-US"/>
        </w:rPr>
        <w:t xml:space="preserve">) from Manipur, northeast India. </w:t>
      </w:r>
      <w:r w:rsidRPr="00905F9D">
        <w:rPr>
          <w:rFonts w:ascii="Times New Roman" w:hAnsi="Times New Roman"/>
          <w:i/>
          <w:iCs/>
          <w:sz w:val="24"/>
          <w:szCs w:val="24"/>
          <w:lang w:val="en-US" w:eastAsia="en-US"/>
        </w:rPr>
        <w:t>Turkish Journal of Zoology, 37</w:t>
      </w:r>
      <w:r w:rsidRPr="00905F9D">
        <w:rPr>
          <w:rFonts w:ascii="Times New Roman" w:hAnsi="Times New Roman"/>
          <w:sz w:val="24"/>
          <w:szCs w:val="24"/>
          <w:lang w:val="en-US" w:eastAsia="en-US"/>
        </w:rPr>
        <w:t xml:space="preserve">, 706–712. </w:t>
      </w:r>
      <w:hyperlink r:id="rId48" w:history="1">
        <w:r w:rsidRPr="00905F9D">
          <w:rPr>
            <w:rFonts w:ascii="Times New Roman" w:hAnsi="Times New Roman"/>
            <w:color w:val="0000FF"/>
            <w:sz w:val="24"/>
            <w:szCs w:val="24"/>
            <w:u w:val="single"/>
            <w:lang w:val="en-US" w:eastAsia="en-US"/>
          </w:rPr>
          <w:t>https://doi.org/10.3906/zoo-1211-12</w:t>
        </w:r>
      </w:hyperlink>
    </w:p>
    <w:p w14:paraId="47C0E498"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Talukdar, B., Mili, S., Kalita, H. K., &amp; Sarma, D. (2016). Karyology of </w:t>
      </w:r>
      <w:r w:rsidRPr="00905F9D">
        <w:rPr>
          <w:rFonts w:ascii="Times New Roman" w:hAnsi="Times New Roman"/>
          <w:i/>
          <w:iCs/>
          <w:sz w:val="24"/>
          <w:szCs w:val="24"/>
          <w:lang w:val="en-US" w:eastAsia="en-US"/>
        </w:rPr>
        <w:t xml:space="preserve">Puntius </w:t>
      </w:r>
      <w:proofErr w:type="spellStart"/>
      <w:r w:rsidRPr="00905F9D">
        <w:rPr>
          <w:rFonts w:ascii="Times New Roman" w:hAnsi="Times New Roman"/>
          <w:i/>
          <w:iCs/>
          <w:sz w:val="24"/>
          <w:szCs w:val="24"/>
          <w:lang w:val="en-US" w:eastAsia="en-US"/>
        </w:rPr>
        <w:t>sophore</w:t>
      </w:r>
      <w:proofErr w:type="spellEnd"/>
      <w:r w:rsidRPr="00905F9D">
        <w:rPr>
          <w:rFonts w:ascii="Times New Roman" w:hAnsi="Times New Roman"/>
          <w:sz w:val="24"/>
          <w:szCs w:val="24"/>
          <w:lang w:val="en-US" w:eastAsia="en-US"/>
        </w:rPr>
        <w:t xml:space="preserve"> (Pisces: Cypriniformes) from the Brahmaputra River, Assam, India. </w:t>
      </w:r>
      <w:r w:rsidRPr="00905F9D">
        <w:rPr>
          <w:rFonts w:ascii="Times New Roman" w:hAnsi="Times New Roman"/>
          <w:i/>
          <w:iCs/>
          <w:sz w:val="24"/>
          <w:szCs w:val="24"/>
          <w:lang w:val="en-US" w:eastAsia="en-US"/>
        </w:rPr>
        <w:t>Poultry, Fisheries &amp; Wildlife Sciences, 4</w:t>
      </w:r>
      <w:r w:rsidRPr="00905F9D">
        <w:rPr>
          <w:rFonts w:ascii="Times New Roman" w:hAnsi="Times New Roman"/>
          <w:sz w:val="24"/>
          <w:szCs w:val="24"/>
          <w:lang w:val="en-US" w:eastAsia="en-US"/>
        </w:rPr>
        <w:t xml:space="preserve">(2), 167. </w:t>
      </w:r>
      <w:hyperlink r:id="rId49" w:history="1">
        <w:r w:rsidRPr="00905F9D">
          <w:rPr>
            <w:rFonts w:ascii="Times New Roman" w:hAnsi="Times New Roman"/>
            <w:color w:val="0000FF"/>
            <w:sz w:val="24"/>
            <w:szCs w:val="24"/>
            <w:u w:val="single"/>
            <w:lang w:val="en-US" w:eastAsia="en-US"/>
          </w:rPr>
          <w:t>https://doi.org/10.4172/2375-446X.1000167</w:t>
        </w:r>
      </w:hyperlink>
    </w:p>
    <w:p w14:paraId="4E0E6998"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van der Laan, R., Eschmeyer, W. N., &amp; Fricke, R. (2014). Family-group names of recent fishes. </w:t>
      </w:r>
      <w:proofErr w:type="spellStart"/>
      <w:r w:rsidRPr="00905F9D">
        <w:rPr>
          <w:rFonts w:ascii="Times New Roman" w:hAnsi="Times New Roman"/>
          <w:i/>
          <w:iCs/>
          <w:sz w:val="24"/>
          <w:szCs w:val="24"/>
          <w:lang w:val="en-US" w:eastAsia="en-US"/>
        </w:rPr>
        <w:t>Zootaxa</w:t>
      </w:r>
      <w:proofErr w:type="spellEnd"/>
      <w:r w:rsidRPr="00905F9D">
        <w:rPr>
          <w:rFonts w:ascii="Times New Roman" w:hAnsi="Times New Roman"/>
          <w:i/>
          <w:iCs/>
          <w:sz w:val="24"/>
          <w:szCs w:val="24"/>
          <w:lang w:val="en-US" w:eastAsia="en-US"/>
        </w:rPr>
        <w:t>, 3882</w:t>
      </w:r>
      <w:r w:rsidRPr="00905F9D">
        <w:rPr>
          <w:rFonts w:ascii="Times New Roman" w:hAnsi="Times New Roman"/>
          <w:sz w:val="24"/>
          <w:szCs w:val="24"/>
          <w:lang w:val="en-US" w:eastAsia="en-US"/>
        </w:rPr>
        <w:t xml:space="preserve">(1), 1–230. </w:t>
      </w:r>
      <w:hyperlink r:id="rId50" w:history="1">
        <w:r w:rsidRPr="00905F9D">
          <w:rPr>
            <w:rFonts w:ascii="Times New Roman" w:hAnsi="Times New Roman"/>
            <w:color w:val="0000FF"/>
            <w:sz w:val="24"/>
            <w:szCs w:val="24"/>
            <w:u w:val="single"/>
            <w:lang w:val="en-US" w:eastAsia="en-US"/>
          </w:rPr>
          <w:t>https://doi.org/10.11646/zootaxa.3882.1.1</w:t>
        </w:r>
      </w:hyperlink>
    </w:p>
    <w:p w14:paraId="19F5C5E9"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Vannote, R. L., Minshall, G. W., Cummins, K. W., Sedell, J. R., &amp; Cushing, C. E. (1980). The river continuum concept. </w:t>
      </w:r>
      <w:r w:rsidRPr="00905F9D">
        <w:rPr>
          <w:rFonts w:ascii="Times New Roman" w:hAnsi="Times New Roman"/>
          <w:i/>
          <w:iCs/>
          <w:sz w:val="24"/>
          <w:szCs w:val="24"/>
          <w:lang w:val="en-US" w:eastAsia="en-US"/>
        </w:rPr>
        <w:t>Canadian Journal of Fisheries and Aquatic Sciences, 37</w:t>
      </w:r>
      <w:r w:rsidRPr="00905F9D">
        <w:rPr>
          <w:rFonts w:ascii="Times New Roman" w:hAnsi="Times New Roman"/>
          <w:sz w:val="24"/>
          <w:szCs w:val="24"/>
          <w:lang w:val="en-US" w:eastAsia="en-US"/>
        </w:rPr>
        <w:t xml:space="preserve">(1), 130–137. </w:t>
      </w:r>
      <w:hyperlink r:id="rId51" w:history="1">
        <w:r w:rsidRPr="00905F9D">
          <w:rPr>
            <w:rFonts w:ascii="Times New Roman" w:hAnsi="Times New Roman"/>
            <w:color w:val="0000FF"/>
            <w:sz w:val="24"/>
            <w:szCs w:val="24"/>
            <w:u w:val="single"/>
            <w:lang w:val="en-US" w:eastAsia="en-US"/>
          </w:rPr>
          <w:t>https://doi.org/10.1139/f80-017</w:t>
        </w:r>
      </w:hyperlink>
    </w:p>
    <w:p w14:paraId="04B63F62"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Winfield, I. J., &amp; Nelson, J. S. (Eds.). (1991). </w:t>
      </w:r>
      <w:r w:rsidRPr="00905F9D">
        <w:rPr>
          <w:rFonts w:ascii="Times New Roman" w:hAnsi="Times New Roman"/>
          <w:i/>
          <w:iCs/>
          <w:sz w:val="24"/>
          <w:szCs w:val="24"/>
          <w:lang w:val="en-US" w:eastAsia="en-US"/>
        </w:rPr>
        <w:t>Cyprinid fishes: Systematics, biology and exploitation</w:t>
      </w:r>
      <w:r w:rsidRPr="00905F9D">
        <w:rPr>
          <w:rFonts w:ascii="Times New Roman" w:hAnsi="Times New Roman"/>
          <w:sz w:val="24"/>
          <w:szCs w:val="24"/>
          <w:lang w:val="en-US" w:eastAsia="en-US"/>
        </w:rPr>
        <w:t xml:space="preserve">. Chapman &amp; Hall. </w:t>
      </w:r>
      <w:hyperlink r:id="rId52" w:history="1">
        <w:r w:rsidRPr="00905F9D">
          <w:rPr>
            <w:rFonts w:ascii="Times New Roman" w:hAnsi="Times New Roman"/>
            <w:color w:val="0000FF"/>
            <w:sz w:val="24"/>
            <w:szCs w:val="24"/>
            <w:u w:val="single"/>
            <w:lang w:val="en-US" w:eastAsia="en-US"/>
          </w:rPr>
          <w:t>https://doi.org/10.1007/978-94-011-3092-9</w:t>
        </w:r>
      </w:hyperlink>
    </w:p>
    <w:p w14:paraId="5EAA4DDE" w14:textId="77777777" w:rsidR="00905F9D" w:rsidRPr="00905F9D" w:rsidRDefault="00905F9D" w:rsidP="00905F9D">
      <w:pPr>
        <w:suppressAutoHyphens w:val="0"/>
        <w:spacing w:before="100" w:beforeAutospacing="1" w:after="100" w:afterAutospacing="1" w:line="240" w:lineRule="auto"/>
        <w:rPr>
          <w:rFonts w:ascii="Times New Roman" w:hAnsi="Times New Roman"/>
          <w:sz w:val="24"/>
          <w:szCs w:val="24"/>
          <w:lang w:val="en-US" w:eastAsia="en-US"/>
        </w:rPr>
      </w:pPr>
      <w:r w:rsidRPr="00905F9D">
        <w:rPr>
          <w:rFonts w:ascii="Times New Roman" w:hAnsi="Times New Roman"/>
          <w:sz w:val="24"/>
          <w:szCs w:val="24"/>
          <w:lang w:val="en-US" w:eastAsia="en-US"/>
        </w:rPr>
        <w:t xml:space="preserve">Yu, X., Zhou, T., Li, K., Li, Y., &amp; Zhou, M. (1987). On the </w:t>
      </w:r>
      <w:proofErr w:type="spellStart"/>
      <w:r w:rsidRPr="00905F9D">
        <w:rPr>
          <w:rFonts w:ascii="Times New Roman" w:hAnsi="Times New Roman"/>
          <w:sz w:val="24"/>
          <w:szCs w:val="24"/>
          <w:lang w:val="en-US" w:eastAsia="en-US"/>
        </w:rPr>
        <w:t>karyosystematics</w:t>
      </w:r>
      <w:proofErr w:type="spellEnd"/>
      <w:r w:rsidRPr="00905F9D">
        <w:rPr>
          <w:rFonts w:ascii="Times New Roman" w:hAnsi="Times New Roman"/>
          <w:sz w:val="24"/>
          <w:szCs w:val="24"/>
          <w:lang w:val="en-US" w:eastAsia="en-US"/>
        </w:rPr>
        <w:t xml:space="preserve"> of cyprinid fishes and a summary of chromosome studies in China. </w:t>
      </w:r>
      <w:proofErr w:type="spellStart"/>
      <w:r w:rsidRPr="00905F9D">
        <w:rPr>
          <w:rFonts w:ascii="Times New Roman" w:hAnsi="Times New Roman"/>
          <w:i/>
          <w:iCs/>
          <w:sz w:val="24"/>
          <w:szCs w:val="24"/>
          <w:lang w:val="en-US" w:eastAsia="en-US"/>
        </w:rPr>
        <w:t>Genetica</w:t>
      </w:r>
      <w:proofErr w:type="spellEnd"/>
      <w:r w:rsidRPr="00905F9D">
        <w:rPr>
          <w:rFonts w:ascii="Times New Roman" w:hAnsi="Times New Roman"/>
          <w:i/>
          <w:iCs/>
          <w:sz w:val="24"/>
          <w:szCs w:val="24"/>
          <w:lang w:val="en-US" w:eastAsia="en-US"/>
        </w:rPr>
        <w:t>, 72</w:t>
      </w:r>
      <w:r w:rsidRPr="00905F9D">
        <w:rPr>
          <w:rFonts w:ascii="Times New Roman" w:hAnsi="Times New Roman"/>
          <w:sz w:val="24"/>
          <w:szCs w:val="24"/>
          <w:lang w:val="en-US" w:eastAsia="en-US"/>
        </w:rPr>
        <w:t xml:space="preserve">(3), 225–236. </w:t>
      </w:r>
      <w:hyperlink r:id="rId53" w:history="1">
        <w:r w:rsidRPr="00905F9D">
          <w:rPr>
            <w:rFonts w:ascii="Times New Roman" w:hAnsi="Times New Roman"/>
            <w:color w:val="0000FF"/>
            <w:sz w:val="24"/>
            <w:szCs w:val="24"/>
            <w:u w:val="single"/>
            <w:lang w:val="en-US" w:eastAsia="en-US"/>
          </w:rPr>
          <w:t>https://doi.org/10.1007/BF00116227</w:t>
        </w:r>
      </w:hyperlink>
    </w:p>
    <w:p w14:paraId="2A4DB47C" w14:textId="77777777" w:rsidR="00905F9D" w:rsidRPr="00CA3F25" w:rsidRDefault="00905F9D">
      <w:pPr>
        <w:spacing w:after="0" w:line="480" w:lineRule="auto"/>
        <w:jc w:val="both"/>
        <w:rPr>
          <w:rFonts w:ascii="Arial" w:hAnsi="Arial" w:cs="Arial"/>
          <w:b/>
          <w:lang w:val="es-US"/>
        </w:rPr>
      </w:pPr>
    </w:p>
    <w:sectPr w:rsidR="00905F9D" w:rsidRPr="00CA3F25">
      <w:headerReference w:type="default" r:id="rId54"/>
      <w:footerReference w:type="default" r:id="rId55"/>
      <w:headerReference w:type="first" r:id="rId56"/>
      <w:footerReference w:type="first" r:id="rId57"/>
      <w:pgSz w:w="11906" w:h="16838"/>
      <w:pgMar w:top="1440" w:right="1440" w:bottom="1440" w:left="1440" w:header="72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0433D" w14:textId="77777777" w:rsidR="00B8238B" w:rsidRDefault="00B8238B">
      <w:pPr>
        <w:spacing w:after="0" w:line="240" w:lineRule="auto"/>
      </w:pPr>
      <w:r>
        <w:separator/>
      </w:r>
    </w:p>
  </w:endnote>
  <w:endnote w:type="continuationSeparator" w:id="0">
    <w:p w14:paraId="3A0BCB72" w14:textId="77777777" w:rsidR="00B8238B" w:rsidRDefault="00B823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iberation Serif">
    <w:altName w:val="Times New Roman"/>
    <w:charset w:val="00"/>
    <w:family w:val="roman"/>
    <w:pitch w:val="variable"/>
  </w:font>
  <w:font w:name="Noto Serif CJK SC">
    <w:panose1 w:val="00000000000000000000"/>
    <w:charset w:val="00"/>
    <w:family w:val="roman"/>
    <w:notTrueType/>
    <w:pitch w:val="default"/>
  </w:font>
  <w:font w:name="Lohit Devanagari">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oogle Sans Text;Cambria">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90C71" w14:textId="77777777" w:rsidR="005C45CB" w:rsidRDefault="005C45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602805" w14:textId="77777777" w:rsidR="005C45CB" w:rsidRDefault="005C45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76D323" w14:textId="77777777" w:rsidR="00B8238B" w:rsidRDefault="00B8238B">
      <w:pPr>
        <w:spacing w:after="0" w:line="240" w:lineRule="auto"/>
      </w:pPr>
      <w:r>
        <w:separator/>
      </w:r>
    </w:p>
  </w:footnote>
  <w:footnote w:type="continuationSeparator" w:id="0">
    <w:p w14:paraId="6257FEC9" w14:textId="77777777" w:rsidR="00B8238B" w:rsidRDefault="00B823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073A10" w14:textId="77777777" w:rsidR="005C45CB" w:rsidRDefault="00000000">
    <w:pPr>
      <w:pStyle w:val="Header"/>
      <w:rPr>
        <w:lang w:val="en-US" w:eastAsia="en-US"/>
      </w:rPr>
    </w:pPr>
    <w:r>
      <w:rPr>
        <w:lang w:val="en-US" w:eastAsia="en-US"/>
      </w:rPr>
      <w:pict w14:anchorId="7D644D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51142" o:spid="_x0000_s1026" type="#_x0000_t136" style="position:absolute;margin-left:0;margin-top:0;width:535.75pt;height:81.85pt;rotation:315;z-index:1;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44E4D3" w14:textId="77777777" w:rsidR="005C45CB" w:rsidRDefault="00000000">
    <w:pPr>
      <w:pStyle w:val="Header"/>
      <w:rPr>
        <w:lang w:val="en-US" w:eastAsia="en-US"/>
      </w:rPr>
    </w:pPr>
    <w:r>
      <w:rPr>
        <w:lang w:val="en-US" w:eastAsia="en-US"/>
      </w:rPr>
      <w:pict w14:anchorId="0BEE189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9051140" o:spid="_x0000_s1025" type="#_x0000_t136" style="position:absolute;margin-left:0;margin-top:0;width:535.75pt;height:81.85pt;rotation:315;z-index:2;mso-wrap-style:none;mso-position-horizontal:center;mso-position-horizontal-relative:margin;mso-position-vertical:center;mso-position-vertical-relative:margin;v-text-anchor:middle" o:allowincell="f" fillcolor="silver" stroked="f" strokecolor="#3465a4">
          <v:fill opacity=".5" color2="#3f3f3f" o:detectmouseclick="t"/>
          <v:textpath style="font-family:&quot;Calibri&quot;;font-size:1pt" trim="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51CC8"/>
    <w:multiLevelType w:val="multilevel"/>
    <w:tmpl w:val="D9B20FF4"/>
    <w:lvl w:ilvl="0">
      <w:start w:val="1"/>
      <w:numFmt w:val="none"/>
      <w:pStyle w:val="Heading1"/>
      <w:suff w:val="nothing"/>
      <w:lvlText w:val=""/>
      <w:lvlJc w:val="left"/>
      <w:pPr>
        <w:tabs>
          <w:tab w:val="num" w:pos="0"/>
        </w:tabs>
        <w:ind w:left="0" w:firstLine="0"/>
      </w:pPr>
    </w:lvl>
    <w:lvl w:ilvl="1">
      <w:start w:val="1"/>
      <w:numFmt w:val="none"/>
      <w:pStyle w:val="Heading2"/>
      <w:suff w:val="nothing"/>
      <w:lvlText w:val=""/>
      <w:lvlJc w:val="left"/>
      <w:pPr>
        <w:tabs>
          <w:tab w:val="num" w:pos="0"/>
        </w:tabs>
        <w:ind w:left="0" w:firstLine="0"/>
      </w:pPr>
    </w:lvl>
    <w:lvl w:ilvl="2">
      <w:start w:val="1"/>
      <w:numFmt w:val="none"/>
      <w:pStyle w:val="Heading3"/>
      <w:suff w:val="nothing"/>
      <w:lvlText w:val=""/>
      <w:lvlJc w:val="left"/>
      <w:pPr>
        <w:tabs>
          <w:tab w:val="num" w:pos="0"/>
        </w:tabs>
        <w:ind w:left="0" w:firstLine="0"/>
      </w:pPr>
    </w:lvl>
    <w:lvl w:ilvl="3">
      <w:start w:val="1"/>
      <w:numFmt w:val="none"/>
      <w:pStyle w:val="Heading4"/>
      <w:suff w:val="nothing"/>
      <w:lvlText w:val=""/>
      <w:lvlJc w:val="left"/>
      <w:pPr>
        <w:tabs>
          <w:tab w:val="num" w:pos="0"/>
        </w:tabs>
        <w:ind w:left="0" w:firstLine="0"/>
      </w:pPr>
    </w:lvl>
    <w:lvl w:ilvl="4">
      <w:start w:val="1"/>
      <w:numFmt w:val="none"/>
      <w:pStyle w:val="Heading5"/>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pStyle w:val="Heading7"/>
      <w:suff w:val="nothing"/>
      <w:lvlText w:val=""/>
      <w:lvlJc w:val="left"/>
      <w:pPr>
        <w:tabs>
          <w:tab w:val="num" w:pos="0"/>
        </w:tabs>
        <w:ind w:left="0" w:firstLine="0"/>
      </w:pPr>
    </w:lvl>
    <w:lvl w:ilvl="7">
      <w:start w:val="1"/>
      <w:numFmt w:val="none"/>
      <w:pStyle w:val="Heading8"/>
      <w:suff w:val="nothing"/>
      <w:lvlText w:val=""/>
      <w:lvlJc w:val="left"/>
      <w:pPr>
        <w:tabs>
          <w:tab w:val="num" w:pos="0"/>
        </w:tabs>
        <w:ind w:left="0" w:firstLine="0"/>
      </w:pPr>
    </w:lvl>
    <w:lvl w:ilvl="8">
      <w:start w:val="1"/>
      <w:numFmt w:val="none"/>
      <w:pStyle w:val="Heading9"/>
      <w:suff w:val="nothing"/>
      <w:lvlText w:val=""/>
      <w:lvlJc w:val="left"/>
      <w:pPr>
        <w:tabs>
          <w:tab w:val="num" w:pos="0"/>
        </w:tabs>
        <w:ind w:left="0" w:firstLine="0"/>
      </w:pPr>
    </w:lvl>
  </w:abstractNum>
  <w:num w:numId="1" w16cid:durableId="18388831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Moves/>
  <w:defaultTabStop w:val="720"/>
  <w:autoHyphenation/>
  <w:hyphenationZone w:val="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C45CB"/>
    <w:rsid w:val="000C22A6"/>
    <w:rsid w:val="00271648"/>
    <w:rsid w:val="002A4F65"/>
    <w:rsid w:val="00397A7C"/>
    <w:rsid w:val="003D0812"/>
    <w:rsid w:val="00543999"/>
    <w:rsid w:val="005C45CB"/>
    <w:rsid w:val="00604414"/>
    <w:rsid w:val="0067030F"/>
    <w:rsid w:val="007D0A51"/>
    <w:rsid w:val="00905F9D"/>
    <w:rsid w:val="0095799F"/>
    <w:rsid w:val="009E29ED"/>
    <w:rsid w:val="00A72B56"/>
    <w:rsid w:val="00AB4B32"/>
    <w:rsid w:val="00AE066F"/>
    <w:rsid w:val="00B8238B"/>
    <w:rsid w:val="00BA1AA0"/>
    <w:rsid w:val="00C02B60"/>
    <w:rsid w:val="00C1406E"/>
    <w:rsid w:val="00CA3F25"/>
    <w:rsid w:val="00D16DE9"/>
    <w:rsid w:val="00E45AEF"/>
    <w:rsid w:val="00F12841"/>
    <w:rsid w:val="00F530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BCA56F"/>
  <w15:docId w15:val="{6FB3BD5A-5D03-4DC7-9E87-0A871B7E1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Noto Serif CJK SC" w:hAnsi="Liberation Serif" w:cs="Lohit Devanagari"/>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00" w:line="276" w:lineRule="auto"/>
    </w:pPr>
    <w:rPr>
      <w:rFonts w:ascii="Calibri" w:eastAsia="Times New Roman" w:hAnsi="Calibri" w:cs="Times New Roman"/>
      <w:sz w:val="22"/>
      <w:szCs w:val="22"/>
      <w:lang w:val="en-GB" w:eastAsia="zh-CN"/>
    </w:rPr>
  </w:style>
  <w:style w:type="paragraph" w:styleId="Heading1">
    <w:name w:val="heading 1"/>
    <w:basedOn w:val="Normal"/>
    <w:next w:val="Normal"/>
    <w:uiPriority w:val="9"/>
    <w:qFormat/>
    <w:pPr>
      <w:keepNext/>
      <w:keepLines/>
      <w:numPr>
        <w:numId w:val="1"/>
      </w:numPr>
      <w:spacing w:before="360" w:after="80" w:line="257" w:lineRule="auto"/>
      <w:outlineLvl w:val="0"/>
    </w:pPr>
    <w:rPr>
      <w:rFonts w:ascii="Calibri Light" w:hAnsi="Calibri Light"/>
      <w:color w:val="2F5496"/>
      <w:kern w:val="2"/>
      <w:sz w:val="40"/>
      <w:szCs w:val="40"/>
      <w:lang w:val="en-IN"/>
    </w:rPr>
  </w:style>
  <w:style w:type="paragraph" w:styleId="Heading2">
    <w:name w:val="heading 2"/>
    <w:basedOn w:val="Normal"/>
    <w:next w:val="Normal"/>
    <w:uiPriority w:val="9"/>
    <w:semiHidden/>
    <w:unhideWhenUsed/>
    <w:qFormat/>
    <w:pPr>
      <w:keepNext/>
      <w:keepLines/>
      <w:numPr>
        <w:ilvl w:val="1"/>
        <w:numId w:val="1"/>
      </w:numPr>
      <w:spacing w:before="160" w:after="80" w:line="257" w:lineRule="auto"/>
      <w:outlineLvl w:val="1"/>
    </w:pPr>
    <w:rPr>
      <w:rFonts w:ascii="Calibri Light" w:hAnsi="Calibri Light"/>
      <w:color w:val="2F5496"/>
      <w:kern w:val="2"/>
      <w:sz w:val="32"/>
      <w:szCs w:val="32"/>
      <w:lang w:val="en-IN"/>
    </w:rPr>
  </w:style>
  <w:style w:type="paragraph" w:styleId="Heading3">
    <w:name w:val="heading 3"/>
    <w:basedOn w:val="Normal"/>
    <w:next w:val="Normal"/>
    <w:uiPriority w:val="9"/>
    <w:semiHidden/>
    <w:unhideWhenUsed/>
    <w:qFormat/>
    <w:pPr>
      <w:keepNext/>
      <w:keepLines/>
      <w:numPr>
        <w:ilvl w:val="2"/>
        <w:numId w:val="1"/>
      </w:numPr>
      <w:spacing w:before="160" w:after="80" w:line="257" w:lineRule="auto"/>
      <w:outlineLvl w:val="2"/>
    </w:pPr>
    <w:rPr>
      <w:color w:val="2F5496"/>
      <w:kern w:val="2"/>
      <w:sz w:val="28"/>
      <w:szCs w:val="28"/>
      <w:lang w:val="en-IN"/>
    </w:rPr>
  </w:style>
  <w:style w:type="paragraph" w:styleId="Heading4">
    <w:name w:val="heading 4"/>
    <w:basedOn w:val="Normal"/>
    <w:next w:val="Normal"/>
    <w:uiPriority w:val="9"/>
    <w:semiHidden/>
    <w:unhideWhenUsed/>
    <w:qFormat/>
    <w:pPr>
      <w:keepNext/>
      <w:keepLines/>
      <w:numPr>
        <w:ilvl w:val="3"/>
        <w:numId w:val="1"/>
      </w:numPr>
      <w:spacing w:before="80" w:after="40" w:line="257" w:lineRule="auto"/>
      <w:outlineLvl w:val="3"/>
    </w:pPr>
    <w:rPr>
      <w:i/>
      <w:iCs/>
      <w:color w:val="2F5496"/>
      <w:kern w:val="2"/>
      <w:lang w:val="en-IN"/>
    </w:rPr>
  </w:style>
  <w:style w:type="paragraph" w:styleId="Heading5">
    <w:name w:val="heading 5"/>
    <w:basedOn w:val="Normal"/>
    <w:next w:val="Normal"/>
    <w:uiPriority w:val="9"/>
    <w:semiHidden/>
    <w:unhideWhenUsed/>
    <w:qFormat/>
    <w:pPr>
      <w:keepNext/>
      <w:keepLines/>
      <w:numPr>
        <w:ilvl w:val="4"/>
        <w:numId w:val="1"/>
      </w:numPr>
      <w:spacing w:before="80" w:after="40" w:line="257" w:lineRule="auto"/>
      <w:outlineLvl w:val="4"/>
    </w:pPr>
    <w:rPr>
      <w:color w:val="2F5496"/>
      <w:kern w:val="2"/>
      <w:lang w:val="en-IN"/>
    </w:rPr>
  </w:style>
  <w:style w:type="paragraph" w:styleId="Heading6">
    <w:name w:val="heading 6"/>
    <w:basedOn w:val="Normal"/>
    <w:next w:val="Normal"/>
    <w:uiPriority w:val="9"/>
    <w:semiHidden/>
    <w:unhideWhenUsed/>
    <w:qFormat/>
    <w:pPr>
      <w:keepNext/>
      <w:keepLines/>
      <w:numPr>
        <w:ilvl w:val="5"/>
        <w:numId w:val="1"/>
      </w:numPr>
      <w:spacing w:before="40" w:after="0" w:line="257" w:lineRule="auto"/>
      <w:outlineLvl w:val="5"/>
    </w:pPr>
    <w:rPr>
      <w:i/>
      <w:iCs/>
      <w:color w:val="595959"/>
      <w:kern w:val="2"/>
      <w:lang w:val="en-IN"/>
    </w:rPr>
  </w:style>
  <w:style w:type="paragraph" w:styleId="Heading7">
    <w:name w:val="heading 7"/>
    <w:basedOn w:val="Normal"/>
    <w:next w:val="Normal"/>
    <w:qFormat/>
    <w:pPr>
      <w:keepNext/>
      <w:keepLines/>
      <w:numPr>
        <w:ilvl w:val="6"/>
        <w:numId w:val="1"/>
      </w:numPr>
      <w:spacing w:before="40" w:after="0" w:line="257" w:lineRule="auto"/>
      <w:outlineLvl w:val="6"/>
    </w:pPr>
    <w:rPr>
      <w:color w:val="595959"/>
      <w:kern w:val="2"/>
      <w:lang w:val="en-IN"/>
    </w:rPr>
  </w:style>
  <w:style w:type="paragraph" w:styleId="Heading8">
    <w:name w:val="heading 8"/>
    <w:basedOn w:val="Normal"/>
    <w:next w:val="Normal"/>
    <w:qFormat/>
    <w:pPr>
      <w:keepNext/>
      <w:keepLines/>
      <w:numPr>
        <w:ilvl w:val="7"/>
        <w:numId w:val="1"/>
      </w:numPr>
      <w:spacing w:after="0" w:line="257" w:lineRule="auto"/>
      <w:outlineLvl w:val="7"/>
    </w:pPr>
    <w:rPr>
      <w:i/>
      <w:iCs/>
      <w:color w:val="272727"/>
      <w:kern w:val="2"/>
      <w:lang w:val="en-IN"/>
    </w:rPr>
  </w:style>
  <w:style w:type="paragraph" w:styleId="Heading9">
    <w:name w:val="heading 9"/>
    <w:basedOn w:val="Normal"/>
    <w:next w:val="Normal"/>
    <w:qFormat/>
    <w:pPr>
      <w:keepNext/>
      <w:keepLines/>
      <w:numPr>
        <w:ilvl w:val="8"/>
        <w:numId w:val="1"/>
      </w:numPr>
      <w:spacing w:after="0" w:line="257" w:lineRule="auto"/>
      <w:outlineLvl w:val="8"/>
    </w:pPr>
    <w:rPr>
      <w:color w:val="272727"/>
      <w:kern w:val="2"/>
      <w:lang w:val="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Pr>
      <w:rFonts w:ascii="Symbol" w:hAnsi="Symbol" w:cs="Symbol"/>
      <w:sz w:val="20"/>
    </w:rPr>
  </w:style>
  <w:style w:type="character" w:customStyle="1" w:styleId="WW8Num1z1">
    <w:name w:val="WW8Num1z1"/>
    <w:qFormat/>
    <w:rPr>
      <w:rFonts w:ascii="Courier New" w:hAnsi="Courier New" w:cs="Courier New"/>
      <w:sz w:val="20"/>
    </w:rPr>
  </w:style>
  <w:style w:type="character" w:customStyle="1" w:styleId="WW8Num1z2">
    <w:name w:val="WW8Num1z2"/>
    <w:qFormat/>
    <w:rPr>
      <w:rFonts w:ascii="Wingdings" w:hAnsi="Wingdings" w:cs="Wingdings"/>
      <w:sz w:val="20"/>
    </w:rPr>
  </w:style>
  <w:style w:type="character" w:customStyle="1" w:styleId="WW8Num2z0">
    <w:name w:val="WW8Num2z0"/>
    <w:qFormat/>
    <w:rPr>
      <w:rFonts w:ascii="Symbol" w:hAnsi="Symbol" w:cs="Symbol"/>
      <w:sz w:val="20"/>
    </w:rPr>
  </w:style>
  <w:style w:type="character" w:customStyle="1" w:styleId="WW8Num2z1">
    <w:name w:val="WW8Num2z1"/>
    <w:qFormat/>
    <w:rPr>
      <w:rFonts w:ascii="Courier New" w:hAnsi="Courier New" w:cs="Courier New"/>
      <w:sz w:val="20"/>
    </w:rPr>
  </w:style>
  <w:style w:type="character" w:customStyle="1" w:styleId="WW8Num2z2">
    <w:name w:val="WW8Num2z2"/>
    <w:qFormat/>
    <w:rPr>
      <w:rFonts w:ascii="Wingdings" w:hAnsi="Wingdings" w:cs="Wingdings"/>
      <w:sz w:val="20"/>
    </w:rPr>
  </w:style>
  <w:style w:type="character" w:customStyle="1" w:styleId="WW8Num3z0">
    <w:name w:val="WW8Num3z0"/>
    <w:qFormat/>
    <w:rPr>
      <w:rFonts w:ascii="Symbol" w:hAnsi="Symbol" w:cs="Symbol"/>
      <w:sz w:val="20"/>
    </w:rPr>
  </w:style>
  <w:style w:type="character" w:customStyle="1" w:styleId="WW8Num3z1">
    <w:name w:val="WW8Num3z1"/>
    <w:qFormat/>
    <w:rPr>
      <w:rFonts w:ascii="Courier New" w:hAnsi="Courier New" w:cs="Courier New"/>
      <w:sz w:val="20"/>
    </w:rPr>
  </w:style>
  <w:style w:type="character" w:customStyle="1" w:styleId="WW8Num3z2">
    <w:name w:val="WW8Num3z2"/>
    <w:qFormat/>
    <w:rPr>
      <w:rFonts w:ascii="Wingdings" w:hAnsi="Wingdings" w:cs="Wingdings"/>
      <w:sz w:val="20"/>
    </w:rPr>
  </w:style>
  <w:style w:type="character" w:customStyle="1" w:styleId="WW8Num4z0">
    <w:name w:val="WW8Num4z0"/>
    <w:qFormat/>
    <w:rPr>
      <w:rFonts w:ascii="Symbol" w:hAnsi="Symbol" w:cs="Symbol"/>
      <w:sz w:val="20"/>
    </w:rPr>
  </w:style>
  <w:style w:type="character" w:customStyle="1" w:styleId="WW8Num4z1">
    <w:name w:val="WW8Num4z1"/>
    <w:qFormat/>
    <w:rPr>
      <w:rFonts w:ascii="Courier New" w:hAnsi="Courier New" w:cs="Courier New"/>
      <w:sz w:val="20"/>
    </w:rPr>
  </w:style>
  <w:style w:type="character" w:customStyle="1" w:styleId="WW8Num4z2">
    <w:name w:val="WW8Num4z2"/>
    <w:qFormat/>
    <w:rPr>
      <w:rFonts w:ascii="Wingdings" w:hAnsi="Wingdings" w:cs="Wingdings"/>
      <w:sz w:val="20"/>
    </w:rPr>
  </w:style>
  <w:style w:type="character" w:customStyle="1" w:styleId="Heading1Char">
    <w:name w:val="Heading 1 Char"/>
    <w:qFormat/>
    <w:rPr>
      <w:rFonts w:ascii="Calibri Light" w:eastAsia="Times New Roman" w:hAnsi="Calibri Light" w:cs="Times New Roman"/>
      <w:color w:val="2F5496"/>
      <w:sz w:val="40"/>
      <w:szCs w:val="40"/>
    </w:rPr>
  </w:style>
  <w:style w:type="character" w:customStyle="1" w:styleId="Heading2Char">
    <w:name w:val="Heading 2 Char"/>
    <w:qFormat/>
    <w:rPr>
      <w:rFonts w:ascii="Calibri Light" w:eastAsia="Times New Roman" w:hAnsi="Calibri Light" w:cs="Times New Roman"/>
      <w:color w:val="2F5496"/>
      <w:sz w:val="32"/>
      <w:szCs w:val="32"/>
    </w:rPr>
  </w:style>
  <w:style w:type="character" w:customStyle="1" w:styleId="Heading3Char">
    <w:name w:val="Heading 3 Char"/>
    <w:qFormat/>
    <w:rPr>
      <w:rFonts w:eastAsia="Times New Roman" w:cs="Times New Roman"/>
      <w:color w:val="2F5496"/>
      <w:sz w:val="28"/>
      <w:szCs w:val="28"/>
    </w:rPr>
  </w:style>
  <w:style w:type="character" w:customStyle="1" w:styleId="Heading4Char">
    <w:name w:val="Heading 4 Char"/>
    <w:qFormat/>
    <w:rPr>
      <w:rFonts w:eastAsia="Times New Roman" w:cs="Times New Roman"/>
      <w:i/>
      <w:iCs/>
      <w:color w:val="2F5496"/>
    </w:rPr>
  </w:style>
  <w:style w:type="character" w:customStyle="1" w:styleId="Heading5Char">
    <w:name w:val="Heading 5 Char"/>
    <w:qFormat/>
    <w:rPr>
      <w:rFonts w:eastAsia="Times New Roman" w:cs="Times New Roman"/>
      <w:color w:val="2F5496"/>
    </w:rPr>
  </w:style>
  <w:style w:type="character" w:customStyle="1" w:styleId="Heading6Char">
    <w:name w:val="Heading 6 Char"/>
    <w:qFormat/>
    <w:rPr>
      <w:rFonts w:eastAsia="Times New Roman" w:cs="Times New Roman"/>
      <w:i/>
      <w:iCs/>
      <w:color w:val="595959"/>
    </w:rPr>
  </w:style>
  <w:style w:type="character" w:customStyle="1" w:styleId="Heading7Char">
    <w:name w:val="Heading 7 Char"/>
    <w:qFormat/>
    <w:rPr>
      <w:rFonts w:eastAsia="Times New Roman" w:cs="Times New Roman"/>
      <w:color w:val="595959"/>
    </w:rPr>
  </w:style>
  <w:style w:type="character" w:customStyle="1" w:styleId="Heading8Char">
    <w:name w:val="Heading 8 Char"/>
    <w:qFormat/>
    <w:rPr>
      <w:rFonts w:eastAsia="Times New Roman" w:cs="Times New Roman"/>
      <w:i/>
      <w:iCs/>
      <w:color w:val="272727"/>
    </w:rPr>
  </w:style>
  <w:style w:type="character" w:customStyle="1" w:styleId="Heading9Char">
    <w:name w:val="Heading 9 Char"/>
    <w:qFormat/>
    <w:rPr>
      <w:rFonts w:eastAsia="Times New Roman" w:cs="Times New Roman"/>
      <w:color w:val="272727"/>
    </w:rPr>
  </w:style>
  <w:style w:type="character" w:customStyle="1" w:styleId="TitleChar">
    <w:name w:val="Title Char"/>
    <w:qFormat/>
    <w:rPr>
      <w:rFonts w:ascii="Calibri Light" w:eastAsia="Times New Roman" w:hAnsi="Calibri Light" w:cs="Times New Roman"/>
      <w:spacing w:val="-10"/>
      <w:kern w:val="2"/>
      <w:sz w:val="56"/>
      <w:szCs w:val="56"/>
    </w:rPr>
  </w:style>
  <w:style w:type="character" w:customStyle="1" w:styleId="SubtitleChar">
    <w:name w:val="Subtitle Char"/>
    <w:qFormat/>
    <w:rPr>
      <w:rFonts w:eastAsia="Times New Roman" w:cs="Times New Roman"/>
      <w:color w:val="595959"/>
      <w:spacing w:val="15"/>
      <w:sz w:val="28"/>
      <w:szCs w:val="28"/>
    </w:rPr>
  </w:style>
  <w:style w:type="character" w:customStyle="1" w:styleId="QuoteChar">
    <w:name w:val="Quote Char"/>
    <w:qFormat/>
    <w:rPr>
      <w:i/>
      <w:iCs/>
      <w:color w:val="404040"/>
    </w:rPr>
  </w:style>
  <w:style w:type="character" w:styleId="IntenseEmphasis">
    <w:name w:val="Intense Emphasis"/>
    <w:qFormat/>
    <w:rPr>
      <w:i/>
      <w:iCs/>
      <w:color w:val="2F5496"/>
    </w:rPr>
  </w:style>
  <w:style w:type="character" w:customStyle="1" w:styleId="IntenseQuoteChar">
    <w:name w:val="Intense Quote Char"/>
    <w:qFormat/>
    <w:rPr>
      <w:i/>
      <w:iCs/>
      <w:color w:val="2F5496"/>
    </w:rPr>
  </w:style>
  <w:style w:type="character" w:styleId="IntenseReference">
    <w:name w:val="Intense Reference"/>
    <w:qFormat/>
    <w:rPr>
      <w:b/>
      <w:bCs/>
      <w:smallCaps/>
      <w:color w:val="2F5496"/>
      <w:spacing w:val="5"/>
    </w:rPr>
  </w:style>
  <w:style w:type="character" w:styleId="Hyperlink">
    <w:name w:val="Hyperlink"/>
    <w:rPr>
      <w:color w:val="0000FF"/>
      <w:u w:val="single"/>
    </w:rPr>
  </w:style>
  <w:style w:type="character" w:customStyle="1" w:styleId="BalloonTextChar">
    <w:name w:val="Balloon Text Char"/>
    <w:qFormat/>
    <w:rPr>
      <w:rFonts w:ascii="Tahoma" w:eastAsia="Times New Roman" w:hAnsi="Tahoma" w:cs="Tahoma"/>
      <w:kern w:val="0"/>
      <w:sz w:val="16"/>
      <w:szCs w:val="16"/>
      <w:lang w:val="en-GB"/>
    </w:rPr>
  </w:style>
  <w:style w:type="character" w:customStyle="1" w:styleId="UnresolvedMention1">
    <w:name w:val="Unresolved Mention1"/>
    <w:qFormat/>
    <w:rPr>
      <w:color w:val="605E5C"/>
      <w:shd w:val="clear" w:color="auto" w:fill="E1DFDD"/>
    </w:rPr>
  </w:style>
  <w:style w:type="character" w:customStyle="1" w:styleId="HeaderChar">
    <w:name w:val="Header Char"/>
    <w:qFormat/>
    <w:rPr>
      <w:rFonts w:eastAsia="Times New Roman"/>
      <w:kern w:val="0"/>
      <w:lang w:val="en-GB"/>
    </w:rPr>
  </w:style>
  <w:style w:type="character" w:customStyle="1" w:styleId="FooterChar">
    <w:name w:val="Footer Char"/>
    <w:qFormat/>
    <w:rPr>
      <w:rFonts w:eastAsia="Times New Roman"/>
      <w:kern w:val="0"/>
      <w:lang w:val="en-GB"/>
    </w:rPr>
  </w:style>
  <w:style w:type="character" w:styleId="CommentReference">
    <w:name w:val="annotation reference"/>
    <w:qFormat/>
    <w:rPr>
      <w:sz w:val="16"/>
      <w:szCs w:val="16"/>
    </w:rPr>
  </w:style>
  <w:style w:type="character" w:customStyle="1" w:styleId="CommentTextChar">
    <w:name w:val="Comment Text Char"/>
    <w:qFormat/>
    <w:rPr>
      <w:rFonts w:eastAsia="Times New Roman"/>
      <w:kern w:val="0"/>
      <w:sz w:val="20"/>
      <w:szCs w:val="20"/>
      <w:lang w:val="en-GB"/>
    </w:rPr>
  </w:style>
  <w:style w:type="character" w:customStyle="1" w:styleId="CommentSubjectChar">
    <w:name w:val="Comment Subject Char"/>
    <w:qFormat/>
    <w:rPr>
      <w:rFonts w:eastAsia="Times New Roman"/>
      <w:b/>
      <w:bCs/>
      <w:kern w:val="0"/>
      <w:sz w:val="20"/>
      <w:szCs w:val="20"/>
      <w:lang w:val="en-GB"/>
    </w:rPr>
  </w:style>
  <w:style w:type="character" w:styleId="LineNumber">
    <w:name w:val="line number"/>
    <w:basedOn w:val="DefaultParagraphFont"/>
  </w:style>
  <w:style w:type="character" w:styleId="UnresolvedMention">
    <w:name w:val="Unresolved Mention"/>
    <w:qFormat/>
    <w:rPr>
      <w:color w:val="605E5C"/>
      <w:shd w:val="clear" w:color="auto" w:fill="E1DFDD"/>
    </w:rPr>
  </w:style>
  <w:style w:type="paragraph" w:customStyle="1" w:styleId="Heading">
    <w:name w:val="Heading"/>
    <w:basedOn w:val="Normal"/>
    <w:next w:val="Normal"/>
    <w:qFormat/>
    <w:pPr>
      <w:spacing w:after="80" w:line="240" w:lineRule="auto"/>
      <w:contextualSpacing/>
    </w:pPr>
    <w:rPr>
      <w:rFonts w:ascii="Calibri Light" w:hAnsi="Calibri Light"/>
      <w:spacing w:val="-10"/>
      <w:kern w:val="2"/>
      <w:sz w:val="56"/>
      <w:szCs w:val="56"/>
      <w:lang w:val="en-IN"/>
    </w:rPr>
  </w:style>
  <w:style w:type="paragraph" w:styleId="BodyText">
    <w:name w:val="Body Text"/>
    <w:basedOn w:val="Normal"/>
    <w:pPr>
      <w:spacing w:after="140"/>
    </w:pPr>
  </w:style>
  <w:style w:type="paragraph" w:styleId="List">
    <w:name w:val="List"/>
    <w:basedOn w:val="BodyText"/>
    <w:rPr>
      <w:rFonts w:cs="Lohit Devanagari"/>
    </w:rPr>
  </w:style>
  <w:style w:type="paragraph" w:styleId="Caption">
    <w:name w:val="caption"/>
    <w:basedOn w:val="Normal"/>
    <w:qFormat/>
    <w:pPr>
      <w:suppressLineNumbers/>
      <w:spacing w:before="120" w:after="120"/>
    </w:pPr>
    <w:rPr>
      <w:rFonts w:cs="Lohit Devanagari"/>
      <w:i/>
      <w:iCs/>
      <w:sz w:val="24"/>
      <w:szCs w:val="24"/>
    </w:rPr>
  </w:style>
  <w:style w:type="paragraph" w:customStyle="1" w:styleId="Index">
    <w:name w:val="Index"/>
    <w:basedOn w:val="Normal"/>
    <w:qFormat/>
    <w:pPr>
      <w:suppressLineNumbers/>
    </w:pPr>
    <w:rPr>
      <w:rFonts w:cs="Lohit Devanagari"/>
    </w:rPr>
  </w:style>
  <w:style w:type="paragraph" w:styleId="Subtitle">
    <w:name w:val="Subtitle"/>
    <w:basedOn w:val="Normal"/>
    <w:next w:val="Normal"/>
    <w:uiPriority w:val="11"/>
    <w:qFormat/>
    <w:pPr>
      <w:spacing w:after="160" w:line="257" w:lineRule="auto"/>
    </w:pPr>
    <w:rPr>
      <w:color w:val="595959"/>
      <w:spacing w:val="15"/>
      <w:kern w:val="2"/>
      <w:sz w:val="28"/>
      <w:szCs w:val="28"/>
      <w:lang w:val="en-IN"/>
    </w:rPr>
  </w:style>
  <w:style w:type="paragraph" w:styleId="Quote">
    <w:name w:val="Quote"/>
    <w:basedOn w:val="Normal"/>
    <w:next w:val="Normal"/>
    <w:qFormat/>
    <w:pPr>
      <w:spacing w:before="160" w:after="160" w:line="257" w:lineRule="auto"/>
      <w:jc w:val="center"/>
    </w:pPr>
    <w:rPr>
      <w:rFonts w:eastAsia="Calibri"/>
      <w:i/>
      <w:iCs/>
      <w:color w:val="404040"/>
      <w:kern w:val="2"/>
      <w:lang w:val="en-IN"/>
    </w:rPr>
  </w:style>
  <w:style w:type="paragraph" w:styleId="ListParagraph">
    <w:name w:val="List Paragraph"/>
    <w:basedOn w:val="Normal"/>
    <w:qFormat/>
    <w:pPr>
      <w:spacing w:after="160" w:line="257" w:lineRule="auto"/>
      <w:ind w:left="720"/>
      <w:contextualSpacing/>
    </w:pPr>
    <w:rPr>
      <w:rFonts w:eastAsia="Calibri"/>
      <w:kern w:val="2"/>
      <w:lang w:val="en-IN"/>
    </w:rPr>
  </w:style>
  <w:style w:type="paragraph" w:styleId="IntenseQuote">
    <w:name w:val="Intense Quote"/>
    <w:basedOn w:val="Normal"/>
    <w:next w:val="Normal"/>
    <w:qFormat/>
    <w:pPr>
      <w:pBdr>
        <w:top w:val="single" w:sz="4" w:space="10" w:color="2F5496"/>
        <w:bottom w:val="single" w:sz="4" w:space="10" w:color="2F5496"/>
      </w:pBdr>
      <w:spacing w:before="360" w:after="360" w:line="257" w:lineRule="auto"/>
      <w:ind w:left="864" w:right="864"/>
      <w:jc w:val="center"/>
    </w:pPr>
    <w:rPr>
      <w:rFonts w:eastAsia="Calibri"/>
      <w:i/>
      <w:iCs/>
      <w:color w:val="2F5496"/>
      <w:kern w:val="2"/>
      <w:lang w:val="en-IN"/>
    </w:rPr>
  </w:style>
  <w:style w:type="paragraph" w:customStyle="1" w:styleId="Default">
    <w:name w:val="Default"/>
    <w:qFormat/>
    <w:pPr>
      <w:suppressAutoHyphens/>
      <w:autoSpaceDE w:val="0"/>
    </w:pPr>
    <w:rPr>
      <w:rFonts w:ascii="Times New Roman" w:eastAsia="Calibri" w:hAnsi="Times New Roman" w:cs="Times New Roman"/>
      <w:color w:val="000000"/>
      <w:sz w:val="24"/>
      <w:szCs w:val="24"/>
      <w:lang w:eastAsia="zh-CN"/>
    </w:rPr>
  </w:style>
  <w:style w:type="paragraph" w:styleId="BalloonText">
    <w:name w:val="Balloon Text"/>
    <w:basedOn w:val="Normal"/>
    <w:qFormat/>
    <w:pPr>
      <w:spacing w:after="0" w:line="240" w:lineRule="auto"/>
    </w:pPr>
    <w:rPr>
      <w:rFonts w:ascii="Tahoma" w:hAnsi="Tahoma" w:cs="Tahoma"/>
      <w:sz w:val="16"/>
      <w:szCs w:val="16"/>
    </w:rPr>
  </w:style>
  <w:style w:type="paragraph" w:customStyle="1" w:styleId="HeaderandFooter">
    <w:name w:val="Header and Footer"/>
    <w:basedOn w:val="Normal"/>
    <w:qFormat/>
    <w:pPr>
      <w:suppressLineNumbers/>
      <w:tabs>
        <w:tab w:val="center" w:pos="4819"/>
        <w:tab w:val="right" w:pos="9638"/>
      </w:tabs>
    </w:pPr>
  </w:style>
  <w:style w:type="paragraph" w:styleId="Header">
    <w:name w:val="header"/>
    <w:basedOn w:val="Normal"/>
    <w:pPr>
      <w:spacing w:after="0" w:line="240" w:lineRule="auto"/>
    </w:pPr>
  </w:style>
  <w:style w:type="paragraph" w:styleId="Footer">
    <w:name w:val="footer"/>
    <w:basedOn w:val="Normal"/>
    <w:pPr>
      <w:spacing w:after="0" w:line="240" w:lineRule="auto"/>
    </w:pPr>
  </w:style>
  <w:style w:type="paragraph" w:styleId="CommentText">
    <w:name w:val="annotation text"/>
    <w:basedOn w:val="Normal"/>
    <w:qFormat/>
    <w:pPr>
      <w:spacing w:line="240" w:lineRule="auto"/>
    </w:pPr>
    <w:rPr>
      <w:sz w:val="20"/>
      <w:szCs w:val="20"/>
    </w:rPr>
  </w:style>
  <w:style w:type="paragraph" w:styleId="CommentSubject">
    <w:name w:val="annotation subject"/>
    <w:basedOn w:val="CommentText"/>
    <w:next w:val="CommentText"/>
    <w:qFormat/>
    <w:rPr>
      <w:b/>
      <w:bCs/>
    </w:rPr>
  </w:style>
  <w:style w:type="paragraph" w:styleId="Revision">
    <w:name w:val="Revision"/>
    <w:qFormat/>
    <w:pPr>
      <w:suppressAutoHyphens/>
    </w:pPr>
    <w:rPr>
      <w:rFonts w:ascii="Calibri" w:eastAsia="Times New Roman" w:hAnsi="Calibri" w:cs="Times New Roman"/>
      <w:sz w:val="22"/>
      <w:szCs w:val="22"/>
      <w:lang w:val="en-GB" w:eastAsia="zh-CN"/>
    </w:rPr>
  </w:style>
  <w:style w:type="paragraph" w:customStyle="1" w:styleId="TableContents">
    <w:name w:val="Table Contents"/>
    <w:basedOn w:val="Normal"/>
    <w:qFormat/>
    <w:pPr>
      <w:widowControl w:val="0"/>
      <w:suppressLineNumbers/>
    </w:pPr>
  </w:style>
  <w:style w:type="paragraph" w:customStyle="1" w:styleId="TableHeading">
    <w:name w:val="Table Heading"/>
    <w:basedOn w:val="TableContents"/>
    <w:qFormat/>
    <w:pPr>
      <w:jc w:val="center"/>
    </w:pPr>
    <w:rPr>
      <w:b/>
      <w:bCs/>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character" w:styleId="Emphasis">
    <w:name w:val="Emphasis"/>
    <w:uiPriority w:val="20"/>
    <w:qFormat/>
    <w:rsid w:val="00CA3F25"/>
    <w:rPr>
      <w:i/>
      <w:iCs/>
    </w:rPr>
  </w:style>
  <w:style w:type="paragraph" w:customStyle="1" w:styleId="pdq2pgselectionanchorcontainer">
    <w:name w:val="pdq2pg_selectionanchorcontainer"/>
    <w:basedOn w:val="Normal"/>
    <w:rsid w:val="00CA3F25"/>
    <w:pPr>
      <w:suppressAutoHyphens w:val="0"/>
      <w:spacing w:before="100" w:beforeAutospacing="1" w:after="100" w:afterAutospacing="1" w:line="240" w:lineRule="auto"/>
    </w:pPr>
    <w:rPr>
      <w:rFonts w:ascii="Times New Roman" w:hAnsi="Times New Roman"/>
      <w:sz w:val="24"/>
      <w:szCs w:val="24"/>
      <w:lang w:val="en-US" w:eastAsia="en-US"/>
    </w:rPr>
  </w:style>
  <w:style w:type="paragraph" w:styleId="NormalWeb">
    <w:name w:val="Normal (Web)"/>
    <w:basedOn w:val="Normal"/>
    <w:uiPriority w:val="99"/>
    <w:semiHidden/>
    <w:unhideWhenUsed/>
    <w:rsid w:val="00C1406E"/>
    <w:pPr>
      <w:suppressAutoHyphens w:val="0"/>
      <w:spacing w:before="100" w:beforeAutospacing="1" w:after="100" w:afterAutospacing="1" w:line="240" w:lineRule="auto"/>
    </w:pPr>
    <w:rPr>
      <w:rFonts w:ascii="Times New Roman" w:hAnsi="Times New Roman"/>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ail.nbfgr.res.in/Fish_Karyome/detailview.php?358=" TargetMode="External"/><Relationship Id="rId18" Type="http://schemas.openxmlformats.org/officeDocument/2006/relationships/hyperlink" Target="https://doi.org/10.1007/978-94-011-3092-9_4" TargetMode="External"/><Relationship Id="rId26" Type="http://schemas.openxmlformats.org/officeDocument/2006/relationships/hyperlink" Target="https://doi.org/10.7551/mitpress/9689.001.0001" TargetMode="External"/><Relationship Id="rId39" Type="http://schemas.openxmlformats.org/officeDocument/2006/relationships/hyperlink" Target="https://agris.fao.org/search/en/providers/122535/records/65ddd6427c7033e84be8415a" TargetMode="External"/><Relationship Id="rId21" Type="http://schemas.openxmlformats.org/officeDocument/2006/relationships/hyperlink" Target="https://doi.org/10.1139/g93-051" TargetMode="External"/><Relationship Id="rId34" Type="http://schemas.openxmlformats.org/officeDocument/2006/relationships/hyperlink" Target="https://www.fishbase.se/references/SummaryRefList.php?GenusName=Pangasius&amp;ID=292&amp;SpeciesName=pangasius" TargetMode="External"/><Relationship Id="rId42" Type="http://schemas.openxmlformats.org/officeDocument/2006/relationships/hyperlink" Target="https://mail.nbfgr.res.in/Fish_Karyome/ecosys.php" TargetMode="External"/><Relationship Id="rId47" Type="http://schemas.openxmlformats.org/officeDocument/2006/relationships/hyperlink" Target="https://doi.org/10.1007/BF00135048" TargetMode="External"/><Relationship Id="rId50" Type="http://schemas.openxmlformats.org/officeDocument/2006/relationships/hyperlink" Target="https://doi.org/10.11646/zootaxa.3882.1.1" TargetMode="External"/><Relationship Id="rId55" Type="http://schemas.openxmlformats.org/officeDocument/2006/relationships/footer" Target="footer1.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hyperlink" Target="https://doi.org/10.1508/cytologia.75.237" TargetMode="External"/><Relationship Id="rId29" Type="http://schemas.openxmlformats.org/officeDocument/2006/relationships/hyperlink" Target="https://doi.org/10.1139/f77-039" TargetMode="External"/><Relationship Id="rId11" Type="http://schemas.openxmlformats.org/officeDocument/2006/relationships/image" Target="media/image5.png"/><Relationship Id="rId24" Type="http://schemas.openxmlformats.org/officeDocument/2006/relationships/hyperlink" Target="https://doi.org/10.5962/bhl.title.59540" TargetMode="External"/><Relationship Id="rId32" Type="http://schemas.openxmlformats.org/officeDocument/2006/relationships/hyperlink" Target="https://ci.nii.ac.jp/ncid/BA22407151" TargetMode="External"/><Relationship Id="rId37" Type="http://schemas.openxmlformats.org/officeDocument/2006/relationships/hyperlink" Target="https://doi.org/10.1007/s10709-006-9110-9" TargetMode="External"/><Relationship Id="rId40" Type="http://schemas.openxmlformats.org/officeDocument/2006/relationships/hyperlink" Target="https://doi.org/10.1186/1471-2156-11-50" TargetMode="External"/><Relationship Id="rId45" Type="http://schemas.openxmlformats.org/officeDocument/2006/relationships/hyperlink" Target="https://doi.org/10.1186/s12862-015-0532-9" TargetMode="External"/><Relationship Id="rId53" Type="http://schemas.openxmlformats.org/officeDocument/2006/relationships/hyperlink" Target="https://doi.org/10.1007/BF00116227" TargetMode="External"/><Relationship Id="rId58" Type="http://schemas.openxmlformats.org/officeDocument/2006/relationships/fontTable" Target="fontTable.xml"/><Relationship Id="rId5" Type="http://schemas.openxmlformats.org/officeDocument/2006/relationships/footnotes" Target="footnotes.xml"/><Relationship Id="rId19" Type="http://schemas.openxmlformats.org/officeDocument/2006/relationships/hyperlink" Target="https://doi.org/10.5772/35890"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https://doi.org/10.1038/sj.hdy.6800511" TargetMode="External"/><Relationship Id="rId22" Type="http://schemas.openxmlformats.org/officeDocument/2006/relationships/hyperlink" Target="https://biblioteca.izt.uam.mx/vufind/Record/000128697?lng=en&amp;sid=30022860" TargetMode="External"/><Relationship Id="rId27" Type="http://schemas.openxmlformats.org/officeDocument/2006/relationships/hyperlink" Target="https://doi.org/10.3390/ani13081415" TargetMode="External"/><Relationship Id="rId30" Type="http://schemas.openxmlformats.org/officeDocument/2006/relationships/hyperlink" Target="https://doi.org/10.1111/j.1601-5223.1964.tb01953.x" TargetMode="External"/><Relationship Id="rId35" Type="http://schemas.openxmlformats.org/officeDocument/2006/relationships/hyperlink" Target="https://mail.nbfgr.res.in/Fish_Karyome/chromview.php?fid=328&amp;id=225+" TargetMode="External"/><Relationship Id="rId43" Type="http://schemas.openxmlformats.org/officeDocument/2006/relationships/hyperlink" Target="https://doi.org/10.3390/genes12070983" TargetMode="External"/><Relationship Id="rId48" Type="http://schemas.openxmlformats.org/officeDocument/2006/relationships/hyperlink" Target="https://doi.org/10.3906/zoo-1211-12" TargetMode="External"/><Relationship Id="rId56" Type="http://schemas.openxmlformats.org/officeDocument/2006/relationships/header" Target="header2.xml"/><Relationship Id="rId8" Type="http://schemas.openxmlformats.org/officeDocument/2006/relationships/image" Target="media/image2.jpeg"/><Relationship Id="rId51" Type="http://schemas.openxmlformats.org/officeDocument/2006/relationships/hyperlink" Target="https://doi.org/10.1139/f80-017" TargetMode="External"/><Relationship Id="rId3" Type="http://schemas.openxmlformats.org/officeDocument/2006/relationships/settings" Target="settings.xml"/><Relationship Id="rId12" Type="http://schemas.openxmlformats.org/officeDocument/2006/relationships/hyperlink" Target="https://www.msuniv.ac.in/faculty_details.php?department_id=41&amp;faculty_id=229&amp;menu=Publications" TargetMode="External"/><Relationship Id="rId17" Type="http://schemas.openxmlformats.org/officeDocument/2006/relationships/hyperlink" Target="https://doi.org/10.1371/journal.pone.0305828" TargetMode="External"/><Relationship Id="rId25" Type="http://schemas.openxmlformats.org/officeDocument/2006/relationships/hyperlink" Target="https://doi.org/10.1146/annurev.ecolsys.39.110707.173532" TargetMode="External"/><Relationship Id="rId33" Type="http://schemas.openxmlformats.org/officeDocument/2006/relationships/hyperlink" Target="https://doi.org/10.1508/cytologia.43.69" TargetMode="External"/><Relationship Id="rId38" Type="http://schemas.openxmlformats.org/officeDocument/2006/relationships/hyperlink" Target="https://doi.org/10.1159/000133481" TargetMode="External"/><Relationship Id="rId46" Type="http://schemas.openxmlformats.org/officeDocument/2006/relationships/hyperlink" Target="https://doi.org/10.9734/ajfar/2026/v28i71113" TargetMode="External"/><Relationship Id="rId59" Type="http://schemas.openxmlformats.org/officeDocument/2006/relationships/theme" Target="theme/theme1.xml"/><Relationship Id="rId20" Type="http://schemas.openxmlformats.org/officeDocument/2006/relationships/hyperlink" Target="https://doi.org/10.2305/IUCN.UK.2010-4.RLTS.T166623A6249514.en" TargetMode="External"/><Relationship Id="rId41" Type="http://schemas.openxmlformats.org/officeDocument/2006/relationships/hyperlink" Target="https://doi.org/10.1111/jse.12266" TargetMode="External"/><Relationship Id="rId54"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doi.org/10.1093/gigascience/giaf073" TargetMode="External"/><Relationship Id="rId23" Type="http://schemas.openxmlformats.org/officeDocument/2006/relationships/hyperlink" Target="https://doi.org/10.5897/IJFA.9000002" TargetMode="External"/><Relationship Id="rId28" Type="http://schemas.openxmlformats.org/officeDocument/2006/relationships/hyperlink" Target="https://doi.org/10.1371/journal.pone.0292689" TargetMode="External"/><Relationship Id="rId36" Type="http://schemas.openxmlformats.org/officeDocument/2006/relationships/hyperlink" Target="https://doi.org/10.1201/b10746-4" TargetMode="External"/><Relationship Id="rId49" Type="http://schemas.openxmlformats.org/officeDocument/2006/relationships/hyperlink" Target="https://doi.org/10.4172/2375-446X.1000167" TargetMode="External"/><Relationship Id="rId57" Type="http://schemas.openxmlformats.org/officeDocument/2006/relationships/footer" Target="footer2.xml"/><Relationship Id="rId10" Type="http://schemas.openxmlformats.org/officeDocument/2006/relationships/image" Target="media/image4.png"/><Relationship Id="rId31" Type="http://schemas.openxmlformats.org/officeDocument/2006/relationships/hyperlink" Target="https://doi.org/10.1017/CBO9780511721892" TargetMode="External"/><Relationship Id="rId44" Type="http://schemas.openxmlformats.org/officeDocument/2006/relationships/hyperlink" Target="https://doi.org/10.1007/s40009-013-0148-9" TargetMode="External"/><Relationship Id="rId52" Type="http://schemas.openxmlformats.org/officeDocument/2006/relationships/hyperlink" Target="https://doi.org/10.1007/978-94-011-3092-9" TargetMode="Externa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749</TotalTime>
  <Pages>1</Pages>
  <Words>6131</Words>
  <Characters>34949</Characters>
  <Application>Microsoft Office Word</Application>
  <DocSecurity>0</DocSecurity>
  <Lines>291</Lines>
  <Paragraphs>81</Paragraphs>
  <ScaleCrop>false</ScaleCrop>
  <Company/>
  <LinksUpToDate>false</LinksUpToDate>
  <CharactersWithSpaces>40999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Paramasivansivakumar</dc:creator>
  <cp:keywords/>
  <dc:description/>
  <cp:lastModifiedBy>SDI CPU 1117</cp:lastModifiedBy>
  <cp:revision>29</cp:revision>
  <dcterms:created xsi:type="dcterms:W3CDTF">2026-07-16T16:43:00Z</dcterms:created>
  <dcterms:modified xsi:type="dcterms:W3CDTF">2026-07-24T06:04:00Z</dcterms:modified>
  <dc:language>en-US</dc:language>
</cp:coreProperties>
</file>